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Security Classification"/>
        <w:tag w:val="Security Classification"/>
        <w:id w:val="1617165177"/>
        <w:placeholder>
          <w:docPart w:val="E752D6B8F55A4B4BBE7E2A664B736242"/>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6FED710A" w14:textId="77777777" w:rsidR="00125D95" w:rsidRDefault="00CF787A" w:rsidP="00125D95">
          <w:r>
            <w:t>In Confidence</w:t>
          </w:r>
        </w:p>
      </w:sdtContent>
    </w:sdt>
    <w:p w14:paraId="03168AD1" w14:textId="77777777" w:rsidR="00125D95" w:rsidRDefault="00125D95" w:rsidP="00125D95"/>
    <w:p w14:paraId="12D822E9" w14:textId="77777777" w:rsidR="00125D95" w:rsidRDefault="00125D95" w:rsidP="00145364">
      <w:pPr>
        <w:spacing w:after="0"/>
      </w:pPr>
      <w:r>
        <w:t>Office of the Minister</w:t>
      </w:r>
      <w:r w:rsidR="00145364">
        <w:t xml:space="preserve"> </w:t>
      </w:r>
      <w:r w:rsidR="000F6FAE">
        <w:t>of Finance</w:t>
      </w:r>
    </w:p>
    <w:p w14:paraId="08BFF3DB" w14:textId="77777777" w:rsidR="00145364" w:rsidRDefault="00145364" w:rsidP="00145364">
      <w:pPr>
        <w:spacing w:after="0"/>
      </w:pPr>
      <w:r>
        <w:t>Office of the Minister of Revenue</w:t>
      </w:r>
    </w:p>
    <w:p w14:paraId="46FACD4F" w14:textId="77777777" w:rsidR="00145364" w:rsidRDefault="00145364" w:rsidP="00145364">
      <w:pPr>
        <w:spacing w:after="0"/>
      </w:pPr>
    </w:p>
    <w:p w14:paraId="1EA324BF" w14:textId="77777777" w:rsidR="00125D95" w:rsidRDefault="00125D95" w:rsidP="00125D95">
      <w:r>
        <w:t xml:space="preserve">Chair, Cabinet </w:t>
      </w:r>
      <w:r w:rsidR="000F6FAE">
        <w:t>Economic Development</w:t>
      </w:r>
      <w:r>
        <w:t xml:space="preserve"> Committee</w:t>
      </w:r>
    </w:p>
    <w:p w14:paraId="73C56D14" w14:textId="77777777" w:rsidR="00145364" w:rsidRDefault="00145364" w:rsidP="00125D95"/>
    <w:p w14:paraId="77F69338" w14:textId="77777777" w:rsidR="00125D95" w:rsidRPr="00125D95" w:rsidRDefault="000F6FAE" w:rsidP="00125D95">
      <w:pPr>
        <w:pStyle w:val="Title"/>
      </w:pPr>
      <w:r>
        <w:t>REFresh of the Government’s tax policy work programme for 2019-20</w:t>
      </w:r>
    </w:p>
    <w:p w14:paraId="497ACE65" w14:textId="77777777" w:rsidR="00125D95" w:rsidRPr="00125D95" w:rsidRDefault="00125D95" w:rsidP="00125D95">
      <w:pPr>
        <w:pStyle w:val="Heading1"/>
      </w:pPr>
      <w:r>
        <w:t>Proposal</w:t>
      </w:r>
    </w:p>
    <w:p w14:paraId="074CC6B2" w14:textId="77777777" w:rsidR="00995055" w:rsidRDefault="00061FE6" w:rsidP="00061FE6">
      <w:pPr>
        <w:pStyle w:val="NumberedParagraphCabStandard"/>
      </w:pPr>
      <w:r>
        <w:t xml:space="preserve">This paper asks the Cabinet Economic Development Committee to note the Government’s </w:t>
      </w:r>
      <w:r w:rsidR="00FD57F7">
        <w:t xml:space="preserve">Tax Policy Work Programme </w:t>
      </w:r>
      <w:r>
        <w:t>for 2019-20</w:t>
      </w:r>
      <w:r w:rsidR="00F4036E">
        <w:t xml:space="preserve">.  </w:t>
      </w:r>
      <w:r w:rsidR="00995055">
        <w:t>Following Cabinet consideration of this paper</w:t>
      </w:r>
      <w:r w:rsidR="00F4036E">
        <w:t xml:space="preserve"> (including the </w:t>
      </w:r>
      <w:r w:rsidR="005E1C25">
        <w:t>attachments</w:t>
      </w:r>
      <w:r w:rsidR="00F4036E">
        <w:t>)</w:t>
      </w:r>
      <w:r w:rsidR="00995055">
        <w:t xml:space="preserve">, we intend to publicly announce and publish the refreshed </w:t>
      </w:r>
      <w:r w:rsidR="007F192D">
        <w:t xml:space="preserve">Tax Policy Work Programme </w:t>
      </w:r>
      <w:r w:rsidR="001A76BF">
        <w:t xml:space="preserve">in early </w:t>
      </w:r>
      <w:r w:rsidR="00F4036E">
        <w:t>August</w:t>
      </w:r>
      <w:r w:rsidR="00995055">
        <w:t>.</w:t>
      </w:r>
    </w:p>
    <w:p w14:paraId="276F5183" w14:textId="77777777" w:rsidR="00125D95" w:rsidRPr="00C65945" w:rsidRDefault="00C65945" w:rsidP="00C65945">
      <w:pPr>
        <w:pStyle w:val="Heading1"/>
      </w:pPr>
      <w:r>
        <w:t>Executive Summary</w:t>
      </w:r>
    </w:p>
    <w:p w14:paraId="7496E6ED" w14:textId="77777777" w:rsidR="00AE5105" w:rsidRDefault="00AE5105" w:rsidP="00611263">
      <w:pPr>
        <w:pStyle w:val="NumberedParagraphCabStandard"/>
      </w:pPr>
      <w:r>
        <w:t xml:space="preserve">The Government’s Tax Policy Work Programme (TPWP) is refreshed approximately every 18 months.  </w:t>
      </w:r>
      <w:r w:rsidR="00DD0E87">
        <w:t xml:space="preserve">The TPWP prioritises and sequences the development of tax policy proposals.  </w:t>
      </w:r>
      <w:r>
        <w:t>As the Ministers of Finance and Revenue, we are jointly responsible for setting and agreeing to the work programme.</w:t>
      </w:r>
    </w:p>
    <w:p w14:paraId="5C261838" w14:textId="77777777" w:rsidR="00DD0E87" w:rsidRDefault="00DD0E87" w:rsidP="00DD0E87">
      <w:pPr>
        <w:pStyle w:val="NumberedParagraphCabStandard"/>
      </w:pPr>
      <w:r>
        <w:t xml:space="preserve">The final TPWP for 2019-20 reflects our consideration of a range of factors, including the Government’s overall policy agenda, our fiscal strategy, and the ability of the Treasury and Inland Revenue to deliver the TPWP over the next 18 months.  </w:t>
      </w:r>
    </w:p>
    <w:p w14:paraId="3C7BFB94" w14:textId="77777777" w:rsidR="00951C07" w:rsidRPr="00951C07" w:rsidRDefault="00DD0E87" w:rsidP="00951C07">
      <w:pPr>
        <w:pStyle w:val="NumberedParagraphCabStandard"/>
        <w:rPr>
          <w:sz w:val="22"/>
        </w:rPr>
      </w:pPr>
      <w:r>
        <w:t>At a high level, t</w:t>
      </w:r>
      <w:r w:rsidR="00951C07">
        <w:t>he Government is working to build a productive, sustainable and inclusive economy in order to improve the living standards and wellbeing of all New Zealanders. The TPWP will make an important contribution to this goal over the coming year.</w:t>
      </w:r>
    </w:p>
    <w:p w14:paraId="7B6F316E" w14:textId="77777777" w:rsidR="00951C07" w:rsidRDefault="00951C07" w:rsidP="00951C07">
      <w:pPr>
        <w:pStyle w:val="NumberedParagraphCabStandard"/>
      </w:pPr>
      <w:r>
        <w:t>A well-functioning tax system is necessary to raise the revenue that funds public investments in the future of New Zealand. Tax also has a direct impact on the lives of New Zealanders – through its role in redistribution, and through its ability to shape and influence behaviour across the economy. At the same time, perceptions about the fairness of the tax system underpin social capital and shape public trust and confidence in the Government as a whole.</w:t>
      </w:r>
    </w:p>
    <w:p w14:paraId="73C852E7" w14:textId="77777777" w:rsidR="00951C07" w:rsidRDefault="00951C07" w:rsidP="00951C07">
      <w:pPr>
        <w:pStyle w:val="NumberedParagraphCabStandard"/>
      </w:pPr>
      <w:r>
        <w:t>The TPWP has been shaped with these broader considerations in mind. We have identified the tax policy areas that are most likely to enhance productivity and increase the fairness of the tax system. We have also identified areas where the Government can reduce complexity and compliance costs for taxpayers. Our objective in doing so is to ensure that tax policy settings support the Government’s wider social, economic and environmental objectives.</w:t>
      </w:r>
    </w:p>
    <w:p w14:paraId="67215131" w14:textId="77777777" w:rsidR="009A2C01" w:rsidRDefault="00FB03D3" w:rsidP="007F1193">
      <w:pPr>
        <w:pStyle w:val="NumberedParagraphCabStandard"/>
      </w:pPr>
      <w:r>
        <w:lastRenderedPageBreak/>
        <w:t xml:space="preserve">The TPWP for 2019-20 </w:t>
      </w:r>
      <w:r w:rsidR="00DD0E87">
        <w:t>also responds to</w:t>
      </w:r>
      <w:r>
        <w:t xml:space="preserve"> the </w:t>
      </w:r>
      <w:r w:rsidR="009A2C01">
        <w:t xml:space="preserve">recommendations made by </w:t>
      </w:r>
      <w:r>
        <w:t xml:space="preserve">the Tax Working Group (TWG) in </w:t>
      </w:r>
      <w:r w:rsidR="009A2C01">
        <w:t>their final report,</w:t>
      </w:r>
      <w:r>
        <w:t xml:space="preserve"> </w:t>
      </w:r>
      <w:r w:rsidRPr="003B5967">
        <w:rPr>
          <w:i/>
        </w:rPr>
        <w:t>Future of Tax</w:t>
      </w:r>
      <w:r>
        <w:t>.</w:t>
      </w:r>
      <w:r w:rsidR="009A2C01">
        <w:t xml:space="preserve"> </w:t>
      </w:r>
      <w:r w:rsidR="006F0F88">
        <w:t xml:space="preserve"> </w:t>
      </w:r>
      <w:r w:rsidR="00DD0E87">
        <w:t xml:space="preserve">The key priorities </w:t>
      </w:r>
      <w:r w:rsidR="002D024E">
        <w:t>on</w:t>
      </w:r>
      <w:r>
        <w:t xml:space="preserve"> the refreshed TPWP </w:t>
      </w:r>
      <w:r w:rsidR="00DD0E87">
        <w:t>reflect the Government’s response to</w:t>
      </w:r>
      <w:r w:rsidR="009A2C01">
        <w:t xml:space="preserve"> the </w:t>
      </w:r>
      <w:r w:rsidR="00DD0E87">
        <w:t>TWG’s</w:t>
      </w:r>
      <w:r w:rsidR="009A2C01">
        <w:t xml:space="preserve"> recommendations</w:t>
      </w:r>
      <w:r w:rsidR="00951C07">
        <w:t>.</w:t>
      </w:r>
    </w:p>
    <w:p w14:paraId="0434A696" w14:textId="77777777" w:rsidR="002E024A" w:rsidRPr="002E024A" w:rsidRDefault="00DD0E87" w:rsidP="00655AA0">
      <w:pPr>
        <w:pStyle w:val="NumberedParagraphCabStandard"/>
        <w:spacing w:after="0"/>
        <w:textAlignment w:val="baseline"/>
        <w:rPr>
          <w:rFonts w:ascii="Segoe UI" w:hAnsi="Segoe UI" w:cs="Segoe UI"/>
          <w:sz w:val="18"/>
          <w:szCs w:val="18"/>
        </w:rPr>
      </w:pPr>
      <w:r>
        <w:t xml:space="preserve">We have grouped the items on the TPWP into </w:t>
      </w:r>
      <w:r w:rsidR="00530E2A">
        <w:t xml:space="preserve">workstreams </w:t>
      </w:r>
      <w:r w:rsidR="00655AA0">
        <w:t>(</w:t>
      </w:r>
      <w:r w:rsidR="001F7707">
        <w:t xml:space="preserve">see </w:t>
      </w:r>
      <w:r w:rsidR="005E1C25">
        <w:t>attachment</w:t>
      </w:r>
      <w:r w:rsidR="001F7707">
        <w:t xml:space="preserve"> 3)</w:t>
      </w:r>
      <w:r w:rsidR="00655AA0">
        <w:t xml:space="preserve">. </w:t>
      </w:r>
      <w:r w:rsidR="006F0F88">
        <w:t xml:space="preserve"> </w:t>
      </w:r>
      <w:r w:rsidR="002E024A">
        <w:t>These</w:t>
      </w:r>
      <w:r w:rsidR="008A070F">
        <w:t xml:space="preserve"> </w:t>
      </w:r>
      <w:r w:rsidR="00530E2A">
        <w:t xml:space="preserve">workstreams </w:t>
      </w:r>
      <w:r w:rsidR="00FB03D3">
        <w:t>are</w:t>
      </w:r>
      <w:r w:rsidR="002E024A">
        <w:t>:</w:t>
      </w:r>
    </w:p>
    <w:p w14:paraId="72E77D8A" w14:textId="77777777" w:rsidR="002E024A" w:rsidRDefault="002E024A" w:rsidP="002E024A">
      <w:pPr>
        <w:pStyle w:val="NumberedParagraphCabStandard"/>
        <w:numPr>
          <w:ilvl w:val="0"/>
          <w:numId w:val="0"/>
        </w:numPr>
        <w:spacing w:after="0"/>
        <w:ind w:left="709" w:hanging="709"/>
        <w:textAlignment w:val="baseline"/>
        <w:rPr>
          <w:rFonts w:ascii="Segoe UI" w:hAnsi="Segoe UI" w:cs="Segoe UI"/>
          <w:sz w:val="18"/>
          <w:szCs w:val="18"/>
        </w:rPr>
      </w:pPr>
    </w:p>
    <w:p w14:paraId="35C8080D" w14:textId="77777777" w:rsidR="002E024A" w:rsidRDefault="002E024A" w:rsidP="007F1193">
      <w:pPr>
        <w:pStyle w:val="BulletedParagraph"/>
        <w:numPr>
          <w:ilvl w:val="1"/>
          <w:numId w:val="1"/>
        </w:numPr>
      </w:pPr>
      <w:r>
        <w:t>Land</w:t>
      </w:r>
    </w:p>
    <w:p w14:paraId="55E9AA5F" w14:textId="77777777" w:rsidR="002E024A" w:rsidRDefault="002E024A" w:rsidP="007F1193">
      <w:pPr>
        <w:pStyle w:val="BulletedParagraph"/>
        <w:numPr>
          <w:ilvl w:val="1"/>
          <w:numId w:val="1"/>
        </w:numPr>
      </w:pPr>
      <w:r>
        <w:t>Business</w:t>
      </w:r>
    </w:p>
    <w:p w14:paraId="0039DB94" w14:textId="77777777" w:rsidR="002E024A" w:rsidRDefault="002E024A" w:rsidP="007F1193">
      <w:pPr>
        <w:pStyle w:val="BulletedParagraph"/>
        <w:numPr>
          <w:ilvl w:val="1"/>
          <w:numId w:val="1"/>
        </w:numPr>
      </w:pPr>
      <w:r>
        <w:t>Infrastructure</w:t>
      </w:r>
    </w:p>
    <w:p w14:paraId="46A960CE" w14:textId="77777777" w:rsidR="002E024A" w:rsidRDefault="002E024A" w:rsidP="007F1193">
      <w:pPr>
        <w:pStyle w:val="BulletedParagraph"/>
        <w:numPr>
          <w:ilvl w:val="1"/>
          <w:numId w:val="1"/>
        </w:numPr>
      </w:pPr>
      <w:r>
        <w:t>Information collection and use</w:t>
      </w:r>
    </w:p>
    <w:p w14:paraId="6AF3A6D6" w14:textId="77777777" w:rsidR="002E024A" w:rsidRDefault="002E024A" w:rsidP="007F1193">
      <w:pPr>
        <w:pStyle w:val="BulletedParagraph"/>
        <w:numPr>
          <w:ilvl w:val="1"/>
          <w:numId w:val="1"/>
        </w:numPr>
      </w:pPr>
      <w:r>
        <w:t xml:space="preserve">Business </w:t>
      </w:r>
      <w:r w:rsidR="009A2C01">
        <w:t>Transformation</w:t>
      </w:r>
    </w:p>
    <w:p w14:paraId="20544C77" w14:textId="77777777" w:rsidR="002E024A" w:rsidRDefault="002E024A" w:rsidP="007F1193">
      <w:pPr>
        <w:pStyle w:val="BulletedParagraph"/>
        <w:numPr>
          <w:ilvl w:val="1"/>
          <w:numId w:val="1"/>
        </w:numPr>
      </w:pPr>
      <w:r>
        <w:t>Reforms and remedials</w:t>
      </w:r>
    </w:p>
    <w:p w14:paraId="5D063A49" w14:textId="77777777" w:rsidR="002E024A" w:rsidRDefault="002E024A" w:rsidP="007F1193">
      <w:pPr>
        <w:pStyle w:val="BulletedParagraph"/>
        <w:numPr>
          <w:ilvl w:val="1"/>
          <w:numId w:val="1"/>
        </w:numPr>
      </w:pPr>
      <w:r>
        <w:t xml:space="preserve">Social policy (including Government response to </w:t>
      </w:r>
      <w:r w:rsidR="009A2C01">
        <w:t xml:space="preserve">the </w:t>
      </w:r>
      <w:r w:rsidR="009A2C01" w:rsidRPr="009A2C01">
        <w:t>Welfare Expert Advisory Group Report</w:t>
      </w:r>
      <w:r>
        <w:t>)</w:t>
      </w:r>
    </w:p>
    <w:p w14:paraId="52F6E02E" w14:textId="77777777" w:rsidR="002E024A" w:rsidRDefault="002E024A" w:rsidP="007F1193">
      <w:pPr>
        <w:pStyle w:val="BulletedParagraph"/>
        <w:numPr>
          <w:ilvl w:val="1"/>
          <w:numId w:val="1"/>
        </w:numPr>
      </w:pPr>
      <w:r>
        <w:t xml:space="preserve">Environment / Sustainable economy </w:t>
      </w:r>
    </w:p>
    <w:p w14:paraId="6403207F" w14:textId="77777777" w:rsidR="002E024A" w:rsidRDefault="002E024A" w:rsidP="007F1193">
      <w:pPr>
        <w:pStyle w:val="BulletedParagraph"/>
        <w:numPr>
          <w:ilvl w:val="1"/>
          <w:numId w:val="1"/>
        </w:numPr>
      </w:pPr>
      <w:r>
        <w:t>Charities</w:t>
      </w:r>
    </w:p>
    <w:p w14:paraId="67029588" w14:textId="77777777" w:rsidR="002E024A" w:rsidRDefault="00265318" w:rsidP="007F1193">
      <w:pPr>
        <w:pStyle w:val="BulletedParagraph"/>
        <w:numPr>
          <w:ilvl w:val="1"/>
          <w:numId w:val="1"/>
        </w:numPr>
      </w:pPr>
      <w:r>
        <w:t>Tax exemptions</w:t>
      </w:r>
    </w:p>
    <w:p w14:paraId="692F63BC" w14:textId="77777777" w:rsidR="002E024A" w:rsidRPr="00740DE0" w:rsidRDefault="00265318" w:rsidP="007F1193">
      <w:pPr>
        <w:pStyle w:val="BulletedParagraph"/>
        <w:numPr>
          <w:ilvl w:val="1"/>
          <w:numId w:val="1"/>
        </w:numPr>
      </w:pPr>
      <w:r>
        <w:t>International</w:t>
      </w:r>
    </w:p>
    <w:p w14:paraId="5A1221A0" w14:textId="77777777" w:rsidR="00740DE0" w:rsidRPr="00740DE0" w:rsidRDefault="008A070F" w:rsidP="00655AA0">
      <w:pPr>
        <w:pStyle w:val="NumberedParagraphCabStandard"/>
        <w:spacing w:after="0"/>
        <w:textAlignment w:val="baseline"/>
        <w:rPr>
          <w:rFonts w:ascii="Segoe UI" w:hAnsi="Segoe UI" w:cs="Segoe UI"/>
          <w:sz w:val="18"/>
          <w:szCs w:val="18"/>
        </w:rPr>
      </w:pPr>
      <w:r>
        <w:t>These</w:t>
      </w:r>
      <w:r w:rsidR="002E024A">
        <w:t xml:space="preserve"> </w:t>
      </w:r>
      <w:r w:rsidR="00530E2A">
        <w:t xml:space="preserve">workstreams </w:t>
      </w:r>
      <w:r w:rsidR="00DD0E87">
        <w:t>reflect our current expectations for</w:t>
      </w:r>
      <w:r>
        <w:t xml:space="preserve"> the</w:t>
      </w:r>
      <w:r w:rsidR="00DD0E87">
        <w:t xml:space="preserve"> work</w:t>
      </w:r>
      <w:r>
        <w:t xml:space="preserve"> programme </w:t>
      </w:r>
      <w:r w:rsidR="00DD0E87">
        <w:t>over the next eighteen months</w:t>
      </w:r>
      <w:r>
        <w:t>.</w:t>
      </w:r>
      <w:r w:rsidR="00FB03D3">
        <w:t xml:space="preserve">  </w:t>
      </w:r>
      <w:r w:rsidR="00F76032">
        <w:t xml:space="preserve">Should new or emerging issues arise over </w:t>
      </w:r>
      <w:r w:rsidR="00D301A1">
        <w:t>this period</w:t>
      </w:r>
      <w:r w:rsidR="00F76032">
        <w:t xml:space="preserve"> (</w:t>
      </w:r>
      <w:r w:rsidR="00FD57F7">
        <w:t>which are</w:t>
      </w:r>
      <w:r w:rsidR="00F76032">
        <w:t xml:space="preserve"> not currently listed on the refreshed TPWP), we will work with officials </w:t>
      </w:r>
      <w:r w:rsidR="003C2A6B">
        <w:t xml:space="preserve">and Ministerial colleagues (where appropriate) </w:t>
      </w:r>
      <w:r w:rsidR="00F76032">
        <w:t>to determine how best to prioritise these issues alongside existing items or commitments</w:t>
      </w:r>
      <w:r w:rsidR="00FB03D3">
        <w:t xml:space="preserve">.  </w:t>
      </w:r>
      <w:r>
        <w:t xml:space="preserve"> </w:t>
      </w:r>
    </w:p>
    <w:p w14:paraId="04A0DA69" w14:textId="77777777" w:rsidR="00740DE0" w:rsidRDefault="00740DE0" w:rsidP="00740DE0">
      <w:pPr>
        <w:pStyle w:val="NumberedParagraphCabStandard"/>
        <w:numPr>
          <w:ilvl w:val="0"/>
          <w:numId w:val="0"/>
        </w:numPr>
        <w:spacing w:after="0"/>
        <w:textAlignment w:val="baseline"/>
      </w:pPr>
    </w:p>
    <w:p w14:paraId="29E7951C" w14:textId="77777777" w:rsidR="001F7707" w:rsidRPr="001F7707" w:rsidRDefault="00740DE0" w:rsidP="00D301A1">
      <w:pPr>
        <w:pStyle w:val="NumberedParagraphCabStandard"/>
        <w:spacing w:after="0"/>
        <w:textAlignment w:val="baseline"/>
        <w:rPr>
          <w:rFonts w:ascii="Segoe UI" w:hAnsi="Segoe UI" w:cs="Segoe UI"/>
          <w:sz w:val="18"/>
          <w:szCs w:val="18"/>
        </w:rPr>
      </w:pPr>
      <w:r>
        <w:t xml:space="preserve">Following Cabinet consideration of this paper, we propose to announce the refreshed TPWP at an event </w:t>
      </w:r>
      <w:r w:rsidR="00633D76">
        <w:t xml:space="preserve">run by the </w:t>
      </w:r>
      <w:r w:rsidR="00633D76" w:rsidRPr="00633D76">
        <w:t>Young International Fiscal Association Network</w:t>
      </w:r>
      <w:r w:rsidR="00633D76">
        <w:t xml:space="preserve"> </w:t>
      </w:r>
      <w:r w:rsidR="001A76BF">
        <w:t xml:space="preserve">in early </w:t>
      </w:r>
      <w:r w:rsidR="008A070F">
        <w:t>August and</w:t>
      </w:r>
      <w:r>
        <w:t xml:space="preserve"> publish details of the TPWP on Inland Revenue’s tax policy websit</w:t>
      </w:r>
      <w:r w:rsidR="008A070F">
        <w:t>e.</w:t>
      </w:r>
    </w:p>
    <w:p w14:paraId="34501808" w14:textId="77777777" w:rsidR="001F7707" w:rsidRPr="001F7707" w:rsidRDefault="001F7707" w:rsidP="001F7707">
      <w:pPr>
        <w:pStyle w:val="NumberedParagraphCabStandard"/>
        <w:numPr>
          <w:ilvl w:val="0"/>
          <w:numId w:val="0"/>
        </w:numPr>
        <w:spacing w:after="0"/>
        <w:ind w:left="709"/>
        <w:textAlignment w:val="baseline"/>
        <w:rPr>
          <w:rFonts w:ascii="Segoe UI" w:hAnsi="Segoe UI" w:cs="Segoe UI"/>
          <w:sz w:val="18"/>
          <w:szCs w:val="18"/>
        </w:rPr>
      </w:pPr>
    </w:p>
    <w:p w14:paraId="7FB6C1F8" w14:textId="77777777" w:rsidR="00125D95" w:rsidRPr="00C65945" w:rsidRDefault="00F31B14" w:rsidP="00C65945">
      <w:pPr>
        <w:pStyle w:val="Heading1"/>
      </w:pPr>
      <w:r>
        <w:t>Background</w:t>
      </w:r>
    </w:p>
    <w:p w14:paraId="213C49D9" w14:textId="77777777" w:rsidR="009A48BD" w:rsidRDefault="00782668" w:rsidP="009A48BD">
      <w:pPr>
        <w:pStyle w:val="NumberedParagraphCabStandard"/>
      </w:pPr>
      <w:r>
        <w:t>In 2017, t</w:t>
      </w:r>
      <w:r w:rsidR="009A48BD" w:rsidRPr="00375F49">
        <w:t xml:space="preserve">he Government established the </w:t>
      </w:r>
      <w:r w:rsidR="009A48BD">
        <w:t>TWG</w:t>
      </w:r>
      <w:r w:rsidR="009A48BD" w:rsidRPr="00375F49">
        <w:t xml:space="preserve"> to consider whether improvements can be made to the structure, fairness and balance of the tax system</w:t>
      </w:r>
      <w:r>
        <w:t xml:space="preserve"> in order to support the Government’s overall objectives</w:t>
      </w:r>
      <w:r w:rsidR="009A48BD" w:rsidRPr="00375F49">
        <w:t>.</w:t>
      </w:r>
      <w:r w:rsidR="009A48BD">
        <w:t xml:space="preserve">  </w:t>
      </w:r>
    </w:p>
    <w:p w14:paraId="20E9BBF6" w14:textId="77777777" w:rsidR="00E73307" w:rsidRDefault="003B5967" w:rsidP="00782668">
      <w:pPr>
        <w:pStyle w:val="NumberedParagraphCabStandard"/>
      </w:pPr>
      <w:r w:rsidRPr="008A070F">
        <w:t xml:space="preserve">The TWG found that New Zealand’s tax system is generally sound and working well, but made </w:t>
      </w:r>
      <w:r w:rsidR="00782668">
        <w:t xml:space="preserve">99 </w:t>
      </w:r>
      <w:r w:rsidRPr="008A070F">
        <w:t xml:space="preserve">recommendations aimed at improving the fairness, balance and structure of the tax system.  While the primary recommendation </w:t>
      </w:r>
      <w:r w:rsidR="00B91B39">
        <w:t xml:space="preserve">of a broad extension of the </w:t>
      </w:r>
      <w:r w:rsidR="000C0406">
        <w:t xml:space="preserve">taxation of </w:t>
      </w:r>
      <w:r w:rsidR="00FD57F7">
        <w:t xml:space="preserve">capital gains </w:t>
      </w:r>
      <w:r w:rsidR="00F31B14">
        <w:t>has not been</w:t>
      </w:r>
      <w:r w:rsidRPr="008A070F">
        <w:t xml:space="preserve"> adopted, </w:t>
      </w:r>
      <w:r w:rsidR="00F31B14">
        <w:t>the</w:t>
      </w:r>
      <w:r w:rsidRPr="008A070F">
        <w:t xml:space="preserve"> </w:t>
      </w:r>
      <w:r w:rsidR="00F31B14">
        <w:t>wider</w:t>
      </w:r>
      <w:r w:rsidRPr="008A070F">
        <w:t xml:space="preserve"> </w:t>
      </w:r>
      <w:r w:rsidR="00F31B14">
        <w:t xml:space="preserve">TWG </w:t>
      </w:r>
      <w:r w:rsidRPr="008A070F">
        <w:t xml:space="preserve">recommendations </w:t>
      </w:r>
      <w:r w:rsidR="00F31B14">
        <w:t>provided us with a starting point for the TPWP refresh.</w:t>
      </w:r>
    </w:p>
    <w:p w14:paraId="41DC93B3" w14:textId="77777777" w:rsidR="005E0916" w:rsidRDefault="00E73307" w:rsidP="00E73307">
      <w:pPr>
        <w:pStyle w:val="NumberedParagraphCabStandard"/>
      </w:pPr>
      <w:r>
        <w:lastRenderedPageBreak/>
        <w:t xml:space="preserve">In </w:t>
      </w:r>
      <w:r w:rsidR="005E0916">
        <w:t>April</w:t>
      </w:r>
      <w:r>
        <w:t xml:space="preserve">, the Government </w:t>
      </w:r>
      <w:r w:rsidR="0096223D">
        <w:t>publicly announced</w:t>
      </w:r>
      <w:r>
        <w:t xml:space="preserve"> </w:t>
      </w:r>
      <w:r w:rsidR="005E0916">
        <w:t>its response to the TWG</w:t>
      </w:r>
      <w:r>
        <w:t xml:space="preserve"> </w:t>
      </w:r>
      <w:r w:rsidR="005E0916">
        <w:t>recommendations</w:t>
      </w:r>
      <w:r w:rsidR="000758E9">
        <w:t xml:space="preserve">. The Government’s response to </w:t>
      </w:r>
      <w:r w:rsidR="005E0916">
        <w:t>the recommendations</w:t>
      </w:r>
      <w:r w:rsidR="000758E9">
        <w:t xml:space="preserve"> were grouped into the following categories</w:t>
      </w:r>
      <w:r w:rsidR="005E0916">
        <w:t>:</w:t>
      </w:r>
    </w:p>
    <w:p w14:paraId="461B10DF" w14:textId="77777777" w:rsidR="005E0916" w:rsidRDefault="00A16730" w:rsidP="005E0916">
      <w:pPr>
        <w:pStyle w:val="NumberedParagraphCabStandard"/>
        <w:numPr>
          <w:ilvl w:val="1"/>
          <w:numId w:val="1"/>
        </w:numPr>
      </w:pPr>
      <w:r>
        <w:t xml:space="preserve">where </w:t>
      </w:r>
      <w:r w:rsidR="005E0916">
        <w:t xml:space="preserve">it </w:t>
      </w:r>
      <w:r w:rsidR="00E73307">
        <w:t>considered no further work would be necessary,</w:t>
      </w:r>
    </w:p>
    <w:p w14:paraId="1763027F" w14:textId="77777777" w:rsidR="005E0916" w:rsidRDefault="005E0916" w:rsidP="005E0916">
      <w:pPr>
        <w:pStyle w:val="NumberedParagraphCabStandard"/>
        <w:numPr>
          <w:ilvl w:val="1"/>
          <w:numId w:val="1"/>
        </w:numPr>
      </w:pPr>
      <w:r>
        <w:t xml:space="preserve">where </w:t>
      </w:r>
      <w:r w:rsidR="00E73307">
        <w:t>work was already underway,</w:t>
      </w:r>
    </w:p>
    <w:p w14:paraId="4C63808D" w14:textId="77777777" w:rsidR="005E0916" w:rsidRDefault="00A16730" w:rsidP="005E0916">
      <w:pPr>
        <w:pStyle w:val="NumberedParagraphCabStandard"/>
        <w:numPr>
          <w:ilvl w:val="1"/>
          <w:numId w:val="1"/>
        </w:numPr>
      </w:pPr>
      <w:r>
        <w:t>recommendations that</w:t>
      </w:r>
      <w:r w:rsidR="005E0916">
        <w:t xml:space="preserve"> should be </w:t>
      </w:r>
      <w:r w:rsidR="00E73307">
        <w:t xml:space="preserve">considered for </w:t>
      </w:r>
      <w:r w:rsidR="008E4B0D">
        <w:t xml:space="preserve">inclusion on </w:t>
      </w:r>
      <w:r w:rsidR="00E73307">
        <w:t xml:space="preserve">the </w:t>
      </w:r>
      <w:r w:rsidR="008E4B0D">
        <w:t>TPWP</w:t>
      </w:r>
      <w:r w:rsidR="00E73307">
        <w:t>, or</w:t>
      </w:r>
    </w:p>
    <w:p w14:paraId="204786D4" w14:textId="77777777" w:rsidR="005E0916" w:rsidRDefault="00A16730" w:rsidP="005E0916">
      <w:pPr>
        <w:pStyle w:val="NumberedParagraphCabStandard"/>
        <w:numPr>
          <w:ilvl w:val="1"/>
          <w:numId w:val="1"/>
        </w:numPr>
      </w:pPr>
      <w:r>
        <w:t>recommendations that should be</w:t>
      </w:r>
      <w:r w:rsidR="00E73307">
        <w:t xml:space="preserve"> </w:t>
      </w:r>
      <w:r>
        <w:t xml:space="preserve">considered as </w:t>
      </w:r>
      <w:r w:rsidR="00E73307">
        <w:t xml:space="preserve">high priority for </w:t>
      </w:r>
      <w:r w:rsidR="008E4B0D">
        <w:t xml:space="preserve">inclusion </w:t>
      </w:r>
      <w:r>
        <w:t>on</w:t>
      </w:r>
      <w:r w:rsidR="00E73307">
        <w:t xml:space="preserve"> the TPWP</w:t>
      </w:r>
      <w:r w:rsidR="008E4B0D">
        <w:t>.</w:t>
      </w:r>
      <w:r w:rsidR="008E4B0D">
        <w:rPr>
          <w:rStyle w:val="FootnoteReference"/>
        </w:rPr>
        <w:footnoteReference w:id="1"/>
      </w:r>
    </w:p>
    <w:p w14:paraId="03B452E7" w14:textId="77777777" w:rsidR="00E73307" w:rsidRDefault="008E4B0D" w:rsidP="007F1193">
      <w:pPr>
        <w:pStyle w:val="NumberedParagraphCabStandard"/>
        <w:keepNext/>
      </w:pPr>
      <w:r>
        <w:t>The recommendations considered as high priority included:</w:t>
      </w:r>
    </w:p>
    <w:p w14:paraId="37DD0B6F" w14:textId="77777777" w:rsidR="00E73307" w:rsidRDefault="00E73307" w:rsidP="007F1193">
      <w:pPr>
        <w:pStyle w:val="BulletedParagraph"/>
        <w:keepNext/>
        <w:numPr>
          <w:ilvl w:val="1"/>
          <w:numId w:val="1"/>
        </w:numPr>
      </w:pPr>
      <w:r>
        <w:t>Consider various land issues, including vacant land and land banking</w:t>
      </w:r>
      <w:r w:rsidR="008E4B0D">
        <w:t>;</w:t>
      </w:r>
    </w:p>
    <w:p w14:paraId="360C7EE9" w14:textId="77777777" w:rsidR="00E73307" w:rsidRDefault="00E73307" w:rsidP="007F1193">
      <w:pPr>
        <w:pStyle w:val="BulletedParagraph"/>
        <w:numPr>
          <w:ilvl w:val="1"/>
          <w:numId w:val="1"/>
        </w:numPr>
      </w:pPr>
      <w:r>
        <w:t>Consider a regime that encourages investment into nationally-significant infrastructure;</w:t>
      </w:r>
    </w:p>
    <w:p w14:paraId="186D8577" w14:textId="77777777" w:rsidR="00E73307" w:rsidRDefault="00E73307" w:rsidP="007F1193">
      <w:pPr>
        <w:pStyle w:val="BulletedParagraph"/>
        <w:numPr>
          <w:ilvl w:val="1"/>
          <w:numId w:val="1"/>
        </w:numPr>
      </w:pPr>
      <w:r>
        <w:t>Measures to improve collection and encourage compliance;</w:t>
      </w:r>
    </w:p>
    <w:p w14:paraId="3CA5F162" w14:textId="77777777" w:rsidR="00E73307" w:rsidRDefault="00E73307" w:rsidP="007F1193">
      <w:pPr>
        <w:pStyle w:val="BulletedParagraph"/>
        <w:numPr>
          <w:ilvl w:val="1"/>
          <w:numId w:val="1"/>
        </w:numPr>
      </w:pPr>
      <w:r>
        <w:t>Consider the tax treatment of building seismic strengthening;</w:t>
      </w:r>
    </w:p>
    <w:p w14:paraId="452A1D8F" w14:textId="77777777" w:rsidR="00E73307" w:rsidRDefault="00E73307" w:rsidP="007F1193">
      <w:pPr>
        <w:pStyle w:val="BulletedParagraph"/>
        <w:numPr>
          <w:ilvl w:val="1"/>
          <w:numId w:val="1"/>
        </w:numPr>
      </w:pPr>
      <w:r>
        <w:t>Review of loss trading and loss continuity rules; and</w:t>
      </w:r>
    </w:p>
    <w:p w14:paraId="7BBCD26F" w14:textId="77777777" w:rsidR="00E73307" w:rsidRDefault="00E73307" w:rsidP="007F1193">
      <w:pPr>
        <w:pStyle w:val="BulletedParagraph"/>
        <w:numPr>
          <w:ilvl w:val="1"/>
          <w:numId w:val="1"/>
        </w:numPr>
      </w:pPr>
      <w:r>
        <w:t>Consider closely-held company issues</w:t>
      </w:r>
      <w:r w:rsidR="0096223D">
        <w:t>.</w:t>
      </w:r>
    </w:p>
    <w:p w14:paraId="15E1E436" w14:textId="77777777" w:rsidR="00BF54C3" w:rsidRDefault="00BF54C3" w:rsidP="00BF54C3">
      <w:pPr>
        <w:pStyle w:val="NumberedParagraphCabStandard"/>
        <w:keepNext/>
      </w:pPr>
      <w:r>
        <w:t xml:space="preserve">All of these high priority recommendations have been included </w:t>
      </w:r>
      <w:r w:rsidR="00A16730">
        <w:t>on the</w:t>
      </w:r>
      <w:r>
        <w:t xml:space="preserve"> refreshed TPWP.</w:t>
      </w:r>
    </w:p>
    <w:p w14:paraId="15FCB713" w14:textId="77777777" w:rsidR="00F31B14" w:rsidRDefault="00F31B14" w:rsidP="00F31B14">
      <w:pPr>
        <w:pStyle w:val="Heading1"/>
      </w:pPr>
      <w:r>
        <w:t>Comment</w:t>
      </w:r>
    </w:p>
    <w:p w14:paraId="1B080402" w14:textId="77777777" w:rsidR="009B41BB" w:rsidRDefault="009A48BD" w:rsidP="009B41BB">
      <w:pPr>
        <w:pStyle w:val="NumberedParagraphCabStandard"/>
      </w:pPr>
      <w:r>
        <w:t>The items of work that have been included on the refreshed TPWP have been drawn from the Government’s response to the recommendations of the TWG</w:t>
      </w:r>
      <w:r w:rsidR="009B41BB">
        <w:t>,</w:t>
      </w:r>
      <w:r w:rsidR="009B41BB" w:rsidRPr="009B41BB">
        <w:t xml:space="preserve"> </w:t>
      </w:r>
      <w:r w:rsidR="009B41BB">
        <w:t>together with Government priorities, existing items on the current TPWP, and emerging issues.</w:t>
      </w:r>
      <w:r w:rsidR="009B41BB" w:rsidRPr="009B41BB">
        <w:t xml:space="preserve"> </w:t>
      </w:r>
    </w:p>
    <w:p w14:paraId="1D8E8BBB" w14:textId="77777777" w:rsidR="008E4B0D" w:rsidRDefault="00814953" w:rsidP="006D1D8D">
      <w:pPr>
        <w:pStyle w:val="NumberedParagraphCabStandard"/>
        <w:keepNext/>
      </w:pPr>
      <w:r>
        <w:t>S</w:t>
      </w:r>
      <w:r w:rsidR="009B41BB">
        <w:t xml:space="preserve">pecific items included on the refreshed TPWP have been arranged around </w:t>
      </w:r>
      <w:r w:rsidR="00530E2A">
        <w:t>workstreams</w:t>
      </w:r>
      <w:r w:rsidR="00F365EB">
        <w:t>. T</w:t>
      </w:r>
      <w:r w:rsidR="001E4F43">
        <w:t xml:space="preserve">hese </w:t>
      </w:r>
      <w:r w:rsidR="00530E2A">
        <w:t>workstreams</w:t>
      </w:r>
      <w:r w:rsidR="001E4F43">
        <w:t xml:space="preserve"> seek to support the Government’s wider social, economic and fiscal objectives</w:t>
      </w:r>
      <w:r w:rsidR="00195E0B">
        <w:t>.</w:t>
      </w:r>
    </w:p>
    <w:p w14:paraId="009357F5" w14:textId="77777777" w:rsidR="00162366" w:rsidRDefault="00162366" w:rsidP="00162366">
      <w:pPr>
        <w:pStyle w:val="Heading2"/>
      </w:pPr>
      <w:r>
        <w:t>Details of the refreshed TPWP for 2019-20</w:t>
      </w:r>
    </w:p>
    <w:p w14:paraId="2FA20F5F" w14:textId="1D39FB2E" w:rsidR="00B43B07" w:rsidRDefault="00162366" w:rsidP="00162366">
      <w:pPr>
        <w:pStyle w:val="NumberedParagraphCabStandard"/>
      </w:pPr>
      <w:r>
        <w:t>The attach</w:t>
      </w:r>
      <w:r w:rsidR="005E1C25">
        <w:t>ments</w:t>
      </w:r>
      <w:r>
        <w:t xml:space="preserve"> to this paper </w:t>
      </w:r>
      <w:r w:rsidR="00FF1E16">
        <w:t>provide</w:t>
      </w:r>
      <w:r>
        <w:t xml:space="preserve"> an overall picture of the proposed TPWP for 2019-20. </w:t>
      </w:r>
    </w:p>
    <w:p w14:paraId="5465CF21" w14:textId="77777777" w:rsidR="00B43B07" w:rsidRDefault="00B43B07">
      <w:pPr>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42"/>
      </w:tblGrid>
      <w:tr w:rsidR="0014203A" w14:paraId="1000CCA6" w14:textId="77777777" w:rsidTr="0014203A">
        <w:trPr>
          <w:trHeight w:val="13740"/>
        </w:trPr>
        <w:tc>
          <w:tcPr>
            <w:tcW w:w="9742" w:type="dxa"/>
            <w:shd w:val="clear" w:color="auto" w:fill="D9D9D9" w:themeFill="background1" w:themeFillShade="D9"/>
          </w:tcPr>
          <w:p w14:paraId="5CE9CA3F" w14:textId="1E278D08" w:rsidR="0014203A" w:rsidRPr="00E7492A" w:rsidRDefault="0014203A" w:rsidP="0014203A">
            <w:pPr>
              <w:rPr>
                <w:sz w:val="20"/>
                <w:szCs w:val="20"/>
              </w:rPr>
            </w:pPr>
            <w:r w:rsidRPr="00E7492A">
              <w:rPr>
                <w:sz w:val="20"/>
                <w:szCs w:val="20"/>
              </w:rPr>
              <w:lastRenderedPageBreak/>
              <w:t>s 9(2)(f)(iv)</w:t>
            </w:r>
          </w:p>
        </w:tc>
      </w:tr>
      <w:tr w:rsidR="0014203A" w14:paraId="4D736E16" w14:textId="77777777" w:rsidTr="006F1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32"/>
        </w:trPr>
        <w:tc>
          <w:tcPr>
            <w:tcW w:w="9742" w:type="dxa"/>
            <w:tcBorders>
              <w:top w:val="nil"/>
              <w:left w:val="nil"/>
              <w:bottom w:val="nil"/>
              <w:right w:val="nil"/>
            </w:tcBorders>
            <w:shd w:val="clear" w:color="auto" w:fill="D9D9D9" w:themeFill="background1" w:themeFillShade="D9"/>
          </w:tcPr>
          <w:p w14:paraId="216F7F4D" w14:textId="166B20C4" w:rsidR="0014203A" w:rsidRPr="00E7492A" w:rsidRDefault="0014203A" w:rsidP="0014203A">
            <w:pPr>
              <w:rPr>
                <w:sz w:val="20"/>
                <w:szCs w:val="20"/>
              </w:rPr>
            </w:pPr>
            <w:r w:rsidRPr="00E7492A">
              <w:rPr>
                <w:sz w:val="20"/>
                <w:szCs w:val="20"/>
              </w:rPr>
              <w:lastRenderedPageBreak/>
              <w:t>s 9(2)(f)(iv)</w:t>
            </w:r>
          </w:p>
        </w:tc>
      </w:tr>
    </w:tbl>
    <w:p w14:paraId="726D6B17" w14:textId="6AB240EC" w:rsidR="0014203A" w:rsidRDefault="0014203A" w:rsidP="006F18D5">
      <w:pPr>
        <w:spacing w:after="0"/>
      </w:pPr>
    </w:p>
    <w:p w14:paraId="7E20582F" w14:textId="0780C6C7" w:rsidR="00FF1E16" w:rsidRDefault="00FF1E16" w:rsidP="00FF1E16">
      <w:pPr>
        <w:pStyle w:val="Heading3"/>
      </w:pPr>
      <w:r w:rsidRPr="00602326">
        <w:t>Attachment 3 – Details of the refreshed TPWP</w:t>
      </w:r>
    </w:p>
    <w:p w14:paraId="39E3F2CB" w14:textId="77777777" w:rsidR="00F843B8" w:rsidRDefault="00FF1E16" w:rsidP="000205D9">
      <w:pPr>
        <w:pStyle w:val="NumberedParagraphCabStandard"/>
        <w:numPr>
          <w:ilvl w:val="0"/>
          <w:numId w:val="53"/>
        </w:numPr>
      </w:pPr>
      <w:r w:rsidRPr="00602326">
        <w:t xml:space="preserve">This attachment provides detailed descriptions of the </w:t>
      </w:r>
      <w:r w:rsidR="00530E2A">
        <w:t xml:space="preserve">workstreams </w:t>
      </w:r>
      <w:r w:rsidRPr="00602326">
        <w:t xml:space="preserve">which </w:t>
      </w:r>
      <w:r w:rsidR="00D301A1">
        <w:t>will</w:t>
      </w:r>
      <w:r w:rsidRPr="00602326">
        <w:t xml:space="preserve"> be progressed on the next TPWP, including the key deliverables and timings for each </w:t>
      </w:r>
      <w:r w:rsidR="00530E2A">
        <w:t>proposed workstream</w:t>
      </w:r>
      <w:r w:rsidRPr="00602326">
        <w:t>.</w:t>
      </w:r>
      <w:r w:rsidR="00D301A1">
        <w:t xml:space="preserve">  </w:t>
      </w:r>
    </w:p>
    <w:p w14:paraId="78E628FD" w14:textId="77777777" w:rsidR="00195E0B" w:rsidRDefault="00FF1E16" w:rsidP="007E3E93">
      <w:pPr>
        <w:pStyle w:val="NumberedParagraphCabStandard"/>
      </w:pPr>
      <w:r w:rsidRPr="00D97DBA">
        <w:t>Instead</w:t>
      </w:r>
      <w:r>
        <w:t xml:space="preserve"> of providing a list of</w:t>
      </w:r>
      <w:r w:rsidR="00D301A1">
        <w:t xml:space="preserve"> specific</w:t>
      </w:r>
      <w:r>
        <w:t xml:space="preserve"> policy projects which will </w:t>
      </w:r>
      <w:r w:rsidR="00DB2CAE">
        <w:t xml:space="preserve">be </w:t>
      </w:r>
      <w:r>
        <w:t>progressed</w:t>
      </w:r>
      <w:r w:rsidR="00F843B8">
        <w:t xml:space="preserve"> on the next TPWP</w:t>
      </w:r>
      <w:r>
        <w:t>,</w:t>
      </w:r>
      <w:r w:rsidRPr="00D97DBA">
        <w:t xml:space="preserve"> </w:t>
      </w:r>
      <w:r>
        <w:t>the</w:t>
      </w:r>
      <w:r w:rsidRPr="00D97DBA">
        <w:t xml:space="preserve"> focus is on outlining why </w:t>
      </w:r>
      <w:r>
        <w:t>certain areas of work are being progressed</w:t>
      </w:r>
      <w:r w:rsidR="00F843B8">
        <w:t xml:space="preserve">.  </w:t>
      </w:r>
      <w:r w:rsidRPr="00D97DBA">
        <w:t>This</w:t>
      </w:r>
      <w:r w:rsidR="00DB2CAE">
        <w:t xml:space="preserve"> broad</w:t>
      </w:r>
      <w:r w:rsidRPr="00D97DBA">
        <w:t xml:space="preserve"> approach </w:t>
      </w:r>
      <w:r>
        <w:t>allows,</w:t>
      </w:r>
      <w:r w:rsidRPr="00D97DBA">
        <w:t xml:space="preserve"> where appro</w:t>
      </w:r>
      <w:r>
        <w:t>pr</w:t>
      </w:r>
      <w:r w:rsidRPr="00D97DBA">
        <w:t>iate, engage</w:t>
      </w:r>
      <w:r>
        <w:t>ment</w:t>
      </w:r>
      <w:r w:rsidRPr="00D97DBA">
        <w:t xml:space="preserve"> with stakeholders during the policy development process to refine the specific items or initiatives that could be considered under each </w:t>
      </w:r>
      <w:r w:rsidR="00530E2A">
        <w:t>workstream</w:t>
      </w:r>
      <w:r w:rsidRPr="00D97DBA">
        <w:t>.</w:t>
      </w:r>
      <w:r w:rsidR="00F843B8">
        <w:t xml:space="preserve">  This is important given the </w:t>
      </w:r>
      <w:r w:rsidR="00E05769">
        <w:t xml:space="preserve">number </w:t>
      </w:r>
      <w:r w:rsidR="00DB2CAE">
        <w:t xml:space="preserve">of items which </w:t>
      </w:r>
      <w:r w:rsidR="00DB2CAE">
        <w:lastRenderedPageBreak/>
        <w:t xml:space="preserve">could be considered under each </w:t>
      </w:r>
      <w:r w:rsidR="00530E2A">
        <w:t>workstream</w:t>
      </w:r>
      <w:r w:rsidR="00DB2CAE">
        <w:t xml:space="preserve">, and the </w:t>
      </w:r>
      <w:r w:rsidR="00F843B8">
        <w:t>need to manage expectations around the ability to deliver some of the</w:t>
      </w:r>
      <w:r w:rsidR="00DB2CAE">
        <w:t>se</w:t>
      </w:r>
      <w:r w:rsidR="00F843B8">
        <w:t xml:space="preserve"> items </w:t>
      </w:r>
      <w:r w:rsidR="00DB2CAE">
        <w:t>over the next 18 months.</w:t>
      </w:r>
    </w:p>
    <w:p w14:paraId="30BF6A8C" w14:textId="77777777" w:rsidR="007E3E93" w:rsidRDefault="00195E0B" w:rsidP="007E3E93">
      <w:pPr>
        <w:pStyle w:val="NumberedParagraphCabStandard"/>
      </w:pPr>
      <w:r>
        <w:t xml:space="preserve">Below is a summary of the </w:t>
      </w:r>
      <w:r w:rsidR="00530E2A">
        <w:t>workstreams on the TPWP</w:t>
      </w:r>
      <w:r>
        <w:t>.</w:t>
      </w:r>
      <w:r w:rsidR="00DB2CAE">
        <w:t xml:space="preserve">  </w:t>
      </w:r>
    </w:p>
    <w:tbl>
      <w:tblPr>
        <w:tblStyle w:val="TableGrid"/>
        <w:tblW w:w="9786" w:type="dxa"/>
        <w:tblInd w:w="-5" w:type="dxa"/>
        <w:tblLook w:val="04A0" w:firstRow="1" w:lastRow="0" w:firstColumn="1" w:lastColumn="0" w:noHBand="0" w:noVBand="1"/>
      </w:tblPr>
      <w:tblGrid>
        <w:gridCol w:w="1977"/>
        <w:gridCol w:w="7809"/>
      </w:tblGrid>
      <w:tr w:rsidR="007E3E93" w14:paraId="54694D78" w14:textId="77777777" w:rsidTr="006D1D8D">
        <w:tc>
          <w:tcPr>
            <w:tcW w:w="1843" w:type="dxa"/>
            <w:shd w:val="clear" w:color="auto" w:fill="EEECE1" w:themeFill="background2"/>
            <w:vAlign w:val="center"/>
          </w:tcPr>
          <w:p w14:paraId="3A67416B" w14:textId="77777777" w:rsidR="007E3E93" w:rsidRPr="007F1193" w:rsidRDefault="00530E2A" w:rsidP="006D1D8D">
            <w:pPr>
              <w:pStyle w:val="NumberedParagraphCabStandard"/>
              <w:keepNext/>
              <w:numPr>
                <w:ilvl w:val="0"/>
                <w:numId w:val="0"/>
              </w:numPr>
              <w:spacing w:before="120" w:after="120"/>
              <w:rPr>
                <w:b/>
              </w:rPr>
            </w:pPr>
            <w:r>
              <w:rPr>
                <w:b/>
              </w:rPr>
              <w:t>Workstream</w:t>
            </w:r>
          </w:p>
        </w:tc>
        <w:tc>
          <w:tcPr>
            <w:tcW w:w="7943" w:type="dxa"/>
            <w:shd w:val="clear" w:color="auto" w:fill="EEECE1" w:themeFill="background2"/>
            <w:vAlign w:val="center"/>
          </w:tcPr>
          <w:p w14:paraId="2645876E" w14:textId="77777777" w:rsidR="007E3E93" w:rsidRPr="006D1D8D" w:rsidRDefault="007E3E93" w:rsidP="006D1D8D">
            <w:pPr>
              <w:pStyle w:val="NumberedParagraphCabStandard"/>
              <w:keepNext/>
              <w:numPr>
                <w:ilvl w:val="0"/>
                <w:numId w:val="0"/>
              </w:numPr>
              <w:spacing w:before="120" w:after="120"/>
              <w:rPr>
                <w:b/>
              </w:rPr>
            </w:pPr>
            <w:r w:rsidRPr="006D1D8D">
              <w:rPr>
                <w:b/>
              </w:rPr>
              <w:t xml:space="preserve">Description </w:t>
            </w:r>
          </w:p>
        </w:tc>
      </w:tr>
      <w:tr w:rsidR="0052171D" w14:paraId="4747BECA" w14:textId="77777777" w:rsidTr="006D1D8D">
        <w:tc>
          <w:tcPr>
            <w:tcW w:w="1843" w:type="dxa"/>
          </w:tcPr>
          <w:p w14:paraId="66CDCB82" w14:textId="77777777" w:rsidR="0052171D" w:rsidRDefault="0052171D" w:rsidP="006D1D8D">
            <w:pPr>
              <w:pStyle w:val="NumberedParagraphCabStandard"/>
              <w:numPr>
                <w:ilvl w:val="0"/>
                <w:numId w:val="0"/>
              </w:numPr>
              <w:spacing w:before="120" w:after="120"/>
            </w:pPr>
            <w:r w:rsidRPr="007F1193">
              <w:rPr>
                <w:b/>
              </w:rPr>
              <w:t>Land</w:t>
            </w:r>
          </w:p>
        </w:tc>
        <w:tc>
          <w:tcPr>
            <w:tcW w:w="7943" w:type="dxa"/>
          </w:tcPr>
          <w:p w14:paraId="00052F0B" w14:textId="77777777" w:rsidR="007E3E93" w:rsidRDefault="0052171D" w:rsidP="006D1D8D">
            <w:pPr>
              <w:pStyle w:val="NumberedParagraphCabStandard"/>
              <w:numPr>
                <w:ilvl w:val="0"/>
                <w:numId w:val="0"/>
              </w:numPr>
              <w:spacing w:before="120" w:after="120"/>
            </w:pPr>
            <w:r>
              <w:t>The current land rules will be reviewed, particularly in relation to investment property and speculators, land banking, and vacant land.  The objective would be to recommend ways to improve the efficient use of land, and ensure that the current tax settings are fair, balanced, and encourage and support productive investment.  The review will also look at whether Inland Revenue can do anything more around enforcement of the current rules.</w:t>
            </w:r>
          </w:p>
          <w:p w14:paraId="61EA734A" w14:textId="77777777" w:rsidR="00C329F7" w:rsidRDefault="0052171D" w:rsidP="003B1D22">
            <w:pPr>
              <w:pStyle w:val="NumberedParagraphCabStandard"/>
              <w:numPr>
                <w:ilvl w:val="0"/>
                <w:numId w:val="0"/>
              </w:numPr>
              <w:spacing w:before="120" w:after="120"/>
            </w:pPr>
            <w:r>
              <w:t>It is unlikely that any significant reforms relating to vacant land and property would be feasible in the short term. However, in the short-term the Government could consider a number of measures aimed at improving the fairness and balance of the tax rules for land.</w:t>
            </w:r>
          </w:p>
          <w:p w14:paraId="7A55C3DC" w14:textId="77777777" w:rsidR="0052171D" w:rsidRDefault="007E3E93" w:rsidP="006D1D8D">
            <w:pPr>
              <w:pStyle w:val="NumberedParagraphCabStandard"/>
              <w:numPr>
                <w:ilvl w:val="0"/>
                <w:numId w:val="0"/>
              </w:numPr>
              <w:spacing w:before="120" w:after="120"/>
            </w:pPr>
            <w:r>
              <w:t>The longer-term work will include work being carried out across Government</w:t>
            </w:r>
            <w:r w:rsidR="006D1D8D">
              <w:t>;</w:t>
            </w:r>
            <w:r>
              <w:t xml:space="preserve"> for example</w:t>
            </w:r>
            <w:r w:rsidR="00C329F7">
              <w:t>, the</w:t>
            </w:r>
            <w:r>
              <w:t xml:space="preserve"> Productivity Commission </w:t>
            </w:r>
            <w:r w:rsidR="00AC7764">
              <w:t xml:space="preserve">is </w:t>
            </w:r>
            <w:r w:rsidR="00C329F7">
              <w:t>review</w:t>
            </w:r>
            <w:r w:rsidR="00AC7764">
              <w:t xml:space="preserve">ing </w:t>
            </w:r>
            <w:r w:rsidR="00C329F7">
              <w:t>local government body financing</w:t>
            </w:r>
            <w:r w:rsidR="00AC7764">
              <w:t xml:space="preserve"> and will</w:t>
            </w:r>
            <w:r w:rsidR="00C329F7">
              <w:t xml:space="preserve"> consider </w:t>
            </w:r>
            <w:r w:rsidR="00AC7764">
              <w:t>the</w:t>
            </w:r>
            <w:r>
              <w:t xml:space="preserve"> use of vacant land and property taxes to discourage land banking. This work will</w:t>
            </w:r>
            <w:r w:rsidR="00AC7764">
              <w:t xml:space="preserve"> also</w:t>
            </w:r>
            <w:r>
              <w:t xml:space="preserve"> consider the impact on housing affordability and availability.</w:t>
            </w:r>
          </w:p>
        </w:tc>
      </w:tr>
      <w:tr w:rsidR="0052171D" w14:paraId="470B048C" w14:textId="77777777" w:rsidTr="006D1D8D">
        <w:tc>
          <w:tcPr>
            <w:tcW w:w="1843" w:type="dxa"/>
          </w:tcPr>
          <w:p w14:paraId="266F2C91" w14:textId="77777777" w:rsidR="0052171D" w:rsidRDefault="0052171D" w:rsidP="006D1D8D">
            <w:pPr>
              <w:pStyle w:val="BulletedParagraph"/>
              <w:numPr>
                <w:ilvl w:val="0"/>
                <w:numId w:val="0"/>
              </w:numPr>
              <w:spacing w:before="120" w:after="120"/>
            </w:pPr>
            <w:r w:rsidRPr="007F1193">
              <w:rPr>
                <w:b/>
              </w:rPr>
              <w:t>Business</w:t>
            </w:r>
          </w:p>
        </w:tc>
        <w:tc>
          <w:tcPr>
            <w:tcW w:w="7943" w:type="dxa"/>
          </w:tcPr>
          <w:p w14:paraId="120D80B5" w14:textId="77777777" w:rsidR="00CC73A3" w:rsidRDefault="0052171D" w:rsidP="006D1D8D">
            <w:pPr>
              <w:pStyle w:val="NumberedParagraphCabStandard"/>
              <w:keepNext/>
              <w:numPr>
                <w:ilvl w:val="0"/>
                <w:numId w:val="0"/>
              </w:numPr>
              <w:spacing w:before="120" w:after="120"/>
            </w:pPr>
            <w:r>
              <w:t xml:space="preserve">The TWG has recommended that the </w:t>
            </w:r>
            <w:r w:rsidR="007E3E93">
              <w:t>G</w:t>
            </w:r>
            <w:r>
              <w:t xml:space="preserve">overnment consider a number of </w:t>
            </w:r>
            <w:r w:rsidR="007E3E93">
              <w:t xml:space="preserve">business </w:t>
            </w:r>
            <w:r>
              <w:t xml:space="preserve">reforms which would improve productivity and efficiency. </w:t>
            </w:r>
            <w:r w:rsidR="00CC73A3">
              <w:t xml:space="preserve">This </w:t>
            </w:r>
            <w:r w:rsidR="00530E2A">
              <w:t>workstream</w:t>
            </w:r>
            <w:r w:rsidR="00CC73A3">
              <w:t xml:space="preserve"> will focus on:</w:t>
            </w:r>
          </w:p>
          <w:p w14:paraId="2B0F64EA" w14:textId="77777777" w:rsidR="00CC73A3" w:rsidRDefault="00CC73A3" w:rsidP="006D1D8D">
            <w:pPr>
              <w:pStyle w:val="NumberedParagraphCabStandard"/>
              <w:keepNext/>
              <w:numPr>
                <w:ilvl w:val="0"/>
                <w:numId w:val="51"/>
              </w:numPr>
              <w:spacing w:before="120" w:after="120"/>
            </w:pPr>
            <w:r>
              <w:t>Increasing integrity, fairness and the neutrality of the system;</w:t>
            </w:r>
          </w:p>
          <w:p w14:paraId="089F3197" w14:textId="77777777" w:rsidR="00CC73A3" w:rsidRDefault="00CC73A3" w:rsidP="006D1D8D">
            <w:pPr>
              <w:pStyle w:val="NumberedParagraphCabStandard"/>
              <w:keepNext/>
              <w:numPr>
                <w:ilvl w:val="0"/>
                <w:numId w:val="51"/>
              </w:numPr>
              <w:spacing w:before="120" w:after="120"/>
            </w:pPr>
            <w:r>
              <w:t>Lifting the economic performance of all businesses, especially smaller firms; and</w:t>
            </w:r>
          </w:p>
          <w:p w14:paraId="5E3E1365" w14:textId="77777777" w:rsidR="00CC73A3" w:rsidRDefault="00CC73A3" w:rsidP="006D1D8D">
            <w:pPr>
              <w:pStyle w:val="NumberedParagraphCabStandard"/>
              <w:keepNext/>
              <w:numPr>
                <w:ilvl w:val="0"/>
                <w:numId w:val="51"/>
              </w:numPr>
              <w:spacing w:before="120" w:after="120"/>
            </w:pPr>
            <w:r>
              <w:t>Minimising compliance cost for businesses.</w:t>
            </w:r>
          </w:p>
          <w:p w14:paraId="0E7AE39C" w14:textId="77777777" w:rsidR="007E3E93" w:rsidRDefault="00CC73A3" w:rsidP="00C329F7">
            <w:pPr>
              <w:pStyle w:val="NumberedParagraphCabStandard"/>
              <w:keepNext/>
              <w:numPr>
                <w:ilvl w:val="0"/>
                <w:numId w:val="0"/>
              </w:numPr>
              <w:spacing w:before="120" w:after="120"/>
            </w:pPr>
            <w:r>
              <w:t>S</w:t>
            </w:r>
            <w:r w:rsidR="0052171D">
              <w:t xml:space="preserve">ome of the items proposed </w:t>
            </w:r>
            <w:r>
              <w:t xml:space="preserve">in the business </w:t>
            </w:r>
            <w:r w:rsidR="00530E2A">
              <w:t xml:space="preserve">workstream </w:t>
            </w:r>
            <w:r w:rsidR="0052171D">
              <w:t>(such as the treatment of innovative spending) have been on the TPWP for some time but have not been progressed due to other priorities</w:t>
            </w:r>
            <w:r w:rsidR="007E3E93">
              <w:t>.</w:t>
            </w:r>
          </w:p>
          <w:p w14:paraId="1B7A89F4" w14:textId="77777777" w:rsidR="0052171D" w:rsidRDefault="007E3E93" w:rsidP="006D1D8D">
            <w:pPr>
              <w:pStyle w:val="NumberedParagraphCabStandard"/>
              <w:keepNext/>
              <w:numPr>
                <w:ilvl w:val="0"/>
                <w:numId w:val="0"/>
              </w:numPr>
              <w:spacing w:before="120" w:after="120"/>
            </w:pPr>
            <w:r>
              <w:t>It will be important that stakeholders are aware during the policy development process that decisions on whether certain items of work are ultimately progressed will likely involve trade-offs, such as fiscal costs (including the Government’s overall fiscal strategy) and other Government priorities.</w:t>
            </w:r>
          </w:p>
        </w:tc>
      </w:tr>
      <w:tr w:rsidR="0052171D" w14:paraId="7B0EBCD0" w14:textId="77777777" w:rsidTr="006D1D8D">
        <w:tc>
          <w:tcPr>
            <w:tcW w:w="1843" w:type="dxa"/>
          </w:tcPr>
          <w:p w14:paraId="0CBA3D76" w14:textId="77777777" w:rsidR="0052171D" w:rsidRPr="007F1193" w:rsidRDefault="0052171D" w:rsidP="006D1D8D">
            <w:pPr>
              <w:pStyle w:val="BulletedParagraph"/>
              <w:numPr>
                <w:ilvl w:val="0"/>
                <w:numId w:val="0"/>
              </w:numPr>
              <w:spacing w:before="120" w:after="120"/>
            </w:pPr>
            <w:r w:rsidRPr="007F1193">
              <w:rPr>
                <w:b/>
              </w:rPr>
              <w:t>Infrastructure</w:t>
            </w:r>
          </w:p>
        </w:tc>
        <w:tc>
          <w:tcPr>
            <w:tcW w:w="7943" w:type="dxa"/>
          </w:tcPr>
          <w:p w14:paraId="5FD4A019" w14:textId="77777777" w:rsidR="0052171D" w:rsidRDefault="0052171D" w:rsidP="006D1D8D">
            <w:pPr>
              <w:pStyle w:val="NumberedParagraphCabStandard"/>
              <w:numPr>
                <w:ilvl w:val="0"/>
                <w:numId w:val="0"/>
              </w:numPr>
              <w:spacing w:before="120" w:after="120"/>
            </w:pPr>
            <w:r w:rsidRPr="0052171D">
              <w:t>The T</w:t>
            </w:r>
            <w:r w:rsidR="00217567">
              <w:t>WG</w:t>
            </w:r>
            <w:r w:rsidRPr="0052171D">
              <w:t xml:space="preserve"> recommended the Government consider the development of a regime to encourage investment into large, nationally significant infrastructure projects. </w:t>
            </w:r>
            <w:r>
              <w:t xml:space="preserve">This </w:t>
            </w:r>
            <w:r w:rsidR="00530E2A">
              <w:t>workstream</w:t>
            </w:r>
            <w:r>
              <w:t xml:space="preserve"> will consider the optimal tax settings for ensuring efficient infrastructure investment.</w:t>
            </w:r>
          </w:p>
        </w:tc>
      </w:tr>
      <w:tr w:rsidR="0052171D" w14:paraId="63F94291" w14:textId="77777777" w:rsidTr="006D1D8D">
        <w:tc>
          <w:tcPr>
            <w:tcW w:w="1843" w:type="dxa"/>
          </w:tcPr>
          <w:p w14:paraId="7F6E80AE" w14:textId="77777777" w:rsidR="0052171D" w:rsidRPr="006869F8" w:rsidRDefault="0052171D" w:rsidP="006D1D8D">
            <w:pPr>
              <w:pStyle w:val="BulletedParagraph"/>
              <w:numPr>
                <w:ilvl w:val="0"/>
                <w:numId w:val="0"/>
              </w:numPr>
              <w:spacing w:before="120" w:after="120"/>
              <w:rPr>
                <w:b/>
              </w:rPr>
            </w:pPr>
            <w:r w:rsidRPr="007F1193">
              <w:rPr>
                <w:b/>
              </w:rPr>
              <w:lastRenderedPageBreak/>
              <w:t>Information collection and use</w:t>
            </w:r>
          </w:p>
        </w:tc>
        <w:tc>
          <w:tcPr>
            <w:tcW w:w="7943" w:type="dxa"/>
          </w:tcPr>
          <w:p w14:paraId="4D4B7CA2" w14:textId="77777777" w:rsidR="0052171D" w:rsidRDefault="00CC73A3" w:rsidP="006D1D8D">
            <w:pPr>
              <w:pStyle w:val="NumberedParagraphCabStandard"/>
              <w:numPr>
                <w:ilvl w:val="0"/>
                <w:numId w:val="0"/>
              </w:numPr>
              <w:spacing w:before="120" w:after="120"/>
            </w:pPr>
            <w:r>
              <w:t xml:space="preserve">This </w:t>
            </w:r>
            <w:r w:rsidR="00530E2A">
              <w:t xml:space="preserve">workstream </w:t>
            </w:r>
            <w:r>
              <w:t xml:space="preserve">focuses on </w:t>
            </w:r>
            <w:r w:rsidR="0052171D">
              <w:t>improv</w:t>
            </w:r>
            <w:r>
              <w:t>ing</w:t>
            </w:r>
            <w:r w:rsidR="0052171D">
              <w:t xml:space="preserve"> the quality and frequency of information Inland Revenue collects to help </w:t>
            </w:r>
            <w:r w:rsidR="0052171D" w:rsidRPr="00CF6A4B">
              <w:t>minimise compliance and administration costs</w:t>
            </w:r>
            <w:r w:rsidR="0052171D">
              <w:t xml:space="preserve"> and contribute to wider policy objectives</w:t>
            </w:r>
            <w:r>
              <w:t>.</w:t>
            </w:r>
          </w:p>
        </w:tc>
      </w:tr>
      <w:tr w:rsidR="0052171D" w14:paraId="15D589D2" w14:textId="77777777" w:rsidTr="006D1D8D">
        <w:tc>
          <w:tcPr>
            <w:tcW w:w="1843" w:type="dxa"/>
          </w:tcPr>
          <w:p w14:paraId="6C7BAE35" w14:textId="77777777" w:rsidR="0052171D" w:rsidRPr="007F1193" w:rsidRDefault="0052171D" w:rsidP="006D1D8D">
            <w:pPr>
              <w:pStyle w:val="BulletedParagraph"/>
              <w:numPr>
                <w:ilvl w:val="0"/>
                <w:numId w:val="0"/>
              </w:numPr>
              <w:spacing w:before="120" w:after="120"/>
            </w:pPr>
            <w:r w:rsidRPr="007F1193">
              <w:rPr>
                <w:b/>
              </w:rPr>
              <w:t>Business Transformation</w:t>
            </w:r>
            <w:r w:rsidR="00DA7E37">
              <w:rPr>
                <w:b/>
              </w:rPr>
              <w:t xml:space="preserve"> (BT)</w:t>
            </w:r>
            <w:r>
              <w:t xml:space="preserve"> </w:t>
            </w:r>
          </w:p>
        </w:tc>
        <w:tc>
          <w:tcPr>
            <w:tcW w:w="7943" w:type="dxa"/>
          </w:tcPr>
          <w:p w14:paraId="5FD718EB" w14:textId="77777777" w:rsidR="00CC73A3" w:rsidRDefault="00CC73A3" w:rsidP="006D1D8D">
            <w:pPr>
              <w:pStyle w:val="NumberedParagraphCabStandard"/>
              <w:numPr>
                <w:ilvl w:val="0"/>
                <w:numId w:val="0"/>
              </w:numPr>
              <w:spacing w:before="120" w:after="120"/>
              <w:ind w:left="43"/>
            </w:pPr>
            <w:r>
              <w:t xml:space="preserve">This </w:t>
            </w:r>
            <w:r w:rsidR="00530E2A">
              <w:t xml:space="preserve">workstream </w:t>
            </w:r>
            <w:r>
              <w:t>will seek to continue to support Inland Revenue’s BT programme.  Over the next 18 months, Inland Revenue will implement release 4 of its BT programme (Student Loans and KiwiSaver) and commence design on release 5 (Child Support).</w:t>
            </w:r>
          </w:p>
          <w:p w14:paraId="59E3DE57" w14:textId="77777777" w:rsidR="0052171D" w:rsidRDefault="00DA7E37" w:rsidP="006D1D8D">
            <w:pPr>
              <w:pStyle w:val="NumberedParagraphCabStandard"/>
              <w:numPr>
                <w:ilvl w:val="0"/>
                <w:numId w:val="0"/>
              </w:numPr>
              <w:spacing w:before="120" w:after="120"/>
              <w:ind w:left="43"/>
            </w:pPr>
            <w:r>
              <w:t>W</w:t>
            </w:r>
            <w:r w:rsidR="00CC73A3">
              <w:t xml:space="preserve">e envisage the BT policy </w:t>
            </w:r>
            <w:r w:rsidR="00530E2A">
              <w:t xml:space="preserve">workstream </w:t>
            </w:r>
            <w:r w:rsidR="00CC73A3">
              <w:t>as identifying and developing policy proposals that leverage off and support the new tax and social policy system.</w:t>
            </w:r>
          </w:p>
        </w:tc>
      </w:tr>
      <w:tr w:rsidR="0052171D" w14:paraId="165A979E" w14:textId="77777777" w:rsidTr="006D1D8D">
        <w:tc>
          <w:tcPr>
            <w:tcW w:w="1843" w:type="dxa"/>
          </w:tcPr>
          <w:p w14:paraId="3C150B71" w14:textId="77777777" w:rsidR="0052171D" w:rsidRPr="007F1193" w:rsidRDefault="0052171D" w:rsidP="006D1D8D">
            <w:pPr>
              <w:pStyle w:val="BulletedParagraph"/>
              <w:numPr>
                <w:ilvl w:val="0"/>
                <w:numId w:val="0"/>
              </w:numPr>
              <w:spacing w:before="120" w:after="120"/>
            </w:pPr>
            <w:r w:rsidRPr="007F1193">
              <w:rPr>
                <w:b/>
              </w:rPr>
              <w:t>Reforms and remedials</w:t>
            </w:r>
            <w:r>
              <w:t xml:space="preserve"> </w:t>
            </w:r>
          </w:p>
        </w:tc>
        <w:tc>
          <w:tcPr>
            <w:tcW w:w="7943" w:type="dxa"/>
          </w:tcPr>
          <w:p w14:paraId="0E64B2D7" w14:textId="77777777" w:rsidR="0018463C" w:rsidRDefault="0018463C" w:rsidP="006D1D8D">
            <w:pPr>
              <w:pStyle w:val="NumberedParagraphCabStandard"/>
              <w:numPr>
                <w:ilvl w:val="0"/>
                <w:numId w:val="0"/>
              </w:numPr>
              <w:spacing w:before="120" w:after="120"/>
              <w:ind w:left="43"/>
            </w:pPr>
            <w:r>
              <w:t xml:space="preserve">Many of the specific provisions in the taxation acts need to be regularly maintained or updated in response to changing technology, business practices, jurisprudence or other factors. In addition, as Inland Revenue and taxpayers begin to apply new tax legislation they may identify legislative errors or unintended consequences which require remedial amendments. </w:t>
            </w:r>
          </w:p>
          <w:p w14:paraId="482D8BD7" w14:textId="77777777" w:rsidR="0052171D" w:rsidRDefault="0018463C" w:rsidP="006D1D8D">
            <w:pPr>
              <w:pStyle w:val="NumberedParagraphCabStandard"/>
              <w:numPr>
                <w:ilvl w:val="0"/>
                <w:numId w:val="0"/>
              </w:numPr>
              <w:spacing w:before="120" w:after="120"/>
              <w:ind w:left="43"/>
            </w:pPr>
            <w:r>
              <w:t xml:space="preserve">These issues can create high compliance costs or inadvertent non-compliance so need to be addressed promptly to maintain the certainty, efficiency and fairness of the tax system.   </w:t>
            </w:r>
          </w:p>
        </w:tc>
      </w:tr>
      <w:tr w:rsidR="0052171D" w14:paraId="0DB48EA5" w14:textId="77777777" w:rsidTr="006D1D8D">
        <w:tc>
          <w:tcPr>
            <w:tcW w:w="1843" w:type="dxa"/>
          </w:tcPr>
          <w:p w14:paraId="2C773A14" w14:textId="77777777" w:rsidR="0052171D" w:rsidRPr="006869F8" w:rsidRDefault="0052171D" w:rsidP="006D1D8D">
            <w:pPr>
              <w:pStyle w:val="BulletedParagraph"/>
              <w:numPr>
                <w:ilvl w:val="0"/>
                <w:numId w:val="0"/>
              </w:numPr>
              <w:spacing w:before="120" w:after="120"/>
              <w:rPr>
                <w:b/>
              </w:rPr>
            </w:pPr>
            <w:r w:rsidRPr="00F54186">
              <w:rPr>
                <w:b/>
              </w:rPr>
              <w:t>Social policy</w:t>
            </w:r>
            <w:r>
              <w:rPr>
                <w:b/>
              </w:rPr>
              <w:t xml:space="preserve"> </w:t>
            </w:r>
          </w:p>
        </w:tc>
        <w:tc>
          <w:tcPr>
            <w:tcW w:w="7943" w:type="dxa"/>
          </w:tcPr>
          <w:p w14:paraId="74FBD526" w14:textId="77777777" w:rsidR="0018463C" w:rsidRDefault="0018463C" w:rsidP="006D1D8D">
            <w:pPr>
              <w:pStyle w:val="NumberedParagraphCabStandard"/>
              <w:numPr>
                <w:ilvl w:val="0"/>
                <w:numId w:val="0"/>
              </w:numPr>
              <w:spacing w:before="120" w:after="120"/>
              <w:ind w:left="43"/>
            </w:pPr>
            <w:r>
              <w:t xml:space="preserve">This </w:t>
            </w:r>
            <w:r w:rsidR="00530E2A">
              <w:t>workstream</w:t>
            </w:r>
            <w:r>
              <w:t xml:space="preserve"> includes policy work on:</w:t>
            </w:r>
          </w:p>
          <w:p w14:paraId="7C2D025F" w14:textId="77777777" w:rsidR="0018463C" w:rsidRDefault="0018463C" w:rsidP="006D1D8D">
            <w:pPr>
              <w:pStyle w:val="NumberedParagraphCabStandard"/>
              <w:numPr>
                <w:ilvl w:val="0"/>
                <w:numId w:val="45"/>
              </w:numPr>
              <w:spacing w:before="120" w:after="120"/>
            </w:pPr>
            <w:r>
              <w:t>the Government’s welfare overhaul work programme (WEAG) including:</w:t>
            </w:r>
          </w:p>
          <w:p w14:paraId="65C0E22F" w14:textId="77777777" w:rsidR="0018463C" w:rsidRDefault="0018463C" w:rsidP="006D1D8D">
            <w:pPr>
              <w:pStyle w:val="NumberedParagraphCabStandard"/>
              <w:numPr>
                <w:ilvl w:val="1"/>
                <w:numId w:val="45"/>
              </w:numPr>
              <w:spacing w:before="120" w:after="120"/>
            </w:pPr>
            <w:r>
              <w:t>reform of Working for Families;</w:t>
            </w:r>
          </w:p>
          <w:p w14:paraId="33B1FFAA" w14:textId="77777777" w:rsidR="0018463C" w:rsidRDefault="0018463C" w:rsidP="006D1D8D">
            <w:pPr>
              <w:pStyle w:val="NumberedParagraphCabStandard"/>
              <w:numPr>
                <w:ilvl w:val="1"/>
                <w:numId w:val="45"/>
              </w:numPr>
              <w:spacing w:before="120" w:after="120"/>
            </w:pPr>
            <w:r>
              <w:t>child support pass-on; and</w:t>
            </w:r>
          </w:p>
          <w:p w14:paraId="4EA9E763" w14:textId="77777777" w:rsidR="0018463C" w:rsidRDefault="0018463C" w:rsidP="006D1D8D">
            <w:pPr>
              <w:pStyle w:val="NumberedParagraphCabStandard"/>
              <w:numPr>
                <w:ilvl w:val="1"/>
                <w:numId w:val="45"/>
              </w:numPr>
              <w:spacing w:before="120" w:after="120"/>
            </w:pPr>
            <w:r>
              <w:t>debt.</w:t>
            </w:r>
          </w:p>
          <w:p w14:paraId="671E9781" w14:textId="77777777" w:rsidR="0018463C" w:rsidRDefault="0018463C" w:rsidP="006D1D8D">
            <w:pPr>
              <w:pStyle w:val="NumberedParagraphCabStandard"/>
              <w:numPr>
                <w:ilvl w:val="0"/>
                <w:numId w:val="45"/>
              </w:numPr>
              <w:spacing w:before="120" w:after="120"/>
            </w:pPr>
            <w:r>
              <w:t>student loan scheme;</w:t>
            </w:r>
          </w:p>
          <w:p w14:paraId="1BA72833" w14:textId="77777777" w:rsidR="0018463C" w:rsidRDefault="0018463C" w:rsidP="006D1D8D">
            <w:pPr>
              <w:pStyle w:val="NumberedParagraphCabStandard"/>
              <w:numPr>
                <w:ilvl w:val="0"/>
                <w:numId w:val="45"/>
              </w:numPr>
              <w:spacing w:before="120" w:after="120"/>
            </w:pPr>
            <w:r>
              <w:t>KiwiSaver; and</w:t>
            </w:r>
          </w:p>
          <w:p w14:paraId="76BDFB6C" w14:textId="77777777" w:rsidR="0018463C" w:rsidRDefault="0018463C" w:rsidP="006D1D8D">
            <w:pPr>
              <w:pStyle w:val="NumberedParagraphCabStandard"/>
              <w:numPr>
                <w:ilvl w:val="0"/>
                <w:numId w:val="45"/>
              </w:numPr>
              <w:spacing w:before="120" w:after="120"/>
            </w:pPr>
            <w:r>
              <w:t>other agency initiatives that impact on the tax or social policy system.</w:t>
            </w:r>
          </w:p>
          <w:p w14:paraId="716368B3" w14:textId="77777777" w:rsidR="0052171D" w:rsidRDefault="0018463C" w:rsidP="006D1D8D">
            <w:pPr>
              <w:pStyle w:val="NumberedParagraphCabStandard"/>
              <w:numPr>
                <w:ilvl w:val="0"/>
                <w:numId w:val="0"/>
              </w:numPr>
              <w:spacing w:before="120" w:after="120"/>
              <w:ind w:left="43"/>
            </w:pPr>
            <w:r>
              <w:t xml:space="preserve">On the Government response to </w:t>
            </w:r>
            <w:r w:rsidR="000758E9">
              <w:t xml:space="preserve">the </w:t>
            </w:r>
            <w:r w:rsidR="002C5AA0">
              <w:t>welfare overhaul</w:t>
            </w:r>
            <w:r>
              <w:t xml:space="preserve">, officials are working closely with MSD and other agencies to develop a welfare package.  </w:t>
            </w:r>
          </w:p>
        </w:tc>
      </w:tr>
      <w:tr w:rsidR="0052171D" w:rsidRPr="00F54186" w14:paraId="6663BE5B" w14:textId="77777777" w:rsidTr="006D1D8D">
        <w:tc>
          <w:tcPr>
            <w:tcW w:w="1843" w:type="dxa"/>
          </w:tcPr>
          <w:p w14:paraId="62D10DE8" w14:textId="77777777" w:rsidR="0052171D" w:rsidRPr="00F54186" w:rsidRDefault="0052171D" w:rsidP="006D1D8D">
            <w:pPr>
              <w:pStyle w:val="BulletedParagraph"/>
              <w:numPr>
                <w:ilvl w:val="0"/>
                <w:numId w:val="0"/>
              </w:numPr>
              <w:spacing w:before="120" w:after="120"/>
              <w:rPr>
                <w:b/>
              </w:rPr>
            </w:pPr>
            <w:r w:rsidRPr="007F1193">
              <w:rPr>
                <w:b/>
              </w:rPr>
              <w:t xml:space="preserve">Environment / </w:t>
            </w:r>
            <w:r>
              <w:rPr>
                <w:b/>
              </w:rPr>
              <w:t>s</w:t>
            </w:r>
            <w:r w:rsidRPr="007F1193">
              <w:rPr>
                <w:b/>
              </w:rPr>
              <w:t>ustainable economy</w:t>
            </w:r>
            <w:r>
              <w:t xml:space="preserve"> </w:t>
            </w:r>
          </w:p>
        </w:tc>
        <w:tc>
          <w:tcPr>
            <w:tcW w:w="7943" w:type="dxa"/>
          </w:tcPr>
          <w:p w14:paraId="090F5F71" w14:textId="77777777" w:rsidR="003B1D22" w:rsidRDefault="000878A8" w:rsidP="006D1D8D">
            <w:pPr>
              <w:pStyle w:val="NumberedParagraphCabStandard"/>
              <w:numPr>
                <w:ilvl w:val="0"/>
                <w:numId w:val="0"/>
              </w:numPr>
              <w:spacing w:before="120" w:after="120"/>
            </w:pPr>
            <w:r>
              <w:t xml:space="preserve">This </w:t>
            </w:r>
            <w:r w:rsidR="00530E2A">
              <w:t xml:space="preserve">workstream </w:t>
            </w:r>
            <w:r>
              <w:t>will</w:t>
            </w:r>
            <w:r w:rsidR="0052171D">
              <w:t xml:space="preserve"> consider</w:t>
            </w:r>
            <w:r w:rsidR="003B1D22">
              <w:t>:</w:t>
            </w:r>
          </w:p>
          <w:p w14:paraId="2DCD2394" w14:textId="77777777" w:rsidR="003B1D22" w:rsidRDefault="0052171D" w:rsidP="006D1D8D">
            <w:pPr>
              <w:pStyle w:val="NumberedParagraphCabStandard"/>
              <w:numPr>
                <w:ilvl w:val="0"/>
                <w:numId w:val="52"/>
              </w:numPr>
              <w:spacing w:before="120" w:after="120"/>
            </w:pPr>
            <w:r>
              <w:t>a framework</w:t>
            </w:r>
            <w:r w:rsidR="003B1D22">
              <w:t xml:space="preserve"> for taxing negative environmental externalities</w:t>
            </w:r>
            <w:r w:rsidR="00DD79B9">
              <w:t xml:space="preserve"> including </w:t>
            </w:r>
            <w:r w:rsidR="00DD79B9" w:rsidRPr="00DD79B9">
              <w:t>consider</w:t>
            </w:r>
            <w:r w:rsidR="00DD79B9">
              <w:t>ing</w:t>
            </w:r>
            <w:r w:rsidR="00DD79B9" w:rsidRPr="00DD79B9">
              <w:t xml:space="preserve"> how specific tax regimes</w:t>
            </w:r>
            <w:r w:rsidR="00DD79B9">
              <w:t xml:space="preserve"> </w:t>
            </w:r>
            <w:r w:rsidR="00DD79B9" w:rsidRPr="00DD79B9">
              <w:t>might be used to achieve positive environment outcomes</w:t>
            </w:r>
            <w:r w:rsidR="003B1D22">
              <w:t>;</w:t>
            </w:r>
          </w:p>
          <w:p w14:paraId="31DAC114" w14:textId="77777777" w:rsidR="00990792" w:rsidRPr="00990792" w:rsidRDefault="00990792" w:rsidP="006D1D8D">
            <w:pPr>
              <w:pStyle w:val="NumberedParagraphCabStandard"/>
              <w:numPr>
                <w:ilvl w:val="0"/>
                <w:numId w:val="52"/>
              </w:numPr>
              <w:spacing w:before="120" w:after="120"/>
            </w:pPr>
            <w:r w:rsidRPr="00990792">
              <w:rPr>
                <w:iCs/>
              </w:rPr>
              <w:t>monitor international developments;</w:t>
            </w:r>
          </w:p>
          <w:p w14:paraId="302DEDB7" w14:textId="77777777" w:rsidR="00DD79B9" w:rsidRDefault="00990792" w:rsidP="006D1D8D">
            <w:pPr>
              <w:pStyle w:val="NumberedParagraphCabStandard"/>
              <w:numPr>
                <w:ilvl w:val="0"/>
                <w:numId w:val="52"/>
              </w:numPr>
              <w:spacing w:before="120" w:after="120"/>
            </w:pPr>
            <w:r w:rsidRPr="00990792">
              <w:t>collaborate with other agencies on environmental issues and initiatives</w:t>
            </w:r>
            <w:r w:rsidR="00DD79B9">
              <w:t>; and</w:t>
            </w:r>
          </w:p>
          <w:p w14:paraId="6D0549F6" w14:textId="77777777" w:rsidR="003B1D22" w:rsidRDefault="000878A8" w:rsidP="006D1D8D">
            <w:pPr>
              <w:pStyle w:val="NumberedParagraphCabStandard"/>
              <w:numPr>
                <w:ilvl w:val="0"/>
                <w:numId w:val="52"/>
              </w:numPr>
              <w:spacing w:before="120" w:after="120"/>
            </w:pPr>
            <w:r>
              <w:lastRenderedPageBreak/>
              <w:t>build capability in environmental taxation</w:t>
            </w:r>
            <w:r w:rsidR="00DD79B9">
              <w:t>.</w:t>
            </w:r>
          </w:p>
          <w:p w14:paraId="7EF36351" w14:textId="77777777" w:rsidR="004B589F" w:rsidRDefault="004B589F" w:rsidP="00B129EE">
            <w:pPr>
              <w:pStyle w:val="NumberedParagraphCabStandard"/>
              <w:numPr>
                <w:ilvl w:val="0"/>
                <w:numId w:val="0"/>
              </w:numPr>
              <w:spacing w:before="120" w:after="120"/>
              <w:ind w:left="43"/>
            </w:pPr>
            <w:r w:rsidRPr="004B589F">
              <w:t>Tax policy officials will work with other agencies on environmental issues to provide environmental tax analysis and advise on tax implications of environmental policy</w:t>
            </w:r>
            <w:r w:rsidR="0091189B">
              <w:t>.</w:t>
            </w:r>
          </w:p>
          <w:p w14:paraId="5A360B7E" w14:textId="77777777" w:rsidR="0052171D" w:rsidRPr="00F54186" w:rsidRDefault="00990792" w:rsidP="006D1D8D">
            <w:pPr>
              <w:pStyle w:val="NumberedParagraphCabStandard"/>
              <w:numPr>
                <w:ilvl w:val="0"/>
                <w:numId w:val="0"/>
              </w:numPr>
              <w:spacing w:before="120" w:after="120"/>
              <w:ind w:left="60"/>
            </w:pPr>
            <w:r>
              <w:t>This workstream will also r</w:t>
            </w:r>
            <w:r w:rsidRPr="00990792">
              <w:t>eview industry-specific tax provisions impacting on natural capital. Petroleum mining will be the initial focus-industry in a series of reviews</w:t>
            </w:r>
            <w:r>
              <w:t xml:space="preserve"> which includes</w:t>
            </w:r>
            <w:r w:rsidRPr="00990792">
              <w:t xml:space="preserve"> considering issues relating to the timing of deductions for petroleum development expenditure</w:t>
            </w:r>
            <w:r>
              <w:t>.</w:t>
            </w:r>
          </w:p>
        </w:tc>
      </w:tr>
      <w:tr w:rsidR="0052171D" w14:paraId="7D5EE452" w14:textId="77777777" w:rsidTr="006D1D8D">
        <w:tc>
          <w:tcPr>
            <w:tcW w:w="1843" w:type="dxa"/>
          </w:tcPr>
          <w:p w14:paraId="1B8AA43E" w14:textId="77777777" w:rsidR="0052171D" w:rsidRDefault="0052171D" w:rsidP="006D1D8D">
            <w:pPr>
              <w:pStyle w:val="BulletedParagraph"/>
              <w:numPr>
                <w:ilvl w:val="0"/>
                <w:numId w:val="0"/>
              </w:numPr>
              <w:spacing w:before="120" w:after="120"/>
            </w:pPr>
            <w:r w:rsidRPr="007F1193">
              <w:rPr>
                <w:b/>
              </w:rPr>
              <w:lastRenderedPageBreak/>
              <w:t>Charities</w:t>
            </w:r>
            <w:r>
              <w:t xml:space="preserve"> </w:t>
            </w:r>
          </w:p>
          <w:p w14:paraId="30CBA9AE" w14:textId="77777777" w:rsidR="0052171D" w:rsidRPr="006869F8" w:rsidRDefault="0052171D" w:rsidP="006D1D8D">
            <w:pPr>
              <w:pStyle w:val="BulletedParagraph"/>
              <w:numPr>
                <w:ilvl w:val="0"/>
                <w:numId w:val="0"/>
              </w:numPr>
              <w:spacing w:before="120" w:after="120"/>
              <w:rPr>
                <w:b/>
              </w:rPr>
            </w:pPr>
          </w:p>
        </w:tc>
        <w:tc>
          <w:tcPr>
            <w:tcW w:w="7943" w:type="dxa"/>
          </w:tcPr>
          <w:p w14:paraId="103932CF" w14:textId="77777777" w:rsidR="003B1D22" w:rsidRDefault="003B1D22" w:rsidP="006D1D8D">
            <w:pPr>
              <w:pStyle w:val="NumberedParagraphCabStandard"/>
              <w:numPr>
                <w:ilvl w:val="0"/>
                <w:numId w:val="0"/>
              </w:numPr>
              <w:spacing w:before="120" w:after="120"/>
            </w:pPr>
            <w:r>
              <w:t xml:space="preserve">Tax concessions for charities, </w:t>
            </w:r>
            <w:r w:rsidR="0052171D">
              <w:t xml:space="preserve">not-for-profit, and donee </w:t>
            </w:r>
            <w:r>
              <w:t xml:space="preserve">organisations are subject to continual monitoring and review to determine their effectiveness. In recent years, the Government has largely focused on the integrity and coherence of charities-related tax concessions rather than the broader policy settings. This </w:t>
            </w:r>
            <w:r w:rsidR="00530E2A">
              <w:t xml:space="preserve">workstream </w:t>
            </w:r>
            <w:r>
              <w:t xml:space="preserve">will review those policy settings. </w:t>
            </w:r>
          </w:p>
        </w:tc>
      </w:tr>
      <w:tr w:rsidR="0052171D" w14:paraId="698504E7" w14:textId="77777777" w:rsidTr="006D1D8D">
        <w:tc>
          <w:tcPr>
            <w:tcW w:w="1843" w:type="dxa"/>
          </w:tcPr>
          <w:p w14:paraId="3C6A15AD" w14:textId="77777777" w:rsidR="0052171D" w:rsidRPr="007F1193" w:rsidRDefault="0052171D" w:rsidP="006D1D8D">
            <w:pPr>
              <w:pStyle w:val="BulletedParagraph"/>
              <w:numPr>
                <w:ilvl w:val="0"/>
                <w:numId w:val="0"/>
              </w:numPr>
              <w:spacing w:before="120" w:after="120"/>
            </w:pPr>
            <w:r w:rsidRPr="007F1193">
              <w:rPr>
                <w:b/>
              </w:rPr>
              <w:t>Tax exemptions</w:t>
            </w:r>
            <w:r>
              <w:t xml:space="preserve"> </w:t>
            </w:r>
          </w:p>
        </w:tc>
        <w:tc>
          <w:tcPr>
            <w:tcW w:w="7943" w:type="dxa"/>
          </w:tcPr>
          <w:p w14:paraId="4CCE594D" w14:textId="77777777" w:rsidR="0018463C" w:rsidRDefault="0018463C" w:rsidP="006D1D8D">
            <w:pPr>
              <w:pStyle w:val="NumberedParagraphCabStandard"/>
              <w:numPr>
                <w:ilvl w:val="0"/>
                <w:numId w:val="0"/>
              </w:numPr>
              <w:spacing w:before="120" w:after="120"/>
            </w:pPr>
            <w:r>
              <w:t xml:space="preserve">This </w:t>
            </w:r>
            <w:r w:rsidR="00530E2A">
              <w:t xml:space="preserve">workstream </w:t>
            </w:r>
            <w:r>
              <w:t xml:space="preserve">will </w:t>
            </w:r>
            <w:r w:rsidR="0052171D">
              <w:t>develop a framework for considering tax exemptions for different types of entities.</w:t>
            </w:r>
            <w:r>
              <w:t xml:space="preserve"> It will consider:</w:t>
            </w:r>
          </w:p>
          <w:p w14:paraId="2344B571" w14:textId="77777777" w:rsidR="0018463C" w:rsidRDefault="0018463C" w:rsidP="006D1D8D">
            <w:pPr>
              <w:pStyle w:val="NumberedParagraphCabStandard"/>
              <w:numPr>
                <w:ilvl w:val="0"/>
                <w:numId w:val="47"/>
              </w:numPr>
              <w:spacing w:before="120" w:after="120"/>
            </w:pPr>
            <w:r>
              <w:t>how different entities fit within the Government’s public policy purposes;</w:t>
            </w:r>
          </w:p>
          <w:p w14:paraId="1DF17B0E" w14:textId="77777777" w:rsidR="0018463C" w:rsidRDefault="0018463C" w:rsidP="006D1D8D">
            <w:pPr>
              <w:pStyle w:val="NumberedParagraphCabStandard"/>
              <w:numPr>
                <w:ilvl w:val="0"/>
                <w:numId w:val="47"/>
              </w:numPr>
              <w:spacing w:before="120" w:after="120"/>
            </w:pPr>
            <w:r>
              <w:t>the compliance costs and benefits;</w:t>
            </w:r>
          </w:p>
          <w:p w14:paraId="540A9B1B" w14:textId="77777777" w:rsidR="0018463C" w:rsidRDefault="0018463C" w:rsidP="006D1D8D">
            <w:pPr>
              <w:pStyle w:val="NumberedParagraphCabStandard"/>
              <w:numPr>
                <w:ilvl w:val="0"/>
                <w:numId w:val="47"/>
              </w:numPr>
              <w:spacing w:before="120" w:after="120"/>
            </w:pPr>
            <w:r>
              <w:t>fiscal implications; and</w:t>
            </w:r>
          </w:p>
          <w:p w14:paraId="35ED3E8A" w14:textId="77777777" w:rsidR="0052171D" w:rsidRDefault="0018463C" w:rsidP="006D1D8D">
            <w:pPr>
              <w:pStyle w:val="NumberedParagraphCabStandard"/>
              <w:numPr>
                <w:ilvl w:val="0"/>
                <w:numId w:val="47"/>
              </w:numPr>
              <w:spacing w:before="120" w:after="120"/>
            </w:pPr>
            <w:r>
              <w:t>the impact of particular exemptions on competitive neutrality with the private sector.</w:t>
            </w:r>
          </w:p>
        </w:tc>
      </w:tr>
      <w:tr w:rsidR="0052171D" w14:paraId="13C3A8E5" w14:textId="77777777" w:rsidTr="006D1D8D">
        <w:tc>
          <w:tcPr>
            <w:tcW w:w="1843" w:type="dxa"/>
          </w:tcPr>
          <w:p w14:paraId="2F1A0AC7" w14:textId="77777777" w:rsidR="0052171D" w:rsidRDefault="0052171D" w:rsidP="006D1D8D">
            <w:pPr>
              <w:pStyle w:val="BulletedParagraph"/>
              <w:numPr>
                <w:ilvl w:val="0"/>
                <w:numId w:val="0"/>
              </w:numPr>
              <w:spacing w:before="120" w:after="120"/>
            </w:pPr>
            <w:r w:rsidRPr="007F1193">
              <w:rPr>
                <w:b/>
              </w:rPr>
              <w:t>International</w:t>
            </w:r>
            <w:r>
              <w:t xml:space="preserve"> </w:t>
            </w:r>
          </w:p>
        </w:tc>
        <w:tc>
          <w:tcPr>
            <w:tcW w:w="7943" w:type="dxa"/>
          </w:tcPr>
          <w:p w14:paraId="151C4D9C" w14:textId="77777777" w:rsidR="003C645C" w:rsidRDefault="000878A8" w:rsidP="006D1D8D">
            <w:pPr>
              <w:pStyle w:val="NumberedParagraphCabStandard"/>
              <w:numPr>
                <w:ilvl w:val="0"/>
                <w:numId w:val="0"/>
              </w:numPr>
              <w:spacing w:before="120" w:after="120"/>
            </w:pPr>
            <w:r>
              <w:t xml:space="preserve">This </w:t>
            </w:r>
            <w:r w:rsidR="00530E2A">
              <w:t xml:space="preserve">workstream </w:t>
            </w:r>
            <w:r>
              <w:t>considers the</w:t>
            </w:r>
            <w:r w:rsidR="003C645C">
              <w:t xml:space="preserve"> growing concern about the low levels of income tax paid by digital companies (i.e. companies operating through highly digitalised business models). Pressure has been building on the long-standing international income tax framework; and the OECD (including New Zealand) have undertaken to review the framework. </w:t>
            </w:r>
          </w:p>
          <w:p w14:paraId="79DA20ED" w14:textId="77777777" w:rsidR="003C645C" w:rsidRDefault="003C645C" w:rsidP="006D1D8D">
            <w:pPr>
              <w:pStyle w:val="NumberedParagraphCabStandard"/>
              <w:numPr>
                <w:ilvl w:val="0"/>
                <w:numId w:val="0"/>
              </w:numPr>
              <w:spacing w:before="120" w:after="120"/>
            </w:pPr>
            <w:r>
              <w:t xml:space="preserve">This </w:t>
            </w:r>
            <w:r w:rsidR="00530E2A">
              <w:t xml:space="preserve">workstream </w:t>
            </w:r>
            <w:r>
              <w:t>will include:</w:t>
            </w:r>
          </w:p>
          <w:p w14:paraId="402E1A56" w14:textId="77777777" w:rsidR="003C645C" w:rsidRDefault="003C645C" w:rsidP="006D1D8D">
            <w:pPr>
              <w:pStyle w:val="NumberedParagraphCabStandard"/>
              <w:numPr>
                <w:ilvl w:val="0"/>
                <w:numId w:val="49"/>
              </w:numPr>
              <w:spacing w:before="120" w:after="120"/>
            </w:pPr>
            <w:r>
              <w:t>Reporting back on the digital service tax discussion document;</w:t>
            </w:r>
          </w:p>
          <w:p w14:paraId="43B520FF" w14:textId="77777777" w:rsidR="003C645C" w:rsidRDefault="003C645C" w:rsidP="006D1D8D">
            <w:pPr>
              <w:pStyle w:val="NumberedParagraphCabStandard"/>
              <w:numPr>
                <w:ilvl w:val="0"/>
                <w:numId w:val="49"/>
              </w:numPr>
              <w:spacing w:before="120" w:after="120"/>
            </w:pPr>
            <w:r>
              <w:t>Double Tax Agreement negotiations and assisting with free trade agreements;</w:t>
            </w:r>
          </w:p>
          <w:p w14:paraId="16BFA29E" w14:textId="77777777" w:rsidR="003C645C" w:rsidRDefault="003C645C" w:rsidP="006D1D8D">
            <w:pPr>
              <w:pStyle w:val="NumberedParagraphCabStandard"/>
              <w:numPr>
                <w:ilvl w:val="0"/>
                <w:numId w:val="49"/>
              </w:numPr>
              <w:spacing w:before="120" w:after="120"/>
            </w:pPr>
            <w:r>
              <w:t>Multi-lateral work (including the OECD working parties); and</w:t>
            </w:r>
          </w:p>
          <w:p w14:paraId="50CE41EB" w14:textId="77777777" w:rsidR="0052171D" w:rsidRDefault="003C645C" w:rsidP="006D1D8D">
            <w:pPr>
              <w:pStyle w:val="NumberedParagraphCabStandard"/>
              <w:numPr>
                <w:ilvl w:val="0"/>
                <w:numId w:val="49"/>
              </w:numPr>
              <w:spacing w:before="120" w:after="120"/>
            </w:pPr>
            <w:r>
              <w:t>Follow-on work to monitor and adjust the B</w:t>
            </w:r>
            <w:r w:rsidR="000878A8">
              <w:t xml:space="preserve">ase Erosion and </w:t>
            </w:r>
            <w:r>
              <w:t>P</w:t>
            </w:r>
            <w:r w:rsidR="000878A8">
              <w:t xml:space="preserve">rofit </w:t>
            </w:r>
            <w:r>
              <w:t>S</w:t>
            </w:r>
            <w:r w:rsidR="000878A8">
              <w:t>hifting (BEPS)</w:t>
            </w:r>
            <w:r>
              <w:t xml:space="preserve"> measures enacted last year.</w:t>
            </w:r>
          </w:p>
        </w:tc>
      </w:tr>
    </w:tbl>
    <w:p w14:paraId="54330878" w14:textId="77777777" w:rsidR="00816F0F" w:rsidRDefault="00816F0F" w:rsidP="007F1193">
      <w:pPr>
        <w:pStyle w:val="NumberedParagraphCabStandard"/>
        <w:numPr>
          <w:ilvl w:val="0"/>
          <w:numId w:val="0"/>
        </w:numPr>
      </w:pPr>
    </w:p>
    <w:p w14:paraId="44D8D509" w14:textId="77777777" w:rsidR="008E4B0D" w:rsidRPr="00195E0B" w:rsidRDefault="008E4B0D" w:rsidP="007F1193">
      <w:pPr>
        <w:pStyle w:val="NumberedParagraphCabStandard"/>
        <w:keepNext/>
        <w:numPr>
          <w:ilvl w:val="0"/>
          <w:numId w:val="0"/>
        </w:numPr>
      </w:pPr>
      <w:r w:rsidRPr="00195E0B">
        <w:t>Emerging issues</w:t>
      </w:r>
    </w:p>
    <w:p w14:paraId="4D719442" w14:textId="77777777" w:rsidR="003C2A6B" w:rsidRDefault="003C2A6B" w:rsidP="003C2A6B">
      <w:pPr>
        <w:pStyle w:val="NumberedParagraphCabStandard"/>
      </w:pPr>
      <w:r>
        <w:t>We</w:t>
      </w:r>
      <w:r w:rsidR="008027CD">
        <w:t xml:space="preserve"> also</w:t>
      </w:r>
      <w:r>
        <w:t xml:space="preserve"> note that over the next 18 months, new or emerging issues can be expected to arise that are not currently listed on the TPWP.  We will work with officials and Ministerial colleagues (where appropriate) to determine how best to prioritise these issues alongside existing items or commitments.</w:t>
      </w:r>
    </w:p>
    <w:p w14:paraId="19518796" w14:textId="77777777" w:rsidR="00EA50DC" w:rsidRDefault="00EA50DC" w:rsidP="00EA50DC">
      <w:pPr>
        <w:pStyle w:val="Heading3"/>
      </w:pPr>
      <w:r w:rsidRPr="00602326">
        <w:lastRenderedPageBreak/>
        <w:t xml:space="preserve">Attachment </w:t>
      </w:r>
      <w:r>
        <w:t>4</w:t>
      </w:r>
      <w:r w:rsidRPr="00602326">
        <w:t xml:space="preserve"> – </w:t>
      </w:r>
      <w:r w:rsidRPr="00EA50DC">
        <w:t xml:space="preserve">table illustrating how </w:t>
      </w:r>
      <w:r>
        <w:t>the TWG</w:t>
      </w:r>
      <w:r w:rsidRPr="00EA50DC">
        <w:t xml:space="preserve"> recommendations are reflected on the refreshed </w:t>
      </w:r>
      <w:r>
        <w:t>TPWP</w:t>
      </w:r>
    </w:p>
    <w:p w14:paraId="67CB56A3" w14:textId="77777777" w:rsidR="00EA50DC" w:rsidRDefault="00EA50DC" w:rsidP="00EA50DC">
      <w:pPr>
        <w:pStyle w:val="NumberedParagraphCabStandard"/>
      </w:pPr>
      <w:r>
        <w:t>This attachment provides</w:t>
      </w:r>
      <w:r w:rsidRPr="00EA50DC">
        <w:t xml:space="preserve"> </w:t>
      </w:r>
      <w:r>
        <w:t>a breakdown of how the TWG recommendations have been reflected on the refreshed TPWP.</w:t>
      </w:r>
    </w:p>
    <w:p w14:paraId="7EC7A08D" w14:textId="77777777" w:rsidR="00195E0B" w:rsidRPr="007F1193" w:rsidRDefault="00195E0B" w:rsidP="00195E0B">
      <w:pPr>
        <w:pStyle w:val="NumberedParagraphCabStandard"/>
        <w:numPr>
          <w:ilvl w:val="0"/>
          <w:numId w:val="0"/>
        </w:numPr>
        <w:rPr>
          <w:b/>
          <w:i/>
        </w:rPr>
      </w:pPr>
      <w:r w:rsidRPr="007F1193">
        <w:rPr>
          <w:b/>
          <w:i/>
        </w:rPr>
        <w:t>Prioritising items for the refreshed TPWP</w:t>
      </w:r>
    </w:p>
    <w:p w14:paraId="4B672C4B" w14:textId="77777777" w:rsidR="00195E0B" w:rsidRDefault="00195E0B" w:rsidP="00195E0B">
      <w:pPr>
        <w:pStyle w:val="NumberedParagraphCabStandard"/>
      </w:pPr>
      <w:r>
        <w:t>The items that have been included on the refreshed TPWP reflect our consideration of the following factors:</w:t>
      </w:r>
    </w:p>
    <w:p w14:paraId="501B28D0" w14:textId="77777777" w:rsidR="00195E0B" w:rsidRDefault="00195E0B" w:rsidP="00195E0B">
      <w:pPr>
        <w:pStyle w:val="BulletedParagraph"/>
        <w:numPr>
          <w:ilvl w:val="1"/>
          <w:numId w:val="1"/>
        </w:numPr>
      </w:pPr>
      <w:r>
        <w:t>Whether the item is a priority area for the Government. All of the high priority TWG recommendations have been included in the refreshed TPWP;</w:t>
      </w:r>
    </w:p>
    <w:p w14:paraId="3CF99F29" w14:textId="77777777" w:rsidR="00195E0B" w:rsidRDefault="00195E0B" w:rsidP="00195E0B">
      <w:pPr>
        <w:pStyle w:val="BulletedParagraph"/>
        <w:numPr>
          <w:ilvl w:val="1"/>
          <w:numId w:val="1"/>
        </w:numPr>
      </w:pPr>
      <w:r>
        <w:t>Whether the item supports or contributes to wider Government objectives (both social and economic);</w:t>
      </w:r>
    </w:p>
    <w:p w14:paraId="4F5BBB70" w14:textId="77777777" w:rsidR="00195E0B" w:rsidRDefault="00195E0B" w:rsidP="00195E0B">
      <w:pPr>
        <w:pStyle w:val="BulletedParagraph"/>
        <w:numPr>
          <w:ilvl w:val="1"/>
          <w:numId w:val="1"/>
        </w:numPr>
      </w:pPr>
      <w:r>
        <w:t>The potential fiscal cost of certain items of work and whether these items could be packaged together with other items of work to deliver a coherent package;</w:t>
      </w:r>
    </w:p>
    <w:p w14:paraId="0D32A5D6" w14:textId="77777777" w:rsidR="00195E0B" w:rsidRDefault="00195E0B" w:rsidP="00195E0B">
      <w:pPr>
        <w:pStyle w:val="BulletedParagraph"/>
        <w:numPr>
          <w:ilvl w:val="1"/>
          <w:numId w:val="1"/>
        </w:numPr>
      </w:pPr>
      <w:r>
        <w:t>Feedback from stakeholders to date;</w:t>
      </w:r>
    </w:p>
    <w:p w14:paraId="6B10B6AA" w14:textId="77777777" w:rsidR="00195E0B" w:rsidRDefault="00195E0B" w:rsidP="00195E0B">
      <w:pPr>
        <w:pStyle w:val="BulletedParagraph"/>
        <w:numPr>
          <w:ilvl w:val="1"/>
          <w:numId w:val="1"/>
        </w:numPr>
      </w:pPr>
      <w:r>
        <w:t>The need to ensure the TPWP contains a mix of items that are both responsive to the issues of today but also to any longer-term opportunities or challenges;</w:t>
      </w:r>
    </w:p>
    <w:p w14:paraId="7B3C933D" w14:textId="77777777" w:rsidR="00195E0B" w:rsidRDefault="00195E0B" w:rsidP="00195E0B">
      <w:pPr>
        <w:pStyle w:val="BulletedParagraph"/>
        <w:numPr>
          <w:ilvl w:val="1"/>
          <w:numId w:val="1"/>
        </w:numPr>
      </w:pPr>
      <w:r>
        <w:t>The resourcing required within Inland Revenue and the Treasury to deliver the items of work on the TPWP; and</w:t>
      </w:r>
    </w:p>
    <w:p w14:paraId="5DE9722F" w14:textId="77777777" w:rsidR="00195E0B" w:rsidRDefault="00195E0B" w:rsidP="00195E0B">
      <w:pPr>
        <w:pStyle w:val="BulletedParagraph"/>
        <w:numPr>
          <w:ilvl w:val="1"/>
          <w:numId w:val="1"/>
        </w:numPr>
      </w:pPr>
      <w:r>
        <w:t>Whether it was possible to phase the delivery of certain items of work.</w:t>
      </w:r>
    </w:p>
    <w:p w14:paraId="5FCE6BFC" w14:textId="77777777" w:rsidR="00FF1E16" w:rsidRPr="00D301A1" w:rsidRDefault="00D301A1" w:rsidP="00D301A1">
      <w:pPr>
        <w:pStyle w:val="Heading2"/>
      </w:pPr>
      <w:r w:rsidRPr="00D301A1">
        <w:t>Publication</w:t>
      </w:r>
      <w:r>
        <w:t xml:space="preserve"> of the TPWP</w:t>
      </w:r>
    </w:p>
    <w:p w14:paraId="0D118681" w14:textId="30346D86" w:rsidR="003C2A6B" w:rsidRDefault="00195E0B" w:rsidP="00C329F7">
      <w:pPr>
        <w:pStyle w:val="NumberedParagraphCabStandard"/>
      </w:pPr>
      <w:r>
        <w:t xml:space="preserve">Publishing the TPWP is important for maintaining transparency and confidence in the tax system.  </w:t>
      </w:r>
      <w:r w:rsidR="00FF1E16">
        <w:t>Taken together, the</w:t>
      </w:r>
      <w:r w:rsidR="003C2A6B">
        <w:t xml:space="preserve"> </w:t>
      </w:r>
      <w:r w:rsidR="00823EC8">
        <w:t>attachments</w:t>
      </w:r>
      <w:r w:rsidR="003C2A6B">
        <w:t xml:space="preserve"> to this paper represent a detailed </w:t>
      </w:r>
      <w:r w:rsidR="00FF1E16">
        <w:t xml:space="preserve">picture of the </w:t>
      </w:r>
      <w:r w:rsidR="00D301A1">
        <w:t>refreshed</w:t>
      </w:r>
      <w:r w:rsidR="00FF1E16">
        <w:t xml:space="preserve"> TPWP</w:t>
      </w:r>
      <w:r w:rsidR="00D301A1">
        <w:t xml:space="preserve"> for 2019</w:t>
      </w:r>
      <w:r w:rsidR="003C2A6B">
        <w:t>-20</w:t>
      </w:r>
      <w:r w:rsidR="00FF1E16">
        <w:t xml:space="preserve">.  </w:t>
      </w:r>
      <w:r w:rsidR="00F33FB9" w:rsidRPr="00AE611A">
        <w:rPr>
          <w:shd w:val="clear" w:color="auto" w:fill="D9D9D9" w:themeFill="background1" w:themeFillShade="D9"/>
        </w:rPr>
        <w:t>s 9(2)(f)(iv)</w:t>
      </w:r>
      <w:r w:rsidR="006F18D5" w:rsidRPr="00AE611A">
        <w:rPr>
          <w:color w:val="D9D9D9" w:themeColor="background1" w:themeShade="D9"/>
          <w:shd w:val="clear" w:color="auto" w:fill="D9D9D9" w:themeFill="background1" w:themeFillShade="D9"/>
        </w:rPr>
        <w:t>……...……………………</w:t>
      </w:r>
      <w:r w:rsidR="00AE611A" w:rsidRPr="00AE611A">
        <w:rPr>
          <w:color w:val="D9D9D9" w:themeColor="background1" w:themeShade="D9"/>
          <w:shd w:val="clear" w:color="auto" w:fill="D9D9D9" w:themeFill="background1" w:themeFillShade="D9"/>
        </w:rPr>
        <w:t>.</w:t>
      </w:r>
      <w:r w:rsidR="006F18D5" w:rsidRPr="00AE611A">
        <w:rPr>
          <w:color w:val="D9D9D9" w:themeColor="background1" w:themeShade="D9"/>
          <w:shd w:val="clear" w:color="auto" w:fill="D9D9D9" w:themeFill="background1" w:themeFillShade="D9"/>
        </w:rPr>
        <w:t>…</w:t>
      </w:r>
      <w:r w:rsidR="00F33FB9" w:rsidRPr="00AE611A">
        <w:rPr>
          <w:color w:val="D9D9D9" w:themeColor="background1" w:themeShade="D9"/>
          <w:shd w:val="clear" w:color="auto" w:fill="D9D9D9" w:themeFill="background1" w:themeFillShade="D9"/>
        </w:rPr>
        <w:t>..</w:t>
      </w:r>
      <w:r w:rsidR="00F33FB9" w:rsidRPr="00AE611A">
        <w:rPr>
          <w:color w:val="D9D9D9" w:themeColor="background1" w:themeShade="D9"/>
          <w:shd w:val="clear" w:color="auto" w:fill="D9D9D9" w:themeFill="background1" w:themeFillShade="D9"/>
        </w:rPr>
        <w:br/>
        <w:t>………………………………………</w:t>
      </w:r>
      <w:r w:rsidR="008F21DB" w:rsidRPr="00AE611A">
        <w:rPr>
          <w:color w:val="D9D9D9" w:themeColor="background1" w:themeShade="D9"/>
          <w:shd w:val="clear" w:color="auto" w:fill="D9D9D9" w:themeFill="background1" w:themeFillShade="D9"/>
        </w:rPr>
        <w:t>...</w:t>
      </w:r>
      <w:r w:rsidR="00F33FB9" w:rsidRPr="00AE611A">
        <w:rPr>
          <w:color w:val="D9D9D9" w:themeColor="background1" w:themeShade="D9"/>
          <w:shd w:val="clear" w:color="auto" w:fill="D9D9D9" w:themeFill="background1" w:themeFillShade="D9"/>
        </w:rPr>
        <w:t>…………</w:t>
      </w:r>
      <w:r w:rsidR="00233292" w:rsidRPr="00AE611A">
        <w:rPr>
          <w:color w:val="D9D9D9" w:themeColor="background1" w:themeShade="D9"/>
          <w:shd w:val="clear" w:color="auto" w:fill="D9D9D9" w:themeFill="background1" w:themeFillShade="D9"/>
        </w:rPr>
        <w:t>…………...……………………………</w:t>
      </w:r>
      <w:r w:rsidR="00AE611A" w:rsidRPr="00AE611A">
        <w:rPr>
          <w:color w:val="D9D9D9" w:themeColor="background1" w:themeShade="D9"/>
          <w:shd w:val="clear" w:color="auto" w:fill="D9D9D9" w:themeFill="background1" w:themeFillShade="D9"/>
        </w:rPr>
        <w:t>…………………………………………………………………………………………………..</w:t>
      </w:r>
      <w:r w:rsidR="00233292" w:rsidRPr="00AE611A">
        <w:rPr>
          <w:color w:val="D9D9D9" w:themeColor="background1" w:themeShade="D9"/>
          <w:shd w:val="clear" w:color="auto" w:fill="D9D9D9" w:themeFill="background1" w:themeFillShade="D9"/>
        </w:rPr>
        <w:t>……………………………………………………</w:t>
      </w:r>
      <w:r w:rsidR="00F33FB9" w:rsidRPr="00AE611A">
        <w:rPr>
          <w:color w:val="D9D9D9" w:themeColor="background1" w:themeShade="D9"/>
          <w:shd w:val="clear" w:color="auto" w:fill="D9D9D9" w:themeFill="background1" w:themeFillShade="D9"/>
        </w:rPr>
        <w:t>……</w:t>
      </w:r>
      <w:r w:rsidR="00AB13E0" w:rsidRPr="00AE611A">
        <w:rPr>
          <w:color w:val="D9D9D9" w:themeColor="background1" w:themeShade="D9"/>
          <w:shd w:val="clear" w:color="auto" w:fill="D9D9D9" w:themeFill="background1" w:themeFillShade="D9"/>
        </w:rPr>
        <w:t>…</w:t>
      </w:r>
      <w:r w:rsidR="00F33FB9" w:rsidRPr="00AE611A">
        <w:rPr>
          <w:color w:val="D9D9D9" w:themeColor="background1" w:themeShade="D9"/>
          <w:shd w:val="clear" w:color="auto" w:fill="D9D9D9" w:themeFill="background1" w:themeFillShade="D9"/>
        </w:rPr>
        <w:t>…</w:t>
      </w:r>
      <w:r w:rsidR="00AB13E0" w:rsidRPr="00AE611A">
        <w:rPr>
          <w:color w:val="D9D9D9" w:themeColor="background1" w:themeShade="D9"/>
          <w:shd w:val="clear" w:color="auto" w:fill="D9D9D9" w:themeFill="background1" w:themeFillShade="D9"/>
        </w:rPr>
        <w:t xml:space="preserve"> </w:t>
      </w:r>
      <w:r w:rsidR="00F33FB9" w:rsidRPr="00AE611A">
        <w:rPr>
          <w:color w:val="D9D9D9" w:themeColor="background1" w:themeShade="D9"/>
          <w:shd w:val="clear" w:color="auto" w:fill="D9D9D9" w:themeFill="background1" w:themeFillShade="D9"/>
        </w:rPr>
        <w:t>…………</w:t>
      </w:r>
      <w:r w:rsidR="00233292" w:rsidRPr="00AE611A">
        <w:rPr>
          <w:color w:val="D9D9D9" w:themeColor="background1" w:themeShade="D9"/>
          <w:shd w:val="clear" w:color="auto" w:fill="D9D9D9" w:themeFill="background1" w:themeFillShade="D9"/>
        </w:rPr>
        <w:t>...</w:t>
      </w:r>
      <w:r w:rsidR="00F33FB9" w:rsidRPr="00AE611A">
        <w:rPr>
          <w:color w:val="D9D9D9" w:themeColor="background1" w:themeShade="D9"/>
          <w:shd w:val="clear" w:color="auto" w:fill="D9D9D9" w:themeFill="background1" w:themeFillShade="D9"/>
        </w:rPr>
        <w:t>…………………</w:t>
      </w:r>
      <w:r w:rsidR="00AE611A" w:rsidRPr="00AE611A">
        <w:rPr>
          <w:color w:val="D9D9D9" w:themeColor="background1" w:themeShade="D9"/>
          <w:shd w:val="clear" w:color="auto" w:fill="D9D9D9" w:themeFill="background1" w:themeFillShade="D9"/>
        </w:rPr>
        <w:t>...</w:t>
      </w:r>
      <w:r w:rsidR="00F33FB9" w:rsidRPr="00AE611A">
        <w:rPr>
          <w:color w:val="D9D9D9" w:themeColor="background1" w:themeShade="D9"/>
          <w:shd w:val="clear" w:color="auto" w:fill="D9D9D9" w:themeFill="background1" w:themeFillShade="D9"/>
        </w:rPr>
        <w:t>……..</w:t>
      </w:r>
    </w:p>
    <w:p w14:paraId="7461C22D" w14:textId="4A0D3A35" w:rsidR="00FF1E16" w:rsidRPr="00AE611A" w:rsidRDefault="00233292" w:rsidP="00AE611A">
      <w:pPr>
        <w:pStyle w:val="NumberedParagraphCabStandard"/>
        <w:jc w:val="left"/>
      </w:pPr>
      <w:bookmarkStart w:id="0" w:name="_Hlk25244192"/>
      <w:r w:rsidRPr="00AE611A">
        <w:rPr>
          <w:shd w:val="clear" w:color="auto" w:fill="D9D9D9" w:themeFill="background1" w:themeFillShade="D9"/>
        </w:rPr>
        <w:t>s 9(2)(f)(iv)</w:t>
      </w:r>
      <w:r w:rsidRPr="00AE611A">
        <w:rPr>
          <w:color w:val="D9D9D9" w:themeColor="background1" w:themeShade="D9"/>
          <w:shd w:val="clear" w:color="auto" w:fill="D9D9D9" w:themeFill="background1" w:themeFillShade="D9"/>
        </w:rPr>
        <w:t>…</w:t>
      </w:r>
      <w:r w:rsidR="00AE611A" w:rsidRPr="00AE611A">
        <w:rPr>
          <w:color w:val="D9D9D9" w:themeColor="background1" w:themeShade="D9"/>
          <w:shd w:val="clear" w:color="auto" w:fill="D9D9D9" w:themeFill="background1" w:themeFillShade="D9"/>
        </w:rPr>
        <w:t>…………………………………………………….</w:t>
      </w:r>
      <w:r w:rsidRPr="00AE611A">
        <w:rPr>
          <w:color w:val="D9D9D9" w:themeColor="background1" w:themeShade="D9"/>
          <w:shd w:val="clear" w:color="auto" w:fill="D9D9D9" w:themeFill="background1" w:themeFillShade="D9"/>
        </w:rPr>
        <w:t>………………………</w:t>
      </w:r>
      <w:r w:rsidR="00AE611A" w:rsidRPr="00AE611A">
        <w:rPr>
          <w:color w:val="D9D9D9" w:themeColor="background1" w:themeShade="D9"/>
          <w:shd w:val="clear" w:color="auto" w:fill="D9D9D9" w:themeFill="background1" w:themeFillShade="D9"/>
        </w:rPr>
        <w:t>.</w:t>
      </w:r>
      <w:r w:rsidRPr="00AE611A">
        <w:rPr>
          <w:color w:val="D9D9D9" w:themeColor="background1" w:themeShade="D9"/>
          <w:shd w:val="clear" w:color="auto" w:fill="D9D9D9" w:themeFill="background1" w:themeFillShade="D9"/>
        </w:rPr>
        <w:t>……</w:t>
      </w:r>
      <w:r w:rsidR="00AE611A" w:rsidRPr="00AE611A">
        <w:rPr>
          <w:color w:val="D9D9D9" w:themeColor="background1" w:themeShade="D9"/>
          <w:shd w:val="clear" w:color="auto" w:fill="D9D9D9" w:themeFill="background1" w:themeFillShade="D9"/>
        </w:rPr>
        <w:br/>
        <w:t>……………………………………………………………….</w:t>
      </w:r>
      <w:r w:rsidRPr="00AE611A">
        <w:rPr>
          <w:color w:val="D9D9D9" w:themeColor="background1" w:themeShade="D9"/>
          <w:shd w:val="clear" w:color="auto" w:fill="D9D9D9" w:themeFill="background1" w:themeFillShade="D9"/>
        </w:rPr>
        <w:t>…………….</w:t>
      </w:r>
      <w:bookmarkEnd w:id="0"/>
      <w:r w:rsidRPr="00AE611A">
        <w:rPr>
          <w:color w:val="D9D9D9" w:themeColor="background1" w:themeShade="D9"/>
          <w:shd w:val="clear" w:color="auto" w:fill="D9D9D9" w:themeFill="background1" w:themeFillShade="D9"/>
        </w:rPr>
        <w:t>…………………</w:t>
      </w:r>
      <w:r w:rsidR="00AE611A" w:rsidRPr="00AE611A">
        <w:rPr>
          <w:color w:val="D9D9D9" w:themeColor="background1" w:themeShade="D9"/>
          <w:shd w:val="clear" w:color="auto" w:fill="D9D9D9" w:themeFill="background1" w:themeFillShade="D9"/>
        </w:rPr>
        <w:t>....</w:t>
      </w:r>
      <w:r w:rsidR="00AE611A" w:rsidRPr="00AE611A">
        <w:rPr>
          <w:color w:val="D9D9D9" w:themeColor="background1" w:themeShade="D9"/>
          <w:shd w:val="clear" w:color="auto" w:fill="D9D9D9" w:themeFill="background1" w:themeFillShade="D9"/>
        </w:rPr>
        <w:br/>
      </w:r>
      <w:r w:rsidRPr="00AE611A">
        <w:rPr>
          <w:color w:val="D9D9D9" w:themeColor="background1" w:themeShade="D9"/>
          <w:shd w:val="clear" w:color="auto" w:fill="D9D9D9" w:themeFill="background1" w:themeFillShade="D9"/>
        </w:rPr>
        <w:t>……………………………………………………………...……………………...…………</w:t>
      </w:r>
      <w:r w:rsidR="00AE611A" w:rsidRPr="00AE611A">
        <w:rPr>
          <w:color w:val="D9D9D9" w:themeColor="background1" w:themeShade="D9"/>
          <w:shd w:val="clear" w:color="auto" w:fill="D9D9D9" w:themeFill="background1" w:themeFillShade="D9"/>
        </w:rPr>
        <w:t>…</w:t>
      </w:r>
      <w:r w:rsidR="00AE611A" w:rsidRPr="00AE611A">
        <w:rPr>
          <w:color w:val="D9D9D9" w:themeColor="background1" w:themeShade="D9"/>
          <w:shd w:val="clear" w:color="auto" w:fill="D9D9D9" w:themeFill="background1" w:themeFillShade="D9"/>
        </w:rPr>
        <w:br/>
      </w:r>
      <w:r w:rsidRPr="00AE611A">
        <w:rPr>
          <w:color w:val="D9D9D9" w:themeColor="background1" w:themeShade="D9"/>
          <w:shd w:val="clear" w:color="auto" w:fill="D9D9D9" w:themeFill="background1" w:themeFillShade="D9"/>
        </w:rPr>
        <w:t>………………………………………………………………</w:t>
      </w:r>
      <w:r w:rsidR="005F2374" w:rsidRPr="00AE611A">
        <w:rPr>
          <w:color w:val="D9D9D9" w:themeColor="background1" w:themeShade="D9"/>
          <w:shd w:val="clear" w:color="auto" w:fill="D9D9D9" w:themeFill="background1" w:themeFillShade="D9"/>
        </w:rPr>
        <w:t>………………………………</w:t>
      </w:r>
      <w:r w:rsidR="00AE611A" w:rsidRPr="00AE611A">
        <w:rPr>
          <w:color w:val="D9D9D9" w:themeColor="background1" w:themeShade="D9"/>
          <w:shd w:val="clear" w:color="auto" w:fill="D9D9D9" w:themeFill="background1" w:themeFillShade="D9"/>
        </w:rPr>
        <w:t>…..</w:t>
      </w:r>
      <w:r w:rsidR="00AE611A" w:rsidRPr="00AE611A">
        <w:rPr>
          <w:color w:val="D9D9D9" w:themeColor="background1" w:themeShade="D9"/>
          <w:shd w:val="clear" w:color="auto" w:fill="D9D9D9" w:themeFill="background1" w:themeFillShade="D9"/>
        </w:rPr>
        <w:br/>
      </w:r>
      <w:r w:rsidR="005F2374" w:rsidRPr="00AE611A">
        <w:rPr>
          <w:color w:val="D9D9D9" w:themeColor="background1" w:themeShade="D9"/>
          <w:shd w:val="clear" w:color="auto" w:fill="D9D9D9" w:themeFill="background1" w:themeFillShade="D9"/>
        </w:rPr>
        <w:t>………………</w:t>
      </w:r>
      <w:r w:rsidR="00C0314B" w:rsidRPr="00AE611A">
        <w:rPr>
          <w:color w:val="D9D9D9" w:themeColor="background1" w:themeShade="D9"/>
          <w:shd w:val="clear" w:color="auto" w:fill="D9D9D9" w:themeFill="background1" w:themeFillShade="D9"/>
        </w:rPr>
        <w:t>…......…</w:t>
      </w:r>
      <w:r w:rsidR="005F2374" w:rsidRPr="00AE611A">
        <w:rPr>
          <w:color w:val="D9D9D9" w:themeColor="background1" w:themeShade="D9"/>
          <w:shd w:val="clear" w:color="auto" w:fill="D9D9D9" w:themeFill="background1" w:themeFillShade="D9"/>
        </w:rPr>
        <w:t>…..…………………………………………………….</w:t>
      </w:r>
      <w:r w:rsidRPr="00AE611A">
        <w:rPr>
          <w:color w:val="D9D9D9" w:themeColor="background1" w:themeShade="D9"/>
          <w:shd w:val="clear" w:color="auto" w:fill="D9D9D9" w:themeFill="background1" w:themeFillShade="D9"/>
        </w:rPr>
        <w:t>………………</w:t>
      </w:r>
    </w:p>
    <w:p w14:paraId="656324D8" w14:textId="77777777" w:rsidR="00617423" w:rsidRDefault="00617423" w:rsidP="00617423">
      <w:pPr>
        <w:pStyle w:val="Heading1"/>
      </w:pPr>
      <w:r>
        <w:t>Next Steps</w:t>
      </w:r>
    </w:p>
    <w:p w14:paraId="27894CE9" w14:textId="77777777" w:rsidR="00617423" w:rsidRDefault="00617423" w:rsidP="00617423">
      <w:pPr>
        <w:pStyle w:val="NumberedParagraphCabStandard"/>
      </w:pPr>
      <w:r>
        <w:t xml:space="preserve">Details of key deliverables is included in </w:t>
      </w:r>
      <w:r w:rsidR="005E1C25">
        <w:t>attachment</w:t>
      </w:r>
      <w:r>
        <w:t xml:space="preserve"> 3.  A high priority area is addressing anomalies in the taxation of land and officials working towards a consultation paper with proposals, to be released in the second half of 2019, and enactment </w:t>
      </w:r>
      <w:r w:rsidR="00AE5105">
        <w:t>sometime</w:t>
      </w:r>
      <w:r>
        <w:t xml:space="preserve"> next year.  Initial reports or proposals </w:t>
      </w:r>
      <w:r w:rsidR="00CD6B93">
        <w:t>on</w:t>
      </w:r>
      <w:r>
        <w:t xml:space="preserve"> the other areas of the TPWP are expected later this year</w:t>
      </w:r>
      <w:r w:rsidR="00CD6B93">
        <w:t>.  H</w:t>
      </w:r>
      <w:r>
        <w:t>ow quickly the</w:t>
      </w:r>
      <w:r w:rsidR="00CD6B93">
        <w:t>se other areas</w:t>
      </w:r>
      <w:r>
        <w:t xml:space="preserve"> progress to </w:t>
      </w:r>
      <w:r>
        <w:lastRenderedPageBreak/>
        <w:t>government reforms and legislation will depend on weighing their relative priorities in 2020.</w:t>
      </w:r>
    </w:p>
    <w:p w14:paraId="59584356" w14:textId="77777777" w:rsidR="00125D95" w:rsidRPr="00C65945" w:rsidRDefault="00125D95" w:rsidP="003B5967">
      <w:pPr>
        <w:pStyle w:val="Heading1"/>
      </w:pPr>
      <w:r w:rsidRPr="00C65945">
        <w:t>Consultation</w:t>
      </w:r>
    </w:p>
    <w:p w14:paraId="2A1C1907" w14:textId="77777777" w:rsidR="002B1FB9" w:rsidRDefault="00D02654" w:rsidP="002B1FB9">
      <w:pPr>
        <w:pStyle w:val="NumberedParagraphCabStandard"/>
      </w:pPr>
      <w:r>
        <w:t>Officials</w:t>
      </w:r>
      <w:r w:rsidR="002B1FB9">
        <w:t xml:space="preserve"> from Inland Revenue and the Treasury </w:t>
      </w:r>
      <w:r w:rsidR="00E05769">
        <w:t xml:space="preserve">have been </w:t>
      </w:r>
      <w:r w:rsidR="002B1FB9">
        <w:t xml:space="preserve">involved in refreshing the TPWP for 2019-20.  </w:t>
      </w:r>
    </w:p>
    <w:p w14:paraId="12F8F2C5" w14:textId="77777777" w:rsidR="008A7039" w:rsidRDefault="002B1FB9" w:rsidP="00C65945">
      <w:pPr>
        <w:pStyle w:val="NumberedParagraphCabStandard"/>
      </w:pPr>
      <w:bookmarkStart w:id="1" w:name="_Hlk12354488"/>
      <w:r>
        <w:t>As part of the development of the refreshed TPWP, officials undertook high-level discussions with the following stakeholders: New Zealand Bankers’ Association, the Corporate Taxpayers’ Group,</w:t>
      </w:r>
      <w:r w:rsidR="00EA50DC">
        <w:t xml:space="preserve"> and</w:t>
      </w:r>
      <w:r>
        <w:t xml:space="preserve"> Chartered Accountants Australia New Zealand</w:t>
      </w:r>
      <w:r w:rsidR="00EA50DC">
        <w:t xml:space="preserve">. </w:t>
      </w:r>
      <w:r w:rsidR="001A76BF">
        <w:t>The purpose of these discussions was to provide stakeholders with a broad overview of the priorities for the next TPWP and, in turn, allow stakeholders to outline the areas of inquiry which they considered should inform the Government’s priorities. Other stakeholders, such as the Small Business Council, were consulted on specific items on the refreshed TPWP.</w:t>
      </w:r>
    </w:p>
    <w:bookmarkEnd w:id="1"/>
    <w:p w14:paraId="73861F25" w14:textId="77777777" w:rsidR="008E4B0D" w:rsidRDefault="00971CA0" w:rsidP="00C65945">
      <w:pPr>
        <w:pStyle w:val="NumberedParagraphCabStandard"/>
      </w:pPr>
      <w:r>
        <w:t xml:space="preserve">Officials have provided a copy of the draft TPWP </w:t>
      </w:r>
      <w:r w:rsidR="00411D2A">
        <w:t>to G</w:t>
      </w:r>
      <w:r>
        <w:t xml:space="preserve">overnment agencies including:  </w:t>
      </w:r>
      <w:r w:rsidR="00411D2A">
        <w:t xml:space="preserve">the </w:t>
      </w:r>
      <w:r>
        <w:t>Ministry of Business</w:t>
      </w:r>
      <w:r w:rsidRPr="00A0429D">
        <w:t xml:space="preserve">, Innovation and Employment, </w:t>
      </w:r>
      <w:r w:rsidR="00411D2A" w:rsidRPr="00A0429D">
        <w:t xml:space="preserve">the </w:t>
      </w:r>
      <w:r w:rsidRPr="00A0429D">
        <w:t xml:space="preserve">Ministry of Education, </w:t>
      </w:r>
      <w:r w:rsidR="00411D2A" w:rsidRPr="00A0429D">
        <w:t xml:space="preserve">the </w:t>
      </w:r>
      <w:r w:rsidRPr="00A0429D">
        <w:t xml:space="preserve">Ministry of Social Development, </w:t>
      </w:r>
      <w:r w:rsidR="00411D2A" w:rsidRPr="00A0429D">
        <w:t xml:space="preserve">the </w:t>
      </w:r>
      <w:r w:rsidRPr="00A0429D">
        <w:t xml:space="preserve">Ministry for the Environment, </w:t>
      </w:r>
      <w:r w:rsidR="00411D2A" w:rsidRPr="00A0429D">
        <w:t xml:space="preserve">the </w:t>
      </w:r>
      <w:r w:rsidRPr="00A0429D">
        <w:t>Department of Internal Affairs,</w:t>
      </w:r>
      <w:r w:rsidR="00411D2A" w:rsidRPr="00A0429D">
        <w:t xml:space="preserve"> </w:t>
      </w:r>
      <w:r w:rsidR="00AC4D10" w:rsidRPr="00A0429D">
        <w:t>the Ministry of Housing and Urban Development</w:t>
      </w:r>
      <w:r w:rsidR="00411D2A" w:rsidRPr="00A0429D">
        <w:t>,</w:t>
      </w:r>
      <w:r w:rsidR="00AC4D10" w:rsidRPr="00A0429D">
        <w:t xml:space="preserve"> Land Information New Zealand</w:t>
      </w:r>
      <w:r w:rsidR="002F7ED0" w:rsidRPr="00A0429D">
        <w:t xml:space="preserve">, ACC, </w:t>
      </w:r>
      <w:r w:rsidR="002F7ED0" w:rsidRPr="00A0429D">
        <w:rPr>
          <w:rStyle w:val="Emphasis"/>
          <w:rFonts w:cs="Arial"/>
          <w:bCs/>
          <w:i w:val="0"/>
          <w:iCs w:val="0"/>
          <w:shd w:val="clear" w:color="auto" w:fill="FFFFFF"/>
        </w:rPr>
        <w:t xml:space="preserve">Te </w:t>
      </w:r>
      <w:proofErr w:type="spellStart"/>
      <w:r w:rsidR="002F7ED0" w:rsidRPr="00A0429D">
        <w:rPr>
          <w:rStyle w:val="Emphasis"/>
          <w:rFonts w:cs="Arial"/>
          <w:bCs/>
          <w:i w:val="0"/>
          <w:iCs w:val="0"/>
          <w:shd w:val="clear" w:color="auto" w:fill="FFFFFF"/>
        </w:rPr>
        <w:t>Puni</w:t>
      </w:r>
      <w:proofErr w:type="spellEnd"/>
      <w:r w:rsidR="002F7ED0" w:rsidRPr="00A0429D">
        <w:rPr>
          <w:rStyle w:val="Emphasis"/>
          <w:rFonts w:cs="Arial"/>
          <w:bCs/>
          <w:i w:val="0"/>
          <w:iCs w:val="0"/>
          <w:shd w:val="clear" w:color="auto" w:fill="FFFFFF"/>
        </w:rPr>
        <w:t xml:space="preserve"> </w:t>
      </w:r>
      <w:proofErr w:type="spellStart"/>
      <w:r w:rsidR="002F7ED0" w:rsidRPr="00A0429D">
        <w:rPr>
          <w:rStyle w:val="Emphasis"/>
          <w:rFonts w:cs="Arial"/>
          <w:bCs/>
          <w:i w:val="0"/>
          <w:iCs w:val="0"/>
          <w:shd w:val="clear" w:color="auto" w:fill="FFFFFF"/>
        </w:rPr>
        <w:t>Kōkiri</w:t>
      </w:r>
      <w:proofErr w:type="spellEnd"/>
      <w:r w:rsidR="002F7ED0" w:rsidRPr="00A0429D">
        <w:rPr>
          <w:rStyle w:val="Emphasis"/>
          <w:rFonts w:cs="Arial"/>
          <w:bCs/>
          <w:i w:val="0"/>
          <w:iCs w:val="0"/>
          <w:shd w:val="clear" w:color="auto" w:fill="FFFFFF"/>
        </w:rPr>
        <w:t xml:space="preserve">, Te </w:t>
      </w:r>
      <w:proofErr w:type="spellStart"/>
      <w:r w:rsidR="002F7ED0" w:rsidRPr="00A0429D">
        <w:rPr>
          <w:rStyle w:val="Emphasis"/>
          <w:rFonts w:cs="Arial"/>
          <w:bCs/>
          <w:i w:val="0"/>
          <w:iCs w:val="0"/>
          <w:shd w:val="clear" w:color="auto" w:fill="FFFFFF"/>
        </w:rPr>
        <w:t>Arawhiti</w:t>
      </w:r>
      <w:proofErr w:type="spellEnd"/>
      <w:r w:rsidR="002F7ED0" w:rsidRPr="00A0429D">
        <w:rPr>
          <w:rStyle w:val="Emphasis"/>
          <w:rFonts w:cs="Arial"/>
          <w:bCs/>
          <w:i w:val="0"/>
          <w:iCs w:val="0"/>
          <w:shd w:val="clear" w:color="auto" w:fill="FFFFFF"/>
        </w:rPr>
        <w:t>,</w:t>
      </w:r>
      <w:r w:rsidR="002F7ED0" w:rsidRPr="00A0429D">
        <w:t xml:space="preserve"> the Department of Prime Minister and Cabinet</w:t>
      </w:r>
      <w:r w:rsidRPr="00A0429D">
        <w:t xml:space="preserve"> </w:t>
      </w:r>
      <w:r w:rsidR="00411D2A" w:rsidRPr="00A0429D">
        <w:t xml:space="preserve">and </w:t>
      </w:r>
      <w:r w:rsidRPr="00A0429D">
        <w:t>the Ministry of Foreign Affairs and Trade</w:t>
      </w:r>
      <w:r w:rsidR="00411D2A" w:rsidRPr="00A0429D">
        <w:t>.</w:t>
      </w:r>
      <w:r w:rsidRPr="00A0429D">
        <w:t xml:space="preserve"> </w:t>
      </w:r>
      <w:r w:rsidR="008A7039" w:rsidRPr="00A0429D">
        <w:t>The consultation undertaken to date is only the first step of a wider strategy for engagement.</w:t>
      </w:r>
      <w:r w:rsidR="008E4B0D" w:rsidRPr="00A0429D">
        <w:t xml:space="preserve"> Further</w:t>
      </w:r>
      <w:r w:rsidR="00411D2A" w:rsidRPr="00A0429D">
        <w:t xml:space="preserve">, more detailed </w:t>
      </w:r>
      <w:r w:rsidR="008E4B0D" w:rsidRPr="00A0429D">
        <w:t xml:space="preserve">engagement is planned as the policy development process begins for each individual item or </w:t>
      </w:r>
      <w:r w:rsidR="00530E2A" w:rsidRPr="00A0429D">
        <w:t xml:space="preserve">workstream </w:t>
      </w:r>
      <w:r w:rsidR="008E4B0D" w:rsidRPr="00A0429D">
        <w:t>on the TPWP.</w:t>
      </w:r>
      <w:r w:rsidR="008A7039" w:rsidRPr="00A0429D">
        <w:t xml:space="preserve"> </w:t>
      </w:r>
      <w:r w:rsidR="008E4B0D" w:rsidRPr="00A0429D">
        <w:t xml:space="preserve">Effective engagement </w:t>
      </w:r>
      <w:r w:rsidR="008E4B0D" w:rsidRPr="008E4B0D">
        <w:t xml:space="preserve">will require: </w:t>
      </w:r>
    </w:p>
    <w:p w14:paraId="7B65B564" w14:textId="77777777" w:rsidR="008E4B0D" w:rsidRDefault="00C872A9" w:rsidP="007F1193">
      <w:pPr>
        <w:pStyle w:val="NumberedParagraphCabStandard"/>
        <w:numPr>
          <w:ilvl w:val="1"/>
          <w:numId w:val="1"/>
        </w:numPr>
      </w:pPr>
      <w:r>
        <w:t>g</w:t>
      </w:r>
      <w:r w:rsidR="008E4B0D" w:rsidRPr="008E4B0D">
        <w:t xml:space="preserve">reater integration and networking </w:t>
      </w:r>
      <w:r>
        <w:t xml:space="preserve">across a wider set of stakeholders and interested parties, including other businesses, social partners, </w:t>
      </w:r>
      <w:r w:rsidRPr="00FA71AF">
        <w:t>Māori</w:t>
      </w:r>
      <w:r>
        <w:t>/iwi and across Governmen</w:t>
      </w:r>
      <w:r w:rsidRPr="001D2F7E">
        <w:t>t</w:t>
      </w:r>
      <w:r>
        <w:t>;</w:t>
      </w:r>
    </w:p>
    <w:p w14:paraId="07ECAD5A" w14:textId="77777777" w:rsidR="008E4B0D" w:rsidRDefault="008E4B0D" w:rsidP="007F1193">
      <w:pPr>
        <w:pStyle w:val="NumberedParagraphCabStandard"/>
        <w:numPr>
          <w:ilvl w:val="1"/>
          <w:numId w:val="1"/>
        </w:numPr>
      </w:pPr>
      <w:r w:rsidRPr="008E4B0D">
        <w:t>seeking stakeholder perspectives at all stages in the policy development process</w:t>
      </w:r>
      <w:r w:rsidR="00C872A9">
        <w:t>; and</w:t>
      </w:r>
    </w:p>
    <w:p w14:paraId="1DC2F817" w14:textId="77777777" w:rsidR="008E4B0D" w:rsidRDefault="008E4B0D" w:rsidP="007F1193">
      <w:pPr>
        <w:pStyle w:val="NumberedParagraphCabStandard"/>
        <w:numPr>
          <w:ilvl w:val="1"/>
          <w:numId w:val="1"/>
        </w:numPr>
      </w:pPr>
      <w:r w:rsidRPr="008E4B0D">
        <w:t>greater diversity and inclusion in the policy process, through involvement of other areas and applying differing 'lenses' to a common problem/issue/opportunity</w:t>
      </w:r>
      <w:r w:rsidR="00C872A9">
        <w:t>.</w:t>
      </w:r>
    </w:p>
    <w:p w14:paraId="5BB44C24" w14:textId="77777777" w:rsidR="008A7039" w:rsidRDefault="008A7039" w:rsidP="00C65945">
      <w:pPr>
        <w:pStyle w:val="NumberedParagraphCabStandard"/>
      </w:pPr>
      <w:r>
        <w:t xml:space="preserve">Once the refreshed TPWP is announced, we expect officials to start </w:t>
      </w:r>
      <w:r w:rsidR="00C872A9">
        <w:t xml:space="preserve">the </w:t>
      </w:r>
      <w:r>
        <w:t>engag</w:t>
      </w:r>
      <w:r w:rsidR="00C872A9">
        <w:t>ement process</w:t>
      </w:r>
      <w:r w:rsidR="00FA71AF" w:rsidRPr="007F1193">
        <w:t>.</w:t>
      </w:r>
      <w:r w:rsidR="00C872A9">
        <w:t xml:space="preserve"> </w:t>
      </w:r>
    </w:p>
    <w:p w14:paraId="2ED9ED5A" w14:textId="77777777" w:rsidR="00125D95" w:rsidRPr="008A7039" w:rsidRDefault="00C65945" w:rsidP="007F1193">
      <w:pPr>
        <w:pStyle w:val="NumberedParagraphCabStandard"/>
        <w:keepNext/>
        <w:numPr>
          <w:ilvl w:val="0"/>
          <w:numId w:val="0"/>
        </w:numPr>
        <w:rPr>
          <w:b/>
        </w:rPr>
      </w:pPr>
      <w:r w:rsidRPr="008A7039">
        <w:rPr>
          <w:b/>
        </w:rPr>
        <w:t>Financial Implications</w:t>
      </w:r>
    </w:p>
    <w:p w14:paraId="79735B3A" w14:textId="77777777" w:rsidR="006412CD" w:rsidRDefault="00FB03D3" w:rsidP="007F1193">
      <w:pPr>
        <w:pStyle w:val="NumberedParagraphCabStandard"/>
        <w:keepNext/>
      </w:pPr>
      <w:r>
        <w:t>While</w:t>
      </w:r>
      <w:r w:rsidR="006412CD">
        <w:t xml:space="preserve"> t</w:t>
      </w:r>
      <w:r w:rsidR="00FC1FDE">
        <w:t xml:space="preserve">he </w:t>
      </w:r>
      <w:r w:rsidR="00BA2AA8">
        <w:t>TPWP</w:t>
      </w:r>
      <w:r w:rsidR="00375F49">
        <w:t xml:space="preserve"> refresh</w:t>
      </w:r>
      <w:r w:rsidR="00BA2AA8">
        <w:t xml:space="preserve"> </w:t>
      </w:r>
      <w:r w:rsidR="00FC1FDE">
        <w:t>does</w:t>
      </w:r>
      <w:r w:rsidR="00375F49">
        <w:t xml:space="preserve"> not</w:t>
      </w:r>
      <w:r w:rsidR="00FC1FDE">
        <w:t xml:space="preserve"> </w:t>
      </w:r>
      <w:r w:rsidR="006412CD">
        <w:t>give rise to any</w:t>
      </w:r>
      <w:r w:rsidR="00FC1FDE">
        <w:t xml:space="preserve"> fiscal imp</w:t>
      </w:r>
      <w:r w:rsidR="006412CD">
        <w:t>lications</w:t>
      </w:r>
      <w:r w:rsidR="00375F49">
        <w:t xml:space="preserve"> itself</w:t>
      </w:r>
      <w:r>
        <w:t xml:space="preserve">, the potential fiscal impacts for the items on the TPWP were considered as part of the overall development of the TPWP.  </w:t>
      </w:r>
    </w:p>
    <w:p w14:paraId="597FAF7D" w14:textId="77777777" w:rsidR="006412CD" w:rsidRDefault="00BA2AA8" w:rsidP="006412CD">
      <w:pPr>
        <w:pStyle w:val="NumberedParagraphCabStandard"/>
      </w:pPr>
      <w:r>
        <w:t xml:space="preserve">As items of work on the TPWP progress through the policy development process, consideration will be given to the fiscal impacts (if any) of each proposal.  </w:t>
      </w:r>
      <w:r w:rsidR="006412CD">
        <w:t>We note that s</w:t>
      </w:r>
      <w:r w:rsidR="00FC1FDE">
        <w:t>ome items on</w:t>
      </w:r>
      <w:r w:rsidR="00FB03D3">
        <w:t xml:space="preserve"> the TPWP</w:t>
      </w:r>
      <w:r w:rsidR="00FC1FDE">
        <w:t xml:space="preserve"> </w:t>
      </w:r>
      <w:r>
        <w:t>will</w:t>
      </w:r>
      <w:r w:rsidR="00FC1FDE">
        <w:t xml:space="preserve"> have</w:t>
      </w:r>
      <w:r w:rsidR="006412CD">
        <w:t xml:space="preserve"> (potentially significant)</w:t>
      </w:r>
      <w:r w:rsidR="00FC1FDE">
        <w:t xml:space="preserve"> fiscal impacts</w:t>
      </w:r>
      <w:r w:rsidR="006412CD">
        <w:t xml:space="preserve"> </w:t>
      </w:r>
      <w:r w:rsidR="00FC1FDE">
        <w:t>if the Government ultimately decides to</w:t>
      </w:r>
      <w:r w:rsidR="006412CD">
        <w:t xml:space="preserve"> progress them to implementation</w:t>
      </w:r>
      <w:r w:rsidR="00FC1FDE">
        <w:t>.</w:t>
      </w:r>
      <w:r>
        <w:t xml:space="preserve">  Ultimately, these will be managed through the tax policy scorecard </w:t>
      </w:r>
      <w:r w:rsidR="00617423">
        <w:t xml:space="preserve">and </w:t>
      </w:r>
      <w:r>
        <w:t>the Budget process.</w:t>
      </w:r>
    </w:p>
    <w:p w14:paraId="127C2C26" w14:textId="77777777" w:rsidR="00125D95" w:rsidRPr="006412CD" w:rsidRDefault="00125D95" w:rsidP="00FC1FDE">
      <w:pPr>
        <w:pStyle w:val="NumberedParagraphCabStandard"/>
        <w:numPr>
          <w:ilvl w:val="0"/>
          <w:numId w:val="0"/>
        </w:numPr>
        <w:rPr>
          <w:b/>
        </w:rPr>
      </w:pPr>
      <w:r w:rsidRPr="006412CD">
        <w:rPr>
          <w:b/>
        </w:rPr>
        <w:lastRenderedPageBreak/>
        <w:t>Legislative Implications</w:t>
      </w:r>
    </w:p>
    <w:p w14:paraId="40B66A32" w14:textId="77777777" w:rsidR="00287953" w:rsidRDefault="00145364" w:rsidP="00B57E6C">
      <w:pPr>
        <w:pStyle w:val="NumberedParagraphCabStandard"/>
      </w:pPr>
      <w:r>
        <w:t xml:space="preserve">The </w:t>
      </w:r>
      <w:r w:rsidR="00BA2AA8">
        <w:t xml:space="preserve">TPWP </w:t>
      </w:r>
      <w:r w:rsidR="001D2F7E">
        <w:t>refresh</w:t>
      </w:r>
      <w:r w:rsidR="00B57E6C">
        <w:t xml:space="preserve"> does not require legislative changes.  However, many items on the</w:t>
      </w:r>
      <w:r w:rsidR="00BA2AA8">
        <w:t xml:space="preserve"> TPWP</w:t>
      </w:r>
      <w:r w:rsidR="00B57E6C">
        <w:t xml:space="preserve"> will require changes to legislation if the Government chooses to progress them.  These changes will generally be, but not limited to, the Income Tax Act 2007, the Tax Administration</w:t>
      </w:r>
      <w:r w:rsidR="00BF54C3">
        <w:t xml:space="preserve"> Act 1994</w:t>
      </w:r>
      <w:r w:rsidR="001D2F7E">
        <w:t>,</w:t>
      </w:r>
      <w:r w:rsidR="00B57E6C">
        <w:t xml:space="preserve"> and the Goods and Services Tax Act 1985.</w:t>
      </w:r>
    </w:p>
    <w:p w14:paraId="3114E971" w14:textId="77777777" w:rsidR="00125D95" w:rsidRPr="00C65945" w:rsidRDefault="00125D95" w:rsidP="00287953">
      <w:pPr>
        <w:pStyle w:val="Heading1"/>
      </w:pPr>
      <w:r w:rsidRPr="00C65945">
        <w:t>Impact Analysis</w:t>
      </w:r>
    </w:p>
    <w:p w14:paraId="0A4C4F66" w14:textId="77777777" w:rsidR="00B57E6C" w:rsidRDefault="00B57E6C" w:rsidP="00B57E6C">
      <w:pPr>
        <w:pStyle w:val="NumberedParagraphCabStandard"/>
      </w:pPr>
      <w:r>
        <w:t xml:space="preserve">A Regulatory Impact Analysis statement (RIA) is not required for </w:t>
      </w:r>
      <w:r w:rsidR="00BA2AA8">
        <w:t>the TPWP</w:t>
      </w:r>
      <w:r>
        <w:t xml:space="preserve">.  Inland Revenue and the Treasury will prepare RIAs for specific projects on the </w:t>
      </w:r>
      <w:r w:rsidR="001D2F7E">
        <w:t>TPWP</w:t>
      </w:r>
      <w:r>
        <w:t xml:space="preserve"> as required. </w:t>
      </w:r>
    </w:p>
    <w:p w14:paraId="2C8EAA23" w14:textId="77777777" w:rsidR="001A34A8" w:rsidRPr="00B57E6C" w:rsidRDefault="001A34A8" w:rsidP="00B57E6C">
      <w:pPr>
        <w:pStyle w:val="NumberedParagraphCabStandard"/>
        <w:numPr>
          <w:ilvl w:val="0"/>
          <w:numId w:val="0"/>
        </w:numPr>
        <w:rPr>
          <w:b/>
        </w:rPr>
      </w:pPr>
      <w:r w:rsidRPr="00B57E6C">
        <w:rPr>
          <w:b/>
        </w:rPr>
        <w:t>Human Rights</w:t>
      </w:r>
    </w:p>
    <w:p w14:paraId="7821CF63" w14:textId="77777777" w:rsidR="003B29CC" w:rsidRDefault="003B29CC" w:rsidP="003B29CC">
      <w:pPr>
        <w:pStyle w:val="NumberedParagraphCabStandard"/>
      </w:pPr>
      <w:r>
        <w:t xml:space="preserve">The </w:t>
      </w:r>
      <w:r w:rsidR="00BA2AA8">
        <w:t xml:space="preserve">TPWP </w:t>
      </w:r>
      <w:r w:rsidR="001D2F7E">
        <w:t>refresh</w:t>
      </w:r>
      <w:r w:rsidR="00BA2AA8">
        <w:t xml:space="preserve"> is</w:t>
      </w:r>
      <w:r>
        <w:t xml:space="preserve"> consistent with the Human Rights Act 1993 and the Bill of Rights Act 1990.  Human rights and Bill of Rights implications will be considered within the specific projects on the </w:t>
      </w:r>
      <w:r w:rsidR="002B1FB9">
        <w:t xml:space="preserve">TPWP </w:t>
      </w:r>
      <w:r>
        <w:t>when they are being developed.</w:t>
      </w:r>
    </w:p>
    <w:p w14:paraId="441DFE87" w14:textId="77777777" w:rsidR="00125D95" w:rsidRPr="003B29CC" w:rsidRDefault="00125D95" w:rsidP="003B29CC">
      <w:pPr>
        <w:pStyle w:val="NumberedParagraphCabStandard"/>
        <w:numPr>
          <w:ilvl w:val="0"/>
          <w:numId w:val="0"/>
        </w:numPr>
        <w:rPr>
          <w:b/>
        </w:rPr>
      </w:pPr>
      <w:r w:rsidRPr="003B29CC">
        <w:rPr>
          <w:b/>
        </w:rPr>
        <w:t xml:space="preserve">Gender </w:t>
      </w:r>
      <w:r w:rsidR="003B29CC">
        <w:rPr>
          <w:b/>
        </w:rPr>
        <w:t xml:space="preserve">and </w:t>
      </w:r>
      <w:r w:rsidRPr="003B29CC">
        <w:rPr>
          <w:b/>
        </w:rPr>
        <w:t>Implications</w:t>
      </w:r>
    </w:p>
    <w:p w14:paraId="4DBA5ABB" w14:textId="77777777" w:rsidR="00125D95" w:rsidRDefault="002B1FB9" w:rsidP="00125D95">
      <w:pPr>
        <w:pStyle w:val="NumberedParagraphCabStandard"/>
      </w:pPr>
      <w:r>
        <w:t>This paper does not</w:t>
      </w:r>
      <w:r w:rsidR="00B57E6C">
        <w:t xml:space="preserve"> give rise to any gender implications.  Any impacts will be considered within each specific project on the work programme.</w:t>
      </w:r>
    </w:p>
    <w:p w14:paraId="0137A209" w14:textId="77777777" w:rsidR="00125D95" w:rsidRPr="00C65945" w:rsidRDefault="00C65945" w:rsidP="00C65945">
      <w:pPr>
        <w:pStyle w:val="Heading1"/>
      </w:pPr>
      <w:r>
        <w:t>Disability Perspective</w:t>
      </w:r>
    </w:p>
    <w:p w14:paraId="4E4FEE8A" w14:textId="77777777" w:rsidR="00125D95" w:rsidRDefault="002B1FB9" w:rsidP="00125D95">
      <w:pPr>
        <w:pStyle w:val="NumberedParagraphCabStandard"/>
      </w:pPr>
      <w:r>
        <w:t xml:space="preserve">This paper does not raise </w:t>
      </w:r>
      <w:r w:rsidR="003B29CC">
        <w:t>any disability issues.</w:t>
      </w:r>
    </w:p>
    <w:p w14:paraId="6B7EF19C" w14:textId="77777777" w:rsidR="00125D95" w:rsidRPr="00C65945" w:rsidRDefault="00125D95" w:rsidP="00C65945">
      <w:pPr>
        <w:pStyle w:val="Heading1"/>
      </w:pPr>
      <w:r w:rsidRPr="00C65945">
        <w:t>Publicity</w:t>
      </w:r>
    </w:p>
    <w:p w14:paraId="0007CBF0" w14:textId="77777777" w:rsidR="00FF1E16" w:rsidRPr="00633D76" w:rsidRDefault="001A76BF" w:rsidP="0093667D">
      <w:pPr>
        <w:pStyle w:val="NumberedParagraphCabStandard"/>
      </w:pPr>
      <w:bookmarkStart w:id="2" w:name="_Hlk12352862"/>
      <w:r>
        <w:t>We</w:t>
      </w:r>
      <w:r w:rsidR="007202D5" w:rsidRPr="00633D76">
        <w:t xml:space="preserve"> will announce the </w:t>
      </w:r>
      <w:r w:rsidR="003B29CC" w:rsidRPr="0049750C">
        <w:t xml:space="preserve">refreshed </w:t>
      </w:r>
      <w:r w:rsidR="002B1FB9" w:rsidRPr="00EA50DC">
        <w:t>TPWP</w:t>
      </w:r>
      <w:r w:rsidR="007202D5" w:rsidRPr="00EA50DC">
        <w:t xml:space="preserve"> at </w:t>
      </w:r>
      <w:r w:rsidR="00633D76" w:rsidRPr="00633D76">
        <w:t>an event run by the Young International Fiscal Association Network</w:t>
      </w:r>
      <w:r w:rsidR="00633D76" w:rsidRPr="007F1193" w:rsidDel="00633D76">
        <w:t xml:space="preserve"> </w:t>
      </w:r>
      <w:r>
        <w:t>i</w:t>
      </w:r>
      <w:r w:rsidRPr="007F1193">
        <w:t xml:space="preserve">n </w:t>
      </w:r>
      <w:r>
        <w:t>early</w:t>
      </w:r>
      <w:r w:rsidR="007202D5" w:rsidRPr="007F1193">
        <w:t xml:space="preserve"> August</w:t>
      </w:r>
      <w:r w:rsidR="007202D5" w:rsidRPr="00633D76">
        <w:t>.</w:t>
      </w:r>
      <w:bookmarkEnd w:id="2"/>
      <w:r w:rsidR="0093667D" w:rsidRPr="0049750C">
        <w:t xml:space="preserve">  </w:t>
      </w:r>
      <w:r w:rsidR="005E1C25">
        <w:t>Attachments</w:t>
      </w:r>
      <w:r w:rsidR="007202D5" w:rsidRPr="00EA50DC">
        <w:t xml:space="preserve"> </w:t>
      </w:r>
      <w:r w:rsidR="002D61E0" w:rsidRPr="00EA50DC">
        <w:t>two</w:t>
      </w:r>
      <w:r w:rsidR="00CD6B93">
        <w:t>,</w:t>
      </w:r>
      <w:r w:rsidR="007202D5" w:rsidRPr="00EA50DC">
        <w:t xml:space="preserve"> </w:t>
      </w:r>
      <w:r w:rsidR="002D61E0" w:rsidRPr="00633D76">
        <w:t>three</w:t>
      </w:r>
      <w:r w:rsidR="0093667D" w:rsidRPr="00633D76">
        <w:t xml:space="preserve"> </w:t>
      </w:r>
      <w:r w:rsidR="00CD6B93">
        <w:t xml:space="preserve">and four </w:t>
      </w:r>
      <w:r w:rsidR="00126B22" w:rsidRPr="00633D76">
        <w:t>of</w:t>
      </w:r>
      <w:r w:rsidR="0093667D" w:rsidRPr="00633D76">
        <w:t xml:space="preserve"> this </w:t>
      </w:r>
      <w:r w:rsidR="00126B22" w:rsidRPr="00633D76">
        <w:t>paper</w:t>
      </w:r>
      <w:r w:rsidR="0093667D" w:rsidRPr="00633D76">
        <w:t xml:space="preserve"> will also be published</w:t>
      </w:r>
      <w:r w:rsidR="007202D5" w:rsidRPr="00633D76">
        <w:t xml:space="preserve"> on Inland Revenue’s tax policy website</w:t>
      </w:r>
      <w:r w:rsidR="003B29CC" w:rsidRPr="00633D76">
        <w:t>.</w:t>
      </w:r>
      <w:r w:rsidR="002D61E0" w:rsidRPr="00633D76">
        <w:t xml:space="preserve">  </w:t>
      </w:r>
    </w:p>
    <w:p w14:paraId="462756C8" w14:textId="77777777" w:rsidR="005B44E4" w:rsidRPr="00C65945" w:rsidRDefault="005B44E4" w:rsidP="00126B22">
      <w:pPr>
        <w:pStyle w:val="Heading1"/>
      </w:pPr>
      <w:r w:rsidRPr="00C65945">
        <w:t>P</w:t>
      </w:r>
      <w:r>
        <w:t>roactive Release</w:t>
      </w:r>
    </w:p>
    <w:p w14:paraId="6E391105" w14:textId="77777777" w:rsidR="001A63C9" w:rsidRDefault="001A63C9" w:rsidP="001A63C9">
      <w:pPr>
        <w:pStyle w:val="NumberedParagraphCabStandard"/>
      </w:pPr>
      <w:r>
        <w:t xml:space="preserve">I propose to proactively release this Cabinet paper, associated minutes, and key advice papers </w:t>
      </w:r>
      <w:r w:rsidR="00D114E4">
        <w:t>in part</w:t>
      </w:r>
      <w:r>
        <w:t xml:space="preserve"> within 30 working days of Cabinet </w:t>
      </w:r>
      <w:r w:rsidR="00144AA9">
        <w:t>considering</w:t>
      </w:r>
      <w:r w:rsidR="003B2C5F">
        <w:t xml:space="preserve"> this paper</w:t>
      </w:r>
      <w:r>
        <w:t>.</w:t>
      </w:r>
    </w:p>
    <w:p w14:paraId="1E4ED68B" w14:textId="77777777" w:rsidR="00125D95" w:rsidRPr="00C65945" w:rsidRDefault="00125D95" w:rsidP="00C65945">
      <w:pPr>
        <w:pStyle w:val="Heading1"/>
      </w:pPr>
      <w:r w:rsidRPr="00C65945">
        <w:t>Recommendations</w:t>
      </w:r>
    </w:p>
    <w:p w14:paraId="5189515C" w14:textId="77777777" w:rsidR="00125D95" w:rsidRDefault="00125D95" w:rsidP="00BC1350">
      <w:r>
        <w:t>The Minister</w:t>
      </w:r>
      <w:r w:rsidR="003B29CC">
        <w:t>s</w:t>
      </w:r>
      <w:r>
        <w:t xml:space="preserve"> </w:t>
      </w:r>
      <w:r w:rsidR="00056241">
        <w:t xml:space="preserve">of </w:t>
      </w:r>
      <w:r w:rsidR="003B29CC">
        <w:t xml:space="preserve">Finance and </w:t>
      </w:r>
      <w:r w:rsidR="00056241">
        <w:t>Revenue</w:t>
      </w:r>
      <w:r>
        <w:t xml:space="preserve"> recommend that the </w:t>
      </w:r>
      <w:r w:rsidR="00DA4E93">
        <w:t xml:space="preserve">Cabinet </w:t>
      </w:r>
      <w:r w:rsidR="003B29CC">
        <w:t xml:space="preserve">Economic Development </w:t>
      </w:r>
      <w:r w:rsidR="00DA4E93">
        <w:t>Committee</w:t>
      </w:r>
      <w:r>
        <w:t>:</w:t>
      </w:r>
    </w:p>
    <w:p w14:paraId="1C031F79" w14:textId="77777777" w:rsidR="00125D95" w:rsidRDefault="003B29CC" w:rsidP="00611263">
      <w:pPr>
        <w:pStyle w:val="NumberedParagraphCabStandard"/>
      </w:pPr>
      <w:r w:rsidRPr="00287953">
        <w:rPr>
          <w:rStyle w:val="Emphasis-Bold"/>
        </w:rPr>
        <w:t>N</w:t>
      </w:r>
      <w:r w:rsidR="00125D95" w:rsidRPr="00287953">
        <w:rPr>
          <w:rStyle w:val="Emphasis-Bold"/>
        </w:rPr>
        <w:t>ote</w:t>
      </w:r>
      <w:r>
        <w:t xml:space="preserve"> </w:t>
      </w:r>
      <w:r w:rsidR="00EC183A">
        <w:t xml:space="preserve">that </w:t>
      </w:r>
      <w:r>
        <w:t>the Government’s Tax Policy Work Programme</w:t>
      </w:r>
      <w:r w:rsidR="002B1FB9">
        <w:t xml:space="preserve"> (TPWP)</w:t>
      </w:r>
      <w:r>
        <w:t xml:space="preserve"> </w:t>
      </w:r>
      <w:r w:rsidR="00EC183A">
        <w:t xml:space="preserve">has been refreshed </w:t>
      </w:r>
      <w:r>
        <w:t>for 2019-20</w:t>
      </w:r>
      <w:r w:rsidR="00EC183A">
        <w:t xml:space="preserve"> (as outlined in </w:t>
      </w:r>
      <w:r w:rsidR="002B1FB9">
        <w:t xml:space="preserve">this paper and the associated </w:t>
      </w:r>
      <w:r w:rsidR="005E1C25">
        <w:t>attachments</w:t>
      </w:r>
      <w:r w:rsidR="00EC183A">
        <w:t>).</w:t>
      </w:r>
    </w:p>
    <w:p w14:paraId="3EDB31C2" w14:textId="29167E04" w:rsidR="00EC183A" w:rsidRDefault="00EC183A" w:rsidP="00125D95">
      <w:pPr>
        <w:pStyle w:val="NumberedParagraphCabStandard"/>
        <w:rPr>
          <w:rStyle w:val="Emphasis-Bold"/>
          <w:b w:val="0"/>
        </w:rPr>
      </w:pPr>
      <w:r>
        <w:rPr>
          <w:rStyle w:val="Emphasis-Bold"/>
        </w:rPr>
        <w:t xml:space="preserve">Note </w:t>
      </w:r>
      <w:r w:rsidRPr="00EC183A">
        <w:rPr>
          <w:rStyle w:val="Emphasis-Bold"/>
          <w:b w:val="0"/>
        </w:rPr>
        <w:t xml:space="preserve">that </w:t>
      </w:r>
      <w:r w:rsidR="00631119">
        <w:rPr>
          <w:rStyle w:val="Emphasis-Bold"/>
          <w:b w:val="0"/>
        </w:rPr>
        <w:t>we</w:t>
      </w:r>
      <w:r w:rsidRPr="00EC183A">
        <w:rPr>
          <w:rStyle w:val="Emphasis-Bold"/>
          <w:b w:val="0"/>
        </w:rPr>
        <w:t xml:space="preserve"> will announce the refreshed </w:t>
      </w:r>
      <w:r w:rsidR="002B1FB9">
        <w:rPr>
          <w:rStyle w:val="Emphasis-Bold"/>
          <w:b w:val="0"/>
        </w:rPr>
        <w:t>TPWP</w:t>
      </w:r>
      <w:r w:rsidRPr="00EC183A">
        <w:rPr>
          <w:rStyle w:val="Emphasis-Bold"/>
          <w:b w:val="0"/>
        </w:rPr>
        <w:t xml:space="preserve"> </w:t>
      </w:r>
      <w:r w:rsidR="008C65D8">
        <w:rPr>
          <w:rStyle w:val="Emphasis-Bold"/>
          <w:b w:val="0"/>
        </w:rPr>
        <w:t>in early</w:t>
      </w:r>
      <w:r w:rsidRPr="00EC183A">
        <w:rPr>
          <w:rStyle w:val="Emphasis-Bold"/>
          <w:b w:val="0"/>
        </w:rPr>
        <w:t xml:space="preserve"> August 2019, </w:t>
      </w:r>
      <w:r w:rsidR="00ED1C30" w:rsidRPr="00E7492A">
        <w:rPr>
          <w:sz w:val="20"/>
          <w:szCs w:val="20"/>
          <w:shd w:val="clear" w:color="auto" w:fill="D9D9D9" w:themeFill="background1" w:themeFillShade="D9"/>
        </w:rPr>
        <w:t>s 9(2)(f)(iv)</w:t>
      </w:r>
      <w:r w:rsidR="00ED1C30" w:rsidRPr="00AE611A">
        <w:rPr>
          <w:shd w:val="clear" w:color="auto" w:fill="D9D9D9" w:themeFill="background1" w:themeFillShade="D9"/>
        </w:rPr>
        <w:t xml:space="preserve"> </w:t>
      </w:r>
      <w:r w:rsidR="00ED1C30" w:rsidRPr="00AE611A">
        <w:rPr>
          <w:color w:val="D9D9D9" w:themeColor="background1" w:themeShade="D9"/>
          <w:shd w:val="clear" w:color="auto" w:fill="D9D9D9" w:themeFill="background1" w:themeFillShade="D9"/>
        </w:rPr>
        <w:t>………………………</w:t>
      </w:r>
      <w:r w:rsidR="00877CB8">
        <w:rPr>
          <w:color w:val="D9D9D9" w:themeColor="background1" w:themeShade="D9"/>
        </w:rPr>
        <w:t xml:space="preserve"> </w:t>
      </w:r>
      <w:r w:rsidR="00126B22">
        <w:rPr>
          <w:rStyle w:val="Emphasis-Bold"/>
          <w:b w:val="0"/>
        </w:rPr>
        <w:t xml:space="preserve">specifically </w:t>
      </w:r>
      <w:r w:rsidR="005E1C25">
        <w:rPr>
          <w:rStyle w:val="Emphasis-Bold"/>
          <w:b w:val="0"/>
        </w:rPr>
        <w:t>attachments</w:t>
      </w:r>
      <w:r w:rsidR="00126B22">
        <w:rPr>
          <w:rStyle w:val="Emphasis-Bold"/>
          <w:b w:val="0"/>
        </w:rPr>
        <w:t xml:space="preserve"> two</w:t>
      </w:r>
      <w:r w:rsidR="008C65D8">
        <w:rPr>
          <w:rStyle w:val="Emphasis-Bold"/>
          <w:b w:val="0"/>
        </w:rPr>
        <w:t>,</w:t>
      </w:r>
      <w:r w:rsidR="00126B22">
        <w:rPr>
          <w:rStyle w:val="Emphasis-Bold"/>
          <w:b w:val="0"/>
        </w:rPr>
        <w:t xml:space="preserve"> three</w:t>
      </w:r>
      <w:r w:rsidR="008C65D8">
        <w:rPr>
          <w:rStyle w:val="Emphasis-Bold"/>
          <w:b w:val="0"/>
        </w:rPr>
        <w:t xml:space="preserve"> and four</w:t>
      </w:r>
      <w:r w:rsidRPr="00EC183A">
        <w:rPr>
          <w:rStyle w:val="Emphasis-Bold"/>
          <w:b w:val="0"/>
        </w:rPr>
        <w:t xml:space="preserve"> will be published on Inland Revenue’s tax policy website. </w:t>
      </w:r>
    </w:p>
    <w:p w14:paraId="7A10C048" w14:textId="77777777" w:rsidR="00674227" w:rsidRDefault="00375F49" w:rsidP="00125D95">
      <w:pPr>
        <w:pStyle w:val="NumberedParagraphCabStandard"/>
      </w:pPr>
      <w:r>
        <w:rPr>
          <w:rStyle w:val="Emphasis-Bold"/>
        </w:rPr>
        <w:lastRenderedPageBreak/>
        <w:t>N</w:t>
      </w:r>
      <w:r w:rsidRPr="00287953">
        <w:rPr>
          <w:rStyle w:val="Emphasis-Bold"/>
        </w:rPr>
        <w:t>ote</w:t>
      </w:r>
      <w:r>
        <w:t xml:space="preserve"> </w:t>
      </w:r>
      <w:r w:rsidR="00674227">
        <w:t xml:space="preserve">that this Cabinet paper, the associated Cabinet minute, and key advice papers will be released on Inland Revenue’s </w:t>
      </w:r>
      <w:r>
        <w:t xml:space="preserve">tax policy </w:t>
      </w:r>
      <w:r w:rsidR="00674227">
        <w:t>website.</w:t>
      </w:r>
    </w:p>
    <w:p w14:paraId="6FAD7E11" w14:textId="289B2D73" w:rsidR="002B1FB9" w:rsidRDefault="002B1FB9" w:rsidP="00C65945">
      <w:pPr>
        <w:pStyle w:val="NumberedParagraphCabStandard"/>
        <w:numPr>
          <w:ilvl w:val="0"/>
          <w:numId w:val="0"/>
        </w:numPr>
        <w:ind w:left="720" w:hanging="720"/>
      </w:pPr>
    </w:p>
    <w:p w14:paraId="6DCA5260" w14:textId="6D491AEF" w:rsidR="00125D95" w:rsidRDefault="00125D95" w:rsidP="00C65945">
      <w:pPr>
        <w:pStyle w:val="NumberedParagraphCabStandard"/>
        <w:numPr>
          <w:ilvl w:val="0"/>
          <w:numId w:val="0"/>
        </w:numPr>
        <w:ind w:left="720" w:hanging="720"/>
      </w:pPr>
      <w:r>
        <w:t>Authorised for lodgement</w:t>
      </w:r>
    </w:p>
    <w:p w14:paraId="05C724FD" w14:textId="77777777" w:rsidR="00125D95" w:rsidRDefault="00125D95" w:rsidP="003C12A0">
      <w:pPr>
        <w:pStyle w:val="NumberedParagraphCabStandard"/>
        <w:numPr>
          <w:ilvl w:val="0"/>
          <w:numId w:val="0"/>
        </w:numPr>
        <w:spacing w:after="0"/>
        <w:ind w:left="720" w:hanging="720"/>
      </w:pPr>
      <w:r>
        <w:t xml:space="preserve">Hon </w:t>
      </w:r>
      <w:r w:rsidR="00EC183A">
        <w:t>Grant Robertson</w:t>
      </w:r>
    </w:p>
    <w:p w14:paraId="43E2B7FB" w14:textId="068CA8DD" w:rsidR="00CF787A" w:rsidRDefault="00125D95" w:rsidP="00D20857">
      <w:pPr>
        <w:pStyle w:val="NumberedParagraphCabStandard"/>
        <w:numPr>
          <w:ilvl w:val="0"/>
          <w:numId w:val="0"/>
        </w:numPr>
        <w:ind w:left="720" w:hanging="720"/>
      </w:pPr>
      <w:r>
        <w:t xml:space="preserve">Minister </w:t>
      </w:r>
      <w:r w:rsidR="00056241">
        <w:t xml:space="preserve">of </w:t>
      </w:r>
      <w:r w:rsidR="00EC183A">
        <w:t>Finance</w:t>
      </w:r>
    </w:p>
    <w:p w14:paraId="6BB8E941" w14:textId="4FC4F45C" w:rsidR="00056241" w:rsidRDefault="00056241" w:rsidP="00056241">
      <w:pPr>
        <w:pStyle w:val="NumberedParagraphCabStandard"/>
        <w:numPr>
          <w:ilvl w:val="0"/>
          <w:numId w:val="0"/>
        </w:numPr>
        <w:spacing w:after="0"/>
        <w:ind w:left="720" w:hanging="720"/>
      </w:pPr>
      <w:r>
        <w:t xml:space="preserve">Hon </w:t>
      </w:r>
      <w:r w:rsidR="00EC183A">
        <w:t>Stuart Nash</w:t>
      </w:r>
    </w:p>
    <w:p w14:paraId="2FD950FC" w14:textId="607B1B61" w:rsidR="00791A07" w:rsidRDefault="00056241" w:rsidP="00056241">
      <w:pPr>
        <w:pStyle w:val="NumberedParagraphCabStandard"/>
        <w:numPr>
          <w:ilvl w:val="0"/>
          <w:numId w:val="0"/>
        </w:numPr>
        <w:ind w:left="720" w:hanging="720"/>
      </w:pPr>
      <w:r>
        <w:t xml:space="preserve">Minister </w:t>
      </w:r>
      <w:r w:rsidR="00EC183A">
        <w:t>of Revenue</w:t>
      </w:r>
    </w:p>
    <w:p w14:paraId="6DD637FF" w14:textId="77777777" w:rsidR="00D966A9" w:rsidRDefault="00D966A9" w:rsidP="00056241">
      <w:pPr>
        <w:pStyle w:val="NumberedParagraphCabStandard"/>
        <w:numPr>
          <w:ilvl w:val="0"/>
          <w:numId w:val="0"/>
        </w:numPr>
        <w:ind w:left="720" w:hanging="720"/>
      </w:pPr>
    </w:p>
    <w:p w14:paraId="484BCF52" w14:textId="77777777" w:rsidR="00D966A9" w:rsidRDefault="00D966A9">
      <w:pPr>
        <w:jc w:val="left"/>
        <w:sectPr w:rsidR="00D966A9" w:rsidSect="00A80350">
          <w:footerReference w:type="default" r:id="rId7"/>
          <w:pgSz w:w="11906" w:h="16838" w:code="9"/>
          <w:pgMar w:top="1440" w:right="1077" w:bottom="1440" w:left="107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388"/>
      </w:tblGrid>
      <w:tr w:rsidR="00D966A9" w14:paraId="7B1AF730" w14:textId="77777777" w:rsidTr="00D966A9">
        <w:trPr>
          <w:trHeight w:val="10355"/>
        </w:trPr>
        <w:tc>
          <w:tcPr>
            <w:tcW w:w="15388" w:type="dxa"/>
            <w:shd w:val="clear" w:color="auto" w:fill="D9D9D9" w:themeFill="background1" w:themeFillShade="D9"/>
          </w:tcPr>
          <w:p w14:paraId="1C5EC792" w14:textId="420ACFB1" w:rsidR="00D966A9" w:rsidRPr="00D966A9" w:rsidRDefault="00D966A9" w:rsidP="00D966A9">
            <w:pPr>
              <w:rPr>
                <w:sz w:val="20"/>
                <w:szCs w:val="20"/>
              </w:rPr>
            </w:pPr>
            <w:r w:rsidRPr="00D966A9">
              <w:rPr>
                <w:sz w:val="20"/>
                <w:szCs w:val="20"/>
              </w:rPr>
              <w:t>s 9(2)(f)(iv)</w:t>
            </w:r>
          </w:p>
        </w:tc>
      </w:tr>
      <w:tr w:rsidR="00D966A9" w14:paraId="4193B5EC" w14:textId="77777777" w:rsidTr="00D966A9">
        <w:trPr>
          <w:trHeight w:val="10355"/>
        </w:trPr>
        <w:tc>
          <w:tcPr>
            <w:tcW w:w="15388" w:type="dxa"/>
            <w:shd w:val="clear" w:color="auto" w:fill="D9D9D9" w:themeFill="background1" w:themeFillShade="D9"/>
          </w:tcPr>
          <w:p w14:paraId="0B7FD179" w14:textId="2229F67F" w:rsidR="00D966A9" w:rsidRPr="00D966A9" w:rsidRDefault="00D966A9" w:rsidP="00D966A9">
            <w:pPr>
              <w:rPr>
                <w:sz w:val="20"/>
                <w:szCs w:val="20"/>
              </w:rPr>
            </w:pPr>
            <w:r w:rsidRPr="00D966A9">
              <w:rPr>
                <w:sz w:val="20"/>
                <w:szCs w:val="20"/>
              </w:rPr>
              <w:t>s 9(2)(f)(iv)</w:t>
            </w:r>
          </w:p>
        </w:tc>
      </w:tr>
      <w:tr w:rsidR="00D966A9" w14:paraId="5CAB6DE8" w14:textId="77777777" w:rsidTr="00D966A9">
        <w:trPr>
          <w:trHeight w:val="10355"/>
        </w:trPr>
        <w:tc>
          <w:tcPr>
            <w:tcW w:w="15388" w:type="dxa"/>
            <w:shd w:val="clear" w:color="auto" w:fill="D9D9D9" w:themeFill="background1" w:themeFillShade="D9"/>
          </w:tcPr>
          <w:p w14:paraId="35461549" w14:textId="3B35DA62" w:rsidR="00D966A9" w:rsidRPr="00B72CE5" w:rsidRDefault="00B72CE5" w:rsidP="00D966A9">
            <w:pPr>
              <w:rPr>
                <w:sz w:val="20"/>
                <w:szCs w:val="20"/>
              </w:rPr>
            </w:pPr>
            <w:r w:rsidRPr="00B72CE5">
              <w:rPr>
                <w:sz w:val="20"/>
                <w:szCs w:val="20"/>
              </w:rPr>
              <w:t xml:space="preserve">s </w:t>
            </w:r>
            <w:r w:rsidRPr="00B72CE5">
              <w:rPr>
                <w:sz w:val="20"/>
                <w:szCs w:val="20"/>
              </w:rPr>
              <w:t>18(d)</w:t>
            </w:r>
          </w:p>
        </w:tc>
      </w:tr>
      <w:tr w:rsidR="00D966A9" w14:paraId="4E5CDB4A" w14:textId="77777777" w:rsidTr="00D966A9">
        <w:trPr>
          <w:trHeight w:val="10355"/>
        </w:trPr>
        <w:tc>
          <w:tcPr>
            <w:tcW w:w="15388" w:type="dxa"/>
            <w:shd w:val="clear" w:color="auto" w:fill="D9D9D9" w:themeFill="background1" w:themeFillShade="D9"/>
          </w:tcPr>
          <w:p w14:paraId="31ACD464" w14:textId="640A76D6" w:rsidR="00D966A9" w:rsidRDefault="00B72CE5" w:rsidP="00D966A9">
            <w:r w:rsidRPr="00B72CE5">
              <w:rPr>
                <w:sz w:val="20"/>
                <w:szCs w:val="20"/>
              </w:rPr>
              <w:t>s 18(d)</w:t>
            </w:r>
          </w:p>
        </w:tc>
      </w:tr>
      <w:tr w:rsidR="00D966A9" w14:paraId="6F58C97B" w14:textId="77777777" w:rsidTr="00D966A9">
        <w:trPr>
          <w:trHeight w:val="10072"/>
        </w:trPr>
        <w:tc>
          <w:tcPr>
            <w:tcW w:w="15388" w:type="dxa"/>
            <w:shd w:val="clear" w:color="auto" w:fill="D9D9D9" w:themeFill="background1" w:themeFillShade="D9"/>
          </w:tcPr>
          <w:p w14:paraId="7D02CBFE" w14:textId="007DED67" w:rsidR="00D966A9" w:rsidRDefault="00B72CE5" w:rsidP="00D966A9">
            <w:r w:rsidRPr="00B72CE5">
              <w:rPr>
                <w:sz w:val="20"/>
                <w:szCs w:val="20"/>
              </w:rPr>
              <w:t>s 18(d)</w:t>
            </w:r>
          </w:p>
        </w:tc>
      </w:tr>
    </w:tbl>
    <w:p w14:paraId="2CD08926" w14:textId="77777777" w:rsidR="00D966A9" w:rsidRPr="00D966A9" w:rsidRDefault="00D966A9" w:rsidP="00B72CE5">
      <w:pPr>
        <w:spacing w:after="0"/>
        <w:jc w:val="center"/>
        <w:rPr>
          <w:sz w:val="8"/>
          <w:szCs w:val="8"/>
        </w:rPr>
      </w:pPr>
    </w:p>
    <w:sectPr w:rsidR="00D966A9" w:rsidRPr="00D966A9" w:rsidSect="00D966A9">
      <w:footerReference w:type="default" r:id="rId8"/>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CC0E8" w14:textId="77777777" w:rsidR="00A574DB" w:rsidRDefault="00A574DB" w:rsidP="00F31991">
      <w:pPr>
        <w:spacing w:after="0"/>
      </w:pPr>
      <w:r>
        <w:separator/>
      </w:r>
    </w:p>
  </w:endnote>
  <w:endnote w:type="continuationSeparator" w:id="0">
    <w:p w14:paraId="2A4191F9" w14:textId="77777777" w:rsidR="00A574DB" w:rsidRDefault="00A574DB"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4AE8" w14:textId="77777777" w:rsidR="00D301A1" w:rsidRDefault="00D301A1" w:rsidP="00A80350">
    <w:pPr>
      <w:pStyle w:val="Header"/>
      <w:jc w:val="center"/>
    </w:pPr>
    <w:r>
      <w:rPr>
        <w:noProof/>
      </w:rPr>
      <mc:AlternateContent>
        <mc:Choice Requires="wps">
          <w:drawing>
            <wp:anchor distT="0" distB="0" distL="114300" distR="114300" simplePos="0" relativeHeight="251659264" behindDoc="0" locked="0" layoutInCell="0" allowOverlap="1" wp14:anchorId="51529FD6" wp14:editId="69CAAF7A">
              <wp:simplePos x="0" y="0"/>
              <wp:positionH relativeFrom="page">
                <wp:posOffset>0</wp:posOffset>
              </wp:positionH>
              <wp:positionV relativeFrom="page">
                <wp:posOffset>10234930</wp:posOffset>
              </wp:positionV>
              <wp:extent cx="7560310" cy="266700"/>
              <wp:effectExtent l="0" t="0" r="0" b="0"/>
              <wp:wrapNone/>
              <wp:docPr id="1" name="MSIPCM6ae643b4bbb73280ffe0c786"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04625D" w14:textId="77777777" w:rsidR="00D301A1" w:rsidRPr="000F6FAE" w:rsidRDefault="00D301A1" w:rsidP="000F6FAE">
                          <w:pPr>
                            <w:spacing w:after="0"/>
                            <w:jc w:val="center"/>
                            <w:rPr>
                              <w:rFonts w:ascii="Verdana" w:hAnsi="Verdana"/>
                              <w:color w:val="000000"/>
                              <w:sz w:val="20"/>
                            </w:rPr>
                          </w:pPr>
                          <w:r w:rsidRPr="000F6FAE">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529FD6" id="_x0000_t202" coordsize="21600,21600" o:spt="202" path="m,l,21600r21600,l21600,xe">
              <v:stroke joinstyle="miter"/>
              <v:path gradientshapeok="t" o:connecttype="rect"/>
            </v:shapetype>
            <v:shape id="MSIPCM6ae643b4bbb73280ffe0c786"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LZqw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" o:allowincell="f" filled="f" stroked="f" strokeweight=".5pt">
              <v:textbox inset=",0,,0">
                <w:txbxContent>
                  <w:p w14:paraId="3504625D" w14:textId="77777777" w:rsidR="00D301A1" w:rsidRPr="000F6FAE" w:rsidRDefault="00D301A1" w:rsidP="000F6FAE">
                    <w:pPr>
                      <w:spacing w:after="0"/>
                      <w:jc w:val="center"/>
                      <w:rPr>
                        <w:rFonts w:ascii="Verdana" w:hAnsi="Verdana"/>
                        <w:color w:val="000000"/>
                        <w:sz w:val="20"/>
                      </w:rPr>
                    </w:pPr>
                    <w:r w:rsidRPr="000F6FAE">
                      <w:rPr>
                        <w:rFonts w:ascii="Verdana" w:hAnsi="Verdana"/>
                        <w:color w:val="000000"/>
                        <w:sz w:val="20"/>
                      </w:rPr>
                      <w:t>IN CONFIDENCE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3147">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8907" w14:textId="7F6F17B9" w:rsidR="00D966A9" w:rsidRPr="00D966A9" w:rsidRDefault="00D966A9" w:rsidP="00A80350">
    <w:pPr>
      <w:pStyle w:val="Header"/>
      <w:jc w:val="center"/>
      <w:rPr>
        <w:sz w:val="16"/>
        <w:szCs w:val="16"/>
      </w:rPr>
    </w:pPr>
    <w:r w:rsidRPr="00D966A9">
      <w:rPr>
        <w:noProof/>
        <w:sz w:val="16"/>
        <w:szCs w:val="16"/>
      </w:rPr>
      <mc:AlternateContent>
        <mc:Choice Requires="wps">
          <w:drawing>
            <wp:anchor distT="0" distB="0" distL="114300" distR="114300" simplePos="0" relativeHeight="251663360" behindDoc="0" locked="0" layoutInCell="0" allowOverlap="1" wp14:anchorId="63EE1B9A" wp14:editId="3BF4EA4D">
              <wp:simplePos x="0" y="0"/>
              <wp:positionH relativeFrom="page">
                <wp:posOffset>1612457</wp:posOffset>
              </wp:positionH>
              <wp:positionV relativeFrom="page">
                <wp:posOffset>6972024</wp:posOffset>
              </wp:positionV>
              <wp:extent cx="7560310" cy="266700"/>
              <wp:effectExtent l="0" t="0" r="0" b="0"/>
              <wp:wrapNone/>
              <wp:docPr id="8" name="MSIPCM6ae643b4bbb73280ffe0c786"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CC4BF8" w14:textId="77777777" w:rsidR="00D966A9" w:rsidRPr="00D966A9" w:rsidRDefault="00D966A9" w:rsidP="00D966A9">
                          <w:pPr>
                            <w:spacing w:after="0"/>
                            <w:jc w:val="center"/>
                            <w:rPr>
                              <w:rFonts w:ascii="Verdana" w:hAnsi="Verdana"/>
                              <w:color w:val="000000"/>
                              <w:sz w:val="16"/>
                              <w:szCs w:val="16"/>
                            </w:rPr>
                          </w:pPr>
                          <w:r w:rsidRPr="00D966A9">
                            <w:rPr>
                              <w:rFonts w:ascii="Verdana" w:hAnsi="Verdana"/>
                              <w:color w:val="000000"/>
                              <w:sz w:val="16"/>
                              <w:szCs w:val="16"/>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EE1B9A" id="_x0000_t202" coordsize="21600,21600" o:spt="202" path="m,l,21600r21600,l21600,xe">
              <v:stroke joinstyle="miter"/>
              <v:path gradientshapeok="t" o:connecttype="rect"/>
            </v:shapetype>
            <v:shape id="_x0000_s1027" type="#_x0000_t202" alt="{&quot;HashCode&quot;:404316862,&quot;Height&quot;:841.0,&quot;Width&quot;:595.0,&quot;Placement&quot;:&quot;Footer&quot;,&quot;Index&quot;:&quot;Primary&quot;,&quot;Section&quot;:1,&quot;Top&quot;:0.0,&quot;Left&quot;:0.0}" style="position:absolute;left:0;text-align:left;margin-left:126.95pt;margin-top:54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" o:allowincell="f" filled="f" stroked="f" strokeweight=".5pt">
              <v:textbox inset=",0,,0">
                <w:txbxContent>
                  <w:p w14:paraId="1BCC4BF8" w14:textId="77777777" w:rsidR="00D966A9" w:rsidRPr="00D966A9" w:rsidRDefault="00D966A9" w:rsidP="00D966A9">
                    <w:pPr>
                      <w:spacing w:after="0"/>
                      <w:jc w:val="center"/>
                      <w:rPr>
                        <w:rFonts w:ascii="Verdana" w:hAnsi="Verdana"/>
                        <w:color w:val="000000"/>
                        <w:sz w:val="16"/>
                        <w:szCs w:val="16"/>
                      </w:rPr>
                    </w:pPr>
                    <w:r w:rsidRPr="00D966A9">
                      <w:rPr>
                        <w:rFonts w:ascii="Verdana" w:hAnsi="Verdana"/>
                        <w:color w:val="000000"/>
                        <w:sz w:val="16"/>
                        <w:szCs w:val="16"/>
                      </w:rPr>
                      <w:t>IN CONFIDENCE</w:t>
                    </w:r>
                  </w:p>
                </w:txbxContent>
              </v:textbox>
              <w10:wrap anchorx="page" anchory="page"/>
            </v:shape>
          </w:pict>
        </mc:Fallback>
      </mc:AlternateContent>
    </w:r>
    <w:r w:rsidRPr="00D966A9">
      <w:rPr>
        <w:noProof/>
        <w:sz w:val="16"/>
        <w:szCs w:val="16"/>
      </w:rPr>
      <mc:AlternateContent>
        <mc:Choice Requires="wps">
          <w:drawing>
            <wp:anchor distT="0" distB="0" distL="114300" distR="114300" simplePos="0" relativeHeight="251661312" behindDoc="0" locked="0" layoutInCell="0" allowOverlap="1" wp14:anchorId="0499A29F" wp14:editId="0C353771">
              <wp:simplePos x="0" y="0"/>
              <wp:positionH relativeFrom="page">
                <wp:posOffset>0</wp:posOffset>
              </wp:positionH>
              <wp:positionV relativeFrom="page">
                <wp:posOffset>10234930</wp:posOffset>
              </wp:positionV>
              <wp:extent cx="7560310" cy="266700"/>
              <wp:effectExtent l="0" t="0" r="0" b="0"/>
              <wp:wrapNone/>
              <wp:docPr id="3" name="MSIPCM6ae643b4bbb73280ffe0c786"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21FC" w14:textId="77777777" w:rsidR="00D966A9" w:rsidRPr="000F6FAE" w:rsidRDefault="00D966A9" w:rsidP="000F6FAE">
                          <w:pPr>
                            <w:spacing w:after="0"/>
                            <w:jc w:val="center"/>
                            <w:rPr>
                              <w:rFonts w:ascii="Verdana" w:hAnsi="Verdana"/>
                              <w:color w:val="000000"/>
                              <w:sz w:val="20"/>
                            </w:rPr>
                          </w:pPr>
                          <w:r w:rsidRPr="000F6FAE">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499A29F" id="_x0000_s1028" type="#_x0000_t202" alt="{&quot;HashCode&quot;:404316862,&quot;Height&quot;:841.0,&quot;Width&quot;:595.0,&quot;Placement&quot;:&quot;Footer&quot;,&quot;Index&quot;:&quot;Primary&quot;,&quot;Section&quot;:1,&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A/ORFCrgIAAEwFAAAOAAAA&#10;AAAAAAAAAAAAAC4CAABkcnMvZTJvRG9jLnhtbFBLAQItABQABgAIAAAAIQCDso8r3wAAAAsBAAAP&#10;AAAAAAAAAAAAAAAAAAgFAABkcnMvZG93bnJldi54bWxQSwUGAAAAAAQABADzAAAAFAYAAAAA&#10;" o:allowincell="f" filled="f" stroked="f" strokeweight=".5pt">
              <v:textbox inset=",0,,0">
                <w:txbxContent>
                  <w:p w14:paraId="2B2F21FC" w14:textId="77777777" w:rsidR="00D966A9" w:rsidRPr="000F6FAE" w:rsidRDefault="00D966A9" w:rsidP="000F6FAE">
                    <w:pPr>
                      <w:spacing w:after="0"/>
                      <w:jc w:val="center"/>
                      <w:rPr>
                        <w:rFonts w:ascii="Verdana" w:hAnsi="Verdana"/>
                        <w:color w:val="000000"/>
                        <w:sz w:val="20"/>
                      </w:rPr>
                    </w:pPr>
                    <w:r w:rsidRPr="000F6FAE">
                      <w:rPr>
                        <w:rFonts w:ascii="Verdana" w:hAnsi="Verdana"/>
                        <w:color w:val="000000"/>
                        <w:sz w:val="20"/>
                      </w:rPr>
                      <w:t>IN CONFIDENCE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C81B7" w14:textId="77777777" w:rsidR="00A574DB" w:rsidRDefault="00A574DB" w:rsidP="00F31991">
      <w:pPr>
        <w:spacing w:after="0"/>
      </w:pPr>
      <w:r>
        <w:separator/>
      </w:r>
    </w:p>
  </w:footnote>
  <w:footnote w:type="continuationSeparator" w:id="0">
    <w:p w14:paraId="17E901FB" w14:textId="77777777" w:rsidR="00A574DB" w:rsidRDefault="00A574DB" w:rsidP="00F31991">
      <w:pPr>
        <w:spacing w:after="0"/>
      </w:pPr>
      <w:r>
        <w:continuationSeparator/>
      </w:r>
    </w:p>
  </w:footnote>
  <w:footnote w:id="1">
    <w:p w14:paraId="60FDAC02" w14:textId="77777777" w:rsidR="008E4B0D" w:rsidRDefault="008E4B0D">
      <w:pPr>
        <w:pStyle w:val="FootnoteText"/>
      </w:pPr>
      <w:r>
        <w:rPr>
          <w:rStyle w:val="FootnoteReference"/>
        </w:rPr>
        <w:footnoteRef/>
      </w:r>
      <w:r>
        <w:t xml:space="preserve"> The Government’s response to the recommendations of the Tax Working Group – 17 April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805"/>
    <w:multiLevelType w:val="hybridMultilevel"/>
    <w:tmpl w:val="484C006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C5A16A6"/>
    <w:multiLevelType w:val="hybridMultilevel"/>
    <w:tmpl w:val="1D12B6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E3702E"/>
    <w:multiLevelType w:val="hybridMultilevel"/>
    <w:tmpl w:val="BCF6A874"/>
    <w:lvl w:ilvl="0" w:tplc="187A690A">
      <w:start w:val="1"/>
      <w:numFmt w:val="bullet"/>
      <w:lvlText w:val="•"/>
      <w:lvlJc w:val="left"/>
      <w:pPr>
        <w:tabs>
          <w:tab w:val="num" w:pos="720"/>
        </w:tabs>
        <w:ind w:left="720" w:hanging="360"/>
      </w:pPr>
      <w:rPr>
        <w:rFonts w:ascii="Arial" w:hAnsi="Arial" w:hint="default"/>
      </w:rPr>
    </w:lvl>
    <w:lvl w:ilvl="1" w:tplc="29D8BB82" w:tentative="1">
      <w:start w:val="1"/>
      <w:numFmt w:val="bullet"/>
      <w:lvlText w:val="•"/>
      <w:lvlJc w:val="left"/>
      <w:pPr>
        <w:tabs>
          <w:tab w:val="num" w:pos="1440"/>
        </w:tabs>
        <w:ind w:left="1440" w:hanging="360"/>
      </w:pPr>
      <w:rPr>
        <w:rFonts w:ascii="Arial" w:hAnsi="Arial" w:hint="default"/>
      </w:rPr>
    </w:lvl>
    <w:lvl w:ilvl="2" w:tplc="F2DCA662" w:tentative="1">
      <w:start w:val="1"/>
      <w:numFmt w:val="bullet"/>
      <w:lvlText w:val="•"/>
      <w:lvlJc w:val="left"/>
      <w:pPr>
        <w:tabs>
          <w:tab w:val="num" w:pos="2160"/>
        </w:tabs>
        <w:ind w:left="2160" w:hanging="360"/>
      </w:pPr>
      <w:rPr>
        <w:rFonts w:ascii="Arial" w:hAnsi="Arial" w:hint="default"/>
      </w:rPr>
    </w:lvl>
    <w:lvl w:ilvl="3" w:tplc="89B09BA4" w:tentative="1">
      <w:start w:val="1"/>
      <w:numFmt w:val="bullet"/>
      <w:lvlText w:val="•"/>
      <w:lvlJc w:val="left"/>
      <w:pPr>
        <w:tabs>
          <w:tab w:val="num" w:pos="2880"/>
        </w:tabs>
        <w:ind w:left="2880" w:hanging="360"/>
      </w:pPr>
      <w:rPr>
        <w:rFonts w:ascii="Arial" w:hAnsi="Arial" w:hint="default"/>
      </w:rPr>
    </w:lvl>
    <w:lvl w:ilvl="4" w:tplc="93D01282" w:tentative="1">
      <w:start w:val="1"/>
      <w:numFmt w:val="bullet"/>
      <w:lvlText w:val="•"/>
      <w:lvlJc w:val="left"/>
      <w:pPr>
        <w:tabs>
          <w:tab w:val="num" w:pos="3600"/>
        </w:tabs>
        <w:ind w:left="3600" w:hanging="360"/>
      </w:pPr>
      <w:rPr>
        <w:rFonts w:ascii="Arial" w:hAnsi="Arial" w:hint="default"/>
      </w:rPr>
    </w:lvl>
    <w:lvl w:ilvl="5" w:tplc="8B12A7CA" w:tentative="1">
      <w:start w:val="1"/>
      <w:numFmt w:val="bullet"/>
      <w:lvlText w:val="•"/>
      <w:lvlJc w:val="left"/>
      <w:pPr>
        <w:tabs>
          <w:tab w:val="num" w:pos="4320"/>
        </w:tabs>
        <w:ind w:left="4320" w:hanging="360"/>
      </w:pPr>
      <w:rPr>
        <w:rFonts w:ascii="Arial" w:hAnsi="Arial" w:hint="default"/>
      </w:rPr>
    </w:lvl>
    <w:lvl w:ilvl="6" w:tplc="816EF25C" w:tentative="1">
      <w:start w:val="1"/>
      <w:numFmt w:val="bullet"/>
      <w:lvlText w:val="•"/>
      <w:lvlJc w:val="left"/>
      <w:pPr>
        <w:tabs>
          <w:tab w:val="num" w:pos="5040"/>
        </w:tabs>
        <w:ind w:left="5040" w:hanging="360"/>
      </w:pPr>
      <w:rPr>
        <w:rFonts w:ascii="Arial" w:hAnsi="Arial" w:hint="default"/>
      </w:rPr>
    </w:lvl>
    <w:lvl w:ilvl="7" w:tplc="3B6C20AA" w:tentative="1">
      <w:start w:val="1"/>
      <w:numFmt w:val="bullet"/>
      <w:lvlText w:val="•"/>
      <w:lvlJc w:val="left"/>
      <w:pPr>
        <w:tabs>
          <w:tab w:val="num" w:pos="5760"/>
        </w:tabs>
        <w:ind w:left="5760" w:hanging="360"/>
      </w:pPr>
      <w:rPr>
        <w:rFonts w:ascii="Arial" w:hAnsi="Arial" w:hint="default"/>
      </w:rPr>
    </w:lvl>
    <w:lvl w:ilvl="8" w:tplc="9F6C7C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25D030A"/>
    <w:multiLevelType w:val="hybridMultilevel"/>
    <w:tmpl w:val="9A2C0B9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A6B01B1"/>
    <w:multiLevelType w:val="hybridMultilevel"/>
    <w:tmpl w:val="2056C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704C72"/>
    <w:multiLevelType w:val="hybridMultilevel"/>
    <w:tmpl w:val="12000C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2A067A9"/>
    <w:multiLevelType w:val="hybridMultilevel"/>
    <w:tmpl w:val="0546AE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3865773"/>
    <w:multiLevelType w:val="hybridMultilevel"/>
    <w:tmpl w:val="2ABCB3E6"/>
    <w:lvl w:ilvl="0" w:tplc="20BAE9FC">
      <w:start w:val="1"/>
      <w:numFmt w:val="bullet"/>
      <w:lvlText w:val="•"/>
      <w:lvlJc w:val="left"/>
      <w:pPr>
        <w:tabs>
          <w:tab w:val="num" w:pos="720"/>
        </w:tabs>
        <w:ind w:left="720" w:hanging="360"/>
      </w:pPr>
      <w:rPr>
        <w:rFonts w:ascii="Arial" w:hAnsi="Arial" w:hint="default"/>
      </w:rPr>
    </w:lvl>
    <w:lvl w:ilvl="1" w:tplc="2458C424" w:tentative="1">
      <w:start w:val="1"/>
      <w:numFmt w:val="bullet"/>
      <w:lvlText w:val="•"/>
      <w:lvlJc w:val="left"/>
      <w:pPr>
        <w:tabs>
          <w:tab w:val="num" w:pos="1440"/>
        </w:tabs>
        <w:ind w:left="1440" w:hanging="360"/>
      </w:pPr>
      <w:rPr>
        <w:rFonts w:ascii="Arial" w:hAnsi="Arial" w:hint="default"/>
      </w:rPr>
    </w:lvl>
    <w:lvl w:ilvl="2" w:tplc="54966A4E" w:tentative="1">
      <w:start w:val="1"/>
      <w:numFmt w:val="bullet"/>
      <w:lvlText w:val="•"/>
      <w:lvlJc w:val="left"/>
      <w:pPr>
        <w:tabs>
          <w:tab w:val="num" w:pos="2160"/>
        </w:tabs>
        <w:ind w:left="2160" w:hanging="360"/>
      </w:pPr>
      <w:rPr>
        <w:rFonts w:ascii="Arial" w:hAnsi="Arial" w:hint="default"/>
      </w:rPr>
    </w:lvl>
    <w:lvl w:ilvl="3" w:tplc="C33A25F0" w:tentative="1">
      <w:start w:val="1"/>
      <w:numFmt w:val="bullet"/>
      <w:lvlText w:val="•"/>
      <w:lvlJc w:val="left"/>
      <w:pPr>
        <w:tabs>
          <w:tab w:val="num" w:pos="2880"/>
        </w:tabs>
        <w:ind w:left="2880" w:hanging="360"/>
      </w:pPr>
      <w:rPr>
        <w:rFonts w:ascii="Arial" w:hAnsi="Arial" w:hint="default"/>
      </w:rPr>
    </w:lvl>
    <w:lvl w:ilvl="4" w:tplc="F3967FB4" w:tentative="1">
      <w:start w:val="1"/>
      <w:numFmt w:val="bullet"/>
      <w:lvlText w:val="•"/>
      <w:lvlJc w:val="left"/>
      <w:pPr>
        <w:tabs>
          <w:tab w:val="num" w:pos="3600"/>
        </w:tabs>
        <w:ind w:left="3600" w:hanging="360"/>
      </w:pPr>
      <w:rPr>
        <w:rFonts w:ascii="Arial" w:hAnsi="Arial" w:hint="default"/>
      </w:rPr>
    </w:lvl>
    <w:lvl w:ilvl="5" w:tplc="798C6E64" w:tentative="1">
      <w:start w:val="1"/>
      <w:numFmt w:val="bullet"/>
      <w:lvlText w:val="•"/>
      <w:lvlJc w:val="left"/>
      <w:pPr>
        <w:tabs>
          <w:tab w:val="num" w:pos="4320"/>
        </w:tabs>
        <w:ind w:left="4320" w:hanging="360"/>
      </w:pPr>
      <w:rPr>
        <w:rFonts w:ascii="Arial" w:hAnsi="Arial" w:hint="default"/>
      </w:rPr>
    </w:lvl>
    <w:lvl w:ilvl="6" w:tplc="60A657E0" w:tentative="1">
      <w:start w:val="1"/>
      <w:numFmt w:val="bullet"/>
      <w:lvlText w:val="•"/>
      <w:lvlJc w:val="left"/>
      <w:pPr>
        <w:tabs>
          <w:tab w:val="num" w:pos="5040"/>
        </w:tabs>
        <w:ind w:left="5040" w:hanging="360"/>
      </w:pPr>
      <w:rPr>
        <w:rFonts w:ascii="Arial" w:hAnsi="Arial" w:hint="default"/>
      </w:rPr>
    </w:lvl>
    <w:lvl w:ilvl="7" w:tplc="A8204F08" w:tentative="1">
      <w:start w:val="1"/>
      <w:numFmt w:val="bullet"/>
      <w:lvlText w:val="•"/>
      <w:lvlJc w:val="left"/>
      <w:pPr>
        <w:tabs>
          <w:tab w:val="num" w:pos="5760"/>
        </w:tabs>
        <w:ind w:left="5760" w:hanging="360"/>
      </w:pPr>
      <w:rPr>
        <w:rFonts w:ascii="Arial" w:hAnsi="Arial" w:hint="default"/>
      </w:rPr>
    </w:lvl>
    <w:lvl w:ilvl="8" w:tplc="80280F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1" w15:restartNumberingAfterBreak="0">
    <w:nsid w:val="40610AA4"/>
    <w:multiLevelType w:val="multilevel"/>
    <w:tmpl w:val="AF4C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A6310"/>
    <w:multiLevelType w:val="hybridMultilevel"/>
    <w:tmpl w:val="5B32180A"/>
    <w:lvl w:ilvl="0" w:tplc="14090001">
      <w:start w:val="1"/>
      <w:numFmt w:val="bullet"/>
      <w:lvlText w:val=""/>
      <w:lvlJc w:val="left"/>
      <w:pPr>
        <w:ind w:left="763" w:hanging="360"/>
      </w:pPr>
      <w:rPr>
        <w:rFonts w:ascii="Symbol" w:hAnsi="Symbol" w:hint="default"/>
      </w:rPr>
    </w:lvl>
    <w:lvl w:ilvl="1" w:tplc="14090003">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13" w15:restartNumberingAfterBreak="0">
    <w:nsid w:val="4B9D027A"/>
    <w:multiLevelType w:val="multilevel"/>
    <w:tmpl w:val="47DA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4E7B12"/>
    <w:multiLevelType w:val="hybridMultilevel"/>
    <w:tmpl w:val="75D83A0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 w15:restartNumberingAfterBreak="0">
    <w:nsid w:val="55AB3DA8"/>
    <w:multiLevelType w:val="hybridMultilevel"/>
    <w:tmpl w:val="16B22000"/>
    <w:lvl w:ilvl="0" w:tplc="F0C8B966">
      <w:start w:val="1"/>
      <w:numFmt w:val="bullet"/>
      <w:lvlText w:val="•"/>
      <w:lvlJc w:val="left"/>
      <w:pPr>
        <w:tabs>
          <w:tab w:val="num" w:pos="720"/>
        </w:tabs>
        <w:ind w:left="720" w:hanging="360"/>
      </w:pPr>
      <w:rPr>
        <w:rFonts w:ascii="Arial" w:hAnsi="Arial" w:hint="default"/>
      </w:rPr>
    </w:lvl>
    <w:lvl w:ilvl="1" w:tplc="F182A6B4" w:tentative="1">
      <w:start w:val="1"/>
      <w:numFmt w:val="bullet"/>
      <w:lvlText w:val="•"/>
      <w:lvlJc w:val="left"/>
      <w:pPr>
        <w:tabs>
          <w:tab w:val="num" w:pos="1440"/>
        </w:tabs>
        <w:ind w:left="1440" w:hanging="360"/>
      </w:pPr>
      <w:rPr>
        <w:rFonts w:ascii="Arial" w:hAnsi="Arial" w:hint="default"/>
      </w:rPr>
    </w:lvl>
    <w:lvl w:ilvl="2" w:tplc="CC0445A8" w:tentative="1">
      <w:start w:val="1"/>
      <w:numFmt w:val="bullet"/>
      <w:lvlText w:val="•"/>
      <w:lvlJc w:val="left"/>
      <w:pPr>
        <w:tabs>
          <w:tab w:val="num" w:pos="2160"/>
        </w:tabs>
        <w:ind w:left="2160" w:hanging="360"/>
      </w:pPr>
      <w:rPr>
        <w:rFonts w:ascii="Arial" w:hAnsi="Arial" w:hint="default"/>
      </w:rPr>
    </w:lvl>
    <w:lvl w:ilvl="3" w:tplc="C90E9B08" w:tentative="1">
      <w:start w:val="1"/>
      <w:numFmt w:val="bullet"/>
      <w:lvlText w:val="•"/>
      <w:lvlJc w:val="left"/>
      <w:pPr>
        <w:tabs>
          <w:tab w:val="num" w:pos="2880"/>
        </w:tabs>
        <w:ind w:left="2880" w:hanging="360"/>
      </w:pPr>
      <w:rPr>
        <w:rFonts w:ascii="Arial" w:hAnsi="Arial" w:hint="default"/>
      </w:rPr>
    </w:lvl>
    <w:lvl w:ilvl="4" w:tplc="EDB6DE6A" w:tentative="1">
      <w:start w:val="1"/>
      <w:numFmt w:val="bullet"/>
      <w:lvlText w:val="•"/>
      <w:lvlJc w:val="left"/>
      <w:pPr>
        <w:tabs>
          <w:tab w:val="num" w:pos="3600"/>
        </w:tabs>
        <w:ind w:left="3600" w:hanging="360"/>
      </w:pPr>
      <w:rPr>
        <w:rFonts w:ascii="Arial" w:hAnsi="Arial" w:hint="default"/>
      </w:rPr>
    </w:lvl>
    <w:lvl w:ilvl="5" w:tplc="2FB81CAE" w:tentative="1">
      <w:start w:val="1"/>
      <w:numFmt w:val="bullet"/>
      <w:lvlText w:val="•"/>
      <w:lvlJc w:val="left"/>
      <w:pPr>
        <w:tabs>
          <w:tab w:val="num" w:pos="4320"/>
        </w:tabs>
        <w:ind w:left="4320" w:hanging="360"/>
      </w:pPr>
      <w:rPr>
        <w:rFonts w:ascii="Arial" w:hAnsi="Arial" w:hint="default"/>
      </w:rPr>
    </w:lvl>
    <w:lvl w:ilvl="6" w:tplc="AAC248FA" w:tentative="1">
      <w:start w:val="1"/>
      <w:numFmt w:val="bullet"/>
      <w:lvlText w:val="•"/>
      <w:lvlJc w:val="left"/>
      <w:pPr>
        <w:tabs>
          <w:tab w:val="num" w:pos="5040"/>
        </w:tabs>
        <w:ind w:left="5040" w:hanging="360"/>
      </w:pPr>
      <w:rPr>
        <w:rFonts w:ascii="Arial" w:hAnsi="Arial" w:hint="default"/>
      </w:rPr>
    </w:lvl>
    <w:lvl w:ilvl="7" w:tplc="EBF23E4C" w:tentative="1">
      <w:start w:val="1"/>
      <w:numFmt w:val="bullet"/>
      <w:lvlText w:val="•"/>
      <w:lvlJc w:val="left"/>
      <w:pPr>
        <w:tabs>
          <w:tab w:val="num" w:pos="5760"/>
        </w:tabs>
        <w:ind w:left="5760" w:hanging="360"/>
      </w:pPr>
      <w:rPr>
        <w:rFonts w:ascii="Arial" w:hAnsi="Arial" w:hint="default"/>
      </w:rPr>
    </w:lvl>
    <w:lvl w:ilvl="8" w:tplc="7BDC3B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7F71E6"/>
    <w:multiLevelType w:val="hybridMultilevel"/>
    <w:tmpl w:val="9BC69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AE7123C"/>
    <w:multiLevelType w:val="hybridMultilevel"/>
    <w:tmpl w:val="D080698A"/>
    <w:lvl w:ilvl="0" w:tplc="F6A48A94">
      <w:start w:val="1"/>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860D60"/>
    <w:multiLevelType w:val="hybridMultilevel"/>
    <w:tmpl w:val="9D843F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1485219"/>
    <w:multiLevelType w:val="hybridMultilevel"/>
    <w:tmpl w:val="B4A49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993153"/>
    <w:multiLevelType w:val="multilevel"/>
    <w:tmpl w:val="9336194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1" w15:restartNumberingAfterBreak="0">
    <w:nsid w:val="72C704CB"/>
    <w:multiLevelType w:val="multilevel"/>
    <w:tmpl w:val="429A8AEC"/>
    <w:lvl w:ilvl="0">
      <w:start w:val="1"/>
      <w:numFmt w:val="decimal"/>
      <w:pStyle w:val="NumberedParagraph"/>
      <w:lvlText w:val="%1."/>
      <w:lvlJc w:val="left"/>
      <w:pPr>
        <w:tabs>
          <w:tab w:val="num" w:pos="709"/>
        </w:tabs>
        <w:ind w:left="709" w:hanging="709"/>
      </w:pPr>
      <w:rPr>
        <w:rFonts w:ascii="Verdana" w:hAnsi="Verdana" w:hint="default"/>
        <w:b w:val="0"/>
        <w:i w:val="0"/>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2" w15:restartNumberingAfterBreak="0">
    <w:nsid w:val="799E62EE"/>
    <w:multiLevelType w:val="multilevel"/>
    <w:tmpl w:val="35767480"/>
    <w:lvl w:ilvl="0">
      <w:start w:val="1"/>
      <w:numFmt w:val="bullet"/>
      <w:lvlText w:val=""/>
      <w:lvlJc w:val="left"/>
      <w:pPr>
        <w:tabs>
          <w:tab w:val="num" w:pos="1418"/>
        </w:tabs>
        <w:ind w:left="1418" w:hanging="709"/>
      </w:pPr>
      <w:rPr>
        <w:rFonts w:ascii="Symbol" w:hAnsi="Symbol" w:hint="default"/>
        <w:sz w:val="24"/>
      </w:rPr>
    </w:lvl>
    <w:lvl w:ilvl="1">
      <w:start w:val="1"/>
      <w:numFmt w:val="decimal"/>
      <w:lvlText w:val="%1.%2"/>
      <w:lvlJc w:val="left"/>
      <w:pPr>
        <w:tabs>
          <w:tab w:val="num" w:pos="2127"/>
        </w:tabs>
        <w:ind w:left="2127" w:hanging="709"/>
      </w:pPr>
      <w:rPr>
        <w:rFonts w:ascii="Arial" w:hAnsi="Arial" w:hint="default"/>
        <w:sz w:val="24"/>
      </w:rPr>
    </w:lvl>
    <w:lvl w:ilvl="2">
      <w:start w:val="1"/>
      <w:numFmt w:val="decimal"/>
      <w:lvlText w:val="%1.%2.%3"/>
      <w:lvlJc w:val="left"/>
      <w:pPr>
        <w:tabs>
          <w:tab w:val="num" w:pos="2836"/>
        </w:tabs>
        <w:ind w:left="2836" w:hanging="709"/>
      </w:pPr>
      <w:rPr>
        <w:rFonts w:ascii="Arial" w:hAnsi="Arial" w:hint="default"/>
        <w:sz w:val="24"/>
      </w:rPr>
    </w:lvl>
    <w:lvl w:ilvl="3">
      <w:start w:val="1"/>
      <w:numFmt w:val="decimal"/>
      <w:lvlText w:val="(%4)"/>
      <w:lvlJc w:val="left"/>
      <w:pPr>
        <w:tabs>
          <w:tab w:val="num" w:pos="3545"/>
        </w:tabs>
        <w:ind w:left="3545" w:hanging="709"/>
      </w:pPr>
      <w:rPr>
        <w:rFonts w:hint="default"/>
        <w:sz w:val="24"/>
      </w:rPr>
    </w:lvl>
    <w:lvl w:ilvl="4">
      <w:start w:val="1"/>
      <w:numFmt w:val="lowerLetter"/>
      <w:lvlText w:val="(%5)"/>
      <w:lvlJc w:val="left"/>
      <w:pPr>
        <w:tabs>
          <w:tab w:val="num" w:pos="4254"/>
        </w:tabs>
        <w:ind w:left="4254" w:hanging="709"/>
      </w:pPr>
      <w:rPr>
        <w:rFonts w:hint="default"/>
      </w:rPr>
    </w:lvl>
    <w:lvl w:ilvl="5">
      <w:start w:val="1"/>
      <w:numFmt w:val="lowerRoman"/>
      <w:lvlText w:val="(%6)"/>
      <w:lvlJc w:val="left"/>
      <w:pPr>
        <w:tabs>
          <w:tab w:val="num" w:pos="4963"/>
        </w:tabs>
        <w:ind w:left="4963" w:hanging="709"/>
      </w:pPr>
      <w:rPr>
        <w:rFonts w:hint="default"/>
      </w:rPr>
    </w:lvl>
    <w:lvl w:ilvl="6">
      <w:start w:val="1"/>
      <w:numFmt w:val="decimal"/>
      <w:lvlText w:val="%7."/>
      <w:lvlJc w:val="left"/>
      <w:pPr>
        <w:tabs>
          <w:tab w:val="num" w:pos="5672"/>
        </w:tabs>
        <w:ind w:left="5672" w:hanging="709"/>
      </w:pPr>
      <w:rPr>
        <w:rFonts w:hint="default"/>
      </w:rPr>
    </w:lvl>
    <w:lvl w:ilvl="7">
      <w:start w:val="1"/>
      <w:numFmt w:val="lowerLetter"/>
      <w:lvlText w:val="%8."/>
      <w:lvlJc w:val="left"/>
      <w:pPr>
        <w:tabs>
          <w:tab w:val="num" w:pos="6381"/>
        </w:tabs>
        <w:ind w:left="6381" w:hanging="709"/>
      </w:pPr>
      <w:rPr>
        <w:rFonts w:hint="default"/>
      </w:rPr>
    </w:lvl>
    <w:lvl w:ilvl="8">
      <w:start w:val="1"/>
      <w:numFmt w:val="lowerRoman"/>
      <w:lvlText w:val="%9."/>
      <w:lvlJc w:val="left"/>
      <w:pPr>
        <w:tabs>
          <w:tab w:val="num" w:pos="7090"/>
        </w:tabs>
        <w:ind w:left="7090" w:hanging="709"/>
      </w:pPr>
      <w:rPr>
        <w:rFonts w:hint="default"/>
      </w:rPr>
    </w:lvl>
  </w:abstractNum>
  <w:abstractNum w:abstractNumId="23" w15:restartNumberingAfterBreak="0">
    <w:nsid w:val="7CC84D79"/>
    <w:multiLevelType w:val="hybridMultilevel"/>
    <w:tmpl w:val="C6706512"/>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4" w15:restartNumberingAfterBreak="0">
    <w:nsid w:val="7CDF3893"/>
    <w:multiLevelType w:val="hybridMultilevel"/>
    <w:tmpl w:val="1792A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0"/>
  </w:num>
  <w:num w:numId="6">
    <w:abstractNumId w:val="20"/>
  </w:num>
  <w:num w:numId="7">
    <w:abstractNumId w:val="20"/>
  </w:num>
  <w:num w:numId="8">
    <w:abstractNumId w:val="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6"/>
  </w:num>
  <w:num w:numId="15">
    <w:abstractNumId w:val="20"/>
  </w:num>
  <w:num w:numId="16">
    <w:abstractNumId w:val="17"/>
  </w:num>
  <w:num w:numId="17">
    <w:abstractNumId w:val="21"/>
  </w:num>
  <w:num w:numId="18">
    <w:abstractNumId w:val="20"/>
  </w:num>
  <w:num w:numId="19">
    <w:abstractNumId w:val="20"/>
  </w:num>
  <w:num w:numId="20">
    <w:abstractNumId w:val="20"/>
  </w:num>
  <w:num w:numId="21">
    <w:abstractNumId w:val="20"/>
  </w:num>
  <w:num w:numId="22">
    <w:abstractNumId w:val="23"/>
  </w:num>
  <w:num w:numId="23">
    <w:abstractNumId w:val="4"/>
  </w:num>
  <w:num w:numId="24">
    <w:abstractNumId w:val="2"/>
  </w:num>
  <w:num w:numId="25">
    <w:abstractNumId w:val="9"/>
  </w:num>
  <w:num w:numId="26">
    <w:abstractNumId w:val="15"/>
  </w:num>
  <w:num w:numId="27">
    <w:abstractNumId w:val="20"/>
  </w:num>
  <w:num w:numId="28">
    <w:abstractNumId w:val="14"/>
  </w:num>
  <w:num w:numId="29">
    <w:abstractNumId w:val="10"/>
  </w:num>
  <w:num w:numId="30">
    <w:abstractNumId w:val="20"/>
  </w:num>
  <w:num w:numId="31">
    <w:abstractNumId w:val="20"/>
  </w:num>
  <w:num w:numId="32">
    <w:abstractNumId w:val="10"/>
  </w:num>
  <w:num w:numId="33">
    <w:abstractNumId w:val="10"/>
  </w:num>
  <w:num w:numId="34">
    <w:abstractNumId w:val="10"/>
  </w:num>
  <w:num w:numId="35">
    <w:abstractNumId w:val="10"/>
  </w:num>
  <w:num w:numId="36">
    <w:abstractNumId w:val="20"/>
  </w:num>
  <w:num w:numId="37">
    <w:abstractNumId w:val="10"/>
  </w:num>
  <w:num w:numId="38">
    <w:abstractNumId w:val="20"/>
  </w:num>
  <w:num w:numId="39">
    <w:abstractNumId w:val="20"/>
  </w:num>
  <w:num w:numId="40">
    <w:abstractNumId w:val="11"/>
  </w:num>
  <w:num w:numId="41">
    <w:abstractNumId w:val="22"/>
  </w:num>
  <w:num w:numId="42">
    <w:abstractNumId w:val="20"/>
  </w:num>
  <w:num w:numId="43">
    <w:abstractNumId w:val="19"/>
  </w:num>
  <w:num w:numId="44">
    <w:abstractNumId w:val="1"/>
  </w:num>
  <w:num w:numId="45">
    <w:abstractNumId w:val="12"/>
  </w:num>
  <w:num w:numId="46">
    <w:abstractNumId w:val="18"/>
  </w:num>
  <w:num w:numId="47">
    <w:abstractNumId w:val="24"/>
  </w:num>
  <w:num w:numId="48">
    <w:abstractNumId w:val="7"/>
  </w:num>
  <w:num w:numId="49">
    <w:abstractNumId w:val="16"/>
  </w:num>
  <w:num w:numId="50">
    <w:abstractNumId w:val="20"/>
  </w:num>
  <w:num w:numId="51">
    <w:abstractNumId w:val="8"/>
  </w:num>
  <w:num w:numId="52">
    <w:abstractNumId w:val="0"/>
  </w:num>
  <w:num w:numId="53">
    <w:abstractNumId w:val="2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AE"/>
    <w:rsid w:val="0000067A"/>
    <w:rsid w:val="000205D9"/>
    <w:rsid w:val="00032627"/>
    <w:rsid w:val="00041D61"/>
    <w:rsid w:val="00056241"/>
    <w:rsid w:val="00061FE6"/>
    <w:rsid w:val="00065009"/>
    <w:rsid w:val="000758E9"/>
    <w:rsid w:val="000816EC"/>
    <w:rsid w:val="000878A8"/>
    <w:rsid w:val="000A7DF7"/>
    <w:rsid w:val="000C0406"/>
    <w:rsid w:val="000D6953"/>
    <w:rsid w:val="000F6FAE"/>
    <w:rsid w:val="00106029"/>
    <w:rsid w:val="0010657D"/>
    <w:rsid w:val="00125D95"/>
    <w:rsid w:val="00126B22"/>
    <w:rsid w:val="0013353D"/>
    <w:rsid w:val="0014203A"/>
    <w:rsid w:val="00144AA9"/>
    <w:rsid w:val="00145364"/>
    <w:rsid w:val="00162366"/>
    <w:rsid w:val="0018463C"/>
    <w:rsid w:val="00191B95"/>
    <w:rsid w:val="00195E0B"/>
    <w:rsid w:val="00197D47"/>
    <w:rsid w:val="001A34A8"/>
    <w:rsid w:val="001A63C9"/>
    <w:rsid w:val="001A64F1"/>
    <w:rsid w:val="001A76BF"/>
    <w:rsid w:val="001B757B"/>
    <w:rsid w:val="001C10C1"/>
    <w:rsid w:val="001C13A2"/>
    <w:rsid w:val="001C4061"/>
    <w:rsid w:val="001C4087"/>
    <w:rsid w:val="001D2F7E"/>
    <w:rsid w:val="001D60C2"/>
    <w:rsid w:val="001D6CA1"/>
    <w:rsid w:val="001D6E8D"/>
    <w:rsid w:val="001E1B18"/>
    <w:rsid w:val="001E4F43"/>
    <w:rsid w:val="001F15B0"/>
    <w:rsid w:val="001F6EAC"/>
    <w:rsid w:val="001F7707"/>
    <w:rsid w:val="00201A5B"/>
    <w:rsid w:val="002112EA"/>
    <w:rsid w:val="00217567"/>
    <w:rsid w:val="00222117"/>
    <w:rsid w:val="00231486"/>
    <w:rsid w:val="00233292"/>
    <w:rsid w:val="00240C4A"/>
    <w:rsid w:val="00265318"/>
    <w:rsid w:val="002815D6"/>
    <w:rsid w:val="00282003"/>
    <w:rsid w:val="002860DE"/>
    <w:rsid w:val="00287953"/>
    <w:rsid w:val="0029161B"/>
    <w:rsid w:val="002A3AF5"/>
    <w:rsid w:val="002A643B"/>
    <w:rsid w:val="002B1FB9"/>
    <w:rsid w:val="002C2E88"/>
    <w:rsid w:val="002C3131"/>
    <w:rsid w:val="002C429A"/>
    <w:rsid w:val="002C5AA0"/>
    <w:rsid w:val="002D024E"/>
    <w:rsid w:val="002D61E0"/>
    <w:rsid w:val="002D7491"/>
    <w:rsid w:val="002E024A"/>
    <w:rsid w:val="002F4880"/>
    <w:rsid w:val="002F7ED0"/>
    <w:rsid w:val="00311D10"/>
    <w:rsid w:val="003215BE"/>
    <w:rsid w:val="003229B0"/>
    <w:rsid w:val="00323AC3"/>
    <w:rsid w:val="0034255D"/>
    <w:rsid w:val="00350773"/>
    <w:rsid w:val="00361D6E"/>
    <w:rsid w:val="003621CC"/>
    <w:rsid w:val="00375F49"/>
    <w:rsid w:val="00394D39"/>
    <w:rsid w:val="003A12AA"/>
    <w:rsid w:val="003A3559"/>
    <w:rsid w:val="003B1D22"/>
    <w:rsid w:val="003B29CC"/>
    <w:rsid w:val="003B2C5F"/>
    <w:rsid w:val="003B3811"/>
    <w:rsid w:val="003B5967"/>
    <w:rsid w:val="003C12A0"/>
    <w:rsid w:val="003C2A6B"/>
    <w:rsid w:val="003C3795"/>
    <w:rsid w:val="003C645C"/>
    <w:rsid w:val="003F305C"/>
    <w:rsid w:val="004017D7"/>
    <w:rsid w:val="00411D2A"/>
    <w:rsid w:val="004241EE"/>
    <w:rsid w:val="0043327C"/>
    <w:rsid w:val="0043334A"/>
    <w:rsid w:val="00456057"/>
    <w:rsid w:val="004738F3"/>
    <w:rsid w:val="0049750C"/>
    <w:rsid w:val="004A678B"/>
    <w:rsid w:val="004B08AE"/>
    <w:rsid w:val="004B413A"/>
    <w:rsid w:val="004B589F"/>
    <w:rsid w:val="004B7D11"/>
    <w:rsid w:val="004D6A8B"/>
    <w:rsid w:val="004F3799"/>
    <w:rsid w:val="0051297C"/>
    <w:rsid w:val="0052171D"/>
    <w:rsid w:val="0052241A"/>
    <w:rsid w:val="005251BC"/>
    <w:rsid w:val="0053080E"/>
    <w:rsid w:val="00530E2A"/>
    <w:rsid w:val="0053679B"/>
    <w:rsid w:val="00540720"/>
    <w:rsid w:val="005412BD"/>
    <w:rsid w:val="00555C5A"/>
    <w:rsid w:val="00556994"/>
    <w:rsid w:val="00577AF5"/>
    <w:rsid w:val="005A4F5C"/>
    <w:rsid w:val="005B44E4"/>
    <w:rsid w:val="005C2C71"/>
    <w:rsid w:val="005C3DC8"/>
    <w:rsid w:val="005D4C76"/>
    <w:rsid w:val="005E0916"/>
    <w:rsid w:val="005E1C25"/>
    <w:rsid w:val="005F2374"/>
    <w:rsid w:val="00602DF0"/>
    <w:rsid w:val="00611263"/>
    <w:rsid w:val="00617423"/>
    <w:rsid w:val="00617DAC"/>
    <w:rsid w:val="00631119"/>
    <w:rsid w:val="00633D76"/>
    <w:rsid w:val="006412CD"/>
    <w:rsid w:val="00647E49"/>
    <w:rsid w:val="00655AA0"/>
    <w:rsid w:val="00674227"/>
    <w:rsid w:val="00675881"/>
    <w:rsid w:val="006869F8"/>
    <w:rsid w:val="006B2D04"/>
    <w:rsid w:val="006C19F8"/>
    <w:rsid w:val="006C5D4C"/>
    <w:rsid w:val="006C6694"/>
    <w:rsid w:val="006D1D8D"/>
    <w:rsid w:val="006F0F88"/>
    <w:rsid w:val="006F18D5"/>
    <w:rsid w:val="006F3BAC"/>
    <w:rsid w:val="007026AE"/>
    <w:rsid w:val="007043C4"/>
    <w:rsid w:val="007202D5"/>
    <w:rsid w:val="00720D91"/>
    <w:rsid w:val="00733356"/>
    <w:rsid w:val="00733493"/>
    <w:rsid w:val="00740DE0"/>
    <w:rsid w:val="00772395"/>
    <w:rsid w:val="00782668"/>
    <w:rsid w:val="00791A07"/>
    <w:rsid w:val="007B07B2"/>
    <w:rsid w:val="007E3147"/>
    <w:rsid w:val="007E3E93"/>
    <w:rsid w:val="007F1193"/>
    <w:rsid w:val="007F192D"/>
    <w:rsid w:val="008027CD"/>
    <w:rsid w:val="00814953"/>
    <w:rsid w:val="00816F0F"/>
    <w:rsid w:val="00821695"/>
    <w:rsid w:val="0082211D"/>
    <w:rsid w:val="008230F7"/>
    <w:rsid w:val="00823EC8"/>
    <w:rsid w:val="00830832"/>
    <w:rsid w:val="00852F5D"/>
    <w:rsid w:val="00856988"/>
    <w:rsid w:val="00856CDC"/>
    <w:rsid w:val="00857DA0"/>
    <w:rsid w:val="00877CB8"/>
    <w:rsid w:val="008877EE"/>
    <w:rsid w:val="008A070F"/>
    <w:rsid w:val="008A1D46"/>
    <w:rsid w:val="008A3741"/>
    <w:rsid w:val="008A6E84"/>
    <w:rsid w:val="008A7039"/>
    <w:rsid w:val="008B1E18"/>
    <w:rsid w:val="008B360B"/>
    <w:rsid w:val="008C46FA"/>
    <w:rsid w:val="008C65D8"/>
    <w:rsid w:val="008C7649"/>
    <w:rsid w:val="008E2A7D"/>
    <w:rsid w:val="008E4B0D"/>
    <w:rsid w:val="008F21DB"/>
    <w:rsid w:val="009052D4"/>
    <w:rsid w:val="0091189B"/>
    <w:rsid w:val="009204BC"/>
    <w:rsid w:val="00925BAB"/>
    <w:rsid w:val="0093667D"/>
    <w:rsid w:val="009369A7"/>
    <w:rsid w:val="00942183"/>
    <w:rsid w:val="00951C07"/>
    <w:rsid w:val="0096223D"/>
    <w:rsid w:val="00962E77"/>
    <w:rsid w:val="00966425"/>
    <w:rsid w:val="00967D0C"/>
    <w:rsid w:val="0097048F"/>
    <w:rsid w:val="00971CA0"/>
    <w:rsid w:val="00975BD0"/>
    <w:rsid w:val="0098593C"/>
    <w:rsid w:val="00990792"/>
    <w:rsid w:val="00995055"/>
    <w:rsid w:val="009963D7"/>
    <w:rsid w:val="009A2C01"/>
    <w:rsid w:val="009A48BD"/>
    <w:rsid w:val="009A533F"/>
    <w:rsid w:val="009B1E5A"/>
    <w:rsid w:val="009B41BB"/>
    <w:rsid w:val="009B6CEE"/>
    <w:rsid w:val="009D160A"/>
    <w:rsid w:val="009E1D83"/>
    <w:rsid w:val="00A0429D"/>
    <w:rsid w:val="00A1352B"/>
    <w:rsid w:val="00A135D2"/>
    <w:rsid w:val="00A16730"/>
    <w:rsid w:val="00A209D8"/>
    <w:rsid w:val="00A302D7"/>
    <w:rsid w:val="00A3154F"/>
    <w:rsid w:val="00A42EC4"/>
    <w:rsid w:val="00A574DB"/>
    <w:rsid w:val="00A72372"/>
    <w:rsid w:val="00A80350"/>
    <w:rsid w:val="00A97DFA"/>
    <w:rsid w:val="00AB13E0"/>
    <w:rsid w:val="00AC3961"/>
    <w:rsid w:val="00AC4D10"/>
    <w:rsid w:val="00AC7764"/>
    <w:rsid w:val="00AD0ACD"/>
    <w:rsid w:val="00AD4D5B"/>
    <w:rsid w:val="00AE21F0"/>
    <w:rsid w:val="00AE5105"/>
    <w:rsid w:val="00AE611A"/>
    <w:rsid w:val="00AF2010"/>
    <w:rsid w:val="00B04ECB"/>
    <w:rsid w:val="00B129EE"/>
    <w:rsid w:val="00B34835"/>
    <w:rsid w:val="00B4094F"/>
    <w:rsid w:val="00B41190"/>
    <w:rsid w:val="00B43B07"/>
    <w:rsid w:val="00B43FB2"/>
    <w:rsid w:val="00B50774"/>
    <w:rsid w:val="00B508E7"/>
    <w:rsid w:val="00B57E6C"/>
    <w:rsid w:val="00B72CE5"/>
    <w:rsid w:val="00B81859"/>
    <w:rsid w:val="00B91B39"/>
    <w:rsid w:val="00BA2AA8"/>
    <w:rsid w:val="00BB6C05"/>
    <w:rsid w:val="00BB79B2"/>
    <w:rsid w:val="00BC1350"/>
    <w:rsid w:val="00BE16AB"/>
    <w:rsid w:val="00BE2739"/>
    <w:rsid w:val="00BE732E"/>
    <w:rsid w:val="00BF54C3"/>
    <w:rsid w:val="00BF7EC9"/>
    <w:rsid w:val="00C01C32"/>
    <w:rsid w:val="00C0314B"/>
    <w:rsid w:val="00C036FA"/>
    <w:rsid w:val="00C053E6"/>
    <w:rsid w:val="00C3126D"/>
    <w:rsid w:val="00C3270D"/>
    <w:rsid w:val="00C329F7"/>
    <w:rsid w:val="00C32A0F"/>
    <w:rsid w:val="00C33ABD"/>
    <w:rsid w:val="00C65945"/>
    <w:rsid w:val="00C77C5E"/>
    <w:rsid w:val="00C82D7A"/>
    <w:rsid w:val="00C872A9"/>
    <w:rsid w:val="00CA2ACC"/>
    <w:rsid w:val="00CA622F"/>
    <w:rsid w:val="00CB0D9E"/>
    <w:rsid w:val="00CC73A3"/>
    <w:rsid w:val="00CD6B93"/>
    <w:rsid w:val="00CE3EAD"/>
    <w:rsid w:val="00CE4CE5"/>
    <w:rsid w:val="00CF787A"/>
    <w:rsid w:val="00D02654"/>
    <w:rsid w:val="00D04385"/>
    <w:rsid w:val="00D114E4"/>
    <w:rsid w:val="00D15913"/>
    <w:rsid w:val="00D20857"/>
    <w:rsid w:val="00D301A1"/>
    <w:rsid w:val="00D32583"/>
    <w:rsid w:val="00D53D10"/>
    <w:rsid w:val="00D55EFB"/>
    <w:rsid w:val="00D6003E"/>
    <w:rsid w:val="00D60E4C"/>
    <w:rsid w:val="00D633D8"/>
    <w:rsid w:val="00D76FFA"/>
    <w:rsid w:val="00D8013D"/>
    <w:rsid w:val="00D86700"/>
    <w:rsid w:val="00D966A9"/>
    <w:rsid w:val="00DA4E93"/>
    <w:rsid w:val="00DA7E37"/>
    <w:rsid w:val="00DB2CAE"/>
    <w:rsid w:val="00DB2DB1"/>
    <w:rsid w:val="00DC5713"/>
    <w:rsid w:val="00DD0E87"/>
    <w:rsid w:val="00DD1CBF"/>
    <w:rsid w:val="00DD2177"/>
    <w:rsid w:val="00DD79B9"/>
    <w:rsid w:val="00DE45DB"/>
    <w:rsid w:val="00DE71CD"/>
    <w:rsid w:val="00DF3942"/>
    <w:rsid w:val="00DF5C23"/>
    <w:rsid w:val="00DF6301"/>
    <w:rsid w:val="00E05769"/>
    <w:rsid w:val="00E2661D"/>
    <w:rsid w:val="00E324DF"/>
    <w:rsid w:val="00E405AB"/>
    <w:rsid w:val="00E50D09"/>
    <w:rsid w:val="00E61C66"/>
    <w:rsid w:val="00E66DB2"/>
    <w:rsid w:val="00E73307"/>
    <w:rsid w:val="00E7492A"/>
    <w:rsid w:val="00EA50DC"/>
    <w:rsid w:val="00EB017C"/>
    <w:rsid w:val="00EB1D6A"/>
    <w:rsid w:val="00EC0FC4"/>
    <w:rsid w:val="00EC183A"/>
    <w:rsid w:val="00ED1C30"/>
    <w:rsid w:val="00ED23D8"/>
    <w:rsid w:val="00ED2742"/>
    <w:rsid w:val="00ED590B"/>
    <w:rsid w:val="00F005B3"/>
    <w:rsid w:val="00F03209"/>
    <w:rsid w:val="00F20BBA"/>
    <w:rsid w:val="00F26C5B"/>
    <w:rsid w:val="00F279E0"/>
    <w:rsid w:val="00F31991"/>
    <w:rsid w:val="00F31B14"/>
    <w:rsid w:val="00F33FB9"/>
    <w:rsid w:val="00F365EB"/>
    <w:rsid w:val="00F4036E"/>
    <w:rsid w:val="00F51205"/>
    <w:rsid w:val="00F54186"/>
    <w:rsid w:val="00F62EAA"/>
    <w:rsid w:val="00F76032"/>
    <w:rsid w:val="00F815F2"/>
    <w:rsid w:val="00F843B8"/>
    <w:rsid w:val="00F848DE"/>
    <w:rsid w:val="00FA14BF"/>
    <w:rsid w:val="00FA30E1"/>
    <w:rsid w:val="00FA71AF"/>
    <w:rsid w:val="00FA7365"/>
    <w:rsid w:val="00FB03D3"/>
    <w:rsid w:val="00FB6A04"/>
    <w:rsid w:val="00FC1FDE"/>
    <w:rsid w:val="00FC3C1C"/>
    <w:rsid w:val="00FD57F7"/>
    <w:rsid w:val="00FE4F91"/>
    <w:rsid w:val="00FF1E16"/>
    <w:rsid w:val="00FF3E97"/>
    <w:rsid w:val="00FF4A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FB53D"/>
  <w15:docId w15:val="{3691643B-76E8-4C61-BFD3-A5C168AE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styleId="ListParagraph">
    <w:name w:val="List Paragraph"/>
    <w:basedOn w:val="Normal"/>
    <w:uiPriority w:val="34"/>
    <w:qFormat/>
    <w:rsid w:val="00995055"/>
    <w:pPr>
      <w:spacing w:after="0"/>
      <w:ind w:left="720"/>
      <w:contextualSpacing/>
      <w:jc w:val="left"/>
    </w:pPr>
    <w:rPr>
      <w:rFonts w:ascii="Verdana" w:hAnsi="Verdana"/>
      <w:sz w:val="20"/>
      <w:szCs w:val="22"/>
      <w:lang w:eastAsia="en-US"/>
    </w:rPr>
  </w:style>
  <w:style w:type="paragraph" w:customStyle="1" w:styleId="paragraph">
    <w:name w:val="paragraph"/>
    <w:basedOn w:val="Normal"/>
    <w:rsid w:val="00995055"/>
    <w:pPr>
      <w:spacing w:before="100" w:beforeAutospacing="1" w:after="100" w:afterAutospacing="1"/>
      <w:jc w:val="left"/>
    </w:pPr>
    <w:rPr>
      <w:rFonts w:ascii="Times New Roman" w:eastAsia="Times New Roman" w:hAnsi="Times New Roman" w:cs="Times New Roman"/>
      <w:szCs w:val="24"/>
    </w:rPr>
  </w:style>
  <w:style w:type="character" w:customStyle="1" w:styleId="normaltextrun">
    <w:name w:val="normaltextrun"/>
    <w:basedOn w:val="DefaultParagraphFont"/>
    <w:rsid w:val="00995055"/>
  </w:style>
  <w:style w:type="character" w:customStyle="1" w:styleId="eop">
    <w:name w:val="eop"/>
    <w:basedOn w:val="DefaultParagraphFont"/>
    <w:rsid w:val="00995055"/>
  </w:style>
  <w:style w:type="character" w:customStyle="1" w:styleId="advancedproofingissue">
    <w:name w:val="advancedproofingissue"/>
    <w:basedOn w:val="DefaultParagraphFont"/>
    <w:rsid w:val="00995055"/>
  </w:style>
  <w:style w:type="character" w:customStyle="1" w:styleId="contextualspellingandgrammarerror">
    <w:name w:val="contextualspellingandgrammarerror"/>
    <w:basedOn w:val="DefaultParagraphFont"/>
    <w:rsid w:val="00995055"/>
  </w:style>
  <w:style w:type="paragraph" w:customStyle="1" w:styleId="NumberedParagraph">
    <w:name w:val="Numbered Paragraph"/>
    <w:basedOn w:val="Normal"/>
    <w:qFormat/>
    <w:rsid w:val="00FF1E16"/>
    <w:pPr>
      <w:numPr>
        <w:numId w:val="17"/>
      </w:numPr>
      <w:spacing w:after="200"/>
    </w:pPr>
    <w:rPr>
      <w:rFonts w:ascii="Verdana" w:hAnsi="Verdana"/>
      <w:sz w:val="20"/>
    </w:rPr>
  </w:style>
  <w:style w:type="character" w:styleId="CommentReference">
    <w:name w:val="annotation reference"/>
    <w:basedOn w:val="DefaultParagraphFont"/>
    <w:uiPriority w:val="99"/>
    <w:semiHidden/>
    <w:unhideWhenUsed/>
    <w:rsid w:val="001A76BF"/>
    <w:rPr>
      <w:sz w:val="16"/>
      <w:szCs w:val="16"/>
    </w:rPr>
  </w:style>
  <w:style w:type="paragraph" w:styleId="CommentText">
    <w:name w:val="annotation text"/>
    <w:basedOn w:val="Normal"/>
    <w:link w:val="CommentTextChar"/>
    <w:uiPriority w:val="99"/>
    <w:semiHidden/>
    <w:unhideWhenUsed/>
    <w:rsid w:val="001A76BF"/>
    <w:rPr>
      <w:sz w:val="20"/>
      <w:szCs w:val="20"/>
    </w:rPr>
  </w:style>
  <w:style w:type="character" w:customStyle="1" w:styleId="CommentTextChar">
    <w:name w:val="Comment Text Char"/>
    <w:basedOn w:val="DefaultParagraphFont"/>
    <w:link w:val="CommentText"/>
    <w:uiPriority w:val="99"/>
    <w:semiHidden/>
    <w:rsid w:val="001A76BF"/>
    <w:rPr>
      <w:sz w:val="20"/>
      <w:szCs w:val="20"/>
    </w:rPr>
  </w:style>
  <w:style w:type="paragraph" w:styleId="CommentSubject">
    <w:name w:val="annotation subject"/>
    <w:basedOn w:val="CommentText"/>
    <w:next w:val="CommentText"/>
    <w:link w:val="CommentSubjectChar"/>
    <w:uiPriority w:val="99"/>
    <w:semiHidden/>
    <w:unhideWhenUsed/>
    <w:rsid w:val="00C872A9"/>
    <w:rPr>
      <w:b/>
      <w:bCs/>
    </w:rPr>
  </w:style>
  <w:style w:type="character" w:customStyle="1" w:styleId="CommentSubjectChar">
    <w:name w:val="Comment Subject Char"/>
    <w:basedOn w:val="CommentTextChar"/>
    <w:link w:val="CommentSubject"/>
    <w:uiPriority w:val="99"/>
    <w:semiHidden/>
    <w:rsid w:val="00C872A9"/>
    <w:rPr>
      <w:b/>
      <w:bCs/>
      <w:sz w:val="20"/>
      <w:szCs w:val="20"/>
    </w:rPr>
  </w:style>
  <w:style w:type="character" w:styleId="Emphasis">
    <w:name w:val="Emphasis"/>
    <w:basedOn w:val="DefaultParagraphFont"/>
    <w:uiPriority w:val="20"/>
    <w:qFormat/>
    <w:rsid w:val="002F7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12305">
      <w:bodyDiv w:val="1"/>
      <w:marLeft w:val="0"/>
      <w:marRight w:val="0"/>
      <w:marTop w:val="0"/>
      <w:marBottom w:val="0"/>
      <w:divBdr>
        <w:top w:val="none" w:sz="0" w:space="0" w:color="auto"/>
        <w:left w:val="none" w:sz="0" w:space="0" w:color="auto"/>
        <w:bottom w:val="none" w:sz="0" w:space="0" w:color="auto"/>
        <w:right w:val="none" w:sz="0" w:space="0" w:color="auto"/>
      </w:divBdr>
      <w:divsChild>
        <w:div w:id="1527791991">
          <w:marLeft w:val="274"/>
          <w:marRight w:val="0"/>
          <w:marTop w:val="0"/>
          <w:marBottom w:val="0"/>
          <w:divBdr>
            <w:top w:val="none" w:sz="0" w:space="0" w:color="auto"/>
            <w:left w:val="none" w:sz="0" w:space="0" w:color="auto"/>
            <w:bottom w:val="none" w:sz="0" w:space="0" w:color="auto"/>
            <w:right w:val="none" w:sz="0" w:space="0" w:color="auto"/>
          </w:divBdr>
        </w:div>
        <w:div w:id="437678677">
          <w:marLeft w:val="274"/>
          <w:marRight w:val="0"/>
          <w:marTop w:val="0"/>
          <w:marBottom w:val="0"/>
          <w:divBdr>
            <w:top w:val="none" w:sz="0" w:space="0" w:color="auto"/>
            <w:left w:val="none" w:sz="0" w:space="0" w:color="auto"/>
            <w:bottom w:val="none" w:sz="0" w:space="0" w:color="auto"/>
            <w:right w:val="none" w:sz="0" w:space="0" w:color="auto"/>
          </w:divBdr>
        </w:div>
        <w:div w:id="297494172">
          <w:marLeft w:val="274"/>
          <w:marRight w:val="0"/>
          <w:marTop w:val="0"/>
          <w:marBottom w:val="0"/>
          <w:divBdr>
            <w:top w:val="none" w:sz="0" w:space="0" w:color="auto"/>
            <w:left w:val="none" w:sz="0" w:space="0" w:color="auto"/>
            <w:bottom w:val="none" w:sz="0" w:space="0" w:color="auto"/>
            <w:right w:val="none" w:sz="0" w:space="0" w:color="auto"/>
          </w:divBdr>
        </w:div>
      </w:divsChild>
    </w:div>
    <w:div w:id="194200678">
      <w:bodyDiv w:val="1"/>
      <w:marLeft w:val="0"/>
      <w:marRight w:val="0"/>
      <w:marTop w:val="0"/>
      <w:marBottom w:val="0"/>
      <w:divBdr>
        <w:top w:val="none" w:sz="0" w:space="0" w:color="auto"/>
        <w:left w:val="none" w:sz="0" w:space="0" w:color="auto"/>
        <w:bottom w:val="none" w:sz="0" w:space="0" w:color="auto"/>
        <w:right w:val="none" w:sz="0" w:space="0" w:color="auto"/>
      </w:divBdr>
      <w:divsChild>
        <w:div w:id="2905709">
          <w:marLeft w:val="274"/>
          <w:marRight w:val="0"/>
          <w:marTop w:val="0"/>
          <w:marBottom w:val="0"/>
          <w:divBdr>
            <w:top w:val="none" w:sz="0" w:space="0" w:color="auto"/>
            <w:left w:val="none" w:sz="0" w:space="0" w:color="auto"/>
            <w:bottom w:val="none" w:sz="0" w:space="0" w:color="auto"/>
            <w:right w:val="none" w:sz="0" w:space="0" w:color="auto"/>
          </w:divBdr>
        </w:div>
        <w:div w:id="573591501">
          <w:marLeft w:val="274"/>
          <w:marRight w:val="0"/>
          <w:marTop w:val="0"/>
          <w:marBottom w:val="0"/>
          <w:divBdr>
            <w:top w:val="none" w:sz="0" w:space="0" w:color="auto"/>
            <w:left w:val="none" w:sz="0" w:space="0" w:color="auto"/>
            <w:bottom w:val="none" w:sz="0" w:space="0" w:color="auto"/>
            <w:right w:val="none" w:sz="0" w:space="0" w:color="auto"/>
          </w:divBdr>
        </w:div>
        <w:div w:id="156117555">
          <w:marLeft w:val="274"/>
          <w:marRight w:val="0"/>
          <w:marTop w:val="0"/>
          <w:marBottom w:val="0"/>
          <w:divBdr>
            <w:top w:val="none" w:sz="0" w:space="0" w:color="auto"/>
            <w:left w:val="none" w:sz="0" w:space="0" w:color="auto"/>
            <w:bottom w:val="none" w:sz="0" w:space="0" w:color="auto"/>
            <w:right w:val="none" w:sz="0" w:space="0" w:color="auto"/>
          </w:divBdr>
        </w:div>
      </w:divsChild>
    </w:div>
    <w:div w:id="396902845">
      <w:bodyDiv w:val="1"/>
      <w:marLeft w:val="0"/>
      <w:marRight w:val="0"/>
      <w:marTop w:val="0"/>
      <w:marBottom w:val="0"/>
      <w:divBdr>
        <w:top w:val="none" w:sz="0" w:space="0" w:color="auto"/>
        <w:left w:val="none" w:sz="0" w:space="0" w:color="auto"/>
        <w:bottom w:val="none" w:sz="0" w:space="0" w:color="auto"/>
        <w:right w:val="none" w:sz="0" w:space="0" w:color="auto"/>
      </w:divBdr>
    </w:div>
    <w:div w:id="500313927">
      <w:bodyDiv w:val="1"/>
      <w:marLeft w:val="0"/>
      <w:marRight w:val="0"/>
      <w:marTop w:val="0"/>
      <w:marBottom w:val="0"/>
      <w:divBdr>
        <w:top w:val="none" w:sz="0" w:space="0" w:color="auto"/>
        <w:left w:val="none" w:sz="0" w:space="0" w:color="auto"/>
        <w:bottom w:val="none" w:sz="0" w:space="0" w:color="auto"/>
        <w:right w:val="none" w:sz="0" w:space="0" w:color="auto"/>
      </w:divBdr>
    </w:div>
    <w:div w:id="635338570">
      <w:bodyDiv w:val="1"/>
      <w:marLeft w:val="0"/>
      <w:marRight w:val="0"/>
      <w:marTop w:val="0"/>
      <w:marBottom w:val="0"/>
      <w:divBdr>
        <w:top w:val="none" w:sz="0" w:space="0" w:color="auto"/>
        <w:left w:val="none" w:sz="0" w:space="0" w:color="auto"/>
        <w:bottom w:val="none" w:sz="0" w:space="0" w:color="auto"/>
        <w:right w:val="none" w:sz="0" w:space="0" w:color="auto"/>
      </w:divBdr>
    </w:div>
    <w:div w:id="966735875">
      <w:bodyDiv w:val="1"/>
      <w:marLeft w:val="0"/>
      <w:marRight w:val="0"/>
      <w:marTop w:val="0"/>
      <w:marBottom w:val="0"/>
      <w:divBdr>
        <w:top w:val="none" w:sz="0" w:space="0" w:color="auto"/>
        <w:left w:val="none" w:sz="0" w:space="0" w:color="auto"/>
        <w:bottom w:val="none" w:sz="0" w:space="0" w:color="auto"/>
        <w:right w:val="none" w:sz="0" w:space="0" w:color="auto"/>
      </w:divBdr>
    </w:div>
    <w:div w:id="1119375432">
      <w:bodyDiv w:val="1"/>
      <w:marLeft w:val="0"/>
      <w:marRight w:val="0"/>
      <w:marTop w:val="0"/>
      <w:marBottom w:val="0"/>
      <w:divBdr>
        <w:top w:val="none" w:sz="0" w:space="0" w:color="auto"/>
        <w:left w:val="none" w:sz="0" w:space="0" w:color="auto"/>
        <w:bottom w:val="none" w:sz="0" w:space="0" w:color="auto"/>
        <w:right w:val="none" w:sz="0" w:space="0" w:color="auto"/>
      </w:divBdr>
      <w:divsChild>
        <w:div w:id="1820876645">
          <w:marLeft w:val="274"/>
          <w:marRight w:val="0"/>
          <w:marTop w:val="0"/>
          <w:marBottom w:val="0"/>
          <w:divBdr>
            <w:top w:val="none" w:sz="0" w:space="0" w:color="auto"/>
            <w:left w:val="none" w:sz="0" w:space="0" w:color="auto"/>
            <w:bottom w:val="none" w:sz="0" w:space="0" w:color="auto"/>
            <w:right w:val="none" w:sz="0" w:space="0" w:color="auto"/>
          </w:divBdr>
        </w:div>
      </w:divsChild>
    </w:div>
    <w:div w:id="1122305845">
      <w:bodyDiv w:val="1"/>
      <w:marLeft w:val="0"/>
      <w:marRight w:val="0"/>
      <w:marTop w:val="0"/>
      <w:marBottom w:val="0"/>
      <w:divBdr>
        <w:top w:val="none" w:sz="0" w:space="0" w:color="auto"/>
        <w:left w:val="none" w:sz="0" w:space="0" w:color="auto"/>
        <w:bottom w:val="none" w:sz="0" w:space="0" w:color="auto"/>
        <w:right w:val="none" w:sz="0" w:space="0" w:color="auto"/>
      </w:divBdr>
      <w:divsChild>
        <w:div w:id="694814095">
          <w:marLeft w:val="274"/>
          <w:marRight w:val="0"/>
          <w:marTop w:val="0"/>
          <w:marBottom w:val="0"/>
          <w:divBdr>
            <w:top w:val="none" w:sz="0" w:space="0" w:color="auto"/>
            <w:left w:val="none" w:sz="0" w:space="0" w:color="auto"/>
            <w:bottom w:val="none" w:sz="0" w:space="0" w:color="auto"/>
            <w:right w:val="none" w:sz="0" w:space="0" w:color="auto"/>
          </w:divBdr>
        </w:div>
      </w:divsChild>
    </w:div>
    <w:div w:id="1204514789">
      <w:bodyDiv w:val="1"/>
      <w:marLeft w:val="0"/>
      <w:marRight w:val="0"/>
      <w:marTop w:val="0"/>
      <w:marBottom w:val="0"/>
      <w:divBdr>
        <w:top w:val="none" w:sz="0" w:space="0" w:color="auto"/>
        <w:left w:val="none" w:sz="0" w:space="0" w:color="auto"/>
        <w:bottom w:val="none" w:sz="0" w:space="0" w:color="auto"/>
        <w:right w:val="none" w:sz="0" w:space="0" w:color="auto"/>
      </w:divBdr>
      <w:divsChild>
        <w:div w:id="1633435758">
          <w:marLeft w:val="274"/>
          <w:marRight w:val="0"/>
          <w:marTop w:val="0"/>
          <w:marBottom w:val="0"/>
          <w:divBdr>
            <w:top w:val="none" w:sz="0" w:space="0" w:color="auto"/>
            <w:left w:val="none" w:sz="0" w:space="0" w:color="auto"/>
            <w:bottom w:val="none" w:sz="0" w:space="0" w:color="auto"/>
            <w:right w:val="none" w:sz="0" w:space="0" w:color="auto"/>
          </w:divBdr>
        </w:div>
      </w:divsChild>
    </w:div>
    <w:div w:id="1529172466">
      <w:bodyDiv w:val="1"/>
      <w:marLeft w:val="0"/>
      <w:marRight w:val="0"/>
      <w:marTop w:val="0"/>
      <w:marBottom w:val="0"/>
      <w:divBdr>
        <w:top w:val="none" w:sz="0" w:space="0" w:color="auto"/>
        <w:left w:val="none" w:sz="0" w:space="0" w:color="auto"/>
        <w:bottom w:val="none" w:sz="0" w:space="0" w:color="auto"/>
        <w:right w:val="none" w:sz="0" w:space="0" w:color="auto"/>
      </w:divBdr>
    </w:div>
    <w:div w:id="1534492467">
      <w:bodyDiv w:val="1"/>
      <w:marLeft w:val="0"/>
      <w:marRight w:val="0"/>
      <w:marTop w:val="0"/>
      <w:marBottom w:val="0"/>
      <w:divBdr>
        <w:top w:val="none" w:sz="0" w:space="0" w:color="auto"/>
        <w:left w:val="none" w:sz="0" w:space="0" w:color="auto"/>
        <w:bottom w:val="none" w:sz="0" w:space="0" w:color="auto"/>
        <w:right w:val="none" w:sz="0" w:space="0" w:color="auto"/>
      </w:divBdr>
    </w:div>
    <w:div w:id="1541894057">
      <w:bodyDiv w:val="1"/>
      <w:marLeft w:val="0"/>
      <w:marRight w:val="0"/>
      <w:marTop w:val="0"/>
      <w:marBottom w:val="0"/>
      <w:divBdr>
        <w:top w:val="none" w:sz="0" w:space="0" w:color="auto"/>
        <w:left w:val="none" w:sz="0" w:space="0" w:color="auto"/>
        <w:bottom w:val="none" w:sz="0" w:space="0" w:color="auto"/>
        <w:right w:val="none" w:sz="0" w:space="0" w:color="auto"/>
      </w:divBdr>
      <w:divsChild>
        <w:div w:id="1206600556">
          <w:marLeft w:val="274"/>
          <w:marRight w:val="0"/>
          <w:marTop w:val="0"/>
          <w:marBottom w:val="0"/>
          <w:divBdr>
            <w:top w:val="none" w:sz="0" w:space="0" w:color="auto"/>
            <w:left w:val="none" w:sz="0" w:space="0" w:color="auto"/>
            <w:bottom w:val="none" w:sz="0" w:space="0" w:color="auto"/>
            <w:right w:val="none" w:sz="0" w:space="0" w:color="auto"/>
          </w:divBdr>
        </w:div>
        <w:div w:id="539365228">
          <w:marLeft w:val="274"/>
          <w:marRight w:val="0"/>
          <w:marTop w:val="0"/>
          <w:marBottom w:val="0"/>
          <w:divBdr>
            <w:top w:val="none" w:sz="0" w:space="0" w:color="auto"/>
            <w:left w:val="none" w:sz="0" w:space="0" w:color="auto"/>
            <w:bottom w:val="none" w:sz="0" w:space="0" w:color="auto"/>
            <w:right w:val="none" w:sz="0" w:space="0" w:color="auto"/>
          </w:divBdr>
        </w:div>
        <w:div w:id="233592981">
          <w:marLeft w:val="274"/>
          <w:marRight w:val="0"/>
          <w:marTop w:val="0"/>
          <w:marBottom w:val="0"/>
          <w:divBdr>
            <w:top w:val="none" w:sz="0" w:space="0" w:color="auto"/>
            <w:left w:val="none" w:sz="0" w:space="0" w:color="auto"/>
            <w:bottom w:val="none" w:sz="0" w:space="0" w:color="auto"/>
            <w:right w:val="none" w:sz="0" w:space="0" w:color="auto"/>
          </w:divBdr>
        </w:div>
      </w:divsChild>
    </w:div>
    <w:div w:id="18088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52D6B8F55A4B4BBE7E2A664B736242"/>
        <w:category>
          <w:name w:val="General"/>
          <w:gallery w:val="placeholder"/>
        </w:category>
        <w:types>
          <w:type w:val="bbPlcHdr"/>
        </w:types>
        <w:behaviors>
          <w:behavior w:val="content"/>
        </w:behaviors>
        <w:guid w:val="{9E0802A6-E6EA-44BD-BA9C-A40E5974F302}"/>
      </w:docPartPr>
      <w:docPartBody>
        <w:p w:rsidR="00393274" w:rsidRDefault="00CD7370">
          <w:pPr>
            <w:pStyle w:val="E752D6B8F55A4B4BBE7E2A664B736242"/>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74"/>
    <w:rsid w:val="0003579A"/>
    <w:rsid w:val="000C0710"/>
    <w:rsid w:val="001F4D7D"/>
    <w:rsid w:val="00380185"/>
    <w:rsid w:val="00393274"/>
    <w:rsid w:val="003A529D"/>
    <w:rsid w:val="003E64E5"/>
    <w:rsid w:val="0055418A"/>
    <w:rsid w:val="00587F7D"/>
    <w:rsid w:val="007474BD"/>
    <w:rsid w:val="007F2647"/>
    <w:rsid w:val="009F4667"/>
    <w:rsid w:val="00AD2A86"/>
    <w:rsid w:val="00B67E22"/>
    <w:rsid w:val="00B950DA"/>
    <w:rsid w:val="00C4024B"/>
    <w:rsid w:val="00C970A9"/>
    <w:rsid w:val="00CD7370"/>
    <w:rsid w:val="00D04533"/>
    <w:rsid w:val="00D74C5C"/>
    <w:rsid w:val="00DC6C7E"/>
    <w:rsid w:val="00DE3718"/>
    <w:rsid w:val="00E9619D"/>
    <w:rsid w:val="00EF09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52D6B8F55A4B4BBE7E2A664B736242">
    <w:name w:val="E752D6B8F55A4B4BBE7E2A664B736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DEV-19-SUB-0203 – Cabinet paper: Refresh of the Government's tax policy work programme for 2019/20 (31 July 2019)</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DEV-19-SUB-0203 – Cabinet paper: Refresh of the Government's tax policy work programme for 2019/20 (31 July 2019)</dc:title>
  <dcterms:created xsi:type="dcterms:W3CDTF">2020-09-09T03:27:00Z</dcterms:created>
  <dcterms:modified xsi:type="dcterms:W3CDTF">2020-09-09T03:28:00Z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