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Security Classification"/>
        <w:tag w:val="Security Classification"/>
        <w:id w:val="1617165177"/>
        <w:placeholder>
          <w:docPart w:val="06F8DB6227464F3EB81329099A0FFA9D"/>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60385E6E" w14:textId="77777777" w:rsidR="00E430E1" w:rsidRDefault="00E430E1" w:rsidP="00E430E1">
          <w:r>
            <w:t>In Confidence</w:t>
          </w:r>
        </w:p>
      </w:sdtContent>
    </w:sdt>
    <w:p w14:paraId="6D8B7E6C" w14:textId="77777777" w:rsidR="00E430E1" w:rsidRDefault="00E430E1" w:rsidP="00E430E1"/>
    <w:p w14:paraId="28D44090" w14:textId="77777777" w:rsidR="00F466B3" w:rsidRDefault="00F466B3" w:rsidP="00E430E1">
      <w:r>
        <w:t>Office of the Minister of Finance</w:t>
      </w:r>
    </w:p>
    <w:p w14:paraId="1B7DD49F" w14:textId="71BDAF59" w:rsidR="00E430E1" w:rsidRDefault="00E430E1" w:rsidP="00E430E1">
      <w:r>
        <w:t>Office of the Minister of Revenue</w:t>
      </w:r>
    </w:p>
    <w:p w14:paraId="14FCDDC6" w14:textId="6C714CCD" w:rsidR="00F466B3" w:rsidRDefault="00F466B3" w:rsidP="00E430E1">
      <w:r>
        <w:t>Office of the Minister of Customs</w:t>
      </w:r>
    </w:p>
    <w:p w14:paraId="45529414" w14:textId="77777777" w:rsidR="00E430E1" w:rsidRDefault="00E430E1" w:rsidP="00E430E1">
      <w:r>
        <w:t>Chair, Cabinet</w:t>
      </w:r>
      <w:r w:rsidR="000A4E14">
        <w:t xml:space="preserve"> </w:t>
      </w:r>
      <w:r w:rsidR="00164E4E">
        <w:t>Economic Development</w:t>
      </w:r>
      <w:r w:rsidR="000A4E14">
        <w:t xml:space="preserve"> Committee</w:t>
      </w:r>
    </w:p>
    <w:p w14:paraId="0C07A593" w14:textId="77777777" w:rsidR="00E430E1" w:rsidRDefault="00E430E1" w:rsidP="00E430E1"/>
    <w:p w14:paraId="1C67B7DE" w14:textId="48D9C4A9" w:rsidR="00E430E1" w:rsidRPr="00125D95" w:rsidRDefault="006436A7" w:rsidP="00E430E1">
      <w:pPr>
        <w:pStyle w:val="Title"/>
      </w:pPr>
      <w:r>
        <w:t>GST on low-value imported goods</w:t>
      </w:r>
      <w:r w:rsidR="00D86254">
        <w:t>:</w:t>
      </w:r>
      <w:r>
        <w:t xml:space="preserve"> application date</w:t>
      </w:r>
    </w:p>
    <w:p w14:paraId="520593B8" w14:textId="77777777" w:rsidR="00E430E1" w:rsidRPr="00125D95" w:rsidRDefault="00E430E1" w:rsidP="00E430E1">
      <w:pPr>
        <w:pStyle w:val="Heading1"/>
      </w:pPr>
      <w:r>
        <w:t>Proposal</w:t>
      </w:r>
    </w:p>
    <w:p w14:paraId="3B00CC0A" w14:textId="400DF31F" w:rsidR="006436A7" w:rsidRPr="005B14DE" w:rsidRDefault="006436A7" w:rsidP="006436A7">
      <w:pPr>
        <w:pStyle w:val="NumberedParagraphCabStandard"/>
        <w:numPr>
          <w:ilvl w:val="0"/>
          <w:numId w:val="1"/>
        </w:numPr>
      </w:pPr>
      <w:r>
        <w:t xml:space="preserve">This paper seeks the </w:t>
      </w:r>
      <w:r w:rsidR="003E39F9">
        <w:t xml:space="preserve">agreement of the </w:t>
      </w:r>
      <w:r>
        <w:t>Cabinet Economic Development Committee (the Committee) to delay the</w:t>
      </w:r>
      <w:r w:rsidR="003E39F9">
        <w:t xml:space="preserve"> </w:t>
      </w:r>
      <w:r>
        <w:t>application date of the</w:t>
      </w:r>
      <w:r w:rsidR="003E39F9">
        <w:t xml:space="preserve"> proposed legislation for collecting</w:t>
      </w:r>
      <w:r>
        <w:t xml:space="preserve"> GST on low-value imported goods by </w:t>
      </w:r>
      <w:r w:rsidR="005B14DE" w:rsidRPr="005B14DE">
        <w:t>two</w:t>
      </w:r>
      <w:r w:rsidRPr="005B14DE">
        <w:t xml:space="preserve"> months to 1 </w:t>
      </w:r>
      <w:r w:rsidR="005B14DE" w:rsidRPr="005B14DE">
        <w:t>December</w:t>
      </w:r>
      <w:r w:rsidRPr="005B14DE">
        <w:t xml:space="preserve"> 20</w:t>
      </w:r>
      <w:r w:rsidR="005B14DE" w:rsidRPr="005B14DE">
        <w:t>19</w:t>
      </w:r>
      <w:r w:rsidRPr="005B14DE">
        <w:t>.</w:t>
      </w:r>
    </w:p>
    <w:p w14:paraId="3045C36E" w14:textId="0A1913EE" w:rsidR="003F2559" w:rsidRPr="003F2559" w:rsidRDefault="00A52A38" w:rsidP="00785B5A">
      <w:pPr>
        <w:pStyle w:val="NumberedParagraphCabStandard"/>
        <w:rPr>
          <w:rStyle w:val="Emphasis-Bold"/>
          <w:b w:val="0"/>
        </w:rPr>
      </w:pPr>
      <w:r>
        <w:t xml:space="preserve">The Taxation (Annual Rates for 2019–20, GST Offshore Supplier Registration, and Remedial Matters) Bill (the Bill) contains the proposed amendments for applying GST to supplies of low-value goods by offshore suppliers to New Zealand consumers. </w:t>
      </w:r>
      <w:r w:rsidR="003F2559" w:rsidRPr="003F2559">
        <w:rPr>
          <w:rStyle w:val="Emphasis-Bold"/>
          <w:b w:val="0"/>
        </w:rPr>
        <w:t xml:space="preserve">The Bill </w:t>
      </w:r>
      <w:r w:rsidR="00A3050D" w:rsidRPr="007B5757">
        <w:rPr>
          <w:rStyle w:val="Emphasis-Bold"/>
          <w:b w:val="0"/>
        </w:rPr>
        <w:t xml:space="preserve">is currently </w:t>
      </w:r>
      <w:r w:rsidR="00D37424">
        <w:rPr>
          <w:rStyle w:val="Emphasis-Bold"/>
          <w:b w:val="0"/>
        </w:rPr>
        <w:t>expected to receive</w:t>
      </w:r>
      <w:r w:rsidR="00A3050D" w:rsidRPr="007B5757">
        <w:rPr>
          <w:rStyle w:val="Emphasis-Bold"/>
          <w:b w:val="0"/>
        </w:rPr>
        <w:t xml:space="preserve"> its second reading</w:t>
      </w:r>
      <w:r w:rsidR="00D37424">
        <w:rPr>
          <w:rStyle w:val="Emphasis-Bold"/>
          <w:b w:val="0"/>
        </w:rPr>
        <w:t xml:space="preserve"> in the week beginning 10 June</w:t>
      </w:r>
      <w:r w:rsidR="00A3050D">
        <w:rPr>
          <w:rStyle w:val="Emphasis-Bold"/>
          <w:b w:val="0"/>
        </w:rPr>
        <w:t>.</w:t>
      </w:r>
    </w:p>
    <w:p w14:paraId="7F672155" w14:textId="77777777" w:rsidR="003E39F9" w:rsidRPr="003E39F9" w:rsidRDefault="003E39F9" w:rsidP="003E39F9">
      <w:pPr>
        <w:pStyle w:val="Heading1"/>
      </w:pPr>
      <w:r>
        <w:t>Executive Summary</w:t>
      </w:r>
    </w:p>
    <w:p w14:paraId="3FDF5639" w14:textId="42BBA048" w:rsidR="006724B7" w:rsidRPr="00E95787" w:rsidRDefault="003E39F9" w:rsidP="006724B7">
      <w:pPr>
        <w:pStyle w:val="NumberedParagraphCabStandard"/>
        <w:rPr>
          <w:sz w:val="20"/>
        </w:rPr>
      </w:pPr>
      <w:r w:rsidRPr="00187596">
        <w:t xml:space="preserve">The Bill </w:t>
      </w:r>
      <w:r>
        <w:t>includes a proposal to require offshore suppliers of imported goods valued at or below $1,000 to register for and return GST on supplies</w:t>
      </w:r>
      <w:r w:rsidR="00B04856">
        <w:t xml:space="preserve"> of these goods to New Zealand consumers</w:t>
      </w:r>
      <w:r>
        <w:t>.</w:t>
      </w:r>
      <w:r w:rsidR="002C2F66">
        <w:t xml:space="preserve"> This proposal will level the playing field between domestic retailers and offshore goods suppliers</w:t>
      </w:r>
      <w:r w:rsidR="00D86254">
        <w:t xml:space="preserve"> by ensuring that GST is paid on the sales of both</w:t>
      </w:r>
      <w:r w:rsidR="002C2F66">
        <w:t>.</w:t>
      </w:r>
    </w:p>
    <w:p w14:paraId="520C8750" w14:textId="7CFD90A7" w:rsidR="00E95787" w:rsidRPr="005018A6" w:rsidRDefault="00E95787" w:rsidP="006724B7">
      <w:pPr>
        <w:pStyle w:val="NumberedParagraphCabStandard"/>
      </w:pPr>
      <w:r w:rsidRPr="005018A6">
        <w:t xml:space="preserve">At its introduction, the Bill </w:t>
      </w:r>
      <w:r w:rsidR="00523B73">
        <w:t>includ</w:t>
      </w:r>
      <w:r w:rsidRPr="005018A6">
        <w:t xml:space="preserve">ed an application date of 1 October 2019 for the </w:t>
      </w:r>
      <w:r w:rsidR="005018A6" w:rsidRPr="005018A6">
        <w:t xml:space="preserve">GST on low-value imported goods proposal. </w:t>
      </w:r>
      <w:r w:rsidR="00523B73">
        <w:t>S</w:t>
      </w:r>
      <w:r w:rsidR="005018A6">
        <w:t>everal submi</w:t>
      </w:r>
      <w:r w:rsidR="00523B73">
        <w:t xml:space="preserve">ssions on the Bill </w:t>
      </w:r>
      <w:r w:rsidR="00D86254">
        <w:t xml:space="preserve">made </w:t>
      </w:r>
      <w:r w:rsidR="00523B73">
        <w:t>to the Finance and Expenditure Committee (FEC) raised concerns about the short lead-in time between enactment of the legislation and the 1 October start date.</w:t>
      </w:r>
    </w:p>
    <w:p w14:paraId="5D202EBD" w14:textId="77777777" w:rsidR="000B5FFE" w:rsidRPr="000B5FFE" w:rsidRDefault="00523B73" w:rsidP="006724B7">
      <w:pPr>
        <w:pStyle w:val="NumberedParagraphCabStandard"/>
        <w:rPr>
          <w:sz w:val="20"/>
        </w:rPr>
      </w:pPr>
      <w:r>
        <w:t xml:space="preserve">In response to submissions, the FEC has recommended that the application date be delayed by two months to 1 December 2019. </w:t>
      </w:r>
    </w:p>
    <w:p w14:paraId="534B4E62" w14:textId="3B82EC60" w:rsidR="003E39F9" w:rsidRPr="00827A52" w:rsidRDefault="000B5FFE" w:rsidP="00827A52">
      <w:pPr>
        <w:pStyle w:val="NumberedParagraphCabStandard"/>
      </w:pPr>
      <w:r>
        <w:t>A</w:t>
      </w:r>
      <w:r w:rsidR="003E39F9">
        <w:t xml:space="preserve"> </w:t>
      </w:r>
      <w:r w:rsidR="005B14DE" w:rsidRPr="005B14DE">
        <w:t>two</w:t>
      </w:r>
      <w:r w:rsidR="005B14DE">
        <w:t>-</w:t>
      </w:r>
      <w:r w:rsidR="003E39F9" w:rsidRPr="005B14DE">
        <w:t>m</w:t>
      </w:r>
      <w:r w:rsidR="003E39F9">
        <w:t>onth delay w</w:t>
      </w:r>
      <w:r w:rsidR="005B14DE">
        <w:t>ou</w:t>
      </w:r>
      <w:r w:rsidR="003E39F9">
        <w:t>l</w:t>
      </w:r>
      <w:r w:rsidR="005B14DE">
        <w:t>d</w:t>
      </w:r>
      <w:r w:rsidR="003E39F9">
        <w:t xml:space="preserve"> help mitigate the risk of offshore shopping websites temporarily ceasing the shipment of goods to New Zealand and w</w:t>
      </w:r>
      <w:r w:rsidR="005B14DE">
        <w:t xml:space="preserve">ould </w:t>
      </w:r>
      <w:r w:rsidR="003E39F9">
        <w:t>help ensure a smooth and successful launch of the new rules</w:t>
      </w:r>
      <w:r w:rsidR="00827A52">
        <w:t xml:space="preserve"> (for instance, by better enabling the fast freight industry and customs brokers to make consequential software changes).</w:t>
      </w:r>
      <w:r w:rsidR="002E3427">
        <w:t xml:space="preserve"> </w:t>
      </w:r>
    </w:p>
    <w:p w14:paraId="730D97C4" w14:textId="4B9F9056" w:rsidR="00B45F28" w:rsidRDefault="00452675" w:rsidP="006724B7">
      <w:pPr>
        <w:pStyle w:val="NumberedParagraphCabStandard"/>
      </w:pPr>
      <w:r>
        <w:t>However, d</w:t>
      </w:r>
      <w:r w:rsidR="003E39F9">
        <w:t xml:space="preserve">elaying the </w:t>
      </w:r>
      <w:r w:rsidR="003E39F9" w:rsidRPr="005B14DE">
        <w:t xml:space="preserve">application date by </w:t>
      </w:r>
      <w:r w:rsidR="005B14DE" w:rsidRPr="005B14DE">
        <w:t>two</w:t>
      </w:r>
      <w:r w:rsidR="003E39F9" w:rsidRPr="005B14DE">
        <w:t xml:space="preserve"> months to 1 </w:t>
      </w:r>
      <w:r w:rsidR="005B14DE" w:rsidRPr="005B14DE">
        <w:t>December</w:t>
      </w:r>
      <w:r w:rsidR="003E39F9" w:rsidRPr="005B14DE">
        <w:t xml:space="preserve"> 20</w:t>
      </w:r>
      <w:r w:rsidR="005B14DE" w:rsidRPr="005B14DE">
        <w:t>19</w:t>
      </w:r>
      <w:r w:rsidR="003E39F9" w:rsidRPr="005B14DE">
        <w:t xml:space="preserve"> would</w:t>
      </w:r>
      <w:r w:rsidR="003E39F9">
        <w:t xml:space="preserve"> </w:t>
      </w:r>
      <w:r w:rsidR="00827A52">
        <w:t>have a net fiscal cost of</w:t>
      </w:r>
      <w:r w:rsidR="003E39F9" w:rsidRPr="005B14DE">
        <w:t xml:space="preserve"> $</w:t>
      </w:r>
      <w:r w:rsidR="00827A52">
        <w:t>9.666</w:t>
      </w:r>
      <w:r w:rsidR="003E39F9">
        <w:t xml:space="preserve"> million over </w:t>
      </w:r>
      <w:r w:rsidR="0004703E">
        <w:t xml:space="preserve">the </w:t>
      </w:r>
      <w:r w:rsidR="003E39F9">
        <w:t>2019</w:t>
      </w:r>
      <w:r w:rsidR="00AA3D97">
        <w:t>/20 to 2022/</w:t>
      </w:r>
      <w:r w:rsidR="003E39F9">
        <w:t>23</w:t>
      </w:r>
      <w:r w:rsidR="0004703E">
        <w:t xml:space="preserve"> forecast period</w:t>
      </w:r>
      <w:r w:rsidR="003E39F9">
        <w:t>.</w:t>
      </w:r>
      <w:r w:rsidR="006724B7">
        <w:t xml:space="preserve"> </w:t>
      </w:r>
      <w:r w:rsidR="00D86254">
        <w:t>The impact will be limited to the 2019/20 fiscal year.</w:t>
      </w:r>
    </w:p>
    <w:p w14:paraId="3A0870C9" w14:textId="4A8BDF98" w:rsidR="003E39F9" w:rsidRDefault="006724B7" w:rsidP="006724B7">
      <w:pPr>
        <w:pStyle w:val="NumberedParagraphCabStandard"/>
      </w:pPr>
      <w:r>
        <w:lastRenderedPageBreak/>
        <w:t>It</w:t>
      </w:r>
      <w:r w:rsidR="003E39F9">
        <w:t xml:space="preserve"> would also delay the benefits of the proposal in terms of achieving fairness and a level playing field for New Zealand retailers.</w:t>
      </w:r>
    </w:p>
    <w:p w14:paraId="1A28CA5C" w14:textId="22759721" w:rsidR="006724B7" w:rsidRPr="006724B7" w:rsidRDefault="006724B7" w:rsidP="006724B7">
      <w:pPr>
        <w:pStyle w:val="NumberedParagraphCabStandard"/>
        <w:rPr>
          <w:sz w:val="20"/>
        </w:rPr>
      </w:pPr>
      <w:r>
        <w:t xml:space="preserve">On balance, we recommend that </w:t>
      </w:r>
      <w:r w:rsidR="000B5FFE">
        <w:t>Cabinet agree to an application date of 1 December 2019,</w:t>
      </w:r>
      <w:r>
        <w:t xml:space="preserve"> in </w:t>
      </w:r>
      <w:r w:rsidR="000B5FFE">
        <w:t>line with the FEC’s recommendation</w:t>
      </w:r>
      <w:r>
        <w:t>.</w:t>
      </w:r>
    </w:p>
    <w:p w14:paraId="11FC46F1" w14:textId="50C37CC2" w:rsidR="003E39F9" w:rsidRPr="00034684" w:rsidRDefault="00E669E5" w:rsidP="003E39F9">
      <w:pPr>
        <w:pStyle w:val="Heading1"/>
      </w:pPr>
      <w:r>
        <w:t>Background</w:t>
      </w:r>
    </w:p>
    <w:p w14:paraId="163A4493" w14:textId="0A3E6481" w:rsidR="003E39F9" w:rsidRPr="00093E3C" w:rsidRDefault="003E39F9" w:rsidP="003E39F9">
      <w:pPr>
        <w:pStyle w:val="NumberedParagraphCabStandard"/>
        <w:rPr>
          <w:sz w:val="20"/>
        </w:rPr>
      </w:pPr>
      <w:r w:rsidRPr="00187596">
        <w:t>The</w:t>
      </w:r>
      <w:r>
        <w:t xml:space="preserve"> </w:t>
      </w:r>
      <w:r w:rsidRPr="00187596">
        <w:t xml:space="preserve">Bill </w:t>
      </w:r>
      <w:r>
        <w:t>proposes requiring offshore suppliers of imported goods valued at or below $1,000 to register for and return GST on these supplies.</w:t>
      </w:r>
    </w:p>
    <w:p w14:paraId="546577A5" w14:textId="4FD16A27" w:rsidR="003E39F9" w:rsidRDefault="003E39F9" w:rsidP="003E39F9">
      <w:pPr>
        <w:pStyle w:val="NumberedParagraphCabStandard"/>
      </w:pPr>
      <w:r>
        <w:t>Several submissions on the Bill (</w:t>
      </w:r>
      <w:r w:rsidRPr="00C03A65">
        <w:t xml:space="preserve">including </w:t>
      </w:r>
      <w:r>
        <w:t xml:space="preserve">from </w:t>
      </w:r>
      <w:r w:rsidRPr="00C03A65">
        <w:t xml:space="preserve">Amazon, Alibaba and </w:t>
      </w:r>
      <w:r>
        <w:t>eB</w:t>
      </w:r>
      <w:r w:rsidRPr="00C03A65">
        <w:t>ay</w:t>
      </w:r>
      <w:r>
        <w:t>)</w:t>
      </w:r>
      <w:r w:rsidRPr="00C03A65">
        <w:t xml:space="preserve"> have raised concerns </w:t>
      </w:r>
      <w:bookmarkStart w:id="1" w:name="_Hlk7790677"/>
      <w:r w:rsidRPr="00C03A65">
        <w:t xml:space="preserve">that there will be insufficient time after the </w:t>
      </w:r>
      <w:r w:rsidR="00DF6FC7">
        <w:t>Bill is</w:t>
      </w:r>
      <w:r w:rsidRPr="00C03A65">
        <w:t xml:space="preserve"> enacted for offshore suppliers to make the systems changes necessary to start collecting GST on low-value goods supplied to New Zealand consumers from 1 October 2019.</w:t>
      </w:r>
      <w:r>
        <w:rPr>
          <w:rStyle w:val="FootnoteReference"/>
        </w:rPr>
        <w:footnoteReference w:id="1"/>
      </w:r>
      <w:bookmarkEnd w:id="1"/>
    </w:p>
    <w:p w14:paraId="53ABD047" w14:textId="77777777" w:rsidR="003E39F9" w:rsidRDefault="003E39F9" w:rsidP="003E39F9">
      <w:pPr>
        <w:pStyle w:val="NumberedParagraphCabStandard"/>
      </w:pPr>
      <w:bookmarkStart w:id="2" w:name="_Hlk7790771"/>
      <w:r>
        <w:t>Amazon, Alibaba and eBay have stated that they will not invest in making the necessary systems changes until the law is enacted as until that time the proposed rules are not yet finalised and may be subject to change.</w:t>
      </w:r>
    </w:p>
    <w:p w14:paraId="01621DBF" w14:textId="69357D79" w:rsidR="003E39F9" w:rsidRDefault="003E39F9" w:rsidP="003E39F9">
      <w:pPr>
        <w:pStyle w:val="NumberedParagraphCabStandard"/>
      </w:pPr>
      <w:r w:rsidRPr="00C03A65">
        <w:t xml:space="preserve">The Bill is expected to be enacted in </w:t>
      </w:r>
      <w:r w:rsidR="00DF6FC7">
        <w:t>late June</w:t>
      </w:r>
      <w:r w:rsidRPr="00C03A65">
        <w:t xml:space="preserve"> 2019. This is </w:t>
      </w:r>
      <w:r w:rsidR="00DF6FC7">
        <w:t>approximately</w:t>
      </w:r>
      <w:r w:rsidRPr="00C03A65">
        <w:t xml:space="preserve"> three months before the changes are due to take effect. </w:t>
      </w:r>
      <w:r w:rsidR="00DF6FC7">
        <w:t>If for any reason the Bill does not receive its</w:t>
      </w:r>
      <w:r w:rsidRPr="00C03A65">
        <w:t xml:space="preserve"> third reading by 27 June</w:t>
      </w:r>
      <w:r w:rsidR="00DF6FC7">
        <w:t xml:space="preserve">, it should be noted that </w:t>
      </w:r>
      <w:r w:rsidRPr="00C03A65">
        <w:t>the House does not sit again until 24 July, so enactment would</w:t>
      </w:r>
      <w:r w:rsidR="00DF6FC7">
        <w:t xml:space="preserve"> not</w:t>
      </w:r>
      <w:r w:rsidRPr="00C03A65">
        <w:t xml:space="preserve"> occur </w:t>
      </w:r>
      <w:r w:rsidR="00DF6FC7">
        <w:t>until late July</w:t>
      </w:r>
      <w:r w:rsidRPr="00C03A65">
        <w:t xml:space="preserve"> – leaving </w:t>
      </w:r>
      <w:r w:rsidR="00DF6FC7">
        <w:t>only</w:t>
      </w:r>
      <w:r w:rsidRPr="00C03A65">
        <w:t xml:space="preserve"> two months between enactment and 1 October</w:t>
      </w:r>
      <w:r w:rsidR="000B5FFE">
        <w:t xml:space="preserve"> 2019</w:t>
      </w:r>
      <w:r w:rsidRPr="00C03A65">
        <w:t xml:space="preserve">.   </w:t>
      </w:r>
    </w:p>
    <w:p w14:paraId="2C1BD5B8" w14:textId="196DEE9C" w:rsidR="003E39F9" w:rsidRDefault="003E39F9" w:rsidP="003E39F9">
      <w:pPr>
        <w:pStyle w:val="NumberedParagraphCabStandard"/>
        <w:rPr>
          <w:sz w:val="20"/>
        </w:rPr>
      </w:pPr>
      <w:r>
        <w:t xml:space="preserve">As GST is a real-time transactions-based tax, the affected suppliers will need their systems for charging and collecting GST to be fully operational from </w:t>
      </w:r>
      <w:r w:rsidR="000B5FFE">
        <w:t>the start date</w:t>
      </w:r>
      <w:r>
        <w:t>.</w:t>
      </w:r>
    </w:p>
    <w:p w14:paraId="42E2C990" w14:textId="5CB0EFF1" w:rsidR="003E39F9" w:rsidRDefault="003E39F9" w:rsidP="003E39F9">
      <w:pPr>
        <w:pStyle w:val="NumberedParagraphCabStandard"/>
      </w:pPr>
      <w:r>
        <w:t xml:space="preserve">Part of the technical challenge for large marketplaces such as Amazon, Alibaba and eBay </w:t>
      </w:r>
      <w:proofErr w:type="gramStart"/>
      <w:r>
        <w:t>is</w:t>
      </w:r>
      <w:proofErr w:type="gramEnd"/>
      <w:r>
        <w:t xml:space="preserve"> </w:t>
      </w:r>
      <w:r w:rsidR="00B04856">
        <w:t xml:space="preserve">that </w:t>
      </w:r>
      <w:r>
        <w:t>their websites are complex and are designed to service a global customer base. This means the systems changes they need to make to comply with New Zealand’s GST requirements will need to be carefully planned and tested to ensure they do not create errors that interfere with other parts of their systems.</w:t>
      </w:r>
    </w:p>
    <w:p w14:paraId="115B76DD" w14:textId="77777777" w:rsidR="003E39F9" w:rsidRDefault="003E39F9" w:rsidP="003E39F9">
      <w:pPr>
        <w:pStyle w:val="NumberedParagraphCabStandard"/>
        <w:rPr>
          <w:sz w:val="20"/>
        </w:rPr>
      </w:pPr>
      <w:r>
        <w:t xml:space="preserve">Alibaba and eBay have noted there is a risk they may have to temporarily block their sales to New Zealand customers until they can make the necessary changes and comply with our laws. If they or other suppliers are forced to take this action, it would reduce consumer choice and lead to unhappy consumers and negative publicity. </w:t>
      </w:r>
    </w:p>
    <w:p w14:paraId="7CEBBA79" w14:textId="486B7B01" w:rsidR="003E39F9" w:rsidRDefault="003E39F9" w:rsidP="003E39F9">
      <w:pPr>
        <w:pStyle w:val="NumberedParagraphCabStandard"/>
      </w:pPr>
      <w:r>
        <w:t xml:space="preserve">Providing insufficient time for suppliers to make the systems changes could also impact on the successful launch of the new </w:t>
      </w:r>
      <w:r w:rsidR="00827A52">
        <w:t>revenue collection system</w:t>
      </w:r>
      <w:r>
        <w:t xml:space="preserve"> which is critical to the ongoing success of the rules.</w:t>
      </w:r>
    </w:p>
    <w:p w14:paraId="5E5ABA97" w14:textId="4C3A2B4C" w:rsidR="00827A52" w:rsidRDefault="00827A52" w:rsidP="003E39F9">
      <w:pPr>
        <w:pStyle w:val="NumberedParagraphCabStandard"/>
      </w:pPr>
      <w:r>
        <w:t>New Zealand Post and some in the fast freight industry have also raised concerns about their ability to make necessary software changes by 1 October 2019.</w:t>
      </w:r>
    </w:p>
    <w:bookmarkEnd w:id="2"/>
    <w:p w14:paraId="62747748" w14:textId="77777777" w:rsidR="00D86254" w:rsidRDefault="00D86254">
      <w:pPr>
        <w:jc w:val="left"/>
        <w:rPr>
          <w:b/>
        </w:rPr>
      </w:pPr>
      <w:r>
        <w:rPr>
          <w:b/>
        </w:rPr>
        <w:br w:type="page"/>
      </w:r>
    </w:p>
    <w:p w14:paraId="7A5DAB04" w14:textId="43710909" w:rsidR="003E39F9" w:rsidRPr="006436A7" w:rsidRDefault="003E39F9" w:rsidP="003E39F9">
      <w:pPr>
        <w:pStyle w:val="NumberedParagraphCabStandard"/>
        <w:numPr>
          <w:ilvl w:val="0"/>
          <w:numId w:val="0"/>
        </w:numPr>
        <w:rPr>
          <w:b/>
        </w:rPr>
      </w:pPr>
      <w:r w:rsidRPr="006436A7">
        <w:rPr>
          <w:b/>
        </w:rPr>
        <w:lastRenderedPageBreak/>
        <w:t>Analysis</w:t>
      </w:r>
    </w:p>
    <w:p w14:paraId="7676AA6B" w14:textId="196C8685" w:rsidR="003E39F9" w:rsidRDefault="0081277C" w:rsidP="003E39F9">
      <w:pPr>
        <w:pStyle w:val="NumberedParagraphCabStandard"/>
      </w:pPr>
      <w:bookmarkStart w:id="3" w:name="_Hlk7790880"/>
      <w:r>
        <w:t xml:space="preserve">We </w:t>
      </w:r>
      <w:r w:rsidR="003E39F9">
        <w:t xml:space="preserve">consider that submitters have raised genuine concerns about offshore suppliers’ and marketplaces’ ability to implement the necessary systems changes within the two-to-three months between enactment and the proposed application date.  As such, </w:t>
      </w:r>
      <w:r>
        <w:t>we</w:t>
      </w:r>
      <w:r w:rsidR="003E39F9">
        <w:t xml:space="preserve"> recommend that the application date </w:t>
      </w:r>
      <w:r w:rsidR="000B5FFE">
        <w:t>of 1 December 2019 in the Bill as reported back by the FEC remain</w:t>
      </w:r>
      <w:r w:rsidR="003E39F9" w:rsidRPr="005B14DE">
        <w:t>.</w:t>
      </w:r>
      <w:bookmarkEnd w:id="3"/>
      <w:r w:rsidR="003E39F9">
        <w:t xml:space="preserve">  </w:t>
      </w:r>
    </w:p>
    <w:p w14:paraId="4174AF5A" w14:textId="195CA24C" w:rsidR="003E39F9" w:rsidRDefault="000B5FFE" w:rsidP="003E39F9">
      <w:pPr>
        <w:pStyle w:val="NumberedParagraphCabStandard"/>
      </w:pPr>
      <w:r>
        <w:t>The proposed two-month delay</w:t>
      </w:r>
      <w:r w:rsidR="003E39F9">
        <w:t xml:space="preserve"> w</w:t>
      </w:r>
      <w:r w:rsidR="005B14DE">
        <w:t>ou</w:t>
      </w:r>
      <w:r w:rsidR="003E39F9">
        <w:t>l</w:t>
      </w:r>
      <w:r w:rsidR="005B14DE">
        <w:t>d</w:t>
      </w:r>
      <w:r w:rsidR="003E39F9">
        <w:t xml:space="preserve"> </w:t>
      </w:r>
      <w:bookmarkStart w:id="4" w:name="_Hlk7791218"/>
      <w:r w:rsidR="003E39F9">
        <w:t>help to mitigate the risk of offshore shopping websites temporarily ceasing the shipment of goods to New Zealand customers and w</w:t>
      </w:r>
      <w:r w:rsidR="005B14DE">
        <w:t>ould</w:t>
      </w:r>
      <w:r w:rsidR="003E39F9">
        <w:t xml:space="preserve"> help ensure a smooth and successful launch of the new rules.</w:t>
      </w:r>
    </w:p>
    <w:p w14:paraId="3477D980" w14:textId="3CF3D76B" w:rsidR="003E39F9" w:rsidRDefault="003E39F9" w:rsidP="003E39F9">
      <w:pPr>
        <w:pStyle w:val="NumberedParagraphCabStandard"/>
      </w:pPr>
      <w:r>
        <w:t xml:space="preserve">Delaying the application date </w:t>
      </w:r>
      <w:r w:rsidRPr="005B14DE">
        <w:t xml:space="preserve">by </w:t>
      </w:r>
      <w:r w:rsidR="005B14DE" w:rsidRPr="005B14DE">
        <w:t>two</w:t>
      </w:r>
      <w:r w:rsidRPr="005B14DE">
        <w:t xml:space="preserve"> months to 1 </w:t>
      </w:r>
      <w:r w:rsidR="005B14DE" w:rsidRPr="005B14DE">
        <w:t>December</w:t>
      </w:r>
      <w:r w:rsidRPr="005B14DE">
        <w:t xml:space="preserve"> 20</w:t>
      </w:r>
      <w:r w:rsidR="005B14DE" w:rsidRPr="005B14DE">
        <w:t>19</w:t>
      </w:r>
      <w:r w:rsidRPr="005B14DE">
        <w:t xml:space="preserve"> would</w:t>
      </w:r>
      <w:r>
        <w:t xml:space="preserve"> reduce forecast GST revenue by $</w:t>
      </w:r>
      <w:r w:rsidR="003C4F1D" w:rsidRPr="003C4F1D">
        <w:t>14</w:t>
      </w:r>
      <w:r>
        <w:t xml:space="preserve"> million over </w:t>
      </w:r>
      <w:r w:rsidR="00DF6FC7">
        <w:t xml:space="preserve">the </w:t>
      </w:r>
      <w:r>
        <w:t>2019</w:t>
      </w:r>
      <w:r w:rsidR="00AA3D97">
        <w:t>/20 to 2022/</w:t>
      </w:r>
      <w:r>
        <w:t>23</w:t>
      </w:r>
      <w:r w:rsidR="00DF6FC7">
        <w:t xml:space="preserve"> forecast period</w:t>
      </w:r>
      <w:r>
        <w:t xml:space="preserve"> (the forecast would be revised downward to </w:t>
      </w:r>
      <w:r w:rsidRPr="00CA5EAD">
        <w:t>$3</w:t>
      </w:r>
      <w:r w:rsidR="00CA5EAD" w:rsidRPr="00CA5EAD">
        <w:t>90</w:t>
      </w:r>
      <w:r w:rsidRPr="00CA5EAD">
        <w:t>m</w:t>
      </w:r>
      <w:r>
        <w:t xml:space="preserve"> of additional GST revenue as opposed to the $404m that was forecast with an October 2019 application date). However, this reduction in GST revenue would be partially offset by a reduction in funding required for Vote Customs and Vote Biosecurity of $</w:t>
      </w:r>
      <w:r w:rsidR="00CA5EAD" w:rsidRPr="00CA5EAD">
        <w:t>4.334</w:t>
      </w:r>
      <w:r>
        <w:t xml:space="preserve"> million.</w:t>
      </w:r>
    </w:p>
    <w:p w14:paraId="3B9FFEFD" w14:textId="08926DAD" w:rsidR="00DD5807" w:rsidRDefault="003E39F9" w:rsidP="003E39F9">
      <w:pPr>
        <w:pStyle w:val="NumberedParagraphCabStandard"/>
      </w:pPr>
      <w:r>
        <w:t xml:space="preserve">Currently, the New Zealand Customs Service (Customs) collects </w:t>
      </w:r>
      <w:r w:rsidR="00827A52">
        <w:t xml:space="preserve">duty (including GST), </w:t>
      </w:r>
      <w:r w:rsidR="00DD5807">
        <w:t>as well as cost recovery charges (</w:t>
      </w:r>
      <w:r w:rsidR="00D86254">
        <w:t>its</w:t>
      </w:r>
      <w:r w:rsidR="00827A52">
        <w:t xml:space="preserve"> </w:t>
      </w:r>
      <w:r>
        <w:t xml:space="preserve">Import Entry Transaction Fee and </w:t>
      </w:r>
      <w:r w:rsidR="00DD5807">
        <w:t xml:space="preserve">the Ministry for Primary Industries’ </w:t>
      </w:r>
      <w:r>
        <w:t>associated Biosecurity System Entry Levy</w:t>
      </w:r>
      <w:r w:rsidR="00DD5807">
        <w:t>)</w:t>
      </w:r>
      <w:r>
        <w:t xml:space="preserve"> on all imported consignments </w:t>
      </w:r>
      <w:r w:rsidR="00DD5807">
        <w:t>with $60 or more of duty owing.</w:t>
      </w:r>
      <w:r>
        <w:t xml:space="preserve"> </w:t>
      </w:r>
      <w:r w:rsidR="00DD5807">
        <w:t xml:space="preserve">This </w:t>
      </w:r>
      <w:r w:rsidR="00D86254">
        <w:t xml:space="preserve">threshold </w:t>
      </w:r>
      <w:r w:rsidR="00DD5807">
        <w:t>is</w:t>
      </w:r>
      <w:r>
        <w:t xml:space="preserve"> equivalent to a consignment value of $400 </w:t>
      </w:r>
      <w:r w:rsidR="00DD5807">
        <w:t>if GST is the only duty applying</w:t>
      </w:r>
      <w:r>
        <w:t xml:space="preserve">. </w:t>
      </w:r>
    </w:p>
    <w:p w14:paraId="4ABF89D7" w14:textId="3AC77C62" w:rsidR="002A42CD" w:rsidRPr="00975978" w:rsidRDefault="003E39F9" w:rsidP="00DD5807">
      <w:pPr>
        <w:pStyle w:val="NumberedParagraphCabStandard"/>
      </w:pPr>
      <w:r>
        <w:t xml:space="preserve">As part of the design of the proposals, Customs </w:t>
      </w:r>
      <w:r w:rsidRPr="00851737">
        <w:t>will no</w:t>
      </w:r>
      <w:r w:rsidR="00DD5807">
        <w:t xml:space="preserve"> longer</w:t>
      </w:r>
      <w:r w:rsidRPr="00851737">
        <w:t xml:space="preserve"> collect </w:t>
      </w:r>
      <w:r w:rsidR="00DD5807">
        <w:t xml:space="preserve">duty or </w:t>
      </w:r>
      <w:r w:rsidR="00B04856">
        <w:t>the Import Entry Transaction Fee and associated Biosecurity System Entry Levy</w:t>
      </w:r>
      <w:r w:rsidRPr="00851737">
        <w:t xml:space="preserve"> on consignments</w:t>
      </w:r>
      <w:r w:rsidR="00B04856">
        <w:t xml:space="preserve"> with a value of</w:t>
      </w:r>
      <w:r w:rsidRPr="00851737">
        <w:t xml:space="preserve"> $1,000</w:t>
      </w:r>
      <w:r>
        <w:t xml:space="preserve"> </w:t>
      </w:r>
      <w:r w:rsidR="00B04856">
        <w:t xml:space="preserve">or less </w:t>
      </w:r>
      <w:r>
        <w:t>(</w:t>
      </w:r>
      <w:r w:rsidRPr="001072ED">
        <w:t xml:space="preserve">CAB-18-MIN-0466.01 refers). </w:t>
      </w:r>
      <w:r w:rsidR="00902DAE">
        <w:t>I</w:t>
      </w:r>
      <w:r w:rsidR="002A42CD">
        <w:t>f</w:t>
      </w:r>
      <w:r w:rsidR="000B5FFE">
        <w:t xml:space="preserve"> Cabinet </w:t>
      </w:r>
      <w:r w:rsidR="000B5FFE" w:rsidRPr="00975978">
        <w:t>approves the proposed delay in</w:t>
      </w:r>
      <w:r w:rsidR="002A42CD" w:rsidRPr="00975978">
        <w:t xml:space="preserve"> the application date to 1 </w:t>
      </w:r>
      <w:r w:rsidR="00CA5EAD" w:rsidRPr="00975978">
        <w:t>December</w:t>
      </w:r>
      <w:r w:rsidR="002A42CD" w:rsidRPr="00975978">
        <w:t xml:space="preserve"> 20</w:t>
      </w:r>
      <w:r w:rsidR="00CA5EAD" w:rsidRPr="00975978">
        <w:t>19</w:t>
      </w:r>
      <w:r w:rsidR="002A42CD" w:rsidRPr="00975978">
        <w:t xml:space="preserve">, the Customs and Excise Amendment Regulations (No 2) 2019 (relating to the </w:t>
      </w:r>
      <w:r w:rsidR="00DD5807" w:rsidRPr="00975978">
        <w:t>thresholds for collecting duty and the Import Entry Transaction Fee</w:t>
      </w:r>
      <w:r w:rsidR="002A42CD" w:rsidRPr="00975978">
        <w:t>)</w:t>
      </w:r>
      <w:r w:rsidR="00A67B7D" w:rsidRPr="00975978">
        <w:t xml:space="preserve"> and any required changes to the Biosecurity (System Entry Levy) Order 2010 </w:t>
      </w:r>
      <w:r w:rsidR="002A42CD" w:rsidRPr="00975978">
        <w:t xml:space="preserve">will </w:t>
      </w:r>
      <w:r w:rsidR="00DD5807" w:rsidRPr="00975978">
        <w:t xml:space="preserve">also </w:t>
      </w:r>
      <w:r w:rsidR="00D86254">
        <w:t xml:space="preserve">need to </w:t>
      </w:r>
      <w:r w:rsidR="00DD5807" w:rsidRPr="00975978">
        <w:t>come into force on that date</w:t>
      </w:r>
      <w:r w:rsidR="002A42CD" w:rsidRPr="00975978">
        <w:t xml:space="preserve">. </w:t>
      </w:r>
    </w:p>
    <w:p w14:paraId="785EED73" w14:textId="1FC41657" w:rsidR="003E39F9" w:rsidRPr="000400B3" w:rsidRDefault="003E39F9" w:rsidP="003E39F9">
      <w:pPr>
        <w:pStyle w:val="NumberedParagraphCabStandard"/>
      </w:pPr>
      <w:r w:rsidRPr="000400B3">
        <w:t xml:space="preserve">Delaying the application date by </w:t>
      </w:r>
      <w:r w:rsidR="00CA5EAD" w:rsidRPr="000400B3">
        <w:t>two</w:t>
      </w:r>
      <w:r w:rsidRPr="000400B3">
        <w:t xml:space="preserve"> months would also delay the benefits of the proposal in terms of achieving fairness and a level playing field for New Zealand retailers. If Cabinet agrees to the change, my officials will contact submitters, including Retail NZ to explain why a short </w:t>
      </w:r>
      <w:r w:rsidR="00CA5EAD" w:rsidRPr="000400B3">
        <w:t>two-</w:t>
      </w:r>
      <w:r w:rsidRPr="000400B3">
        <w:t>month delay was considered necessary.</w:t>
      </w:r>
      <w:bookmarkEnd w:id="4"/>
    </w:p>
    <w:p w14:paraId="189A5077" w14:textId="77777777" w:rsidR="00E669E5" w:rsidRDefault="00E669E5" w:rsidP="00E669E5">
      <w:pPr>
        <w:pStyle w:val="Heading1"/>
      </w:pPr>
      <w:r w:rsidRPr="00C65945">
        <w:t>Consultation</w:t>
      </w:r>
    </w:p>
    <w:p w14:paraId="730D92B6" w14:textId="77777777" w:rsidR="00E669E5" w:rsidRDefault="00E669E5" w:rsidP="00E669E5">
      <w:pPr>
        <w:pStyle w:val="NumberedParagraphCabStandard"/>
        <w:numPr>
          <w:ilvl w:val="0"/>
          <w:numId w:val="1"/>
        </w:numPr>
      </w:pPr>
      <w:r>
        <w:t>T</w:t>
      </w:r>
      <w:r w:rsidRPr="00D604A3">
        <w:t>he Ministry of Business, Innovation and Employment</w:t>
      </w:r>
      <w:r>
        <w:t xml:space="preserve"> was consulted and is supportive of the proposed delay. T</w:t>
      </w:r>
      <w:r w:rsidRPr="00D604A3">
        <w:t>he Ministry of Foreign Affairs and Trade</w:t>
      </w:r>
      <w:r>
        <w:t xml:space="preserve"> and </w:t>
      </w:r>
      <w:r w:rsidRPr="00D604A3">
        <w:t>the Ministry for Primary Industries</w:t>
      </w:r>
      <w:r>
        <w:t xml:space="preserve"> were informed.</w:t>
      </w:r>
    </w:p>
    <w:p w14:paraId="6AC233C5" w14:textId="77777777" w:rsidR="00E669E5" w:rsidRDefault="00E669E5" w:rsidP="00E669E5">
      <w:pPr>
        <w:pStyle w:val="NumberedParagraphCabStandard"/>
        <w:numPr>
          <w:ilvl w:val="0"/>
          <w:numId w:val="1"/>
        </w:numPr>
      </w:pPr>
      <w:r>
        <w:t>Following public submissions on the Bill, officials had discussions with Alibaba, Amazon and eBay about the 1 October application date. It was clear from these discussions that these organisations would welcome any delay in the application date, although their first preference (as stated in their written submissions) would be a start date of 1 April 2020 at the earliest.</w:t>
      </w:r>
    </w:p>
    <w:p w14:paraId="3748FCE3" w14:textId="77777777" w:rsidR="00E669E5" w:rsidRDefault="00E669E5" w:rsidP="00E669E5">
      <w:pPr>
        <w:pStyle w:val="NumberedParagraphCabStandard"/>
        <w:numPr>
          <w:ilvl w:val="0"/>
          <w:numId w:val="1"/>
        </w:numPr>
      </w:pPr>
      <w:r w:rsidRPr="00F04CB7">
        <w:lastRenderedPageBreak/>
        <w:t>The Conference of Asia-Pacific Express Carriers (CAPEC)</w:t>
      </w:r>
      <w:r>
        <w:t xml:space="preserve">, </w:t>
      </w:r>
      <w:r w:rsidRPr="00F04CB7">
        <w:t xml:space="preserve">the Customs Brokers and Freight Forwarders Federation of New Zealand Inc (CBAFF) </w:t>
      </w:r>
      <w:r>
        <w:t xml:space="preserve">and New Zealand Post </w:t>
      </w:r>
      <w:r w:rsidRPr="00F04CB7">
        <w:t xml:space="preserve">were specifically consulted on </w:t>
      </w:r>
      <w:r w:rsidRPr="002D341B">
        <w:t>the proposed two-month delay, as well as an alternative option of delaying application by three months to 1 January 2020.</w:t>
      </w:r>
      <w:r w:rsidRPr="00F04CB7">
        <w:t xml:space="preserve"> </w:t>
      </w:r>
    </w:p>
    <w:p w14:paraId="061A4EA9" w14:textId="4BC60FD7" w:rsidR="00E669E5" w:rsidRDefault="00E669E5" w:rsidP="00E669E5">
      <w:pPr>
        <w:pStyle w:val="NumberedParagraphCabStandard"/>
        <w:numPr>
          <w:ilvl w:val="0"/>
          <w:numId w:val="1"/>
        </w:numPr>
      </w:pPr>
      <w:r w:rsidRPr="00F04CB7">
        <w:t>These stakeholders</w:t>
      </w:r>
      <w:r w:rsidR="0032742D">
        <w:t xml:space="preserve"> also</w:t>
      </w:r>
      <w:r w:rsidRPr="00F04CB7">
        <w:t xml:space="preserve"> prefer a 1 April 2020 application date (delay of six months)</w:t>
      </w:r>
      <w:r>
        <w:t xml:space="preserve">. A </w:t>
      </w:r>
      <w:r w:rsidRPr="00F04CB7">
        <w:t>1 December 2019 or 1 January 2020 application date would create difficulties</w:t>
      </w:r>
      <w:r>
        <w:t>, as it clashes with New Zealand Post’s and the fast freight industry’s peak period</w:t>
      </w:r>
      <w:r w:rsidRPr="00F04CB7">
        <w:t xml:space="preserve">. However, if given a choice between these two dates, CAPEC </w:t>
      </w:r>
      <w:r>
        <w:t xml:space="preserve">and CBAFF </w:t>
      </w:r>
      <w:r w:rsidRPr="00F04CB7">
        <w:t>prefer an application date of 1 January</w:t>
      </w:r>
      <w:r>
        <w:t xml:space="preserve"> 2020, while </w:t>
      </w:r>
      <w:r w:rsidRPr="00F04CB7">
        <w:t>New Zealand Post prefer</w:t>
      </w:r>
      <w:r>
        <w:t>s</w:t>
      </w:r>
      <w:r w:rsidRPr="00F04CB7">
        <w:t xml:space="preserve"> an application date of 1 December</w:t>
      </w:r>
      <w:r>
        <w:t xml:space="preserve"> 2019 over 1 January 2020</w:t>
      </w:r>
      <w:r w:rsidRPr="00F04CB7">
        <w:t>.</w:t>
      </w:r>
    </w:p>
    <w:p w14:paraId="6CC840BF" w14:textId="77777777" w:rsidR="003E39F9" w:rsidRDefault="003E39F9" w:rsidP="003E39F9">
      <w:pPr>
        <w:pStyle w:val="NumberedParagraphCabStandard"/>
        <w:numPr>
          <w:ilvl w:val="0"/>
          <w:numId w:val="0"/>
        </w:numPr>
        <w:tabs>
          <w:tab w:val="num" w:pos="1418"/>
        </w:tabs>
        <w:rPr>
          <w:b/>
        </w:rPr>
      </w:pPr>
      <w:r w:rsidRPr="00FB5772">
        <w:rPr>
          <w:b/>
        </w:rPr>
        <w:t>Financial Implications</w:t>
      </w:r>
    </w:p>
    <w:p w14:paraId="147DF12B" w14:textId="336D0017" w:rsidR="00B45F28" w:rsidRDefault="000B5FFE" w:rsidP="003E39F9">
      <w:pPr>
        <w:pStyle w:val="NumberedParagraphCabStandard"/>
      </w:pPr>
      <w:r>
        <w:t>The proposed 1 December 2019</w:t>
      </w:r>
      <w:r w:rsidR="003E39F9">
        <w:t xml:space="preserve"> application date would </w:t>
      </w:r>
      <w:r w:rsidR="007C6558">
        <w:t>have a net fiscal cost of</w:t>
      </w:r>
      <w:r w:rsidR="003E39F9" w:rsidRPr="00CA5EAD">
        <w:t xml:space="preserve"> $</w:t>
      </w:r>
      <w:r w:rsidR="007C6558">
        <w:t>9.666</w:t>
      </w:r>
      <w:r w:rsidR="003E39F9" w:rsidRPr="00CA5EAD">
        <w:t xml:space="preserve"> million</w:t>
      </w:r>
      <w:r w:rsidR="003E39F9">
        <w:t xml:space="preserve"> over</w:t>
      </w:r>
      <w:r w:rsidR="00DF6FC7">
        <w:t xml:space="preserve"> the</w:t>
      </w:r>
      <w:r w:rsidR="003E39F9">
        <w:t xml:space="preserve"> </w:t>
      </w:r>
      <w:r w:rsidR="00DF6FC7">
        <w:t>forecast period</w:t>
      </w:r>
      <w:r w:rsidR="003E39F9">
        <w:t xml:space="preserve">. </w:t>
      </w:r>
      <w:r w:rsidR="00B45F28">
        <w:t xml:space="preserve">This is due to an estimated reduction in GST revenue, offset by a reduction in the </w:t>
      </w:r>
      <w:r w:rsidR="00793591">
        <w:t xml:space="preserve">replacement </w:t>
      </w:r>
      <w:r w:rsidR="00B45F28">
        <w:t>funding required for Customs and the Ministry for Primary Industries.</w:t>
      </w:r>
    </w:p>
    <w:p w14:paraId="6F707737" w14:textId="77777777" w:rsidR="00B45F28" w:rsidRPr="00B45F28" w:rsidRDefault="00B45F28" w:rsidP="00B45F28">
      <w:pPr>
        <w:pStyle w:val="NumberedParagraphCabStandard"/>
        <w:numPr>
          <w:ilvl w:val="0"/>
          <w:numId w:val="0"/>
        </w:numPr>
        <w:rPr>
          <w:i/>
        </w:rPr>
      </w:pPr>
      <w:r w:rsidRPr="00B45F28">
        <w:rPr>
          <w:i/>
        </w:rPr>
        <w:t>GST Revenue</w:t>
      </w:r>
    </w:p>
    <w:p w14:paraId="3B330267" w14:textId="627463D3" w:rsidR="00B45F28" w:rsidRPr="00FC6210" w:rsidRDefault="00B45F28" w:rsidP="00E669E5">
      <w:pPr>
        <w:pStyle w:val="NumberedParagraphCabStandard"/>
      </w:pPr>
      <w:r>
        <w:t xml:space="preserve">Changing the date of implementation will result in forgone tax revenue as current forecasts assume a 1 October 2019 implementation date. </w:t>
      </w:r>
      <w:r w:rsidR="00962CA4">
        <w:t>The r</w:t>
      </w:r>
      <w:r>
        <w:t xml:space="preserve">evenue impact is </w:t>
      </w:r>
      <w:r w:rsidR="00D86254">
        <w:t>limit</w:t>
      </w:r>
      <w:r>
        <w:t>ed to</w:t>
      </w:r>
      <w:r w:rsidR="00975649">
        <w:t xml:space="preserve"> the</w:t>
      </w:r>
      <w:r>
        <w:t xml:space="preserve"> 2019/20 fiscal year. The estimated revenue impact is outlined in the table below:</w:t>
      </w:r>
    </w:p>
    <w:tbl>
      <w:tblPr>
        <w:tblW w:w="8789"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169"/>
        <w:gridCol w:w="1169"/>
        <w:gridCol w:w="1169"/>
        <w:gridCol w:w="1169"/>
        <w:gridCol w:w="1169"/>
      </w:tblGrid>
      <w:tr w:rsidR="00B45F28" w14:paraId="5F32466C" w14:textId="77777777" w:rsidTr="00B45F28">
        <w:tc>
          <w:tcPr>
            <w:tcW w:w="2944" w:type="dxa"/>
            <w:tcBorders>
              <w:top w:val="nil"/>
              <w:left w:val="nil"/>
              <w:bottom w:val="single" w:sz="4" w:space="0" w:color="auto"/>
              <w:right w:val="single" w:sz="4" w:space="0" w:color="auto"/>
            </w:tcBorders>
          </w:tcPr>
          <w:p w14:paraId="64C9A434" w14:textId="77777777" w:rsidR="00B45F28" w:rsidRDefault="00B45F28">
            <w:pPr>
              <w:spacing w:after="0"/>
              <w:rPr>
                <w:rFonts w:cs="Arial"/>
                <w:sz w:val="19"/>
                <w:szCs w:val="19"/>
                <w:lang w:val="en-AU" w:eastAsia="en-US"/>
              </w:rPr>
            </w:pPr>
          </w:p>
        </w:tc>
        <w:tc>
          <w:tcPr>
            <w:tcW w:w="5845" w:type="dxa"/>
            <w:gridSpan w:val="5"/>
            <w:tcBorders>
              <w:top w:val="single" w:sz="4" w:space="0" w:color="auto"/>
              <w:left w:val="single" w:sz="4" w:space="0" w:color="auto"/>
              <w:bottom w:val="single" w:sz="4" w:space="0" w:color="auto"/>
              <w:right w:val="single" w:sz="4" w:space="0" w:color="auto"/>
            </w:tcBorders>
            <w:hideMark/>
          </w:tcPr>
          <w:p w14:paraId="26AD3E0D" w14:textId="77777777" w:rsidR="00B45F28" w:rsidRDefault="00B45F28">
            <w:pPr>
              <w:spacing w:after="0"/>
              <w:jc w:val="center"/>
              <w:rPr>
                <w:rFonts w:cs="Arial"/>
                <w:sz w:val="19"/>
                <w:szCs w:val="19"/>
                <w:lang w:val="en-AU" w:eastAsia="en-US"/>
              </w:rPr>
            </w:pPr>
            <w:r>
              <w:rPr>
                <w:rFonts w:cs="Arial"/>
                <w:sz w:val="19"/>
                <w:szCs w:val="19"/>
                <w:lang w:val="en-AU" w:eastAsia="en-US"/>
              </w:rPr>
              <w:t>$m – increase/(decrease)</w:t>
            </w:r>
          </w:p>
        </w:tc>
      </w:tr>
      <w:tr w:rsidR="00B45F28" w14:paraId="7BA0C5BC" w14:textId="77777777" w:rsidTr="00B45F28">
        <w:tc>
          <w:tcPr>
            <w:tcW w:w="2944" w:type="dxa"/>
            <w:tcBorders>
              <w:top w:val="single" w:sz="4" w:space="0" w:color="auto"/>
              <w:left w:val="single" w:sz="4" w:space="0" w:color="auto"/>
              <w:bottom w:val="single" w:sz="4" w:space="0" w:color="auto"/>
              <w:right w:val="single" w:sz="4" w:space="0" w:color="auto"/>
            </w:tcBorders>
            <w:hideMark/>
          </w:tcPr>
          <w:p w14:paraId="26C484F0" w14:textId="77777777" w:rsidR="00B45F28" w:rsidRDefault="00B45F28">
            <w:pPr>
              <w:spacing w:after="0"/>
              <w:rPr>
                <w:rFonts w:cs="Arial"/>
                <w:b/>
                <w:bCs/>
                <w:iCs/>
                <w:sz w:val="19"/>
                <w:szCs w:val="19"/>
                <w:lang w:val="en-AU" w:eastAsia="en-US"/>
              </w:rPr>
            </w:pPr>
            <w:r>
              <w:rPr>
                <w:rFonts w:cs="Arial"/>
                <w:b/>
                <w:bCs/>
                <w:iCs/>
                <w:sz w:val="19"/>
                <w:szCs w:val="19"/>
                <w:lang w:val="en-AU" w:eastAsia="en-US"/>
              </w:rPr>
              <w:t>Vote Revenue</w:t>
            </w:r>
          </w:p>
          <w:p w14:paraId="5C2CADA6" w14:textId="77777777" w:rsidR="00B45F28" w:rsidRDefault="00B45F28">
            <w:pPr>
              <w:spacing w:after="0"/>
              <w:rPr>
                <w:rFonts w:cs="Arial"/>
                <w:b/>
                <w:bCs/>
                <w:i/>
                <w:iCs/>
                <w:sz w:val="19"/>
                <w:szCs w:val="19"/>
                <w:lang w:val="en-AU" w:eastAsia="en-US"/>
              </w:rPr>
            </w:pPr>
            <w:r>
              <w:rPr>
                <w:rFonts w:cs="Arial"/>
                <w:b/>
                <w:bCs/>
                <w:iCs/>
                <w:sz w:val="19"/>
                <w:szCs w:val="19"/>
                <w:lang w:val="en-AU" w:eastAsia="en-US"/>
              </w:rPr>
              <w:t>Minister of Revenue</w:t>
            </w:r>
          </w:p>
        </w:tc>
        <w:tc>
          <w:tcPr>
            <w:tcW w:w="1169" w:type="dxa"/>
            <w:tcBorders>
              <w:top w:val="single" w:sz="4" w:space="0" w:color="auto"/>
              <w:left w:val="single" w:sz="4" w:space="0" w:color="auto"/>
              <w:bottom w:val="single" w:sz="4" w:space="0" w:color="auto"/>
              <w:right w:val="single" w:sz="4" w:space="0" w:color="auto"/>
            </w:tcBorders>
            <w:hideMark/>
          </w:tcPr>
          <w:p w14:paraId="390E9791" w14:textId="77777777" w:rsidR="00B45F28" w:rsidRDefault="00B45F28">
            <w:pPr>
              <w:spacing w:after="0"/>
              <w:jc w:val="right"/>
              <w:rPr>
                <w:rFonts w:cs="Arial"/>
                <w:b/>
                <w:bCs/>
                <w:sz w:val="19"/>
                <w:szCs w:val="19"/>
                <w:lang w:val="en-AU" w:eastAsia="en-US"/>
              </w:rPr>
            </w:pPr>
            <w:r>
              <w:rPr>
                <w:rFonts w:cs="Arial"/>
                <w:b/>
                <w:bCs/>
                <w:sz w:val="19"/>
                <w:szCs w:val="19"/>
                <w:lang w:eastAsia="en-US"/>
              </w:rPr>
              <w:t>2018/19</w:t>
            </w:r>
          </w:p>
        </w:tc>
        <w:tc>
          <w:tcPr>
            <w:tcW w:w="1169" w:type="dxa"/>
            <w:tcBorders>
              <w:top w:val="single" w:sz="4" w:space="0" w:color="auto"/>
              <w:left w:val="single" w:sz="4" w:space="0" w:color="auto"/>
              <w:bottom w:val="single" w:sz="4" w:space="0" w:color="auto"/>
              <w:right w:val="single" w:sz="4" w:space="0" w:color="auto"/>
            </w:tcBorders>
            <w:hideMark/>
          </w:tcPr>
          <w:p w14:paraId="7FD95C7B" w14:textId="77777777" w:rsidR="00B45F28" w:rsidRDefault="00B45F28">
            <w:pPr>
              <w:spacing w:after="0"/>
              <w:jc w:val="right"/>
              <w:rPr>
                <w:rFonts w:cs="Arial"/>
                <w:b/>
                <w:bCs/>
                <w:sz w:val="19"/>
                <w:szCs w:val="19"/>
                <w:lang w:val="en-AU" w:eastAsia="en-US"/>
              </w:rPr>
            </w:pPr>
            <w:r>
              <w:rPr>
                <w:rFonts w:cs="Arial"/>
                <w:b/>
                <w:bCs/>
                <w:sz w:val="19"/>
                <w:szCs w:val="19"/>
                <w:lang w:eastAsia="en-US"/>
              </w:rPr>
              <w:t>2019/20</w:t>
            </w:r>
          </w:p>
        </w:tc>
        <w:tc>
          <w:tcPr>
            <w:tcW w:w="1169" w:type="dxa"/>
            <w:tcBorders>
              <w:top w:val="single" w:sz="4" w:space="0" w:color="auto"/>
              <w:left w:val="single" w:sz="4" w:space="0" w:color="auto"/>
              <w:bottom w:val="single" w:sz="4" w:space="0" w:color="auto"/>
              <w:right w:val="single" w:sz="4" w:space="0" w:color="auto"/>
            </w:tcBorders>
            <w:hideMark/>
          </w:tcPr>
          <w:p w14:paraId="50BDCD79" w14:textId="77777777" w:rsidR="00B45F28" w:rsidRDefault="00B45F28">
            <w:pPr>
              <w:spacing w:after="0"/>
              <w:jc w:val="right"/>
              <w:rPr>
                <w:rFonts w:cs="Arial"/>
                <w:b/>
                <w:bCs/>
                <w:sz w:val="19"/>
                <w:szCs w:val="19"/>
                <w:lang w:val="en-AU" w:eastAsia="en-US"/>
              </w:rPr>
            </w:pPr>
            <w:r>
              <w:rPr>
                <w:rFonts w:cs="Arial"/>
                <w:b/>
                <w:bCs/>
                <w:sz w:val="19"/>
                <w:szCs w:val="19"/>
                <w:lang w:eastAsia="en-US"/>
              </w:rPr>
              <w:t>2020/21</w:t>
            </w:r>
          </w:p>
        </w:tc>
        <w:tc>
          <w:tcPr>
            <w:tcW w:w="1169" w:type="dxa"/>
            <w:tcBorders>
              <w:top w:val="single" w:sz="4" w:space="0" w:color="auto"/>
              <w:left w:val="single" w:sz="4" w:space="0" w:color="auto"/>
              <w:bottom w:val="single" w:sz="4" w:space="0" w:color="auto"/>
              <w:right w:val="single" w:sz="4" w:space="0" w:color="auto"/>
            </w:tcBorders>
            <w:hideMark/>
          </w:tcPr>
          <w:p w14:paraId="1C807F4A" w14:textId="77777777" w:rsidR="00B45F28" w:rsidRDefault="00B45F28">
            <w:pPr>
              <w:spacing w:after="0"/>
              <w:jc w:val="right"/>
              <w:rPr>
                <w:rFonts w:cs="Arial"/>
                <w:b/>
                <w:bCs/>
                <w:sz w:val="19"/>
                <w:szCs w:val="19"/>
                <w:lang w:val="en-AU" w:eastAsia="en-US"/>
              </w:rPr>
            </w:pPr>
            <w:r>
              <w:rPr>
                <w:rFonts w:cs="Arial"/>
                <w:b/>
                <w:bCs/>
                <w:sz w:val="19"/>
                <w:szCs w:val="19"/>
                <w:lang w:eastAsia="en-US"/>
              </w:rPr>
              <w:t>2021/22</w:t>
            </w:r>
          </w:p>
        </w:tc>
        <w:tc>
          <w:tcPr>
            <w:tcW w:w="1169" w:type="dxa"/>
            <w:tcBorders>
              <w:top w:val="single" w:sz="4" w:space="0" w:color="auto"/>
              <w:left w:val="single" w:sz="4" w:space="0" w:color="auto"/>
              <w:bottom w:val="single" w:sz="4" w:space="0" w:color="auto"/>
              <w:right w:val="single" w:sz="4" w:space="0" w:color="auto"/>
            </w:tcBorders>
            <w:hideMark/>
          </w:tcPr>
          <w:p w14:paraId="089FF5AE" w14:textId="77777777" w:rsidR="00B45F28" w:rsidRDefault="00B45F28">
            <w:pPr>
              <w:spacing w:after="0"/>
              <w:jc w:val="right"/>
              <w:rPr>
                <w:rFonts w:cs="Arial"/>
                <w:b/>
                <w:bCs/>
                <w:sz w:val="19"/>
                <w:szCs w:val="19"/>
                <w:lang w:val="en-AU" w:eastAsia="en-US"/>
              </w:rPr>
            </w:pPr>
            <w:r>
              <w:rPr>
                <w:rFonts w:cs="Arial"/>
                <w:b/>
                <w:bCs/>
                <w:sz w:val="19"/>
                <w:szCs w:val="19"/>
                <w:lang w:eastAsia="en-US"/>
              </w:rPr>
              <w:t>2022/23 &amp; Outyears</w:t>
            </w:r>
          </w:p>
        </w:tc>
      </w:tr>
      <w:tr w:rsidR="00B45F28" w14:paraId="04284EEC" w14:textId="77777777" w:rsidTr="00B45F28">
        <w:tc>
          <w:tcPr>
            <w:tcW w:w="2944" w:type="dxa"/>
            <w:tcBorders>
              <w:top w:val="single" w:sz="4" w:space="0" w:color="auto"/>
              <w:left w:val="single" w:sz="4" w:space="0" w:color="auto"/>
              <w:bottom w:val="nil"/>
              <w:right w:val="single" w:sz="4" w:space="0" w:color="auto"/>
            </w:tcBorders>
            <w:hideMark/>
          </w:tcPr>
          <w:p w14:paraId="61CEBFF8" w14:textId="77777777" w:rsidR="00B45F28" w:rsidRDefault="00B45F28">
            <w:pPr>
              <w:spacing w:after="0"/>
              <w:rPr>
                <w:rFonts w:cs="Arial"/>
                <w:sz w:val="19"/>
                <w:szCs w:val="19"/>
                <w:lang w:val="en-AU" w:eastAsia="en-US"/>
              </w:rPr>
            </w:pPr>
            <w:r>
              <w:rPr>
                <w:rFonts w:cs="Arial"/>
                <w:sz w:val="19"/>
                <w:szCs w:val="19"/>
                <w:lang w:val="en-AU" w:eastAsia="en-US"/>
              </w:rPr>
              <w:t>Tax Revenue:</w:t>
            </w:r>
          </w:p>
        </w:tc>
        <w:tc>
          <w:tcPr>
            <w:tcW w:w="1169" w:type="dxa"/>
            <w:tcBorders>
              <w:top w:val="single" w:sz="4" w:space="0" w:color="auto"/>
              <w:left w:val="single" w:sz="4" w:space="0" w:color="auto"/>
              <w:bottom w:val="nil"/>
              <w:right w:val="single" w:sz="4" w:space="0" w:color="auto"/>
            </w:tcBorders>
          </w:tcPr>
          <w:p w14:paraId="53A784E7" w14:textId="77777777" w:rsidR="00B45F28" w:rsidRDefault="00B45F28">
            <w:pPr>
              <w:spacing w:after="0"/>
              <w:jc w:val="right"/>
              <w:rPr>
                <w:rFonts w:cs="Arial"/>
                <w:sz w:val="19"/>
                <w:szCs w:val="19"/>
                <w:lang w:val="en-AU" w:eastAsia="en-US"/>
              </w:rPr>
            </w:pPr>
          </w:p>
        </w:tc>
        <w:tc>
          <w:tcPr>
            <w:tcW w:w="1169" w:type="dxa"/>
            <w:tcBorders>
              <w:top w:val="single" w:sz="4" w:space="0" w:color="auto"/>
              <w:left w:val="single" w:sz="4" w:space="0" w:color="auto"/>
              <w:bottom w:val="nil"/>
              <w:right w:val="single" w:sz="4" w:space="0" w:color="auto"/>
            </w:tcBorders>
          </w:tcPr>
          <w:p w14:paraId="5CA27CC4" w14:textId="77777777" w:rsidR="00B45F28" w:rsidRDefault="00B45F28">
            <w:pPr>
              <w:spacing w:after="0"/>
              <w:jc w:val="right"/>
              <w:rPr>
                <w:rFonts w:cs="Arial"/>
                <w:sz w:val="19"/>
                <w:szCs w:val="19"/>
                <w:lang w:val="en-AU" w:eastAsia="en-US"/>
              </w:rPr>
            </w:pPr>
          </w:p>
        </w:tc>
        <w:tc>
          <w:tcPr>
            <w:tcW w:w="1169" w:type="dxa"/>
            <w:tcBorders>
              <w:top w:val="single" w:sz="4" w:space="0" w:color="auto"/>
              <w:left w:val="single" w:sz="4" w:space="0" w:color="auto"/>
              <w:bottom w:val="nil"/>
              <w:right w:val="single" w:sz="4" w:space="0" w:color="auto"/>
            </w:tcBorders>
          </w:tcPr>
          <w:p w14:paraId="609945CA" w14:textId="77777777" w:rsidR="00B45F28" w:rsidRDefault="00B45F28">
            <w:pPr>
              <w:spacing w:after="0"/>
              <w:jc w:val="right"/>
              <w:rPr>
                <w:rFonts w:cs="Arial"/>
                <w:sz w:val="19"/>
                <w:szCs w:val="19"/>
                <w:lang w:val="en-AU" w:eastAsia="en-US"/>
              </w:rPr>
            </w:pPr>
          </w:p>
        </w:tc>
        <w:tc>
          <w:tcPr>
            <w:tcW w:w="1169" w:type="dxa"/>
            <w:tcBorders>
              <w:top w:val="single" w:sz="4" w:space="0" w:color="auto"/>
              <w:left w:val="single" w:sz="4" w:space="0" w:color="auto"/>
              <w:bottom w:val="nil"/>
              <w:right w:val="single" w:sz="4" w:space="0" w:color="auto"/>
            </w:tcBorders>
          </w:tcPr>
          <w:p w14:paraId="7317475F" w14:textId="77777777" w:rsidR="00B45F28" w:rsidRDefault="00B45F28">
            <w:pPr>
              <w:spacing w:after="0"/>
              <w:jc w:val="right"/>
              <w:rPr>
                <w:rFonts w:cs="Arial"/>
                <w:sz w:val="19"/>
                <w:szCs w:val="19"/>
                <w:lang w:val="en-AU" w:eastAsia="en-US"/>
              </w:rPr>
            </w:pPr>
          </w:p>
        </w:tc>
        <w:tc>
          <w:tcPr>
            <w:tcW w:w="1169" w:type="dxa"/>
            <w:tcBorders>
              <w:top w:val="single" w:sz="4" w:space="0" w:color="auto"/>
              <w:left w:val="single" w:sz="4" w:space="0" w:color="auto"/>
              <w:bottom w:val="nil"/>
              <w:right w:val="single" w:sz="4" w:space="0" w:color="auto"/>
            </w:tcBorders>
          </w:tcPr>
          <w:p w14:paraId="5F1A046A" w14:textId="77777777" w:rsidR="00B45F28" w:rsidRDefault="00B45F28">
            <w:pPr>
              <w:spacing w:after="0"/>
              <w:jc w:val="right"/>
              <w:rPr>
                <w:rFonts w:cs="Arial"/>
                <w:sz w:val="19"/>
                <w:szCs w:val="19"/>
                <w:lang w:val="en-AU" w:eastAsia="en-US"/>
              </w:rPr>
            </w:pPr>
          </w:p>
        </w:tc>
      </w:tr>
      <w:tr w:rsidR="00B45F28" w14:paraId="26A33456" w14:textId="77777777" w:rsidTr="00B45F28">
        <w:tc>
          <w:tcPr>
            <w:tcW w:w="2944" w:type="dxa"/>
            <w:tcBorders>
              <w:top w:val="nil"/>
              <w:left w:val="single" w:sz="4" w:space="0" w:color="auto"/>
              <w:bottom w:val="single" w:sz="4" w:space="0" w:color="auto"/>
              <w:right w:val="single" w:sz="4" w:space="0" w:color="auto"/>
            </w:tcBorders>
            <w:hideMark/>
          </w:tcPr>
          <w:p w14:paraId="1968633E" w14:textId="77777777" w:rsidR="00B45F28" w:rsidRDefault="00B45F28">
            <w:pPr>
              <w:spacing w:after="0"/>
              <w:rPr>
                <w:rFonts w:cs="Arial"/>
                <w:sz w:val="19"/>
                <w:szCs w:val="19"/>
                <w:lang w:val="en-AU" w:eastAsia="en-US"/>
              </w:rPr>
            </w:pPr>
            <w:r>
              <w:rPr>
                <w:rFonts w:cs="Arial"/>
                <w:sz w:val="19"/>
                <w:szCs w:val="19"/>
                <w:lang w:val="en-AU" w:eastAsia="en-US"/>
              </w:rPr>
              <w:t>GST (1 October 2019 application date)</w:t>
            </w:r>
          </w:p>
        </w:tc>
        <w:tc>
          <w:tcPr>
            <w:tcW w:w="1169" w:type="dxa"/>
            <w:tcBorders>
              <w:top w:val="nil"/>
              <w:left w:val="single" w:sz="4" w:space="0" w:color="auto"/>
              <w:bottom w:val="single" w:sz="4" w:space="0" w:color="auto"/>
              <w:right w:val="single" w:sz="4" w:space="0" w:color="auto"/>
            </w:tcBorders>
            <w:hideMark/>
          </w:tcPr>
          <w:p w14:paraId="54B3FB24" w14:textId="77777777" w:rsidR="00B45F28" w:rsidRDefault="00B45F28">
            <w:pPr>
              <w:spacing w:after="0"/>
              <w:jc w:val="right"/>
              <w:rPr>
                <w:rFonts w:cs="Arial"/>
                <w:sz w:val="19"/>
                <w:szCs w:val="19"/>
                <w:lang w:val="en-AU" w:eastAsia="en-US"/>
              </w:rPr>
            </w:pPr>
            <w:r>
              <w:rPr>
                <w:rFonts w:cs="Arial"/>
                <w:sz w:val="19"/>
                <w:szCs w:val="19"/>
                <w:lang w:val="en-AU" w:eastAsia="en-US"/>
              </w:rPr>
              <w:t>-</w:t>
            </w:r>
          </w:p>
        </w:tc>
        <w:tc>
          <w:tcPr>
            <w:tcW w:w="1169" w:type="dxa"/>
            <w:tcBorders>
              <w:top w:val="nil"/>
              <w:left w:val="single" w:sz="4" w:space="0" w:color="auto"/>
              <w:bottom w:val="single" w:sz="4" w:space="0" w:color="auto"/>
              <w:right w:val="single" w:sz="4" w:space="0" w:color="auto"/>
            </w:tcBorders>
            <w:hideMark/>
          </w:tcPr>
          <w:p w14:paraId="17B68812" w14:textId="77777777" w:rsidR="00B45F28" w:rsidRDefault="00B45F28">
            <w:pPr>
              <w:spacing w:after="0"/>
              <w:jc w:val="right"/>
              <w:rPr>
                <w:rFonts w:cs="Arial"/>
                <w:sz w:val="19"/>
                <w:szCs w:val="19"/>
                <w:lang w:val="en-AU" w:eastAsia="en-US"/>
              </w:rPr>
            </w:pPr>
            <w:r>
              <w:rPr>
                <w:rFonts w:cs="Arial"/>
                <w:sz w:val="19"/>
                <w:szCs w:val="19"/>
                <w:lang w:val="en-AU" w:eastAsia="en-US"/>
              </w:rPr>
              <w:t>66.000</w:t>
            </w:r>
          </w:p>
        </w:tc>
        <w:tc>
          <w:tcPr>
            <w:tcW w:w="1169" w:type="dxa"/>
            <w:tcBorders>
              <w:top w:val="nil"/>
              <w:left w:val="single" w:sz="4" w:space="0" w:color="auto"/>
              <w:bottom w:val="single" w:sz="4" w:space="0" w:color="auto"/>
              <w:right w:val="single" w:sz="4" w:space="0" w:color="auto"/>
            </w:tcBorders>
            <w:hideMark/>
          </w:tcPr>
          <w:p w14:paraId="508ED4E8" w14:textId="77777777" w:rsidR="00B45F28" w:rsidRDefault="00B45F28">
            <w:pPr>
              <w:spacing w:after="0"/>
              <w:jc w:val="right"/>
              <w:rPr>
                <w:rFonts w:cs="Arial"/>
                <w:sz w:val="19"/>
                <w:szCs w:val="19"/>
                <w:lang w:val="en-AU" w:eastAsia="en-US"/>
              </w:rPr>
            </w:pPr>
            <w:r>
              <w:rPr>
                <w:rFonts w:cs="Arial"/>
                <w:sz w:val="19"/>
                <w:szCs w:val="19"/>
                <w:lang w:val="en-AU" w:eastAsia="en-US"/>
              </w:rPr>
              <w:t>100.000</w:t>
            </w:r>
          </w:p>
        </w:tc>
        <w:tc>
          <w:tcPr>
            <w:tcW w:w="1169" w:type="dxa"/>
            <w:tcBorders>
              <w:top w:val="nil"/>
              <w:left w:val="single" w:sz="4" w:space="0" w:color="auto"/>
              <w:bottom w:val="single" w:sz="4" w:space="0" w:color="auto"/>
              <w:right w:val="single" w:sz="4" w:space="0" w:color="auto"/>
            </w:tcBorders>
            <w:hideMark/>
          </w:tcPr>
          <w:p w14:paraId="128AB53B" w14:textId="77777777" w:rsidR="00B45F28" w:rsidRDefault="00B45F28">
            <w:pPr>
              <w:spacing w:after="0"/>
              <w:jc w:val="right"/>
              <w:rPr>
                <w:rFonts w:cs="Arial"/>
                <w:sz w:val="19"/>
                <w:szCs w:val="19"/>
                <w:lang w:val="en-AU" w:eastAsia="en-US"/>
              </w:rPr>
            </w:pPr>
            <w:r>
              <w:rPr>
                <w:rFonts w:cs="Arial"/>
                <w:sz w:val="19"/>
                <w:szCs w:val="19"/>
                <w:lang w:val="en-AU" w:eastAsia="en-US"/>
              </w:rPr>
              <w:t>112.000</w:t>
            </w:r>
          </w:p>
        </w:tc>
        <w:tc>
          <w:tcPr>
            <w:tcW w:w="1169" w:type="dxa"/>
            <w:tcBorders>
              <w:top w:val="nil"/>
              <w:left w:val="single" w:sz="4" w:space="0" w:color="auto"/>
              <w:bottom w:val="single" w:sz="4" w:space="0" w:color="auto"/>
              <w:right w:val="single" w:sz="4" w:space="0" w:color="auto"/>
            </w:tcBorders>
            <w:hideMark/>
          </w:tcPr>
          <w:p w14:paraId="6E574FF4" w14:textId="77777777" w:rsidR="00B45F28" w:rsidRDefault="00B45F28">
            <w:pPr>
              <w:spacing w:after="0"/>
              <w:jc w:val="right"/>
              <w:rPr>
                <w:rFonts w:cs="Arial"/>
                <w:sz w:val="19"/>
                <w:szCs w:val="19"/>
                <w:lang w:val="en-AU" w:eastAsia="en-US"/>
              </w:rPr>
            </w:pPr>
            <w:r>
              <w:rPr>
                <w:rFonts w:cs="Arial"/>
                <w:sz w:val="19"/>
                <w:szCs w:val="19"/>
                <w:lang w:val="en-AU" w:eastAsia="en-US"/>
              </w:rPr>
              <w:t>126.000</w:t>
            </w:r>
          </w:p>
        </w:tc>
      </w:tr>
      <w:tr w:rsidR="00B45F28" w14:paraId="0CC5A8FA" w14:textId="77777777" w:rsidTr="00B45F28">
        <w:tc>
          <w:tcPr>
            <w:tcW w:w="2944" w:type="dxa"/>
            <w:tcBorders>
              <w:top w:val="single" w:sz="4" w:space="0" w:color="auto"/>
              <w:left w:val="single" w:sz="4" w:space="0" w:color="auto"/>
              <w:bottom w:val="single" w:sz="4" w:space="0" w:color="auto"/>
              <w:right w:val="single" w:sz="4" w:space="0" w:color="auto"/>
            </w:tcBorders>
            <w:hideMark/>
          </w:tcPr>
          <w:p w14:paraId="5E1B81E9" w14:textId="77777777" w:rsidR="00B45F28" w:rsidRDefault="00B45F28">
            <w:pPr>
              <w:spacing w:after="0"/>
              <w:rPr>
                <w:rFonts w:cs="Arial"/>
                <w:sz w:val="19"/>
                <w:szCs w:val="19"/>
                <w:lang w:val="en-AU" w:eastAsia="en-US"/>
              </w:rPr>
            </w:pPr>
            <w:r>
              <w:rPr>
                <w:rFonts w:cs="Arial"/>
                <w:sz w:val="19"/>
                <w:szCs w:val="19"/>
                <w:lang w:val="en-AU" w:eastAsia="en-US"/>
              </w:rPr>
              <w:t xml:space="preserve">Tax Revenue: </w:t>
            </w:r>
          </w:p>
          <w:p w14:paraId="6053AA19" w14:textId="77777777" w:rsidR="00B45F28" w:rsidRDefault="00B45F28">
            <w:pPr>
              <w:spacing w:after="0"/>
              <w:rPr>
                <w:rFonts w:cs="Arial"/>
                <w:sz w:val="19"/>
                <w:szCs w:val="19"/>
                <w:lang w:val="en-AU" w:eastAsia="en-US"/>
              </w:rPr>
            </w:pPr>
            <w:r>
              <w:rPr>
                <w:rFonts w:cs="Arial"/>
                <w:sz w:val="19"/>
                <w:szCs w:val="19"/>
                <w:lang w:val="en-AU" w:eastAsia="en-US"/>
              </w:rPr>
              <w:t>GST (1 December 2019 application)</w:t>
            </w:r>
          </w:p>
        </w:tc>
        <w:tc>
          <w:tcPr>
            <w:tcW w:w="1169" w:type="dxa"/>
            <w:tcBorders>
              <w:top w:val="single" w:sz="4" w:space="0" w:color="auto"/>
              <w:left w:val="single" w:sz="4" w:space="0" w:color="auto"/>
              <w:bottom w:val="single" w:sz="4" w:space="0" w:color="auto"/>
              <w:right w:val="single" w:sz="4" w:space="0" w:color="auto"/>
            </w:tcBorders>
          </w:tcPr>
          <w:p w14:paraId="04B174DA" w14:textId="77777777" w:rsidR="00B45F28" w:rsidRDefault="00B45F28">
            <w:pPr>
              <w:spacing w:after="0"/>
              <w:jc w:val="right"/>
              <w:rPr>
                <w:rFonts w:cs="Arial"/>
                <w:sz w:val="19"/>
                <w:szCs w:val="19"/>
                <w:lang w:val="en-AU" w:eastAsia="en-US"/>
              </w:rPr>
            </w:pPr>
          </w:p>
          <w:p w14:paraId="26DC74A9" w14:textId="77777777" w:rsidR="00B45F28" w:rsidRDefault="00B45F28">
            <w:pPr>
              <w:spacing w:after="0"/>
              <w:jc w:val="right"/>
              <w:rPr>
                <w:rFonts w:cs="Arial"/>
                <w:sz w:val="19"/>
                <w:szCs w:val="19"/>
                <w:lang w:val="en-AU" w:eastAsia="en-US"/>
              </w:rPr>
            </w:pPr>
            <w:r>
              <w:rPr>
                <w:rFonts w:cs="Arial"/>
                <w:sz w:val="19"/>
                <w:szCs w:val="19"/>
                <w:lang w:val="en-AU" w:eastAsia="en-US"/>
              </w:rPr>
              <w:t>-</w:t>
            </w:r>
          </w:p>
        </w:tc>
        <w:tc>
          <w:tcPr>
            <w:tcW w:w="1169" w:type="dxa"/>
            <w:tcBorders>
              <w:top w:val="single" w:sz="4" w:space="0" w:color="auto"/>
              <w:left w:val="single" w:sz="4" w:space="0" w:color="auto"/>
              <w:bottom w:val="single" w:sz="4" w:space="0" w:color="auto"/>
              <w:right w:val="single" w:sz="4" w:space="0" w:color="auto"/>
            </w:tcBorders>
          </w:tcPr>
          <w:p w14:paraId="72744A56" w14:textId="77777777" w:rsidR="00B45F28" w:rsidRDefault="00B45F28">
            <w:pPr>
              <w:spacing w:after="0"/>
              <w:jc w:val="right"/>
              <w:rPr>
                <w:rFonts w:cs="Arial"/>
                <w:sz w:val="19"/>
                <w:szCs w:val="19"/>
                <w:lang w:val="en-AU" w:eastAsia="en-US"/>
              </w:rPr>
            </w:pPr>
          </w:p>
          <w:p w14:paraId="7254C85D" w14:textId="77777777" w:rsidR="00B45F28" w:rsidRDefault="00B45F28">
            <w:pPr>
              <w:spacing w:after="0"/>
              <w:jc w:val="right"/>
              <w:rPr>
                <w:rFonts w:cs="Arial"/>
                <w:sz w:val="19"/>
                <w:szCs w:val="19"/>
                <w:lang w:val="en-AU" w:eastAsia="en-US"/>
              </w:rPr>
            </w:pPr>
            <w:r>
              <w:rPr>
                <w:rFonts w:cs="Arial"/>
                <w:sz w:val="19"/>
                <w:szCs w:val="19"/>
                <w:lang w:val="en-AU" w:eastAsia="en-US"/>
              </w:rPr>
              <w:t>52.000</w:t>
            </w:r>
          </w:p>
        </w:tc>
        <w:tc>
          <w:tcPr>
            <w:tcW w:w="1169" w:type="dxa"/>
            <w:tcBorders>
              <w:top w:val="single" w:sz="4" w:space="0" w:color="auto"/>
              <w:left w:val="single" w:sz="4" w:space="0" w:color="auto"/>
              <w:bottom w:val="single" w:sz="4" w:space="0" w:color="auto"/>
              <w:right w:val="single" w:sz="4" w:space="0" w:color="auto"/>
            </w:tcBorders>
          </w:tcPr>
          <w:p w14:paraId="39979331" w14:textId="77777777" w:rsidR="00B45F28" w:rsidRDefault="00B45F28">
            <w:pPr>
              <w:spacing w:after="0"/>
              <w:jc w:val="right"/>
              <w:rPr>
                <w:rFonts w:cs="Arial"/>
                <w:sz w:val="19"/>
                <w:szCs w:val="19"/>
                <w:lang w:val="en-AU" w:eastAsia="en-US"/>
              </w:rPr>
            </w:pPr>
          </w:p>
          <w:p w14:paraId="06F69EF0" w14:textId="77777777" w:rsidR="00B45F28" w:rsidRDefault="00B45F28">
            <w:pPr>
              <w:spacing w:after="0"/>
              <w:jc w:val="right"/>
              <w:rPr>
                <w:rFonts w:cs="Arial"/>
                <w:sz w:val="19"/>
                <w:szCs w:val="19"/>
                <w:lang w:val="en-AU" w:eastAsia="en-US"/>
              </w:rPr>
            </w:pPr>
            <w:r>
              <w:rPr>
                <w:rFonts w:cs="Arial"/>
                <w:sz w:val="19"/>
                <w:szCs w:val="19"/>
                <w:lang w:val="en-AU" w:eastAsia="en-US"/>
              </w:rPr>
              <w:t>100.000</w:t>
            </w:r>
          </w:p>
        </w:tc>
        <w:tc>
          <w:tcPr>
            <w:tcW w:w="1169" w:type="dxa"/>
            <w:tcBorders>
              <w:top w:val="single" w:sz="4" w:space="0" w:color="auto"/>
              <w:left w:val="single" w:sz="4" w:space="0" w:color="auto"/>
              <w:bottom w:val="single" w:sz="4" w:space="0" w:color="auto"/>
              <w:right w:val="single" w:sz="4" w:space="0" w:color="auto"/>
            </w:tcBorders>
          </w:tcPr>
          <w:p w14:paraId="3E3C1263" w14:textId="77777777" w:rsidR="00B45F28" w:rsidRDefault="00B45F28">
            <w:pPr>
              <w:spacing w:after="0"/>
              <w:jc w:val="right"/>
              <w:rPr>
                <w:rFonts w:cs="Arial"/>
                <w:sz w:val="19"/>
                <w:szCs w:val="19"/>
                <w:lang w:val="en-AU" w:eastAsia="en-US"/>
              </w:rPr>
            </w:pPr>
          </w:p>
          <w:p w14:paraId="219A3875" w14:textId="77777777" w:rsidR="00B45F28" w:rsidRDefault="00B45F28">
            <w:pPr>
              <w:spacing w:after="0"/>
              <w:jc w:val="right"/>
              <w:rPr>
                <w:rFonts w:cs="Arial"/>
                <w:sz w:val="19"/>
                <w:szCs w:val="19"/>
                <w:lang w:val="en-AU" w:eastAsia="en-US"/>
              </w:rPr>
            </w:pPr>
            <w:r>
              <w:rPr>
                <w:rFonts w:cs="Arial"/>
                <w:sz w:val="19"/>
                <w:szCs w:val="19"/>
                <w:lang w:val="en-AU" w:eastAsia="en-US"/>
              </w:rPr>
              <w:t>112.000</w:t>
            </w:r>
          </w:p>
        </w:tc>
        <w:tc>
          <w:tcPr>
            <w:tcW w:w="1169" w:type="dxa"/>
            <w:tcBorders>
              <w:top w:val="single" w:sz="4" w:space="0" w:color="auto"/>
              <w:left w:val="single" w:sz="4" w:space="0" w:color="auto"/>
              <w:bottom w:val="single" w:sz="4" w:space="0" w:color="auto"/>
              <w:right w:val="single" w:sz="4" w:space="0" w:color="auto"/>
            </w:tcBorders>
          </w:tcPr>
          <w:p w14:paraId="3474A7D6" w14:textId="77777777" w:rsidR="00B45F28" w:rsidRDefault="00B45F28">
            <w:pPr>
              <w:spacing w:after="0"/>
              <w:jc w:val="right"/>
              <w:rPr>
                <w:rFonts w:cs="Arial"/>
                <w:sz w:val="19"/>
                <w:szCs w:val="19"/>
                <w:lang w:val="en-AU" w:eastAsia="en-US"/>
              </w:rPr>
            </w:pPr>
          </w:p>
          <w:p w14:paraId="7A579395" w14:textId="77777777" w:rsidR="00B45F28" w:rsidRDefault="00B45F28">
            <w:pPr>
              <w:spacing w:after="0"/>
              <w:jc w:val="right"/>
              <w:rPr>
                <w:rFonts w:cs="Arial"/>
                <w:sz w:val="19"/>
                <w:szCs w:val="19"/>
                <w:lang w:val="en-AU" w:eastAsia="en-US"/>
              </w:rPr>
            </w:pPr>
            <w:r>
              <w:rPr>
                <w:rFonts w:cs="Arial"/>
                <w:sz w:val="19"/>
                <w:szCs w:val="19"/>
                <w:lang w:val="en-AU" w:eastAsia="en-US"/>
              </w:rPr>
              <w:t>126.000</w:t>
            </w:r>
          </w:p>
        </w:tc>
      </w:tr>
      <w:tr w:rsidR="00B45F28" w14:paraId="52A0C887" w14:textId="77777777" w:rsidTr="00B45F28">
        <w:tc>
          <w:tcPr>
            <w:tcW w:w="2944" w:type="dxa"/>
            <w:tcBorders>
              <w:top w:val="single" w:sz="4" w:space="0" w:color="auto"/>
              <w:left w:val="single" w:sz="4" w:space="0" w:color="auto"/>
              <w:bottom w:val="single" w:sz="4" w:space="0" w:color="auto"/>
              <w:right w:val="single" w:sz="4" w:space="0" w:color="auto"/>
            </w:tcBorders>
            <w:hideMark/>
          </w:tcPr>
          <w:p w14:paraId="15F03D63" w14:textId="77777777" w:rsidR="00B45F28" w:rsidRDefault="00B45F28">
            <w:pPr>
              <w:spacing w:after="0"/>
              <w:rPr>
                <w:rFonts w:cs="Arial"/>
                <w:b/>
                <w:bCs/>
                <w:sz w:val="19"/>
                <w:szCs w:val="19"/>
                <w:lang w:val="en-AU" w:eastAsia="en-US"/>
              </w:rPr>
            </w:pPr>
            <w:r>
              <w:rPr>
                <w:rFonts w:cs="Arial"/>
                <w:b/>
                <w:bCs/>
                <w:sz w:val="19"/>
                <w:szCs w:val="19"/>
                <w:lang w:val="en-AU" w:eastAsia="en-US"/>
              </w:rPr>
              <w:t>Total Operating</w:t>
            </w:r>
          </w:p>
        </w:tc>
        <w:tc>
          <w:tcPr>
            <w:tcW w:w="1169" w:type="dxa"/>
            <w:tcBorders>
              <w:top w:val="single" w:sz="4" w:space="0" w:color="auto"/>
              <w:left w:val="single" w:sz="4" w:space="0" w:color="auto"/>
              <w:bottom w:val="single" w:sz="4" w:space="0" w:color="auto"/>
              <w:right w:val="single" w:sz="4" w:space="0" w:color="auto"/>
            </w:tcBorders>
            <w:hideMark/>
          </w:tcPr>
          <w:p w14:paraId="3C6FCC24" w14:textId="77777777" w:rsidR="00B45F28" w:rsidRDefault="00B45F28">
            <w:pPr>
              <w:spacing w:after="0"/>
              <w:jc w:val="right"/>
              <w:rPr>
                <w:rFonts w:cs="Arial"/>
                <w:b/>
                <w:sz w:val="19"/>
                <w:szCs w:val="19"/>
                <w:lang w:val="en-AU" w:eastAsia="en-US"/>
              </w:rPr>
            </w:pPr>
            <w:r>
              <w:rPr>
                <w:rFonts w:cs="Arial"/>
                <w:b/>
                <w:sz w:val="19"/>
                <w:szCs w:val="19"/>
                <w:lang w:val="en-AU" w:eastAsia="en-US"/>
              </w:rPr>
              <w:t>-</w:t>
            </w:r>
          </w:p>
        </w:tc>
        <w:tc>
          <w:tcPr>
            <w:tcW w:w="1169" w:type="dxa"/>
            <w:tcBorders>
              <w:top w:val="single" w:sz="4" w:space="0" w:color="auto"/>
              <w:left w:val="single" w:sz="4" w:space="0" w:color="auto"/>
              <w:bottom w:val="single" w:sz="4" w:space="0" w:color="auto"/>
              <w:right w:val="single" w:sz="4" w:space="0" w:color="auto"/>
            </w:tcBorders>
            <w:hideMark/>
          </w:tcPr>
          <w:p w14:paraId="27F75E5E" w14:textId="77777777" w:rsidR="00B45F28" w:rsidRDefault="00B45F28">
            <w:pPr>
              <w:spacing w:after="0"/>
              <w:jc w:val="right"/>
              <w:rPr>
                <w:rFonts w:cs="Arial"/>
                <w:b/>
                <w:sz w:val="19"/>
                <w:szCs w:val="19"/>
                <w:lang w:val="en-AU" w:eastAsia="en-US"/>
              </w:rPr>
            </w:pPr>
            <w:r>
              <w:rPr>
                <w:rFonts w:cs="Arial"/>
                <w:b/>
                <w:sz w:val="19"/>
                <w:szCs w:val="19"/>
                <w:lang w:val="en-AU" w:eastAsia="en-US"/>
              </w:rPr>
              <w:t>(14.000)</w:t>
            </w:r>
          </w:p>
        </w:tc>
        <w:tc>
          <w:tcPr>
            <w:tcW w:w="1169" w:type="dxa"/>
            <w:tcBorders>
              <w:top w:val="single" w:sz="4" w:space="0" w:color="auto"/>
              <w:left w:val="single" w:sz="4" w:space="0" w:color="auto"/>
              <w:bottom w:val="single" w:sz="4" w:space="0" w:color="auto"/>
              <w:right w:val="single" w:sz="4" w:space="0" w:color="auto"/>
            </w:tcBorders>
            <w:hideMark/>
          </w:tcPr>
          <w:p w14:paraId="57EBF518" w14:textId="77777777" w:rsidR="00B45F28" w:rsidRDefault="00B45F28">
            <w:pPr>
              <w:spacing w:after="0"/>
              <w:jc w:val="right"/>
              <w:rPr>
                <w:rFonts w:cs="Arial"/>
                <w:b/>
                <w:sz w:val="19"/>
                <w:szCs w:val="19"/>
                <w:lang w:val="en-AU" w:eastAsia="en-US"/>
              </w:rPr>
            </w:pPr>
            <w:r>
              <w:rPr>
                <w:rFonts w:cs="Arial"/>
                <w:b/>
                <w:sz w:val="19"/>
                <w:szCs w:val="19"/>
                <w:lang w:val="en-AU" w:eastAsia="en-US"/>
              </w:rPr>
              <w:t>-</w:t>
            </w:r>
          </w:p>
        </w:tc>
        <w:tc>
          <w:tcPr>
            <w:tcW w:w="1169" w:type="dxa"/>
            <w:tcBorders>
              <w:top w:val="single" w:sz="4" w:space="0" w:color="auto"/>
              <w:left w:val="single" w:sz="4" w:space="0" w:color="auto"/>
              <w:bottom w:val="single" w:sz="4" w:space="0" w:color="auto"/>
              <w:right w:val="single" w:sz="4" w:space="0" w:color="auto"/>
            </w:tcBorders>
            <w:hideMark/>
          </w:tcPr>
          <w:p w14:paraId="1226755C" w14:textId="77777777" w:rsidR="00B45F28" w:rsidRDefault="00B45F28">
            <w:pPr>
              <w:spacing w:after="0"/>
              <w:jc w:val="right"/>
              <w:rPr>
                <w:rFonts w:cs="Arial"/>
                <w:b/>
                <w:sz w:val="19"/>
                <w:szCs w:val="19"/>
                <w:lang w:val="en-AU" w:eastAsia="en-US"/>
              </w:rPr>
            </w:pPr>
            <w:r>
              <w:rPr>
                <w:rFonts w:cs="Arial"/>
                <w:b/>
                <w:sz w:val="19"/>
                <w:szCs w:val="19"/>
                <w:lang w:val="en-AU" w:eastAsia="en-US"/>
              </w:rPr>
              <w:t>-</w:t>
            </w:r>
          </w:p>
        </w:tc>
        <w:tc>
          <w:tcPr>
            <w:tcW w:w="1169" w:type="dxa"/>
            <w:tcBorders>
              <w:top w:val="single" w:sz="4" w:space="0" w:color="auto"/>
              <w:left w:val="single" w:sz="4" w:space="0" w:color="auto"/>
              <w:bottom w:val="single" w:sz="4" w:space="0" w:color="auto"/>
              <w:right w:val="single" w:sz="4" w:space="0" w:color="auto"/>
            </w:tcBorders>
            <w:hideMark/>
          </w:tcPr>
          <w:p w14:paraId="68710384" w14:textId="77777777" w:rsidR="00B45F28" w:rsidRDefault="00B45F28">
            <w:pPr>
              <w:spacing w:after="0"/>
              <w:jc w:val="right"/>
              <w:rPr>
                <w:rFonts w:cs="Arial"/>
                <w:b/>
                <w:sz w:val="19"/>
                <w:szCs w:val="19"/>
                <w:lang w:val="en-AU" w:eastAsia="en-US"/>
              </w:rPr>
            </w:pPr>
            <w:r>
              <w:rPr>
                <w:rFonts w:cs="Arial"/>
                <w:b/>
                <w:sz w:val="19"/>
                <w:szCs w:val="19"/>
                <w:lang w:val="en-AU" w:eastAsia="en-US"/>
              </w:rPr>
              <w:t>-</w:t>
            </w:r>
          </w:p>
        </w:tc>
      </w:tr>
    </w:tbl>
    <w:p w14:paraId="7D39BA42" w14:textId="77777777" w:rsidR="00B45F28" w:rsidRDefault="00B45F28" w:rsidP="00B45F28">
      <w:pPr>
        <w:jc w:val="left"/>
        <w:rPr>
          <w:rFonts w:cs="Arial"/>
          <w:sz w:val="16"/>
          <w:szCs w:val="16"/>
          <w:lang w:val="en-AU" w:eastAsia="en-US"/>
        </w:rPr>
      </w:pPr>
      <w:r>
        <w:rPr>
          <w:rFonts w:cs="Arial"/>
          <w:sz w:val="16"/>
          <w:szCs w:val="16"/>
          <w:lang w:val="en-AU" w:eastAsia="en-US"/>
        </w:rPr>
        <w:t>  </w:t>
      </w:r>
    </w:p>
    <w:p w14:paraId="2AAB604D" w14:textId="4550D327" w:rsidR="00B45F28" w:rsidRDefault="00B45F28" w:rsidP="00B45F28">
      <w:pPr>
        <w:pStyle w:val="NumberedParagraphCabStandard"/>
      </w:pPr>
      <w:r>
        <w:t>The $14 million forgone tax revenue would be charged as a pre-commitment against the Budget</w:t>
      </w:r>
      <w:r w:rsidR="00FC6210">
        <w:t xml:space="preserve"> 2020</w:t>
      </w:r>
      <w:r>
        <w:t xml:space="preserve"> operating allowance.</w:t>
      </w:r>
    </w:p>
    <w:p w14:paraId="0B9A3A39" w14:textId="77777777" w:rsidR="00B45F28" w:rsidRPr="00B45F28" w:rsidRDefault="00B45F28" w:rsidP="00B45F28">
      <w:pPr>
        <w:pStyle w:val="NumberedParagraphCabStandard"/>
        <w:numPr>
          <w:ilvl w:val="0"/>
          <w:numId w:val="0"/>
        </w:numPr>
        <w:rPr>
          <w:i/>
        </w:rPr>
      </w:pPr>
      <w:r w:rsidRPr="00B45F28">
        <w:rPr>
          <w:i/>
        </w:rPr>
        <w:t>Vote Customs/Vote Biosecurity</w:t>
      </w:r>
    </w:p>
    <w:p w14:paraId="36B864CA" w14:textId="509E222A" w:rsidR="00B45F28" w:rsidRDefault="00B45F28" w:rsidP="00B45F28">
      <w:pPr>
        <w:pStyle w:val="NumberedParagraphCabStandard"/>
      </w:pPr>
      <w:r>
        <w:t xml:space="preserve">As </w:t>
      </w:r>
      <w:r w:rsidR="00D86254">
        <w:t>noted in paragraph 22</w:t>
      </w:r>
      <w:r>
        <w:t xml:space="preserve">, Customs will not collect the Import Entry Transaction Fee and the Ministry for Primary Industries’ associated Biosecurity System Entry Levy on consignments </w:t>
      </w:r>
      <w:r w:rsidR="00793591">
        <w:t>valued at</w:t>
      </w:r>
      <w:r>
        <w:t xml:space="preserve"> $1,000</w:t>
      </w:r>
      <w:r w:rsidR="00793591">
        <w:t xml:space="preserve"> or less</w:t>
      </w:r>
      <w:r>
        <w:t xml:space="preserve">. </w:t>
      </w:r>
    </w:p>
    <w:p w14:paraId="40BBCC08" w14:textId="4169D5D8" w:rsidR="00D46B20" w:rsidRDefault="00B45F28" w:rsidP="001E67A1">
      <w:pPr>
        <w:pStyle w:val="NumberedParagraphCabStandard"/>
      </w:pPr>
      <w:r>
        <w:t xml:space="preserve">Both agencies have received contingency funding in Budget 2019 to replace revenue forgone from 1 October 2019. If </w:t>
      </w:r>
      <w:r w:rsidR="00591424">
        <w:t>Cabinet agrees to delay application</w:t>
      </w:r>
      <w:r>
        <w:t xml:space="preserve"> to 1 December 2019, then the funding required, in the 2019/20 fi</w:t>
      </w:r>
      <w:r w:rsidR="00D86254">
        <w:t xml:space="preserve">scal </w:t>
      </w:r>
      <w:r>
        <w:t>year, will reduce from $9.222 million to $6.886 million for Vote Customs and $8.991 million to $6.993 million for Vote Biosecurity.</w:t>
      </w:r>
    </w:p>
    <w:p w14:paraId="1C62A407" w14:textId="77777777" w:rsidR="00D86254" w:rsidRDefault="00D86254">
      <w:pPr>
        <w:jc w:val="left"/>
        <w:rPr>
          <w:b/>
        </w:rPr>
      </w:pPr>
      <w:r>
        <w:rPr>
          <w:b/>
        </w:rPr>
        <w:br w:type="page"/>
      </w:r>
    </w:p>
    <w:p w14:paraId="63C99F44" w14:textId="143DA7FF" w:rsidR="00D46B20" w:rsidRDefault="00D46B20" w:rsidP="00D46B20">
      <w:pPr>
        <w:pStyle w:val="NumberedParagraphCabStandard"/>
        <w:numPr>
          <w:ilvl w:val="0"/>
          <w:numId w:val="0"/>
        </w:numPr>
        <w:ind w:left="709" w:hanging="709"/>
        <w:rPr>
          <w:b/>
        </w:rPr>
      </w:pPr>
      <w:r w:rsidRPr="00EF7440">
        <w:rPr>
          <w:b/>
        </w:rPr>
        <w:lastRenderedPageBreak/>
        <w:t xml:space="preserve">Legislative </w:t>
      </w:r>
      <w:r w:rsidR="00E669E5">
        <w:rPr>
          <w:b/>
        </w:rPr>
        <w:t>I</w:t>
      </w:r>
      <w:r w:rsidRPr="00EF7440">
        <w:rPr>
          <w:b/>
        </w:rPr>
        <w:t>mplications</w:t>
      </w:r>
    </w:p>
    <w:p w14:paraId="48EFEBAA" w14:textId="51357644" w:rsidR="00D46B20" w:rsidRDefault="00EA2E58" w:rsidP="00D46B20">
      <w:pPr>
        <w:pStyle w:val="NumberedParagraphCabStandard"/>
        <w:numPr>
          <w:ilvl w:val="0"/>
          <w:numId w:val="1"/>
        </w:numPr>
        <w:tabs>
          <w:tab w:val="num" w:pos="1418"/>
        </w:tabs>
      </w:pPr>
      <w:r>
        <w:t xml:space="preserve">The </w:t>
      </w:r>
      <w:r w:rsidR="00D46B20" w:rsidRPr="00DD39AC">
        <w:t xml:space="preserve">amended application date </w:t>
      </w:r>
      <w:r>
        <w:t>is</w:t>
      </w:r>
      <w:r w:rsidR="00D46B20" w:rsidRPr="00DD39AC">
        <w:t xml:space="preserve"> included in the Bill</w:t>
      </w:r>
      <w:r w:rsidR="00D46B20">
        <w:t xml:space="preserve"> as </w:t>
      </w:r>
      <w:r>
        <w:t>reported back to the House by the Finance and Expenditure Committee</w:t>
      </w:r>
      <w:r w:rsidR="00D46B20">
        <w:t>.</w:t>
      </w:r>
      <w:r w:rsidR="00D46B20" w:rsidRPr="003B1135">
        <w:t xml:space="preserve"> </w:t>
      </w:r>
      <w:r w:rsidR="00591424">
        <w:t>Reversing the change in</w:t>
      </w:r>
      <w:r w:rsidR="009A23F1">
        <w:t xml:space="preserve"> the</w:t>
      </w:r>
      <w:r w:rsidR="00591424">
        <w:t xml:space="preserve"> application date </w:t>
      </w:r>
      <w:r w:rsidR="009A23F1">
        <w:t>proposed</w:t>
      </w:r>
      <w:r w:rsidR="00591424">
        <w:t xml:space="preserve"> by the FEC </w:t>
      </w:r>
      <w:r w:rsidR="00591424">
        <w:rPr>
          <w:rFonts w:cs="Arial"/>
          <w:lang w:val="en-GB"/>
        </w:rPr>
        <w:t>would require Cabinet and Parliamentary support for a Supplementary Order Paper (SOP) at the Committee of the whole House stage.</w:t>
      </w:r>
      <w:r w:rsidR="000A7E53">
        <w:rPr>
          <w:rFonts w:cs="Arial"/>
          <w:lang w:val="en-GB"/>
        </w:rPr>
        <w:t xml:space="preserve"> Given th</w:t>
      </w:r>
      <w:r w:rsidR="00906A04">
        <w:rPr>
          <w:rFonts w:cs="Arial"/>
          <w:lang w:val="en-GB"/>
        </w:rPr>
        <w:t>at an</w:t>
      </w:r>
      <w:r w:rsidR="000A7E53">
        <w:rPr>
          <w:rFonts w:cs="Arial"/>
          <w:lang w:val="en-GB"/>
        </w:rPr>
        <w:t xml:space="preserve"> SOP</w:t>
      </w:r>
      <w:r w:rsidR="00906A04">
        <w:rPr>
          <w:rFonts w:cs="Arial"/>
          <w:lang w:val="en-GB"/>
        </w:rPr>
        <w:t xml:space="preserve"> to the Bill</w:t>
      </w:r>
      <w:r w:rsidR="000A7E53">
        <w:rPr>
          <w:rFonts w:cs="Arial"/>
          <w:lang w:val="en-GB"/>
        </w:rPr>
        <w:t xml:space="preserve"> is planned to be introduced in the week beginning 18 June, this </w:t>
      </w:r>
      <w:r w:rsidR="003B53EF">
        <w:rPr>
          <w:rFonts w:cs="Arial"/>
          <w:lang w:val="en-GB"/>
        </w:rPr>
        <w:t>c</w:t>
      </w:r>
      <w:r w:rsidR="000A7E53">
        <w:rPr>
          <w:rFonts w:cs="Arial"/>
          <w:lang w:val="en-GB"/>
        </w:rPr>
        <w:t>ould effectively delay the enactment of the Bill, exacerbating the concerns raised</w:t>
      </w:r>
      <w:r w:rsidR="009A23F1">
        <w:rPr>
          <w:rFonts w:cs="Arial"/>
          <w:lang w:val="en-GB"/>
        </w:rPr>
        <w:t xml:space="preserve"> about the amount of lead-in time between enactment and application</w:t>
      </w:r>
      <w:r w:rsidR="000A7E53">
        <w:rPr>
          <w:rFonts w:cs="Arial"/>
          <w:lang w:val="en-GB"/>
        </w:rPr>
        <w:t>.</w:t>
      </w:r>
    </w:p>
    <w:p w14:paraId="0A15515A" w14:textId="77777777" w:rsidR="00E669E5" w:rsidRPr="00B877BE" w:rsidRDefault="00E669E5" w:rsidP="00E669E5">
      <w:pPr>
        <w:pStyle w:val="Heading1"/>
      </w:pPr>
      <w:r w:rsidRPr="00B877BE">
        <w:t>Impact Analysis</w:t>
      </w:r>
    </w:p>
    <w:p w14:paraId="6EDEAC3B" w14:textId="77777777" w:rsidR="00E669E5" w:rsidRPr="00B877BE" w:rsidRDefault="00E669E5" w:rsidP="00E669E5">
      <w:pPr>
        <w:pStyle w:val="NumberedParagraphCabStandard"/>
      </w:pPr>
      <w:proofErr w:type="gramStart"/>
      <w:r w:rsidRPr="00B877BE">
        <w:t>A</w:t>
      </w:r>
      <w:proofErr w:type="gramEnd"/>
      <w:r w:rsidRPr="00B877BE">
        <w:t xml:space="preserve"> RIA </w:t>
      </w:r>
      <w:r w:rsidRPr="00B877BE">
        <w:rPr>
          <w:i/>
        </w:rPr>
        <w:t>GST on low-value imported goods</w:t>
      </w:r>
      <w:r w:rsidRPr="00B877BE">
        <w:t xml:space="preserve"> was prepared by Inland Revenue and Customs in September 2018. The information in this RIA has been updated to reflect the proposal in this Cabinet paper to delay the application date of the proposals by two months. The updated RIA is attached.</w:t>
      </w:r>
    </w:p>
    <w:p w14:paraId="6F8238A9" w14:textId="77777777" w:rsidR="00E669E5" w:rsidRPr="00B877BE" w:rsidRDefault="00E669E5" w:rsidP="00E669E5">
      <w:pPr>
        <w:pStyle w:val="NumberedParagraphCabStandard"/>
        <w:rPr>
          <w:i/>
          <w:color w:val="FF0000"/>
        </w:rPr>
      </w:pPr>
      <w:r w:rsidRPr="00B877BE">
        <w:t>The quality assurance assessment remains the same as the original RIA. When the original RIA was reviewed by a panel from Treasury, Inland Revenue and Customs, the reviewers considered that the Regulatory Impact Assessment partially me</w:t>
      </w:r>
      <w:r>
        <w:t>t</w:t>
      </w:r>
      <w:r w:rsidRPr="00B877BE">
        <w:t xml:space="preserve"> the quality criteria as it could probably</w:t>
      </w:r>
      <w:r>
        <w:t xml:space="preserve"> have</w:t>
      </w:r>
      <w:r w:rsidRPr="00B877BE">
        <w:t xml:space="preserve"> be</w:t>
      </w:r>
      <w:r>
        <w:t>en</w:t>
      </w:r>
      <w:r w:rsidRPr="00B877BE">
        <w:t xml:space="preserve"> clearer and more concise.</w:t>
      </w:r>
    </w:p>
    <w:p w14:paraId="6123D60E" w14:textId="3B7A6CE3" w:rsidR="00D46B20" w:rsidRPr="00250108" w:rsidRDefault="00D46B20" w:rsidP="00D46B20">
      <w:pPr>
        <w:pStyle w:val="NumberedParagraphCabStandard"/>
        <w:numPr>
          <w:ilvl w:val="0"/>
          <w:numId w:val="0"/>
        </w:numPr>
        <w:tabs>
          <w:tab w:val="num" w:pos="1418"/>
        </w:tabs>
        <w:rPr>
          <w:b/>
        </w:rPr>
      </w:pPr>
      <w:r>
        <w:rPr>
          <w:b/>
        </w:rPr>
        <w:t xml:space="preserve">Human </w:t>
      </w:r>
      <w:r w:rsidR="00E669E5">
        <w:rPr>
          <w:b/>
        </w:rPr>
        <w:t>R</w:t>
      </w:r>
      <w:r>
        <w:rPr>
          <w:b/>
        </w:rPr>
        <w:t xml:space="preserve">ights, Gender and Disability </w:t>
      </w:r>
      <w:r w:rsidR="00E669E5">
        <w:rPr>
          <w:b/>
        </w:rPr>
        <w:t>I</w:t>
      </w:r>
      <w:r>
        <w:rPr>
          <w:b/>
        </w:rPr>
        <w:t>mplications</w:t>
      </w:r>
    </w:p>
    <w:p w14:paraId="36D7C8D4" w14:textId="77777777" w:rsidR="00D46B20" w:rsidRDefault="00D46B20" w:rsidP="00D46B20">
      <w:pPr>
        <w:pStyle w:val="NumberedParagraphCabStandard"/>
        <w:numPr>
          <w:ilvl w:val="0"/>
          <w:numId w:val="1"/>
        </w:numPr>
      </w:pPr>
      <w:r w:rsidRPr="004A130B">
        <w:t>The</w:t>
      </w:r>
      <w:r>
        <w:t xml:space="preserve"> proposal</w:t>
      </w:r>
      <w:r w:rsidRPr="004A130B">
        <w:t xml:space="preserve"> </w:t>
      </w:r>
      <w:r>
        <w:t xml:space="preserve">is consistent with the rights and freedoms contained in the </w:t>
      </w:r>
      <w:r w:rsidRPr="004A130B">
        <w:t>New Zealand Bill of Rights Act 1990</w:t>
      </w:r>
      <w:r>
        <w:t xml:space="preserve"> or the </w:t>
      </w:r>
      <w:r w:rsidRPr="004A130B">
        <w:t>Human Rights Act 1993</w:t>
      </w:r>
      <w:r>
        <w:t>.</w:t>
      </w:r>
    </w:p>
    <w:p w14:paraId="1F9CF758" w14:textId="39D02219" w:rsidR="00D46B20" w:rsidRPr="00D46B20" w:rsidRDefault="00D46B20" w:rsidP="00D46B20">
      <w:pPr>
        <w:pStyle w:val="NumberedParagraphCabStandard"/>
        <w:numPr>
          <w:ilvl w:val="0"/>
          <w:numId w:val="1"/>
        </w:numPr>
      </w:pPr>
      <w:r>
        <w:t>The proposal does not have gender or disability implications.</w:t>
      </w:r>
    </w:p>
    <w:p w14:paraId="3A43A475" w14:textId="77777777" w:rsidR="00364B94" w:rsidRDefault="00E430E1" w:rsidP="00E430E1">
      <w:pPr>
        <w:pStyle w:val="Heading1"/>
      </w:pPr>
      <w:bookmarkStart w:id="5" w:name="_Hlk8831273"/>
      <w:r w:rsidRPr="00C65945">
        <w:t>P</w:t>
      </w:r>
      <w:r w:rsidR="00364B94">
        <w:t>ublicity</w:t>
      </w:r>
    </w:p>
    <w:p w14:paraId="50090242" w14:textId="4518AA1A" w:rsidR="00364B94" w:rsidRPr="000400B3" w:rsidRDefault="00FC6210" w:rsidP="00364B94">
      <w:pPr>
        <w:pStyle w:val="NumberedParagraphCabStandard"/>
      </w:pPr>
      <w:r>
        <w:rPr>
          <w:rFonts w:cs="Arial"/>
        </w:rPr>
        <w:t>The Minister of Revenue</w:t>
      </w:r>
      <w:r w:rsidRPr="00D04B13">
        <w:rPr>
          <w:rFonts w:cs="Arial"/>
        </w:rPr>
        <w:t xml:space="preserve"> </w:t>
      </w:r>
      <w:r>
        <w:rPr>
          <w:rFonts w:cs="Arial"/>
        </w:rPr>
        <w:t xml:space="preserve">has </w:t>
      </w:r>
      <w:r w:rsidRPr="00D04B13">
        <w:rPr>
          <w:rFonts w:cs="Arial"/>
        </w:rPr>
        <w:t>issue</w:t>
      </w:r>
      <w:r>
        <w:rPr>
          <w:rFonts w:cs="Arial"/>
        </w:rPr>
        <w:t>d</w:t>
      </w:r>
      <w:r w:rsidRPr="00D04B13">
        <w:rPr>
          <w:rFonts w:cs="Arial"/>
        </w:rPr>
        <w:t xml:space="preserve"> a press release announcing </w:t>
      </w:r>
      <w:r>
        <w:rPr>
          <w:rFonts w:cs="Arial"/>
        </w:rPr>
        <w:t xml:space="preserve">that an </w:t>
      </w:r>
      <w:r w:rsidRPr="00D04B13">
        <w:rPr>
          <w:rFonts w:cs="Arial"/>
        </w:rPr>
        <w:t>extension</w:t>
      </w:r>
      <w:r>
        <w:rPr>
          <w:rFonts w:cs="Arial"/>
        </w:rPr>
        <w:t xml:space="preserve"> has been included in the reported back version of the Bill, in response to submissions to the FEC</w:t>
      </w:r>
      <w:r w:rsidRPr="00D04B13">
        <w:rPr>
          <w:rFonts w:cs="Arial"/>
        </w:rPr>
        <w:t>.</w:t>
      </w:r>
      <w:r w:rsidR="00EA2E58" w:rsidRPr="000400B3">
        <w:t xml:space="preserve"> </w:t>
      </w:r>
      <w:r w:rsidR="00525B36" w:rsidRPr="000400B3">
        <w:t>Our</w:t>
      </w:r>
      <w:r w:rsidR="00364B94" w:rsidRPr="000400B3">
        <w:t xml:space="preserve"> officials will also contact </w:t>
      </w:r>
      <w:r w:rsidR="000A7E53" w:rsidRPr="000400B3">
        <w:t xml:space="preserve">affected </w:t>
      </w:r>
      <w:r w:rsidR="00364B94" w:rsidRPr="000400B3">
        <w:t>submitters to inform them of the change.</w:t>
      </w:r>
    </w:p>
    <w:bookmarkEnd w:id="5"/>
    <w:p w14:paraId="04A86B15" w14:textId="77777777" w:rsidR="00E430E1" w:rsidRPr="00C65945" w:rsidRDefault="00364B94" w:rsidP="00E430E1">
      <w:pPr>
        <w:pStyle w:val="Heading1"/>
      </w:pPr>
      <w:r>
        <w:t>P</w:t>
      </w:r>
      <w:r w:rsidR="00E430E1">
        <w:t>roactive Release</w:t>
      </w:r>
    </w:p>
    <w:p w14:paraId="4C20B495" w14:textId="5DEE759E" w:rsidR="00E430E1" w:rsidRDefault="00523A4B" w:rsidP="00E430E1">
      <w:pPr>
        <w:pStyle w:val="NumberedParagraphCabStandard"/>
      </w:pPr>
      <w:r>
        <w:t>We</w:t>
      </w:r>
      <w:r w:rsidR="00E430E1">
        <w:t xml:space="preserve"> propose to proactively release this Cabinet paper, and associated </w:t>
      </w:r>
      <w:r w:rsidR="00FC6210">
        <w:t xml:space="preserve">RIA and </w:t>
      </w:r>
      <w:r w:rsidR="00E430E1">
        <w:t>minutes in whole within 30 working days of Cabinet making final decisions</w:t>
      </w:r>
      <w:r w:rsidR="007549F6">
        <w:t>, subject to redactions under the Official Information Act 1982.</w:t>
      </w:r>
    </w:p>
    <w:p w14:paraId="1DBC9B90" w14:textId="77777777" w:rsidR="00E430E1" w:rsidRDefault="00E430E1" w:rsidP="00E430E1">
      <w:pPr>
        <w:pStyle w:val="Heading1"/>
      </w:pPr>
      <w:r w:rsidRPr="00C65945">
        <w:t>Recommendations</w:t>
      </w:r>
    </w:p>
    <w:p w14:paraId="67A89836" w14:textId="741934C8" w:rsidR="00E430E1" w:rsidRDefault="00E430E1" w:rsidP="00E430E1">
      <w:r>
        <w:t>The Minister</w:t>
      </w:r>
      <w:r w:rsidR="00F66838">
        <w:t>s of Finance,</w:t>
      </w:r>
      <w:r>
        <w:t xml:space="preserve"> Revenue</w:t>
      </w:r>
      <w:r w:rsidR="00F66838">
        <w:t xml:space="preserve"> and Customs</w:t>
      </w:r>
      <w:r>
        <w:t xml:space="preserve"> recommend that the Cabinet </w:t>
      </w:r>
      <w:sdt>
        <w:sdtPr>
          <w:alias w:val="Cabinet Committee"/>
          <w:tag w:val="Cabinet Committee"/>
          <w:id w:val="372969618"/>
          <w:placeholder>
            <w:docPart w:val="6C477FFFC8E34634A3034CF3650D9D1D"/>
          </w:placeholder>
          <w:dropDownList>
            <w:listItem w:displayText="[Choose a Committee]" w:value="[Choose a Committee]"/>
            <w:listItem w:displayText="Appointments and Honours" w:value="Appointments and Honours"/>
            <w:listItem w:displayText="Business" w:value="Business"/>
            <w:listItem w:displayText="Priorities" w:value="Priorities"/>
            <w:listItem w:displayText="Crown/Māori Relations" w:value="Crown/Māori Relations"/>
            <w:listItem w:displayText="Economic Development" w:value="Economic Development"/>
            <w:listItem w:displayText="Environment, Energy and Climate" w:value="Environment, Energy and Climate"/>
            <w:listItem w:displayText="External Relations and Security" w:value="External Relations and Security"/>
            <w:listItem w:displayText="Government Administration and Expenditure Review" w:value="Government Administration and Expenditure Review"/>
            <w:listItem w:displayText="Legislation" w:value="Legislation"/>
            <w:listItem w:displayText="Social Wellbeing" w:value="Social Wellbeing"/>
          </w:dropDownList>
        </w:sdtPr>
        <w:sdtEndPr/>
        <w:sdtContent>
          <w:r w:rsidR="00506594">
            <w:t>Economic Development</w:t>
          </w:r>
        </w:sdtContent>
      </w:sdt>
      <w:r>
        <w:t xml:space="preserve"> Committee:</w:t>
      </w:r>
    </w:p>
    <w:p w14:paraId="49E43299" w14:textId="4B3655DF" w:rsidR="00524497" w:rsidRPr="00591424" w:rsidRDefault="00524497" w:rsidP="00524497">
      <w:pPr>
        <w:pStyle w:val="NumberedParagraphCabStandard"/>
        <w:numPr>
          <w:ilvl w:val="0"/>
          <w:numId w:val="9"/>
        </w:numPr>
        <w:rPr>
          <w:rStyle w:val="Strong"/>
          <w:b w:val="0"/>
          <w:bCs w:val="0"/>
        </w:rPr>
      </w:pPr>
      <w:r>
        <w:rPr>
          <w:b/>
        </w:rPr>
        <w:t>N</w:t>
      </w:r>
      <w:r w:rsidRPr="00F0790B">
        <w:rPr>
          <w:b/>
        </w:rPr>
        <w:t>ote</w:t>
      </w:r>
      <w:r>
        <w:rPr>
          <w:b/>
        </w:rPr>
        <w:t xml:space="preserve"> </w:t>
      </w:r>
      <w:r>
        <w:t xml:space="preserve">that </w:t>
      </w:r>
      <w:r>
        <w:rPr>
          <w:rStyle w:val="Strong"/>
          <w:b w:val="0"/>
        </w:rPr>
        <w:t>several submitters</w:t>
      </w:r>
      <w:r w:rsidRPr="000E1889">
        <w:rPr>
          <w:rStyle w:val="Strong"/>
          <w:b w:val="0"/>
        </w:rPr>
        <w:t xml:space="preserve"> on the Taxation</w:t>
      </w:r>
      <w:r w:rsidRPr="000E1889">
        <w:rPr>
          <w:rStyle w:val="Strong"/>
        </w:rPr>
        <w:t xml:space="preserve"> </w:t>
      </w:r>
      <w:r w:rsidRPr="000E1889">
        <w:t xml:space="preserve">(Annual Rates for 2019-20, GST Offshore Supplier Registration, and Remedial Matters) </w:t>
      </w:r>
      <w:r w:rsidRPr="000E1889">
        <w:rPr>
          <w:rStyle w:val="Strong"/>
          <w:b w:val="0"/>
        </w:rPr>
        <w:t>Bill</w:t>
      </w:r>
      <w:r w:rsidR="007522FA">
        <w:rPr>
          <w:rStyle w:val="Strong"/>
          <w:b w:val="0"/>
        </w:rPr>
        <w:t>, New Zealand Post and some in the fast freight industry</w:t>
      </w:r>
      <w:r w:rsidRPr="000E1889">
        <w:rPr>
          <w:rStyle w:val="Strong"/>
          <w:b w:val="0"/>
        </w:rPr>
        <w:t xml:space="preserve"> have expressed concern</w:t>
      </w:r>
      <w:r w:rsidRPr="000E1889">
        <w:rPr>
          <w:rStyle w:val="Strong"/>
        </w:rPr>
        <w:t xml:space="preserve"> </w:t>
      </w:r>
      <w:r w:rsidRPr="000E1889">
        <w:t>that it may be difficult to implement the necessary system changes</w:t>
      </w:r>
      <w:r w:rsidR="00385F83">
        <w:t xml:space="preserve"> to comply with the GST on low-value imported goods proposal</w:t>
      </w:r>
      <w:r w:rsidRPr="000E1889">
        <w:t xml:space="preserve"> </w:t>
      </w:r>
      <w:r w:rsidR="007522FA">
        <w:t>by</w:t>
      </w:r>
      <w:r w:rsidRPr="000E1889">
        <w:t xml:space="preserve"> 1 October 2019</w:t>
      </w:r>
      <w:r w:rsidRPr="00AB1BF0">
        <w:rPr>
          <w:rStyle w:val="Strong"/>
          <w:b w:val="0"/>
        </w:rPr>
        <w:t>.</w:t>
      </w:r>
    </w:p>
    <w:p w14:paraId="5937624F" w14:textId="6E299C68" w:rsidR="00591424" w:rsidRDefault="00591424" w:rsidP="00524497">
      <w:pPr>
        <w:pStyle w:val="NumberedParagraphCabStandard"/>
        <w:numPr>
          <w:ilvl w:val="0"/>
          <w:numId w:val="9"/>
        </w:numPr>
      </w:pPr>
      <w:r>
        <w:rPr>
          <w:b/>
        </w:rPr>
        <w:lastRenderedPageBreak/>
        <w:t>Note</w:t>
      </w:r>
      <w:r>
        <w:t xml:space="preserve"> that in response to submissions, the Bill as reported back by the Finance and Expenditure Committee </w:t>
      </w:r>
      <w:r w:rsidR="003D7EB4">
        <w:t>delays the</w:t>
      </w:r>
      <w:r>
        <w:t xml:space="preserve"> application date for the GST on low-value imported goods proposal </w:t>
      </w:r>
      <w:r w:rsidR="003D7EB4">
        <w:t>by two months to</w:t>
      </w:r>
      <w:r>
        <w:t xml:space="preserve"> 1 December 2019.</w:t>
      </w:r>
    </w:p>
    <w:p w14:paraId="116DF167" w14:textId="6BF8BF03" w:rsidR="00524497" w:rsidRDefault="00524497" w:rsidP="00524497">
      <w:pPr>
        <w:pStyle w:val="NumberedParagraphCabStandard"/>
        <w:numPr>
          <w:ilvl w:val="0"/>
          <w:numId w:val="9"/>
        </w:numPr>
      </w:pPr>
      <w:r>
        <w:rPr>
          <w:b/>
        </w:rPr>
        <w:t>A</w:t>
      </w:r>
      <w:r w:rsidRPr="009C7652">
        <w:rPr>
          <w:b/>
        </w:rPr>
        <w:t>gree</w:t>
      </w:r>
      <w:r>
        <w:t xml:space="preserve"> to </w:t>
      </w:r>
      <w:r w:rsidR="00591424">
        <w:t xml:space="preserve">the proposed </w:t>
      </w:r>
      <w:r w:rsidR="003D7EB4">
        <w:t>1 December 2019</w:t>
      </w:r>
      <w:r>
        <w:t xml:space="preserve"> application date of the</w:t>
      </w:r>
      <w:r w:rsidR="00164E33">
        <w:t xml:space="preserve"> GST on low-value imported goods </w:t>
      </w:r>
      <w:r w:rsidR="00591424">
        <w:t>changes</w:t>
      </w:r>
      <w:r w:rsidRPr="002D341B">
        <w:t>.</w:t>
      </w:r>
    </w:p>
    <w:p w14:paraId="0D8EEB13" w14:textId="57B20C19" w:rsidR="009E7A1B" w:rsidRPr="004B3962" w:rsidRDefault="009E7A1B" w:rsidP="004B3962">
      <w:pPr>
        <w:pStyle w:val="NumberedParagraphCabStandard"/>
        <w:numPr>
          <w:ilvl w:val="0"/>
          <w:numId w:val="9"/>
        </w:numPr>
        <w:tabs>
          <w:tab w:val="num" w:pos="1418"/>
        </w:tabs>
        <w:spacing w:before="120" w:after="120" w:line="260" w:lineRule="exact"/>
        <w:jc w:val="left"/>
        <w:rPr>
          <w:rFonts w:cs="Arial"/>
          <w:szCs w:val="24"/>
          <w:lang w:eastAsia="en-US"/>
        </w:rPr>
      </w:pPr>
      <w:r>
        <w:rPr>
          <w:rFonts w:cs="Arial"/>
          <w:b/>
          <w:bCs/>
          <w:szCs w:val="24"/>
          <w:lang w:eastAsia="en-US"/>
        </w:rPr>
        <w:t xml:space="preserve">Note </w:t>
      </w:r>
      <w:r>
        <w:rPr>
          <w:rFonts w:cs="Arial"/>
          <w:szCs w:val="24"/>
          <w:lang w:eastAsia="en-US"/>
        </w:rPr>
        <w:t xml:space="preserve">the following changes as a result of the decision in recommendation </w:t>
      </w:r>
      <w:r w:rsidR="00591424">
        <w:rPr>
          <w:rFonts w:cs="Arial"/>
          <w:szCs w:val="24"/>
          <w:lang w:eastAsia="en-US"/>
        </w:rPr>
        <w:t>3</w:t>
      </w:r>
      <w:r>
        <w:rPr>
          <w:rFonts w:cs="Arial"/>
          <w:szCs w:val="24"/>
          <w:lang w:eastAsia="en-US"/>
        </w:rPr>
        <w:t xml:space="preserve"> above, with a corresponding impact on the operating balance:</w:t>
      </w:r>
    </w:p>
    <w:tbl>
      <w:tblPr>
        <w:tblW w:w="8789"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169"/>
        <w:gridCol w:w="1169"/>
        <w:gridCol w:w="1169"/>
        <w:gridCol w:w="1169"/>
        <w:gridCol w:w="1169"/>
      </w:tblGrid>
      <w:tr w:rsidR="009E7A1B" w14:paraId="27987453" w14:textId="77777777" w:rsidTr="009E7A1B">
        <w:tc>
          <w:tcPr>
            <w:tcW w:w="2944" w:type="dxa"/>
            <w:tcBorders>
              <w:top w:val="nil"/>
              <w:left w:val="nil"/>
              <w:bottom w:val="single" w:sz="4" w:space="0" w:color="auto"/>
              <w:right w:val="single" w:sz="4" w:space="0" w:color="auto"/>
            </w:tcBorders>
          </w:tcPr>
          <w:p w14:paraId="3EDCFC50" w14:textId="77777777" w:rsidR="009E7A1B" w:rsidRDefault="009E7A1B">
            <w:pPr>
              <w:spacing w:after="0"/>
              <w:rPr>
                <w:rFonts w:cs="Arial"/>
                <w:sz w:val="19"/>
                <w:szCs w:val="19"/>
                <w:lang w:val="en-AU" w:eastAsia="en-US"/>
              </w:rPr>
            </w:pPr>
          </w:p>
        </w:tc>
        <w:tc>
          <w:tcPr>
            <w:tcW w:w="5845" w:type="dxa"/>
            <w:gridSpan w:val="5"/>
            <w:tcBorders>
              <w:top w:val="single" w:sz="4" w:space="0" w:color="auto"/>
              <w:left w:val="single" w:sz="4" w:space="0" w:color="auto"/>
              <w:bottom w:val="single" w:sz="4" w:space="0" w:color="auto"/>
              <w:right w:val="single" w:sz="4" w:space="0" w:color="auto"/>
            </w:tcBorders>
            <w:hideMark/>
          </w:tcPr>
          <w:p w14:paraId="3EC85CAF" w14:textId="77777777" w:rsidR="009E7A1B" w:rsidRDefault="009E7A1B">
            <w:pPr>
              <w:spacing w:after="0"/>
              <w:jc w:val="center"/>
              <w:rPr>
                <w:rFonts w:cs="Arial"/>
                <w:sz w:val="19"/>
                <w:szCs w:val="19"/>
                <w:lang w:val="en-AU" w:eastAsia="en-US"/>
              </w:rPr>
            </w:pPr>
            <w:r>
              <w:rPr>
                <w:rFonts w:cs="Arial"/>
                <w:sz w:val="19"/>
                <w:szCs w:val="19"/>
                <w:lang w:val="en-AU" w:eastAsia="en-US"/>
              </w:rPr>
              <w:t>$m – increase/(decrease)</w:t>
            </w:r>
          </w:p>
        </w:tc>
      </w:tr>
      <w:tr w:rsidR="009E7A1B" w14:paraId="0C997C03" w14:textId="77777777" w:rsidTr="009E7A1B">
        <w:tc>
          <w:tcPr>
            <w:tcW w:w="2944" w:type="dxa"/>
            <w:tcBorders>
              <w:top w:val="single" w:sz="4" w:space="0" w:color="auto"/>
              <w:left w:val="single" w:sz="4" w:space="0" w:color="auto"/>
              <w:bottom w:val="single" w:sz="4" w:space="0" w:color="auto"/>
              <w:right w:val="single" w:sz="4" w:space="0" w:color="auto"/>
            </w:tcBorders>
            <w:hideMark/>
          </w:tcPr>
          <w:p w14:paraId="1EB36A52" w14:textId="77777777" w:rsidR="009E7A1B" w:rsidRDefault="009E7A1B">
            <w:pPr>
              <w:spacing w:after="0"/>
              <w:rPr>
                <w:rFonts w:cs="Arial"/>
                <w:b/>
                <w:bCs/>
                <w:iCs/>
                <w:sz w:val="19"/>
                <w:szCs w:val="19"/>
                <w:lang w:val="en-AU" w:eastAsia="en-US"/>
              </w:rPr>
            </w:pPr>
            <w:r>
              <w:rPr>
                <w:rFonts w:cs="Arial"/>
                <w:b/>
                <w:bCs/>
                <w:iCs/>
                <w:sz w:val="19"/>
                <w:szCs w:val="19"/>
                <w:lang w:val="en-AU" w:eastAsia="en-US"/>
              </w:rPr>
              <w:t>Vote Revenue</w:t>
            </w:r>
          </w:p>
          <w:p w14:paraId="6402A148" w14:textId="77777777" w:rsidR="009E7A1B" w:rsidRDefault="009E7A1B">
            <w:pPr>
              <w:spacing w:after="0"/>
              <w:rPr>
                <w:rFonts w:cs="Arial"/>
                <w:b/>
                <w:bCs/>
                <w:i/>
                <w:iCs/>
                <w:sz w:val="19"/>
                <w:szCs w:val="19"/>
                <w:lang w:val="en-AU" w:eastAsia="en-US"/>
              </w:rPr>
            </w:pPr>
            <w:r>
              <w:rPr>
                <w:rFonts w:cs="Arial"/>
                <w:b/>
                <w:bCs/>
                <w:iCs/>
                <w:sz w:val="19"/>
                <w:szCs w:val="19"/>
                <w:lang w:val="en-AU" w:eastAsia="en-US"/>
              </w:rPr>
              <w:t>Minister of Revenue</w:t>
            </w:r>
          </w:p>
        </w:tc>
        <w:tc>
          <w:tcPr>
            <w:tcW w:w="1169" w:type="dxa"/>
            <w:tcBorders>
              <w:top w:val="single" w:sz="4" w:space="0" w:color="auto"/>
              <w:left w:val="single" w:sz="4" w:space="0" w:color="auto"/>
              <w:bottom w:val="single" w:sz="4" w:space="0" w:color="auto"/>
              <w:right w:val="single" w:sz="4" w:space="0" w:color="auto"/>
            </w:tcBorders>
            <w:hideMark/>
          </w:tcPr>
          <w:p w14:paraId="53F22AA9" w14:textId="77777777" w:rsidR="009E7A1B" w:rsidRDefault="009E7A1B">
            <w:pPr>
              <w:spacing w:after="0"/>
              <w:jc w:val="right"/>
              <w:rPr>
                <w:rFonts w:cs="Arial"/>
                <w:b/>
                <w:bCs/>
                <w:sz w:val="19"/>
                <w:szCs w:val="19"/>
                <w:lang w:val="en-AU" w:eastAsia="en-US"/>
              </w:rPr>
            </w:pPr>
            <w:r>
              <w:rPr>
                <w:rFonts w:cs="Arial"/>
                <w:b/>
                <w:bCs/>
                <w:sz w:val="19"/>
                <w:szCs w:val="19"/>
                <w:lang w:eastAsia="en-US"/>
              </w:rPr>
              <w:t>2018/19</w:t>
            </w:r>
          </w:p>
        </w:tc>
        <w:tc>
          <w:tcPr>
            <w:tcW w:w="1169" w:type="dxa"/>
            <w:tcBorders>
              <w:top w:val="single" w:sz="4" w:space="0" w:color="auto"/>
              <w:left w:val="single" w:sz="4" w:space="0" w:color="auto"/>
              <w:bottom w:val="single" w:sz="4" w:space="0" w:color="auto"/>
              <w:right w:val="single" w:sz="4" w:space="0" w:color="auto"/>
            </w:tcBorders>
            <w:hideMark/>
          </w:tcPr>
          <w:p w14:paraId="0C5B77A1" w14:textId="77777777" w:rsidR="009E7A1B" w:rsidRDefault="009E7A1B">
            <w:pPr>
              <w:spacing w:after="0"/>
              <w:jc w:val="right"/>
              <w:rPr>
                <w:rFonts w:cs="Arial"/>
                <w:b/>
                <w:bCs/>
                <w:sz w:val="19"/>
                <w:szCs w:val="19"/>
                <w:lang w:val="en-AU" w:eastAsia="en-US"/>
              </w:rPr>
            </w:pPr>
            <w:r>
              <w:rPr>
                <w:rFonts w:cs="Arial"/>
                <w:b/>
                <w:bCs/>
                <w:sz w:val="19"/>
                <w:szCs w:val="19"/>
                <w:lang w:eastAsia="en-US"/>
              </w:rPr>
              <w:t>2019/20</w:t>
            </w:r>
          </w:p>
        </w:tc>
        <w:tc>
          <w:tcPr>
            <w:tcW w:w="1169" w:type="dxa"/>
            <w:tcBorders>
              <w:top w:val="single" w:sz="4" w:space="0" w:color="auto"/>
              <w:left w:val="single" w:sz="4" w:space="0" w:color="auto"/>
              <w:bottom w:val="single" w:sz="4" w:space="0" w:color="auto"/>
              <w:right w:val="single" w:sz="4" w:space="0" w:color="auto"/>
            </w:tcBorders>
            <w:hideMark/>
          </w:tcPr>
          <w:p w14:paraId="2C0913FC" w14:textId="77777777" w:rsidR="009E7A1B" w:rsidRDefault="009E7A1B">
            <w:pPr>
              <w:spacing w:after="0"/>
              <w:jc w:val="right"/>
              <w:rPr>
                <w:rFonts w:cs="Arial"/>
                <w:b/>
                <w:bCs/>
                <w:sz w:val="19"/>
                <w:szCs w:val="19"/>
                <w:lang w:val="en-AU" w:eastAsia="en-US"/>
              </w:rPr>
            </w:pPr>
            <w:r>
              <w:rPr>
                <w:rFonts w:cs="Arial"/>
                <w:b/>
                <w:bCs/>
                <w:sz w:val="19"/>
                <w:szCs w:val="19"/>
                <w:lang w:eastAsia="en-US"/>
              </w:rPr>
              <w:t>2020/21</w:t>
            </w:r>
          </w:p>
        </w:tc>
        <w:tc>
          <w:tcPr>
            <w:tcW w:w="1169" w:type="dxa"/>
            <w:tcBorders>
              <w:top w:val="single" w:sz="4" w:space="0" w:color="auto"/>
              <w:left w:val="single" w:sz="4" w:space="0" w:color="auto"/>
              <w:bottom w:val="single" w:sz="4" w:space="0" w:color="auto"/>
              <w:right w:val="single" w:sz="4" w:space="0" w:color="auto"/>
            </w:tcBorders>
            <w:hideMark/>
          </w:tcPr>
          <w:p w14:paraId="735082BC" w14:textId="77777777" w:rsidR="009E7A1B" w:rsidRDefault="009E7A1B">
            <w:pPr>
              <w:spacing w:after="0"/>
              <w:jc w:val="right"/>
              <w:rPr>
                <w:rFonts w:cs="Arial"/>
                <w:b/>
                <w:bCs/>
                <w:sz w:val="19"/>
                <w:szCs w:val="19"/>
                <w:lang w:val="en-AU" w:eastAsia="en-US"/>
              </w:rPr>
            </w:pPr>
            <w:r>
              <w:rPr>
                <w:rFonts w:cs="Arial"/>
                <w:b/>
                <w:bCs/>
                <w:sz w:val="19"/>
                <w:szCs w:val="19"/>
                <w:lang w:eastAsia="en-US"/>
              </w:rPr>
              <w:t>2021/22</w:t>
            </w:r>
          </w:p>
        </w:tc>
        <w:tc>
          <w:tcPr>
            <w:tcW w:w="1169" w:type="dxa"/>
            <w:tcBorders>
              <w:top w:val="single" w:sz="4" w:space="0" w:color="auto"/>
              <w:left w:val="single" w:sz="4" w:space="0" w:color="auto"/>
              <w:bottom w:val="single" w:sz="4" w:space="0" w:color="auto"/>
              <w:right w:val="single" w:sz="4" w:space="0" w:color="auto"/>
            </w:tcBorders>
            <w:hideMark/>
          </w:tcPr>
          <w:p w14:paraId="72B45E7B" w14:textId="77777777" w:rsidR="009E7A1B" w:rsidRDefault="009E7A1B">
            <w:pPr>
              <w:spacing w:after="0"/>
              <w:jc w:val="right"/>
              <w:rPr>
                <w:rFonts w:cs="Arial"/>
                <w:b/>
                <w:bCs/>
                <w:sz w:val="19"/>
                <w:szCs w:val="19"/>
                <w:lang w:val="en-AU" w:eastAsia="en-US"/>
              </w:rPr>
            </w:pPr>
            <w:r>
              <w:rPr>
                <w:rFonts w:cs="Arial"/>
                <w:b/>
                <w:bCs/>
                <w:sz w:val="19"/>
                <w:szCs w:val="19"/>
                <w:lang w:eastAsia="en-US"/>
              </w:rPr>
              <w:t>2022/23 &amp; Outyears</w:t>
            </w:r>
          </w:p>
        </w:tc>
      </w:tr>
      <w:tr w:rsidR="009E7A1B" w14:paraId="44007D52" w14:textId="77777777" w:rsidTr="009E7A1B">
        <w:tc>
          <w:tcPr>
            <w:tcW w:w="2944" w:type="dxa"/>
            <w:tcBorders>
              <w:top w:val="single" w:sz="4" w:space="0" w:color="auto"/>
              <w:left w:val="single" w:sz="4" w:space="0" w:color="auto"/>
              <w:bottom w:val="nil"/>
              <w:right w:val="single" w:sz="4" w:space="0" w:color="auto"/>
            </w:tcBorders>
            <w:hideMark/>
          </w:tcPr>
          <w:p w14:paraId="77374525" w14:textId="77777777" w:rsidR="009E7A1B" w:rsidRDefault="009E7A1B">
            <w:pPr>
              <w:spacing w:after="0"/>
              <w:rPr>
                <w:rFonts w:cs="Arial"/>
                <w:sz w:val="19"/>
                <w:szCs w:val="19"/>
                <w:lang w:val="en-AU" w:eastAsia="en-US"/>
              </w:rPr>
            </w:pPr>
            <w:r>
              <w:rPr>
                <w:rFonts w:cs="Arial"/>
                <w:sz w:val="19"/>
                <w:szCs w:val="19"/>
                <w:lang w:val="en-AU" w:eastAsia="en-US"/>
              </w:rPr>
              <w:t>Tax Revenue:</w:t>
            </w:r>
          </w:p>
        </w:tc>
        <w:tc>
          <w:tcPr>
            <w:tcW w:w="1169" w:type="dxa"/>
            <w:tcBorders>
              <w:top w:val="single" w:sz="4" w:space="0" w:color="auto"/>
              <w:left w:val="single" w:sz="4" w:space="0" w:color="auto"/>
              <w:bottom w:val="nil"/>
              <w:right w:val="single" w:sz="4" w:space="0" w:color="auto"/>
            </w:tcBorders>
          </w:tcPr>
          <w:p w14:paraId="1E649647" w14:textId="77777777" w:rsidR="009E7A1B" w:rsidRDefault="009E7A1B">
            <w:pPr>
              <w:spacing w:after="0"/>
              <w:jc w:val="right"/>
              <w:rPr>
                <w:rFonts w:cs="Arial"/>
                <w:sz w:val="19"/>
                <w:szCs w:val="19"/>
                <w:lang w:val="en-AU" w:eastAsia="en-US"/>
              </w:rPr>
            </w:pPr>
          </w:p>
        </w:tc>
        <w:tc>
          <w:tcPr>
            <w:tcW w:w="1169" w:type="dxa"/>
            <w:tcBorders>
              <w:top w:val="single" w:sz="4" w:space="0" w:color="auto"/>
              <w:left w:val="single" w:sz="4" w:space="0" w:color="auto"/>
              <w:bottom w:val="nil"/>
              <w:right w:val="single" w:sz="4" w:space="0" w:color="auto"/>
            </w:tcBorders>
          </w:tcPr>
          <w:p w14:paraId="13E5E2C2" w14:textId="77777777" w:rsidR="009E7A1B" w:rsidRDefault="009E7A1B">
            <w:pPr>
              <w:spacing w:after="0"/>
              <w:jc w:val="right"/>
              <w:rPr>
                <w:rFonts w:cs="Arial"/>
                <w:sz w:val="19"/>
                <w:szCs w:val="19"/>
                <w:lang w:val="en-AU" w:eastAsia="en-US"/>
              </w:rPr>
            </w:pPr>
          </w:p>
        </w:tc>
        <w:tc>
          <w:tcPr>
            <w:tcW w:w="1169" w:type="dxa"/>
            <w:tcBorders>
              <w:top w:val="single" w:sz="4" w:space="0" w:color="auto"/>
              <w:left w:val="single" w:sz="4" w:space="0" w:color="auto"/>
              <w:bottom w:val="nil"/>
              <w:right w:val="single" w:sz="4" w:space="0" w:color="auto"/>
            </w:tcBorders>
          </w:tcPr>
          <w:p w14:paraId="7538F275" w14:textId="77777777" w:rsidR="009E7A1B" w:rsidRDefault="009E7A1B">
            <w:pPr>
              <w:spacing w:after="0"/>
              <w:jc w:val="right"/>
              <w:rPr>
                <w:rFonts w:cs="Arial"/>
                <w:sz w:val="19"/>
                <w:szCs w:val="19"/>
                <w:lang w:val="en-AU" w:eastAsia="en-US"/>
              </w:rPr>
            </w:pPr>
          </w:p>
        </w:tc>
        <w:tc>
          <w:tcPr>
            <w:tcW w:w="1169" w:type="dxa"/>
            <w:tcBorders>
              <w:top w:val="single" w:sz="4" w:space="0" w:color="auto"/>
              <w:left w:val="single" w:sz="4" w:space="0" w:color="auto"/>
              <w:bottom w:val="nil"/>
              <w:right w:val="single" w:sz="4" w:space="0" w:color="auto"/>
            </w:tcBorders>
          </w:tcPr>
          <w:p w14:paraId="24BA655F" w14:textId="77777777" w:rsidR="009E7A1B" w:rsidRDefault="009E7A1B">
            <w:pPr>
              <w:spacing w:after="0"/>
              <w:jc w:val="right"/>
              <w:rPr>
                <w:rFonts w:cs="Arial"/>
                <w:sz w:val="19"/>
                <w:szCs w:val="19"/>
                <w:lang w:val="en-AU" w:eastAsia="en-US"/>
              </w:rPr>
            </w:pPr>
          </w:p>
        </w:tc>
        <w:tc>
          <w:tcPr>
            <w:tcW w:w="1169" w:type="dxa"/>
            <w:tcBorders>
              <w:top w:val="single" w:sz="4" w:space="0" w:color="auto"/>
              <w:left w:val="single" w:sz="4" w:space="0" w:color="auto"/>
              <w:bottom w:val="nil"/>
              <w:right w:val="single" w:sz="4" w:space="0" w:color="auto"/>
            </w:tcBorders>
          </w:tcPr>
          <w:p w14:paraId="1DCFB286" w14:textId="77777777" w:rsidR="009E7A1B" w:rsidRDefault="009E7A1B">
            <w:pPr>
              <w:spacing w:after="0"/>
              <w:jc w:val="right"/>
              <w:rPr>
                <w:rFonts w:cs="Arial"/>
                <w:sz w:val="19"/>
                <w:szCs w:val="19"/>
                <w:lang w:val="en-AU" w:eastAsia="en-US"/>
              </w:rPr>
            </w:pPr>
          </w:p>
        </w:tc>
      </w:tr>
      <w:tr w:rsidR="009E7A1B" w14:paraId="3D53883B" w14:textId="77777777" w:rsidTr="009E7A1B">
        <w:tc>
          <w:tcPr>
            <w:tcW w:w="2944" w:type="dxa"/>
            <w:tcBorders>
              <w:top w:val="nil"/>
              <w:left w:val="single" w:sz="4" w:space="0" w:color="auto"/>
              <w:bottom w:val="single" w:sz="4" w:space="0" w:color="auto"/>
              <w:right w:val="single" w:sz="4" w:space="0" w:color="auto"/>
            </w:tcBorders>
            <w:hideMark/>
          </w:tcPr>
          <w:p w14:paraId="61D486EF" w14:textId="77777777" w:rsidR="009E7A1B" w:rsidRDefault="009E7A1B">
            <w:pPr>
              <w:spacing w:after="0"/>
              <w:rPr>
                <w:rFonts w:cs="Arial"/>
                <w:sz w:val="19"/>
                <w:szCs w:val="19"/>
                <w:lang w:val="en-AU" w:eastAsia="en-US"/>
              </w:rPr>
            </w:pPr>
            <w:r>
              <w:rPr>
                <w:rFonts w:cs="Arial"/>
                <w:sz w:val="19"/>
                <w:szCs w:val="19"/>
                <w:lang w:val="en-AU" w:eastAsia="en-US"/>
              </w:rPr>
              <w:t>GST (1 October 2019 application date)</w:t>
            </w:r>
          </w:p>
        </w:tc>
        <w:tc>
          <w:tcPr>
            <w:tcW w:w="1169" w:type="dxa"/>
            <w:tcBorders>
              <w:top w:val="nil"/>
              <w:left w:val="single" w:sz="4" w:space="0" w:color="auto"/>
              <w:bottom w:val="single" w:sz="4" w:space="0" w:color="auto"/>
              <w:right w:val="single" w:sz="4" w:space="0" w:color="auto"/>
            </w:tcBorders>
            <w:hideMark/>
          </w:tcPr>
          <w:p w14:paraId="314957FD" w14:textId="77777777" w:rsidR="009E7A1B" w:rsidRDefault="009E7A1B">
            <w:pPr>
              <w:spacing w:after="0"/>
              <w:jc w:val="right"/>
              <w:rPr>
                <w:rFonts w:cs="Arial"/>
                <w:sz w:val="19"/>
                <w:szCs w:val="19"/>
                <w:lang w:val="en-AU" w:eastAsia="en-US"/>
              </w:rPr>
            </w:pPr>
            <w:r>
              <w:rPr>
                <w:rFonts w:cs="Arial"/>
                <w:sz w:val="19"/>
                <w:szCs w:val="19"/>
                <w:lang w:val="en-AU" w:eastAsia="en-US"/>
              </w:rPr>
              <w:t>-</w:t>
            </w:r>
          </w:p>
        </w:tc>
        <w:tc>
          <w:tcPr>
            <w:tcW w:w="1169" w:type="dxa"/>
            <w:tcBorders>
              <w:top w:val="nil"/>
              <w:left w:val="single" w:sz="4" w:space="0" w:color="auto"/>
              <w:bottom w:val="single" w:sz="4" w:space="0" w:color="auto"/>
              <w:right w:val="single" w:sz="4" w:space="0" w:color="auto"/>
            </w:tcBorders>
            <w:hideMark/>
          </w:tcPr>
          <w:p w14:paraId="65C16497" w14:textId="77777777" w:rsidR="009E7A1B" w:rsidRDefault="009E7A1B">
            <w:pPr>
              <w:spacing w:after="0"/>
              <w:jc w:val="right"/>
              <w:rPr>
                <w:rFonts w:cs="Arial"/>
                <w:sz w:val="19"/>
                <w:szCs w:val="19"/>
                <w:lang w:val="en-AU" w:eastAsia="en-US"/>
              </w:rPr>
            </w:pPr>
            <w:r>
              <w:rPr>
                <w:rFonts w:cs="Arial"/>
                <w:sz w:val="19"/>
                <w:szCs w:val="19"/>
                <w:lang w:val="en-AU" w:eastAsia="en-US"/>
              </w:rPr>
              <w:t>66.000</w:t>
            </w:r>
          </w:p>
        </w:tc>
        <w:tc>
          <w:tcPr>
            <w:tcW w:w="1169" w:type="dxa"/>
            <w:tcBorders>
              <w:top w:val="nil"/>
              <w:left w:val="single" w:sz="4" w:space="0" w:color="auto"/>
              <w:bottom w:val="single" w:sz="4" w:space="0" w:color="auto"/>
              <w:right w:val="single" w:sz="4" w:space="0" w:color="auto"/>
            </w:tcBorders>
            <w:hideMark/>
          </w:tcPr>
          <w:p w14:paraId="473CF356" w14:textId="77777777" w:rsidR="009E7A1B" w:rsidRDefault="009E7A1B">
            <w:pPr>
              <w:spacing w:after="0"/>
              <w:jc w:val="right"/>
              <w:rPr>
                <w:rFonts w:cs="Arial"/>
                <w:sz w:val="19"/>
                <w:szCs w:val="19"/>
                <w:lang w:val="en-AU" w:eastAsia="en-US"/>
              </w:rPr>
            </w:pPr>
            <w:r>
              <w:rPr>
                <w:rFonts w:cs="Arial"/>
                <w:sz w:val="19"/>
                <w:szCs w:val="19"/>
                <w:lang w:val="en-AU" w:eastAsia="en-US"/>
              </w:rPr>
              <w:t>100.000</w:t>
            </w:r>
          </w:p>
        </w:tc>
        <w:tc>
          <w:tcPr>
            <w:tcW w:w="1169" w:type="dxa"/>
            <w:tcBorders>
              <w:top w:val="nil"/>
              <w:left w:val="single" w:sz="4" w:space="0" w:color="auto"/>
              <w:bottom w:val="single" w:sz="4" w:space="0" w:color="auto"/>
              <w:right w:val="single" w:sz="4" w:space="0" w:color="auto"/>
            </w:tcBorders>
            <w:hideMark/>
          </w:tcPr>
          <w:p w14:paraId="084FF519" w14:textId="77777777" w:rsidR="009E7A1B" w:rsidRDefault="009E7A1B">
            <w:pPr>
              <w:spacing w:after="0"/>
              <w:jc w:val="right"/>
              <w:rPr>
                <w:rFonts w:cs="Arial"/>
                <w:sz w:val="19"/>
                <w:szCs w:val="19"/>
                <w:lang w:val="en-AU" w:eastAsia="en-US"/>
              </w:rPr>
            </w:pPr>
            <w:r>
              <w:rPr>
                <w:rFonts w:cs="Arial"/>
                <w:sz w:val="19"/>
                <w:szCs w:val="19"/>
                <w:lang w:val="en-AU" w:eastAsia="en-US"/>
              </w:rPr>
              <w:t>112.000</w:t>
            </w:r>
          </w:p>
        </w:tc>
        <w:tc>
          <w:tcPr>
            <w:tcW w:w="1169" w:type="dxa"/>
            <w:tcBorders>
              <w:top w:val="nil"/>
              <w:left w:val="single" w:sz="4" w:space="0" w:color="auto"/>
              <w:bottom w:val="single" w:sz="4" w:space="0" w:color="auto"/>
              <w:right w:val="single" w:sz="4" w:space="0" w:color="auto"/>
            </w:tcBorders>
            <w:hideMark/>
          </w:tcPr>
          <w:p w14:paraId="7E7A852A" w14:textId="77777777" w:rsidR="009E7A1B" w:rsidRDefault="009E7A1B">
            <w:pPr>
              <w:spacing w:after="0"/>
              <w:jc w:val="right"/>
              <w:rPr>
                <w:rFonts w:cs="Arial"/>
                <w:sz w:val="19"/>
                <w:szCs w:val="19"/>
                <w:lang w:val="en-AU" w:eastAsia="en-US"/>
              </w:rPr>
            </w:pPr>
            <w:r>
              <w:rPr>
                <w:rFonts w:cs="Arial"/>
                <w:sz w:val="19"/>
                <w:szCs w:val="19"/>
                <w:lang w:val="en-AU" w:eastAsia="en-US"/>
              </w:rPr>
              <w:t>126.000</w:t>
            </w:r>
          </w:p>
        </w:tc>
      </w:tr>
      <w:tr w:rsidR="009E7A1B" w14:paraId="18EE112C" w14:textId="77777777" w:rsidTr="009E7A1B">
        <w:tc>
          <w:tcPr>
            <w:tcW w:w="2944" w:type="dxa"/>
            <w:tcBorders>
              <w:top w:val="single" w:sz="4" w:space="0" w:color="auto"/>
              <w:left w:val="single" w:sz="4" w:space="0" w:color="auto"/>
              <w:bottom w:val="single" w:sz="4" w:space="0" w:color="auto"/>
              <w:right w:val="single" w:sz="4" w:space="0" w:color="auto"/>
            </w:tcBorders>
            <w:hideMark/>
          </w:tcPr>
          <w:p w14:paraId="489E0F88" w14:textId="77777777" w:rsidR="009E7A1B" w:rsidRDefault="009E7A1B">
            <w:pPr>
              <w:spacing w:after="0"/>
              <w:rPr>
                <w:rFonts w:cs="Arial"/>
                <w:sz w:val="19"/>
                <w:szCs w:val="19"/>
                <w:lang w:val="en-AU" w:eastAsia="en-US"/>
              </w:rPr>
            </w:pPr>
            <w:r>
              <w:rPr>
                <w:rFonts w:cs="Arial"/>
                <w:sz w:val="19"/>
                <w:szCs w:val="19"/>
                <w:lang w:val="en-AU" w:eastAsia="en-US"/>
              </w:rPr>
              <w:t xml:space="preserve">Tax Revenue: </w:t>
            </w:r>
          </w:p>
          <w:p w14:paraId="72C6B4E9" w14:textId="77777777" w:rsidR="009E7A1B" w:rsidRDefault="009E7A1B">
            <w:pPr>
              <w:spacing w:after="0"/>
              <w:rPr>
                <w:rFonts w:cs="Arial"/>
                <w:sz w:val="19"/>
                <w:szCs w:val="19"/>
                <w:lang w:val="en-AU" w:eastAsia="en-US"/>
              </w:rPr>
            </w:pPr>
            <w:r>
              <w:rPr>
                <w:rFonts w:cs="Arial"/>
                <w:sz w:val="19"/>
                <w:szCs w:val="19"/>
                <w:lang w:val="en-AU" w:eastAsia="en-US"/>
              </w:rPr>
              <w:t>GST (1 December 2019 application)</w:t>
            </w:r>
          </w:p>
        </w:tc>
        <w:tc>
          <w:tcPr>
            <w:tcW w:w="1169" w:type="dxa"/>
            <w:tcBorders>
              <w:top w:val="single" w:sz="4" w:space="0" w:color="auto"/>
              <w:left w:val="single" w:sz="4" w:space="0" w:color="auto"/>
              <w:bottom w:val="single" w:sz="4" w:space="0" w:color="auto"/>
              <w:right w:val="single" w:sz="4" w:space="0" w:color="auto"/>
            </w:tcBorders>
          </w:tcPr>
          <w:p w14:paraId="4C174D0C" w14:textId="77777777" w:rsidR="009E7A1B" w:rsidRDefault="009E7A1B">
            <w:pPr>
              <w:spacing w:after="0"/>
              <w:jc w:val="right"/>
              <w:rPr>
                <w:rFonts w:cs="Arial"/>
                <w:sz w:val="19"/>
                <w:szCs w:val="19"/>
                <w:lang w:val="en-AU" w:eastAsia="en-US"/>
              </w:rPr>
            </w:pPr>
          </w:p>
          <w:p w14:paraId="34F3AFAF" w14:textId="77777777" w:rsidR="009E7A1B" w:rsidRDefault="009E7A1B">
            <w:pPr>
              <w:spacing w:after="0"/>
              <w:jc w:val="right"/>
              <w:rPr>
                <w:rFonts w:cs="Arial"/>
                <w:sz w:val="19"/>
                <w:szCs w:val="19"/>
                <w:lang w:val="en-AU" w:eastAsia="en-US"/>
              </w:rPr>
            </w:pPr>
            <w:r>
              <w:rPr>
                <w:rFonts w:cs="Arial"/>
                <w:sz w:val="19"/>
                <w:szCs w:val="19"/>
                <w:lang w:val="en-AU" w:eastAsia="en-US"/>
              </w:rPr>
              <w:t>-</w:t>
            </w:r>
          </w:p>
        </w:tc>
        <w:tc>
          <w:tcPr>
            <w:tcW w:w="1169" w:type="dxa"/>
            <w:tcBorders>
              <w:top w:val="single" w:sz="4" w:space="0" w:color="auto"/>
              <w:left w:val="single" w:sz="4" w:space="0" w:color="auto"/>
              <w:bottom w:val="single" w:sz="4" w:space="0" w:color="auto"/>
              <w:right w:val="single" w:sz="4" w:space="0" w:color="auto"/>
            </w:tcBorders>
          </w:tcPr>
          <w:p w14:paraId="03A79CC0" w14:textId="77777777" w:rsidR="009E7A1B" w:rsidRDefault="009E7A1B">
            <w:pPr>
              <w:spacing w:after="0"/>
              <w:jc w:val="right"/>
              <w:rPr>
                <w:rFonts w:cs="Arial"/>
                <w:sz w:val="19"/>
                <w:szCs w:val="19"/>
                <w:lang w:val="en-AU" w:eastAsia="en-US"/>
              </w:rPr>
            </w:pPr>
          </w:p>
          <w:p w14:paraId="503532DD" w14:textId="77777777" w:rsidR="009E7A1B" w:rsidRDefault="009E7A1B">
            <w:pPr>
              <w:spacing w:after="0"/>
              <w:jc w:val="right"/>
              <w:rPr>
                <w:rFonts w:cs="Arial"/>
                <w:sz w:val="19"/>
                <w:szCs w:val="19"/>
                <w:lang w:val="en-AU" w:eastAsia="en-US"/>
              </w:rPr>
            </w:pPr>
            <w:r>
              <w:rPr>
                <w:rFonts w:cs="Arial"/>
                <w:sz w:val="19"/>
                <w:szCs w:val="19"/>
                <w:lang w:val="en-AU" w:eastAsia="en-US"/>
              </w:rPr>
              <w:t>52.000</w:t>
            </w:r>
          </w:p>
        </w:tc>
        <w:tc>
          <w:tcPr>
            <w:tcW w:w="1169" w:type="dxa"/>
            <w:tcBorders>
              <w:top w:val="single" w:sz="4" w:space="0" w:color="auto"/>
              <w:left w:val="single" w:sz="4" w:space="0" w:color="auto"/>
              <w:bottom w:val="single" w:sz="4" w:space="0" w:color="auto"/>
              <w:right w:val="single" w:sz="4" w:space="0" w:color="auto"/>
            </w:tcBorders>
          </w:tcPr>
          <w:p w14:paraId="23ED1C35" w14:textId="77777777" w:rsidR="009E7A1B" w:rsidRDefault="009E7A1B">
            <w:pPr>
              <w:spacing w:after="0"/>
              <w:jc w:val="right"/>
              <w:rPr>
                <w:rFonts w:cs="Arial"/>
                <w:sz w:val="19"/>
                <w:szCs w:val="19"/>
                <w:lang w:val="en-AU" w:eastAsia="en-US"/>
              </w:rPr>
            </w:pPr>
          </w:p>
          <w:p w14:paraId="5A5FE183" w14:textId="77777777" w:rsidR="009E7A1B" w:rsidRDefault="009E7A1B">
            <w:pPr>
              <w:spacing w:after="0"/>
              <w:jc w:val="right"/>
              <w:rPr>
                <w:rFonts w:cs="Arial"/>
                <w:sz w:val="19"/>
                <w:szCs w:val="19"/>
                <w:lang w:val="en-AU" w:eastAsia="en-US"/>
              </w:rPr>
            </w:pPr>
            <w:r>
              <w:rPr>
                <w:rFonts w:cs="Arial"/>
                <w:sz w:val="19"/>
                <w:szCs w:val="19"/>
                <w:lang w:val="en-AU" w:eastAsia="en-US"/>
              </w:rPr>
              <w:t>100.000</w:t>
            </w:r>
          </w:p>
        </w:tc>
        <w:tc>
          <w:tcPr>
            <w:tcW w:w="1169" w:type="dxa"/>
            <w:tcBorders>
              <w:top w:val="single" w:sz="4" w:space="0" w:color="auto"/>
              <w:left w:val="single" w:sz="4" w:space="0" w:color="auto"/>
              <w:bottom w:val="single" w:sz="4" w:space="0" w:color="auto"/>
              <w:right w:val="single" w:sz="4" w:space="0" w:color="auto"/>
            </w:tcBorders>
          </w:tcPr>
          <w:p w14:paraId="2B5B4AA3" w14:textId="77777777" w:rsidR="009E7A1B" w:rsidRDefault="009E7A1B">
            <w:pPr>
              <w:spacing w:after="0"/>
              <w:jc w:val="right"/>
              <w:rPr>
                <w:rFonts w:cs="Arial"/>
                <w:sz w:val="19"/>
                <w:szCs w:val="19"/>
                <w:lang w:val="en-AU" w:eastAsia="en-US"/>
              </w:rPr>
            </w:pPr>
          </w:p>
          <w:p w14:paraId="684B2634" w14:textId="77777777" w:rsidR="009E7A1B" w:rsidRDefault="009E7A1B">
            <w:pPr>
              <w:spacing w:after="0"/>
              <w:jc w:val="right"/>
              <w:rPr>
                <w:rFonts w:cs="Arial"/>
                <w:sz w:val="19"/>
                <w:szCs w:val="19"/>
                <w:lang w:val="en-AU" w:eastAsia="en-US"/>
              </w:rPr>
            </w:pPr>
            <w:r>
              <w:rPr>
                <w:rFonts w:cs="Arial"/>
                <w:sz w:val="19"/>
                <w:szCs w:val="19"/>
                <w:lang w:val="en-AU" w:eastAsia="en-US"/>
              </w:rPr>
              <w:t>112.000</w:t>
            </w:r>
          </w:p>
        </w:tc>
        <w:tc>
          <w:tcPr>
            <w:tcW w:w="1169" w:type="dxa"/>
            <w:tcBorders>
              <w:top w:val="single" w:sz="4" w:space="0" w:color="auto"/>
              <w:left w:val="single" w:sz="4" w:space="0" w:color="auto"/>
              <w:bottom w:val="single" w:sz="4" w:space="0" w:color="auto"/>
              <w:right w:val="single" w:sz="4" w:space="0" w:color="auto"/>
            </w:tcBorders>
          </w:tcPr>
          <w:p w14:paraId="260594AD" w14:textId="77777777" w:rsidR="009E7A1B" w:rsidRDefault="009E7A1B">
            <w:pPr>
              <w:spacing w:after="0"/>
              <w:jc w:val="right"/>
              <w:rPr>
                <w:rFonts w:cs="Arial"/>
                <w:sz w:val="19"/>
                <w:szCs w:val="19"/>
                <w:lang w:val="en-AU" w:eastAsia="en-US"/>
              </w:rPr>
            </w:pPr>
          </w:p>
          <w:p w14:paraId="3F256705" w14:textId="77777777" w:rsidR="009E7A1B" w:rsidRDefault="009E7A1B">
            <w:pPr>
              <w:spacing w:after="0"/>
              <w:jc w:val="right"/>
              <w:rPr>
                <w:rFonts w:cs="Arial"/>
                <w:sz w:val="19"/>
                <w:szCs w:val="19"/>
                <w:lang w:val="en-AU" w:eastAsia="en-US"/>
              </w:rPr>
            </w:pPr>
            <w:r>
              <w:rPr>
                <w:rFonts w:cs="Arial"/>
                <w:sz w:val="19"/>
                <w:szCs w:val="19"/>
                <w:lang w:val="en-AU" w:eastAsia="en-US"/>
              </w:rPr>
              <w:t>126.000</w:t>
            </w:r>
          </w:p>
        </w:tc>
      </w:tr>
      <w:tr w:rsidR="009E7A1B" w14:paraId="64613A3F" w14:textId="77777777" w:rsidTr="009E7A1B">
        <w:tc>
          <w:tcPr>
            <w:tcW w:w="2944" w:type="dxa"/>
            <w:tcBorders>
              <w:top w:val="single" w:sz="4" w:space="0" w:color="auto"/>
              <w:left w:val="single" w:sz="4" w:space="0" w:color="auto"/>
              <w:bottom w:val="single" w:sz="4" w:space="0" w:color="auto"/>
              <w:right w:val="single" w:sz="4" w:space="0" w:color="auto"/>
            </w:tcBorders>
            <w:hideMark/>
          </w:tcPr>
          <w:p w14:paraId="00157D1C" w14:textId="77777777" w:rsidR="009E7A1B" w:rsidRDefault="009E7A1B">
            <w:pPr>
              <w:spacing w:after="0"/>
              <w:rPr>
                <w:rFonts w:cs="Arial"/>
                <w:b/>
                <w:bCs/>
                <w:sz w:val="19"/>
                <w:szCs w:val="19"/>
                <w:lang w:val="en-AU" w:eastAsia="en-US"/>
              </w:rPr>
            </w:pPr>
            <w:r>
              <w:rPr>
                <w:rFonts w:cs="Arial"/>
                <w:b/>
                <w:bCs/>
                <w:sz w:val="19"/>
                <w:szCs w:val="19"/>
                <w:lang w:val="en-AU" w:eastAsia="en-US"/>
              </w:rPr>
              <w:t>Total Operating</w:t>
            </w:r>
          </w:p>
        </w:tc>
        <w:tc>
          <w:tcPr>
            <w:tcW w:w="1169" w:type="dxa"/>
            <w:tcBorders>
              <w:top w:val="single" w:sz="4" w:space="0" w:color="auto"/>
              <w:left w:val="single" w:sz="4" w:space="0" w:color="auto"/>
              <w:bottom w:val="single" w:sz="4" w:space="0" w:color="auto"/>
              <w:right w:val="single" w:sz="4" w:space="0" w:color="auto"/>
            </w:tcBorders>
            <w:hideMark/>
          </w:tcPr>
          <w:p w14:paraId="536D5085" w14:textId="77777777" w:rsidR="009E7A1B" w:rsidRDefault="009E7A1B">
            <w:pPr>
              <w:spacing w:after="0"/>
              <w:jc w:val="right"/>
              <w:rPr>
                <w:rFonts w:cs="Arial"/>
                <w:b/>
                <w:sz w:val="19"/>
                <w:szCs w:val="19"/>
                <w:lang w:val="en-AU" w:eastAsia="en-US"/>
              </w:rPr>
            </w:pPr>
            <w:r>
              <w:rPr>
                <w:rFonts w:cs="Arial"/>
                <w:b/>
                <w:sz w:val="19"/>
                <w:szCs w:val="19"/>
                <w:lang w:val="en-AU" w:eastAsia="en-US"/>
              </w:rPr>
              <w:t>-</w:t>
            </w:r>
          </w:p>
        </w:tc>
        <w:tc>
          <w:tcPr>
            <w:tcW w:w="1169" w:type="dxa"/>
            <w:tcBorders>
              <w:top w:val="single" w:sz="4" w:space="0" w:color="auto"/>
              <w:left w:val="single" w:sz="4" w:space="0" w:color="auto"/>
              <w:bottom w:val="single" w:sz="4" w:space="0" w:color="auto"/>
              <w:right w:val="single" w:sz="4" w:space="0" w:color="auto"/>
            </w:tcBorders>
            <w:hideMark/>
          </w:tcPr>
          <w:p w14:paraId="23B6E4BF" w14:textId="0A0A8FDB" w:rsidR="009E7A1B" w:rsidRDefault="00FA40B6">
            <w:pPr>
              <w:spacing w:after="0"/>
              <w:jc w:val="right"/>
              <w:rPr>
                <w:rFonts w:cs="Arial"/>
                <w:b/>
                <w:sz w:val="19"/>
                <w:szCs w:val="19"/>
                <w:lang w:val="en-AU" w:eastAsia="en-US"/>
              </w:rPr>
            </w:pPr>
            <w:r>
              <w:rPr>
                <w:rFonts w:cs="Arial"/>
                <w:b/>
                <w:sz w:val="19"/>
                <w:szCs w:val="19"/>
                <w:lang w:val="en-AU" w:eastAsia="en-US"/>
              </w:rPr>
              <w:t>(</w:t>
            </w:r>
            <w:r w:rsidR="009E7A1B">
              <w:rPr>
                <w:rFonts w:cs="Arial"/>
                <w:b/>
                <w:sz w:val="19"/>
                <w:szCs w:val="19"/>
                <w:lang w:val="en-AU" w:eastAsia="en-US"/>
              </w:rPr>
              <w:t>14.000</w:t>
            </w:r>
            <w:r>
              <w:rPr>
                <w:rFonts w:cs="Arial"/>
                <w:b/>
                <w:sz w:val="19"/>
                <w:szCs w:val="19"/>
                <w:lang w:val="en-AU" w:eastAsia="en-US"/>
              </w:rPr>
              <w:t>)</w:t>
            </w:r>
          </w:p>
        </w:tc>
        <w:tc>
          <w:tcPr>
            <w:tcW w:w="1169" w:type="dxa"/>
            <w:tcBorders>
              <w:top w:val="single" w:sz="4" w:space="0" w:color="auto"/>
              <w:left w:val="single" w:sz="4" w:space="0" w:color="auto"/>
              <w:bottom w:val="single" w:sz="4" w:space="0" w:color="auto"/>
              <w:right w:val="single" w:sz="4" w:space="0" w:color="auto"/>
            </w:tcBorders>
            <w:hideMark/>
          </w:tcPr>
          <w:p w14:paraId="3A72401D" w14:textId="77777777" w:rsidR="009E7A1B" w:rsidRDefault="009E7A1B">
            <w:pPr>
              <w:spacing w:after="0"/>
              <w:jc w:val="right"/>
              <w:rPr>
                <w:rFonts w:cs="Arial"/>
                <w:b/>
                <w:sz w:val="19"/>
                <w:szCs w:val="19"/>
                <w:lang w:val="en-AU" w:eastAsia="en-US"/>
              </w:rPr>
            </w:pPr>
            <w:r>
              <w:rPr>
                <w:rFonts w:cs="Arial"/>
                <w:b/>
                <w:sz w:val="19"/>
                <w:szCs w:val="19"/>
                <w:lang w:val="en-AU" w:eastAsia="en-US"/>
              </w:rPr>
              <w:t>-</w:t>
            </w:r>
          </w:p>
        </w:tc>
        <w:tc>
          <w:tcPr>
            <w:tcW w:w="1169" w:type="dxa"/>
            <w:tcBorders>
              <w:top w:val="single" w:sz="4" w:space="0" w:color="auto"/>
              <w:left w:val="single" w:sz="4" w:space="0" w:color="auto"/>
              <w:bottom w:val="single" w:sz="4" w:space="0" w:color="auto"/>
              <w:right w:val="single" w:sz="4" w:space="0" w:color="auto"/>
            </w:tcBorders>
            <w:hideMark/>
          </w:tcPr>
          <w:p w14:paraId="4C127260" w14:textId="77777777" w:rsidR="009E7A1B" w:rsidRDefault="009E7A1B">
            <w:pPr>
              <w:spacing w:after="0"/>
              <w:jc w:val="right"/>
              <w:rPr>
                <w:rFonts w:cs="Arial"/>
                <w:b/>
                <w:sz w:val="19"/>
                <w:szCs w:val="19"/>
                <w:lang w:val="en-AU" w:eastAsia="en-US"/>
              </w:rPr>
            </w:pPr>
            <w:r>
              <w:rPr>
                <w:rFonts w:cs="Arial"/>
                <w:b/>
                <w:sz w:val="19"/>
                <w:szCs w:val="19"/>
                <w:lang w:val="en-AU" w:eastAsia="en-US"/>
              </w:rPr>
              <w:t>-</w:t>
            </w:r>
          </w:p>
        </w:tc>
        <w:tc>
          <w:tcPr>
            <w:tcW w:w="1169" w:type="dxa"/>
            <w:tcBorders>
              <w:top w:val="single" w:sz="4" w:space="0" w:color="auto"/>
              <w:left w:val="single" w:sz="4" w:space="0" w:color="auto"/>
              <w:bottom w:val="single" w:sz="4" w:space="0" w:color="auto"/>
              <w:right w:val="single" w:sz="4" w:space="0" w:color="auto"/>
            </w:tcBorders>
            <w:hideMark/>
          </w:tcPr>
          <w:p w14:paraId="7ABA9E8B" w14:textId="77777777" w:rsidR="009E7A1B" w:rsidRDefault="009E7A1B">
            <w:pPr>
              <w:spacing w:after="0"/>
              <w:jc w:val="right"/>
              <w:rPr>
                <w:rFonts w:cs="Arial"/>
                <w:b/>
                <w:sz w:val="19"/>
                <w:szCs w:val="19"/>
                <w:lang w:val="en-AU" w:eastAsia="en-US"/>
              </w:rPr>
            </w:pPr>
            <w:r>
              <w:rPr>
                <w:rFonts w:cs="Arial"/>
                <w:b/>
                <w:sz w:val="19"/>
                <w:szCs w:val="19"/>
                <w:lang w:val="en-AU" w:eastAsia="en-US"/>
              </w:rPr>
              <w:t>-</w:t>
            </w:r>
          </w:p>
        </w:tc>
      </w:tr>
    </w:tbl>
    <w:p w14:paraId="0104778E" w14:textId="77777777" w:rsidR="009E7A1B" w:rsidRDefault="009E7A1B" w:rsidP="009E7A1B">
      <w:pPr>
        <w:pStyle w:val="NumberedParagraphCabStandard"/>
        <w:numPr>
          <w:ilvl w:val="0"/>
          <w:numId w:val="0"/>
        </w:numPr>
        <w:tabs>
          <w:tab w:val="num" w:pos="1418"/>
        </w:tabs>
      </w:pPr>
    </w:p>
    <w:p w14:paraId="0EA09F16" w14:textId="2940A9F8" w:rsidR="00524497" w:rsidRDefault="009E7A1B" w:rsidP="004B3962">
      <w:pPr>
        <w:pStyle w:val="NumberedParagraphCabStandard"/>
        <w:numPr>
          <w:ilvl w:val="0"/>
          <w:numId w:val="9"/>
        </w:numPr>
        <w:tabs>
          <w:tab w:val="num" w:pos="1418"/>
        </w:tabs>
      </w:pPr>
      <w:r>
        <w:rPr>
          <w:rFonts w:cs="Arial"/>
          <w:b/>
          <w:szCs w:val="24"/>
          <w:lang w:eastAsia="en-US"/>
        </w:rPr>
        <w:t>Agree</w:t>
      </w:r>
      <w:r>
        <w:rPr>
          <w:rFonts w:cs="Arial"/>
          <w:szCs w:val="24"/>
          <w:lang w:eastAsia="en-US"/>
        </w:rPr>
        <w:t xml:space="preserve"> that the forgone revenue under recommendation </w:t>
      </w:r>
      <w:r w:rsidR="00591424">
        <w:rPr>
          <w:rFonts w:cs="Arial"/>
          <w:szCs w:val="24"/>
          <w:lang w:eastAsia="en-US"/>
        </w:rPr>
        <w:t>4</w:t>
      </w:r>
      <w:r>
        <w:rPr>
          <w:rFonts w:cs="Arial"/>
          <w:szCs w:val="24"/>
          <w:lang w:eastAsia="en-US"/>
        </w:rPr>
        <w:t xml:space="preserve"> above be charged as a pre-commitment against the Budget 2020 operating allowance</w:t>
      </w:r>
      <w:r w:rsidR="004B3962">
        <w:rPr>
          <w:rFonts w:cs="Arial"/>
          <w:szCs w:val="24"/>
          <w:lang w:eastAsia="en-US"/>
        </w:rPr>
        <w:t>.</w:t>
      </w:r>
    </w:p>
    <w:p w14:paraId="3F4B5368" w14:textId="77777777" w:rsidR="000275BB" w:rsidRPr="000275BB" w:rsidRDefault="008C4AB9" w:rsidP="00524497">
      <w:pPr>
        <w:pStyle w:val="NumberedParagraphCabStandard"/>
        <w:numPr>
          <w:ilvl w:val="0"/>
          <w:numId w:val="1"/>
        </w:numPr>
        <w:tabs>
          <w:tab w:val="num" w:pos="1418"/>
        </w:tabs>
        <w:rPr>
          <w:b/>
        </w:rPr>
      </w:pPr>
      <w:r>
        <w:rPr>
          <w:b/>
        </w:rPr>
        <w:t>Note</w:t>
      </w:r>
      <w:r>
        <w:t xml:space="preserve"> that if </w:t>
      </w:r>
      <w:r w:rsidRPr="00E01EE9">
        <w:t xml:space="preserve">the application date </w:t>
      </w:r>
      <w:r w:rsidR="00164E33" w:rsidRPr="00E01EE9">
        <w:t>of the GST on low-value imported goods changes are</w:t>
      </w:r>
      <w:r w:rsidRPr="00E01EE9">
        <w:t xml:space="preserve"> delayed to 1 </w:t>
      </w:r>
      <w:r w:rsidR="00E01EE9" w:rsidRPr="00E01EE9">
        <w:t>December</w:t>
      </w:r>
      <w:r w:rsidRPr="00E01EE9">
        <w:t xml:space="preserve"> 20</w:t>
      </w:r>
      <w:r w:rsidR="00E01EE9" w:rsidRPr="00E01EE9">
        <w:t>19</w:t>
      </w:r>
      <w:r w:rsidR="000275BB">
        <w:t>:</w:t>
      </w:r>
    </w:p>
    <w:p w14:paraId="6136F978" w14:textId="77777777" w:rsidR="000275BB" w:rsidRPr="000275BB" w:rsidRDefault="008C4AB9" w:rsidP="000275BB">
      <w:pPr>
        <w:pStyle w:val="NumberedParagraphCabStandard"/>
        <w:numPr>
          <w:ilvl w:val="1"/>
          <w:numId w:val="1"/>
        </w:numPr>
        <w:rPr>
          <w:b/>
        </w:rPr>
      </w:pPr>
      <w:r w:rsidRPr="00E01EE9">
        <w:t xml:space="preserve">the Customs and Excise Amendment Regulations (No 2) 2019 </w:t>
      </w:r>
      <w:r w:rsidR="000F3949" w:rsidRPr="00CA5EAD">
        <w:t xml:space="preserve">(relating to the </w:t>
      </w:r>
      <w:r w:rsidR="000F3949">
        <w:t>thresholds for collecting duty and the Import Entry Transaction Fee</w:t>
      </w:r>
      <w:r w:rsidR="000F3949" w:rsidRPr="00CA5EAD">
        <w:t>)</w:t>
      </w:r>
      <w:r w:rsidR="000275BB">
        <w:t>;</w:t>
      </w:r>
      <w:r w:rsidR="00A67B7D">
        <w:t xml:space="preserve"> and </w:t>
      </w:r>
    </w:p>
    <w:p w14:paraId="59C573EC" w14:textId="77777777" w:rsidR="003D7EB4" w:rsidRPr="003D7EB4" w:rsidRDefault="00A67B7D" w:rsidP="000275BB">
      <w:pPr>
        <w:pStyle w:val="NumberedParagraphCabStandard"/>
        <w:numPr>
          <w:ilvl w:val="1"/>
          <w:numId w:val="1"/>
        </w:numPr>
        <w:rPr>
          <w:b/>
        </w:rPr>
      </w:pPr>
      <w:r>
        <w:t xml:space="preserve">any required </w:t>
      </w:r>
      <w:r w:rsidRPr="00A67B7D">
        <w:t>changes to the Biosecurity (System Entry Levy) Order 2010</w:t>
      </w:r>
      <w:r w:rsidR="000F3949">
        <w:t xml:space="preserve"> </w:t>
      </w:r>
    </w:p>
    <w:p w14:paraId="042B318B" w14:textId="40C4D252" w:rsidR="008C4AB9" w:rsidRPr="00524497" w:rsidRDefault="008C4AB9" w:rsidP="003D7EB4">
      <w:pPr>
        <w:pStyle w:val="NumberedParagraphCabStandard"/>
        <w:numPr>
          <w:ilvl w:val="0"/>
          <w:numId w:val="0"/>
        </w:numPr>
        <w:ind w:left="709"/>
        <w:rPr>
          <w:b/>
        </w:rPr>
      </w:pPr>
      <w:r w:rsidRPr="00E01EE9">
        <w:t xml:space="preserve">will </w:t>
      </w:r>
      <w:r w:rsidR="000F3949">
        <w:t xml:space="preserve">also </w:t>
      </w:r>
      <w:r w:rsidRPr="00E01EE9">
        <w:t xml:space="preserve">come into force on </w:t>
      </w:r>
      <w:r w:rsidR="00E01EE9" w:rsidRPr="00E01EE9">
        <w:t>1 December 2019</w:t>
      </w:r>
      <w:r w:rsidRPr="00E01EE9">
        <w:t>.</w:t>
      </w:r>
    </w:p>
    <w:p w14:paraId="1E6A598C" w14:textId="21F23D46" w:rsidR="00482E35" w:rsidRPr="00524497" w:rsidRDefault="00524497" w:rsidP="00524497">
      <w:pPr>
        <w:pStyle w:val="NumberedParagraphCabStandard"/>
        <w:numPr>
          <w:ilvl w:val="0"/>
          <w:numId w:val="1"/>
        </w:numPr>
        <w:tabs>
          <w:tab w:val="num" w:pos="1418"/>
        </w:tabs>
        <w:rPr>
          <w:b/>
        </w:rPr>
      </w:pPr>
      <w:r w:rsidRPr="00524497">
        <w:rPr>
          <w:b/>
        </w:rPr>
        <w:t>N</w:t>
      </w:r>
      <w:r w:rsidR="00482E35" w:rsidRPr="00524497">
        <w:rPr>
          <w:b/>
        </w:rPr>
        <w:t xml:space="preserve">ote </w:t>
      </w:r>
      <w:r w:rsidR="00482E35" w:rsidRPr="00524497">
        <w:t>that this Cabinet paper</w:t>
      </w:r>
      <w:r w:rsidR="001E1207" w:rsidRPr="00524497">
        <w:t xml:space="preserve"> and </w:t>
      </w:r>
      <w:r w:rsidR="00482E35" w:rsidRPr="00524497">
        <w:t>the associated Cabinet minute will be proactively released on Inland Revenue’s website.</w:t>
      </w:r>
    </w:p>
    <w:p w14:paraId="70FA0DD3" w14:textId="77777777" w:rsidR="001E1207" w:rsidRDefault="001E1207" w:rsidP="00C93F49">
      <w:pPr>
        <w:pStyle w:val="NumberedParagraphCabStandard"/>
        <w:numPr>
          <w:ilvl w:val="0"/>
          <w:numId w:val="0"/>
        </w:numPr>
        <w:spacing w:after="0"/>
      </w:pPr>
    </w:p>
    <w:p w14:paraId="43F139CF" w14:textId="77777777" w:rsidR="00125D95" w:rsidRDefault="00125D95" w:rsidP="00C65945">
      <w:pPr>
        <w:pStyle w:val="NumberedParagraphCabStandard"/>
        <w:numPr>
          <w:ilvl w:val="0"/>
          <w:numId w:val="0"/>
        </w:numPr>
        <w:ind w:left="720" w:hanging="720"/>
      </w:pPr>
      <w:r>
        <w:t>Authorised for lodgement</w:t>
      </w:r>
    </w:p>
    <w:p w14:paraId="0635898E" w14:textId="77777777" w:rsidR="00AE58ED" w:rsidRDefault="00AE58ED" w:rsidP="003C12A0">
      <w:pPr>
        <w:pStyle w:val="NumberedParagraphCabStandard"/>
        <w:numPr>
          <w:ilvl w:val="0"/>
          <w:numId w:val="0"/>
        </w:numPr>
        <w:spacing w:after="0"/>
        <w:ind w:left="720" w:hanging="720"/>
      </w:pPr>
      <w:r>
        <w:t>Hon Grant Robertson</w:t>
      </w:r>
    </w:p>
    <w:p w14:paraId="65BE94FE" w14:textId="77777777" w:rsidR="00AE58ED" w:rsidRDefault="00AE58ED" w:rsidP="003C12A0">
      <w:pPr>
        <w:pStyle w:val="NumberedParagraphCabStandard"/>
        <w:numPr>
          <w:ilvl w:val="0"/>
          <w:numId w:val="0"/>
        </w:numPr>
        <w:spacing w:after="0"/>
        <w:ind w:left="720" w:hanging="720"/>
      </w:pPr>
      <w:r>
        <w:t>Minister of Finance</w:t>
      </w:r>
    </w:p>
    <w:p w14:paraId="0D40BF90" w14:textId="77777777" w:rsidR="00AE58ED" w:rsidRDefault="00AE58ED" w:rsidP="003C12A0">
      <w:pPr>
        <w:pStyle w:val="NumberedParagraphCabStandard"/>
        <w:numPr>
          <w:ilvl w:val="0"/>
          <w:numId w:val="0"/>
        </w:numPr>
        <w:spacing w:after="0"/>
        <w:ind w:left="720" w:hanging="720"/>
      </w:pPr>
    </w:p>
    <w:p w14:paraId="1843923E" w14:textId="5B66AE7C" w:rsidR="00125D95" w:rsidRDefault="00125D95" w:rsidP="003C12A0">
      <w:pPr>
        <w:pStyle w:val="NumberedParagraphCabStandard"/>
        <w:numPr>
          <w:ilvl w:val="0"/>
          <w:numId w:val="0"/>
        </w:numPr>
        <w:spacing w:after="0"/>
        <w:ind w:left="720" w:hanging="720"/>
      </w:pPr>
      <w:r>
        <w:t xml:space="preserve">Hon </w:t>
      </w:r>
      <w:r w:rsidR="00856988">
        <w:t>Stuart Nash</w:t>
      </w:r>
    </w:p>
    <w:p w14:paraId="734E1868" w14:textId="0801BC1A" w:rsidR="00CF787A" w:rsidRDefault="00125D95" w:rsidP="00D20857">
      <w:pPr>
        <w:pStyle w:val="NumberedParagraphCabStandard"/>
        <w:numPr>
          <w:ilvl w:val="0"/>
          <w:numId w:val="0"/>
        </w:numPr>
        <w:ind w:left="720" w:hanging="720"/>
      </w:pPr>
      <w:r>
        <w:t xml:space="preserve">Minister </w:t>
      </w:r>
      <w:r w:rsidR="000A7947">
        <w:t>of Revenue</w:t>
      </w:r>
    </w:p>
    <w:p w14:paraId="4599DB2E" w14:textId="59140F7A" w:rsidR="00AE58ED" w:rsidRDefault="00AE58ED" w:rsidP="00AE58ED">
      <w:pPr>
        <w:pStyle w:val="NumberedParagraphCabStandard"/>
        <w:numPr>
          <w:ilvl w:val="0"/>
          <w:numId w:val="0"/>
        </w:numPr>
        <w:spacing w:after="0"/>
        <w:ind w:left="720" w:hanging="720"/>
      </w:pPr>
      <w:r>
        <w:t xml:space="preserve">Hon Kris </w:t>
      </w:r>
      <w:proofErr w:type="spellStart"/>
      <w:r>
        <w:t>Faafoi</w:t>
      </w:r>
      <w:proofErr w:type="spellEnd"/>
    </w:p>
    <w:p w14:paraId="71A28ECA" w14:textId="2FA39FD5" w:rsidR="00AE58ED" w:rsidRDefault="00AE58ED" w:rsidP="00AE58ED">
      <w:pPr>
        <w:pStyle w:val="NumberedParagraphCabStandard"/>
        <w:numPr>
          <w:ilvl w:val="0"/>
          <w:numId w:val="0"/>
        </w:numPr>
        <w:spacing w:after="0"/>
        <w:ind w:left="720" w:hanging="720"/>
      </w:pPr>
      <w:r>
        <w:t>Minister of Customs</w:t>
      </w:r>
    </w:p>
    <w:sectPr w:rsidR="00AE58ED" w:rsidSect="00A80350">
      <w:footerReference w:type="default" r:id="rId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C1F4C" w14:textId="77777777" w:rsidR="00EF6A11" w:rsidRDefault="00EF6A11" w:rsidP="00F31991">
      <w:pPr>
        <w:spacing w:after="0"/>
      </w:pPr>
      <w:r>
        <w:separator/>
      </w:r>
    </w:p>
  </w:endnote>
  <w:endnote w:type="continuationSeparator" w:id="0">
    <w:p w14:paraId="31031DB1" w14:textId="77777777" w:rsidR="00EF6A11" w:rsidRDefault="00EF6A11"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5EE6" w14:textId="2D31484A" w:rsidR="00A80350" w:rsidRDefault="008827C7" w:rsidP="00A80350">
    <w:pPr>
      <w:pStyle w:val="Header"/>
      <w:jc w:val="center"/>
    </w:pPr>
    <w:sdt>
      <w:sdtPr>
        <w:id w:val="1812211066"/>
        <w:docPartObj>
          <w:docPartGallery w:val="Page Numbers (Top of Page)"/>
          <w:docPartUnique/>
        </w:docPartObj>
      </w:sdtPr>
      <w:sdtEndPr>
        <w:rPr>
          <w:noProof/>
        </w:rPr>
      </w:sdtEndPr>
      <w:sdtContent>
        <w:r w:rsidR="00A80350">
          <w:fldChar w:fldCharType="begin"/>
        </w:r>
        <w:r w:rsidR="00A80350">
          <w:instrText xml:space="preserve"> PAGE   \* MERGEFORMAT </w:instrText>
        </w:r>
        <w:r w:rsidR="00A80350">
          <w:fldChar w:fldCharType="separate"/>
        </w:r>
        <w:r w:rsidR="0098593C">
          <w:rPr>
            <w:noProof/>
          </w:rPr>
          <w:t>1</w:t>
        </w:r>
        <w:r w:rsidR="00A8035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6431" w14:textId="77777777" w:rsidR="00EF6A11" w:rsidRDefault="00EF6A11" w:rsidP="00F31991">
      <w:pPr>
        <w:spacing w:after="0"/>
      </w:pPr>
      <w:r>
        <w:separator/>
      </w:r>
    </w:p>
  </w:footnote>
  <w:footnote w:type="continuationSeparator" w:id="0">
    <w:p w14:paraId="70936371" w14:textId="77777777" w:rsidR="00EF6A11" w:rsidRDefault="00EF6A11" w:rsidP="00F31991">
      <w:pPr>
        <w:spacing w:after="0"/>
      </w:pPr>
      <w:r>
        <w:continuationSeparator/>
      </w:r>
    </w:p>
  </w:footnote>
  <w:footnote w:id="1">
    <w:p w14:paraId="69520043" w14:textId="77777777" w:rsidR="003E39F9" w:rsidRDefault="003E39F9" w:rsidP="003E39F9">
      <w:pPr>
        <w:pStyle w:val="FootnoteText"/>
      </w:pPr>
      <w:r>
        <w:rPr>
          <w:rStyle w:val="FootnoteReference"/>
        </w:rPr>
        <w:footnoteRef/>
      </w:r>
      <w:r>
        <w:t xml:space="preserve"> Alibaba and eBay, Amazon, CAPEC New Zealand, Chartered Accountants Australia and New Zealand, Deloitte and PwC all made submissions to FEC recommending a delay to the proposed application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E0CD3"/>
    <w:multiLevelType w:val="multilevel"/>
    <w:tmpl w:val="E5129C02"/>
    <w:lvl w:ilvl="0">
      <w:start w:val="22"/>
      <w:numFmt w:val="decimal"/>
      <w:lvlText w:val="%1"/>
      <w:lvlJc w:val="left"/>
      <w:pPr>
        <w:ind w:left="420" w:hanging="420"/>
      </w:pPr>
      <w:rPr>
        <w:rFonts w:hint="default"/>
      </w:rPr>
    </w:lvl>
    <w:lvl w:ilvl="1">
      <w:start w:val="1"/>
      <w:numFmt w:val="decimal"/>
      <w:lvlText w:val="%2"/>
      <w:lvlJc w:val="left"/>
      <w:pPr>
        <w:ind w:left="567" w:hanging="567"/>
      </w:pPr>
      <w:rPr>
        <w:rFonts w:ascii="Arial" w:eastAsia="Times New Roman"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AC7DDD"/>
    <w:multiLevelType w:val="hybridMultilevel"/>
    <w:tmpl w:val="B5DAE2E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1AC5BCC"/>
    <w:multiLevelType w:val="multilevel"/>
    <w:tmpl w:val="57801D38"/>
    <w:lvl w:ilvl="0">
      <w:start w:val="1"/>
      <w:numFmt w:val="decimal"/>
      <w:pStyle w:val="CabStandard"/>
      <w:lvlText w:val="%1"/>
      <w:lvlJc w:val="left"/>
      <w:pPr>
        <w:tabs>
          <w:tab w:val="num" w:pos="720"/>
        </w:tabs>
        <w:ind w:left="567" w:hanging="567"/>
      </w:pPr>
      <w:rPr>
        <w:rFonts w:hint="default"/>
        <w:b w:val="0"/>
      </w:rPr>
    </w:lvl>
    <w:lvl w:ilvl="1">
      <w:start w:val="1"/>
      <w:numFmt w:val="decimal"/>
      <w:lvlText w:val="%2."/>
      <w:lvlJc w:val="left"/>
      <w:pPr>
        <w:tabs>
          <w:tab w:val="num" w:pos="1440"/>
        </w:tabs>
        <w:ind w:left="1440" w:hanging="720"/>
      </w:pPr>
      <w:rPr>
        <w:rFonts w:ascii="Arial" w:eastAsia="Times New Roman" w:hAnsi="Arial" w:cs="Arial" w:hint="default"/>
        <w:b w:val="0"/>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6" w15:restartNumberingAfterBreak="0">
    <w:nsid w:val="35011289"/>
    <w:multiLevelType w:val="multilevel"/>
    <w:tmpl w:val="6848285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993153"/>
    <w:multiLevelType w:val="multilevel"/>
    <w:tmpl w:val="8F94CB3E"/>
    <w:lvl w:ilvl="0">
      <w:start w:val="1"/>
      <w:numFmt w:val="decimal"/>
      <w:pStyle w:val="NumberedParagraphCabStandard"/>
      <w:lvlText w:val="%1."/>
      <w:lvlJc w:val="left"/>
      <w:pPr>
        <w:tabs>
          <w:tab w:val="num" w:pos="709"/>
        </w:tabs>
        <w:ind w:left="709" w:hanging="709"/>
      </w:pPr>
      <w:rPr>
        <w:rFonts w:ascii="Arial" w:hAnsi="Arial" w:hint="default"/>
        <w:b w:val="0"/>
        <w:i w:val="0"/>
        <w:color w:val="auto"/>
        <w:sz w:val="24"/>
      </w:rPr>
    </w:lvl>
    <w:lvl w:ilvl="1">
      <w:start w:val="1"/>
      <w:numFmt w:val="decimal"/>
      <w:lvlText w:val="%1.%2"/>
      <w:lvlJc w:val="left"/>
      <w:pPr>
        <w:tabs>
          <w:tab w:val="num" w:pos="1418"/>
        </w:tabs>
        <w:ind w:left="1418" w:hanging="709"/>
      </w:pPr>
      <w:rPr>
        <w:rFonts w:ascii="Arial" w:hAnsi="Arial" w:hint="default"/>
        <w:b w:val="0"/>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7"/>
  </w:num>
  <w:num w:numId="2">
    <w:abstractNumId w:val="7"/>
  </w:num>
  <w:num w:numId="3">
    <w:abstractNumId w:val="7"/>
  </w:num>
  <w:num w:numId="4">
    <w:abstractNumId w:val="5"/>
  </w:num>
  <w:num w:numId="5">
    <w:abstractNumId w:val="7"/>
  </w:num>
  <w:num w:numId="6">
    <w:abstractNumId w:val="7"/>
  </w:num>
  <w:num w:numId="7">
    <w:abstractNumId w:val="7"/>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7"/>
  </w:num>
  <w:num w:numId="20">
    <w:abstractNumId w:val="7"/>
  </w:num>
  <w:num w:numId="21">
    <w:abstractNumId w:val="1"/>
  </w:num>
  <w:num w:numId="22">
    <w:abstractNumId w:val="7"/>
  </w:num>
  <w:num w:numId="23">
    <w:abstractNumId w:val="0"/>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6"/>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D6"/>
    <w:rsid w:val="00000DE2"/>
    <w:rsid w:val="000048C8"/>
    <w:rsid w:val="000275BB"/>
    <w:rsid w:val="00034684"/>
    <w:rsid w:val="000400B3"/>
    <w:rsid w:val="00041D61"/>
    <w:rsid w:val="0004703E"/>
    <w:rsid w:val="00056241"/>
    <w:rsid w:val="000614AC"/>
    <w:rsid w:val="00070E25"/>
    <w:rsid w:val="00077518"/>
    <w:rsid w:val="000816EC"/>
    <w:rsid w:val="00085C53"/>
    <w:rsid w:val="00093622"/>
    <w:rsid w:val="000A0D3E"/>
    <w:rsid w:val="000A4E14"/>
    <w:rsid w:val="000A556D"/>
    <w:rsid w:val="000A7947"/>
    <w:rsid w:val="000A7DF7"/>
    <w:rsid w:val="000A7E53"/>
    <w:rsid w:val="000B04F2"/>
    <w:rsid w:val="000B5FFE"/>
    <w:rsid w:val="000B61A2"/>
    <w:rsid w:val="000C1581"/>
    <w:rsid w:val="000C7B5B"/>
    <w:rsid w:val="000D3671"/>
    <w:rsid w:val="000D37BB"/>
    <w:rsid w:val="000D6953"/>
    <w:rsid w:val="000E4C2B"/>
    <w:rsid w:val="000E7F2F"/>
    <w:rsid w:val="000F3949"/>
    <w:rsid w:val="000F5A65"/>
    <w:rsid w:val="00106029"/>
    <w:rsid w:val="00125D95"/>
    <w:rsid w:val="00126948"/>
    <w:rsid w:val="00130921"/>
    <w:rsid w:val="0013353D"/>
    <w:rsid w:val="0014474D"/>
    <w:rsid w:val="0014476B"/>
    <w:rsid w:val="00160EBE"/>
    <w:rsid w:val="00164E33"/>
    <w:rsid w:val="00164E4E"/>
    <w:rsid w:val="001654C7"/>
    <w:rsid w:val="00165622"/>
    <w:rsid w:val="0016601C"/>
    <w:rsid w:val="00182E24"/>
    <w:rsid w:val="00191B95"/>
    <w:rsid w:val="00196C5C"/>
    <w:rsid w:val="001A34A8"/>
    <w:rsid w:val="001A63C9"/>
    <w:rsid w:val="001B1B14"/>
    <w:rsid w:val="001B757B"/>
    <w:rsid w:val="001C356F"/>
    <w:rsid w:val="001C4061"/>
    <w:rsid w:val="001C5B28"/>
    <w:rsid w:val="001D0638"/>
    <w:rsid w:val="001D69F7"/>
    <w:rsid w:val="001D6CA1"/>
    <w:rsid w:val="001D6E8D"/>
    <w:rsid w:val="001D72E1"/>
    <w:rsid w:val="001E1207"/>
    <w:rsid w:val="001E27F4"/>
    <w:rsid w:val="001E67A1"/>
    <w:rsid w:val="001F01D6"/>
    <w:rsid w:val="001F1034"/>
    <w:rsid w:val="001F32A3"/>
    <w:rsid w:val="001F32DC"/>
    <w:rsid w:val="001F4B22"/>
    <w:rsid w:val="001F6EAC"/>
    <w:rsid w:val="00201A5B"/>
    <w:rsid w:val="002112EA"/>
    <w:rsid w:val="00213415"/>
    <w:rsid w:val="00213A3E"/>
    <w:rsid w:val="00220144"/>
    <w:rsid w:val="00222117"/>
    <w:rsid w:val="00226D75"/>
    <w:rsid w:val="002279FA"/>
    <w:rsid w:val="00230BB9"/>
    <w:rsid w:val="00231486"/>
    <w:rsid w:val="00234BD0"/>
    <w:rsid w:val="002459EF"/>
    <w:rsid w:val="00255F01"/>
    <w:rsid w:val="00260F4A"/>
    <w:rsid w:val="0026399E"/>
    <w:rsid w:val="00267FF1"/>
    <w:rsid w:val="002860DE"/>
    <w:rsid w:val="002871F7"/>
    <w:rsid w:val="00287953"/>
    <w:rsid w:val="0029161B"/>
    <w:rsid w:val="00292F69"/>
    <w:rsid w:val="002A2C76"/>
    <w:rsid w:val="002A42CD"/>
    <w:rsid w:val="002C2E88"/>
    <w:rsid w:val="002C2F66"/>
    <w:rsid w:val="002C3131"/>
    <w:rsid w:val="002C5A6B"/>
    <w:rsid w:val="002D341B"/>
    <w:rsid w:val="002D7491"/>
    <w:rsid w:val="002D7D29"/>
    <w:rsid w:val="002E3427"/>
    <w:rsid w:val="002E6935"/>
    <w:rsid w:val="002F1F55"/>
    <w:rsid w:val="00305D94"/>
    <w:rsid w:val="00306CBC"/>
    <w:rsid w:val="003119D4"/>
    <w:rsid w:val="0032062B"/>
    <w:rsid w:val="003229B0"/>
    <w:rsid w:val="0032742D"/>
    <w:rsid w:val="00330A20"/>
    <w:rsid w:val="00334AA5"/>
    <w:rsid w:val="0033793E"/>
    <w:rsid w:val="00340CBE"/>
    <w:rsid w:val="00342C4F"/>
    <w:rsid w:val="00351424"/>
    <w:rsid w:val="00352CB3"/>
    <w:rsid w:val="00364B94"/>
    <w:rsid w:val="00371EBD"/>
    <w:rsid w:val="0038344E"/>
    <w:rsid w:val="00385F83"/>
    <w:rsid w:val="00393E25"/>
    <w:rsid w:val="00394F63"/>
    <w:rsid w:val="003A50CE"/>
    <w:rsid w:val="003A589C"/>
    <w:rsid w:val="003B3811"/>
    <w:rsid w:val="003B53EF"/>
    <w:rsid w:val="003C12A0"/>
    <w:rsid w:val="003C3795"/>
    <w:rsid w:val="003C4F1D"/>
    <w:rsid w:val="003D0053"/>
    <w:rsid w:val="003D144F"/>
    <w:rsid w:val="003D56F2"/>
    <w:rsid w:val="003D7C8D"/>
    <w:rsid w:val="003D7EB4"/>
    <w:rsid w:val="003E39F9"/>
    <w:rsid w:val="003F1821"/>
    <w:rsid w:val="003F2559"/>
    <w:rsid w:val="003F6C63"/>
    <w:rsid w:val="004017D7"/>
    <w:rsid w:val="0040431C"/>
    <w:rsid w:val="004104DF"/>
    <w:rsid w:val="00411687"/>
    <w:rsid w:val="00415F6D"/>
    <w:rsid w:val="00417CF5"/>
    <w:rsid w:val="00425B31"/>
    <w:rsid w:val="004268C7"/>
    <w:rsid w:val="004270F9"/>
    <w:rsid w:val="00430F0B"/>
    <w:rsid w:val="0043327C"/>
    <w:rsid w:val="0043692A"/>
    <w:rsid w:val="00437541"/>
    <w:rsid w:val="00447D9B"/>
    <w:rsid w:val="00452675"/>
    <w:rsid w:val="004526D9"/>
    <w:rsid w:val="0045453B"/>
    <w:rsid w:val="0045486E"/>
    <w:rsid w:val="00454E5D"/>
    <w:rsid w:val="00456EA6"/>
    <w:rsid w:val="004738F3"/>
    <w:rsid w:val="0048242B"/>
    <w:rsid w:val="00482860"/>
    <w:rsid w:val="00482E35"/>
    <w:rsid w:val="004A678B"/>
    <w:rsid w:val="004B3962"/>
    <w:rsid w:val="004C0603"/>
    <w:rsid w:val="004C1986"/>
    <w:rsid w:val="004C1DE3"/>
    <w:rsid w:val="004C7223"/>
    <w:rsid w:val="004D51A3"/>
    <w:rsid w:val="004F277B"/>
    <w:rsid w:val="004F3799"/>
    <w:rsid w:val="004F4A48"/>
    <w:rsid w:val="005018A6"/>
    <w:rsid w:val="00504993"/>
    <w:rsid w:val="00506594"/>
    <w:rsid w:val="00515980"/>
    <w:rsid w:val="0052241A"/>
    <w:rsid w:val="005239C9"/>
    <w:rsid w:val="00523A4B"/>
    <w:rsid w:val="00523B73"/>
    <w:rsid w:val="00524497"/>
    <w:rsid w:val="00525B36"/>
    <w:rsid w:val="0053080E"/>
    <w:rsid w:val="00531BD1"/>
    <w:rsid w:val="00533272"/>
    <w:rsid w:val="0053679B"/>
    <w:rsid w:val="005412BD"/>
    <w:rsid w:val="005457FC"/>
    <w:rsid w:val="00546438"/>
    <w:rsid w:val="00547A77"/>
    <w:rsid w:val="00550D88"/>
    <w:rsid w:val="00551B13"/>
    <w:rsid w:val="00557CA3"/>
    <w:rsid w:val="0057096A"/>
    <w:rsid w:val="005718DB"/>
    <w:rsid w:val="00577AF5"/>
    <w:rsid w:val="005802BF"/>
    <w:rsid w:val="0058630B"/>
    <w:rsid w:val="005879A8"/>
    <w:rsid w:val="00591424"/>
    <w:rsid w:val="005A1350"/>
    <w:rsid w:val="005A2E64"/>
    <w:rsid w:val="005A4F5C"/>
    <w:rsid w:val="005B14DE"/>
    <w:rsid w:val="005B44E4"/>
    <w:rsid w:val="005C2C71"/>
    <w:rsid w:val="005D4C76"/>
    <w:rsid w:val="005E7B0F"/>
    <w:rsid w:val="005F3EC6"/>
    <w:rsid w:val="00601C98"/>
    <w:rsid w:val="0060298A"/>
    <w:rsid w:val="00604E32"/>
    <w:rsid w:val="00612C1A"/>
    <w:rsid w:val="00623C21"/>
    <w:rsid w:val="0063506B"/>
    <w:rsid w:val="006365D3"/>
    <w:rsid w:val="006411EB"/>
    <w:rsid w:val="006436A7"/>
    <w:rsid w:val="006457FF"/>
    <w:rsid w:val="0065211E"/>
    <w:rsid w:val="006576CA"/>
    <w:rsid w:val="0066377A"/>
    <w:rsid w:val="006724B7"/>
    <w:rsid w:val="00674227"/>
    <w:rsid w:val="00683FE1"/>
    <w:rsid w:val="006847E4"/>
    <w:rsid w:val="006855DE"/>
    <w:rsid w:val="00690D47"/>
    <w:rsid w:val="0069178F"/>
    <w:rsid w:val="00696491"/>
    <w:rsid w:val="006971D1"/>
    <w:rsid w:val="006B1953"/>
    <w:rsid w:val="006B2272"/>
    <w:rsid w:val="006B5822"/>
    <w:rsid w:val="006C19F8"/>
    <w:rsid w:val="006D3E48"/>
    <w:rsid w:val="006E7C14"/>
    <w:rsid w:val="006F3BAC"/>
    <w:rsid w:val="00702633"/>
    <w:rsid w:val="007026AE"/>
    <w:rsid w:val="0070414E"/>
    <w:rsid w:val="007043C4"/>
    <w:rsid w:val="00704F59"/>
    <w:rsid w:val="00705C54"/>
    <w:rsid w:val="00720D91"/>
    <w:rsid w:val="007242CA"/>
    <w:rsid w:val="00733356"/>
    <w:rsid w:val="00736DCD"/>
    <w:rsid w:val="00737838"/>
    <w:rsid w:val="00741C3B"/>
    <w:rsid w:val="00745ACC"/>
    <w:rsid w:val="007522FA"/>
    <w:rsid w:val="007549F6"/>
    <w:rsid w:val="00772395"/>
    <w:rsid w:val="007823FC"/>
    <w:rsid w:val="00785B5A"/>
    <w:rsid w:val="00785B7A"/>
    <w:rsid w:val="00786DC6"/>
    <w:rsid w:val="00793591"/>
    <w:rsid w:val="00796DFC"/>
    <w:rsid w:val="007A59D4"/>
    <w:rsid w:val="007B5757"/>
    <w:rsid w:val="007C6558"/>
    <w:rsid w:val="007D1CA4"/>
    <w:rsid w:val="007E00C4"/>
    <w:rsid w:val="007F038B"/>
    <w:rsid w:val="007F4871"/>
    <w:rsid w:val="00800AD9"/>
    <w:rsid w:val="0081277C"/>
    <w:rsid w:val="00820A5D"/>
    <w:rsid w:val="00821695"/>
    <w:rsid w:val="00823E20"/>
    <w:rsid w:val="00827A52"/>
    <w:rsid w:val="00831A83"/>
    <w:rsid w:val="00841819"/>
    <w:rsid w:val="00846BC7"/>
    <w:rsid w:val="00852C4D"/>
    <w:rsid w:val="008551A7"/>
    <w:rsid w:val="00856988"/>
    <w:rsid w:val="00856CDC"/>
    <w:rsid w:val="00861745"/>
    <w:rsid w:val="00865204"/>
    <w:rsid w:val="00865E33"/>
    <w:rsid w:val="00873385"/>
    <w:rsid w:val="008827C7"/>
    <w:rsid w:val="008877EE"/>
    <w:rsid w:val="008A1412"/>
    <w:rsid w:val="008A1D46"/>
    <w:rsid w:val="008A3741"/>
    <w:rsid w:val="008A506E"/>
    <w:rsid w:val="008C46FA"/>
    <w:rsid w:val="008C4AB9"/>
    <w:rsid w:val="008E0254"/>
    <w:rsid w:val="008E57F6"/>
    <w:rsid w:val="00902DAE"/>
    <w:rsid w:val="009052D4"/>
    <w:rsid w:val="00906A04"/>
    <w:rsid w:val="0091483A"/>
    <w:rsid w:val="00916B9F"/>
    <w:rsid w:val="009264FE"/>
    <w:rsid w:val="0094107C"/>
    <w:rsid w:val="00941BAD"/>
    <w:rsid w:val="009575A8"/>
    <w:rsid w:val="00961B91"/>
    <w:rsid w:val="00962CA4"/>
    <w:rsid w:val="00966425"/>
    <w:rsid w:val="0097048F"/>
    <w:rsid w:val="00973C8F"/>
    <w:rsid w:val="00975649"/>
    <w:rsid w:val="00975978"/>
    <w:rsid w:val="00982C54"/>
    <w:rsid w:val="0098593C"/>
    <w:rsid w:val="00987F1E"/>
    <w:rsid w:val="009963D7"/>
    <w:rsid w:val="009A23F1"/>
    <w:rsid w:val="009A4D0A"/>
    <w:rsid w:val="009B1E5A"/>
    <w:rsid w:val="009B6476"/>
    <w:rsid w:val="009B6CEE"/>
    <w:rsid w:val="009D70F7"/>
    <w:rsid w:val="009E1584"/>
    <w:rsid w:val="009E1D83"/>
    <w:rsid w:val="009E7A1B"/>
    <w:rsid w:val="009F2123"/>
    <w:rsid w:val="00A0132D"/>
    <w:rsid w:val="00A209D8"/>
    <w:rsid w:val="00A20C6E"/>
    <w:rsid w:val="00A23A15"/>
    <w:rsid w:val="00A302D7"/>
    <w:rsid w:val="00A303AC"/>
    <w:rsid w:val="00A3050D"/>
    <w:rsid w:val="00A3558D"/>
    <w:rsid w:val="00A46C8E"/>
    <w:rsid w:val="00A52A38"/>
    <w:rsid w:val="00A62245"/>
    <w:rsid w:val="00A65993"/>
    <w:rsid w:val="00A67B7D"/>
    <w:rsid w:val="00A70843"/>
    <w:rsid w:val="00A73D77"/>
    <w:rsid w:val="00A80350"/>
    <w:rsid w:val="00A879BC"/>
    <w:rsid w:val="00A904CC"/>
    <w:rsid w:val="00A94C46"/>
    <w:rsid w:val="00A97DFA"/>
    <w:rsid w:val="00AA3D97"/>
    <w:rsid w:val="00AB09A4"/>
    <w:rsid w:val="00AB408A"/>
    <w:rsid w:val="00AC3961"/>
    <w:rsid w:val="00AD4D5B"/>
    <w:rsid w:val="00AD4EB2"/>
    <w:rsid w:val="00AD718E"/>
    <w:rsid w:val="00AE58ED"/>
    <w:rsid w:val="00AF2010"/>
    <w:rsid w:val="00AF2869"/>
    <w:rsid w:val="00AF507E"/>
    <w:rsid w:val="00B00923"/>
    <w:rsid w:val="00B04856"/>
    <w:rsid w:val="00B34835"/>
    <w:rsid w:val="00B4094F"/>
    <w:rsid w:val="00B41190"/>
    <w:rsid w:val="00B45F28"/>
    <w:rsid w:val="00B50774"/>
    <w:rsid w:val="00B508E7"/>
    <w:rsid w:val="00B5564B"/>
    <w:rsid w:val="00B578AB"/>
    <w:rsid w:val="00B61363"/>
    <w:rsid w:val="00B81B79"/>
    <w:rsid w:val="00B877BE"/>
    <w:rsid w:val="00B972BC"/>
    <w:rsid w:val="00BC1350"/>
    <w:rsid w:val="00BC17BB"/>
    <w:rsid w:val="00BC2597"/>
    <w:rsid w:val="00BD2B64"/>
    <w:rsid w:val="00BD67D1"/>
    <w:rsid w:val="00BE16AB"/>
    <w:rsid w:val="00BE2281"/>
    <w:rsid w:val="00BE2739"/>
    <w:rsid w:val="00BE3CC9"/>
    <w:rsid w:val="00BF2FB7"/>
    <w:rsid w:val="00C05A65"/>
    <w:rsid w:val="00C104A4"/>
    <w:rsid w:val="00C31A55"/>
    <w:rsid w:val="00C3270D"/>
    <w:rsid w:val="00C33ABD"/>
    <w:rsid w:val="00C46A2A"/>
    <w:rsid w:val="00C509C4"/>
    <w:rsid w:val="00C566E9"/>
    <w:rsid w:val="00C65945"/>
    <w:rsid w:val="00C67CD7"/>
    <w:rsid w:val="00C701DE"/>
    <w:rsid w:val="00C710C4"/>
    <w:rsid w:val="00C82D7A"/>
    <w:rsid w:val="00C846F5"/>
    <w:rsid w:val="00C87EC7"/>
    <w:rsid w:val="00C90750"/>
    <w:rsid w:val="00C934AC"/>
    <w:rsid w:val="00C93F49"/>
    <w:rsid w:val="00CA0FC2"/>
    <w:rsid w:val="00CA2ACC"/>
    <w:rsid w:val="00CA5EAD"/>
    <w:rsid w:val="00CA622F"/>
    <w:rsid w:val="00CA73FF"/>
    <w:rsid w:val="00CB0D9E"/>
    <w:rsid w:val="00CB1FC4"/>
    <w:rsid w:val="00CC30C6"/>
    <w:rsid w:val="00CC4E46"/>
    <w:rsid w:val="00CE4CE5"/>
    <w:rsid w:val="00CF06E3"/>
    <w:rsid w:val="00CF1C1A"/>
    <w:rsid w:val="00CF787A"/>
    <w:rsid w:val="00D0182F"/>
    <w:rsid w:val="00D04385"/>
    <w:rsid w:val="00D120BD"/>
    <w:rsid w:val="00D20857"/>
    <w:rsid w:val="00D2422E"/>
    <w:rsid w:val="00D35CD9"/>
    <w:rsid w:val="00D37424"/>
    <w:rsid w:val="00D41D6F"/>
    <w:rsid w:val="00D46B20"/>
    <w:rsid w:val="00D50191"/>
    <w:rsid w:val="00D53D10"/>
    <w:rsid w:val="00D60E4C"/>
    <w:rsid w:val="00D633D8"/>
    <w:rsid w:val="00D643CD"/>
    <w:rsid w:val="00D73072"/>
    <w:rsid w:val="00D77F89"/>
    <w:rsid w:val="00D8013D"/>
    <w:rsid w:val="00D82B49"/>
    <w:rsid w:val="00D84879"/>
    <w:rsid w:val="00D86254"/>
    <w:rsid w:val="00D9181C"/>
    <w:rsid w:val="00D94AD8"/>
    <w:rsid w:val="00D9692B"/>
    <w:rsid w:val="00DA3FE7"/>
    <w:rsid w:val="00DA4BD3"/>
    <w:rsid w:val="00DA4E93"/>
    <w:rsid w:val="00DB0AD6"/>
    <w:rsid w:val="00DB2DB1"/>
    <w:rsid w:val="00DC3D0F"/>
    <w:rsid w:val="00DC56BE"/>
    <w:rsid w:val="00DC5713"/>
    <w:rsid w:val="00DD2177"/>
    <w:rsid w:val="00DD4A88"/>
    <w:rsid w:val="00DD5807"/>
    <w:rsid w:val="00DE71CD"/>
    <w:rsid w:val="00DF01E1"/>
    <w:rsid w:val="00DF2E11"/>
    <w:rsid w:val="00DF3942"/>
    <w:rsid w:val="00DF6FC7"/>
    <w:rsid w:val="00E01EE9"/>
    <w:rsid w:val="00E06C60"/>
    <w:rsid w:val="00E10C61"/>
    <w:rsid w:val="00E405AB"/>
    <w:rsid w:val="00E41850"/>
    <w:rsid w:val="00E430E1"/>
    <w:rsid w:val="00E50D09"/>
    <w:rsid w:val="00E56FA6"/>
    <w:rsid w:val="00E6007A"/>
    <w:rsid w:val="00E62820"/>
    <w:rsid w:val="00E63594"/>
    <w:rsid w:val="00E63F73"/>
    <w:rsid w:val="00E669E5"/>
    <w:rsid w:val="00E66DB2"/>
    <w:rsid w:val="00E75870"/>
    <w:rsid w:val="00E95787"/>
    <w:rsid w:val="00EA2E27"/>
    <w:rsid w:val="00EA2E58"/>
    <w:rsid w:val="00EA7FB9"/>
    <w:rsid w:val="00EB017C"/>
    <w:rsid w:val="00EC0FC4"/>
    <w:rsid w:val="00ED2742"/>
    <w:rsid w:val="00EE50ED"/>
    <w:rsid w:val="00EE7101"/>
    <w:rsid w:val="00EF5297"/>
    <w:rsid w:val="00EF6A11"/>
    <w:rsid w:val="00F05807"/>
    <w:rsid w:val="00F0790B"/>
    <w:rsid w:val="00F11622"/>
    <w:rsid w:val="00F1655B"/>
    <w:rsid w:val="00F2252C"/>
    <w:rsid w:val="00F241B6"/>
    <w:rsid w:val="00F2453F"/>
    <w:rsid w:val="00F279E0"/>
    <w:rsid w:val="00F31991"/>
    <w:rsid w:val="00F350DD"/>
    <w:rsid w:val="00F36DA9"/>
    <w:rsid w:val="00F37E00"/>
    <w:rsid w:val="00F466B3"/>
    <w:rsid w:val="00F51205"/>
    <w:rsid w:val="00F52DDA"/>
    <w:rsid w:val="00F62EAA"/>
    <w:rsid w:val="00F66838"/>
    <w:rsid w:val="00F70610"/>
    <w:rsid w:val="00F76E35"/>
    <w:rsid w:val="00F815F2"/>
    <w:rsid w:val="00F82BD8"/>
    <w:rsid w:val="00F848DE"/>
    <w:rsid w:val="00F9119A"/>
    <w:rsid w:val="00F9275B"/>
    <w:rsid w:val="00FA40B6"/>
    <w:rsid w:val="00FB21CE"/>
    <w:rsid w:val="00FB4C68"/>
    <w:rsid w:val="00FB5772"/>
    <w:rsid w:val="00FB6A04"/>
    <w:rsid w:val="00FC015E"/>
    <w:rsid w:val="00FC32AA"/>
    <w:rsid w:val="00FC3C1C"/>
    <w:rsid w:val="00FC4E2B"/>
    <w:rsid w:val="00FC6210"/>
    <w:rsid w:val="00FD3506"/>
    <w:rsid w:val="00FD4BF2"/>
    <w:rsid w:val="00FE4F91"/>
    <w:rsid w:val="00FE64C9"/>
    <w:rsid w:val="00FF3E97"/>
    <w:rsid w:val="00FF45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7E203C7"/>
  <w15:docId w15:val="{C8CCD189-BB2F-488B-B238-3343A3A0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9"/>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856988"/>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2"/>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character" w:styleId="CommentReference">
    <w:name w:val="annotation reference"/>
    <w:basedOn w:val="DefaultParagraphFont"/>
    <w:uiPriority w:val="99"/>
    <w:semiHidden/>
    <w:unhideWhenUsed/>
    <w:rsid w:val="001F01D6"/>
    <w:rPr>
      <w:sz w:val="16"/>
      <w:szCs w:val="16"/>
    </w:rPr>
  </w:style>
  <w:style w:type="paragraph" w:styleId="CommentText">
    <w:name w:val="annotation text"/>
    <w:basedOn w:val="Normal"/>
    <w:link w:val="CommentTextChar"/>
    <w:uiPriority w:val="99"/>
    <w:semiHidden/>
    <w:unhideWhenUsed/>
    <w:rsid w:val="001F01D6"/>
    <w:rPr>
      <w:sz w:val="20"/>
      <w:szCs w:val="20"/>
    </w:rPr>
  </w:style>
  <w:style w:type="character" w:customStyle="1" w:styleId="CommentTextChar">
    <w:name w:val="Comment Text Char"/>
    <w:basedOn w:val="DefaultParagraphFont"/>
    <w:link w:val="CommentText"/>
    <w:uiPriority w:val="99"/>
    <w:semiHidden/>
    <w:rsid w:val="001F01D6"/>
    <w:rPr>
      <w:sz w:val="20"/>
      <w:szCs w:val="20"/>
    </w:rPr>
  </w:style>
  <w:style w:type="paragraph" w:styleId="CommentSubject">
    <w:name w:val="annotation subject"/>
    <w:basedOn w:val="CommentText"/>
    <w:next w:val="CommentText"/>
    <w:link w:val="CommentSubjectChar"/>
    <w:uiPriority w:val="99"/>
    <w:semiHidden/>
    <w:unhideWhenUsed/>
    <w:rsid w:val="001F01D6"/>
    <w:rPr>
      <w:b/>
      <w:bCs/>
    </w:rPr>
  </w:style>
  <w:style w:type="character" w:customStyle="1" w:styleId="CommentSubjectChar">
    <w:name w:val="Comment Subject Char"/>
    <w:basedOn w:val="CommentTextChar"/>
    <w:link w:val="CommentSubject"/>
    <w:uiPriority w:val="99"/>
    <w:semiHidden/>
    <w:rsid w:val="001F01D6"/>
    <w:rPr>
      <w:b/>
      <w:bCs/>
      <w:sz w:val="20"/>
      <w:szCs w:val="20"/>
    </w:rPr>
  </w:style>
  <w:style w:type="paragraph" w:customStyle="1" w:styleId="CabStandard">
    <w:name w:val="CabStandard"/>
    <w:basedOn w:val="Normal"/>
    <w:rsid w:val="00736DCD"/>
    <w:pPr>
      <w:numPr>
        <w:numId w:val="17"/>
      </w:numPr>
      <w:jc w:val="left"/>
    </w:pPr>
    <w:rPr>
      <w:rFonts w:ascii="Times New Roman" w:eastAsia="Times New Roman" w:hAnsi="Times New Roman" w:cs="Times New Roman"/>
      <w:szCs w:val="20"/>
      <w:lang w:val="en-GB" w:eastAsia="ja-JP"/>
    </w:rPr>
  </w:style>
  <w:style w:type="paragraph" w:customStyle="1" w:styleId="TableStyle">
    <w:name w:val="TableStyle"/>
    <w:rsid w:val="00340CBE"/>
    <w:pPr>
      <w:autoSpaceDE w:val="0"/>
      <w:autoSpaceDN w:val="0"/>
      <w:adjustRightInd w:val="0"/>
      <w:spacing w:after="40"/>
    </w:pPr>
    <w:rPr>
      <w:rFonts w:ascii="Times New Roman" w:eastAsia="Times New Roman" w:hAnsi="Times New Roman" w:cs="Times New Roman"/>
      <w:sz w:val="20"/>
      <w:szCs w:val="20"/>
    </w:rPr>
  </w:style>
  <w:style w:type="paragraph" w:customStyle="1" w:styleId="BoldHeaderTableStyle">
    <w:name w:val="BoldHeaderTableStyle"/>
    <w:rsid w:val="00340CBE"/>
    <w:pPr>
      <w:autoSpaceDE w:val="0"/>
      <w:autoSpaceDN w:val="0"/>
      <w:adjustRightInd w:val="0"/>
      <w:spacing w:after="40"/>
    </w:pPr>
    <w:rPr>
      <w:rFonts w:ascii="Times New Roman" w:eastAsia="Times New Roman" w:hAnsi="Times New Roman" w:cs="Times New Roman"/>
      <w:b/>
      <w:bCs/>
      <w:sz w:val="20"/>
      <w:szCs w:val="20"/>
    </w:rPr>
  </w:style>
  <w:style w:type="paragraph" w:styleId="ListParagraph">
    <w:name w:val="List Paragraph"/>
    <w:basedOn w:val="Normal"/>
    <w:uiPriority w:val="34"/>
    <w:qFormat/>
    <w:rsid w:val="0066377A"/>
    <w:pPr>
      <w:spacing w:after="160" w:line="259" w:lineRule="auto"/>
      <w:ind w:left="720"/>
      <w:contextualSpacing/>
      <w:jc w:val="left"/>
    </w:pPr>
    <w:rPr>
      <w:rFonts w:asciiTheme="minorHAnsi" w:hAnsiTheme="minorHAnsi"/>
      <w:sz w:val="22"/>
      <w:szCs w:val="22"/>
      <w:lang w:eastAsia="en-US"/>
    </w:rPr>
  </w:style>
  <w:style w:type="character" w:styleId="UnresolvedMention">
    <w:name w:val="Unresolved Mention"/>
    <w:basedOn w:val="DefaultParagraphFont"/>
    <w:uiPriority w:val="99"/>
    <w:semiHidden/>
    <w:unhideWhenUsed/>
    <w:rsid w:val="009E1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6505">
      <w:bodyDiv w:val="1"/>
      <w:marLeft w:val="0"/>
      <w:marRight w:val="0"/>
      <w:marTop w:val="0"/>
      <w:marBottom w:val="0"/>
      <w:divBdr>
        <w:top w:val="none" w:sz="0" w:space="0" w:color="auto"/>
        <w:left w:val="none" w:sz="0" w:space="0" w:color="auto"/>
        <w:bottom w:val="none" w:sz="0" w:space="0" w:color="auto"/>
        <w:right w:val="none" w:sz="0" w:space="0" w:color="auto"/>
      </w:divBdr>
    </w:div>
    <w:div w:id="196431889">
      <w:bodyDiv w:val="1"/>
      <w:marLeft w:val="0"/>
      <w:marRight w:val="0"/>
      <w:marTop w:val="0"/>
      <w:marBottom w:val="0"/>
      <w:divBdr>
        <w:top w:val="none" w:sz="0" w:space="0" w:color="auto"/>
        <w:left w:val="none" w:sz="0" w:space="0" w:color="auto"/>
        <w:bottom w:val="none" w:sz="0" w:space="0" w:color="auto"/>
        <w:right w:val="none" w:sz="0" w:space="0" w:color="auto"/>
      </w:divBdr>
    </w:div>
    <w:div w:id="808941444">
      <w:bodyDiv w:val="1"/>
      <w:marLeft w:val="0"/>
      <w:marRight w:val="0"/>
      <w:marTop w:val="0"/>
      <w:marBottom w:val="0"/>
      <w:divBdr>
        <w:top w:val="none" w:sz="0" w:space="0" w:color="auto"/>
        <w:left w:val="none" w:sz="0" w:space="0" w:color="auto"/>
        <w:bottom w:val="none" w:sz="0" w:space="0" w:color="auto"/>
        <w:right w:val="none" w:sz="0" w:space="0" w:color="auto"/>
      </w:divBdr>
    </w:div>
    <w:div w:id="907423607">
      <w:bodyDiv w:val="1"/>
      <w:marLeft w:val="0"/>
      <w:marRight w:val="0"/>
      <w:marTop w:val="0"/>
      <w:marBottom w:val="0"/>
      <w:divBdr>
        <w:top w:val="none" w:sz="0" w:space="0" w:color="auto"/>
        <w:left w:val="none" w:sz="0" w:space="0" w:color="auto"/>
        <w:bottom w:val="none" w:sz="0" w:space="0" w:color="auto"/>
        <w:right w:val="none" w:sz="0" w:space="0" w:color="auto"/>
      </w:divBdr>
    </w:div>
    <w:div w:id="1150707455">
      <w:bodyDiv w:val="1"/>
      <w:marLeft w:val="0"/>
      <w:marRight w:val="0"/>
      <w:marTop w:val="0"/>
      <w:marBottom w:val="0"/>
      <w:divBdr>
        <w:top w:val="none" w:sz="0" w:space="0" w:color="auto"/>
        <w:left w:val="none" w:sz="0" w:space="0" w:color="auto"/>
        <w:bottom w:val="none" w:sz="0" w:space="0" w:color="auto"/>
        <w:right w:val="none" w:sz="0" w:space="0" w:color="auto"/>
      </w:divBdr>
    </w:div>
    <w:div w:id="1640577554">
      <w:bodyDiv w:val="1"/>
      <w:marLeft w:val="0"/>
      <w:marRight w:val="0"/>
      <w:marTop w:val="0"/>
      <w:marBottom w:val="0"/>
      <w:divBdr>
        <w:top w:val="none" w:sz="0" w:space="0" w:color="auto"/>
        <w:left w:val="none" w:sz="0" w:space="0" w:color="auto"/>
        <w:bottom w:val="none" w:sz="0" w:space="0" w:color="auto"/>
        <w:right w:val="none" w:sz="0" w:space="0" w:color="auto"/>
      </w:divBdr>
    </w:div>
    <w:div w:id="19739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F8DB6227464F3EB81329099A0FFA9D"/>
        <w:category>
          <w:name w:val="General"/>
          <w:gallery w:val="placeholder"/>
        </w:category>
        <w:types>
          <w:type w:val="bbPlcHdr"/>
        </w:types>
        <w:behaviors>
          <w:behavior w:val="content"/>
        </w:behaviors>
        <w:guid w:val="{9A24298C-4F9F-4A46-9ABA-E62B573C31B8}"/>
      </w:docPartPr>
      <w:docPartBody>
        <w:p w:rsidR="004208D9" w:rsidRDefault="00857BC3" w:rsidP="00857BC3">
          <w:pPr>
            <w:pStyle w:val="06F8DB6227464F3EB81329099A0FFA9D"/>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
      <w:docPartPr>
        <w:name w:val="6C477FFFC8E34634A3034CF3650D9D1D"/>
        <w:category>
          <w:name w:val="General"/>
          <w:gallery w:val="placeholder"/>
        </w:category>
        <w:types>
          <w:type w:val="bbPlcHdr"/>
        </w:types>
        <w:behaviors>
          <w:behavior w:val="content"/>
        </w:behaviors>
        <w:guid w:val="{63AE0E9D-8A74-4919-BB1A-5A1B372EA03B}"/>
      </w:docPartPr>
      <w:docPartBody>
        <w:p w:rsidR="004208D9" w:rsidRDefault="00857BC3" w:rsidP="00857BC3">
          <w:pPr>
            <w:pStyle w:val="6C477FFFC8E34634A3034CF3650D9D1D"/>
          </w:pPr>
          <w:r>
            <w:rPr>
              <w:rStyle w:val="PlaceholderText"/>
            </w:rPr>
            <w:t>[C</w:t>
          </w:r>
          <w:r w:rsidRPr="00B418D6">
            <w:rPr>
              <w:rStyle w:val="PlaceholderText"/>
            </w:rPr>
            <w:t>hoose a</w:t>
          </w:r>
          <w:r>
            <w:rPr>
              <w:rStyle w:val="PlaceholderText"/>
            </w:rPr>
            <w:t xml:space="preserve"> 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76"/>
    <w:rsid w:val="002A5908"/>
    <w:rsid w:val="004208D9"/>
    <w:rsid w:val="005303B9"/>
    <w:rsid w:val="007C237E"/>
    <w:rsid w:val="00857BC3"/>
    <w:rsid w:val="00A066D6"/>
    <w:rsid w:val="00A81676"/>
    <w:rsid w:val="00F654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BC3"/>
    <w:rPr>
      <w:color w:val="808080"/>
    </w:rPr>
  </w:style>
  <w:style w:type="paragraph" w:customStyle="1" w:styleId="54FF11F796CA4C1485886D9725E62D31">
    <w:name w:val="54FF11F796CA4C1485886D9725E62D31"/>
  </w:style>
  <w:style w:type="paragraph" w:customStyle="1" w:styleId="06F8DB6227464F3EB81329099A0FFA9D">
    <w:name w:val="06F8DB6227464F3EB81329099A0FFA9D"/>
    <w:rsid w:val="00857BC3"/>
  </w:style>
  <w:style w:type="paragraph" w:customStyle="1" w:styleId="6C477FFFC8E34634A3034CF3650D9D1D">
    <w:name w:val="6C477FFFC8E34634A3034CF3650D9D1D"/>
    <w:rsid w:val="00857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Cabinet paper - DEV-19-SUB-0153 - GST on low-value imported goods: application date (12 June 2019)</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paper - DEV-19-SUB-0153 - GST on low-value imported goods: application date (12 June 2019)</dc:title>
  <dc:subject/>
  <dc:creator/>
  <cp:keywords/>
  <dcterms:created xsi:type="dcterms:W3CDTF">2019-06-03T21:58:00Z</dcterms:created>
  <dcterms:modified xsi:type="dcterms:W3CDTF">2019-06-17T02:18:00Z</dcterms:modified>
</cp:coreProperties>
</file>