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0A" w:rsidRDefault="00A8412E">
      <w:pPr>
        <w:spacing w:before="51"/>
        <w:ind w:left="2022" w:right="1276"/>
        <w:rPr>
          <w:rFonts w:ascii="Arial"/>
          <w:b/>
          <w:sz w:val="4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750569</wp:posOffset>
            </wp:positionH>
            <wp:positionV relativeFrom="paragraph">
              <wp:posOffset>32839</wp:posOffset>
            </wp:positionV>
            <wp:extent cx="976630" cy="958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44"/>
        </w:rPr>
        <w:t>Cabinet Eco</w:t>
      </w:r>
      <w:bookmarkStart w:id="0" w:name="_GoBack"/>
      <w:bookmarkEnd w:id="0"/>
      <w:r>
        <w:rPr>
          <w:rFonts w:ascii="Arial"/>
          <w:b/>
          <w:sz w:val="44"/>
        </w:rPr>
        <w:t>nomic Development Committee</w:t>
      </w:r>
    </w:p>
    <w:p w:rsidR="009C510A" w:rsidRDefault="00A8412E">
      <w:pPr>
        <w:spacing w:before="322"/>
        <w:ind w:left="2022"/>
        <w:rPr>
          <w:rFonts w:ascii="Arial"/>
          <w:b/>
          <w:sz w:val="32"/>
        </w:rPr>
      </w:pPr>
      <w:r>
        <w:pict>
          <v:line id="_x0000_s1029" style="position:absolute;left:0;text-align:left;z-index:1024;mso-position-horizontal-relative:page" from="51.3pt,42.8pt" to="544.1pt,42.8pt" strokeweight=".6pt">
            <w10:wrap anchorx="page"/>
          </v:line>
        </w:pict>
      </w:r>
      <w:r>
        <w:rPr>
          <w:rFonts w:ascii="Arial"/>
          <w:b/>
          <w:sz w:val="32"/>
        </w:rPr>
        <w:t>Minute of Decision</w:t>
      </w:r>
    </w:p>
    <w:p w:rsidR="009C510A" w:rsidRDefault="009C510A">
      <w:pPr>
        <w:pStyle w:val="BodyText"/>
        <w:spacing w:before="11"/>
        <w:rPr>
          <w:rFonts w:ascii="Arial"/>
          <w:b/>
          <w:sz w:val="11"/>
        </w:rPr>
      </w:pPr>
    </w:p>
    <w:p w:rsidR="009C510A" w:rsidRDefault="00A8412E">
      <w:pPr>
        <w:spacing w:before="93"/>
        <w:ind w:left="115" w:right="23"/>
        <w:rPr>
          <w:rFonts w:ascii="Arial"/>
          <w:i/>
          <w:sz w:val="20"/>
        </w:rPr>
      </w:pPr>
      <w:r>
        <w:pict>
          <v:line id="_x0000_s1028" style="position:absolute;left:0;text-align:left;z-index:1048;mso-position-horizontal-relative:page" from="51.3pt,42.45pt" to="544.1pt,42.45pt" strokeweight=".6pt">
            <w10:wrap anchorx="page"/>
          </v:line>
        </w:pict>
      </w:r>
      <w:r>
        <w:rPr>
          <w:rFonts w:ascii="Arial"/>
          <w:i/>
          <w:sz w:val="20"/>
        </w:rPr>
        <w:t xml:space="preserve">This document contains information for the New Zealand Cabinet. It must be treated in confidence and </w:t>
      </w:r>
      <w:r>
        <w:rPr>
          <w:rFonts w:ascii="Arial"/>
          <w:i/>
          <w:sz w:val="20"/>
        </w:rPr>
        <w:t>handled in accordance with any security classification, or other endorsement. The information can only be released, including under the Official Information Act 1982, by persons with the appropriate authority.</w:t>
      </w:r>
    </w:p>
    <w:p w:rsidR="009C510A" w:rsidRDefault="009C510A">
      <w:pPr>
        <w:pStyle w:val="BodyText"/>
        <w:rPr>
          <w:rFonts w:ascii="Arial"/>
          <w:i/>
          <w:sz w:val="22"/>
        </w:rPr>
      </w:pPr>
    </w:p>
    <w:p w:rsidR="009C510A" w:rsidRDefault="009C510A">
      <w:pPr>
        <w:pStyle w:val="BodyText"/>
        <w:spacing w:before="11"/>
        <w:rPr>
          <w:rFonts w:ascii="Arial"/>
          <w:i/>
          <w:sz w:val="25"/>
        </w:rPr>
      </w:pPr>
    </w:p>
    <w:p w:rsidR="009C510A" w:rsidRDefault="00A8412E">
      <w:pPr>
        <w:ind w:left="115"/>
        <w:rPr>
          <w:rFonts w:ascii="Arial"/>
          <w:b/>
          <w:sz w:val="28"/>
        </w:rPr>
      </w:pPr>
      <w:r>
        <w:rPr>
          <w:rFonts w:ascii="Arial"/>
          <w:b/>
          <w:sz w:val="28"/>
        </w:rPr>
        <w:t>GST on Low-Value Imported Goods: Application</w:t>
      </w:r>
      <w:r>
        <w:rPr>
          <w:rFonts w:ascii="Arial"/>
          <w:b/>
          <w:sz w:val="28"/>
        </w:rPr>
        <w:t xml:space="preserve"> Date</w:t>
      </w:r>
    </w:p>
    <w:p w:rsidR="009C510A" w:rsidRDefault="009C510A">
      <w:pPr>
        <w:pStyle w:val="BodyText"/>
        <w:spacing w:before="2"/>
        <w:rPr>
          <w:rFonts w:ascii="Arial"/>
          <w:b/>
          <w:sz w:val="31"/>
        </w:rPr>
      </w:pPr>
    </w:p>
    <w:p w:rsidR="009C510A" w:rsidRDefault="00A8412E">
      <w:pPr>
        <w:tabs>
          <w:tab w:val="left" w:pos="2023"/>
        </w:tabs>
        <w:spacing w:before="1"/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Portfolios</w:t>
      </w:r>
      <w:r>
        <w:rPr>
          <w:rFonts w:ascii="Arial"/>
          <w:b/>
          <w:sz w:val="20"/>
        </w:rPr>
        <w:tab/>
        <w:t>Finance / Revenue /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Customs</w:t>
      </w:r>
    </w:p>
    <w:p w:rsidR="009C510A" w:rsidRDefault="009C510A">
      <w:pPr>
        <w:pStyle w:val="BodyText"/>
        <w:rPr>
          <w:rFonts w:ascii="Arial"/>
          <w:b/>
          <w:sz w:val="22"/>
        </w:rPr>
      </w:pPr>
    </w:p>
    <w:p w:rsidR="009C510A" w:rsidRDefault="009C510A">
      <w:pPr>
        <w:pStyle w:val="BodyText"/>
        <w:spacing w:before="9"/>
        <w:rPr>
          <w:rFonts w:ascii="Arial"/>
          <w:b/>
          <w:sz w:val="22"/>
        </w:rPr>
      </w:pPr>
    </w:p>
    <w:p w:rsidR="009C510A" w:rsidRDefault="00A8412E">
      <w:pPr>
        <w:pStyle w:val="BodyText"/>
        <w:ind w:left="115"/>
      </w:pPr>
      <w:r>
        <w:t>On 12 June 2019, the Cabinet Economic Development Committee:</w:t>
      </w:r>
    </w:p>
    <w:p w:rsidR="009C510A" w:rsidRDefault="009C510A">
      <w:pPr>
        <w:pStyle w:val="BodyText"/>
        <w:spacing w:before="5"/>
        <w:rPr>
          <w:sz w:val="34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that: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124"/>
        <w:rPr>
          <w:sz w:val="24"/>
        </w:rPr>
      </w:pPr>
      <w:r>
        <w:rPr>
          <w:sz w:val="24"/>
        </w:rPr>
        <w:t xml:space="preserve">on 24 September 2018, Cabinet agreed to implement an offshore supplier registration system for collecting GST on imported goods valued at or below $1,000, and to change the </w:t>
      </w:r>
      <w:r>
        <w:rPr>
          <w:i/>
          <w:sz w:val="24"/>
        </w:rPr>
        <w:t xml:space="preserve">de minimis </w:t>
      </w:r>
      <w:r>
        <w:rPr>
          <w:sz w:val="24"/>
        </w:rPr>
        <w:t>to $1,000 based on the value of the consignment once the system is imple</w:t>
      </w:r>
      <w:r>
        <w:rPr>
          <w:sz w:val="24"/>
        </w:rPr>
        <w:t>mented (the proposed system)</w:t>
      </w:r>
      <w:r>
        <w:rPr>
          <w:spacing w:val="-1"/>
          <w:sz w:val="24"/>
        </w:rPr>
        <w:t xml:space="preserve"> </w:t>
      </w:r>
      <w:r>
        <w:rPr>
          <w:sz w:val="24"/>
        </w:rPr>
        <w:t>[CAB-18-MIN-0466.01];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530"/>
        <w:rPr>
          <w:sz w:val="24"/>
        </w:rPr>
      </w:pPr>
      <w:r>
        <w:rPr>
          <w:sz w:val="24"/>
        </w:rPr>
        <w:t>the proposed system is included in the Taxation (Annual Rates for 2019-20, GST Offshore Supplier Registration, and Remedial Matters) Bill (the</w:t>
      </w:r>
      <w:r>
        <w:rPr>
          <w:spacing w:val="-5"/>
          <w:sz w:val="24"/>
        </w:rPr>
        <w:t xml:space="preserve"> </w:t>
      </w:r>
      <w:r>
        <w:rPr>
          <w:sz w:val="24"/>
        </w:rPr>
        <w:t>Bill);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605"/>
        <w:rPr>
          <w:sz w:val="24"/>
        </w:rPr>
      </w:pPr>
      <w:r>
        <w:rPr>
          <w:sz w:val="24"/>
        </w:rPr>
        <w:t>the application date for the proposed system, as outlined in the Bill, is 1</w:t>
      </w:r>
      <w:r>
        <w:rPr>
          <w:spacing w:val="-22"/>
          <w:sz w:val="24"/>
        </w:rPr>
        <w:t xml:space="preserve"> </w:t>
      </w:r>
      <w:r>
        <w:rPr>
          <w:sz w:val="24"/>
        </w:rPr>
        <w:t>October 2019;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306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several submitters on the Bill, New Zealand Post, and some in the fast freight industry have expressed concern that it may be difficult to implement the n</w:t>
      </w:r>
      <w:r>
        <w:rPr>
          <w:sz w:val="24"/>
        </w:rPr>
        <w:t>ecessary</w:t>
      </w:r>
      <w:r>
        <w:rPr>
          <w:spacing w:val="-26"/>
          <w:sz w:val="24"/>
        </w:rPr>
        <w:t xml:space="preserve"> </w:t>
      </w:r>
      <w:r>
        <w:rPr>
          <w:sz w:val="24"/>
        </w:rPr>
        <w:t>system changes to comply with the proposed system by 1 October</w:t>
      </w:r>
      <w:r>
        <w:rPr>
          <w:spacing w:val="-1"/>
          <w:sz w:val="24"/>
        </w:rPr>
        <w:t xml:space="preserve"> </w:t>
      </w:r>
      <w:r>
        <w:rPr>
          <w:sz w:val="24"/>
        </w:rPr>
        <w:t>2019;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right="286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in response to submissions, the Bill as reported back by the Finance and Expenditure Committee delays the application date for the proposed system by two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months to 1 </w:t>
      </w:r>
      <w:r>
        <w:rPr>
          <w:sz w:val="24"/>
        </w:rPr>
        <w:t>December</w:t>
      </w:r>
      <w:r>
        <w:rPr>
          <w:spacing w:val="1"/>
          <w:sz w:val="24"/>
        </w:rPr>
        <w:t xml:space="preserve"> </w:t>
      </w:r>
      <w:r>
        <w:rPr>
          <w:sz w:val="24"/>
        </w:rPr>
        <w:t>2019;</w:t>
      </w:r>
    </w:p>
    <w:p w:rsidR="009C510A" w:rsidRDefault="009C510A">
      <w:pPr>
        <w:pStyle w:val="BodyText"/>
        <w:spacing w:before="9"/>
        <w:rPr>
          <w:sz w:val="20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 the proposed 1 December 2019 application date of the proposed</w:t>
      </w:r>
      <w:r>
        <w:rPr>
          <w:spacing w:val="-5"/>
          <w:sz w:val="24"/>
        </w:rPr>
        <w:t xml:space="preserve"> </w:t>
      </w:r>
      <w:r>
        <w:rPr>
          <w:sz w:val="24"/>
        </w:rPr>
        <w:t>system;</w:t>
      </w:r>
    </w:p>
    <w:p w:rsidR="009C510A" w:rsidRDefault="009C510A">
      <w:pPr>
        <w:pStyle w:val="BodyText"/>
        <w:spacing w:before="9"/>
        <w:rPr>
          <w:sz w:val="20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right="298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if the application date of the GST on low-value imported goods changes is delayed to 1 December 2019, the following will also come into force on 1 D</w:t>
      </w:r>
      <w:r>
        <w:rPr>
          <w:sz w:val="24"/>
        </w:rPr>
        <w:t>ecember</w:t>
      </w:r>
      <w:r>
        <w:rPr>
          <w:spacing w:val="-23"/>
          <w:sz w:val="24"/>
        </w:rPr>
        <w:t xml:space="preserve"> </w:t>
      </w:r>
      <w:r>
        <w:rPr>
          <w:sz w:val="24"/>
        </w:rPr>
        <w:t>2019: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ind w:right="865"/>
        <w:rPr>
          <w:sz w:val="24"/>
        </w:rPr>
      </w:pPr>
      <w:r>
        <w:rPr>
          <w:sz w:val="24"/>
        </w:rPr>
        <w:t>the Customs and Excise Amendment Regulations (No 2) 2019 (relating to</w:t>
      </w:r>
      <w:r>
        <w:rPr>
          <w:spacing w:val="-19"/>
          <w:sz w:val="24"/>
        </w:rPr>
        <w:t xml:space="preserve"> </w:t>
      </w:r>
      <w:r>
        <w:rPr>
          <w:sz w:val="24"/>
        </w:rPr>
        <w:t>the thresholds for collecting duty and the Import Entry Transaction</w:t>
      </w:r>
      <w:r>
        <w:rPr>
          <w:spacing w:val="-4"/>
          <w:sz w:val="24"/>
        </w:rPr>
        <w:t xml:space="preserve"> </w:t>
      </w:r>
      <w:r>
        <w:rPr>
          <w:sz w:val="24"/>
        </w:rPr>
        <w:t>Fee);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rPr>
          <w:sz w:val="24"/>
        </w:rPr>
      </w:pPr>
      <w:r>
        <w:rPr>
          <w:sz w:val="24"/>
        </w:rPr>
        <w:t>any required changes to the Biosecurity (System Entry Levy) Order</w:t>
      </w:r>
      <w:r>
        <w:rPr>
          <w:spacing w:val="-4"/>
          <w:sz w:val="24"/>
        </w:rPr>
        <w:t xml:space="preserve"> </w:t>
      </w:r>
      <w:r>
        <w:rPr>
          <w:sz w:val="24"/>
        </w:rPr>
        <w:t>2019;</w:t>
      </w:r>
    </w:p>
    <w:p w:rsidR="009C510A" w:rsidRDefault="009C510A">
      <w:pPr>
        <w:rPr>
          <w:sz w:val="24"/>
        </w:rPr>
        <w:sectPr w:rsidR="009C510A">
          <w:headerReference w:type="default" r:id="rId8"/>
          <w:footerReference w:type="default" r:id="rId9"/>
          <w:type w:val="continuous"/>
          <w:pgSz w:w="11900" w:h="16840"/>
          <w:pgMar w:top="840" w:right="1000" w:bottom="780" w:left="1020" w:header="405" w:footer="582" w:gutter="0"/>
          <w:pgNumType w:start="1"/>
          <w:cols w:space="720"/>
        </w:sectPr>
      </w:pPr>
    </w:p>
    <w:p w:rsidR="009C510A" w:rsidRDefault="00A8412E">
      <w:pPr>
        <w:spacing w:before="52"/>
        <w:ind w:left="115"/>
        <w:rPr>
          <w:rFonts w:ascii="Arial"/>
          <w:b/>
          <w:sz w:val="24"/>
        </w:rPr>
      </w:pPr>
      <w:bookmarkStart w:id="1" w:name="Fiscal_implications"/>
      <w:bookmarkEnd w:id="1"/>
      <w:r>
        <w:rPr>
          <w:rFonts w:ascii="Arial"/>
          <w:b/>
          <w:sz w:val="24"/>
        </w:rPr>
        <w:lastRenderedPageBreak/>
        <w:t>Fiscal implications</w:t>
      </w:r>
    </w:p>
    <w:p w:rsidR="009C510A" w:rsidRDefault="009C510A">
      <w:pPr>
        <w:pStyle w:val="BodyText"/>
        <w:spacing w:before="9"/>
        <w:rPr>
          <w:rFonts w:ascii="Arial"/>
          <w:b/>
          <w:sz w:val="20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003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 xml:space="preserve">the following changes </w:t>
      </w:r>
      <w:proofErr w:type="gramStart"/>
      <w:r>
        <w:rPr>
          <w:sz w:val="24"/>
        </w:rPr>
        <w:t>as a result of</w:t>
      </w:r>
      <w:proofErr w:type="gramEnd"/>
      <w:r>
        <w:rPr>
          <w:sz w:val="24"/>
        </w:rPr>
        <w:t xml:space="preserve"> the decision in paragraph 4 above, with a corresponding impact on the operating balance:</w:t>
      </w:r>
    </w:p>
    <w:p w:rsidR="009C510A" w:rsidRDefault="009C510A">
      <w:pPr>
        <w:pStyle w:val="BodyText"/>
        <w:spacing w:before="10"/>
        <w:rPr>
          <w:sz w:val="20"/>
        </w:rPr>
      </w:pPr>
    </w:p>
    <w:tbl>
      <w:tblPr>
        <w:tblW w:w="0" w:type="auto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1170"/>
        <w:gridCol w:w="1168"/>
        <w:gridCol w:w="1170"/>
        <w:gridCol w:w="1168"/>
        <w:gridCol w:w="1180"/>
      </w:tblGrid>
      <w:tr w:rsidR="009C510A">
        <w:trPr>
          <w:trHeight w:val="345"/>
        </w:trPr>
        <w:tc>
          <w:tcPr>
            <w:tcW w:w="2944" w:type="dxa"/>
            <w:tcBorders>
              <w:top w:val="nil"/>
              <w:left w:val="nil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8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1935"/>
              <w:rPr>
                <w:sz w:val="20"/>
              </w:rPr>
            </w:pPr>
            <w:r>
              <w:rPr>
                <w:sz w:val="20"/>
              </w:rPr>
              <w:t>$m – increase/(decrease)</w:t>
            </w:r>
          </w:p>
        </w:tc>
      </w:tr>
      <w:tr w:rsidR="009C510A">
        <w:trPr>
          <w:trHeight w:val="572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109" w:right="1072"/>
              <w:rPr>
                <w:b/>
                <w:sz w:val="20"/>
              </w:rPr>
            </w:pPr>
            <w:r>
              <w:rPr>
                <w:b/>
                <w:sz w:val="20"/>
              </w:rPr>
              <w:t>Vote Revenue Minister of Revenue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238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2018/19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222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2019/20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238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2020/21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222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2021/22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spacing w:line="229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2022/23 &amp;</w:t>
            </w:r>
          </w:p>
          <w:p w:rsidR="009C510A" w:rsidRDefault="00A8412E">
            <w:pPr>
              <w:pStyle w:val="TableParagraph"/>
              <w:spacing w:before="0" w:line="229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Outyears</w:t>
            </w:r>
          </w:p>
        </w:tc>
      </w:tr>
      <w:tr w:rsidR="009C510A">
        <w:trPr>
          <w:trHeight w:val="801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Tax Revenue:</w:t>
            </w:r>
          </w:p>
          <w:p w:rsidR="009C510A" w:rsidRDefault="00A8412E">
            <w:pPr>
              <w:pStyle w:val="TableParagraph"/>
              <w:spacing w:before="0"/>
              <w:ind w:left="109" w:right="127"/>
              <w:rPr>
                <w:sz w:val="20"/>
              </w:rPr>
            </w:pPr>
            <w:r>
              <w:rPr>
                <w:sz w:val="20"/>
              </w:rPr>
              <w:t>GST (1 October 2019 application date)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7"/>
              <w:rPr>
                <w:sz w:val="24"/>
              </w:rPr>
            </w:pPr>
          </w:p>
          <w:p w:rsidR="009C510A" w:rsidRDefault="00A8412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7"/>
              <w:rPr>
                <w:sz w:val="24"/>
              </w:rPr>
            </w:pPr>
          </w:p>
          <w:p w:rsidR="009C510A" w:rsidRDefault="00A8412E">
            <w:pPr>
              <w:pStyle w:val="TableParagraph"/>
              <w:spacing w:before="1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66.000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7"/>
              <w:rPr>
                <w:sz w:val="24"/>
              </w:rPr>
            </w:pPr>
          </w:p>
          <w:p w:rsidR="009C510A" w:rsidRDefault="00A8412E">
            <w:pPr>
              <w:pStyle w:val="TableParagraph"/>
              <w:spacing w:before="1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7"/>
              <w:rPr>
                <w:sz w:val="24"/>
              </w:rPr>
            </w:pPr>
          </w:p>
          <w:p w:rsidR="009C510A" w:rsidRDefault="00A8412E">
            <w:pPr>
              <w:pStyle w:val="TableParagraph"/>
              <w:spacing w:before="1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112.000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7"/>
              <w:rPr>
                <w:sz w:val="24"/>
              </w:rPr>
            </w:pPr>
          </w:p>
          <w:p w:rsidR="009C510A" w:rsidRDefault="00A8412E">
            <w:pPr>
              <w:pStyle w:val="TableParagraph"/>
              <w:spacing w:before="1"/>
              <w:ind w:left="247" w:right="233"/>
              <w:jc w:val="center"/>
              <w:rPr>
                <w:sz w:val="20"/>
              </w:rPr>
            </w:pPr>
            <w:r>
              <w:rPr>
                <w:sz w:val="20"/>
              </w:rPr>
              <w:t>126.000</w:t>
            </w:r>
          </w:p>
        </w:tc>
      </w:tr>
      <w:tr w:rsidR="009C510A">
        <w:trPr>
          <w:trHeight w:val="802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Tax Revenue:</w:t>
            </w:r>
          </w:p>
          <w:p w:rsidR="009C510A" w:rsidRDefault="00A8412E">
            <w:pPr>
              <w:pStyle w:val="TableParagraph"/>
              <w:spacing w:before="1"/>
              <w:ind w:left="109" w:right="888"/>
              <w:rPr>
                <w:sz w:val="20"/>
              </w:rPr>
            </w:pPr>
            <w:r>
              <w:rPr>
                <w:sz w:val="20"/>
              </w:rPr>
              <w:t>GST (1 December 2019 application)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0"/>
              <w:rPr>
                <w:sz w:val="30"/>
              </w:rPr>
            </w:pPr>
          </w:p>
          <w:p w:rsidR="009C510A" w:rsidRDefault="00A8412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0"/>
              <w:rPr>
                <w:sz w:val="30"/>
              </w:rPr>
            </w:pPr>
          </w:p>
          <w:p w:rsidR="009C510A" w:rsidRDefault="00A8412E">
            <w:pPr>
              <w:pStyle w:val="TableParagraph"/>
              <w:spacing w:before="1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52.000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0"/>
              <w:rPr>
                <w:sz w:val="30"/>
              </w:rPr>
            </w:pPr>
          </w:p>
          <w:p w:rsidR="009C510A" w:rsidRDefault="00A8412E">
            <w:pPr>
              <w:pStyle w:val="TableParagraph"/>
              <w:spacing w:before="1"/>
              <w:ind w:left="237" w:right="225"/>
              <w:jc w:val="center"/>
              <w:rPr>
                <w:sz w:val="20"/>
              </w:rPr>
            </w:pPr>
            <w:r>
              <w:rPr>
                <w:sz w:val="20"/>
              </w:rPr>
              <w:t>100.000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0"/>
              <w:rPr>
                <w:sz w:val="30"/>
              </w:rPr>
            </w:pPr>
          </w:p>
          <w:p w:rsidR="009C510A" w:rsidRDefault="00A8412E">
            <w:pPr>
              <w:pStyle w:val="TableParagraph"/>
              <w:spacing w:before="1"/>
              <w:ind w:left="222" w:right="208"/>
              <w:jc w:val="center"/>
              <w:rPr>
                <w:sz w:val="20"/>
              </w:rPr>
            </w:pPr>
            <w:r>
              <w:rPr>
                <w:sz w:val="20"/>
              </w:rPr>
              <w:t>112.000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9C510A">
            <w:pPr>
              <w:pStyle w:val="TableParagraph"/>
              <w:spacing w:before="0"/>
              <w:rPr>
                <w:sz w:val="30"/>
              </w:rPr>
            </w:pPr>
          </w:p>
          <w:p w:rsidR="009C510A" w:rsidRDefault="00A8412E">
            <w:pPr>
              <w:pStyle w:val="TableParagraph"/>
              <w:spacing w:before="1"/>
              <w:ind w:left="247" w:right="233"/>
              <w:jc w:val="center"/>
              <w:rPr>
                <w:sz w:val="20"/>
              </w:rPr>
            </w:pPr>
            <w:r>
              <w:rPr>
                <w:sz w:val="20"/>
              </w:rPr>
              <w:t>126.000</w:t>
            </w:r>
          </w:p>
        </w:tc>
      </w:tr>
      <w:tr w:rsidR="009C510A">
        <w:trPr>
          <w:trHeight w:val="343"/>
        </w:trPr>
        <w:tc>
          <w:tcPr>
            <w:tcW w:w="2944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Difference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222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(14.000)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</w:tcPr>
          <w:p w:rsidR="009C510A" w:rsidRDefault="00A8412E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C510A" w:rsidRDefault="009C510A">
      <w:pPr>
        <w:pStyle w:val="BodyText"/>
        <w:spacing w:before="2"/>
        <w:rPr>
          <w:sz w:val="34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right="656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 xml:space="preserve">to reduce the 2019/20 amount in the tagged contingency </w:t>
      </w:r>
      <w:r>
        <w:rPr>
          <w:i/>
          <w:sz w:val="24"/>
        </w:rPr>
        <w:t xml:space="preserve">Impact of GST on Low Value Goods Policy on Operational Funding Requirements </w:t>
      </w:r>
      <w:r>
        <w:rPr>
          <w:sz w:val="24"/>
        </w:rPr>
        <w:t>in Vote Agriculture, Biosecurity, Fisheries and Food Safety by $1.998 million to $6.993</w:t>
      </w:r>
      <w:r>
        <w:rPr>
          <w:spacing w:val="-5"/>
          <w:sz w:val="24"/>
        </w:rPr>
        <w:t xml:space="preserve"> </w:t>
      </w:r>
      <w:r>
        <w:rPr>
          <w:sz w:val="24"/>
        </w:rPr>
        <w:t>million;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757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 xml:space="preserve">to reduce the 2019/20 amount in the tagged contingency </w:t>
      </w:r>
      <w:r>
        <w:rPr>
          <w:i/>
          <w:sz w:val="24"/>
        </w:rPr>
        <w:t xml:space="preserve">Funding to Continue </w:t>
      </w:r>
      <w:r>
        <w:rPr>
          <w:i/>
          <w:sz w:val="24"/>
        </w:rPr>
        <w:t xml:space="preserve">Protecting New Zealand from Imported Threats </w:t>
      </w:r>
      <w:r>
        <w:rPr>
          <w:sz w:val="24"/>
        </w:rPr>
        <w:t>in Vote Customs by $2.336 million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</w:p>
    <w:p w:rsidR="009C510A" w:rsidRDefault="00A8412E">
      <w:pPr>
        <w:pStyle w:val="BodyText"/>
        <w:ind w:left="836"/>
      </w:pPr>
      <w:r>
        <w:t>$6.886 million;</w:t>
      </w:r>
    </w:p>
    <w:p w:rsidR="009C510A" w:rsidRDefault="009C510A">
      <w:pPr>
        <w:pStyle w:val="BodyText"/>
        <w:spacing w:before="10"/>
        <w:rPr>
          <w:sz w:val="20"/>
        </w:rPr>
      </w:pPr>
    </w:p>
    <w:p w:rsidR="009C510A" w:rsidRDefault="00A8412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230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that the net fiscal cost of paragraphs 6-8 above of $9.666 million be charged against the between-Budget contingency established as part of Budget</w:t>
      </w:r>
      <w:r>
        <w:rPr>
          <w:spacing w:val="-3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</w:rPr>
        <w:t>9.</w:t>
      </w:r>
    </w:p>
    <w:p w:rsidR="009C510A" w:rsidRDefault="009C510A">
      <w:pPr>
        <w:pStyle w:val="BodyText"/>
        <w:rPr>
          <w:sz w:val="26"/>
        </w:rPr>
      </w:pPr>
    </w:p>
    <w:p w:rsidR="009C510A" w:rsidRDefault="009C510A">
      <w:pPr>
        <w:pStyle w:val="BodyText"/>
        <w:rPr>
          <w:sz w:val="26"/>
        </w:rPr>
      </w:pPr>
    </w:p>
    <w:p w:rsidR="009C510A" w:rsidRDefault="009C510A">
      <w:pPr>
        <w:pStyle w:val="BodyText"/>
        <w:rPr>
          <w:sz w:val="26"/>
        </w:rPr>
      </w:pPr>
    </w:p>
    <w:p w:rsidR="009C510A" w:rsidRDefault="009C510A">
      <w:pPr>
        <w:pStyle w:val="BodyText"/>
        <w:rPr>
          <w:sz w:val="26"/>
        </w:rPr>
      </w:pPr>
    </w:p>
    <w:p w:rsidR="009C510A" w:rsidRDefault="009C510A">
      <w:pPr>
        <w:pStyle w:val="BodyText"/>
        <w:rPr>
          <w:sz w:val="26"/>
        </w:rPr>
      </w:pPr>
    </w:p>
    <w:p w:rsidR="009C510A" w:rsidRDefault="009C510A">
      <w:pPr>
        <w:pStyle w:val="BodyText"/>
        <w:spacing w:before="10"/>
        <w:rPr>
          <w:sz w:val="34"/>
        </w:rPr>
      </w:pPr>
    </w:p>
    <w:p w:rsidR="009C510A" w:rsidRDefault="00A8412E">
      <w:pPr>
        <w:pStyle w:val="BodyText"/>
        <w:spacing w:after="19"/>
        <w:ind w:left="115" w:right="7712"/>
      </w:pPr>
      <w:r>
        <w:t>Janine Harvey Committee Secretary</w:t>
      </w:r>
    </w:p>
    <w:p w:rsidR="009C510A" w:rsidRDefault="00A8412E"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1.8pt;height:.5pt;mso-position-horizontal-relative:char;mso-position-vertical-relative:line" coordsize="9636,10">
            <v:line id="_x0000_s1027" style="position:absolute" from="0,5" to="9636,5" strokeweight=".5pt"/>
            <w10:anchorlock/>
          </v:group>
        </w:pict>
      </w:r>
    </w:p>
    <w:p w:rsidR="009C510A" w:rsidRDefault="009C510A">
      <w:pPr>
        <w:pStyle w:val="BodyText"/>
        <w:spacing w:before="1"/>
        <w:rPr>
          <w:sz w:val="23"/>
        </w:rPr>
      </w:pPr>
    </w:p>
    <w:p w:rsidR="009C510A" w:rsidRDefault="00A8412E">
      <w:pPr>
        <w:tabs>
          <w:tab w:val="left" w:pos="5043"/>
        </w:tabs>
        <w:spacing w:before="1"/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  <w:r>
        <w:rPr>
          <w:rFonts w:ascii="Arial"/>
          <w:b/>
          <w:sz w:val="20"/>
        </w:rPr>
        <w:tab/>
        <w:t>Officials present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from:</w:t>
      </w:r>
    </w:p>
    <w:p w:rsidR="009C510A" w:rsidRDefault="009C510A">
      <w:pPr>
        <w:rPr>
          <w:rFonts w:ascii="Arial"/>
          <w:sz w:val="20"/>
        </w:rPr>
        <w:sectPr w:rsidR="009C510A">
          <w:pgSz w:w="11900" w:h="16840"/>
          <w:pgMar w:top="840" w:right="1000" w:bottom="780" w:left="1020" w:header="405" w:footer="582" w:gutter="0"/>
          <w:cols w:space="720"/>
        </w:sectPr>
      </w:pPr>
    </w:p>
    <w:p w:rsidR="009C510A" w:rsidRDefault="00A8412E">
      <w:pPr>
        <w:spacing w:line="229" w:lineRule="exact"/>
        <w:ind w:left="115"/>
        <w:rPr>
          <w:sz w:val="20"/>
        </w:rPr>
      </w:pPr>
      <w:r>
        <w:rPr>
          <w:sz w:val="20"/>
        </w:rPr>
        <w:t>Hon Kelvin</w:t>
      </w:r>
      <w:r>
        <w:rPr>
          <w:spacing w:val="-4"/>
          <w:sz w:val="20"/>
        </w:rPr>
        <w:t xml:space="preserve"> </w:t>
      </w:r>
      <w:r>
        <w:rPr>
          <w:sz w:val="20"/>
        </w:rPr>
        <w:t>Davis</w:t>
      </w:r>
    </w:p>
    <w:p w:rsidR="009C510A" w:rsidRDefault="00A8412E">
      <w:pPr>
        <w:ind w:left="115" w:right="21"/>
        <w:rPr>
          <w:sz w:val="20"/>
        </w:rPr>
      </w:pPr>
      <w:r>
        <w:rPr>
          <w:sz w:val="20"/>
        </w:rPr>
        <w:t>Hon Grant Robertson (Chair) Hon Phil Twyford</w:t>
      </w:r>
    </w:p>
    <w:p w:rsidR="009C510A" w:rsidRDefault="00A8412E">
      <w:pPr>
        <w:ind w:left="115" w:right="393"/>
        <w:rPr>
          <w:sz w:val="20"/>
        </w:rPr>
      </w:pPr>
      <w:r>
        <w:rPr>
          <w:sz w:val="20"/>
        </w:rPr>
        <w:t xml:space="preserve">Hon Dr Megan Woods Hon Iain Lees-Galloway Hon Jenny </w:t>
      </w:r>
      <w:proofErr w:type="spellStart"/>
      <w:r>
        <w:rPr>
          <w:sz w:val="20"/>
        </w:rPr>
        <w:t>Salesa</w:t>
      </w:r>
      <w:proofErr w:type="spellEnd"/>
    </w:p>
    <w:p w:rsidR="009C510A" w:rsidRDefault="00A8412E">
      <w:pPr>
        <w:ind w:left="115" w:right="793"/>
        <w:rPr>
          <w:sz w:val="20"/>
        </w:rPr>
      </w:pPr>
      <w:r>
        <w:rPr>
          <w:sz w:val="20"/>
        </w:rPr>
        <w:t xml:space="preserve">Hon Shane Jones Hon Kris </w:t>
      </w:r>
      <w:proofErr w:type="spellStart"/>
      <w:r>
        <w:rPr>
          <w:sz w:val="20"/>
        </w:rPr>
        <w:t>Faafoi</w:t>
      </w:r>
      <w:proofErr w:type="spellEnd"/>
      <w:r>
        <w:rPr>
          <w:sz w:val="20"/>
        </w:rPr>
        <w:t xml:space="preserve"> Hon Willie Jack</w:t>
      </w:r>
      <w:r>
        <w:rPr>
          <w:sz w:val="20"/>
        </w:rPr>
        <w:t>son Hon James Shaw Hon Eugenie Sage</w:t>
      </w:r>
    </w:p>
    <w:p w:rsidR="009C510A" w:rsidRDefault="00A8412E">
      <w:pPr>
        <w:ind w:left="116" w:right="2433"/>
        <w:rPr>
          <w:sz w:val="20"/>
        </w:rPr>
      </w:pPr>
      <w:r>
        <w:br w:type="column"/>
      </w:r>
      <w:r>
        <w:rPr>
          <w:sz w:val="20"/>
        </w:rPr>
        <w:t>Office of the Prime Minister Officials Committee for DEV</w:t>
      </w:r>
    </w:p>
    <w:p w:rsidR="009C510A" w:rsidRDefault="009C510A">
      <w:pPr>
        <w:rPr>
          <w:sz w:val="20"/>
        </w:rPr>
        <w:sectPr w:rsidR="009C510A">
          <w:type w:val="continuous"/>
          <w:pgSz w:w="11900" w:h="16840"/>
          <w:pgMar w:top="840" w:right="1000" w:bottom="780" w:left="1020" w:header="720" w:footer="720" w:gutter="0"/>
          <w:cols w:num="2" w:space="720" w:equalWidth="0">
            <w:col w:w="2506" w:space="2422"/>
            <w:col w:w="4952"/>
          </w:cols>
        </w:sectPr>
      </w:pPr>
    </w:p>
    <w:p w:rsidR="009C510A" w:rsidRDefault="009C510A">
      <w:pPr>
        <w:pStyle w:val="BodyText"/>
        <w:spacing w:before="1"/>
        <w:rPr>
          <w:sz w:val="15"/>
        </w:rPr>
      </w:pPr>
    </w:p>
    <w:p w:rsidR="009C510A" w:rsidRDefault="00A8412E">
      <w:pPr>
        <w:spacing w:before="94"/>
        <w:ind w:left="115" w:right="7533"/>
        <w:rPr>
          <w:sz w:val="20"/>
        </w:rPr>
      </w:pPr>
      <w:r>
        <w:rPr>
          <w:rFonts w:ascii="Arial"/>
          <w:b/>
          <w:sz w:val="20"/>
        </w:rPr>
        <w:t xml:space="preserve">Hard-copy distribution: </w:t>
      </w:r>
      <w:r>
        <w:rPr>
          <w:sz w:val="20"/>
        </w:rPr>
        <w:t>Minister of Finance Minister of Revenue Minister of Customs</w:t>
      </w:r>
    </w:p>
    <w:sectPr w:rsidR="009C510A">
      <w:type w:val="continuous"/>
      <w:pgSz w:w="11900" w:h="16840"/>
      <w:pgMar w:top="840" w:right="1000" w:bottom="7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412E">
      <w:r>
        <w:separator/>
      </w:r>
    </w:p>
  </w:endnote>
  <w:endnote w:type="continuationSeparator" w:id="0">
    <w:p w:rsidR="00000000" w:rsidRDefault="00A8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0A" w:rsidRDefault="00A841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.8pt;margin-top:801.9pt;width:10pt;height:15.3pt;z-index:-6400;mso-position-horizontal-relative:page;mso-position-vertical-relative:page" filled="f" stroked="f">
          <v:textbox inset="0,0,0,0">
            <w:txbxContent>
              <w:p w:rsidR="009C510A" w:rsidRDefault="00A8412E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6.3pt;margin-top:815.55pt;width:116.75pt;height:13.2pt;z-index:-6376;mso-position-horizontal-relative:page;mso-position-vertical-relative:page" filled="f" stroked="f">
          <v:textbox inset="0,0,0,0">
            <w:txbxContent>
              <w:p w:rsidR="009C510A" w:rsidRDefault="00A8412E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 xml:space="preserve">I </w:t>
                </w:r>
                <w:proofErr w:type="gramStart"/>
                <w:r>
                  <w:rPr>
                    <w:rFonts w:ascii="Arial"/>
                    <w:b/>
                    <w:sz w:val="20"/>
                  </w:rPr>
                  <w:t xml:space="preserve">N </w:t>
                </w:r>
                <w:r w:rsidR="008B502B">
                  <w:rPr>
                    <w:rFonts w:ascii="Arial"/>
                    <w:b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proofErr w:type="gramEnd"/>
                <w:r>
                  <w:rPr>
                    <w:rFonts w:ascii="Arial"/>
                    <w:b/>
                    <w:sz w:val="20"/>
                  </w:rPr>
                  <w:t xml:space="preserve"> O N F I D E N C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412E">
      <w:r>
        <w:separator/>
      </w:r>
    </w:p>
  </w:footnote>
  <w:footnote w:type="continuationSeparator" w:id="0">
    <w:p w:rsidR="00000000" w:rsidRDefault="00A8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10A" w:rsidRDefault="00A841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6.3pt;margin-top:19.25pt;width:116.75pt;height:13.2pt;z-index:-6448;mso-position-horizontal-relative:page;mso-position-vertical-relative:page" filled="f" stroked="f">
          <v:textbox inset="0,0,0,0">
            <w:txbxContent>
              <w:p w:rsidR="009C510A" w:rsidRDefault="00A8412E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 xml:space="preserve">I </w:t>
                </w:r>
                <w:proofErr w:type="gramStart"/>
                <w:r>
                  <w:rPr>
                    <w:rFonts w:ascii="Arial"/>
                    <w:b/>
                    <w:sz w:val="20"/>
                  </w:rPr>
                  <w:t xml:space="preserve">N </w:t>
                </w:r>
                <w:r w:rsidR="008B502B">
                  <w:rPr>
                    <w:rFonts w:ascii="Arial"/>
                    <w:b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proofErr w:type="gramEnd"/>
                <w:r>
                  <w:rPr>
                    <w:rFonts w:ascii="Arial"/>
                    <w:b/>
                    <w:sz w:val="20"/>
                  </w:rPr>
                  <w:t xml:space="preserve"> O N F I D E N C 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52.7pt;margin-top:30.75pt;width:84.2pt;height:13.2pt;z-index:-6424;mso-position-horizontal-relative:page;mso-position-vertical-relative:page" filled="f" stroked="f">
          <v:textbox inset="0,0,0,0">
            <w:txbxContent>
              <w:p w:rsidR="009C510A" w:rsidRDefault="00A8412E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DEV-19-MIN-0153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4A5C"/>
    <w:multiLevelType w:val="multilevel"/>
    <w:tmpl w:val="CA34E162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NZ" w:eastAsia="en-NZ" w:bidi="en-NZ"/>
      </w:rPr>
    </w:lvl>
    <w:lvl w:ilvl="1">
      <w:start w:val="1"/>
      <w:numFmt w:val="decimal"/>
      <w:lvlText w:val="%1.%2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NZ" w:eastAsia="en-NZ" w:bidi="en-NZ"/>
      </w:rPr>
    </w:lvl>
    <w:lvl w:ilvl="2">
      <w:numFmt w:val="bullet"/>
      <w:lvlText w:val="•"/>
      <w:lvlJc w:val="left"/>
      <w:pPr>
        <w:ind w:left="2484" w:hanging="720"/>
      </w:pPr>
      <w:rPr>
        <w:rFonts w:hint="default"/>
        <w:lang w:val="en-NZ" w:eastAsia="en-NZ" w:bidi="en-NZ"/>
      </w:rPr>
    </w:lvl>
    <w:lvl w:ilvl="3">
      <w:numFmt w:val="bullet"/>
      <w:lvlText w:val="•"/>
      <w:lvlJc w:val="left"/>
      <w:pPr>
        <w:ind w:left="3408" w:hanging="720"/>
      </w:pPr>
      <w:rPr>
        <w:rFonts w:hint="default"/>
        <w:lang w:val="en-NZ" w:eastAsia="en-NZ" w:bidi="en-NZ"/>
      </w:rPr>
    </w:lvl>
    <w:lvl w:ilvl="4">
      <w:numFmt w:val="bullet"/>
      <w:lvlText w:val="•"/>
      <w:lvlJc w:val="left"/>
      <w:pPr>
        <w:ind w:left="4333" w:hanging="720"/>
      </w:pPr>
      <w:rPr>
        <w:rFonts w:hint="default"/>
        <w:lang w:val="en-NZ" w:eastAsia="en-NZ" w:bidi="en-NZ"/>
      </w:rPr>
    </w:lvl>
    <w:lvl w:ilvl="5">
      <w:numFmt w:val="bullet"/>
      <w:lvlText w:val="•"/>
      <w:lvlJc w:val="left"/>
      <w:pPr>
        <w:ind w:left="5257" w:hanging="720"/>
      </w:pPr>
      <w:rPr>
        <w:rFonts w:hint="default"/>
        <w:lang w:val="en-NZ" w:eastAsia="en-NZ" w:bidi="en-NZ"/>
      </w:rPr>
    </w:lvl>
    <w:lvl w:ilvl="6">
      <w:numFmt w:val="bullet"/>
      <w:lvlText w:val="•"/>
      <w:lvlJc w:val="left"/>
      <w:pPr>
        <w:ind w:left="6182" w:hanging="720"/>
      </w:pPr>
      <w:rPr>
        <w:rFonts w:hint="default"/>
        <w:lang w:val="en-NZ" w:eastAsia="en-NZ" w:bidi="en-NZ"/>
      </w:rPr>
    </w:lvl>
    <w:lvl w:ilvl="7">
      <w:numFmt w:val="bullet"/>
      <w:lvlText w:val="•"/>
      <w:lvlJc w:val="left"/>
      <w:pPr>
        <w:ind w:left="7106" w:hanging="720"/>
      </w:pPr>
      <w:rPr>
        <w:rFonts w:hint="default"/>
        <w:lang w:val="en-NZ" w:eastAsia="en-NZ" w:bidi="en-NZ"/>
      </w:rPr>
    </w:lvl>
    <w:lvl w:ilvl="8">
      <w:numFmt w:val="bullet"/>
      <w:lvlText w:val="•"/>
      <w:lvlJc w:val="left"/>
      <w:pPr>
        <w:ind w:left="8031" w:hanging="720"/>
      </w:pPr>
      <w:rPr>
        <w:rFonts w:hint="default"/>
        <w:lang w:val="en-NZ" w:eastAsia="en-NZ" w:bidi="en-N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10A"/>
    <w:rsid w:val="006C7E5F"/>
    <w:rsid w:val="008B502B"/>
    <w:rsid w:val="009C510A"/>
    <w:rsid w:val="00A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CC44101"/>
  <w15:docId w15:val="{A7D5CD06-0E31-45D3-8D7C-C36A776E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72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  <w:style w:type="paragraph" w:styleId="Header">
    <w:name w:val="header"/>
    <w:basedOn w:val="Normal"/>
    <w:link w:val="HeaderChar"/>
    <w:uiPriority w:val="99"/>
    <w:unhideWhenUsed/>
    <w:rsid w:val="008B5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2B"/>
    <w:rPr>
      <w:rFonts w:ascii="Times New Roman" w:eastAsia="Times New Roman" w:hAnsi="Times New Roman" w:cs="Times New Roman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8B5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2B"/>
    <w:rPr>
      <w:rFonts w:ascii="Times New Roman" w:eastAsia="Times New Roman" w:hAnsi="Times New Roman" w:cs="Times New Roman"/>
      <w:lang w:val="en-NZ"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2949</Characters>
  <Application>Microsoft Office Word</Application>
  <DocSecurity>0</DocSecurity>
  <Lines>196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- DEV-19-MIN-0153 – GST on low-value imported goods: application date (12 June 2019)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- DEV-19-MIN-0153 – GST on low-value imported goods: application date (12 June 2019)</dc:title>
  <dc:creator/>
  <dcterms:created xsi:type="dcterms:W3CDTF">2019-07-09T23:25:00Z</dcterms:created>
  <dcterms:modified xsi:type="dcterms:W3CDTF">2019-07-09T23:26:00Z</dcterms:modified>
</cp:coreProperties>
</file>