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EBC6" w14:textId="77777777" w:rsidR="007E34B0" w:rsidRDefault="003026D2">
      <w:pPr>
        <w:spacing w:before="51"/>
        <w:ind w:left="2022" w:right="1776"/>
        <w:rPr>
          <w:rFonts w:ascii="Arial"/>
          <w:b/>
          <w:sz w:val="44"/>
        </w:rPr>
      </w:pPr>
      <w:r>
        <w:rPr>
          <w:noProof/>
        </w:rPr>
        <w:drawing>
          <wp:anchor distT="0" distB="0" distL="0" distR="0" simplePos="0" relativeHeight="251656192" behindDoc="0" locked="0" layoutInCell="1" allowOverlap="1" wp14:anchorId="0220EC0F" wp14:editId="0220EC10">
            <wp:simplePos x="0" y="0"/>
            <wp:positionH relativeFrom="page">
              <wp:posOffset>750569</wp:posOffset>
            </wp:positionH>
            <wp:positionV relativeFrom="paragraph">
              <wp:posOffset>32839</wp:posOffset>
            </wp:positionV>
            <wp:extent cx="976630" cy="958850"/>
            <wp:effectExtent l="0" t="0" r="0" b="0"/>
            <wp:wrapNone/>
            <wp:docPr id="1" name="image1.png" descr="Cabinet Office seal (includes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 Committee</w:t>
      </w:r>
    </w:p>
    <w:p w14:paraId="0220EBC7" w14:textId="77777777" w:rsidR="007E34B0" w:rsidRDefault="003026D2">
      <w:pPr>
        <w:spacing w:before="322"/>
        <w:ind w:left="2022"/>
        <w:rPr>
          <w:rFonts w:ascii="Arial"/>
          <w:b/>
          <w:sz w:val="32"/>
        </w:rPr>
      </w:pPr>
      <w:r>
        <w:rPr>
          <w:rFonts w:ascii="Arial"/>
          <w:b/>
          <w:sz w:val="32"/>
        </w:rPr>
        <w:t>Minute of Decision</w:t>
      </w:r>
    </w:p>
    <w:p w14:paraId="0220EBC8" w14:textId="77777777" w:rsidR="007E34B0" w:rsidRDefault="004168CC">
      <w:pPr>
        <w:pStyle w:val="BodyText"/>
        <w:spacing w:before="6"/>
        <w:rPr>
          <w:rFonts w:ascii="Arial"/>
          <w:b/>
          <w:sz w:val="10"/>
        </w:rPr>
      </w:pPr>
      <w:r>
        <w:pict w14:anchorId="0220EC11">
          <v:line id="_x0000_s1030" style="position:absolute;z-index:-251659264;mso-wrap-distance-left:0;mso-wrap-distance-right:0;mso-position-horizontal-relative:page" from="51.3pt,8.35pt" to="544.1pt,8.35pt" strokecolor="#000001" strokeweight=".6pt">
            <w10:wrap type="topAndBottom" anchorx="page"/>
          </v:line>
        </w:pict>
      </w:r>
    </w:p>
    <w:p w14:paraId="0220EBC9" w14:textId="77777777" w:rsidR="007E34B0" w:rsidRDefault="003026D2">
      <w:pPr>
        <w:spacing w:before="29" w:after="60"/>
        <w:ind w:left="115" w:right="523"/>
        <w:rPr>
          <w:rFonts w:ascii="Arial"/>
          <w:i/>
          <w:sz w:val="20"/>
        </w:rPr>
      </w:pPr>
      <w:r>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0220EBCA" w14:textId="77777777" w:rsidR="007E34B0" w:rsidRDefault="004168CC">
      <w:pPr>
        <w:pStyle w:val="BodyText"/>
        <w:spacing w:line="20" w:lineRule="exact"/>
        <w:rPr>
          <w:rFonts w:ascii="Arial"/>
          <w:sz w:val="2"/>
        </w:rPr>
      </w:pPr>
      <w:r>
        <w:rPr>
          <w:rFonts w:ascii="Arial"/>
          <w:sz w:val="2"/>
        </w:rPr>
      </w:r>
      <w:r>
        <w:rPr>
          <w:rFonts w:ascii="Arial"/>
          <w:sz w:val="2"/>
        </w:rPr>
        <w:pict w14:anchorId="0220EC13">
          <v:group id="_x0000_s1028" style="width:492.8pt;height:.6pt;mso-position-horizontal-relative:char;mso-position-vertical-relative:line" coordsize="9856,12">
            <v:line id="_x0000_s1029" style="position:absolute" from="0,6" to="9856,6" strokecolor="#000001" strokeweight=".6pt"/>
            <w10:anchorlock/>
          </v:group>
        </w:pict>
      </w:r>
    </w:p>
    <w:p w14:paraId="0220EBCB" w14:textId="77777777" w:rsidR="007E34B0" w:rsidRDefault="007E34B0">
      <w:pPr>
        <w:pStyle w:val="BodyText"/>
        <w:spacing w:before="4"/>
        <w:rPr>
          <w:rFonts w:ascii="Arial"/>
          <w:i/>
          <w:sz w:val="30"/>
        </w:rPr>
      </w:pPr>
    </w:p>
    <w:p w14:paraId="0220EBCC" w14:textId="77777777" w:rsidR="007E34B0" w:rsidRDefault="003026D2">
      <w:pPr>
        <w:ind w:left="115"/>
        <w:rPr>
          <w:rFonts w:ascii="Arial"/>
          <w:b/>
          <w:sz w:val="28"/>
        </w:rPr>
      </w:pPr>
      <w:r>
        <w:rPr>
          <w:rFonts w:ascii="Arial"/>
          <w:b/>
          <w:sz w:val="28"/>
        </w:rPr>
        <w:t>Non-Resident Oil Rig and Seismic Vessel Operators: Extension of Tax Exemption</w:t>
      </w:r>
    </w:p>
    <w:p w14:paraId="0220EBCD" w14:textId="77777777" w:rsidR="007E34B0" w:rsidRDefault="007E34B0">
      <w:pPr>
        <w:pStyle w:val="BodyText"/>
        <w:spacing w:before="5"/>
        <w:rPr>
          <w:rFonts w:ascii="Arial"/>
          <w:b/>
        </w:rPr>
      </w:pPr>
    </w:p>
    <w:p w14:paraId="0220EBCE" w14:textId="77777777" w:rsidR="007E34B0" w:rsidRDefault="003026D2">
      <w:pPr>
        <w:tabs>
          <w:tab w:val="left" w:pos="2023"/>
        </w:tabs>
        <w:ind w:left="115"/>
        <w:rPr>
          <w:rFonts w:ascii="Arial"/>
          <w:b/>
          <w:sz w:val="20"/>
        </w:rPr>
      </w:pPr>
      <w:r>
        <w:rPr>
          <w:rFonts w:ascii="Arial"/>
          <w:b/>
          <w:sz w:val="20"/>
        </w:rPr>
        <w:t>Portfolios</w:t>
      </w:r>
      <w:r>
        <w:rPr>
          <w:rFonts w:ascii="Arial"/>
          <w:b/>
          <w:sz w:val="20"/>
        </w:rPr>
        <w:tab/>
        <w:t>Energy and Resources /</w:t>
      </w:r>
      <w:r>
        <w:rPr>
          <w:rFonts w:ascii="Arial"/>
          <w:b/>
          <w:spacing w:val="-5"/>
          <w:sz w:val="20"/>
        </w:rPr>
        <w:t xml:space="preserve"> </w:t>
      </w:r>
      <w:r>
        <w:rPr>
          <w:rFonts w:ascii="Arial"/>
          <w:b/>
          <w:sz w:val="20"/>
        </w:rPr>
        <w:t>Revenue</w:t>
      </w:r>
    </w:p>
    <w:p w14:paraId="0220EBCF" w14:textId="77777777" w:rsidR="007E34B0" w:rsidRDefault="007E34B0">
      <w:pPr>
        <w:pStyle w:val="BodyText"/>
        <w:rPr>
          <w:rFonts w:ascii="Arial"/>
          <w:b/>
        </w:rPr>
      </w:pPr>
    </w:p>
    <w:p w14:paraId="0220EBD0" w14:textId="77777777" w:rsidR="007E34B0" w:rsidRDefault="003026D2">
      <w:pPr>
        <w:pStyle w:val="BodyText"/>
        <w:ind w:left="115"/>
      </w:pPr>
      <w:r>
        <w:t>On 12 June 2019, the Cabinet Economic Development Committee:</w:t>
      </w:r>
    </w:p>
    <w:p w14:paraId="0220EBD1" w14:textId="77777777" w:rsidR="007E34B0" w:rsidRDefault="007E34B0">
      <w:pPr>
        <w:pStyle w:val="BodyText"/>
      </w:pPr>
    </w:p>
    <w:p w14:paraId="0220EBD2" w14:textId="77777777" w:rsidR="007E34B0" w:rsidRDefault="003026D2">
      <w:pPr>
        <w:pStyle w:val="ListParagraph"/>
        <w:numPr>
          <w:ilvl w:val="0"/>
          <w:numId w:val="1"/>
        </w:numPr>
        <w:tabs>
          <w:tab w:val="left" w:pos="835"/>
          <w:tab w:val="left" w:pos="836"/>
        </w:tabs>
        <w:ind w:right="672"/>
        <w:rPr>
          <w:sz w:val="24"/>
        </w:rPr>
      </w:pPr>
      <w:r>
        <w:rPr>
          <w:b/>
          <w:sz w:val="24"/>
        </w:rPr>
        <w:t xml:space="preserve">noted </w:t>
      </w:r>
      <w:r>
        <w:rPr>
          <w:sz w:val="24"/>
        </w:rPr>
        <w:t>that there is an existing temporary income tax exemption for the income of non- resident offshore rig and seismic vessel operators that is due to expire on 31 December</w:t>
      </w:r>
      <w:r>
        <w:rPr>
          <w:spacing w:val="-23"/>
          <w:sz w:val="24"/>
        </w:rPr>
        <w:t xml:space="preserve"> </w:t>
      </w:r>
      <w:r>
        <w:rPr>
          <w:sz w:val="24"/>
        </w:rPr>
        <w:t>2019</w:t>
      </w:r>
    </w:p>
    <w:p w14:paraId="0220EBD3" w14:textId="77777777" w:rsidR="007E34B0" w:rsidRDefault="007E34B0">
      <w:pPr>
        <w:pStyle w:val="BodyText"/>
      </w:pPr>
    </w:p>
    <w:p w14:paraId="0220EBD4" w14:textId="77777777" w:rsidR="007E34B0" w:rsidRDefault="003026D2">
      <w:pPr>
        <w:pStyle w:val="BodyText"/>
        <w:ind w:left="836"/>
      </w:pPr>
      <w:r>
        <w:t>[CAB Min (13) 37/9];</w:t>
      </w:r>
    </w:p>
    <w:p w14:paraId="0220EBD5" w14:textId="77777777" w:rsidR="007E34B0" w:rsidRDefault="007E34B0">
      <w:pPr>
        <w:pStyle w:val="BodyText"/>
        <w:spacing w:before="10"/>
        <w:rPr>
          <w:sz w:val="20"/>
        </w:rPr>
      </w:pPr>
    </w:p>
    <w:p w14:paraId="0220EBD6" w14:textId="77777777" w:rsidR="007E34B0" w:rsidRDefault="003026D2">
      <w:pPr>
        <w:pStyle w:val="ListParagraph"/>
        <w:numPr>
          <w:ilvl w:val="0"/>
          <w:numId w:val="1"/>
        </w:numPr>
        <w:tabs>
          <w:tab w:val="left" w:pos="835"/>
          <w:tab w:val="left" w:pos="836"/>
        </w:tabs>
        <w:ind w:right="918"/>
        <w:rPr>
          <w:sz w:val="24"/>
        </w:rPr>
      </w:pPr>
      <w:r>
        <w:rPr>
          <w:b/>
          <w:sz w:val="24"/>
        </w:rPr>
        <w:t xml:space="preserve">noted </w:t>
      </w:r>
      <w:r>
        <w:rPr>
          <w:sz w:val="24"/>
        </w:rPr>
        <w:t>that early signalling of intentions is important for industry certainty and</w:t>
      </w:r>
      <w:r>
        <w:rPr>
          <w:spacing w:val="-24"/>
          <w:sz w:val="24"/>
        </w:rPr>
        <w:t xml:space="preserve"> </w:t>
      </w:r>
      <w:r>
        <w:rPr>
          <w:sz w:val="24"/>
        </w:rPr>
        <w:t>investment decisions;</w:t>
      </w:r>
    </w:p>
    <w:p w14:paraId="0220EBD7" w14:textId="77777777" w:rsidR="007E34B0" w:rsidRDefault="007E34B0">
      <w:pPr>
        <w:pStyle w:val="BodyText"/>
        <w:spacing w:before="10"/>
        <w:rPr>
          <w:sz w:val="20"/>
        </w:rPr>
      </w:pPr>
    </w:p>
    <w:p w14:paraId="0220EBD8" w14:textId="77777777" w:rsidR="007E34B0" w:rsidRDefault="003026D2">
      <w:pPr>
        <w:pStyle w:val="ListParagraph"/>
        <w:numPr>
          <w:ilvl w:val="0"/>
          <w:numId w:val="1"/>
        </w:numPr>
        <w:tabs>
          <w:tab w:val="left" w:pos="835"/>
          <w:tab w:val="left" w:pos="836"/>
        </w:tabs>
        <w:rPr>
          <w:sz w:val="24"/>
        </w:rPr>
      </w:pPr>
      <w:r>
        <w:rPr>
          <w:b/>
          <w:sz w:val="24"/>
        </w:rPr>
        <w:t>noted</w:t>
      </w:r>
      <w:r>
        <w:rPr>
          <w:b/>
          <w:spacing w:val="-1"/>
          <w:sz w:val="24"/>
        </w:rPr>
        <w:t xml:space="preserve"> </w:t>
      </w:r>
      <w:r>
        <w:rPr>
          <w:sz w:val="24"/>
        </w:rPr>
        <w:t>that:</w:t>
      </w:r>
    </w:p>
    <w:p w14:paraId="0220EBD9" w14:textId="77777777" w:rsidR="007E34B0" w:rsidRDefault="007E34B0">
      <w:pPr>
        <w:pStyle w:val="BodyText"/>
        <w:spacing w:before="10"/>
        <w:rPr>
          <w:sz w:val="20"/>
        </w:rPr>
      </w:pPr>
    </w:p>
    <w:p w14:paraId="0220EBDA" w14:textId="77777777" w:rsidR="007E34B0" w:rsidRDefault="003026D2">
      <w:pPr>
        <w:pStyle w:val="ListParagraph"/>
        <w:numPr>
          <w:ilvl w:val="1"/>
          <w:numId w:val="1"/>
        </w:numPr>
        <w:tabs>
          <w:tab w:val="left" w:pos="1555"/>
          <w:tab w:val="left" w:pos="1556"/>
        </w:tabs>
        <w:ind w:right="653"/>
        <w:rPr>
          <w:sz w:val="24"/>
        </w:rPr>
      </w:pPr>
      <w:r>
        <w:rPr>
          <w:sz w:val="24"/>
        </w:rPr>
        <w:t>on 9 April 2018, Cabinet noted that, in addition to excluding offshore blocks from Block Offer 2018, there will be no offshore blocks offered in future Block Offers or through an alternative process, and that it was the Minister of Energy and</w:t>
      </w:r>
      <w:r>
        <w:rPr>
          <w:spacing w:val="-24"/>
          <w:sz w:val="24"/>
        </w:rPr>
        <w:t xml:space="preserve"> </w:t>
      </w:r>
      <w:r>
        <w:rPr>
          <w:sz w:val="24"/>
        </w:rPr>
        <w:t>Resources’ intention that this policy will not affect the rights of current permit holders to continue production or exploration activities under existing</w:t>
      </w:r>
      <w:r>
        <w:rPr>
          <w:spacing w:val="-3"/>
          <w:sz w:val="24"/>
        </w:rPr>
        <w:t xml:space="preserve"> </w:t>
      </w:r>
      <w:r>
        <w:rPr>
          <w:sz w:val="24"/>
        </w:rPr>
        <w:t>permits</w:t>
      </w:r>
    </w:p>
    <w:p w14:paraId="0220EBDB" w14:textId="77777777" w:rsidR="007E34B0" w:rsidRDefault="003026D2">
      <w:pPr>
        <w:pStyle w:val="BodyText"/>
        <w:ind w:left="1556"/>
      </w:pPr>
      <w:r>
        <w:t>[CAB-18-MIN-0162];</w:t>
      </w:r>
    </w:p>
    <w:p w14:paraId="0220EBDC" w14:textId="77777777" w:rsidR="007E34B0" w:rsidRDefault="007E34B0">
      <w:pPr>
        <w:pStyle w:val="BodyText"/>
        <w:spacing w:before="10"/>
        <w:rPr>
          <w:sz w:val="20"/>
        </w:rPr>
      </w:pPr>
    </w:p>
    <w:p w14:paraId="0220EBDD" w14:textId="77777777" w:rsidR="007E34B0" w:rsidRDefault="003026D2">
      <w:pPr>
        <w:pStyle w:val="ListParagraph"/>
        <w:numPr>
          <w:ilvl w:val="1"/>
          <w:numId w:val="1"/>
        </w:numPr>
        <w:tabs>
          <w:tab w:val="left" w:pos="1555"/>
          <w:tab w:val="left" w:pos="1556"/>
        </w:tabs>
        <w:ind w:right="931"/>
        <w:rPr>
          <w:sz w:val="24"/>
        </w:rPr>
      </w:pPr>
      <w:r>
        <w:rPr>
          <w:sz w:val="24"/>
        </w:rPr>
        <w:t>maintaining the exemption referred to in paragraph 1 would be consistent with</w:t>
      </w:r>
      <w:r>
        <w:rPr>
          <w:spacing w:val="-22"/>
          <w:sz w:val="24"/>
        </w:rPr>
        <w:t xml:space="preserve"> </w:t>
      </w:r>
      <w:r>
        <w:rPr>
          <w:sz w:val="24"/>
        </w:rPr>
        <w:t>the above approach;</w:t>
      </w:r>
    </w:p>
    <w:p w14:paraId="0220EBDE" w14:textId="77777777" w:rsidR="007E34B0" w:rsidRDefault="007E34B0">
      <w:pPr>
        <w:pStyle w:val="BodyText"/>
        <w:spacing w:before="10"/>
        <w:rPr>
          <w:sz w:val="20"/>
        </w:rPr>
      </w:pPr>
    </w:p>
    <w:p w14:paraId="0220EBDF" w14:textId="77777777" w:rsidR="007E34B0" w:rsidRDefault="003026D2">
      <w:pPr>
        <w:pStyle w:val="ListParagraph"/>
        <w:numPr>
          <w:ilvl w:val="0"/>
          <w:numId w:val="1"/>
        </w:numPr>
        <w:tabs>
          <w:tab w:val="left" w:pos="835"/>
          <w:tab w:val="left" w:pos="836"/>
        </w:tabs>
        <w:ind w:right="911"/>
        <w:rPr>
          <w:sz w:val="24"/>
        </w:rPr>
      </w:pPr>
      <w:r>
        <w:rPr>
          <w:b/>
          <w:sz w:val="24"/>
        </w:rPr>
        <w:t xml:space="preserve">noted </w:t>
      </w:r>
      <w:r>
        <w:rPr>
          <w:sz w:val="24"/>
        </w:rPr>
        <w:t>that the Finance and Expenditure Committee has accepted that an exemption be included in the Taxation (Annual Rates for 2019-20, GST Offshore Supplier</w:t>
      </w:r>
      <w:r>
        <w:rPr>
          <w:spacing w:val="-22"/>
          <w:sz w:val="24"/>
        </w:rPr>
        <w:t xml:space="preserve"> </w:t>
      </w:r>
      <w:r>
        <w:rPr>
          <w:sz w:val="24"/>
        </w:rPr>
        <w:t>Registration, and Remedial Matters)</w:t>
      </w:r>
      <w:r>
        <w:rPr>
          <w:spacing w:val="-1"/>
          <w:sz w:val="24"/>
        </w:rPr>
        <w:t xml:space="preserve"> </w:t>
      </w:r>
      <w:r>
        <w:rPr>
          <w:sz w:val="24"/>
        </w:rPr>
        <w:t>Bill;</w:t>
      </w:r>
    </w:p>
    <w:p w14:paraId="0220EBE0" w14:textId="77777777" w:rsidR="007E34B0" w:rsidRDefault="007E34B0">
      <w:pPr>
        <w:pStyle w:val="BodyText"/>
        <w:spacing w:before="10"/>
        <w:rPr>
          <w:sz w:val="20"/>
        </w:rPr>
      </w:pPr>
    </w:p>
    <w:p w14:paraId="0220EBE1" w14:textId="77777777" w:rsidR="007E34B0" w:rsidRDefault="003026D2">
      <w:pPr>
        <w:pStyle w:val="ListParagraph"/>
        <w:numPr>
          <w:ilvl w:val="0"/>
          <w:numId w:val="1"/>
        </w:numPr>
        <w:tabs>
          <w:tab w:val="left" w:pos="835"/>
          <w:tab w:val="left" w:pos="836"/>
        </w:tabs>
        <w:ind w:right="1177"/>
        <w:rPr>
          <w:sz w:val="24"/>
        </w:rPr>
      </w:pPr>
      <w:r>
        <w:rPr>
          <w:b/>
          <w:sz w:val="24"/>
        </w:rPr>
        <w:t xml:space="preserve">agreed </w:t>
      </w:r>
      <w:r>
        <w:rPr>
          <w:sz w:val="24"/>
        </w:rPr>
        <w:t>to the exemption for the income of non-resident offshore rig and seismic vessel operators being extended until 31 December</w:t>
      </w:r>
      <w:r>
        <w:rPr>
          <w:spacing w:val="-2"/>
          <w:sz w:val="24"/>
        </w:rPr>
        <w:t xml:space="preserve"> </w:t>
      </w:r>
      <w:r>
        <w:rPr>
          <w:sz w:val="24"/>
        </w:rPr>
        <w:t>2024;</w:t>
      </w:r>
    </w:p>
    <w:p w14:paraId="0220EBE2" w14:textId="77777777" w:rsidR="007E34B0" w:rsidRDefault="007E34B0">
      <w:pPr>
        <w:pStyle w:val="BodyText"/>
        <w:spacing w:before="10"/>
        <w:rPr>
          <w:sz w:val="20"/>
        </w:rPr>
      </w:pPr>
    </w:p>
    <w:p w14:paraId="0220EBE3" w14:textId="77777777" w:rsidR="007E34B0" w:rsidRDefault="003026D2">
      <w:pPr>
        <w:pStyle w:val="ListParagraph"/>
        <w:numPr>
          <w:ilvl w:val="0"/>
          <w:numId w:val="1"/>
        </w:numPr>
        <w:tabs>
          <w:tab w:val="left" w:pos="835"/>
          <w:tab w:val="left" w:pos="836"/>
        </w:tabs>
        <w:ind w:right="783"/>
        <w:rPr>
          <w:sz w:val="24"/>
        </w:rPr>
      </w:pPr>
      <w:r>
        <w:rPr>
          <w:b/>
          <w:sz w:val="24"/>
        </w:rPr>
        <w:t xml:space="preserve">noted </w:t>
      </w:r>
      <w:r>
        <w:rPr>
          <w:sz w:val="24"/>
        </w:rPr>
        <w:t>that the effect of paragraph 5 above will be an estimated revenue gain of $16 million over the forecast period, which can be accounted for on the tax policy</w:t>
      </w:r>
      <w:r>
        <w:rPr>
          <w:spacing w:val="-8"/>
          <w:sz w:val="24"/>
        </w:rPr>
        <w:t xml:space="preserve"> </w:t>
      </w:r>
      <w:r>
        <w:rPr>
          <w:sz w:val="24"/>
        </w:rPr>
        <w:t>scorecard:</w:t>
      </w:r>
    </w:p>
    <w:p w14:paraId="0220EBE4" w14:textId="77777777" w:rsidR="007E34B0" w:rsidRDefault="007E34B0">
      <w:pPr>
        <w:pStyle w:val="BodyText"/>
        <w:spacing w:before="10"/>
        <w:rPr>
          <w:sz w:val="19"/>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1210"/>
        <w:gridCol w:w="1212"/>
        <w:gridCol w:w="1210"/>
        <w:gridCol w:w="1212"/>
        <w:gridCol w:w="1530"/>
      </w:tblGrid>
      <w:tr w:rsidR="007E34B0" w14:paraId="0220EBE7" w14:textId="77777777">
        <w:trPr>
          <w:trHeight w:val="427"/>
        </w:trPr>
        <w:tc>
          <w:tcPr>
            <w:tcW w:w="3064" w:type="dxa"/>
            <w:tcBorders>
              <w:top w:val="nil"/>
              <w:left w:val="nil"/>
            </w:tcBorders>
          </w:tcPr>
          <w:p w14:paraId="0220EBE5" w14:textId="77777777" w:rsidR="007E34B0" w:rsidRDefault="007E34B0">
            <w:pPr>
              <w:pStyle w:val="TableParagraph"/>
            </w:pPr>
          </w:p>
        </w:tc>
        <w:tc>
          <w:tcPr>
            <w:tcW w:w="6374" w:type="dxa"/>
            <w:gridSpan w:val="5"/>
          </w:tcPr>
          <w:p w14:paraId="0220EBE6" w14:textId="77777777" w:rsidR="007E34B0" w:rsidRDefault="003026D2">
            <w:pPr>
              <w:pStyle w:val="TableParagraph"/>
              <w:spacing w:before="57"/>
              <w:ind w:left="2187" w:right="2182"/>
              <w:jc w:val="center"/>
              <w:rPr>
                <w:sz w:val="20"/>
              </w:rPr>
            </w:pPr>
            <w:r>
              <w:rPr>
                <w:sz w:val="20"/>
              </w:rPr>
              <w:t>$m - increase/(decrease)</w:t>
            </w:r>
          </w:p>
        </w:tc>
      </w:tr>
      <w:tr w:rsidR="007E34B0" w14:paraId="0220EBEF" w14:textId="77777777">
        <w:trPr>
          <w:trHeight w:val="658"/>
        </w:trPr>
        <w:tc>
          <w:tcPr>
            <w:tcW w:w="3064" w:type="dxa"/>
          </w:tcPr>
          <w:p w14:paraId="0220EBE8" w14:textId="77777777" w:rsidR="007E34B0" w:rsidRDefault="003026D2">
            <w:pPr>
              <w:pStyle w:val="TableParagraph"/>
              <w:spacing w:before="57"/>
              <w:ind w:left="79" w:right="1222"/>
              <w:rPr>
                <w:b/>
                <w:sz w:val="20"/>
              </w:rPr>
            </w:pPr>
            <w:r>
              <w:rPr>
                <w:b/>
                <w:sz w:val="20"/>
              </w:rPr>
              <w:t>Vote Revenue Minister of Revenue</w:t>
            </w:r>
          </w:p>
        </w:tc>
        <w:tc>
          <w:tcPr>
            <w:tcW w:w="1210" w:type="dxa"/>
          </w:tcPr>
          <w:p w14:paraId="0220EBE9" w14:textId="77777777" w:rsidR="007E34B0" w:rsidRDefault="003026D2">
            <w:pPr>
              <w:pStyle w:val="TableParagraph"/>
              <w:spacing w:before="57"/>
              <w:ind w:left="256" w:right="247"/>
              <w:jc w:val="center"/>
              <w:rPr>
                <w:b/>
                <w:sz w:val="20"/>
              </w:rPr>
            </w:pPr>
            <w:r>
              <w:rPr>
                <w:b/>
                <w:sz w:val="20"/>
              </w:rPr>
              <w:t>2018/19</w:t>
            </w:r>
          </w:p>
        </w:tc>
        <w:tc>
          <w:tcPr>
            <w:tcW w:w="1212" w:type="dxa"/>
          </w:tcPr>
          <w:p w14:paraId="0220EBEA" w14:textId="77777777" w:rsidR="007E34B0" w:rsidRDefault="003026D2">
            <w:pPr>
              <w:pStyle w:val="TableParagraph"/>
              <w:spacing w:before="57"/>
              <w:ind w:left="257" w:right="249"/>
              <w:jc w:val="center"/>
              <w:rPr>
                <w:b/>
                <w:sz w:val="20"/>
              </w:rPr>
            </w:pPr>
            <w:r>
              <w:rPr>
                <w:b/>
                <w:sz w:val="20"/>
              </w:rPr>
              <w:t>2019/20</w:t>
            </w:r>
          </w:p>
        </w:tc>
        <w:tc>
          <w:tcPr>
            <w:tcW w:w="1210" w:type="dxa"/>
          </w:tcPr>
          <w:p w14:paraId="0220EBEB" w14:textId="77777777" w:rsidR="007E34B0" w:rsidRDefault="003026D2">
            <w:pPr>
              <w:pStyle w:val="TableParagraph"/>
              <w:spacing w:before="57"/>
              <w:ind w:left="256" w:right="246"/>
              <w:jc w:val="center"/>
              <w:rPr>
                <w:b/>
                <w:sz w:val="20"/>
              </w:rPr>
            </w:pPr>
            <w:r>
              <w:rPr>
                <w:b/>
                <w:sz w:val="20"/>
              </w:rPr>
              <w:t>2020/21</w:t>
            </w:r>
          </w:p>
        </w:tc>
        <w:tc>
          <w:tcPr>
            <w:tcW w:w="1212" w:type="dxa"/>
          </w:tcPr>
          <w:p w14:paraId="0220EBEC" w14:textId="77777777" w:rsidR="007E34B0" w:rsidRDefault="003026D2">
            <w:pPr>
              <w:pStyle w:val="TableParagraph"/>
              <w:spacing w:before="57"/>
              <w:ind w:left="257" w:right="249"/>
              <w:jc w:val="center"/>
              <w:rPr>
                <w:b/>
                <w:sz w:val="20"/>
              </w:rPr>
            </w:pPr>
            <w:r>
              <w:rPr>
                <w:b/>
                <w:sz w:val="20"/>
              </w:rPr>
              <w:t>2021/22</w:t>
            </w:r>
          </w:p>
        </w:tc>
        <w:tc>
          <w:tcPr>
            <w:tcW w:w="1530" w:type="dxa"/>
          </w:tcPr>
          <w:p w14:paraId="0220EBED" w14:textId="77777777" w:rsidR="007E34B0" w:rsidRDefault="003026D2">
            <w:pPr>
              <w:pStyle w:val="TableParagraph"/>
              <w:spacing w:before="57" w:line="229" w:lineRule="exact"/>
              <w:ind w:left="327"/>
              <w:rPr>
                <w:b/>
                <w:sz w:val="20"/>
              </w:rPr>
            </w:pPr>
            <w:r>
              <w:rPr>
                <w:b/>
                <w:sz w:val="20"/>
              </w:rPr>
              <w:t>2022/23 &amp;</w:t>
            </w:r>
          </w:p>
          <w:p w14:paraId="0220EBEE" w14:textId="77777777" w:rsidR="007E34B0" w:rsidRDefault="003026D2">
            <w:pPr>
              <w:pStyle w:val="TableParagraph"/>
              <w:spacing w:line="229" w:lineRule="exact"/>
              <w:ind w:left="368"/>
              <w:rPr>
                <w:b/>
                <w:sz w:val="20"/>
              </w:rPr>
            </w:pPr>
            <w:r>
              <w:rPr>
                <w:b/>
                <w:sz w:val="20"/>
              </w:rPr>
              <w:t>Outyears</w:t>
            </w:r>
          </w:p>
        </w:tc>
      </w:tr>
      <w:tr w:rsidR="007E34B0" w14:paraId="0220EBFB" w14:textId="77777777">
        <w:trPr>
          <w:trHeight w:val="656"/>
        </w:trPr>
        <w:tc>
          <w:tcPr>
            <w:tcW w:w="3064" w:type="dxa"/>
            <w:tcBorders>
              <w:bottom w:val="single" w:sz="6" w:space="0" w:color="000000"/>
            </w:tcBorders>
          </w:tcPr>
          <w:p w14:paraId="0220EBF0" w14:textId="77777777" w:rsidR="007E34B0" w:rsidRDefault="003026D2">
            <w:pPr>
              <w:pStyle w:val="TableParagraph"/>
              <w:spacing w:before="55"/>
              <w:ind w:left="106" w:right="500"/>
              <w:rPr>
                <w:sz w:val="20"/>
              </w:rPr>
            </w:pPr>
            <w:r>
              <w:rPr>
                <w:sz w:val="20"/>
              </w:rPr>
              <w:t>Crown Revenue and Receipts: Tax Revenue</w:t>
            </w:r>
          </w:p>
        </w:tc>
        <w:tc>
          <w:tcPr>
            <w:tcW w:w="1210" w:type="dxa"/>
            <w:tcBorders>
              <w:bottom w:val="single" w:sz="6" w:space="0" w:color="000000"/>
            </w:tcBorders>
          </w:tcPr>
          <w:p w14:paraId="0220EBF1" w14:textId="77777777" w:rsidR="007E34B0" w:rsidRDefault="007E34B0">
            <w:pPr>
              <w:pStyle w:val="TableParagraph"/>
              <w:spacing w:before="9"/>
              <w:rPr>
                <w:sz w:val="24"/>
              </w:rPr>
            </w:pPr>
          </w:p>
          <w:p w14:paraId="0220EBF2" w14:textId="77777777" w:rsidR="007E34B0" w:rsidRDefault="003026D2">
            <w:pPr>
              <w:pStyle w:val="TableParagraph"/>
              <w:ind w:left="8"/>
              <w:jc w:val="center"/>
              <w:rPr>
                <w:sz w:val="20"/>
              </w:rPr>
            </w:pPr>
            <w:r>
              <w:rPr>
                <w:sz w:val="20"/>
              </w:rPr>
              <w:t>-</w:t>
            </w:r>
          </w:p>
        </w:tc>
        <w:tc>
          <w:tcPr>
            <w:tcW w:w="1212" w:type="dxa"/>
            <w:tcBorders>
              <w:bottom w:val="single" w:sz="6" w:space="0" w:color="000000"/>
            </w:tcBorders>
          </w:tcPr>
          <w:p w14:paraId="0220EBF3" w14:textId="77777777" w:rsidR="007E34B0" w:rsidRDefault="007E34B0">
            <w:pPr>
              <w:pStyle w:val="TableParagraph"/>
              <w:spacing w:before="9"/>
              <w:rPr>
                <w:sz w:val="24"/>
              </w:rPr>
            </w:pPr>
          </w:p>
          <w:p w14:paraId="0220EBF4" w14:textId="77777777" w:rsidR="007E34B0" w:rsidRDefault="003026D2">
            <w:pPr>
              <w:pStyle w:val="TableParagraph"/>
              <w:ind w:left="257" w:right="247"/>
              <w:jc w:val="center"/>
              <w:rPr>
                <w:sz w:val="20"/>
              </w:rPr>
            </w:pPr>
            <w:r>
              <w:rPr>
                <w:sz w:val="20"/>
              </w:rPr>
              <w:t>4.000</w:t>
            </w:r>
          </w:p>
        </w:tc>
        <w:tc>
          <w:tcPr>
            <w:tcW w:w="1210" w:type="dxa"/>
            <w:tcBorders>
              <w:bottom w:val="single" w:sz="6" w:space="0" w:color="000000"/>
            </w:tcBorders>
          </w:tcPr>
          <w:p w14:paraId="0220EBF5" w14:textId="77777777" w:rsidR="007E34B0" w:rsidRDefault="007E34B0">
            <w:pPr>
              <w:pStyle w:val="TableParagraph"/>
              <w:spacing w:before="9"/>
              <w:rPr>
                <w:sz w:val="24"/>
              </w:rPr>
            </w:pPr>
          </w:p>
          <w:p w14:paraId="0220EBF6" w14:textId="77777777" w:rsidR="007E34B0" w:rsidRDefault="003026D2">
            <w:pPr>
              <w:pStyle w:val="TableParagraph"/>
              <w:ind w:left="254" w:right="247"/>
              <w:jc w:val="center"/>
              <w:rPr>
                <w:sz w:val="20"/>
              </w:rPr>
            </w:pPr>
            <w:r>
              <w:rPr>
                <w:sz w:val="20"/>
              </w:rPr>
              <w:t>4.000</w:t>
            </w:r>
          </w:p>
        </w:tc>
        <w:tc>
          <w:tcPr>
            <w:tcW w:w="1212" w:type="dxa"/>
            <w:tcBorders>
              <w:bottom w:val="single" w:sz="6" w:space="0" w:color="000000"/>
            </w:tcBorders>
          </w:tcPr>
          <w:p w14:paraId="0220EBF7" w14:textId="77777777" w:rsidR="007E34B0" w:rsidRDefault="007E34B0">
            <w:pPr>
              <w:pStyle w:val="TableParagraph"/>
              <w:spacing w:before="9"/>
              <w:rPr>
                <w:sz w:val="24"/>
              </w:rPr>
            </w:pPr>
          </w:p>
          <w:p w14:paraId="0220EBF8" w14:textId="77777777" w:rsidR="007E34B0" w:rsidRDefault="003026D2">
            <w:pPr>
              <w:pStyle w:val="TableParagraph"/>
              <w:ind w:left="257" w:right="248"/>
              <w:jc w:val="center"/>
              <w:rPr>
                <w:sz w:val="20"/>
              </w:rPr>
            </w:pPr>
            <w:r>
              <w:rPr>
                <w:sz w:val="20"/>
              </w:rPr>
              <w:t>4.000</w:t>
            </w:r>
          </w:p>
        </w:tc>
        <w:tc>
          <w:tcPr>
            <w:tcW w:w="1530" w:type="dxa"/>
            <w:tcBorders>
              <w:bottom w:val="single" w:sz="6" w:space="0" w:color="000000"/>
            </w:tcBorders>
          </w:tcPr>
          <w:p w14:paraId="0220EBF9" w14:textId="77777777" w:rsidR="007E34B0" w:rsidRDefault="007E34B0">
            <w:pPr>
              <w:pStyle w:val="TableParagraph"/>
              <w:spacing w:before="9"/>
              <w:rPr>
                <w:sz w:val="24"/>
              </w:rPr>
            </w:pPr>
          </w:p>
          <w:p w14:paraId="0220EBFA" w14:textId="77777777" w:rsidR="007E34B0" w:rsidRDefault="003026D2">
            <w:pPr>
              <w:pStyle w:val="TableParagraph"/>
              <w:ind w:left="518" w:right="511"/>
              <w:jc w:val="center"/>
              <w:rPr>
                <w:sz w:val="20"/>
              </w:rPr>
            </w:pPr>
            <w:r>
              <w:rPr>
                <w:sz w:val="20"/>
              </w:rPr>
              <w:t>4.000</w:t>
            </w:r>
          </w:p>
        </w:tc>
      </w:tr>
    </w:tbl>
    <w:p w14:paraId="0220EBFC" w14:textId="77777777" w:rsidR="007E34B0" w:rsidRDefault="007E34B0">
      <w:pPr>
        <w:jc w:val="center"/>
        <w:rPr>
          <w:sz w:val="20"/>
        </w:rPr>
        <w:sectPr w:rsidR="007E34B0">
          <w:headerReference w:type="default" r:id="rId8"/>
          <w:footerReference w:type="default" r:id="rId9"/>
          <w:type w:val="continuous"/>
          <w:pgSz w:w="11900" w:h="16840"/>
          <w:pgMar w:top="840" w:right="500" w:bottom="780" w:left="1020" w:header="405" w:footer="582" w:gutter="0"/>
          <w:pgNumType w:start="1"/>
          <w:cols w:space="720"/>
        </w:sectPr>
      </w:pPr>
    </w:p>
    <w:p w14:paraId="0220EBFD" w14:textId="77777777" w:rsidR="007E34B0" w:rsidRDefault="003026D2">
      <w:pPr>
        <w:pStyle w:val="ListParagraph"/>
        <w:numPr>
          <w:ilvl w:val="0"/>
          <w:numId w:val="1"/>
        </w:numPr>
        <w:tabs>
          <w:tab w:val="left" w:pos="835"/>
          <w:tab w:val="left" w:pos="836"/>
        </w:tabs>
        <w:spacing w:before="51"/>
        <w:ind w:right="1029"/>
        <w:rPr>
          <w:sz w:val="24"/>
        </w:rPr>
      </w:pPr>
      <w:r>
        <w:rPr>
          <w:b/>
          <w:sz w:val="24"/>
        </w:rPr>
        <w:lastRenderedPageBreak/>
        <w:t xml:space="preserve">noted </w:t>
      </w:r>
      <w:r>
        <w:rPr>
          <w:sz w:val="24"/>
        </w:rPr>
        <w:t>that the last year of revenue impact is 2023/24, when the proposed exemption will expire.</w:t>
      </w:r>
    </w:p>
    <w:p w14:paraId="0220EBFE" w14:textId="77777777" w:rsidR="007E34B0" w:rsidRDefault="007E34B0">
      <w:pPr>
        <w:pStyle w:val="BodyText"/>
        <w:rPr>
          <w:sz w:val="26"/>
        </w:rPr>
      </w:pPr>
    </w:p>
    <w:p w14:paraId="0220EBFF" w14:textId="77777777" w:rsidR="007E34B0" w:rsidRDefault="007E34B0">
      <w:pPr>
        <w:pStyle w:val="BodyText"/>
        <w:rPr>
          <w:sz w:val="26"/>
        </w:rPr>
      </w:pPr>
    </w:p>
    <w:p w14:paraId="0220EC00" w14:textId="77777777" w:rsidR="007E34B0" w:rsidRDefault="007E34B0">
      <w:pPr>
        <w:pStyle w:val="BodyText"/>
        <w:rPr>
          <w:sz w:val="26"/>
        </w:rPr>
      </w:pPr>
    </w:p>
    <w:p w14:paraId="0220EC01" w14:textId="77777777" w:rsidR="007E34B0" w:rsidRDefault="007E34B0">
      <w:pPr>
        <w:pStyle w:val="BodyText"/>
        <w:rPr>
          <w:sz w:val="26"/>
        </w:rPr>
      </w:pPr>
    </w:p>
    <w:p w14:paraId="0220EC02" w14:textId="77777777" w:rsidR="007E34B0" w:rsidRDefault="007E34B0">
      <w:pPr>
        <w:pStyle w:val="BodyText"/>
        <w:spacing w:before="10"/>
        <w:rPr>
          <w:sz w:val="36"/>
        </w:rPr>
      </w:pPr>
    </w:p>
    <w:p w14:paraId="0220EC03" w14:textId="77777777" w:rsidR="007E34B0" w:rsidRDefault="003026D2">
      <w:pPr>
        <w:pStyle w:val="BodyText"/>
        <w:spacing w:after="19"/>
        <w:ind w:left="115" w:right="8212"/>
      </w:pPr>
      <w:r>
        <w:t>Janine Harvey Committee Secretary</w:t>
      </w:r>
    </w:p>
    <w:p w14:paraId="0220EC04" w14:textId="77777777" w:rsidR="007E34B0" w:rsidRDefault="004168CC">
      <w:pPr>
        <w:pStyle w:val="BodyText"/>
        <w:spacing w:line="20" w:lineRule="exact"/>
        <w:ind w:left="109"/>
        <w:rPr>
          <w:sz w:val="2"/>
        </w:rPr>
      </w:pPr>
      <w:r>
        <w:rPr>
          <w:sz w:val="2"/>
        </w:rPr>
      </w:r>
      <w:r>
        <w:rPr>
          <w:sz w:val="2"/>
        </w:rPr>
        <w:pict w14:anchorId="0220EC15">
          <v:group id="_x0000_s1026" style="width:481.8pt;height:.5pt;mso-position-horizontal-relative:char;mso-position-vertical-relative:line" coordsize="9636,10">
            <v:line id="_x0000_s1027" style="position:absolute" from="0,5" to="9636,5" strokecolor="#000001" strokeweight=".5pt"/>
            <w10:anchorlock/>
          </v:group>
        </w:pict>
      </w:r>
    </w:p>
    <w:p w14:paraId="0220EC05" w14:textId="77777777" w:rsidR="007E34B0" w:rsidRDefault="007E34B0">
      <w:pPr>
        <w:pStyle w:val="BodyText"/>
        <w:rPr>
          <w:sz w:val="15"/>
        </w:rPr>
      </w:pPr>
    </w:p>
    <w:p w14:paraId="0220EC06" w14:textId="77777777" w:rsidR="007E34B0" w:rsidRDefault="007E34B0">
      <w:pPr>
        <w:rPr>
          <w:sz w:val="15"/>
        </w:rPr>
        <w:sectPr w:rsidR="007E34B0">
          <w:pgSz w:w="11900" w:h="16840"/>
          <w:pgMar w:top="840" w:right="500" w:bottom="780" w:left="1020" w:header="405" w:footer="582" w:gutter="0"/>
          <w:cols w:space="720"/>
        </w:sectPr>
      </w:pPr>
    </w:p>
    <w:p w14:paraId="0220EC07" w14:textId="77777777" w:rsidR="007E34B0" w:rsidRDefault="003026D2">
      <w:pPr>
        <w:spacing w:before="94" w:line="229" w:lineRule="exact"/>
        <w:ind w:left="115"/>
        <w:rPr>
          <w:rFonts w:ascii="Arial"/>
          <w:b/>
          <w:sz w:val="20"/>
        </w:rPr>
      </w:pPr>
      <w:r>
        <w:rPr>
          <w:rFonts w:ascii="Arial"/>
          <w:b/>
          <w:sz w:val="20"/>
        </w:rPr>
        <w:t>Present:</w:t>
      </w:r>
    </w:p>
    <w:p w14:paraId="0220EC08" w14:textId="77777777" w:rsidR="007E34B0" w:rsidRDefault="003026D2">
      <w:pPr>
        <w:spacing w:line="229" w:lineRule="exact"/>
        <w:ind w:left="115"/>
        <w:rPr>
          <w:sz w:val="20"/>
        </w:rPr>
      </w:pPr>
      <w:r>
        <w:rPr>
          <w:sz w:val="20"/>
        </w:rPr>
        <w:t>Hon Kelvin</w:t>
      </w:r>
      <w:r>
        <w:rPr>
          <w:spacing w:val="-4"/>
          <w:sz w:val="20"/>
        </w:rPr>
        <w:t xml:space="preserve"> </w:t>
      </w:r>
      <w:r>
        <w:rPr>
          <w:sz w:val="20"/>
        </w:rPr>
        <w:t>Davis</w:t>
      </w:r>
    </w:p>
    <w:p w14:paraId="0220EC09" w14:textId="77777777" w:rsidR="007E34B0" w:rsidRDefault="003026D2">
      <w:pPr>
        <w:ind w:left="115" w:right="402"/>
        <w:rPr>
          <w:sz w:val="20"/>
        </w:rPr>
      </w:pPr>
      <w:r>
        <w:rPr>
          <w:sz w:val="20"/>
        </w:rPr>
        <w:t>Hon Grant Robertson (Chair) Hon Phil Twyford</w:t>
      </w:r>
    </w:p>
    <w:p w14:paraId="0220EC0A" w14:textId="77777777" w:rsidR="007E34B0" w:rsidRDefault="003026D2">
      <w:pPr>
        <w:ind w:left="115" w:right="774"/>
        <w:rPr>
          <w:sz w:val="20"/>
        </w:rPr>
      </w:pPr>
      <w:r>
        <w:rPr>
          <w:sz w:val="20"/>
        </w:rPr>
        <w:t xml:space="preserve">Hon Dr Megan Woods Hon Iain Lees-Galloway Hon Jenny </w:t>
      </w:r>
      <w:proofErr w:type="spellStart"/>
      <w:r>
        <w:rPr>
          <w:sz w:val="20"/>
        </w:rPr>
        <w:t>Salesa</w:t>
      </w:r>
      <w:proofErr w:type="spellEnd"/>
    </w:p>
    <w:p w14:paraId="0220EC0B" w14:textId="77777777" w:rsidR="007E34B0" w:rsidRDefault="003026D2">
      <w:pPr>
        <w:ind w:left="115" w:right="1174"/>
        <w:rPr>
          <w:sz w:val="20"/>
        </w:rPr>
      </w:pPr>
      <w:r>
        <w:rPr>
          <w:sz w:val="20"/>
        </w:rPr>
        <w:t xml:space="preserve">Hon Shane Jones Hon Kris </w:t>
      </w:r>
      <w:proofErr w:type="spellStart"/>
      <w:r>
        <w:rPr>
          <w:sz w:val="20"/>
        </w:rPr>
        <w:t>Faafoi</w:t>
      </w:r>
      <w:proofErr w:type="spellEnd"/>
      <w:r>
        <w:rPr>
          <w:sz w:val="20"/>
        </w:rPr>
        <w:t xml:space="preserve"> Hon Willie Jackson Hon James Shaw Hon Eugenie Sage</w:t>
      </w:r>
    </w:p>
    <w:p w14:paraId="0220EC0C" w14:textId="77777777" w:rsidR="007E34B0" w:rsidRDefault="007E34B0">
      <w:pPr>
        <w:pStyle w:val="BodyText"/>
        <w:spacing w:before="2"/>
        <w:rPr>
          <w:sz w:val="23"/>
        </w:rPr>
      </w:pPr>
    </w:p>
    <w:p w14:paraId="0220EC0D" w14:textId="77777777" w:rsidR="007E34B0" w:rsidRDefault="003026D2">
      <w:pPr>
        <w:ind w:left="115" w:right="19"/>
        <w:rPr>
          <w:sz w:val="20"/>
        </w:rPr>
      </w:pPr>
      <w:r>
        <w:rPr>
          <w:rFonts w:ascii="Arial"/>
          <w:b/>
          <w:sz w:val="20"/>
        </w:rPr>
        <w:t xml:space="preserve">Hard-copy distribution: </w:t>
      </w:r>
      <w:r>
        <w:rPr>
          <w:sz w:val="20"/>
        </w:rPr>
        <w:t>Minister of Energy and Resources Minister of Revenue</w:t>
      </w:r>
    </w:p>
    <w:p w14:paraId="0220EC0E" w14:textId="77777777" w:rsidR="007E34B0" w:rsidRDefault="003026D2">
      <w:pPr>
        <w:spacing w:before="94"/>
        <w:ind w:left="116" w:right="2933"/>
        <w:rPr>
          <w:sz w:val="20"/>
        </w:rPr>
      </w:pPr>
      <w:r>
        <w:br w:type="column"/>
      </w:r>
      <w:r>
        <w:rPr>
          <w:rFonts w:ascii="Arial"/>
          <w:b/>
          <w:sz w:val="20"/>
        </w:rPr>
        <w:t xml:space="preserve">Officials present from: </w:t>
      </w:r>
      <w:r>
        <w:rPr>
          <w:sz w:val="20"/>
        </w:rPr>
        <w:t>Office of the Prime Minister Officials Committee for DEV</w:t>
      </w:r>
    </w:p>
    <w:sectPr w:rsidR="007E34B0">
      <w:type w:val="continuous"/>
      <w:pgSz w:w="11900" w:h="16840"/>
      <w:pgMar w:top="840" w:right="500" w:bottom="780" w:left="1020" w:header="720" w:footer="720" w:gutter="0"/>
      <w:cols w:num="2" w:space="720" w:equalWidth="0">
        <w:col w:w="2887" w:space="2041"/>
        <w:col w:w="54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EC18" w14:textId="77777777" w:rsidR="00CA23A2" w:rsidRDefault="003026D2">
      <w:r>
        <w:separator/>
      </w:r>
    </w:p>
  </w:endnote>
  <w:endnote w:type="continuationSeparator" w:id="0">
    <w:p w14:paraId="0220EC19" w14:textId="77777777" w:rsidR="00CA23A2" w:rsidRDefault="003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C1B" w14:textId="77777777" w:rsidR="007E34B0" w:rsidRDefault="004168CC">
    <w:pPr>
      <w:pStyle w:val="BodyText"/>
      <w:spacing w:line="14" w:lineRule="auto"/>
      <w:rPr>
        <w:sz w:val="20"/>
      </w:rPr>
    </w:pPr>
    <w:r>
      <w:pict w14:anchorId="0220EC1E">
        <v:shapetype id="_x0000_t202" coordsize="21600,21600" o:spt="202" path="m,l,21600r21600,l21600,xe">
          <v:stroke joinstyle="miter"/>
          <v:path gradientshapeok="t" o:connecttype="rect"/>
        </v:shapetype>
        <v:shape id="_x0000_s2051" type="#_x0000_t202" style="position:absolute;margin-left:527.8pt;margin-top:801.9pt;width:10pt;height:15.3pt;z-index:-5008;mso-position-horizontal-relative:page;mso-position-vertical-relative:page" filled="f" stroked="f">
          <v:textbox inset="0,0,0,0">
            <w:txbxContent>
              <w:p w14:paraId="0220EC22" w14:textId="77777777" w:rsidR="007E34B0" w:rsidRDefault="003026D2">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w14:anchorId="0220EC1F">
        <v:shape id="_x0000_s2050" type="#_x0000_t202" style="position:absolute;margin-left:236.3pt;margin-top:815.55pt;width:116.75pt;height:13.2pt;z-index:-4984;mso-position-horizontal-relative:page;mso-position-vertical-relative:page" filled="f" stroked="f">
          <v:textbox inset="0,0,0,0">
            <w:txbxContent>
              <w:p w14:paraId="0220EC23" w14:textId="77777777" w:rsidR="007E34B0" w:rsidRDefault="003026D2">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EC16" w14:textId="77777777" w:rsidR="00CA23A2" w:rsidRDefault="003026D2">
      <w:r>
        <w:separator/>
      </w:r>
    </w:p>
  </w:footnote>
  <w:footnote w:type="continuationSeparator" w:id="0">
    <w:p w14:paraId="0220EC17" w14:textId="77777777" w:rsidR="00CA23A2" w:rsidRDefault="0030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C1A" w14:textId="77777777" w:rsidR="007E34B0" w:rsidRDefault="004168CC">
    <w:pPr>
      <w:pStyle w:val="BodyText"/>
      <w:spacing w:line="14" w:lineRule="auto"/>
      <w:rPr>
        <w:sz w:val="20"/>
      </w:rPr>
    </w:pPr>
    <w:r>
      <w:pict w14:anchorId="0220EC1C">
        <v:shapetype id="_x0000_t202" coordsize="21600,21600" o:spt="202" path="m,l,21600r21600,l21600,xe">
          <v:stroke joinstyle="miter"/>
          <v:path gradientshapeok="t" o:connecttype="rect"/>
        </v:shapetype>
        <v:shape id="_x0000_s2053" type="#_x0000_t202" style="position:absolute;margin-left:236.3pt;margin-top:19.25pt;width:116.75pt;height:13.2pt;z-index:-5056;mso-position-horizontal-relative:page;mso-position-vertical-relative:page" filled="f" stroked="f">
          <v:textbox inset="0,0,0,0">
            <w:txbxContent>
              <w:p w14:paraId="0220EC20" w14:textId="77777777" w:rsidR="007E34B0" w:rsidRDefault="003026D2">
                <w:pPr>
                  <w:spacing w:before="13"/>
                  <w:ind w:left="20"/>
                  <w:rPr>
                    <w:rFonts w:ascii="Arial"/>
                    <w:b/>
                    <w:sz w:val="20"/>
                  </w:rPr>
                </w:pPr>
                <w:r>
                  <w:rPr>
                    <w:rFonts w:ascii="Arial"/>
                    <w:b/>
                    <w:sz w:val="20"/>
                  </w:rPr>
                  <w:t>I N ~C O N F I D E N C E</w:t>
                </w:r>
              </w:p>
            </w:txbxContent>
          </v:textbox>
          <w10:wrap anchorx="page" anchory="page"/>
        </v:shape>
      </w:pict>
    </w:r>
    <w:r>
      <w:pict w14:anchorId="0220EC1D">
        <v:shape id="_x0000_s2052" type="#_x0000_t202" style="position:absolute;margin-left:452.7pt;margin-top:30.75pt;width:84.2pt;height:13.2pt;z-index:-5032;mso-position-horizontal-relative:page;mso-position-vertical-relative:page" filled="f" stroked="f">
          <v:textbox inset="0,0,0,0">
            <w:txbxContent>
              <w:p w14:paraId="0220EC21" w14:textId="77777777" w:rsidR="007E34B0" w:rsidRDefault="003026D2">
                <w:pPr>
                  <w:spacing w:before="13"/>
                  <w:ind w:left="20"/>
                  <w:rPr>
                    <w:rFonts w:ascii="Arial"/>
                    <w:b/>
                    <w:sz w:val="20"/>
                  </w:rPr>
                </w:pPr>
                <w:r>
                  <w:rPr>
                    <w:rFonts w:ascii="Arial"/>
                    <w:b/>
                    <w:sz w:val="20"/>
                  </w:rPr>
                  <w:t>DEV-19-MIN-0151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F6521"/>
    <w:multiLevelType w:val="multilevel"/>
    <w:tmpl w:val="98520B44"/>
    <w:lvl w:ilvl="0">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3"/>
        <w:w w:val="100"/>
        <w:sz w:val="24"/>
        <w:szCs w:val="24"/>
        <w:lang w:val="en-NZ" w:eastAsia="en-NZ" w:bidi="en-NZ"/>
      </w:rPr>
    </w:lvl>
    <w:lvl w:ilvl="2">
      <w:numFmt w:val="bullet"/>
      <w:lvlText w:val="•"/>
      <w:lvlJc w:val="left"/>
      <w:pPr>
        <w:ind w:left="2540" w:hanging="720"/>
      </w:pPr>
      <w:rPr>
        <w:rFonts w:hint="default"/>
        <w:lang w:val="en-NZ" w:eastAsia="en-NZ" w:bidi="en-NZ"/>
      </w:rPr>
    </w:lvl>
    <w:lvl w:ilvl="3">
      <w:numFmt w:val="bullet"/>
      <w:lvlText w:val="•"/>
      <w:lvlJc w:val="left"/>
      <w:pPr>
        <w:ind w:left="3520" w:hanging="720"/>
      </w:pPr>
      <w:rPr>
        <w:rFonts w:hint="default"/>
        <w:lang w:val="en-NZ" w:eastAsia="en-NZ" w:bidi="en-NZ"/>
      </w:rPr>
    </w:lvl>
    <w:lvl w:ilvl="4">
      <w:numFmt w:val="bullet"/>
      <w:lvlText w:val="•"/>
      <w:lvlJc w:val="left"/>
      <w:pPr>
        <w:ind w:left="4500" w:hanging="720"/>
      </w:pPr>
      <w:rPr>
        <w:rFonts w:hint="default"/>
        <w:lang w:val="en-NZ" w:eastAsia="en-NZ" w:bidi="en-NZ"/>
      </w:rPr>
    </w:lvl>
    <w:lvl w:ilvl="5">
      <w:numFmt w:val="bullet"/>
      <w:lvlText w:val="•"/>
      <w:lvlJc w:val="left"/>
      <w:pPr>
        <w:ind w:left="5480" w:hanging="720"/>
      </w:pPr>
      <w:rPr>
        <w:rFonts w:hint="default"/>
        <w:lang w:val="en-NZ" w:eastAsia="en-NZ" w:bidi="en-NZ"/>
      </w:rPr>
    </w:lvl>
    <w:lvl w:ilvl="6">
      <w:numFmt w:val="bullet"/>
      <w:lvlText w:val="•"/>
      <w:lvlJc w:val="left"/>
      <w:pPr>
        <w:ind w:left="6460" w:hanging="720"/>
      </w:pPr>
      <w:rPr>
        <w:rFonts w:hint="default"/>
        <w:lang w:val="en-NZ" w:eastAsia="en-NZ" w:bidi="en-NZ"/>
      </w:rPr>
    </w:lvl>
    <w:lvl w:ilvl="7">
      <w:numFmt w:val="bullet"/>
      <w:lvlText w:val="•"/>
      <w:lvlJc w:val="left"/>
      <w:pPr>
        <w:ind w:left="7440" w:hanging="720"/>
      </w:pPr>
      <w:rPr>
        <w:rFonts w:hint="default"/>
        <w:lang w:val="en-NZ" w:eastAsia="en-NZ" w:bidi="en-NZ"/>
      </w:rPr>
    </w:lvl>
    <w:lvl w:ilvl="8">
      <w:numFmt w:val="bullet"/>
      <w:lvlText w:val="•"/>
      <w:lvlJc w:val="left"/>
      <w:pPr>
        <w:ind w:left="8420"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E34B0"/>
    <w:rsid w:val="003026D2"/>
    <w:rsid w:val="004168CC"/>
    <w:rsid w:val="007E34B0"/>
    <w:rsid w:val="00CA23A2"/>
    <w:rsid w:val="00D879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20EBC6"/>
  <w15:docId w15:val="{3232228A-6701-46BE-9E31-A05509D2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6D2"/>
    <w:pPr>
      <w:tabs>
        <w:tab w:val="center" w:pos="4513"/>
        <w:tab w:val="right" w:pos="9026"/>
      </w:tabs>
    </w:pPr>
  </w:style>
  <w:style w:type="character" w:customStyle="1" w:styleId="HeaderChar">
    <w:name w:val="Header Char"/>
    <w:basedOn w:val="DefaultParagraphFont"/>
    <w:link w:val="Header"/>
    <w:uiPriority w:val="99"/>
    <w:rsid w:val="003026D2"/>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3026D2"/>
    <w:pPr>
      <w:tabs>
        <w:tab w:val="center" w:pos="4513"/>
        <w:tab w:val="right" w:pos="9026"/>
      </w:tabs>
    </w:pPr>
  </w:style>
  <w:style w:type="character" w:customStyle="1" w:styleId="FooterChar">
    <w:name w:val="Footer Char"/>
    <w:basedOn w:val="DefaultParagraphFont"/>
    <w:link w:val="Footer"/>
    <w:uiPriority w:val="99"/>
    <w:rsid w:val="003026D2"/>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2252</Characters>
  <Application>Microsoft Office Word</Application>
  <DocSecurity>0</DocSecurity>
  <Lines>187</Lines>
  <Paragraphs>46</Paragraphs>
  <ScaleCrop>false</ScaleCrop>
  <HeadingPairs>
    <vt:vector size="2" baseType="variant">
      <vt:variant>
        <vt:lpstr>Title</vt:lpstr>
      </vt:variant>
      <vt:variant>
        <vt:i4>1</vt:i4>
      </vt:variant>
    </vt:vector>
  </HeadingPairs>
  <TitlesOfParts>
    <vt:vector size="1" baseType="lpstr">
      <vt:lpstr>DEV-19-MIN-0151 – Minute: Non-resident oil rig and seismic vessel operators: extension of tax exemption (12 June 2019)</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DEV-19-MIN-0151 – Minute: Non-resident oil rig and seismic vessel operators: extension of tax exemption (12 June 2019)</dc:title>
  <dcterms:created xsi:type="dcterms:W3CDTF">2020-09-08T01:43:00Z</dcterms:created>
  <dcterms:modified xsi:type="dcterms:W3CDTF">2020-09-08T01:43:00Z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