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B8E5" w14:textId="77777777" w:rsidR="00E00C21" w:rsidRDefault="00E00C21" w:rsidP="00E00C21">
      <w:pPr>
        <w:tabs>
          <w:tab w:val="center" w:pos="5670"/>
        </w:tabs>
      </w:pPr>
      <w:bookmarkStart w:id="0" w:name="_GoBack"/>
      <w:bookmarkEnd w:id="0"/>
      <w:r w:rsidRPr="00A768F4">
        <w:rPr>
          <w:noProof/>
          <w:lang w:eastAsia="en-NZ"/>
        </w:rPr>
        <w:drawing>
          <wp:inline distT="0" distB="0" distL="0" distR="0" wp14:anchorId="2B8DE66E" wp14:editId="7DCDE6A5">
            <wp:extent cx="2383200" cy="666000"/>
            <wp:effectExtent l="0" t="0" r="0" b="1270"/>
            <wp:docPr id="2" name="Picture 2" descr="black_smal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_small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5F163C3B" wp14:editId="731179AC">
            <wp:simplePos x="0" y="0"/>
            <wp:positionH relativeFrom="column">
              <wp:posOffset>4880610</wp:posOffset>
            </wp:positionH>
            <wp:positionV relativeFrom="paragraph">
              <wp:posOffset>3810</wp:posOffset>
            </wp:positionV>
            <wp:extent cx="1233805" cy="1216025"/>
            <wp:effectExtent l="0" t="0" r="4445" b="3175"/>
            <wp:wrapTight wrapText="bothSides">
              <wp:wrapPolygon edited="0">
                <wp:start x="0" y="0"/>
                <wp:lineTo x="0" y="21318"/>
                <wp:lineTo x="21344" y="21318"/>
                <wp:lineTo x="21344" y="0"/>
                <wp:lineTo x="0" y="0"/>
              </wp:wrapPolygon>
            </wp:wrapTight>
            <wp:docPr id="7" name="Picture 7" descr="ts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y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6D1589" w14:textId="77777777" w:rsidR="00E00C21" w:rsidRDefault="00E00C21" w:rsidP="00E00C21">
      <w:pPr>
        <w:pStyle w:val="PAS-Groupname-Joint"/>
      </w:pPr>
      <w:r w:rsidRPr="00B73500">
        <w:t>POLICY AND STRATEGY</w:t>
      </w:r>
    </w:p>
    <w:p w14:paraId="2FE01BC9" w14:textId="0FB8B925" w:rsidR="00DD623A" w:rsidRPr="001D0013" w:rsidRDefault="00DD623A" w:rsidP="001D0013">
      <w:pPr>
        <w:pStyle w:val="ReportCover-Title"/>
      </w:pPr>
      <w:r w:rsidRPr="001D0013">
        <w:t>Tax policy report:</w:t>
      </w:r>
      <w:r w:rsidRPr="001D0013">
        <w:tab/>
      </w:r>
      <w:bookmarkStart w:id="1" w:name="Subject"/>
      <w:bookmarkStart w:id="2" w:name="_Hlk531179075"/>
      <w:bookmarkEnd w:id="1"/>
      <w:r w:rsidR="003A1455">
        <w:t>Options for taxing the digital economy</w:t>
      </w:r>
      <w:bookmarkEnd w:id="2"/>
      <w:r w:rsidR="00973149">
        <w:t xml:space="preserve"> –</w:t>
      </w:r>
      <w:r w:rsidR="00C539AA">
        <w:t xml:space="preserve"> </w:t>
      </w:r>
      <w:r w:rsidR="00C5352D">
        <w:t>C</w:t>
      </w:r>
      <w:r w:rsidR="00973149">
        <w:t>ab</w:t>
      </w:r>
      <w:r w:rsidR="00C5352D">
        <w:t>inet paper</w:t>
      </w:r>
    </w:p>
    <w:tbl>
      <w:tblPr>
        <w:tblW w:w="97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1985"/>
        <w:gridCol w:w="2485"/>
      </w:tblGrid>
      <w:tr w:rsidR="00DD623A" w:rsidRPr="00DD623A" w14:paraId="2089975D" w14:textId="77777777" w:rsidTr="000B2ED1">
        <w:tc>
          <w:tcPr>
            <w:tcW w:w="2689" w:type="dxa"/>
          </w:tcPr>
          <w:p w14:paraId="4396C0F7" w14:textId="77777777" w:rsidR="00DD623A" w:rsidRPr="000B2ED1" w:rsidRDefault="00DD623A" w:rsidP="000B2ED1">
            <w:pPr>
              <w:pStyle w:val="Table-Heading"/>
            </w:pPr>
            <w:r w:rsidRPr="000B2ED1">
              <w:t>Date:</w:t>
            </w:r>
          </w:p>
        </w:tc>
        <w:tc>
          <w:tcPr>
            <w:tcW w:w="2551" w:type="dxa"/>
          </w:tcPr>
          <w:p w14:paraId="0975A07F" w14:textId="585478EB" w:rsidR="00DD623A" w:rsidRPr="00705DC2" w:rsidRDefault="00C5352D" w:rsidP="00705DC2">
            <w:pPr>
              <w:pStyle w:val="Table-Text"/>
            </w:pPr>
            <w:bookmarkStart w:id="3" w:name="Date"/>
            <w:bookmarkEnd w:id="3"/>
            <w:r>
              <w:t>2</w:t>
            </w:r>
            <w:r w:rsidR="00375654">
              <w:t>9</w:t>
            </w:r>
            <w:r w:rsidR="003A1455">
              <w:t xml:space="preserve"> </w:t>
            </w:r>
            <w:r>
              <w:t>January</w:t>
            </w:r>
            <w:r w:rsidR="003A1455">
              <w:t xml:space="preserve"> 2018</w:t>
            </w:r>
          </w:p>
        </w:tc>
        <w:tc>
          <w:tcPr>
            <w:tcW w:w="1985" w:type="dxa"/>
          </w:tcPr>
          <w:p w14:paraId="009AD6AC" w14:textId="77777777" w:rsidR="00DD623A" w:rsidRPr="000B2ED1" w:rsidRDefault="00DD623A" w:rsidP="000B2ED1">
            <w:pPr>
              <w:pStyle w:val="Table-Heading"/>
            </w:pPr>
            <w:r w:rsidRPr="000B2ED1">
              <w:t>Priority:</w:t>
            </w:r>
          </w:p>
        </w:tc>
        <w:tc>
          <w:tcPr>
            <w:tcW w:w="2485" w:type="dxa"/>
          </w:tcPr>
          <w:bookmarkStart w:id="4" w:name="Priority" w:displacedByCustomXml="next"/>
          <w:bookmarkEnd w:id="4" w:displacedByCustomXml="next"/>
          <w:sdt>
            <w:sdtPr>
              <w:alias w:val="Report Priority"/>
              <w:tag w:val="Report Priority"/>
              <w:id w:val="-277869482"/>
              <w:placeholder>
                <w:docPart w:val="1B50A042F21C446A9CF448BDAA43940D"/>
              </w:placeholder>
              <w:dropDownList>
                <w:listItem w:value="[Choose a report priority]"/>
                <w:listItem w:displayText="Low" w:value="Low"/>
                <w:listItem w:displayText="Medium" w:value="Medium"/>
                <w:listItem w:displayText="High" w:value="High"/>
              </w:dropDownList>
            </w:sdtPr>
            <w:sdtEndPr/>
            <w:sdtContent>
              <w:p w14:paraId="4F2A303E" w14:textId="77777777" w:rsidR="00DD623A" w:rsidRPr="00705DC2" w:rsidRDefault="003A1455" w:rsidP="00C44EDE">
                <w:pPr>
                  <w:pStyle w:val="Table-Text"/>
                </w:pPr>
                <w:r>
                  <w:t>Medium</w:t>
                </w:r>
              </w:p>
            </w:sdtContent>
          </w:sdt>
        </w:tc>
      </w:tr>
      <w:tr w:rsidR="00DD623A" w:rsidRPr="00DD623A" w14:paraId="527B1844" w14:textId="77777777" w:rsidTr="000B2ED1">
        <w:tc>
          <w:tcPr>
            <w:tcW w:w="2689" w:type="dxa"/>
          </w:tcPr>
          <w:p w14:paraId="59808BBF" w14:textId="77777777" w:rsidR="00DD623A" w:rsidRPr="000B2ED1" w:rsidRDefault="00DD623A" w:rsidP="000B2ED1">
            <w:pPr>
              <w:pStyle w:val="Table-Heading"/>
            </w:pPr>
            <w:r w:rsidRPr="000B2ED1">
              <w:t>Security level:</w:t>
            </w:r>
          </w:p>
        </w:tc>
        <w:tc>
          <w:tcPr>
            <w:tcW w:w="2551" w:type="dxa"/>
          </w:tcPr>
          <w:p w14:paraId="337E0ABC" w14:textId="77777777" w:rsidR="009B5A86" w:rsidRPr="00DD623A" w:rsidRDefault="003A1455" w:rsidP="00C44EDE">
            <w:pPr>
              <w:pStyle w:val="Table-Text"/>
            </w:pPr>
            <w:bookmarkStart w:id="5" w:name="Security"/>
            <w:bookmarkEnd w:id="5"/>
            <w:r>
              <w:t>In Confidence</w:t>
            </w:r>
          </w:p>
        </w:tc>
        <w:tc>
          <w:tcPr>
            <w:tcW w:w="1985" w:type="dxa"/>
          </w:tcPr>
          <w:p w14:paraId="056E9ACD" w14:textId="77777777" w:rsidR="00DD623A" w:rsidRPr="000B2ED1" w:rsidRDefault="00DD623A" w:rsidP="000B2ED1">
            <w:pPr>
              <w:pStyle w:val="Table-Heading"/>
            </w:pPr>
            <w:r w:rsidRPr="000B2ED1">
              <w:t>Report number:</w:t>
            </w:r>
          </w:p>
        </w:tc>
        <w:tc>
          <w:tcPr>
            <w:tcW w:w="2485" w:type="dxa"/>
          </w:tcPr>
          <w:p w14:paraId="297CEC24" w14:textId="1DD71AB2" w:rsidR="00701910" w:rsidRDefault="00701910" w:rsidP="00705DC2">
            <w:pPr>
              <w:pStyle w:val="Table-Text"/>
            </w:pPr>
            <w:bookmarkStart w:id="6" w:name="ReportPad"/>
            <w:bookmarkEnd w:id="6"/>
            <w:r w:rsidRPr="00701910">
              <w:t>T2019/171</w:t>
            </w:r>
          </w:p>
          <w:p w14:paraId="7F356F67" w14:textId="1486D5D1" w:rsidR="00DD623A" w:rsidRPr="003F30D8" w:rsidRDefault="00172C42" w:rsidP="00705DC2">
            <w:pPr>
              <w:pStyle w:val="Table-Text"/>
            </w:pPr>
            <w:r>
              <w:t>IR2019/038</w:t>
            </w:r>
          </w:p>
          <w:p w14:paraId="3FFFC6D1" w14:textId="3ECBC6A3" w:rsidR="00B3357D" w:rsidRPr="00705DC2" w:rsidRDefault="00B3357D" w:rsidP="00705DC2">
            <w:pPr>
              <w:pStyle w:val="Table-Text"/>
            </w:pPr>
          </w:p>
        </w:tc>
      </w:tr>
    </w:tbl>
    <w:p w14:paraId="575EC876" w14:textId="77777777" w:rsidR="00DD623A" w:rsidRPr="00DD623A" w:rsidRDefault="00DD623A" w:rsidP="00A364AA">
      <w:pPr>
        <w:pStyle w:val="ReportCover-Heading"/>
        <w:rPr>
          <w:lang w:eastAsia="en-AU"/>
        </w:rPr>
      </w:pPr>
      <w:r w:rsidRPr="00DD623A">
        <w:rPr>
          <w:lang w:eastAsia="en-AU"/>
        </w:rPr>
        <w:t>Action sought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80"/>
      </w:tblGrid>
      <w:tr w:rsidR="00DD623A" w:rsidRPr="000B2ED1" w14:paraId="3F798554" w14:textId="77777777" w:rsidTr="000B2ED1">
        <w:tc>
          <w:tcPr>
            <w:tcW w:w="2694" w:type="dxa"/>
          </w:tcPr>
          <w:p w14:paraId="6A3D35F3" w14:textId="77777777" w:rsidR="00DD623A" w:rsidRPr="000B2ED1" w:rsidRDefault="00DD623A" w:rsidP="000B2ED1">
            <w:pPr>
              <w:pStyle w:val="Table-Heading"/>
            </w:pPr>
          </w:p>
        </w:tc>
        <w:tc>
          <w:tcPr>
            <w:tcW w:w="4536" w:type="dxa"/>
            <w:tcBorders>
              <w:left w:val="nil"/>
            </w:tcBorders>
          </w:tcPr>
          <w:p w14:paraId="494B985F" w14:textId="77777777" w:rsidR="00DD623A" w:rsidRPr="000B2ED1" w:rsidRDefault="00DD623A" w:rsidP="000B2ED1">
            <w:pPr>
              <w:pStyle w:val="Table-Heading"/>
            </w:pPr>
            <w:r w:rsidRPr="000B2ED1">
              <w:t>Action sought</w:t>
            </w:r>
          </w:p>
        </w:tc>
        <w:tc>
          <w:tcPr>
            <w:tcW w:w="2480" w:type="dxa"/>
          </w:tcPr>
          <w:p w14:paraId="74216055" w14:textId="77777777" w:rsidR="00DD623A" w:rsidRPr="000B2ED1" w:rsidRDefault="00DD623A" w:rsidP="000B2ED1">
            <w:pPr>
              <w:pStyle w:val="Table-Heading"/>
            </w:pPr>
            <w:r w:rsidRPr="000B2ED1">
              <w:t>Deadline</w:t>
            </w:r>
          </w:p>
        </w:tc>
      </w:tr>
      <w:tr w:rsidR="008331C2" w:rsidRPr="00D6363A" w14:paraId="2E580426" w14:textId="77777777" w:rsidTr="00425E5D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CC973" w14:textId="77777777" w:rsidR="008331C2" w:rsidRPr="00D6363A" w:rsidRDefault="008331C2" w:rsidP="00425E5D">
            <w:pPr>
              <w:pStyle w:val="Table-Text"/>
            </w:pPr>
            <w:r w:rsidRPr="00D6363A">
              <w:t xml:space="preserve">Minister of </w:t>
            </w:r>
            <w:r>
              <w:t>Finance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903C4" w14:textId="3CEEF3B9" w:rsidR="008331C2" w:rsidRPr="00D6363A" w:rsidRDefault="00694741" w:rsidP="00425E5D">
            <w:pPr>
              <w:pStyle w:val="Table-Text"/>
            </w:pPr>
            <w:r>
              <w:rPr>
                <w:rStyle w:val="Strong"/>
              </w:rPr>
              <w:t xml:space="preserve">Advise </w:t>
            </w:r>
            <w:r>
              <w:rPr>
                <w:rStyle w:val="Strong"/>
                <w:b w:val="0"/>
              </w:rPr>
              <w:t>officials of any desired changes to the Cabinet paper</w:t>
            </w:r>
            <w:r w:rsidR="008331C2" w:rsidRPr="00D6363A">
              <w:t xml:space="preserve"> </w:t>
            </w:r>
            <w:r w:rsidR="0063698D">
              <w:t>or the proposed redactions</w:t>
            </w:r>
          </w:p>
          <w:p w14:paraId="575EF046" w14:textId="77777777" w:rsidR="008331C2" w:rsidRPr="00D6363A" w:rsidRDefault="008331C2" w:rsidP="00694741">
            <w:pPr>
              <w:pStyle w:val="Table-Text"/>
            </w:pP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4A2D7" w14:textId="437C01D2" w:rsidR="008331C2" w:rsidRPr="00D6363A" w:rsidRDefault="00B35B9C" w:rsidP="00425E5D">
            <w:pPr>
              <w:pStyle w:val="Table-Text"/>
            </w:pPr>
            <w:r>
              <w:t>1 February</w:t>
            </w:r>
            <w:r w:rsidR="008331C2">
              <w:t xml:space="preserve"> </w:t>
            </w:r>
            <w:r w:rsidR="003A1455">
              <w:t>201</w:t>
            </w:r>
            <w:r w:rsidR="00C5352D">
              <w:t>9</w:t>
            </w:r>
          </w:p>
        </w:tc>
      </w:tr>
      <w:tr w:rsidR="00DD623A" w:rsidRPr="00D6363A" w14:paraId="0A09B8DE" w14:textId="77777777" w:rsidTr="000B2ED1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3EAF8" w14:textId="77777777" w:rsidR="00DD623A" w:rsidRPr="00D6363A" w:rsidRDefault="00DD623A" w:rsidP="00D6363A">
            <w:pPr>
              <w:pStyle w:val="Table-Text"/>
            </w:pPr>
            <w:r w:rsidRPr="00D6363A">
              <w:t>Minister of Revenue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93442" w14:textId="1F06E733" w:rsidR="00694741" w:rsidRPr="00D6363A" w:rsidRDefault="00694741" w:rsidP="00694741">
            <w:pPr>
              <w:pStyle w:val="Table-Text"/>
            </w:pPr>
            <w:r>
              <w:rPr>
                <w:rStyle w:val="Strong"/>
              </w:rPr>
              <w:t xml:space="preserve">Advise </w:t>
            </w:r>
            <w:r>
              <w:rPr>
                <w:rStyle w:val="Strong"/>
                <w:b w:val="0"/>
              </w:rPr>
              <w:t>officials of any desired changes to the Cabinet paper</w:t>
            </w:r>
            <w:r w:rsidR="0063698D">
              <w:t xml:space="preserve"> or the proposed redactions</w:t>
            </w:r>
          </w:p>
          <w:p w14:paraId="60D2B55C" w14:textId="77777777" w:rsidR="00DD623A" w:rsidRPr="00D6363A" w:rsidRDefault="00DD623A" w:rsidP="00D6363A">
            <w:pPr>
              <w:pStyle w:val="Table-Text"/>
            </w:pP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471AD" w14:textId="1CFC381C" w:rsidR="00DD623A" w:rsidRPr="00D6363A" w:rsidRDefault="00B35B9C" w:rsidP="00D6363A">
            <w:pPr>
              <w:pStyle w:val="Table-Text"/>
            </w:pPr>
            <w:r>
              <w:t>1 February</w:t>
            </w:r>
            <w:r w:rsidR="003A1455">
              <w:t xml:space="preserve"> 201</w:t>
            </w:r>
            <w:r w:rsidR="00C5352D">
              <w:t>9</w:t>
            </w:r>
          </w:p>
        </w:tc>
      </w:tr>
    </w:tbl>
    <w:p w14:paraId="3205C6E9" w14:textId="77777777" w:rsidR="00DD623A" w:rsidRPr="00DD623A" w:rsidRDefault="00DD623A" w:rsidP="00A364AA">
      <w:pPr>
        <w:pStyle w:val="ReportCover-Heading"/>
        <w:rPr>
          <w:lang w:eastAsia="en-AU"/>
        </w:rPr>
      </w:pPr>
      <w:r w:rsidRPr="00DD623A">
        <w:rPr>
          <w:lang w:eastAsia="en-AU"/>
        </w:rPr>
        <w:t>Contact for telephone discussion (if required)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756"/>
      </w:tblGrid>
      <w:tr w:rsidR="00DD623A" w:rsidRPr="000B2ED1" w14:paraId="32889E70" w14:textId="77777777" w:rsidTr="00A321B4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AC9D35" w14:textId="77777777" w:rsidR="00DD623A" w:rsidRPr="000B2ED1" w:rsidRDefault="00DD623A" w:rsidP="000B2ED1">
            <w:pPr>
              <w:pStyle w:val="Table-Heading"/>
            </w:pPr>
            <w:r w:rsidRPr="000B2ED1">
              <w:t>Name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317B572" w14:textId="77777777" w:rsidR="00DD623A" w:rsidRPr="000B2ED1" w:rsidRDefault="00DD623A" w:rsidP="000B2ED1">
            <w:pPr>
              <w:pStyle w:val="Table-Heading"/>
            </w:pPr>
            <w:r w:rsidRPr="000B2ED1">
              <w:t>Position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8C349" w14:textId="77777777" w:rsidR="00DD623A" w:rsidRPr="000B2ED1" w:rsidRDefault="00DD623A" w:rsidP="000B2ED1">
            <w:pPr>
              <w:pStyle w:val="Table-Heading"/>
            </w:pPr>
            <w:r w:rsidRPr="000B2ED1">
              <w:t>Telephone</w:t>
            </w:r>
          </w:p>
        </w:tc>
      </w:tr>
      <w:tr w:rsidR="00445D19" w:rsidRPr="009B5A86" w14:paraId="6BB05708" w14:textId="77777777" w:rsidTr="00A321B4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84436" w14:textId="77777777" w:rsidR="00445D19" w:rsidRPr="009B5A86" w:rsidRDefault="00E751DB" w:rsidP="00445D19">
            <w:pPr>
              <w:pStyle w:val="Table-Text"/>
            </w:pPr>
            <w:bookmarkStart w:id="7" w:name="Name1"/>
            <w:bookmarkStart w:id="8" w:name="Name2"/>
            <w:bookmarkEnd w:id="7"/>
            <w:bookmarkEnd w:id="8"/>
            <w:r>
              <w:t xml:space="preserve">Sam Rowe 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38D761B" w14:textId="77777777" w:rsidR="00445D19" w:rsidRPr="009B5A86" w:rsidRDefault="001E04A3" w:rsidP="00445D19">
            <w:pPr>
              <w:pStyle w:val="Table-Text"/>
            </w:pPr>
            <w:bookmarkStart w:id="9" w:name="Pos2"/>
            <w:bookmarkEnd w:id="9"/>
            <w:r>
              <w:t>Senior Policy Advisor</w:t>
            </w:r>
            <w:r w:rsidR="00065ADD">
              <w:t xml:space="preserve">, </w:t>
            </w:r>
            <w:r w:rsidR="00065ADD" w:rsidRPr="00065ADD">
              <w:t>Inland Revenue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0360CB0" w14:textId="11004ECA" w:rsidR="00445D19" w:rsidRDefault="00A321B4" w:rsidP="00445D19">
            <w:pPr>
              <w:pStyle w:val="Table-Text"/>
            </w:pPr>
            <w:bookmarkStart w:id="10" w:name="Direct2"/>
            <w:bookmarkEnd w:id="10"/>
            <w:r>
              <w:t>s 9(2)(a)</w:t>
            </w:r>
          </w:p>
          <w:p w14:paraId="50A882D7" w14:textId="13BC7736" w:rsidR="00A321B4" w:rsidRPr="009B5A86" w:rsidRDefault="00A321B4" w:rsidP="00445D19">
            <w:pPr>
              <w:pStyle w:val="Table-Text"/>
            </w:pPr>
          </w:p>
        </w:tc>
      </w:tr>
      <w:tr w:rsidR="00A41992" w:rsidRPr="009B5A86" w14:paraId="39AA8B03" w14:textId="77777777" w:rsidTr="00A321B4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71EDA" w14:textId="148BE2DA" w:rsidR="00A41992" w:rsidRDefault="00A41992" w:rsidP="00445D19">
            <w:pPr>
              <w:pStyle w:val="Table-Text"/>
            </w:pPr>
            <w:r>
              <w:t>Matthew Gan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08177C1F" w14:textId="3C0CA5F2" w:rsidR="00A41992" w:rsidRDefault="00A41992" w:rsidP="00445D19">
            <w:pPr>
              <w:pStyle w:val="Table-Text"/>
            </w:pPr>
            <w:r>
              <w:t>Tax Specialist, The Treasury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016C75" w14:textId="3CDFBB71" w:rsidR="00A41992" w:rsidRDefault="00A41992" w:rsidP="00445D19">
            <w:pPr>
              <w:pStyle w:val="Table-Text"/>
            </w:pPr>
          </w:p>
        </w:tc>
      </w:tr>
    </w:tbl>
    <w:p w14:paraId="6707C172" w14:textId="77777777" w:rsidR="00D6363A" w:rsidRPr="00891517" w:rsidRDefault="00D6363A" w:rsidP="00891517">
      <w:pPr>
        <w:sectPr w:rsidR="00D6363A" w:rsidRPr="00891517" w:rsidSect="00A364AA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F950FDA" w14:textId="408539E2" w:rsidR="005B202F" w:rsidRDefault="005B04EB">
      <w:r>
        <w:lastRenderedPageBreak/>
        <w:t>2</w:t>
      </w:r>
      <w:r w:rsidR="00375654">
        <w:t>9</w:t>
      </w:r>
      <w:r w:rsidR="00EA48BF">
        <w:t xml:space="preserve"> </w:t>
      </w:r>
      <w:r>
        <w:t>January 2019</w:t>
      </w:r>
    </w:p>
    <w:p w14:paraId="048DE515" w14:textId="77777777" w:rsidR="00811AC6" w:rsidRDefault="00811AC6"/>
    <w:p w14:paraId="529A03A9" w14:textId="77777777" w:rsidR="00811AC6" w:rsidRDefault="00811AC6">
      <w:r>
        <w:t>Minister of Finance</w:t>
      </w:r>
    </w:p>
    <w:p w14:paraId="798B4A99" w14:textId="77777777" w:rsidR="00811AC6" w:rsidRDefault="00811AC6">
      <w:r>
        <w:t>Minister of Revenue</w:t>
      </w:r>
    </w:p>
    <w:p w14:paraId="6FB9D879" w14:textId="65D297F8" w:rsidR="00811AC6" w:rsidRDefault="00EA48BF" w:rsidP="006742B5">
      <w:pPr>
        <w:pStyle w:val="Report-Title"/>
      </w:pPr>
      <w:r>
        <w:t>Options for taxing the digital economy</w:t>
      </w:r>
      <w:r w:rsidR="001E53E4">
        <w:t xml:space="preserve"> –</w:t>
      </w:r>
      <w:r w:rsidR="00C539AA">
        <w:t xml:space="preserve"> </w:t>
      </w:r>
      <w:r w:rsidR="001E53E4">
        <w:t>Cabinet paper</w:t>
      </w:r>
    </w:p>
    <w:p w14:paraId="734B1C30" w14:textId="2697995D" w:rsidR="003866C9" w:rsidRDefault="001E53E4" w:rsidP="001E53E4">
      <w:pPr>
        <w:pStyle w:val="NumberedParagraph"/>
      </w:pPr>
      <w:r>
        <w:t>On 13 December</w:t>
      </w:r>
      <w:r w:rsidR="004851AF">
        <w:t xml:space="preserve"> 2018</w:t>
      </w:r>
      <w:r>
        <w:t xml:space="preserve"> we provided you with a tax policy report on options for taxing the digital economy (</w:t>
      </w:r>
      <w:r w:rsidRPr="001E53E4">
        <w:t>T2018/3710</w:t>
      </w:r>
      <w:r>
        <w:t>,</w:t>
      </w:r>
      <w:r w:rsidRPr="001E53E4">
        <w:t xml:space="preserve"> IR2018/801</w:t>
      </w:r>
      <w:r>
        <w:t xml:space="preserve">).  </w:t>
      </w:r>
      <w:r w:rsidR="00DD0637">
        <w:t>That report</w:t>
      </w:r>
      <w:r>
        <w:t xml:space="preserve"> recommended </w:t>
      </w:r>
      <w:r w:rsidR="00DD0637">
        <w:t>the preparation of</w:t>
      </w:r>
      <w:r>
        <w:t xml:space="preserve"> a</w:t>
      </w:r>
      <w:r w:rsidR="00DD0637">
        <w:t xml:space="preserve"> Government</w:t>
      </w:r>
      <w:r>
        <w:t xml:space="preserve"> discussion document on the different options, including a digital services</w:t>
      </w:r>
      <w:r w:rsidR="00DD0637">
        <w:t xml:space="preserve"> tax</w:t>
      </w:r>
      <w:r>
        <w:t>.  Th</w:t>
      </w:r>
      <w:r w:rsidR="00763C0A">
        <w:t>e</w:t>
      </w:r>
      <w:r>
        <w:t xml:space="preserve"> recommendation</w:t>
      </w:r>
      <w:r w:rsidR="00763C0A">
        <w:t xml:space="preserve"> to prepare a discussion document</w:t>
      </w:r>
      <w:r>
        <w:t xml:space="preserve"> require</w:t>
      </w:r>
      <w:r w:rsidR="00DD0637">
        <w:t>s</w:t>
      </w:r>
      <w:r>
        <w:t xml:space="preserve"> approval by Cabinet.</w:t>
      </w:r>
    </w:p>
    <w:p w14:paraId="6817640C" w14:textId="5B9FBC95" w:rsidR="00C61601" w:rsidRDefault="00F549CE" w:rsidP="00C61601">
      <w:pPr>
        <w:pStyle w:val="NumberedParagraph"/>
      </w:pPr>
      <w:r>
        <w:t>We provided you with a first draft of the Cabinet paper requesting approval to prepare the discussion document on 25 January.  Following feedback from you</w:t>
      </w:r>
      <w:r w:rsidR="003A3CFE">
        <w:t xml:space="preserve"> and your</w:t>
      </w:r>
      <w:r>
        <w:t xml:space="preserve"> offices, we now </w:t>
      </w:r>
      <w:r w:rsidR="001E53E4">
        <w:t xml:space="preserve">attach </w:t>
      </w:r>
      <w:r w:rsidR="00763C0A">
        <w:t>an updated draft of the</w:t>
      </w:r>
      <w:r w:rsidR="001E53E4">
        <w:t xml:space="preserve"> Cabinet paper.</w:t>
      </w:r>
      <w:r w:rsidR="00C61601">
        <w:t xml:space="preserve"> </w:t>
      </w:r>
      <w:r w:rsidR="0063698D">
        <w:t xml:space="preserve"> We also attach a version of the Cabinet paper showing the redactions we propose to make to it for its proactive release.</w:t>
      </w:r>
      <w:r w:rsidR="00C61601">
        <w:t xml:space="preserve">   Please let us know by </w:t>
      </w:r>
      <w:r w:rsidR="00375654">
        <w:t>Friday 1 February</w:t>
      </w:r>
      <w:r w:rsidR="00C539AA">
        <w:t xml:space="preserve"> 2019</w:t>
      </w:r>
      <w:r w:rsidR="00C61601">
        <w:t xml:space="preserve"> if you would like any changes made to </w:t>
      </w:r>
      <w:r w:rsidR="00763C0A">
        <w:t>this draft</w:t>
      </w:r>
      <w:r w:rsidR="0063698D">
        <w:t xml:space="preserve"> or the proposed redactions</w:t>
      </w:r>
      <w:r w:rsidR="00C61601">
        <w:t xml:space="preserve">.  </w:t>
      </w:r>
    </w:p>
    <w:p w14:paraId="616A9617" w14:textId="17EF86FC" w:rsidR="00CC0615" w:rsidRDefault="00C61601" w:rsidP="00CC0615">
      <w:pPr>
        <w:pStyle w:val="NumberedParagraph"/>
      </w:pPr>
      <w:r>
        <w:t xml:space="preserve">Since we reported to you in December, the OECD has agreed to consider another proposal for taxing the digital economy.  This </w:t>
      </w:r>
      <w:r w:rsidRPr="00C61601">
        <w:t xml:space="preserve">proposal seems to provide for formulary apportionment of a multinational’s profit to </w:t>
      </w:r>
      <w:r w:rsidR="00BE026E" w:rsidRPr="00C61601">
        <w:t>market countries</w:t>
      </w:r>
      <w:r w:rsidRPr="00C61601">
        <w:t xml:space="preserve">, based on certain metrics such as </w:t>
      </w:r>
      <w:r w:rsidR="006A4515">
        <w:t>sales</w:t>
      </w:r>
      <w:r w:rsidRPr="00C61601">
        <w:t xml:space="preserve"> and user participation.  The </w:t>
      </w:r>
      <w:r>
        <w:t>proposal</w:t>
      </w:r>
      <w:r w:rsidRPr="00C61601">
        <w:t xml:space="preserve"> would require the multinational to have a significant economic presence in the country (which need not be physical) and could involve withholding taxes.  </w:t>
      </w:r>
      <w:r w:rsidR="00A321B4" w:rsidRPr="00A321B4">
        <w:rPr>
          <w:shd w:val="clear" w:color="auto" w:fill="BFBFBF" w:themeFill="background1" w:themeFillShade="BF"/>
        </w:rPr>
        <w:t>s 6(a)</w:t>
      </w:r>
      <w:r w:rsidR="00A321B4" w:rsidRPr="00A321B4">
        <w:rPr>
          <w:color w:val="BFBFBF" w:themeColor="background1" w:themeShade="BF"/>
          <w:shd w:val="clear" w:color="auto" w:fill="BFBFBF" w:themeFill="background1" w:themeFillShade="BF"/>
        </w:rPr>
        <w:t xml:space="preserve">… . . . . </w:t>
      </w:r>
      <w:r w:rsidR="00A321B4" w:rsidRPr="00A321B4">
        <w:rPr>
          <w:color w:val="BFBFBF" w:themeColor="background1" w:themeShade="BF"/>
          <w:shd w:val="clear" w:color="auto" w:fill="BFBFBF" w:themeFill="background1" w:themeFillShade="BF"/>
        </w:rPr>
        <w:br/>
        <w:t xml:space="preserve">. . …………………………………………………………………………….……… . . </w:t>
      </w:r>
      <w:r>
        <w:t xml:space="preserve">  We have included this proposal in the Cabinet paper.</w:t>
      </w:r>
      <w:r w:rsidR="00625EF3">
        <w:t xml:space="preserve"> </w:t>
      </w:r>
    </w:p>
    <w:p w14:paraId="0E907731" w14:textId="77AAD858" w:rsidR="00CC0615" w:rsidRDefault="00B64AC0" w:rsidP="00CC0615">
      <w:pPr>
        <w:pStyle w:val="NumberedParagraph"/>
      </w:pPr>
      <w:r>
        <w:t>The next steps are set out in the table below</w:t>
      </w:r>
      <w:r w:rsidR="00C10A86">
        <w:t>.</w:t>
      </w:r>
      <w:r w:rsidR="001B584D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7"/>
        <w:gridCol w:w="4523"/>
      </w:tblGrid>
      <w:tr w:rsidR="009E396F" w14:paraId="0BAE96B8" w14:textId="77777777" w:rsidTr="000C10AC">
        <w:tc>
          <w:tcPr>
            <w:tcW w:w="2504" w:type="pct"/>
          </w:tcPr>
          <w:p w14:paraId="4CA19789" w14:textId="77777777" w:rsidR="009E396F" w:rsidRPr="000C10AC" w:rsidRDefault="009E396F" w:rsidP="000C10AC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2496" w:type="pct"/>
          </w:tcPr>
          <w:p w14:paraId="6E3F4107" w14:textId="77777777" w:rsidR="009E396F" w:rsidRPr="000C10AC" w:rsidRDefault="009E396F" w:rsidP="000C10AC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E396F" w14:paraId="0A2F9AB9" w14:textId="77777777" w:rsidTr="000C10AC">
        <w:tc>
          <w:tcPr>
            <w:tcW w:w="2504" w:type="pct"/>
          </w:tcPr>
          <w:p w14:paraId="43D8B6FB" w14:textId="5607E649" w:rsidR="009E396F" w:rsidRDefault="00375654" w:rsidP="000C10AC">
            <w:pPr>
              <w:pStyle w:val="NumberedParagraph"/>
              <w:numPr>
                <w:ilvl w:val="0"/>
                <w:numId w:val="0"/>
              </w:numPr>
            </w:pPr>
            <w:r>
              <w:t>Your directions on any changes you would like made to the Cabinet paper</w:t>
            </w:r>
            <w:r w:rsidR="0063698D">
              <w:t xml:space="preserve"> or the proposed redactions</w:t>
            </w:r>
          </w:p>
        </w:tc>
        <w:tc>
          <w:tcPr>
            <w:tcW w:w="2496" w:type="pct"/>
          </w:tcPr>
          <w:p w14:paraId="6BF0A67B" w14:textId="53EECA43" w:rsidR="009E396F" w:rsidRDefault="00375654" w:rsidP="000C10AC">
            <w:pPr>
              <w:pStyle w:val="NumberedParagraph"/>
              <w:numPr>
                <w:ilvl w:val="0"/>
                <w:numId w:val="0"/>
              </w:numPr>
            </w:pPr>
            <w:r>
              <w:t>1 February</w:t>
            </w:r>
            <w:r w:rsidR="009E396F">
              <w:t xml:space="preserve"> 2019</w:t>
            </w:r>
          </w:p>
        </w:tc>
      </w:tr>
      <w:tr w:rsidR="009E396F" w14:paraId="361DD177" w14:textId="77777777" w:rsidTr="000C10AC">
        <w:tc>
          <w:tcPr>
            <w:tcW w:w="2504" w:type="pct"/>
          </w:tcPr>
          <w:p w14:paraId="5F4F5D2F" w14:textId="4954BE84" w:rsidR="009E396F" w:rsidRDefault="00375654" w:rsidP="000C10AC">
            <w:pPr>
              <w:pStyle w:val="NumberedParagraph"/>
              <w:numPr>
                <w:ilvl w:val="0"/>
                <w:numId w:val="0"/>
              </w:numPr>
            </w:pPr>
            <w:r>
              <w:t>Cabinet paper</w:t>
            </w:r>
            <w:r w:rsidR="00063822">
              <w:t xml:space="preserve"> lodged</w:t>
            </w:r>
          </w:p>
        </w:tc>
        <w:tc>
          <w:tcPr>
            <w:tcW w:w="2496" w:type="pct"/>
          </w:tcPr>
          <w:p w14:paraId="02B6B3D6" w14:textId="37C330F3" w:rsidR="009E396F" w:rsidRDefault="009E396F" w:rsidP="000C10AC">
            <w:pPr>
              <w:pStyle w:val="NumberedParagraph"/>
              <w:numPr>
                <w:ilvl w:val="0"/>
                <w:numId w:val="0"/>
              </w:numPr>
            </w:pPr>
            <w:r>
              <w:t>7 Feb</w:t>
            </w:r>
            <w:r w:rsidR="00E86D88">
              <w:t>r</w:t>
            </w:r>
            <w:r>
              <w:t>uary 2019</w:t>
            </w:r>
          </w:p>
        </w:tc>
      </w:tr>
      <w:tr w:rsidR="009E396F" w14:paraId="08C65F30" w14:textId="77777777" w:rsidTr="000C10AC">
        <w:tc>
          <w:tcPr>
            <w:tcW w:w="2504" w:type="pct"/>
          </w:tcPr>
          <w:p w14:paraId="30F988F7" w14:textId="77BC82E6" w:rsidR="009E396F" w:rsidRDefault="00375654" w:rsidP="000C10AC">
            <w:pPr>
              <w:pStyle w:val="NumberedParagraph"/>
              <w:numPr>
                <w:ilvl w:val="0"/>
                <w:numId w:val="0"/>
              </w:numPr>
            </w:pPr>
            <w:r>
              <w:t>Cabinet paper</w:t>
            </w:r>
            <w:r w:rsidR="00E86D88">
              <w:t xml:space="preserve"> to DEV C</w:t>
            </w:r>
            <w:r w:rsidR="009E396F">
              <w:t>ommittee</w:t>
            </w:r>
          </w:p>
        </w:tc>
        <w:tc>
          <w:tcPr>
            <w:tcW w:w="2496" w:type="pct"/>
          </w:tcPr>
          <w:p w14:paraId="70084830" w14:textId="77777777" w:rsidR="009E396F" w:rsidRDefault="009E396F" w:rsidP="000C10AC">
            <w:pPr>
              <w:pStyle w:val="NumberedParagraph"/>
              <w:numPr>
                <w:ilvl w:val="0"/>
                <w:numId w:val="0"/>
              </w:numPr>
            </w:pPr>
            <w:r>
              <w:t>13 February 2019</w:t>
            </w:r>
          </w:p>
        </w:tc>
      </w:tr>
      <w:tr w:rsidR="009E396F" w14:paraId="6C96B4B2" w14:textId="77777777" w:rsidTr="00A321B4">
        <w:tc>
          <w:tcPr>
            <w:tcW w:w="2504" w:type="pct"/>
          </w:tcPr>
          <w:p w14:paraId="3D3E70C1" w14:textId="2CCE5574" w:rsidR="009E396F" w:rsidRDefault="00375654" w:rsidP="000C10AC">
            <w:pPr>
              <w:pStyle w:val="NumberedParagraph"/>
              <w:numPr>
                <w:ilvl w:val="0"/>
                <w:numId w:val="0"/>
              </w:numPr>
              <w:tabs>
                <w:tab w:val="left" w:pos="2443"/>
              </w:tabs>
            </w:pPr>
            <w:r>
              <w:t>Cabinet paper</w:t>
            </w:r>
            <w:r w:rsidR="009E396F">
              <w:t xml:space="preserve"> to Cabinet</w:t>
            </w:r>
            <w:r w:rsidR="009E396F">
              <w:tab/>
            </w:r>
          </w:p>
        </w:tc>
        <w:tc>
          <w:tcPr>
            <w:tcW w:w="2496" w:type="pct"/>
            <w:tcBorders>
              <w:bottom w:val="single" w:sz="4" w:space="0" w:color="auto"/>
            </w:tcBorders>
          </w:tcPr>
          <w:p w14:paraId="1F787E6C" w14:textId="77777777" w:rsidR="009E396F" w:rsidRDefault="009E396F" w:rsidP="000C10AC">
            <w:pPr>
              <w:pStyle w:val="NumberedParagraph"/>
              <w:numPr>
                <w:ilvl w:val="0"/>
                <w:numId w:val="0"/>
              </w:numPr>
            </w:pPr>
            <w:r>
              <w:t>18 February 2019</w:t>
            </w:r>
          </w:p>
        </w:tc>
      </w:tr>
      <w:tr w:rsidR="009E396F" w14:paraId="4EA6976A" w14:textId="77777777" w:rsidTr="00A321B4">
        <w:tc>
          <w:tcPr>
            <w:tcW w:w="2504" w:type="pct"/>
            <w:tcBorders>
              <w:right w:val="single" w:sz="4" w:space="0" w:color="auto"/>
            </w:tcBorders>
          </w:tcPr>
          <w:p w14:paraId="6C9F0B18" w14:textId="77777777" w:rsidR="009E396F" w:rsidRDefault="009E396F" w:rsidP="000C10AC">
            <w:pPr>
              <w:pStyle w:val="NumberedParagraph"/>
              <w:numPr>
                <w:ilvl w:val="0"/>
                <w:numId w:val="0"/>
              </w:numPr>
              <w:tabs>
                <w:tab w:val="left" w:pos="2443"/>
              </w:tabs>
            </w:pPr>
            <w:r>
              <w:t xml:space="preserve">Draft discussion document provided to you for approval 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C79906E" w14:textId="7564FDAF" w:rsidR="009E396F" w:rsidRDefault="00A321B4" w:rsidP="000C10AC">
            <w:pPr>
              <w:pStyle w:val="NumberedParagraph"/>
              <w:numPr>
                <w:ilvl w:val="0"/>
                <w:numId w:val="0"/>
              </w:numPr>
            </w:pPr>
            <w:r>
              <w:t>s 9(2)(f)(iv)</w:t>
            </w:r>
          </w:p>
        </w:tc>
      </w:tr>
      <w:tr w:rsidR="009E396F" w14:paraId="5BB179AC" w14:textId="77777777" w:rsidTr="00A321B4">
        <w:tc>
          <w:tcPr>
            <w:tcW w:w="2504" w:type="pct"/>
            <w:tcBorders>
              <w:right w:val="single" w:sz="4" w:space="0" w:color="auto"/>
            </w:tcBorders>
          </w:tcPr>
          <w:p w14:paraId="680B93F9" w14:textId="77777777" w:rsidR="009E396F" w:rsidRDefault="009E396F" w:rsidP="000C10AC">
            <w:pPr>
              <w:pStyle w:val="NumberedParagraph"/>
              <w:numPr>
                <w:ilvl w:val="0"/>
                <w:numId w:val="0"/>
              </w:numPr>
              <w:tabs>
                <w:tab w:val="left" w:pos="2443"/>
              </w:tabs>
            </w:pPr>
            <w:r>
              <w:t>Draft discussion document provided to Cabinet for approval</w:t>
            </w:r>
          </w:p>
        </w:tc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F38A8D3" w14:textId="6A763C69" w:rsidR="009E396F" w:rsidRDefault="009E396F" w:rsidP="000C10AC">
            <w:pPr>
              <w:pStyle w:val="NumberedParagraph"/>
              <w:numPr>
                <w:ilvl w:val="0"/>
                <w:numId w:val="0"/>
              </w:numPr>
            </w:pPr>
          </w:p>
        </w:tc>
      </w:tr>
      <w:tr w:rsidR="009E396F" w14:paraId="70C0AB9B" w14:textId="77777777" w:rsidTr="00A321B4">
        <w:tc>
          <w:tcPr>
            <w:tcW w:w="2504" w:type="pct"/>
            <w:tcBorders>
              <w:right w:val="single" w:sz="4" w:space="0" w:color="auto"/>
            </w:tcBorders>
          </w:tcPr>
          <w:p w14:paraId="42959F37" w14:textId="77777777" w:rsidR="009E396F" w:rsidRDefault="009E396F" w:rsidP="000C10AC">
            <w:pPr>
              <w:pStyle w:val="NumberedParagraph"/>
              <w:numPr>
                <w:ilvl w:val="0"/>
                <w:numId w:val="0"/>
              </w:numPr>
              <w:tabs>
                <w:tab w:val="left" w:pos="2443"/>
              </w:tabs>
            </w:pPr>
            <w:r>
              <w:t>Discussion document released to public</w:t>
            </w:r>
          </w:p>
        </w:tc>
        <w:tc>
          <w:tcPr>
            <w:tcW w:w="2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09D1C2" w14:textId="54F8808E" w:rsidR="009E396F" w:rsidRDefault="009E396F" w:rsidP="000C10AC">
            <w:pPr>
              <w:pStyle w:val="NumberedParagraph"/>
              <w:numPr>
                <w:ilvl w:val="0"/>
                <w:numId w:val="0"/>
              </w:numPr>
            </w:pPr>
          </w:p>
        </w:tc>
      </w:tr>
    </w:tbl>
    <w:p w14:paraId="3BEB11A8" w14:textId="77777777" w:rsidR="00B64AC0" w:rsidRDefault="00B64AC0" w:rsidP="003E07FC">
      <w:pPr>
        <w:pStyle w:val="NumberedParagraph"/>
        <w:numPr>
          <w:ilvl w:val="0"/>
          <w:numId w:val="0"/>
        </w:numPr>
        <w:ind w:left="709"/>
      </w:pPr>
    </w:p>
    <w:p w14:paraId="6B832D3D" w14:textId="77777777" w:rsidR="00BD0740" w:rsidRDefault="00BD0740">
      <w:pPr>
        <w:spacing w:after="160" w:line="259" w:lineRule="auto"/>
        <w:jc w:val="left"/>
        <w:rPr>
          <w:b/>
        </w:rPr>
      </w:pPr>
      <w:r>
        <w:br w:type="page"/>
      </w:r>
    </w:p>
    <w:p w14:paraId="238543B7" w14:textId="4BD95448" w:rsidR="00811AC6" w:rsidRDefault="00811AC6" w:rsidP="00A2547F">
      <w:pPr>
        <w:pStyle w:val="Heading1"/>
      </w:pPr>
      <w:r>
        <w:lastRenderedPageBreak/>
        <w:t>Recommended action</w:t>
      </w:r>
    </w:p>
    <w:p w14:paraId="4A839B12" w14:textId="77777777" w:rsidR="00811AC6" w:rsidRDefault="000B27CE" w:rsidP="002D4593">
      <w:pPr>
        <w:pStyle w:val="NumberedParagraph"/>
      </w:pPr>
      <w:r>
        <w:t>We recommend that you:</w:t>
      </w:r>
    </w:p>
    <w:p w14:paraId="35E0E857" w14:textId="4811D5F1" w:rsidR="00811AC6" w:rsidRDefault="000B27CE" w:rsidP="002C76A6">
      <w:pPr>
        <w:pStyle w:val="NumberedParagraph"/>
        <w:numPr>
          <w:ilvl w:val="0"/>
          <w:numId w:val="0"/>
        </w:numPr>
        <w:ind w:left="1440" w:hanging="731"/>
      </w:pPr>
      <w:r w:rsidRPr="000B27CE">
        <w:rPr>
          <w:rStyle w:val="Strong"/>
          <w:b w:val="0"/>
        </w:rPr>
        <w:t>(a)</w:t>
      </w:r>
      <w:r>
        <w:rPr>
          <w:rStyle w:val="Strong"/>
        </w:rPr>
        <w:t xml:space="preserve"> </w:t>
      </w:r>
      <w:r>
        <w:rPr>
          <w:rStyle w:val="Strong"/>
        </w:rPr>
        <w:tab/>
      </w:r>
      <w:r w:rsidR="00F72ABB">
        <w:rPr>
          <w:rStyle w:val="Strong"/>
        </w:rPr>
        <w:t>Review</w:t>
      </w:r>
      <w:r w:rsidR="00811AC6">
        <w:t xml:space="preserve"> </w:t>
      </w:r>
      <w:r w:rsidR="00F72ABB">
        <w:t>the attached</w:t>
      </w:r>
      <w:r w:rsidR="004851AF">
        <w:t xml:space="preserve"> </w:t>
      </w:r>
      <w:r w:rsidR="00F72ABB">
        <w:t xml:space="preserve">Cabinet paper and advise us if you would like any changes made prior </w:t>
      </w:r>
      <w:r w:rsidR="00375654">
        <w:t>1 February 2019</w:t>
      </w:r>
      <w:r>
        <w:t>.</w:t>
      </w:r>
    </w:p>
    <w:p w14:paraId="103E338A" w14:textId="77777777" w:rsidR="000B27CE" w:rsidRDefault="004A007F" w:rsidP="000B27CE">
      <w:pPr>
        <w:pStyle w:val="NumberedParagraph"/>
        <w:numPr>
          <w:ilvl w:val="0"/>
          <w:numId w:val="0"/>
        </w:numPr>
        <w:ind w:left="709" w:hanging="709"/>
      </w:pPr>
      <w:r>
        <w:t xml:space="preserve">          </w:t>
      </w:r>
    </w:p>
    <w:p w14:paraId="3D4BF81F" w14:textId="77777777" w:rsidR="00811AC6" w:rsidRPr="006E31E0" w:rsidRDefault="00811AC6" w:rsidP="006E31E0">
      <w:pPr>
        <w:pStyle w:val="Decision"/>
      </w:pPr>
      <w:r w:rsidRPr="006E31E0">
        <w:t>Agreed/Not agreed</w:t>
      </w:r>
      <w:r w:rsidRPr="006E31E0">
        <w:tab/>
        <w:t>Agreed/Not agreed</w:t>
      </w:r>
    </w:p>
    <w:p w14:paraId="357166DF" w14:textId="77777777" w:rsidR="0063698D" w:rsidRDefault="0063698D" w:rsidP="0063698D">
      <w:pPr>
        <w:pStyle w:val="NumberedParagraph"/>
        <w:numPr>
          <w:ilvl w:val="0"/>
          <w:numId w:val="0"/>
        </w:numPr>
        <w:ind w:left="1440" w:hanging="731"/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</w:p>
    <w:p w14:paraId="10AD82A1" w14:textId="7C983F3D" w:rsidR="0063698D" w:rsidRDefault="0063698D" w:rsidP="0063698D">
      <w:pPr>
        <w:pStyle w:val="NumberedParagraph"/>
        <w:numPr>
          <w:ilvl w:val="0"/>
          <w:numId w:val="0"/>
        </w:numPr>
        <w:ind w:left="1440" w:hanging="731"/>
      </w:pPr>
      <w:r w:rsidRPr="000B27CE">
        <w:rPr>
          <w:rStyle w:val="Strong"/>
          <w:b w:val="0"/>
        </w:rPr>
        <w:t>(</w:t>
      </w:r>
      <w:r>
        <w:rPr>
          <w:rStyle w:val="Strong"/>
          <w:b w:val="0"/>
        </w:rPr>
        <w:t>b</w:t>
      </w:r>
      <w:r w:rsidRPr="000B27CE">
        <w:rPr>
          <w:rStyle w:val="Strong"/>
          <w:b w:val="0"/>
        </w:rPr>
        <w:t>)</w:t>
      </w:r>
      <w:r>
        <w:rPr>
          <w:rStyle w:val="Strong"/>
        </w:rPr>
        <w:t xml:space="preserve"> </w:t>
      </w:r>
      <w:r>
        <w:rPr>
          <w:rStyle w:val="Strong"/>
        </w:rPr>
        <w:tab/>
        <w:t>Review</w:t>
      </w:r>
      <w:r>
        <w:t xml:space="preserve"> the proposed redactions to the Cabinet paper and advise us if you would like any changes made prior 1 February 2019.</w:t>
      </w:r>
    </w:p>
    <w:p w14:paraId="23850257" w14:textId="30A3DE58" w:rsidR="00BD0740" w:rsidRDefault="00BD0740" w:rsidP="000B27CE">
      <w:pPr>
        <w:pStyle w:val="Decision"/>
      </w:pPr>
    </w:p>
    <w:p w14:paraId="05CBEDDE" w14:textId="77777777" w:rsidR="0063698D" w:rsidRPr="006E31E0" w:rsidRDefault="0063698D" w:rsidP="0063698D">
      <w:pPr>
        <w:pStyle w:val="Decision"/>
      </w:pPr>
      <w:r w:rsidRPr="006E31E0">
        <w:t>Agreed/Not agreed</w:t>
      </w:r>
      <w:r w:rsidRPr="006E31E0">
        <w:tab/>
        <w:t>Agreed/Not agreed</w:t>
      </w:r>
    </w:p>
    <w:p w14:paraId="1995A6F8" w14:textId="03849710" w:rsidR="0063698D" w:rsidRDefault="0063698D" w:rsidP="000B27CE">
      <w:pPr>
        <w:pStyle w:val="Decision"/>
      </w:pPr>
    </w:p>
    <w:p w14:paraId="6C2151A7" w14:textId="41074452" w:rsidR="00BD0740" w:rsidRDefault="00BD0740" w:rsidP="000B27CE">
      <w:pPr>
        <w:pStyle w:val="Decision"/>
      </w:pPr>
    </w:p>
    <w:p w14:paraId="41EDED7B" w14:textId="4AE68AD3" w:rsidR="00A321B4" w:rsidRDefault="00A321B4" w:rsidP="000B27CE">
      <w:pPr>
        <w:pStyle w:val="Decision"/>
      </w:pPr>
    </w:p>
    <w:p w14:paraId="09689C12" w14:textId="77777777" w:rsidR="00A321B4" w:rsidRDefault="00A321B4" w:rsidP="000B27CE">
      <w:pPr>
        <w:pStyle w:val="Decision"/>
      </w:pPr>
    </w:p>
    <w:p w14:paraId="36CA0836" w14:textId="0E00A354" w:rsidR="00811AC6" w:rsidRDefault="00AE2C80" w:rsidP="006222B9">
      <w:pPr>
        <w:tabs>
          <w:tab w:val="left" w:pos="4536"/>
        </w:tabs>
      </w:pPr>
      <w:r>
        <w:rPr>
          <w:rStyle w:val="Strong"/>
        </w:rPr>
        <w:t xml:space="preserve">          </w:t>
      </w:r>
      <w:r w:rsidR="005105BF">
        <w:rPr>
          <w:rStyle w:val="Strong"/>
        </w:rPr>
        <w:t>Matt</w:t>
      </w:r>
      <w:r w:rsidR="00EA48BF">
        <w:rPr>
          <w:rStyle w:val="Strong"/>
        </w:rPr>
        <w:t xml:space="preserve"> </w:t>
      </w:r>
      <w:r w:rsidR="00BF3DA6">
        <w:rPr>
          <w:rStyle w:val="Strong"/>
        </w:rPr>
        <w:t>Cowan</w:t>
      </w:r>
      <w:r w:rsidR="007C361F" w:rsidRPr="006E31E0">
        <w:tab/>
      </w:r>
      <w:r w:rsidR="007C361F">
        <w:tab/>
      </w:r>
      <w:r>
        <w:tab/>
      </w:r>
      <w:r w:rsidR="00F72ABB">
        <w:rPr>
          <w:rStyle w:val="Strong"/>
        </w:rPr>
        <w:t>Sam Rowe</w:t>
      </w:r>
    </w:p>
    <w:p w14:paraId="00A16B33" w14:textId="64C282BE" w:rsidR="00F72ABB" w:rsidRDefault="00AE2C80" w:rsidP="00F72ABB">
      <w:pPr>
        <w:tabs>
          <w:tab w:val="left" w:pos="4536"/>
        </w:tabs>
        <w:ind w:left="5760" w:hanging="5760"/>
      </w:pPr>
      <w:r>
        <w:t xml:space="preserve">          </w:t>
      </w:r>
      <w:r w:rsidR="005105BF">
        <w:t>Team Leader</w:t>
      </w:r>
      <w:r w:rsidR="00811AC6">
        <w:tab/>
      </w:r>
      <w:r w:rsidR="00F72ABB">
        <w:tab/>
        <w:t>Senior Policy Advisor</w:t>
      </w:r>
      <w:r w:rsidR="00775590">
        <w:t xml:space="preserve"> </w:t>
      </w:r>
    </w:p>
    <w:p w14:paraId="7FA9DBDA" w14:textId="616D15D2" w:rsidR="00811AC6" w:rsidRDefault="00F72ABB" w:rsidP="00F72ABB">
      <w:pPr>
        <w:tabs>
          <w:tab w:val="left" w:pos="4536"/>
        </w:tabs>
        <w:ind w:left="5760" w:hanging="5760"/>
      </w:pPr>
      <w:r>
        <w:t xml:space="preserve">          Tax Strategy Team</w:t>
      </w:r>
      <w:r>
        <w:tab/>
      </w:r>
      <w:r>
        <w:tab/>
      </w:r>
      <w:r w:rsidR="00775590">
        <w:t>Policy and Strategy</w:t>
      </w:r>
    </w:p>
    <w:p w14:paraId="32642B0A" w14:textId="77777777" w:rsidR="00811AC6" w:rsidRDefault="00AE2C80" w:rsidP="008331C2">
      <w:pPr>
        <w:tabs>
          <w:tab w:val="left" w:pos="4536"/>
        </w:tabs>
      </w:pPr>
      <w:r>
        <w:t xml:space="preserve">          </w:t>
      </w:r>
      <w:r w:rsidR="00811AC6">
        <w:t>The Treasury</w:t>
      </w:r>
      <w:r w:rsidR="00811AC6">
        <w:tab/>
      </w:r>
      <w:r>
        <w:tab/>
      </w:r>
      <w:r>
        <w:tab/>
      </w:r>
      <w:r w:rsidR="00811AC6">
        <w:t>Inland Revenue</w:t>
      </w:r>
    </w:p>
    <w:p w14:paraId="47D3E763" w14:textId="77777777" w:rsidR="00811AC6" w:rsidRDefault="00811AC6" w:rsidP="00811AC6"/>
    <w:p w14:paraId="2760A91E" w14:textId="5B529E60" w:rsidR="00811AC6" w:rsidRDefault="00811AC6" w:rsidP="00811AC6"/>
    <w:p w14:paraId="0B92B7FF" w14:textId="4F3E1968" w:rsidR="006A4515" w:rsidRDefault="006A4515" w:rsidP="00811AC6"/>
    <w:p w14:paraId="1C619734" w14:textId="77777777" w:rsidR="00BD0740" w:rsidRDefault="00BD0740" w:rsidP="00811AC6"/>
    <w:p w14:paraId="5F332FBB" w14:textId="77777777" w:rsidR="008331C2" w:rsidRDefault="008331C2" w:rsidP="00811AC6"/>
    <w:p w14:paraId="49BB085A" w14:textId="77777777" w:rsidR="00811AC6" w:rsidRDefault="00AE2C80" w:rsidP="008331C2">
      <w:pPr>
        <w:tabs>
          <w:tab w:val="left" w:pos="4536"/>
        </w:tabs>
      </w:pPr>
      <w:r>
        <w:rPr>
          <w:rStyle w:val="Strong"/>
        </w:rPr>
        <w:t xml:space="preserve">          </w:t>
      </w:r>
      <w:r w:rsidR="00811AC6" w:rsidRPr="008331C2">
        <w:rPr>
          <w:rStyle w:val="Strong"/>
        </w:rPr>
        <w:t>Hon Grant Robertson</w:t>
      </w:r>
      <w:r w:rsidR="00811AC6">
        <w:tab/>
      </w:r>
      <w:r>
        <w:tab/>
      </w:r>
      <w:r>
        <w:tab/>
      </w:r>
      <w:r w:rsidR="00811AC6" w:rsidRPr="008331C2">
        <w:rPr>
          <w:rStyle w:val="Strong"/>
        </w:rPr>
        <w:t>Hon Stuart Nash</w:t>
      </w:r>
    </w:p>
    <w:p w14:paraId="273C425C" w14:textId="77777777" w:rsidR="00811AC6" w:rsidRDefault="00AE2C80" w:rsidP="008331C2">
      <w:pPr>
        <w:tabs>
          <w:tab w:val="left" w:pos="4536"/>
        </w:tabs>
      </w:pPr>
      <w:r>
        <w:t xml:space="preserve">          </w:t>
      </w:r>
      <w:r w:rsidR="00811AC6">
        <w:t>Minister of Finance</w:t>
      </w:r>
      <w:r w:rsidR="00811AC6">
        <w:tab/>
      </w:r>
      <w:r>
        <w:tab/>
      </w:r>
      <w:r>
        <w:tab/>
      </w:r>
      <w:r w:rsidR="00811AC6">
        <w:t>Minister of Revenue</w:t>
      </w:r>
    </w:p>
    <w:p w14:paraId="4DCA78D8" w14:textId="67A8E89A" w:rsidR="00811AC6" w:rsidRDefault="00811AC6" w:rsidP="008331C2">
      <w:pPr>
        <w:tabs>
          <w:tab w:val="left" w:pos="4536"/>
        </w:tabs>
      </w:pPr>
      <w:r>
        <w:t xml:space="preserve">      </w:t>
      </w:r>
      <w:r w:rsidR="00AE2C80">
        <w:t xml:space="preserve">       </w:t>
      </w:r>
      <w:r>
        <w:t xml:space="preserve"> /       /20</w:t>
      </w:r>
      <w:r w:rsidR="00DD0637">
        <w:t>19</w:t>
      </w:r>
      <w:r w:rsidR="008331C2">
        <w:tab/>
        <w:t xml:space="preserve">      </w:t>
      </w:r>
      <w:r w:rsidR="00AE2C80">
        <w:tab/>
      </w:r>
      <w:r w:rsidR="00AE2C80">
        <w:tab/>
        <w:t xml:space="preserve">    </w:t>
      </w:r>
      <w:r w:rsidR="008331C2">
        <w:t xml:space="preserve"> </w:t>
      </w:r>
      <w:r>
        <w:t>/       /20</w:t>
      </w:r>
      <w:r w:rsidR="00DD0637">
        <w:t>19</w:t>
      </w:r>
    </w:p>
    <w:p w14:paraId="738A9A74" w14:textId="2FEECF08" w:rsidR="00492853" w:rsidRPr="00492853" w:rsidRDefault="00492853" w:rsidP="000340B3"/>
    <w:sectPr w:rsidR="00492853" w:rsidRPr="00492853" w:rsidSect="00E331E1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54E62" w14:textId="77777777" w:rsidR="001E53E4" w:rsidRDefault="001E53E4" w:rsidP="002F43C5">
      <w:pPr>
        <w:spacing w:line="240" w:lineRule="auto"/>
      </w:pPr>
      <w:r>
        <w:separator/>
      </w:r>
    </w:p>
  </w:endnote>
  <w:endnote w:type="continuationSeparator" w:id="0">
    <w:p w14:paraId="5FFE34E8" w14:textId="77777777" w:rsidR="001E53E4" w:rsidRDefault="001E53E4" w:rsidP="002F4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E6662" w14:textId="77777777" w:rsidR="001E53E4" w:rsidRDefault="001E53E4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31ECC6" wp14:editId="6C55512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51a42618100b187aea306b2" descr="{&quot;HashCode&quot;:4043168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AC6867" w14:textId="77777777" w:rsidR="001E53E4" w:rsidRPr="003A1455" w:rsidRDefault="001E53E4" w:rsidP="003A1455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A1455">
                            <w:rPr>
                              <w:color w:val="000000"/>
                            </w:rPr>
                            <w:t>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1ECC6" id="_x0000_t202" coordsize="21600,21600" o:spt="202" path="m,l,21600r21600,l21600,xe">
              <v:stroke joinstyle="miter"/>
              <v:path gradientshapeok="t" o:connecttype="rect"/>
            </v:shapetype>
            <v:shape id="MSIPCM951a42618100b187aea306b2" o:spid="_x0000_s1026" type="#_x0000_t202" alt="{&quot;HashCode&quot;:40431686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F4TKgRgDAAA1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14:paraId="7AAC6867" w14:textId="77777777" w:rsidR="001E53E4" w:rsidRPr="003A1455" w:rsidRDefault="001E53E4" w:rsidP="003A1455">
                    <w:pPr>
                      <w:jc w:val="center"/>
                      <w:rPr>
                        <w:color w:val="000000"/>
                      </w:rPr>
                    </w:pPr>
                    <w:r w:rsidRPr="003A1455">
                      <w:rPr>
                        <w:color w:val="000000"/>
                      </w:rPr>
                      <w:t>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0BCB" w14:textId="0F6FAF32" w:rsidR="001E53E4" w:rsidRPr="00E331E1" w:rsidRDefault="001E53E4" w:rsidP="00E331E1">
    <w:pPr>
      <w:pStyle w:val="Footer"/>
      <w:tabs>
        <w:tab w:val="clear" w:pos="4513"/>
      </w:tabs>
    </w:pPr>
    <w:r w:rsidRPr="00DB5996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639BB" wp14:editId="0FB16D3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d68343bf98f341244e650d8d" descr="{&quot;HashCode&quot;:404316862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AE19C8" w14:textId="77777777" w:rsidR="001E53E4" w:rsidRPr="003A1455" w:rsidRDefault="001E53E4" w:rsidP="003A1455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A1455">
                            <w:rPr>
                              <w:color w:val="000000"/>
                            </w:rPr>
                            <w:t>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639BB" id="_x0000_t202" coordsize="21600,21600" o:spt="202" path="m,l,21600r21600,l21600,xe">
              <v:stroke joinstyle="miter"/>
              <v:path gradientshapeok="t" o:connecttype="rect"/>
            </v:shapetype>
            <v:shape id="MSIPCMd68343bf98f341244e650d8d" o:spid="_x0000_s1027" type="#_x0000_t202" alt="{&quot;HashCode&quot;:404316862,&quot;Height&quot;:841.0,&quot;Width&quot;:595.0,&quot;Placement&quot;:&quot;Footer&quot;,&quot;Index&quot;:&quot;Primary&quot;,&quot;Section&quot;:2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GQ3ReoZAwAAPA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14:paraId="5FAE19C8" w14:textId="77777777" w:rsidR="001E53E4" w:rsidRPr="003A1455" w:rsidRDefault="001E53E4" w:rsidP="003A1455">
                    <w:pPr>
                      <w:jc w:val="center"/>
                      <w:rPr>
                        <w:color w:val="000000"/>
                      </w:rPr>
                    </w:pPr>
                    <w:r w:rsidRPr="003A1455">
                      <w:rPr>
                        <w:color w:val="000000"/>
                      </w:rPr>
                      <w:t>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2C42" w:rsidRPr="00172C42">
      <w:t xml:space="preserve"> </w:t>
    </w:r>
    <w:r w:rsidR="00172C42" w:rsidRPr="00701910">
      <w:t>IR2019/038</w:t>
    </w:r>
    <w:r w:rsidR="00DB5996" w:rsidRPr="00701910">
      <w:rPr>
        <w:lang w:val="mi-NZ"/>
      </w:rPr>
      <w:t xml:space="preserve">; </w:t>
    </w:r>
    <w:r w:rsidR="00701910" w:rsidRPr="00701910">
      <w:rPr>
        <w:lang w:val="mi-NZ"/>
      </w:rPr>
      <w:t>T2019/171</w:t>
    </w:r>
    <w:r w:rsidRPr="00701910">
      <w:rPr>
        <w:lang w:val="mi-NZ"/>
      </w:rPr>
      <w:t xml:space="preserve">: </w:t>
    </w:r>
    <w:r w:rsidRPr="00701910">
      <w:t>Options for taxing the digital economy –</w:t>
    </w:r>
    <w:r w:rsidR="00C539AA">
      <w:t xml:space="preserve"> </w:t>
    </w:r>
    <w:r w:rsidRPr="00701910">
      <w:t>Cabinet report</w:t>
    </w:r>
    <w:r>
      <w:rPr>
        <w:lang w:val="mi-NZ"/>
      </w:rPr>
      <w:tab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Pr="00E331E1">
          <w:t xml:space="preserve">Page </w:t>
        </w:r>
        <w:r w:rsidRPr="00E331E1">
          <w:rPr>
            <w:b/>
            <w:bCs/>
          </w:rPr>
          <w:fldChar w:fldCharType="begin"/>
        </w:r>
        <w:r w:rsidRPr="00E331E1">
          <w:rPr>
            <w:b/>
            <w:bCs/>
          </w:rPr>
          <w:instrText xml:space="preserve"> PAGE </w:instrText>
        </w:r>
        <w:r w:rsidRPr="00E331E1"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 w:rsidRPr="00E331E1">
          <w:rPr>
            <w:lang w:val="mi-NZ"/>
          </w:rPr>
          <w:fldChar w:fldCharType="end"/>
        </w:r>
        <w:r w:rsidRPr="00E331E1">
          <w:t xml:space="preserve"> of </w:t>
        </w:r>
        <w:r w:rsidRPr="00E331E1">
          <w:rPr>
            <w:b/>
            <w:bCs/>
          </w:rPr>
          <w:fldChar w:fldCharType="begin"/>
        </w:r>
        <w:r w:rsidRPr="00E331E1">
          <w:rPr>
            <w:b/>
            <w:bCs/>
          </w:rPr>
          <w:instrText xml:space="preserve"> </w:instrText>
        </w:r>
        <w:r>
          <w:rPr>
            <w:b/>
            <w:bCs/>
          </w:rPr>
          <w:instrText>SECTIONPAGES</w:instrText>
        </w:r>
        <w:r w:rsidRPr="00E331E1">
          <w:rPr>
            <w:b/>
            <w:bCs/>
          </w:rPr>
          <w:instrText xml:space="preserve"> </w:instrText>
        </w:r>
        <w:r w:rsidRPr="00E331E1">
          <w:rPr>
            <w:b/>
            <w:bCs/>
          </w:rPr>
          <w:fldChar w:fldCharType="separate"/>
        </w:r>
        <w:r w:rsidR="0063235A">
          <w:rPr>
            <w:b/>
            <w:bCs/>
            <w:noProof/>
          </w:rPr>
          <w:t>2</w:t>
        </w:r>
        <w:r w:rsidRPr="00E331E1">
          <w:rPr>
            <w:lang w:val="mi-NZ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6F611" w14:textId="77777777" w:rsidR="001E53E4" w:rsidRDefault="001E53E4" w:rsidP="002F43C5">
      <w:pPr>
        <w:spacing w:line="240" w:lineRule="auto"/>
      </w:pPr>
      <w:r>
        <w:separator/>
      </w:r>
    </w:p>
  </w:footnote>
  <w:footnote w:type="continuationSeparator" w:id="0">
    <w:p w14:paraId="351108C5" w14:textId="77777777" w:rsidR="001E53E4" w:rsidRDefault="001E53E4" w:rsidP="002F4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ecurity Classification"/>
      <w:tag w:val="Security Classification"/>
      <w:id w:val="-603806425"/>
      <w:placeholder>
        <w:docPart w:val="C2743B0DB0DD4D8A8E60CB7CF5FAD9FE"/>
      </w:placeholder>
      <w:dropDownList>
        <w:listItem w:value="[Choose a security classification – minimum of In Confidence]"/>
        <w:listItem w:displayText="In Confidence" w:value="In Confidence"/>
        <w:listItem w:displayText="Sensitive" w:value="Sensitive"/>
        <w:listItem w:displayText="Sensitive - Budget" w:value="Sensitive - Budget"/>
        <w:listItem w:displayText="Restricted" w:value="Restricted"/>
      </w:dropDownList>
    </w:sdtPr>
    <w:sdtEndPr/>
    <w:sdtContent>
      <w:p w14:paraId="3BB810EB" w14:textId="77777777" w:rsidR="001E53E4" w:rsidRDefault="001E53E4" w:rsidP="007C0037">
        <w:pPr>
          <w:pStyle w:val="Header"/>
          <w:jc w:val="right"/>
        </w:pPr>
        <w:r>
          <w:t>In Confidence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9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424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C2E7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E44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D8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1A0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168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3E6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8A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9C3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03869"/>
    <w:multiLevelType w:val="hybridMultilevel"/>
    <w:tmpl w:val="8CAC41BE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78713D"/>
    <w:multiLevelType w:val="hybridMultilevel"/>
    <w:tmpl w:val="1BC833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D73C0"/>
    <w:multiLevelType w:val="hybridMultilevel"/>
    <w:tmpl w:val="AA7E4B36"/>
    <w:lvl w:ilvl="0" w:tplc="1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BA0CC5"/>
    <w:multiLevelType w:val="multilevel"/>
    <w:tmpl w:val="275082A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4" w15:restartNumberingAfterBreak="0">
    <w:nsid w:val="22961BA8"/>
    <w:multiLevelType w:val="hybridMultilevel"/>
    <w:tmpl w:val="4CA24040"/>
    <w:lvl w:ilvl="0" w:tplc="1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4B00636"/>
    <w:multiLevelType w:val="multilevel"/>
    <w:tmpl w:val="AE98789A"/>
    <w:lvl w:ilvl="0">
      <w:start w:val="1"/>
      <w:numFmt w:val="bullet"/>
      <w:pStyle w:val="BulletedParagraphIndented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127"/>
        </w:tabs>
        <w:ind w:left="2127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836"/>
        </w:tabs>
        <w:ind w:left="2836" w:hanging="709"/>
      </w:pPr>
      <w:rPr>
        <w:rFonts w:ascii="Courier New" w:hAnsi="Courier New" w:hint="default"/>
      </w:rPr>
    </w:lvl>
    <w:lvl w:ilvl="3">
      <w:start w:val="1"/>
      <w:numFmt w:val="bullet"/>
      <w:lvlText w:val="•"/>
      <w:lvlJc w:val="left"/>
      <w:pPr>
        <w:tabs>
          <w:tab w:val="num" w:pos="3545"/>
        </w:tabs>
        <w:ind w:left="3545" w:hanging="70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4254"/>
        </w:tabs>
        <w:ind w:left="4254" w:hanging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963"/>
        </w:tabs>
        <w:ind w:left="4963" w:hanging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672"/>
        </w:tabs>
        <w:ind w:left="5672" w:hanging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381"/>
        </w:tabs>
        <w:ind w:left="6381" w:hanging="709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3"/>
      <w:lvlText w:val="•"/>
      <w:lvlJc w:val="left"/>
      <w:pPr>
        <w:tabs>
          <w:tab w:val="num" w:pos="7090"/>
        </w:tabs>
        <w:ind w:left="7090" w:hanging="709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5011289"/>
    <w:multiLevelType w:val="multilevel"/>
    <w:tmpl w:val="6848285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9411EA"/>
    <w:multiLevelType w:val="hybridMultilevel"/>
    <w:tmpl w:val="9A3436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15AC1"/>
    <w:multiLevelType w:val="hybridMultilevel"/>
    <w:tmpl w:val="BA42EFF6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155B41"/>
    <w:multiLevelType w:val="hybridMultilevel"/>
    <w:tmpl w:val="370082D6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2B1297"/>
    <w:multiLevelType w:val="hybridMultilevel"/>
    <w:tmpl w:val="BFB065E4"/>
    <w:lvl w:ilvl="0" w:tplc="1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3512200"/>
    <w:multiLevelType w:val="hybridMultilevel"/>
    <w:tmpl w:val="D01E84C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6B28DB"/>
    <w:multiLevelType w:val="hybridMultilevel"/>
    <w:tmpl w:val="85489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E1354"/>
    <w:multiLevelType w:val="hybridMultilevel"/>
    <w:tmpl w:val="3E1415BA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5C2827"/>
    <w:multiLevelType w:val="hybridMultilevel"/>
    <w:tmpl w:val="41FA7D34"/>
    <w:lvl w:ilvl="0" w:tplc="1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3993153"/>
    <w:multiLevelType w:val="multilevel"/>
    <w:tmpl w:val="76E4737A"/>
    <w:lvl w:ilvl="0">
      <w:start w:val="1"/>
      <w:numFmt w:val="decimal"/>
      <w:pStyle w:val="NumberedParagraph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Verdana" w:hAnsi="Verdana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26" w15:restartNumberingAfterBreak="0">
    <w:nsid w:val="65B47ECD"/>
    <w:multiLevelType w:val="hybridMultilevel"/>
    <w:tmpl w:val="99C249E6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7D1402"/>
    <w:multiLevelType w:val="hybridMultilevel"/>
    <w:tmpl w:val="51384DE0"/>
    <w:lvl w:ilvl="0" w:tplc="27BCBC08">
      <w:start w:val="1"/>
      <w:numFmt w:val="lowerLetter"/>
      <w:pStyle w:val="Recommendation"/>
      <w:lvlText w:val="%1"/>
      <w:lvlJc w:val="left"/>
      <w:pPr>
        <w:ind w:left="502" w:hanging="360"/>
      </w:pPr>
      <w:rPr>
        <w:rFonts w:hint="default"/>
        <w:b w:val="0"/>
        <w:i w:val="0"/>
      </w:rPr>
    </w:lvl>
    <w:lvl w:ilvl="1" w:tplc="1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3C0552A"/>
    <w:multiLevelType w:val="hybridMultilevel"/>
    <w:tmpl w:val="06205B2E"/>
    <w:lvl w:ilvl="0" w:tplc="1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9" w15:restartNumberingAfterBreak="0">
    <w:nsid w:val="77E2735C"/>
    <w:multiLevelType w:val="hybridMultilevel"/>
    <w:tmpl w:val="44FCD2E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2A4E9F"/>
    <w:multiLevelType w:val="hybridMultilevel"/>
    <w:tmpl w:val="23FCC28E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F70122"/>
    <w:multiLevelType w:val="hybridMultilevel"/>
    <w:tmpl w:val="62D02748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3"/>
  </w:num>
  <w:num w:numId="13">
    <w:abstractNumId w:val="15"/>
  </w:num>
  <w:num w:numId="14">
    <w:abstractNumId w:val="27"/>
  </w:num>
  <w:num w:numId="15">
    <w:abstractNumId w:val="22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0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3"/>
  </w:num>
  <w:num w:numId="23">
    <w:abstractNumId w:val="31"/>
  </w:num>
  <w:num w:numId="24">
    <w:abstractNumId w:val="14"/>
  </w:num>
  <w:num w:numId="25">
    <w:abstractNumId w:val="18"/>
  </w:num>
  <w:num w:numId="26">
    <w:abstractNumId w:val="11"/>
  </w:num>
  <w:num w:numId="27">
    <w:abstractNumId w:val="20"/>
  </w:num>
  <w:num w:numId="28">
    <w:abstractNumId w:val="17"/>
  </w:num>
  <w:num w:numId="29">
    <w:abstractNumId w:val="19"/>
  </w:num>
  <w:num w:numId="30">
    <w:abstractNumId w:val="12"/>
  </w:num>
  <w:num w:numId="31">
    <w:abstractNumId w:val="26"/>
  </w:num>
  <w:num w:numId="32">
    <w:abstractNumId w:val="24"/>
  </w:num>
  <w:num w:numId="33">
    <w:abstractNumId w:val="25"/>
  </w:num>
  <w:num w:numId="34">
    <w:abstractNumId w:val="2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55"/>
    <w:rsid w:val="0000278E"/>
    <w:rsid w:val="0002767A"/>
    <w:rsid w:val="000278F4"/>
    <w:rsid w:val="00030C3B"/>
    <w:rsid w:val="000340B3"/>
    <w:rsid w:val="00041CB5"/>
    <w:rsid w:val="00042DF4"/>
    <w:rsid w:val="00042E14"/>
    <w:rsid w:val="00045DF4"/>
    <w:rsid w:val="0005144C"/>
    <w:rsid w:val="000637E5"/>
    <w:rsid w:val="00063822"/>
    <w:rsid w:val="00065ADD"/>
    <w:rsid w:val="00080D20"/>
    <w:rsid w:val="00087A1B"/>
    <w:rsid w:val="000901AE"/>
    <w:rsid w:val="000919B6"/>
    <w:rsid w:val="00096FC6"/>
    <w:rsid w:val="000B0BC1"/>
    <w:rsid w:val="000B27CE"/>
    <w:rsid w:val="000B2ED1"/>
    <w:rsid w:val="000B59BC"/>
    <w:rsid w:val="000C0ED5"/>
    <w:rsid w:val="000C5BD2"/>
    <w:rsid w:val="000C75F9"/>
    <w:rsid w:val="000D10B3"/>
    <w:rsid w:val="000D5590"/>
    <w:rsid w:val="000E4005"/>
    <w:rsid w:val="000F343E"/>
    <w:rsid w:val="000F5720"/>
    <w:rsid w:val="00101312"/>
    <w:rsid w:val="00110A42"/>
    <w:rsid w:val="001115A3"/>
    <w:rsid w:val="001248AC"/>
    <w:rsid w:val="001275A0"/>
    <w:rsid w:val="00127692"/>
    <w:rsid w:val="001349D4"/>
    <w:rsid w:val="00135D91"/>
    <w:rsid w:val="00145B30"/>
    <w:rsid w:val="00171BF4"/>
    <w:rsid w:val="00172C42"/>
    <w:rsid w:val="001753D8"/>
    <w:rsid w:val="001834C2"/>
    <w:rsid w:val="0018398B"/>
    <w:rsid w:val="0018703E"/>
    <w:rsid w:val="00192135"/>
    <w:rsid w:val="0019690D"/>
    <w:rsid w:val="001A59DC"/>
    <w:rsid w:val="001B584D"/>
    <w:rsid w:val="001C3BC5"/>
    <w:rsid w:val="001C520C"/>
    <w:rsid w:val="001D0013"/>
    <w:rsid w:val="001D07C5"/>
    <w:rsid w:val="001D715C"/>
    <w:rsid w:val="001D79E3"/>
    <w:rsid w:val="001D7ADB"/>
    <w:rsid w:val="001E04A3"/>
    <w:rsid w:val="001E53E4"/>
    <w:rsid w:val="001E6B68"/>
    <w:rsid w:val="001F622A"/>
    <w:rsid w:val="001F7A4C"/>
    <w:rsid w:val="0020153A"/>
    <w:rsid w:val="0020313D"/>
    <w:rsid w:val="00203F1B"/>
    <w:rsid w:val="00204CBA"/>
    <w:rsid w:val="00221AAE"/>
    <w:rsid w:val="0022726B"/>
    <w:rsid w:val="00227F60"/>
    <w:rsid w:val="00233663"/>
    <w:rsid w:val="00235517"/>
    <w:rsid w:val="00247909"/>
    <w:rsid w:val="002506FE"/>
    <w:rsid w:val="00255A6F"/>
    <w:rsid w:val="002572CA"/>
    <w:rsid w:val="002967CD"/>
    <w:rsid w:val="002A1499"/>
    <w:rsid w:val="002A6808"/>
    <w:rsid w:val="002B05B2"/>
    <w:rsid w:val="002B36D5"/>
    <w:rsid w:val="002C3D26"/>
    <w:rsid w:val="002C5A14"/>
    <w:rsid w:val="002C76A6"/>
    <w:rsid w:val="002D2747"/>
    <w:rsid w:val="002D4593"/>
    <w:rsid w:val="002D595B"/>
    <w:rsid w:val="002D6CE6"/>
    <w:rsid w:val="002E055E"/>
    <w:rsid w:val="002E1F9A"/>
    <w:rsid w:val="002E5446"/>
    <w:rsid w:val="002E6EEC"/>
    <w:rsid w:val="002F43C5"/>
    <w:rsid w:val="002F60D8"/>
    <w:rsid w:val="002F7209"/>
    <w:rsid w:val="002F7D8A"/>
    <w:rsid w:val="00306BD1"/>
    <w:rsid w:val="003113D3"/>
    <w:rsid w:val="00313C9F"/>
    <w:rsid w:val="0032027A"/>
    <w:rsid w:val="00325783"/>
    <w:rsid w:val="00325F48"/>
    <w:rsid w:val="00327186"/>
    <w:rsid w:val="00327C47"/>
    <w:rsid w:val="003320AD"/>
    <w:rsid w:val="00336300"/>
    <w:rsid w:val="003375F0"/>
    <w:rsid w:val="00337654"/>
    <w:rsid w:val="00344417"/>
    <w:rsid w:val="00345901"/>
    <w:rsid w:val="00361486"/>
    <w:rsid w:val="00367B77"/>
    <w:rsid w:val="00374EC1"/>
    <w:rsid w:val="00375654"/>
    <w:rsid w:val="00382AF8"/>
    <w:rsid w:val="003866C9"/>
    <w:rsid w:val="00387AEA"/>
    <w:rsid w:val="003A060B"/>
    <w:rsid w:val="003A1455"/>
    <w:rsid w:val="003A280C"/>
    <w:rsid w:val="003A3CFE"/>
    <w:rsid w:val="003C036E"/>
    <w:rsid w:val="003C2FA4"/>
    <w:rsid w:val="003D479D"/>
    <w:rsid w:val="003D63B3"/>
    <w:rsid w:val="003D64BA"/>
    <w:rsid w:val="003E07FC"/>
    <w:rsid w:val="003F031B"/>
    <w:rsid w:val="003F30D8"/>
    <w:rsid w:val="003F3EC8"/>
    <w:rsid w:val="0040064C"/>
    <w:rsid w:val="00425E5D"/>
    <w:rsid w:val="004339E4"/>
    <w:rsid w:val="004454B2"/>
    <w:rsid w:val="00445D19"/>
    <w:rsid w:val="00463488"/>
    <w:rsid w:val="004678CD"/>
    <w:rsid w:val="00484541"/>
    <w:rsid w:val="004851AF"/>
    <w:rsid w:val="00485A4F"/>
    <w:rsid w:val="00487A24"/>
    <w:rsid w:val="00492853"/>
    <w:rsid w:val="004A007F"/>
    <w:rsid w:val="004A04E2"/>
    <w:rsid w:val="004A07BE"/>
    <w:rsid w:val="004A1822"/>
    <w:rsid w:val="004A6EF6"/>
    <w:rsid w:val="004B064C"/>
    <w:rsid w:val="004C67E8"/>
    <w:rsid w:val="004E4731"/>
    <w:rsid w:val="004E6DDC"/>
    <w:rsid w:val="004F4864"/>
    <w:rsid w:val="004F5DD6"/>
    <w:rsid w:val="00503FA6"/>
    <w:rsid w:val="00507E3F"/>
    <w:rsid w:val="005105BF"/>
    <w:rsid w:val="00517CC3"/>
    <w:rsid w:val="00521F8D"/>
    <w:rsid w:val="00523406"/>
    <w:rsid w:val="005367FE"/>
    <w:rsid w:val="00541E87"/>
    <w:rsid w:val="005531B0"/>
    <w:rsid w:val="00555C68"/>
    <w:rsid w:val="00561744"/>
    <w:rsid w:val="005655A9"/>
    <w:rsid w:val="005818B6"/>
    <w:rsid w:val="0058224E"/>
    <w:rsid w:val="00583095"/>
    <w:rsid w:val="0058778A"/>
    <w:rsid w:val="00590CB9"/>
    <w:rsid w:val="00591F07"/>
    <w:rsid w:val="00592522"/>
    <w:rsid w:val="00594B35"/>
    <w:rsid w:val="00596DE8"/>
    <w:rsid w:val="005A192A"/>
    <w:rsid w:val="005A6597"/>
    <w:rsid w:val="005B0297"/>
    <w:rsid w:val="005B04EB"/>
    <w:rsid w:val="005B1540"/>
    <w:rsid w:val="005B202F"/>
    <w:rsid w:val="005B7DF3"/>
    <w:rsid w:val="005C6B70"/>
    <w:rsid w:val="005C6DE1"/>
    <w:rsid w:val="005D7446"/>
    <w:rsid w:val="005D7AA2"/>
    <w:rsid w:val="005E0DFF"/>
    <w:rsid w:val="005E41B2"/>
    <w:rsid w:val="005E6679"/>
    <w:rsid w:val="00600BBD"/>
    <w:rsid w:val="006039E1"/>
    <w:rsid w:val="00604948"/>
    <w:rsid w:val="00604A67"/>
    <w:rsid w:val="00611EBE"/>
    <w:rsid w:val="0061384F"/>
    <w:rsid w:val="00616617"/>
    <w:rsid w:val="00621A76"/>
    <w:rsid w:val="006222B9"/>
    <w:rsid w:val="00622755"/>
    <w:rsid w:val="00625CB3"/>
    <w:rsid w:val="00625EF3"/>
    <w:rsid w:val="006266F5"/>
    <w:rsid w:val="0063235A"/>
    <w:rsid w:val="00632847"/>
    <w:rsid w:val="0063698D"/>
    <w:rsid w:val="00647112"/>
    <w:rsid w:val="00647D11"/>
    <w:rsid w:val="00653809"/>
    <w:rsid w:val="00660F5C"/>
    <w:rsid w:val="00664664"/>
    <w:rsid w:val="00665AE0"/>
    <w:rsid w:val="00670CF2"/>
    <w:rsid w:val="006742B5"/>
    <w:rsid w:val="006824E9"/>
    <w:rsid w:val="00682BD5"/>
    <w:rsid w:val="0069254B"/>
    <w:rsid w:val="00694741"/>
    <w:rsid w:val="006A2C13"/>
    <w:rsid w:val="006A4515"/>
    <w:rsid w:val="006A57A1"/>
    <w:rsid w:val="006A706A"/>
    <w:rsid w:val="006B1F45"/>
    <w:rsid w:val="006C1D66"/>
    <w:rsid w:val="006E31E0"/>
    <w:rsid w:val="006F2AD0"/>
    <w:rsid w:val="006F393E"/>
    <w:rsid w:val="00701910"/>
    <w:rsid w:val="00705DC2"/>
    <w:rsid w:val="0070630A"/>
    <w:rsid w:val="007209BC"/>
    <w:rsid w:val="007225A5"/>
    <w:rsid w:val="0072393E"/>
    <w:rsid w:val="00737808"/>
    <w:rsid w:val="00741490"/>
    <w:rsid w:val="0074188B"/>
    <w:rsid w:val="00742700"/>
    <w:rsid w:val="007535DE"/>
    <w:rsid w:val="00762C2C"/>
    <w:rsid w:val="00763C0A"/>
    <w:rsid w:val="00766765"/>
    <w:rsid w:val="00775590"/>
    <w:rsid w:val="00776376"/>
    <w:rsid w:val="00790914"/>
    <w:rsid w:val="00796432"/>
    <w:rsid w:val="00797E34"/>
    <w:rsid w:val="007B328D"/>
    <w:rsid w:val="007C0037"/>
    <w:rsid w:val="007C15EF"/>
    <w:rsid w:val="007C361F"/>
    <w:rsid w:val="007D360E"/>
    <w:rsid w:val="007E27C4"/>
    <w:rsid w:val="007E34C4"/>
    <w:rsid w:val="007F187F"/>
    <w:rsid w:val="007F1AF0"/>
    <w:rsid w:val="007F7217"/>
    <w:rsid w:val="00811AC6"/>
    <w:rsid w:val="00814365"/>
    <w:rsid w:val="008157C3"/>
    <w:rsid w:val="0081760B"/>
    <w:rsid w:val="00820D59"/>
    <w:rsid w:val="00830307"/>
    <w:rsid w:val="008331C2"/>
    <w:rsid w:val="0083625C"/>
    <w:rsid w:val="00842C06"/>
    <w:rsid w:val="00844126"/>
    <w:rsid w:val="00851B1C"/>
    <w:rsid w:val="00852F2A"/>
    <w:rsid w:val="00853E9D"/>
    <w:rsid w:val="00857CBC"/>
    <w:rsid w:val="00876278"/>
    <w:rsid w:val="00885F81"/>
    <w:rsid w:val="00891517"/>
    <w:rsid w:val="00892DF7"/>
    <w:rsid w:val="00894000"/>
    <w:rsid w:val="00895475"/>
    <w:rsid w:val="00895A62"/>
    <w:rsid w:val="00896CBC"/>
    <w:rsid w:val="008A05D5"/>
    <w:rsid w:val="008A134E"/>
    <w:rsid w:val="008B13EE"/>
    <w:rsid w:val="008B4138"/>
    <w:rsid w:val="008B49B5"/>
    <w:rsid w:val="008B5B93"/>
    <w:rsid w:val="008B69DB"/>
    <w:rsid w:val="008C202E"/>
    <w:rsid w:val="008D0B4F"/>
    <w:rsid w:val="008D5CC2"/>
    <w:rsid w:val="008E11EA"/>
    <w:rsid w:val="008F1B14"/>
    <w:rsid w:val="008F6558"/>
    <w:rsid w:val="008F6EF1"/>
    <w:rsid w:val="00901BF8"/>
    <w:rsid w:val="0090342B"/>
    <w:rsid w:val="0091035E"/>
    <w:rsid w:val="009129C7"/>
    <w:rsid w:val="0091567A"/>
    <w:rsid w:val="00915EB9"/>
    <w:rsid w:val="009201D4"/>
    <w:rsid w:val="00924F98"/>
    <w:rsid w:val="00931230"/>
    <w:rsid w:val="00937A38"/>
    <w:rsid w:val="009402AA"/>
    <w:rsid w:val="0094246F"/>
    <w:rsid w:val="00946713"/>
    <w:rsid w:val="009510B2"/>
    <w:rsid w:val="00966477"/>
    <w:rsid w:val="00970337"/>
    <w:rsid w:val="00973149"/>
    <w:rsid w:val="00976200"/>
    <w:rsid w:val="00977E3F"/>
    <w:rsid w:val="0098049B"/>
    <w:rsid w:val="00985A09"/>
    <w:rsid w:val="00987A2D"/>
    <w:rsid w:val="009A3711"/>
    <w:rsid w:val="009B5185"/>
    <w:rsid w:val="009B5A86"/>
    <w:rsid w:val="009C3B50"/>
    <w:rsid w:val="009D1D36"/>
    <w:rsid w:val="009D3D77"/>
    <w:rsid w:val="009E396F"/>
    <w:rsid w:val="009E519A"/>
    <w:rsid w:val="009E5E8F"/>
    <w:rsid w:val="009E66A2"/>
    <w:rsid w:val="009F0DFC"/>
    <w:rsid w:val="009F6EE5"/>
    <w:rsid w:val="00A01213"/>
    <w:rsid w:val="00A06FD9"/>
    <w:rsid w:val="00A14F43"/>
    <w:rsid w:val="00A17971"/>
    <w:rsid w:val="00A2547F"/>
    <w:rsid w:val="00A30C8B"/>
    <w:rsid w:val="00A321B4"/>
    <w:rsid w:val="00A3569B"/>
    <w:rsid w:val="00A364AA"/>
    <w:rsid w:val="00A40CCA"/>
    <w:rsid w:val="00A41417"/>
    <w:rsid w:val="00A4193B"/>
    <w:rsid w:val="00A41992"/>
    <w:rsid w:val="00A63460"/>
    <w:rsid w:val="00A644DB"/>
    <w:rsid w:val="00A64FF1"/>
    <w:rsid w:val="00A75966"/>
    <w:rsid w:val="00A81637"/>
    <w:rsid w:val="00A83F40"/>
    <w:rsid w:val="00A91E3C"/>
    <w:rsid w:val="00AA200E"/>
    <w:rsid w:val="00AA48FC"/>
    <w:rsid w:val="00AA6CC6"/>
    <w:rsid w:val="00AB06F8"/>
    <w:rsid w:val="00AB0A16"/>
    <w:rsid w:val="00AB0A89"/>
    <w:rsid w:val="00AC4A3A"/>
    <w:rsid w:val="00AE2C80"/>
    <w:rsid w:val="00AF6320"/>
    <w:rsid w:val="00B01439"/>
    <w:rsid w:val="00B028CD"/>
    <w:rsid w:val="00B22BA9"/>
    <w:rsid w:val="00B24CEA"/>
    <w:rsid w:val="00B31BE1"/>
    <w:rsid w:val="00B3357D"/>
    <w:rsid w:val="00B3583E"/>
    <w:rsid w:val="00B35B9C"/>
    <w:rsid w:val="00B36756"/>
    <w:rsid w:val="00B4025A"/>
    <w:rsid w:val="00B43D08"/>
    <w:rsid w:val="00B64AC0"/>
    <w:rsid w:val="00B7154D"/>
    <w:rsid w:val="00B73500"/>
    <w:rsid w:val="00B75998"/>
    <w:rsid w:val="00B9404E"/>
    <w:rsid w:val="00B973E6"/>
    <w:rsid w:val="00BA1B42"/>
    <w:rsid w:val="00BA2A7C"/>
    <w:rsid w:val="00BA2BD1"/>
    <w:rsid w:val="00BA44A4"/>
    <w:rsid w:val="00BA4808"/>
    <w:rsid w:val="00BA6794"/>
    <w:rsid w:val="00BC4833"/>
    <w:rsid w:val="00BD0740"/>
    <w:rsid w:val="00BD5237"/>
    <w:rsid w:val="00BD5D0C"/>
    <w:rsid w:val="00BD7D88"/>
    <w:rsid w:val="00BE026E"/>
    <w:rsid w:val="00BE3C6A"/>
    <w:rsid w:val="00BE46EA"/>
    <w:rsid w:val="00BE7532"/>
    <w:rsid w:val="00BF00D5"/>
    <w:rsid w:val="00BF1327"/>
    <w:rsid w:val="00BF3DA6"/>
    <w:rsid w:val="00BF46E3"/>
    <w:rsid w:val="00C0382F"/>
    <w:rsid w:val="00C05FE0"/>
    <w:rsid w:val="00C10A86"/>
    <w:rsid w:val="00C10E92"/>
    <w:rsid w:val="00C11E9D"/>
    <w:rsid w:val="00C13BFB"/>
    <w:rsid w:val="00C15A20"/>
    <w:rsid w:val="00C2749F"/>
    <w:rsid w:val="00C32B69"/>
    <w:rsid w:val="00C32F41"/>
    <w:rsid w:val="00C35537"/>
    <w:rsid w:val="00C42A4D"/>
    <w:rsid w:val="00C44EDE"/>
    <w:rsid w:val="00C51072"/>
    <w:rsid w:val="00C51699"/>
    <w:rsid w:val="00C5352D"/>
    <w:rsid w:val="00C539AA"/>
    <w:rsid w:val="00C5436B"/>
    <w:rsid w:val="00C54EBF"/>
    <w:rsid w:val="00C61601"/>
    <w:rsid w:val="00C750A5"/>
    <w:rsid w:val="00C75D6B"/>
    <w:rsid w:val="00C80393"/>
    <w:rsid w:val="00C82257"/>
    <w:rsid w:val="00C83978"/>
    <w:rsid w:val="00CB0C47"/>
    <w:rsid w:val="00CB14EF"/>
    <w:rsid w:val="00CB2834"/>
    <w:rsid w:val="00CB7E24"/>
    <w:rsid w:val="00CC0615"/>
    <w:rsid w:val="00CC36B2"/>
    <w:rsid w:val="00CC43C9"/>
    <w:rsid w:val="00CD36CE"/>
    <w:rsid w:val="00CE3BF1"/>
    <w:rsid w:val="00CF4F3E"/>
    <w:rsid w:val="00CF5A0B"/>
    <w:rsid w:val="00CF7398"/>
    <w:rsid w:val="00D00D12"/>
    <w:rsid w:val="00D012E1"/>
    <w:rsid w:val="00D07B4A"/>
    <w:rsid w:val="00D11ECD"/>
    <w:rsid w:val="00D16E9D"/>
    <w:rsid w:val="00D20576"/>
    <w:rsid w:val="00D24F52"/>
    <w:rsid w:val="00D346F9"/>
    <w:rsid w:val="00D35241"/>
    <w:rsid w:val="00D35439"/>
    <w:rsid w:val="00D36F6E"/>
    <w:rsid w:val="00D53F58"/>
    <w:rsid w:val="00D6363A"/>
    <w:rsid w:val="00D66AB2"/>
    <w:rsid w:val="00D7176C"/>
    <w:rsid w:val="00D8752E"/>
    <w:rsid w:val="00D9687F"/>
    <w:rsid w:val="00DA43CA"/>
    <w:rsid w:val="00DA6F42"/>
    <w:rsid w:val="00DA7185"/>
    <w:rsid w:val="00DB2C8A"/>
    <w:rsid w:val="00DB3CF5"/>
    <w:rsid w:val="00DB4CB6"/>
    <w:rsid w:val="00DB5996"/>
    <w:rsid w:val="00DB6A1F"/>
    <w:rsid w:val="00DC1049"/>
    <w:rsid w:val="00DC527B"/>
    <w:rsid w:val="00DD0637"/>
    <w:rsid w:val="00DD4F04"/>
    <w:rsid w:val="00DD623A"/>
    <w:rsid w:val="00DE0CC9"/>
    <w:rsid w:val="00DE404E"/>
    <w:rsid w:val="00DF0DE3"/>
    <w:rsid w:val="00DF7141"/>
    <w:rsid w:val="00E00C21"/>
    <w:rsid w:val="00E0138C"/>
    <w:rsid w:val="00E03162"/>
    <w:rsid w:val="00E047D5"/>
    <w:rsid w:val="00E134DC"/>
    <w:rsid w:val="00E14051"/>
    <w:rsid w:val="00E331E1"/>
    <w:rsid w:val="00E4635E"/>
    <w:rsid w:val="00E52267"/>
    <w:rsid w:val="00E66F56"/>
    <w:rsid w:val="00E73039"/>
    <w:rsid w:val="00E751DB"/>
    <w:rsid w:val="00E80F77"/>
    <w:rsid w:val="00E85F64"/>
    <w:rsid w:val="00E86D88"/>
    <w:rsid w:val="00E95125"/>
    <w:rsid w:val="00E969DE"/>
    <w:rsid w:val="00EA48BF"/>
    <w:rsid w:val="00EA4FC4"/>
    <w:rsid w:val="00EB70DE"/>
    <w:rsid w:val="00EB7BC0"/>
    <w:rsid w:val="00EC5AAB"/>
    <w:rsid w:val="00ED0DBD"/>
    <w:rsid w:val="00ED5D33"/>
    <w:rsid w:val="00EF292F"/>
    <w:rsid w:val="00EF5586"/>
    <w:rsid w:val="00EF5AFF"/>
    <w:rsid w:val="00F241A5"/>
    <w:rsid w:val="00F2479A"/>
    <w:rsid w:val="00F248E3"/>
    <w:rsid w:val="00F479B5"/>
    <w:rsid w:val="00F549CE"/>
    <w:rsid w:val="00F70092"/>
    <w:rsid w:val="00F70145"/>
    <w:rsid w:val="00F72ABB"/>
    <w:rsid w:val="00F807E9"/>
    <w:rsid w:val="00F80880"/>
    <w:rsid w:val="00F8335F"/>
    <w:rsid w:val="00F86079"/>
    <w:rsid w:val="00F92E93"/>
    <w:rsid w:val="00F97246"/>
    <w:rsid w:val="00FA5E6F"/>
    <w:rsid w:val="00FB2F64"/>
    <w:rsid w:val="00FB5BEC"/>
    <w:rsid w:val="00FC7337"/>
    <w:rsid w:val="00FD68CA"/>
    <w:rsid w:val="00FE0F95"/>
    <w:rsid w:val="00FE20A5"/>
    <w:rsid w:val="00FE256A"/>
    <w:rsid w:val="00FE4BF2"/>
    <w:rsid w:val="00FE627E"/>
    <w:rsid w:val="00FF38AB"/>
    <w:rsid w:val="00FF3A48"/>
    <w:rsid w:val="00FF5A3A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876A5B5"/>
  <w15:chartTrackingRefBased/>
  <w15:docId w15:val="{F13C9BF9-BDAC-42D2-81C2-AD6B3B85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CBA"/>
    <w:pPr>
      <w:spacing w:after="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499"/>
    <w:pPr>
      <w:keepNext/>
      <w:pBdr>
        <w:bottom w:val="single" w:sz="4" w:space="1" w:color="auto"/>
      </w:pBdr>
      <w:spacing w:before="400" w:after="20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499"/>
    <w:pPr>
      <w:keepNext/>
      <w:spacing w:before="400" w:after="20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2547F"/>
    <w:pPr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A1499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Text">
    <w:name w:val="Table - Text"/>
    <w:basedOn w:val="Normal"/>
    <w:qFormat/>
    <w:rsid w:val="006222B9"/>
    <w:pPr>
      <w:spacing w:before="60" w:after="60"/>
      <w:jc w:val="left"/>
    </w:pPr>
  </w:style>
  <w:style w:type="character" w:styleId="CommentReference">
    <w:name w:val="annotation reference"/>
    <w:uiPriority w:val="99"/>
    <w:semiHidden/>
    <w:rsid w:val="00DD6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623A"/>
    <w:rPr>
      <w:rFonts w:ascii="Times New Roman" w:eastAsia="Times New Roman" w:hAnsi="Times New Roman" w:cs="Times New Roman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3A"/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05DC2"/>
    <w:rPr>
      <w:b/>
      <w:bCs/>
    </w:rPr>
  </w:style>
  <w:style w:type="paragraph" w:customStyle="1" w:styleId="ReportCover-Title">
    <w:name w:val="Report Cover - Title"/>
    <w:basedOn w:val="Normal"/>
    <w:next w:val="Normal"/>
    <w:rsid w:val="00BE7532"/>
    <w:pPr>
      <w:pBdr>
        <w:bottom w:val="single" w:sz="8" w:space="1" w:color="auto"/>
      </w:pBdr>
      <w:spacing w:before="360" w:after="720" w:line="300" w:lineRule="atLeast"/>
      <w:ind w:left="2835" w:hanging="2835"/>
    </w:pPr>
    <w:rPr>
      <w:rFonts w:eastAsia="Times New Roman" w:cs="Times New Roman"/>
      <w:b/>
      <w:sz w:val="22"/>
    </w:rPr>
  </w:style>
  <w:style w:type="paragraph" w:customStyle="1" w:styleId="ReportCover-Heading">
    <w:name w:val="Report Cover - Heading"/>
    <w:basedOn w:val="Normal"/>
    <w:next w:val="Normal"/>
    <w:rsid w:val="00A364AA"/>
    <w:pPr>
      <w:pBdr>
        <w:bottom w:val="single" w:sz="4" w:space="1" w:color="auto"/>
      </w:pBdr>
      <w:spacing w:before="720" w:after="360"/>
      <w:jc w:val="left"/>
    </w:pPr>
    <w:rPr>
      <w:rFonts w:eastAsia="Times New Roman" w:cs="Times New Roman"/>
      <w:b/>
      <w:bCs/>
    </w:rPr>
  </w:style>
  <w:style w:type="paragraph" w:customStyle="1" w:styleId="Table-Heading">
    <w:name w:val="Table - Heading"/>
    <w:basedOn w:val="Table-Text"/>
    <w:next w:val="Table-Text"/>
    <w:qFormat/>
    <w:rsid w:val="000B2ED1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A149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A1499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2547F"/>
    <w:rPr>
      <w:b/>
      <w:i/>
    </w:rPr>
  </w:style>
  <w:style w:type="paragraph" w:customStyle="1" w:styleId="NumberedParagraph">
    <w:name w:val="Numbered Paragraph"/>
    <w:basedOn w:val="Normal"/>
    <w:qFormat/>
    <w:rsid w:val="003113D3"/>
    <w:pPr>
      <w:numPr>
        <w:numId w:val="11"/>
      </w:numPr>
      <w:spacing w:after="200" w:line="240" w:lineRule="auto"/>
    </w:pPr>
    <w:rPr>
      <w:szCs w:val="23"/>
      <w:lang w:eastAsia="en-NZ"/>
    </w:rPr>
  </w:style>
  <w:style w:type="paragraph" w:customStyle="1" w:styleId="BulletedParagraphIndented">
    <w:name w:val="Bulleted Paragraph (Indented)"/>
    <w:basedOn w:val="Normal"/>
    <w:uiPriority w:val="1"/>
    <w:qFormat/>
    <w:rsid w:val="00AB0A89"/>
    <w:pPr>
      <w:numPr>
        <w:numId w:val="13"/>
      </w:numPr>
      <w:spacing w:after="200" w:line="240" w:lineRule="auto"/>
    </w:pPr>
    <w:rPr>
      <w:szCs w:val="23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2A1499"/>
    <w:rPr>
      <w:i/>
    </w:rPr>
  </w:style>
  <w:style w:type="paragraph" w:styleId="BodyText">
    <w:name w:val="Body Text"/>
    <w:basedOn w:val="Normal"/>
    <w:link w:val="BodyTextChar"/>
    <w:rsid w:val="005C6B70"/>
    <w:pPr>
      <w:spacing w:line="300" w:lineRule="exact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C6B70"/>
    <w:rPr>
      <w:rFonts w:ascii="Times New Roman" w:eastAsia="Times New Roman" w:hAnsi="Times New Roman" w:cs="Times New Roman"/>
      <w:sz w:val="24"/>
      <w:lang w:eastAsia="en-AU"/>
    </w:rPr>
  </w:style>
  <w:style w:type="table" w:styleId="TableGrid">
    <w:name w:val="Table Grid"/>
    <w:basedOn w:val="TableNormal"/>
    <w:rsid w:val="00387AEA"/>
    <w:pPr>
      <w:spacing w:before="60" w:after="60" w:line="240" w:lineRule="auto"/>
    </w:pPr>
    <w:rPr>
      <w:rFonts w:eastAsia="Times New Roman" w:cs="Times New Roman"/>
      <w:sz w:val="18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paragraph" w:customStyle="1" w:styleId="Recommendation">
    <w:name w:val="Recommendation"/>
    <w:basedOn w:val="Normal"/>
    <w:link w:val="RecommendationChar"/>
    <w:qFormat/>
    <w:rsid w:val="005C6B70"/>
    <w:pPr>
      <w:numPr>
        <w:numId w:val="14"/>
      </w:numPr>
      <w:spacing w:before="60" w:after="120" w:line="240" w:lineRule="auto"/>
      <w:jc w:val="left"/>
    </w:pPr>
    <w:rPr>
      <w:rFonts w:ascii="Arial" w:eastAsia="Times New Roman" w:hAnsi="Arial" w:cs="Arial"/>
      <w:b/>
      <w:sz w:val="22"/>
    </w:rPr>
  </w:style>
  <w:style w:type="character" w:customStyle="1" w:styleId="RecommendationChar">
    <w:name w:val="Recommendation Char"/>
    <w:aliases w:val="List Paragraph Char,List Paragraph1 Char,List Paragraph11 Char,Dot pt Char,F5 List Paragraph Char,No Spacing1 Char,List Paragraph Char Char Char Char,Indicator Text Char,Colorful List - Accent 11 Char,Numbered Para 1 Char"/>
    <w:basedOn w:val="DefaultParagraphFont"/>
    <w:link w:val="Recommendation"/>
    <w:uiPriority w:val="34"/>
    <w:rsid w:val="005C6B70"/>
    <w:rPr>
      <w:rFonts w:ascii="Arial" w:eastAsia="Times New Roman" w:hAnsi="Arial" w:cs="Arial"/>
      <w:b/>
      <w:sz w:val="22"/>
    </w:rPr>
  </w:style>
  <w:style w:type="paragraph" w:customStyle="1" w:styleId="StyleTable-Textindentednumbered">
    <w:name w:val="Style Table - Text (indented + numbered)"/>
    <w:basedOn w:val="Table-Text"/>
    <w:rsid w:val="006222B9"/>
    <w:pPr>
      <w:ind w:left="321" w:hanging="321"/>
    </w:pPr>
    <w:rPr>
      <w:rFonts w:eastAsia="Times New Roman" w:cs="Times New Roman"/>
      <w:sz w:val="18"/>
    </w:rPr>
  </w:style>
  <w:style w:type="paragraph" w:customStyle="1" w:styleId="StyleTable-TextIndented">
    <w:name w:val="Style Table - Text Indented"/>
    <w:basedOn w:val="Table-Text"/>
    <w:rsid w:val="006222B9"/>
    <w:pPr>
      <w:ind w:left="321" w:hanging="321"/>
    </w:pPr>
    <w:rPr>
      <w:rFonts w:eastAsia="Times New Roman" w:cs="Times New Roman"/>
      <w:sz w:val="18"/>
    </w:rPr>
  </w:style>
  <w:style w:type="character" w:styleId="IntenseEmphasis">
    <w:name w:val="Intense Emphasis"/>
    <w:basedOn w:val="DefaultParagraphFont"/>
    <w:uiPriority w:val="21"/>
    <w:qFormat/>
    <w:rsid w:val="008331C2"/>
    <w:rPr>
      <w:b/>
      <w:i/>
      <w:iCs/>
      <w:color w:val="auto"/>
    </w:rPr>
  </w:style>
  <w:style w:type="paragraph" w:customStyle="1" w:styleId="Example-Text">
    <w:name w:val="Example - Text"/>
    <w:basedOn w:val="Normal"/>
    <w:qFormat/>
    <w:rsid w:val="009D3D77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after="90"/>
    </w:pPr>
    <w:rPr>
      <w:sz w:val="18"/>
    </w:rPr>
  </w:style>
  <w:style w:type="paragraph" w:customStyle="1" w:styleId="Example-Heading1">
    <w:name w:val="Example - Heading 1"/>
    <w:basedOn w:val="Example-Text"/>
    <w:qFormat/>
    <w:rsid w:val="009D3D77"/>
    <w:pPr>
      <w:spacing w:after="180"/>
    </w:pPr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425E5D"/>
    <w:pPr>
      <w:spacing w:after="200" w:line="240" w:lineRule="auto"/>
      <w:jc w:val="left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013"/>
    <w:pPr>
      <w:tabs>
        <w:tab w:val="center" w:pos="4513"/>
        <w:tab w:val="right" w:pos="9026"/>
      </w:tabs>
      <w:spacing w:line="240" w:lineRule="auto"/>
    </w:pPr>
    <w:rPr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D0013"/>
    <w:rPr>
      <w:b/>
      <w:sz w:val="16"/>
    </w:rPr>
  </w:style>
  <w:style w:type="paragraph" w:styleId="Footer">
    <w:name w:val="footer"/>
    <w:basedOn w:val="Normal"/>
    <w:link w:val="FooterChar"/>
    <w:uiPriority w:val="99"/>
    <w:unhideWhenUsed/>
    <w:rsid w:val="00E331E1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331E1"/>
    <w:rPr>
      <w:sz w:val="16"/>
    </w:rPr>
  </w:style>
  <w:style w:type="paragraph" w:styleId="FootnoteText">
    <w:name w:val="footnote text"/>
    <w:basedOn w:val="Normal"/>
    <w:link w:val="FootnoteTextChar"/>
    <w:unhideWhenUsed/>
    <w:rsid w:val="00DD4F04"/>
    <w:pPr>
      <w:spacing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D4F04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D4F0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DD4F04"/>
    <w:pPr>
      <w:spacing w:after="200"/>
      <w:ind w:left="851" w:right="851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DD4F04"/>
    <w:rPr>
      <w:iCs/>
    </w:rPr>
  </w:style>
  <w:style w:type="paragraph" w:customStyle="1" w:styleId="Quote-Italics">
    <w:name w:val="Quote - Italics"/>
    <w:basedOn w:val="Quote"/>
    <w:qFormat/>
    <w:rsid w:val="00DD4F04"/>
    <w:rPr>
      <w:i/>
    </w:rPr>
  </w:style>
  <w:style w:type="paragraph" w:customStyle="1" w:styleId="Decision">
    <w:name w:val="Decision"/>
    <w:basedOn w:val="Normal"/>
    <w:rsid w:val="00204CBA"/>
    <w:pPr>
      <w:tabs>
        <w:tab w:val="left" w:pos="5670"/>
      </w:tabs>
      <w:spacing w:after="200"/>
      <w:ind w:left="709"/>
    </w:pPr>
    <w:rPr>
      <w:rFonts w:eastAsia="Times New Roman" w:cs="Times New Roman"/>
    </w:rPr>
  </w:style>
  <w:style w:type="paragraph" w:customStyle="1" w:styleId="Table-Recommendations">
    <w:name w:val="Table - Recommendations"/>
    <w:basedOn w:val="Table-Text"/>
    <w:rsid w:val="00247909"/>
    <w:pPr>
      <w:ind w:left="604" w:hanging="604"/>
    </w:pPr>
    <w:rPr>
      <w:rFonts w:eastAsia="Times New Roman" w:cs="Times New Roman"/>
      <w:sz w:val="18"/>
    </w:rPr>
  </w:style>
  <w:style w:type="paragraph" w:customStyle="1" w:styleId="PAS-Groupname">
    <w:name w:val="PAS - Group name"/>
    <w:basedOn w:val="Normal"/>
    <w:rsid w:val="00B73500"/>
    <w:pPr>
      <w:spacing w:before="240" w:after="480"/>
      <w:jc w:val="center"/>
    </w:pPr>
    <w:rPr>
      <w:rFonts w:eastAsia="Times New Roman" w:cs="Times New Roman"/>
      <w:b/>
      <w:bCs/>
      <w:sz w:val="24"/>
    </w:rPr>
  </w:style>
  <w:style w:type="paragraph" w:customStyle="1" w:styleId="PAS-Groupname-Joint">
    <w:name w:val="PAS - Group name - Joint"/>
    <w:basedOn w:val="Normal"/>
    <w:rsid w:val="003D64BA"/>
    <w:pPr>
      <w:spacing w:before="120" w:after="1200"/>
    </w:pPr>
    <w:rPr>
      <w:rFonts w:eastAsia="Times New Roman" w:cs="Times New Roman"/>
    </w:rPr>
  </w:style>
  <w:style w:type="paragraph" w:customStyle="1" w:styleId="Example-Heading2">
    <w:name w:val="Example - Heading 2"/>
    <w:basedOn w:val="Example-Heading1"/>
    <w:qFormat/>
    <w:rsid w:val="00891517"/>
    <w:pPr>
      <w:spacing w:after="90"/>
    </w:pPr>
    <w:rPr>
      <w:i/>
    </w:rPr>
  </w:style>
  <w:style w:type="paragraph" w:customStyle="1" w:styleId="StyleTable-Heading-Centered">
    <w:name w:val="Style Table - Heading - Centered"/>
    <w:basedOn w:val="Table-Heading"/>
    <w:rsid w:val="00C05FE0"/>
    <w:pPr>
      <w:jc w:val="center"/>
    </w:pPr>
    <w:rPr>
      <w:rFonts w:eastAsia="Times New Roman" w:cs="Times New Roman"/>
      <w:bCs/>
      <w:sz w:val="18"/>
    </w:rPr>
  </w:style>
  <w:style w:type="paragraph" w:customStyle="1" w:styleId="StyleTable-TextRightalignedBold">
    <w:name w:val="Style Table - Text + Right aligned + Bold"/>
    <w:basedOn w:val="Table-Text"/>
    <w:rsid w:val="00C05FE0"/>
    <w:pPr>
      <w:ind w:right="96"/>
      <w:jc w:val="right"/>
    </w:pPr>
    <w:rPr>
      <w:rFonts w:eastAsia="Times New Roman" w:cs="Times New Roman"/>
      <w:b/>
      <w:bCs/>
      <w:sz w:val="18"/>
    </w:rPr>
  </w:style>
  <w:style w:type="paragraph" w:customStyle="1" w:styleId="StyleTable-TextCentered">
    <w:name w:val="Style Table - Text + Centered"/>
    <w:basedOn w:val="Table-Text"/>
    <w:rsid w:val="00C05FE0"/>
    <w:pPr>
      <w:jc w:val="center"/>
    </w:pPr>
    <w:rPr>
      <w:rFonts w:eastAsia="Times New Roman" w:cs="Times New Roman"/>
      <w:sz w:val="18"/>
    </w:rPr>
  </w:style>
  <w:style w:type="character" w:styleId="PlaceholderText">
    <w:name w:val="Placeholder Text"/>
    <w:basedOn w:val="DefaultParagraphFont"/>
    <w:uiPriority w:val="99"/>
    <w:semiHidden/>
    <w:rsid w:val="00DC52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59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9DC"/>
    <w:rPr>
      <w:color w:val="808080"/>
      <w:shd w:val="clear" w:color="auto" w:fill="E6E6E6"/>
    </w:rPr>
  </w:style>
  <w:style w:type="character" w:customStyle="1" w:styleId="Citation-Title">
    <w:name w:val="Citation - Title"/>
    <w:basedOn w:val="DefaultParagraphFont"/>
    <w:uiPriority w:val="1"/>
    <w:qFormat/>
    <w:rsid w:val="00901BF8"/>
    <w:rPr>
      <w:i/>
    </w:rPr>
  </w:style>
  <w:style w:type="paragraph" w:customStyle="1" w:styleId="Example-Figure">
    <w:name w:val="Example - Figure"/>
    <w:basedOn w:val="Example-Text"/>
    <w:rsid w:val="005C6DE1"/>
    <w:pPr>
      <w:jc w:val="center"/>
    </w:pPr>
    <w:rPr>
      <w:rFonts w:eastAsia="Times New Roman" w:cs="Times New Roman"/>
    </w:rPr>
  </w:style>
  <w:style w:type="paragraph" w:customStyle="1" w:styleId="Report-Title">
    <w:name w:val="Report - Title"/>
    <w:basedOn w:val="ReportCover-Title"/>
    <w:rsid w:val="006742B5"/>
    <w:pPr>
      <w:ind w:left="0" w:firstLine="0"/>
    </w:pPr>
  </w:style>
  <w:style w:type="paragraph" w:styleId="ListParagraph">
    <w:name w:val="List Paragraph"/>
    <w:aliases w:val="List Paragraph1,List Paragraph11,Dot pt,F5 List Paragraph,No Spacing1,List Paragraph Char Char Char,Indicator Text,Colorful List - Accent 11,Numbered Para 1,Bullet 1,Párrafo de lista,List Paragraph2,Rec para"/>
    <w:basedOn w:val="Normal"/>
    <w:uiPriority w:val="34"/>
    <w:qFormat/>
    <w:rsid w:val="004454B2"/>
    <w:pPr>
      <w:spacing w:line="280" w:lineRule="atLeast"/>
      <w:ind w:left="720"/>
      <w:contextualSpacing/>
      <w:jc w:val="left"/>
    </w:pPr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B4A"/>
    <w:pPr>
      <w:spacing w:line="240" w:lineRule="auto"/>
    </w:pPr>
    <w:rPr>
      <w:rFonts w:ascii="Verdana" w:eastAsiaTheme="minorHAnsi" w:hAnsi="Verdana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B4A"/>
    <w:rPr>
      <w:rFonts w:ascii="Times New Roman" w:eastAsia="Times New Roman" w:hAnsi="Times New Roman" w:cs="Times New Roman"/>
      <w:b/>
      <w:bCs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50A042F21C446A9CF448BDAA439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CCF2-AA1A-439F-A713-FC0B927E02E6}"/>
      </w:docPartPr>
      <w:docPartBody>
        <w:p w:rsidR="00E115D4" w:rsidRDefault="00E115D4">
          <w:pPr>
            <w:pStyle w:val="1B50A042F21C446A9CF448BDAA43940D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 a report priority</w:t>
          </w:r>
          <w:r w:rsidRPr="00733356">
            <w:rPr>
              <w:rStyle w:val="PlaceholderText"/>
            </w:rPr>
            <w:t>]</w:t>
          </w:r>
        </w:p>
      </w:docPartBody>
    </w:docPart>
    <w:docPart>
      <w:docPartPr>
        <w:name w:val="C2743B0DB0DD4D8A8E60CB7CF5FA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B531-B007-4EC7-944D-32FB704254D8}"/>
      </w:docPartPr>
      <w:docPartBody>
        <w:p w:rsidR="00E115D4" w:rsidRDefault="00E115D4">
          <w:pPr>
            <w:pStyle w:val="C2743B0DB0DD4D8A8E60CB7CF5FAD9FE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</w:t>
          </w:r>
          <w:r w:rsidRPr="0073335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a </w:t>
          </w:r>
          <w:r w:rsidRPr="00733356">
            <w:rPr>
              <w:rStyle w:val="PlaceholderText"/>
            </w:rPr>
            <w:t xml:space="preserve">security classification </w:t>
          </w:r>
          <w:r>
            <w:rPr>
              <w:rStyle w:val="PlaceholderText"/>
              <w:rFonts w:ascii="Times New Roman" w:hAnsi="Times New Roman" w:cs="Times New Roman"/>
            </w:rPr>
            <w:t>–</w:t>
          </w:r>
          <w:r w:rsidRPr="00733356">
            <w:rPr>
              <w:rStyle w:val="PlaceholderText"/>
            </w:rPr>
            <w:t xml:space="preserve"> minimum of In Confidence]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D4"/>
    <w:rsid w:val="000443B8"/>
    <w:rsid w:val="000F0993"/>
    <w:rsid w:val="001B6CD8"/>
    <w:rsid w:val="001C6E81"/>
    <w:rsid w:val="006142BE"/>
    <w:rsid w:val="00655EB1"/>
    <w:rsid w:val="00745F75"/>
    <w:rsid w:val="009B4DF4"/>
    <w:rsid w:val="009E1ADE"/>
    <w:rsid w:val="00AF6AF5"/>
    <w:rsid w:val="00BB7709"/>
    <w:rsid w:val="00C14A8C"/>
    <w:rsid w:val="00CB5C02"/>
    <w:rsid w:val="00CC0E59"/>
    <w:rsid w:val="00E1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50A042F21C446A9CF448BDAA43940D">
    <w:name w:val="1B50A042F21C446A9CF448BDAA43940D"/>
  </w:style>
  <w:style w:type="paragraph" w:customStyle="1" w:styleId="680B583978C949BFB818CF215BB6CBEB">
    <w:name w:val="680B583978C949BFB818CF215BB6CBEB"/>
  </w:style>
  <w:style w:type="paragraph" w:customStyle="1" w:styleId="C2743B0DB0DD4D8A8E60CB7CF5FAD9FE">
    <w:name w:val="C2743B0DB0DD4D8A8E60CB7CF5FAD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03F5-14D9-4812-B739-13D46E7B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IR2019/038|T2019/171 - Tax policy report: Options for taxing the digital economy - Cabinet paper (29 January 2019)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IR2019/038|T2019/171 - Tax policy report: Options for taxing the digital economy - Cabinet paper (29 January 2019)</dc:title>
  <dc:subject/>
  <dc:creator>Inland Revenue + Treasury</dc:creator>
  <cp:keywords/>
  <dc:description/>
  <dcterms:created xsi:type="dcterms:W3CDTF">2019-07-20T05:25:00Z</dcterms:created>
  <dcterms:modified xsi:type="dcterms:W3CDTF">2019-07-20T05:25:00Z</dcterms:modified>
</cp:coreProperties>
</file>