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EA7D" w14:textId="77777777" w:rsidR="001005B7" w:rsidRPr="006E78E1" w:rsidRDefault="001005B7" w:rsidP="001005B7">
      <w:pPr>
        <w:jc w:val="center"/>
      </w:pPr>
      <w:bookmarkStart w:id="0" w:name="_GoBack"/>
      <w:bookmarkEnd w:id="0"/>
    </w:p>
    <w:p w14:paraId="3529A842" w14:textId="77777777" w:rsidR="001005B7" w:rsidRPr="006E78E1" w:rsidRDefault="001005B7" w:rsidP="001005B7">
      <w:pPr>
        <w:jc w:val="center"/>
      </w:pPr>
    </w:p>
    <w:p w14:paraId="1A28C691" w14:textId="77777777" w:rsidR="001005B7" w:rsidRPr="006E78E1" w:rsidRDefault="001005B7" w:rsidP="001005B7">
      <w:pPr>
        <w:jc w:val="center"/>
      </w:pPr>
    </w:p>
    <w:p w14:paraId="2956734E" w14:textId="77777777" w:rsidR="001005B7" w:rsidRPr="006E78E1" w:rsidRDefault="001005B7" w:rsidP="001005B7">
      <w:pPr>
        <w:jc w:val="center"/>
      </w:pPr>
    </w:p>
    <w:p w14:paraId="74924DE0" w14:textId="77777777" w:rsidR="001005B7" w:rsidRPr="00673800" w:rsidRDefault="00757EBD" w:rsidP="001005B7">
      <w:pPr>
        <w:pBdr>
          <w:bottom w:val="single" w:sz="4" w:space="5" w:color="auto"/>
        </w:pBdr>
        <w:jc w:val="center"/>
        <w:rPr>
          <w:sz w:val="68"/>
          <w:szCs w:val="68"/>
        </w:rPr>
      </w:pPr>
      <w:r w:rsidRPr="00673800">
        <w:rPr>
          <w:sz w:val="68"/>
          <w:szCs w:val="68"/>
        </w:rPr>
        <w:t xml:space="preserve">GST on </w:t>
      </w:r>
      <w:r w:rsidR="007D538F">
        <w:rPr>
          <w:sz w:val="68"/>
          <w:szCs w:val="68"/>
        </w:rPr>
        <w:t>telecommunications services</w:t>
      </w:r>
    </w:p>
    <w:p w14:paraId="2BC282B6" w14:textId="77777777" w:rsidR="001005B7" w:rsidRPr="00673800" w:rsidRDefault="001005B7" w:rsidP="001005B7">
      <w:pPr>
        <w:jc w:val="center"/>
        <w:rPr>
          <w:b/>
          <w:sz w:val="40"/>
          <w:szCs w:val="40"/>
        </w:rPr>
      </w:pPr>
    </w:p>
    <w:p w14:paraId="601D4F2A" w14:textId="77777777" w:rsidR="001005B7" w:rsidRPr="00673800" w:rsidRDefault="001005B7" w:rsidP="001005B7">
      <w:pPr>
        <w:jc w:val="center"/>
        <w:rPr>
          <w:i/>
          <w:sz w:val="28"/>
          <w:szCs w:val="28"/>
        </w:rPr>
      </w:pPr>
      <w:r w:rsidRPr="00673800">
        <w:rPr>
          <w:i/>
          <w:sz w:val="28"/>
          <w:szCs w:val="28"/>
        </w:rPr>
        <w:t>An officials’ issues paper</w:t>
      </w:r>
    </w:p>
    <w:p w14:paraId="5F72F04C" w14:textId="77777777" w:rsidR="001005B7" w:rsidRPr="00673800" w:rsidRDefault="001005B7" w:rsidP="001005B7"/>
    <w:p w14:paraId="57797EFB" w14:textId="77777777" w:rsidR="007119A0" w:rsidRPr="00673800" w:rsidRDefault="007119A0" w:rsidP="001005B7"/>
    <w:p w14:paraId="6B09482F" w14:textId="77777777" w:rsidR="007119A0" w:rsidRPr="00673800" w:rsidRDefault="007119A0" w:rsidP="001005B7"/>
    <w:p w14:paraId="5E232D95" w14:textId="77777777" w:rsidR="007119A0" w:rsidRPr="00673800" w:rsidRDefault="007119A0" w:rsidP="001005B7"/>
    <w:p w14:paraId="0698865F" w14:textId="77777777" w:rsidR="007119A0" w:rsidRPr="00673800" w:rsidRDefault="007119A0" w:rsidP="001005B7"/>
    <w:p w14:paraId="2467AACD" w14:textId="77777777" w:rsidR="007119A0" w:rsidRPr="00673800" w:rsidRDefault="007119A0" w:rsidP="001005B7"/>
    <w:p w14:paraId="38104E78" w14:textId="77777777" w:rsidR="007119A0" w:rsidRPr="00673800" w:rsidRDefault="007119A0" w:rsidP="001005B7"/>
    <w:p w14:paraId="649F1CD2" w14:textId="77777777" w:rsidR="007119A0" w:rsidRPr="00673800" w:rsidRDefault="007119A0" w:rsidP="001005B7"/>
    <w:p w14:paraId="47218C37" w14:textId="77777777" w:rsidR="007119A0" w:rsidRPr="00673800" w:rsidRDefault="007119A0" w:rsidP="001005B7"/>
    <w:p w14:paraId="6D0CF158" w14:textId="77777777" w:rsidR="007119A0" w:rsidRPr="00673800" w:rsidRDefault="007119A0" w:rsidP="001005B7"/>
    <w:p w14:paraId="2493B53B" w14:textId="77777777" w:rsidR="001005B7" w:rsidRPr="00673800" w:rsidRDefault="001005B7" w:rsidP="001005B7"/>
    <w:p w14:paraId="519C6070" w14:textId="77777777" w:rsidR="001005B7" w:rsidRPr="00673800" w:rsidRDefault="001005B7" w:rsidP="001005B7"/>
    <w:p w14:paraId="772C97E1" w14:textId="77777777" w:rsidR="001005B7" w:rsidRPr="00673800" w:rsidRDefault="001005B7" w:rsidP="001005B7"/>
    <w:p w14:paraId="04CB81DC" w14:textId="77777777" w:rsidR="001005B7" w:rsidRPr="00673800" w:rsidRDefault="001005B7" w:rsidP="001005B7"/>
    <w:p w14:paraId="0E4196CA" w14:textId="77777777" w:rsidR="001005B7" w:rsidRPr="00673800" w:rsidRDefault="001005B7" w:rsidP="001005B7"/>
    <w:p w14:paraId="054269E6" w14:textId="77777777" w:rsidR="001005B7" w:rsidRPr="00673800" w:rsidRDefault="001005B7" w:rsidP="001005B7"/>
    <w:p w14:paraId="5FE55DF7" w14:textId="77777777" w:rsidR="001005B7" w:rsidRPr="00673800" w:rsidRDefault="001005B7" w:rsidP="001005B7"/>
    <w:p w14:paraId="7D52BC85" w14:textId="77777777" w:rsidR="001005B7" w:rsidRPr="00673800" w:rsidRDefault="001005B7" w:rsidP="001005B7"/>
    <w:p w14:paraId="6A173AD1" w14:textId="77777777" w:rsidR="001005B7" w:rsidRPr="00673800" w:rsidRDefault="001005B7" w:rsidP="001005B7"/>
    <w:p w14:paraId="1838518C" w14:textId="77777777" w:rsidR="001005B7" w:rsidRPr="00673800" w:rsidRDefault="001005B7" w:rsidP="001005B7"/>
    <w:p w14:paraId="439D37BC" w14:textId="77777777" w:rsidR="001005B7" w:rsidRPr="00673800" w:rsidRDefault="001005B7" w:rsidP="001005B7"/>
    <w:p w14:paraId="016FF2E7" w14:textId="77777777" w:rsidR="001005B7" w:rsidRPr="00673800" w:rsidRDefault="001005B7" w:rsidP="001005B7"/>
    <w:p w14:paraId="3EC645F6" w14:textId="77777777" w:rsidR="001005B7" w:rsidRPr="00673800" w:rsidRDefault="001005B7" w:rsidP="001005B7"/>
    <w:p w14:paraId="5776B121" w14:textId="77777777" w:rsidR="001005B7" w:rsidRPr="00673800" w:rsidRDefault="001005B7" w:rsidP="001005B7"/>
    <w:p w14:paraId="7F761E38" w14:textId="77777777" w:rsidR="001005B7" w:rsidRPr="00673800" w:rsidRDefault="001005B7" w:rsidP="001005B7"/>
    <w:p w14:paraId="71724560" w14:textId="77777777" w:rsidR="001005B7" w:rsidRPr="00673800" w:rsidRDefault="001005B7" w:rsidP="001005B7"/>
    <w:p w14:paraId="47DC579B" w14:textId="77777777" w:rsidR="001005B7" w:rsidRPr="00673800" w:rsidRDefault="001005B7" w:rsidP="001005B7"/>
    <w:p w14:paraId="6B19A627" w14:textId="77777777" w:rsidR="001005B7" w:rsidRPr="00673800" w:rsidRDefault="001005B7" w:rsidP="001005B7"/>
    <w:p w14:paraId="520825FF" w14:textId="77777777" w:rsidR="001005B7" w:rsidRPr="00673800" w:rsidRDefault="001005B7" w:rsidP="001005B7"/>
    <w:p w14:paraId="1DA67CFC" w14:textId="77777777" w:rsidR="001005B7" w:rsidRPr="00673800" w:rsidRDefault="001005B7" w:rsidP="001005B7"/>
    <w:p w14:paraId="17157EC1" w14:textId="77777777" w:rsidR="001005B7" w:rsidRPr="00673800" w:rsidRDefault="001005B7" w:rsidP="001005B7"/>
    <w:p w14:paraId="2EAC7639" w14:textId="77777777" w:rsidR="001005B7" w:rsidRPr="00673800" w:rsidRDefault="001005B7" w:rsidP="001005B7"/>
    <w:p w14:paraId="294046D2" w14:textId="77777777" w:rsidR="001005B7" w:rsidRPr="00673800" w:rsidRDefault="001005B7" w:rsidP="001005B7"/>
    <w:p w14:paraId="21E99F29" w14:textId="77777777" w:rsidR="001005B7" w:rsidRPr="00673800" w:rsidRDefault="007D538F" w:rsidP="001005B7">
      <w:pPr>
        <w:tabs>
          <w:tab w:val="left" w:pos="6237"/>
        </w:tabs>
        <w:rPr>
          <w:sz w:val="28"/>
          <w:szCs w:val="28"/>
        </w:rPr>
      </w:pPr>
      <w:r>
        <w:rPr>
          <w:sz w:val="28"/>
          <w:szCs w:val="28"/>
        </w:rPr>
        <w:t>May 2019</w:t>
      </w:r>
    </w:p>
    <w:p w14:paraId="1A8BBC91" w14:textId="77777777" w:rsidR="001005B7" w:rsidRPr="00673800" w:rsidRDefault="001005B7" w:rsidP="001005B7">
      <w:pPr>
        <w:tabs>
          <w:tab w:val="left" w:pos="6237"/>
        </w:tabs>
        <w:rPr>
          <w:sz w:val="28"/>
          <w:szCs w:val="28"/>
        </w:rPr>
      </w:pPr>
    </w:p>
    <w:p w14:paraId="7DCDC3E4" w14:textId="77777777" w:rsidR="001005B7" w:rsidRPr="00673800" w:rsidRDefault="001005B7" w:rsidP="001005B7">
      <w:pPr>
        <w:tabs>
          <w:tab w:val="left" w:pos="6237"/>
        </w:tabs>
        <w:rPr>
          <w:sz w:val="28"/>
          <w:szCs w:val="28"/>
        </w:rPr>
      </w:pPr>
    </w:p>
    <w:p w14:paraId="59E0EB07" w14:textId="77777777" w:rsidR="001005B7" w:rsidRPr="00673800" w:rsidRDefault="001005B7" w:rsidP="001005B7">
      <w:pPr>
        <w:tabs>
          <w:tab w:val="left" w:pos="6237"/>
        </w:tabs>
        <w:rPr>
          <w:i/>
        </w:rPr>
      </w:pPr>
      <w:r w:rsidRPr="00673800">
        <w:rPr>
          <w:i/>
        </w:rPr>
        <w:t xml:space="preserve">Prepared by Policy </w:t>
      </w:r>
      <w:r w:rsidR="00B94457" w:rsidRPr="00673800">
        <w:rPr>
          <w:i/>
        </w:rPr>
        <w:t>and Strategy</w:t>
      </w:r>
      <w:r w:rsidR="00F41E01" w:rsidRPr="00673800">
        <w:rPr>
          <w:i/>
        </w:rPr>
        <w:t>,</w:t>
      </w:r>
      <w:r w:rsidR="00B94457" w:rsidRPr="00673800">
        <w:rPr>
          <w:i/>
        </w:rPr>
        <w:t xml:space="preserve"> </w:t>
      </w:r>
      <w:r w:rsidRPr="00673800">
        <w:rPr>
          <w:i/>
        </w:rPr>
        <w:t>Inland Revenue</w:t>
      </w:r>
      <w:r w:rsidR="00F41E01" w:rsidRPr="00673800">
        <w:rPr>
          <w:i/>
        </w:rPr>
        <w:t>,</w:t>
      </w:r>
      <w:r w:rsidRPr="00673800">
        <w:rPr>
          <w:i/>
        </w:rPr>
        <w:t xml:space="preserve"> </w:t>
      </w:r>
      <w:r w:rsidR="00B94457" w:rsidRPr="00673800">
        <w:rPr>
          <w:i/>
        </w:rPr>
        <w:t>a</w:t>
      </w:r>
      <w:r w:rsidRPr="00673800">
        <w:rPr>
          <w:i/>
        </w:rPr>
        <w:t>nd the Treasury</w:t>
      </w:r>
    </w:p>
    <w:p w14:paraId="24A54648" w14:textId="77777777" w:rsidR="001005B7" w:rsidRPr="00673800" w:rsidRDefault="001005B7" w:rsidP="001005B7">
      <w:r w:rsidRPr="00673800">
        <w:br w:type="page"/>
      </w:r>
    </w:p>
    <w:p w14:paraId="738610B8" w14:textId="77777777" w:rsidR="001005B7" w:rsidRPr="00673800" w:rsidRDefault="001005B7" w:rsidP="001005B7"/>
    <w:p w14:paraId="793C5781" w14:textId="77777777" w:rsidR="001005B7" w:rsidRPr="00673800" w:rsidRDefault="001005B7" w:rsidP="001005B7"/>
    <w:p w14:paraId="1AF5E906" w14:textId="77777777" w:rsidR="001005B7" w:rsidRPr="00673800" w:rsidRDefault="001005B7" w:rsidP="001005B7"/>
    <w:p w14:paraId="66F95A14" w14:textId="77777777" w:rsidR="001005B7" w:rsidRPr="00673800" w:rsidRDefault="001005B7" w:rsidP="001005B7"/>
    <w:p w14:paraId="07019560" w14:textId="77777777" w:rsidR="001005B7" w:rsidRPr="00673800" w:rsidRDefault="001005B7" w:rsidP="001005B7"/>
    <w:p w14:paraId="62CC2AC3" w14:textId="77777777" w:rsidR="001005B7" w:rsidRPr="00673800" w:rsidRDefault="001005B7" w:rsidP="001005B7"/>
    <w:p w14:paraId="4D915F18" w14:textId="77777777" w:rsidR="001005B7" w:rsidRPr="00673800" w:rsidRDefault="001005B7" w:rsidP="001005B7"/>
    <w:p w14:paraId="5CF9F6E8" w14:textId="77777777" w:rsidR="001005B7" w:rsidRPr="00673800" w:rsidRDefault="001005B7" w:rsidP="001005B7"/>
    <w:p w14:paraId="7C81FE4A" w14:textId="77777777" w:rsidR="001005B7" w:rsidRPr="00673800" w:rsidRDefault="001005B7" w:rsidP="001005B7"/>
    <w:p w14:paraId="22055F2F" w14:textId="77777777" w:rsidR="001005B7" w:rsidRPr="00673800" w:rsidRDefault="001005B7" w:rsidP="001005B7"/>
    <w:p w14:paraId="4321631E" w14:textId="77777777" w:rsidR="001005B7" w:rsidRPr="00673800" w:rsidRDefault="001005B7" w:rsidP="001005B7"/>
    <w:p w14:paraId="72E455F4" w14:textId="77777777" w:rsidR="001005B7" w:rsidRPr="00673800" w:rsidRDefault="001005B7" w:rsidP="001005B7"/>
    <w:p w14:paraId="3CC26C99" w14:textId="77777777" w:rsidR="001005B7" w:rsidRPr="00673800" w:rsidRDefault="001005B7" w:rsidP="001005B7"/>
    <w:p w14:paraId="09CD0646" w14:textId="77777777" w:rsidR="001005B7" w:rsidRPr="00673800" w:rsidRDefault="001005B7" w:rsidP="001005B7"/>
    <w:p w14:paraId="197652FF" w14:textId="77777777" w:rsidR="001005B7" w:rsidRPr="00673800" w:rsidRDefault="001005B7" w:rsidP="001005B7"/>
    <w:p w14:paraId="6B5AB083" w14:textId="77777777" w:rsidR="001005B7" w:rsidRPr="00673800" w:rsidRDefault="001005B7" w:rsidP="001005B7"/>
    <w:p w14:paraId="1132946B" w14:textId="77777777" w:rsidR="001005B7" w:rsidRPr="00673800" w:rsidRDefault="001005B7" w:rsidP="001005B7"/>
    <w:p w14:paraId="5C74860A" w14:textId="77777777" w:rsidR="001005B7" w:rsidRPr="00673800" w:rsidRDefault="001005B7" w:rsidP="001005B7"/>
    <w:p w14:paraId="7D471E2C" w14:textId="77777777" w:rsidR="001005B7" w:rsidRPr="00673800" w:rsidRDefault="001005B7" w:rsidP="001005B7"/>
    <w:p w14:paraId="2C5D7772" w14:textId="77777777" w:rsidR="001005B7" w:rsidRPr="00673800" w:rsidRDefault="001005B7" w:rsidP="001005B7"/>
    <w:p w14:paraId="18BC14D4" w14:textId="77777777" w:rsidR="001005B7" w:rsidRPr="00673800" w:rsidRDefault="001005B7" w:rsidP="001005B7"/>
    <w:p w14:paraId="0277B647" w14:textId="77777777" w:rsidR="001005B7" w:rsidRPr="00673800" w:rsidRDefault="001005B7" w:rsidP="001005B7"/>
    <w:p w14:paraId="45986A2E" w14:textId="77777777" w:rsidR="001005B7" w:rsidRPr="00673800" w:rsidRDefault="001005B7" w:rsidP="001005B7"/>
    <w:p w14:paraId="032E3CE3" w14:textId="77777777" w:rsidR="001005B7" w:rsidRPr="00673800" w:rsidRDefault="001005B7" w:rsidP="001005B7"/>
    <w:p w14:paraId="1FE2703D" w14:textId="77777777" w:rsidR="001005B7" w:rsidRPr="00673800" w:rsidRDefault="001005B7" w:rsidP="001005B7"/>
    <w:p w14:paraId="4CF8883D" w14:textId="77777777" w:rsidR="001005B7" w:rsidRPr="00673800" w:rsidRDefault="001005B7" w:rsidP="001005B7"/>
    <w:p w14:paraId="758F5FDA" w14:textId="77777777" w:rsidR="001005B7" w:rsidRPr="00673800" w:rsidRDefault="001005B7" w:rsidP="001005B7"/>
    <w:p w14:paraId="185D2A48" w14:textId="77777777" w:rsidR="001005B7" w:rsidRPr="00673800" w:rsidRDefault="001005B7" w:rsidP="001005B7"/>
    <w:p w14:paraId="492BB7D7" w14:textId="77777777" w:rsidR="001005B7" w:rsidRPr="00673800" w:rsidRDefault="001005B7" w:rsidP="001005B7"/>
    <w:p w14:paraId="2D3888FA" w14:textId="77777777" w:rsidR="001005B7" w:rsidRPr="00673800" w:rsidRDefault="001005B7" w:rsidP="001005B7"/>
    <w:p w14:paraId="6CEB9870" w14:textId="77777777" w:rsidR="001005B7" w:rsidRPr="00673800" w:rsidRDefault="001005B7" w:rsidP="001005B7"/>
    <w:p w14:paraId="2543F4AE" w14:textId="77777777" w:rsidR="001005B7" w:rsidRPr="00673800" w:rsidRDefault="001005B7" w:rsidP="001005B7"/>
    <w:p w14:paraId="3B0E7195" w14:textId="77777777" w:rsidR="001005B7" w:rsidRPr="00673800" w:rsidRDefault="001005B7" w:rsidP="001005B7"/>
    <w:p w14:paraId="342827B6" w14:textId="77777777" w:rsidR="001005B7" w:rsidRPr="00673800" w:rsidRDefault="001005B7" w:rsidP="001005B7"/>
    <w:p w14:paraId="03884F02" w14:textId="77777777" w:rsidR="001005B7" w:rsidRPr="00673800" w:rsidRDefault="001005B7" w:rsidP="001005B7"/>
    <w:p w14:paraId="1F4BA3B2" w14:textId="77777777" w:rsidR="001005B7" w:rsidRPr="00673800" w:rsidRDefault="001005B7" w:rsidP="001005B7"/>
    <w:p w14:paraId="33D39E56" w14:textId="77777777" w:rsidR="001005B7" w:rsidRPr="00673800" w:rsidRDefault="001005B7" w:rsidP="001005B7"/>
    <w:p w14:paraId="586E0555" w14:textId="77777777" w:rsidR="001005B7" w:rsidRPr="00673800" w:rsidRDefault="001005B7" w:rsidP="001005B7"/>
    <w:p w14:paraId="0FCF81A5" w14:textId="77777777" w:rsidR="001005B7" w:rsidRPr="00673800" w:rsidRDefault="001005B7" w:rsidP="002F3B02">
      <w:pPr>
        <w:jc w:val="left"/>
      </w:pPr>
    </w:p>
    <w:p w14:paraId="26AD62C5" w14:textId="77777777" w:rsidR="001005B7" w:rsidRPr="00673800" w:rsidRDefault="001005B7" w:rsidP="001005B7"/>
    <w:p w14:paraId="64B2F283" w14:textId="77777777" w:rsidR="001005B7" w:rsidRPr="00673800" w:rsidRDefault="001005B7" w:rsidP="001005B7"/>
    <w:p w14:paraId="400E685A" w14:textId="77777777" w:rsidR="001005B7" w:rsidRPr="00673800" w:rsidRDefault="001005B7" w:rsidP="001005B7"/>
    <w:p w14:paraId="03C61998" w14:textId="77777777" w:rsidR="001005B7" w:rsidRPr="00673800" w:rsidRDefault="001005B7" w:rsidP="001005B7"/>
    <w:p w14:paraId="61D087FA" w14:textId="77777777" w:rsidR="001005B7" w:rsidRDefault="001005B7" w:rsidP="001005B7"/>
    <w:p w14:paraId="17FD5EA9" w14:textId="77777777" w:rsidR="00BE117C" w:rsidRDefault="00BE117C" w:rsidP="001005B7"/>
    <w:p w14:paraId="6E252EE4" w14:textId="77777777" w:rsidR="00BE117C" w:rsidRPr="00673800" w:rsidRDefault="00BE117C" w:rsidP="001005B7"/>
    <w:p w14:paraId="2384D532" w14:textId="77777777" w:rsidR="001005B7" w:rsidRPr="00673800" w:rsidRDefault="001005B7" w:rsidP="001005B7"/>
    <w:p w14:paraId="39F39616" w14:textId="77777777" w:rsidR="001005B7" w:rsidRPr="00673800" w:rsidRDefault="001005B7" w:rsidP="001005B7"/>
    <w:p w14:paraId="50D1A94D" w14:textId="77777777" w:rsidR="001005B7" w:rsidRPr="00673800" w:rsidRDefault="001005B7" w:rsidP="001005B7">
      <w:pPr>
        <w:jc w:val="left"/>
        <w:rPr>
          <w:sz w:val="20"/>
        </w:rPr>
      </w:pPr>
      <w:r w:rsidRPr="00673800">
        <w:rPr>
          <w:sz w:val="20"/>
        </w:rPr>
        <w:t xml:space="preserve">First published in </w:t>
      </w:r>
      <w:r w:rsidR="00B133E9" w:rsidRPr="00673800">
        <w:rPr>
          <w:sz w:val="20"/>
        </w:rPr>
        <w:t>May</w:t>
      </w:r>
      <w:r w:rsidR="001B1FAA" w:rsidRPr="00673800">
        <w:rPr>
          <w:sz w:val="20"/>
        </w:rPr>
        <w:t xml:space="preserve"> 201</w:t>
      </w:r>
      <w:r w:rsidR="007D538F">
        <w:rPr>
          <w:sz w:val="20"/>
        </w:rPr>
        <w:t>9</w:t>
      </w:r>
      <w:r w:rsidRPr="00673800">
        <w:rPr>
          <w:sz w:val="20"/>
        </w:rPr>
        <w:t xml:space="preserve"> by Policy </w:t>
      </w:r>
      <w:r w:rsidR="00B94457" w:rsidRPr="00673800">
        <w:rPr>
          <w:sz w:val="20"/>
        </w:rPr>
        <w:t>and Strategy</w:t>
      </w:r>
      <w:r w:rsidR="00F36FF2" w:rsidRPr="00673800">
        <w:rPr>
          <w:sz w:val="20"/>
        </w:rPr>
        <w:t>,</w:t>
      </w:r>
      <w:r w:rsidRPr="00673800">
        <w:rPr>
          <w:sz w:val="20"/>
        </w:rPr>
        <w:t xml:space="preserve"> Inland Revenue, </w:t>
      </w:r>
      <w:r w:rsidR="009368ED" w:rsidRPr="00673800">
        <w:rPr>
          <w:sz w:val="20"/>
        </w:rPr>
        <w:t>P</w:t>
      </w:r>
      <w:r w:rsidRPr="00673800">
        <w:rPr>
          <w:sz w:val="20"/>
        </w:rPr>
        <w:t>O Box 2198, Wellington</w:t>
      </w:r>
      <w:r w:rsidR="001B1FAA" w:rsidRPr="00673800">
        <w:rPr>
          <w:sz w:val="20"/>
        </w:rPr>
        <w:t>, 6140</w:t>
      </w:r>
      <w:r w:rsidR="00F36FF2" w:rsidRPr="00673800">
        <w:rPr>
          <w:sz w:val="20"/>
        </w:rPr>
        <w:t>.</w:t>
      </w:r>
    </w:p>
    <w:p w14:paraId="1658CA9D" w14:textId="77777777" w:rsidR="001005B7" w:rsidRPr="00673800" w:rsidRDefault="001005B7" w:rsidP="001005B7">
      <w:pPr>
        <w:jc w:val="left"/>
        <w:rPr>
          <w:sz w:val="20"/>
        </w:rPr>
      </w:pPr>
    </w:p>
    <w:p w14:paraId="6761A221" w14:textId="000C2B8F" w:rsidR="001005B7" w:rsidRPr="00673800" w:rsidRDefault="00C5366A" w:rsidP="001005B7">
      <w:pPr>
        <w:jc w:val="left"/>
        <w:rPr>
          <w:sz w:val="20"/>
        </w:rPr>
      </w:pPr>
      <w:r w:rsidRPr="00673800">
        <w:rPr>
          <w:sz w:val="20"/>
        </w:rPr>
        <w:t xml:space="preserve">GST on </w:t>
      </w:r>
      <w:r w:rsidR="007D538F">
        <w:rPr>
          <w:sz w:val="20"/>
        </w:rPr>
        <w:t>telecommunications services</w:t>
      </w:r>
      <w:r w:rsidR="00A43538">
        <w:rPr>
          <w:sz w:val="20"/>
        </w:rPr>
        <w:t xml:space="preserve"> – Issues paper</w:t>
      </w:r>
    </w:p>
    <w:p w14:paraId="5703113A" w14:textId="1D3A2F61" w:rsidR="00A43538" w:rsidRPr="00A43538" w:rsidRDefault="001005B7" w:rsidP="00A43538">
      <w:pPr>
        <w:rPr>
          <w:sz w:val="20"/>
          <w:lang w:eastAsia="en-NZ"/>
        </w:rPr>
      </w:pPr>
      <w:r w:rsidRPr="00673800">
        <w:rPr>
          <w:sz w:val="20"/>
        </w:rPr>
        <w:t xml:space="preserve">ISBN </w:t>
      </w:r>
      <w:r w:rsidR="00A43538" w:rsidRPr="00A43538">
        <w:rPr>
          <w:sz w:val="20"/>
          <w:lang w:eastAsia="en-NZ"/>
        </w:rPr>
        <w:t>978-1-98-857309-0</w:t>
      </w:r>
    </w:p>
    <w:p w14:paraId="2795B590" w14:textId="77777777" w:rsidR="001005B7" w:rsidRPr="00673800" w:rsidRDefault="001005B7" w:rsidP="001005B7">
      <w:pPr>
        <w:rPr>
          <w:sz w:val="20"/>
        </w:rPr>
      </w:pPr>
    </w:p>
    <w:p w14:paraId="35632C88" w14:textId="77777777" w:rsidR="001005B7" w:rsidRPr="00673800" w:rsidRDefault="001005B7" w:rsidP="001005B7">
      <w:pPr>
        <w:jc w:val="center"/>
        <w:rPr>
          <w:b/>
          <w:sz w:val="28"/>
          <w:szCs w:val="28"/>
        </w:rPr>
      </w:pPr>
      <w:r w:rsidRPr="00673800">
        <w:br w:type="page"/>
      </w:r>
      <w:r w:rsidRPr="00673800">
        <w:rPr>
          <w:b/>
          <w:sz w:val="28"/>
          <w:szCs w:val="28"/>
        </w:rPr>
        <w:lastRenderedPageBreak/>
        <w:t>CONTENTS</w:t>
      </w:r>
    </w:p>
    <w:p w14:paraId="38B0215E" w14:textId="77777777" w:rsidR="00D10025" w:rsidRPr="00673800" w:rsidRDefault="00D10025" w:rsidP="001005B7">
      <w:pPr>
        <w:jc w:val="center"/>
        <w:rPr>
          <w:b/>
          <w:sz w:val="28"/>
          <w:szCs w:val="28"/>
        </w:rPr>
      </w:pPr>
    </w:p>
    <w:p w14:paraId="6A530A4B" w14:textId="78652635" w:rsidR="004B1DD5" w:rsidRDefault="00D10025" w:rsidP="004B1DD5">
      <w:pPr>
        <w:pStyle w:val="TOC1"/>
        <w:rPr>
          <w:rFonts w:asciiTheme="minorHAnsi" w:eastAsiaTheme="minorEastAsia" w:hAnsiTheme="minorHAnsi" w:cstheme="minorBidi"/>
          <w:b w:val="0"/>
          <w:noProof/>
          <w:sz w:val="22"/>
          <w:szCs w:val="22"/>
          <w:lang w:eastAsia="en-NZ"/>
        </w:rPr>
      </w:pPr>
      <w:r w:rsidRPr="00673800">
        <w:fldChar w:fldCharType="begin"/>
      </w:r>
      <w:r w:rsidRPr="00673800">
        <w:instrText xml:space="preserve"> TOC \t "Heading 1,2,Heading 2,3,Chapter heading,1" </w:instrText>
      </w:r>
      <w:r w:rsidRPr="00673800">
        <w:fldChar w:fldCharType="separate"/>
      </w:r>
      <w:r w:rsidR="004B1DD5">
        <w:rPr>
          <w:noProof/>
        </w:rPr>
        <w:t>CHAPTER 1</w:t>
      </w:r>
      <w:r w:rsidR="004B1DD5">
        <w:rPr>
          <w:noProof/>
        </w:rPr>
        <w:tab/>
        <w:t>I</w:t>
      </w:r>
      <w:r w:rsidR="004B1DD5" w:rsidRPr="001E20BE">
        <w:rPr>
          <w:noProof/>
        </w:rPr>
        <w:t>ntroduction</w:t>
      </w:r>
      <w:r w:rsidR="004B1DD5">
        <w:rPr>
          <w:noProof/>
        </w:rPr>
        <w:tab/>
      </w:r>
      <w:r w:rsidR="004B1DD5">
        <w:rPr>
          <w:noProof/>
        </w:rPr>
        <w:fldChar w:fldCharType="begin"/>
      </w:r>
      <w:r w:rsidR="004B1DD5">
        <w:rPr>
          <w:noProof/>
        </w:rPr>
        <w:instrText xml:space="preserve"> PAGEREF _Toc8719821 \h </w:instrText>
      </w:r>
      <w:r w:rsidR="004B1DD5">
        <w:rPr>
          <w:noProof/>
        </w:rPr>
      </w:r>
      <w:r w:rsidR="004B1DD5">
        <w:rPr>
          <w:noProof/>
        </w:rPr>
        <w:fldChar w:fldCharType="separate"/>
      </w:r>
      <w:r w:rsidR="007A39FD">
        <w:rPr>
          <w:noProof/>
        </w:rPr>
        <w:t>1</w:t>
      </w:r>
      <w:r w:rsidR="004B1DD5">
        <w:rPr>
          <w:noProof/>
        </w:rPr>
        <w:fldChar w:fldCharType="end"/>
      </w:r>
    </w:p>
    <w:p w14:paraId="0EBECA8C" w14:textId="61D25124" w:rsidR="004B1DD5" w:rsidRDefault="00621929" w:rsidP="004B1DD5">
      <w:pPr>
        <w:pStyle w:val="TOC2"/>
        <w:ind w:left="0"/>
        <w:rPr>
          <w:rFonts w:asciiTheme="minorHAnsi" w:eastAsiaTheme="minorEastAsia" w:hAnsiTheme="minorHAnsi" w:cstheme="minorBidi"/>
          <w:noProof/>
          <w:szCs w:val="22"/>
          <w:lang w:eastAsia="en-NZ"/>
        </w:rPr>
      </w:pPr>
      <w:r>
        <w:rPr>
          <w:noProof/>
        </w:rPr>
        <w:tab/>
      </w:r>
      <w:r w:rsidR="004B1DD5">
        <w:rPr>
          <w:noProof/>
        </w:rPr>
        <w:t>How to make a submission</w:t>
      </w:r>
      <w:r w:rsidR="004B1DD5">
        <w:rPr>
          <w:noProof/>
        </w:rPr>
        <w:tab/>
      </w:r>
      <w:r w:rsidR="004B1DD5">
        <w:rPr>
          <w:noProof/>
        </w:rPr>
        <w:fldChar w:fldCharType="begin"/>
      </w:r>
      <w:r w:rsidR="004B1DD5">
        <w:rPr>
          <w:noProof/>
        </w:rPr>
        <w:instrText xml:space="preserve"> PAGEREF _Toc8719822 \h </w:instrText>
      </w:r>
      <w:r w:rsidR="004B1DD5">
        <w:rPr>
          <w:noProof/>
        </w:rPr>
      </w:r>
      <w:r w:rsidR="004B1DD5">
        <w:rPr>
          <w:noProof/>
        </w:rPr>
        <w:fldChar w:fldCharType="separate"/>
      </w:r>
      <w:r w:rsidR="007A39FD">
        <w:rPr>
          <w:noProof/>
        </w:rPr>
        <w:t>2</w:t>
      </w:r>
      <w:r w:rsidR="004B1DD5">
        <w:rPr>
          <w:noProof/>
        </w:rPr>
        <w:fldChar w:fldCharType="end"/>
      </w:r>
    </w:p>
    <w:p w14:paraId="1BB97DAD" w14:textId="1B28AF2A" w:rsidR="004B1DD5" w:rsidRDefault="004B1DD5" w:rsidP="004B1DD5">
      <w:pPr>
        <w:pStyle w:val="TOC1"/>
        <w:rPr>
          <w:rFonts w:asciiTheme="minorHAnsi" w:eastAsiaTheme="minorEastAsia" w:hAnsiTheme="minorHAnsi" w:cstheme="minorBidi"/>
          <w:b w:val="0"/>
          <w:noProof/>
          <w:sz w:val="22"/>
          <w:szCs w:val="22"/>
          <w:lang w:eastAsia="en-NZ"/>
        </w:rPr>
      </w:pPr>
      <w:r>
        <w:rPr>
          <w:noProof/>
        </w:rPr>
        <w:t>CHAPTER 2</w:t>
      </w:r>
      <w:r>
        <w:rPr>
          <w:noProof/>
        </w:rPr>
        <w:tab/>
      </w:r>
      <w:r w:rsidRPr="001E20BE">
        <w:rPr>
          <w:noProof/>
        </w:rPr>
        <w:t>Background</w:t>
      </w:r>
      <w:r>
        <w:rPr>
          <w:noProof/>
        </w:rPr>
        <w:tab/>
      </w:r>
      <w:r>
        <w:rPr>
          <w:noProof/>
        </w:rPr>
        <w:fldChar w:fldCharType="begin"/>
      </w:r>
      <w:r>
        <w:rPr>
          <w:noProof/>
        </w:rPr>
        <w:instrText xml:space="preserve"> PAGEREF _Toc8719824 \h </w:instrText>
      </w:r>
      <w:r>
        <w:rPr>
          <w:noProof/>
        </w:rPr>
      </w:r>
      <w:r>
        <w:rPr>
          <w:noProof/>
        </w:rPr>
        <w:fldChar w:fldCharType="separate"/>
      </w:r>
      <w:r w:rsidR="007A39FD">
        <w:rPr>
          <w:noProof/>
        </w:rPr>
        <w:t>5</w:t>
      </w:r>
      <w:r>
        <w:rPr>
          <w:noProof/>
        </w:rPr>
        <w:fldChar w:fldCharType="end"/>
      </w:r>
    </w:p>
    <w:p w14:paraId="36170846" w14:textId="33882133" w:rsidR="004B1DD5" w:rsidRDefault="004B1DD5">
      <w:pPr>
        <w:pStyle w:val="TOC2"/>
        <w:rPr>
          <w:rFonts w:asciiTheme="minorHAnsi" w:eastAsiaTheme="minorEastAsia" w:hAnsiTheme="minorHAnsi" w:cstheme="minorBidi"/>
          <w:noProof/>
          <w:szCs w:val="22"/>
          <w:lang w:eastAsia="en-NZ"/>
        </w:rPr>
      </w:pPr>
      <w:r>
        <w:rPr>
          <w:noProof/>
        </w:rPr>
        <w:t>OECD VAT/GST Guidelines</w:t>
      </w:r>
      <w:r>
        <w:rPr>
          <w:noProof/>
        </w:rPr>
        <w:tab/>
      </w:r>
      <w:r>
        <w:rPr>
          <w:noProof/>
        </w:rPr>
        <w:fldChar w:fldCharType="begin"/>
      </w:r>
      <w:r>
        <w:rPr>
          <w:noProof/>
        </w:rPr>
        <w:instrText xml:space="preserve"> PAGEREF _Toc8719825 \h </w:instrText>
      </w:r>
      <w:r>
        <w:rPr>
          <w:noProof/>
        </w:rPr>
      </w:r>
      <w:r>
        <w:rPr>
          <w:noProof/>
        </w:rPr>
        <w:fldChar w:fldCharType="separate"/>
      </w:r>
      <w:r w:rsidR="007A39FD">
        <w:rPr>
          <w:noProof/>
        </w:rPr>
        <w:t>6</w:t>
      </w:r>
      <w:r>
        <w:rPr>
          <w:noProof/>
        </w:rPr>
        <w:fldChar w:fldCharType="end"/>
      </w:r>
    </w:p>
    <w:p w14:paraId="2CA548A3" w14:textId="0D6C3CC6" w:rsidR="004B1DD5" w:rsidRDefault="004B1DD5">
      <w:pPr>
        <w:pStyle w:val="TOC2"/>
        <w:rPr>
          <w:rFonts w:asciiTheme="minorHAnsi" w:eastAsiaTheme="minorEastAsia" w:hAnsiTheme="minorHAnsi" w:cstheme="minorBidi"/>
          <w:noProof/>
          <w:szCs w:val="22"/>
          <w:lang w:eastAsia="en-NZ"/>
        </w:rPr>
      </w:pPr>
      <w:r>
        <w:rPr>
          <w:noProof/>
        </w:rPr>
        <w:t>Other countries’ approaches</w:t>
      </w:r>
      <w:r>
        <w:rPr>
          <w:noProof/>
        </w:rPr>
        <w:tab/>
      </w:r>
      <w:r>
        <w:rPr>
          <w:noProof/>
        </w:rPr>
        <w:fldChar w:fldCharType="begin"/>
      </w:r>
      <w:r>
        <w:rPr>
          <w:noProof/>
        </w:rPr>
        <w:instrText xml:space="preserve"> PAGEREF _Toc8719826 \h </w:instrText>
      </w:r>
      <w:r>
        <w:rPr>
          <w:noProof/>
        </w:rPr>
      </w:r>
      <w:r>
        <w:rPr>
          <w:noProof/>
        </w:rPr>
        <w:fldChar w:fldCharType="separate"/>
      </w:r>
      <w:r w:rsidR="007A39FD">
        <w:rPr>
          <w:noProof/>
        </w:rPr>
        <w:t>7</w:t>
      </w:r>
      <w:r>
        <w:rPr>
          <w:noProof/>
        </w:rPr>
        <w:fldChar w:fldCharType="end"/>
      </w:r>
    </w:p>
    <w:p w14:paraId="5BE05B92" w14:textId="786C5743" w:rsidR="004B1DD5" w:rsidRDefault="004B1DD5" w:rsidP="00833D82">
      <w:pPr>
        <w:pStyle w:val="TOC3"/>
        <w:ind w:left="2160"/>
        <w:rPr>
          <w:rFonts w:asciiTheme="minorHAnsi" w:eastAsiaTheme="minorEastAsia" w:hAnsiTheme="minorHAnsi" w:cstheme="minorBidi"/>
          <w:noProof/>
          <w:sz w:val="22"/>
          <w:lang w:eastAsia="en-NZ"/>
        </w:rPr>
      </w:pPr>
      <w:r>
        <w:rPr>
          <w:noProof/>
        </w:rPr>
        <w:t>United Kingdom</w:t>
      </w:r>
      <w:r>
        <w:rPr>
          <w:noProof/>
        </w:rPr>
        <w:tab/>
      </w:r>
      <w:r>
        <w:rPr>
          <w:noProof/>
        </w:rPr>
        <w:fldChar w:fldCharType="begin"/>
      </w:r>
      <w:r>
        <w:rPr>
          <w:noProof/>
        </w:rPr>
        <w:instrText xml:space="preserve"> PAGEREF _Toc8719827 \h </w:instrText>
      </w:r>
      <w:r>
        <w:rPr>
          <w:noProof/>
        </w:rPr>
      </w:r>
      <w:r>
        <w:rPr>
          <w:noProof/>
        </w:rPr>
        <w:fldChar w:fldCharType="separate"/>
      </w:r>
      <w:r w:rsidR="007A39FD">
        <w:rPr>
          <w:noProof/>
        </w:rPr>
        <w:t>7</w:t>
      </w:r>
      <w:r>
        <w:rPr>
          <w:noProof/>
        </w:rPr>
        <w:fldChar w:fldCharType="end"/>
      </w:r>
    </w:p>
    <w:p w14:paraId="4925DF62" w14:textId="50029A59" w:rsidR="004B1DD5" w:rsidRDefault="004B1DD5" w:rsidP="00833D82">
      <w:pPr>
        <w:pStyle w:val="TOC3"/>
        <w:ind w:left="2160"/>
        <w:rPr>
          <w:rFonts w:asciiTheme="minorHAnsi" w:eastAsiaTheme="minorEastAsia" w:hAnsiTheme="minorHAnsi" w:cstheme="minorBidi"/>
          <w:noProof/>
          <w:sz w:val="22"/>
          <w:lang w:eastAsia="en-NZ"/>
        </w:rPr>
      </w:pPr>
      <w:r>
        <w:rPr>
          <w:noProof/>
        </w:rPr>
        <w:t>European Union</w:t>
      </w:r>
      <w:r>
        <w:rPr>
          <w:noProof/>
        </w:rPr>
        <w:tab/>
      </w:r>
      <w:r>
        <w:rPr>
          <w:noProof/>
        </w:rPr>
        <w:fldChar w:fldCharType="begin"/>
      </w:r>
      <w:r>
        <w:rPr>
          <w:noProof/>
        </w:rPr>
        <w:instrText xml:space="preserve"> PAGEREF _Toc8719828 \h </w:instrText>
      </w:r>
      <w:r>
        <w:rPr>
          <w:noProof/>
        </w:rPr>
      </w:r>
      <w:r>
        <w:rPr>
          <w:noProof/>
        </w:rPr>
        <w:fldChar w:fldCharType="separate"/>
      </w:r>
      <w:r w:rsidR="007A39FD">
        <w:rPr>
          <w:noProof/>
        </w:rPr>
        <w:t>8</w:t>
      </w:r>
      <w:r>
        <w:rPr>
          <w:noProof/>
        </w:rPr>
        <w:fldChar w:fldCharType="end"/>
      </w:r>
    </w:p>
    <w:p w14:paraId="4CF7894B" w14:textId="7903D435" w:rsidR="004B1DD5" w:rsidRDefault="004B1DD5" w:rsidP="00833D82">
      <w:pPr>
        <w:pStyle w:val="TOC3"/>
        <w:ind w:left="2160"/>
        <w:rPr>
          <w:rFonts w:asciiTheme="minorHAnsi" w:eastAsiaTheme="minorEastAsia" w:hAnsiTheme="minorHAnsi" w:cstheme="minorBidi"/>
          <w:noProof/>
          <w:sz w:val="22"/>
          <w:lang w:eastAsia="en-NZ"/>
        </w:rPr>
      </w:pPr>
      <w:r>
        <w:rPr>
          <w:noProof/>
        </w:rPr>
        <w:t>Norway</w:t>
      </w:r>
      <w:r>
        <w:rPr>
          <w:noProof/>
        </w:rPr>
        <w:tab/>
      </w:r>
      <w:r>
        <w:rPr>
          <w:noProof/>
        </w:rPr>
        <w:fldChar w:fldCharType="begin"/>
      </w:r>
      <w:r>
        <w:rPr>
          <w:noProof/>
        </w:rPr>
        <w:instrText xml:space="preserve"> PAGEREF _Toc8719829 \h </w:instrText>
      </w:r>
      <w:r>
        <w:rPr>
          <w:noProof/>
        </w:rPr>
      </w:r>
      <w:r>
        <w:rPr>
          <w:noProof/>
        </w:rPr>
        <w:fldChar w:fldCharType="separate"/>
      </w:r>
      <w:r w:rsidR="007A39FD">
        <w:rPr>
          <w:noProof/>
        </w:rPr>
        <w:t>8</w:t>
      </w:r>
      <w:r>
        <w:rPr>
          <w:noProof/>
        </w:rPr>
        <w:fldChar w:fldCharType="end"/>
      </w:r>
    </w:p>
    <w:p w14:paraId="4F5AE227" w14:textId="0F842C95" w:rsidR="004B1DD5" w:rsidRDefault="004B1DD5" w:rsidP="00833D82">
      <w:pPr>
        <w:pStyle w:val="TOC3"/>
        <w:ind w:left="2160"/>
        <w:rPr>
          <w:rFonts w:asciiTheme="minorHAnsi" w:eastAsiaTheme="minorEastAsia" w:hAnsiTheme="minorHAnsi" w:cstheme="minorBidi"/>
          <w:noProof/>
          <w:sz w:val="22"/>
          <w:lang w:eastAsia="en-NZ"/>
        </w:rPr>
      </w:pPr>
      <w:r>
        <w:rPr>
          <w:noProof/>
        </w:rPr>
        <w:t>Switzerland</w:t>
      </w:r>
      <w:r>
        <w:rPr>
          <w:noProof/>
        </w:rPr>
        <w:tab/>
      </w:r>
      <w:r>
        <w:rPr>
          <w:noProof/>
        </w:rPr>
        <w:fldChar w:fldCharType="begin"/>
      </w:r>
      <w:r>
        <w:rPr>
          <w:noProof/>
        </w:rPr>
        <w:instrText xml:space="preserve"> PAGEREF _Toc8719830 \h </w:instrText>
      </w:r>
      <w:r>
        <w:rPr>
          <w:noProof/>
        </w:rPr>
      </w:r>
      <w:r>
        <w:rPr>
          <w:noProof/>
        </w:rPr>
        <w:fldChar w:fldCharType="separate"/>
      </w:r>
      <w:r w:rsidR="007A39FD">
        <w:rPr>
          <w:noProof/>
        </w:rPr>
        <w:t>8</w:t>
      </w:r>
      <w:r>
        <w:rPr>
          <w:noProof/>
        </w:rPr>
        <w:fldChar w:fldCharType="end"/>
      </w:r>
    </w:p>
    <w:p w14:paraId="6CA2DF30" w14:textId="4468DD9B" w:rsidR="004B1DD5" w:rsidRDefault="004B1DD5" w:rsidP="00833D82">
      <w:pPr>
        <w:pStyle w:val="TOC3"/>
        <w:ind w:left="2160"/>
        <w:rPr>
          <w:rFonts w:asciiTheme="minorHAnsi" w:eastAsiaTheme="minorEastAsia" w:hAnsiTheme="minorHAnsi" w:cstheme="minorBidi"/>
          <w:noProof/>
          <w:sz w:val="22"/>
          <w:lang w:eastAsia="en-NZ"/>
        </w:rPr>
      </w:pPr>
      <w:r>
        <w:rPr>
          <w:noProof/>
        </w:rPr>
        <w:t>Australia</w:t>
      </w:r>
      <w:r>
        <w:rPr>
          <w:noProof/>
        </w:rPr>
        <w:tab/>
      </w:r>
      <w:r>
        <w:rPr>
          <w:noProof/>
        </w:rPr>
        <w:fldChar w:fldCharType="begin"/>
      </w:r>
      <w:r>
        <w:rPr>
          <w:noProof/>
        </w:rPr>
        <w:instrText xml:space="preserve"> PAGEREF _Toc8719831 \h </w:instrText>
      </w:r>
      <w:r>
        <w:rPr>
          <w:noProof/>
        </w:rPr>
      </w:r>
      <w:r>
        <w:rPr>
          <w:noProof/>
        </w:rPr>
        <w:fldChar w:fldCharType="separate"/>
      </w:r>
      <w:r w:rsidR="007A39FD">
        <w:rPr>
          <w:noProof/>
        </w:rPr>
        <w:t>8</w:t>
      </w:r>
      <w:r>
        <w:rPr>
          <w:noProof/>
        </w:rPr>
        <w:fldChar w:fldCharType="end"/>
      </w:r>
    </w:p>
    <w:p w14:paraId="3F59194B" w14:textId="5650F03A" w:rsidR="004B1DD5" w:rsidRDefault="004B1DD5">
      <w:pPr>
        <w:pStyle w:val="TOC2"/>
        <w:rPr>
          <w:rFonts w:asciiTheme="minorHAnsi" w:eastAsiaTheme="minorEastAsia" w:hAnsiTheme="minorHAnsi" w:cstheme="minorBidi"/>
          <w:noProof/>
          <w:szCs w:val="22"/>
          <w:lang w:eastAsia="en-NZ"/>
        </w:rPr>
      </w:pPr>
      <w:r>
        <w:rPr>
          <w:noProof/>
        </w:rPr>
        <w:t>Effect of the current rules for telecommunications services</w:t>
      </w:r>
      <w:r>
        <w:rPr>
          <w:noProof/>
        </w:rPr>
        <w:tab/>
      </w:r>
      <w:r>
        <w:rPr>
          <w:noProof/>
        </w:rPr>
        <w:fldChar w:fldCharType="begin"/>
      </w:r>
      <w:r>
        <w:rPr>
          <w:noProof/>
        </w:rPr>
        <w:instrText xml:space="preserve"> PAGEREF _Toc8719832 \h </w:instrText>
      </w:r>
      <w:r>
        <w:rPr>
          <w:noProof/>
        </w:rPr>
      </w:r>
      <w:r>
        <w:rPr>
          <w:noProof/>
        </w:rPr>
        <w:fldChar w:fldCharType="separate"/>
      </w:r>
      <w:r w:rsidR="007A39FD">
        <w:rPr>
          <w:noProof/>
        </w:rPr>
        <w:t>9</w:t>
      </w:r>
      <w:r>
        <w:rPr>
          <w:noProof/>
        </w:rPr>
        <w:fldChar w:fldCharType="end"/>
      </w:r>
    </w:p>
    <w:p w14:paraId="582C189A" w14:textId="3BD3A776" w:rsidR="004B1DD5" w:rsidRDefault="004B1DD5" w:rsidP="00833D82">
      <w:pPr>
        <w:pStyle w:val="TOC3"/>
        <w:ind w:left="2160"/>
        <w:rPr>
          <w:rFonts w:asciiTheme="minorHAnsi" w:eastAsiaTheme="minorEastAsia" w:hAnsiTheme="minorHAnsi" w:cstheme="minorBidi"/>
          <w:noProof/>
          <w:sz w:val="22"/>
          <w:lang w:eastAsia="en-NZ"/>
        </w:rPr>
      </w:pPr>
      <w:r>
        <w:rPr>
          <w:noProof/>
        </w:rPr>
        <w:t>Resident suppliers</w:t>
      </w:r>
      <w:r>
        <w:rPr>
          <w:noProof/>
        </w:rPr>
        <w:tab/>
      </w:r>
      <w:r>
        <w:rPr>
          <w:noProof/>
        </w:rPr>
        <w:fldChar w:fldCharType="begin"/>
      </w:r>
      <w:r>
        <w:rPr>
          <w:noProof/>
        </w:rPr>
        <w:instrText xml:space="preserve"> PAGEREF _Toc8719833 \h </w:instrText>
      </w:r>
      <w:r>
        <w:rPr>
          <w:noProof/>
        </w:rPr>
      </w:r>
      <w:r>
        <w:rPr>
          <w:noProof/>
        </w:rPr>
        <w:fldChar w:fldCharType="separate"/>
      </w:r>
      <w:r w:rsidR="007A39FD">
        <w:rPr>
          <w:noProof/>
        </w:rPr>
        <w:t>9</w:t>
      </w:r>
      <w:r>
        <w:rPr>
          <w:noProof/>
        </w:rPr>
        <w:fldChar w:fldCharType="end"/>
      </w:r>
    </w:p>
    <w:p w14:paraId="2EB8BB4A" w14:textId="539D64C4" w:rsidR="004B1DD5" w:rsidRDefault="004B1DD5" w:rsidP="00833D82">
      <w:pPr>
        <w:pStyle w:val="TOC3"/>
        <w:ind w:left="2160"/>
        <w:rPr>
          <w:rFonts w:asciiTheme="minorHAnsi" w:eastAsiaTheme="minorEastAsia" w:hAnsiTheme="minorHAnsi" w:cstheme="minorBidi"/>
          <w:noProof/>
          <w:sz w:val="22"/>
          <w:lang w:eastAsia="en-NZ"/>
        </w:rPr>
      </w:pPr>
      <w:r>
        <w:rPr>
          <w:noProof/>
        </w:rPr>
        <w:t>Non-resident suppliers</w:t>
      </w:r>
      <w:r>
        <w:rPr>
          <w:noProof/>
        </w:rPr>
        <w:tab/>
      </w:r>
      <w:r>
        <w:rPr>
          <w:noProof/>
        </w:rPr>
        <w:fldChar w:fldCharType="begin"/>
      </w:r>
      <w:r>
        <w:rPr>
          <w:noProof/>
        </w:rPr>
        <w:instrText xml:space="preserve"> PAGEREF _Toc8719834 \h </w:instrText>
      </w:r>
      <w:r>
        <w:rPr>
          <w:noProof/>
        </w:rPr>
      </w:r>
      <w:r>
        <w:rPr>
          <w:noProof/>
        </w:rPr>
        <w:fldChar w:fldCharType="separate"/>
      </w:r>
      <w:r w:rsidR="007A39FD">
        <w:rPr>
          <w:noProof/>
        </w:rPr>
        <w:t>9</w:t>
      </w:r>
      <w:r>
        <w:rPr>
          <w:noProof/>
        </w:rPr>
        <w:fldChar w:fldCharType="end"/>
      </w:r>
    </w:p>
    <w:p w14:paraId="161BD350" w14:textId="370E44F5" w:rsidR="004B1DD5" w:rsidRDefault="004B1DD5" w:rsidP="004B1DD5">
      <w:pPr>
        <w:pStyle w:val="TOC1"/>
        <w:rPr>
          <w:rFonts w:asciiTheme="minorHAnsi" w:eastAsiaTheme="minorEastAsia" w:hAnsiTheme="minorHAnsi" w:cstheme="minorBidi"/>
          <w:b w:val="0"/>
          <w:noProof/>
          <w:sz w:val="22"/>
          <w:szCs w:val="22"/>
          <w:lang w:eastAsia="en-NZ"/>
        </w:rPr>
      </w:pPr>
      <w:r>
        <w:rPr>
          <w:noProof/>
        </w:rPr>
        <w:t>CHAPTER 3</w:t>
      </w:r>
      <w:r>
        <w:rPr>
          <w:noProof/>
        </w:rPr>
        <w:tab/>
      </w:r>
      <w:r w:rsidRPr="001E20BE">
        <w:rPr>
          <w:noProof/>
        </w:rPr>
        <w:t>Proposals</w:t>
      </w:r>
      <w:r>
        <w:rPr>
          <w:noProof/>
        </w:rPr>
        <w:tab/>
      </w:r>
      <w:r>
        <w:rPr>
          <w:noProof/>
        </w:rPr>
        <w:fldChar w:fldCharType="begin"/>
      </w:r>
      <w:r>
        <w:rPr>
          <w:noProof/>
        </w:rPr>
        <w:instrText xml:space="preserve"> PAGEREF _Toc8719836 \h </w:instrText>
      </w:r>
      <w:r>
        <w:rPr>
          <w:noProof/>
        </w:rPr>
      </w:r>
      <w:r>
        <w:rPr>
          <w:noProof/>
        </w:rPr>
        <w:fldChar w:fldCharType="separate"/>
      </w:r>
      <w:r w:rsidR="007A39FD">
        <w:rPr>
          <w:noProof/>
        </w:rPr>
        <w:t>11</w:t>
      </w:r>
      <w:r>
        <w:rPr>
          <w:noProof/>
        </w:rPr>
        <w:fldChar w:fldCharType="end"/>
      </w:r>
    </w:p>
    <w:p w14:paraId="44866AB8" w14:textId="541E7959" w:rsidR="004B1DD5" w:rsidRDefault="004B1DD5">
      <w:pPr>
        <w:pStyle w:val="TOC2"/>
        <w:rPr>
          <w:rFonts w:asciiTheme="minorHAnsi" w:eastAsiaTheme="minorEastAsia" w:hAnsiTheme="minorHAnsi" w:cstheme="minorBidi"/>
          <w:noProof/>
          <w:szCs w:val="22"/>
          <w:lang w:eastAsia="en-NZ"/>
        </w:rPr>
      </w:pPr>
      <w:r>
        <w:rPr>
          <w:noProof/>
        </w:rPr>
        <w:t>The problem</w:t>
      </w:r>
      <w:r>
        <w:rPr>
          <w:noProof/>
        </w:rPr>
        <w:tab/>
      </w:r>
      <w:r>
        <w:rPr>
          <w:noProof/>
        </w:rPr>
        <w:fldChar w:fldCharType="begin"/>
      </w:r>
      <w:r>
        <w:rPr>
          <w:noProof/>
        </w:rPr>
        <w:instrText xml:space="preserve"> PAGEREF _Toc8719837 \h </w:instrText>
      </w:r>
      <w:r>
        <w:rPr>
          <w:noProof/>
        </w:rPr>
      </w:r>
      <w:r>
        <w:rPr>
          <w:noProof/>
        </w:rPr>
        <w:fldChar w:fldCharType="separate"/>
      </w:r>
      <w:r w:rsidR="007A39FD">
        <w:rPr>
          <w:noProof/>
        </w:rPr>
        <w:t>11</w:t>
      </w:r>
      <w:r>
        <w:rPr>
          <w:noProof/>
        </w:rPr>
        <w:fldChar w:fldCharType="end"/>
      </w:r>
    </w:p>
    <w:p w14:paraId="73B8F9B2" w14:textId="2C73F291" w:rsidR="004B1DD5" w:rsidRDefault="004B1DD5">
      <w:pPr>
        <w:pStyle w:val="TOC2"/>
        <w:rPr>
          <w:rFonts w:asciiTheme="minorHAnsi" w:eastAsiaTheme="minorEastAsia" w:hAnsiTheme="minorHAnsi" w:cstheme="minorBidi"/>
          <w:noProof/>
          <w:szCs w:val="22"/>
          <w:lang w:eastAsia="en-NZ"/>
        </w:rPr>
      </w:pPr>
      <w:r>
        <w:rPr>
          <w:noProof/>
        </w:rPr>
        <w:t>The main proposal</w:t>
      </w:r>
      <w:r>
        <w:rPr>
          <w:noProof/>
        </w:rPr>
        <w:tab/>
      </w:r>
      <w:r>
        <w:rPr>
          <w:noProof/>
        </w:rPr>
        <w:fldChar w:fldCharType="begin"/>
      </w:r>
      <w:r>
        <w:rPr>
          <w:noProof/>
        </w:rPr>
        <w:instrText xml:space="preserve"> PAGEREF _Toc8719838 \h </w:instrText>
      </w:r>
      <w:r>
        <w:rPr>
          <w:noProof/>
        </w:rPr>
      </w:r>
      <w:r>
        <w:rPr>
          <w:noProof/>
        </w:rPr>
        <w:fldChar w:fldCharType="separate"/>
      </w:r>
      <w:r w:rsidR="007A39FD">
        <w:rPr>
          <w:noProof/>
        </w:rPr>
        <w:t>12</w:t>
      </w:r>
      <w:r>
        <w:rPr>
          <w:noProof/>
        </w:rPr>
        <w:fldChar w:fldCharType="end"/>
      </w:r>
    </w:p>
    <w:p w14:paraId="1A500E3D" w14:textId="258F7452" w:rsidR="004B1DD5" w:rsidRDefault="004B1DD5">
      <w:pPr>
        <w:pStyle w:val="TOC2"/>
        <w:rPr>
          <w:rFonts w:asciiTheme="minorHAnsi" w:eastAsiaTheme="minorEastAsia" w:hAnsiTheme="minorHAnsi" w:cstheme="minorBidi"/>
          <w:noProof/>
          <w:szCs w:val="22"/>
          <w:lang w:eastAsia="en-NZ"/>
        </w:rPr>
      </w:pPr>
      <w:r>
        <w:rPr>
          <w:noProof/>
        </w:rPr>
        <w:t>Telecommunications services as remote services</w:t>
      </w:r>
      <w:r>
        <w:rPr>
          <w:noProof/>
        </w:rPr>
        <w:tab/>
      </w:r>
      <w:r>
        <w:rPr>
          <w:noProof/>
        </w:rPr>
        <w:fldChar w:fldCharType="begin"/>
      </w:r>
      <w:r>
        <w:rPr>
          <w:noProof/>
        </w:rPr>
        <w:instrText xml:space="preserve"> PAGEREF _Toc8719839 \h </w:instrText>
      </w:r>
      <w:r>
        <w:rPr>
          <w:noProof/>
        </w:rPr>
      </w:r>
      <w:r>
        <w:rPr>
          <w:noProof/>
        </w:rPr>
        <w:fldChar w:fldCharType="separate"/>
      </w:r>
      <w:r w:rsidR="007A39FD">
        <w:rPr>
          <w:noProof/>
        </w:rPr>
        <w:t>12</w:t>
      </w:r>
      <w:r>
        <w:rPr>
          <w:noProof/>
        </w:rPr>
        <w:fldChar w:fldCharType="end"/>
      </w:r>
    </w:p>
    <w:p w14:paraId="0C3EF548" w14:textId="1C07737B" w:rsidR="004B1DD5" w:rsidRDefault="004B1DD5" w:rsidP="004773F6">
      <w:pPr>
        <w:pStyle w:val="TOC3"/>
        <w:ind w:left="2160"/>
        <w:rPr>
          <w:rFonts w:asciiTheme="minorHAnsi" w:eastAsiaTheme="minorEastAsia" w:hAnsiTheme="minorHAnsi" w:cstheme="minorBidi"/>
          <w:noProof/>
          <w:sz w:val="22"/>
          <w:lang w:eastAsia="en-NZ"/>
        </w:rPr>
      </w:pPr>
      <w:r>
        <w:rPr>
          <w:noProof/>
        </w:rPr>
        <w:t>Mobile roaming services</w:t>
      </w:r>
      <w:r>
        <w:rPr>
          <w:noProof/>
        </w:rPr>
        <w:tab/>
      </w:r>
      <w:r>
        <w:rPr>
          <w:noProof/>
        </w:rPr>
        <w:fldChar w:fldCharType="begin"/>
      </w:r>
      <w:r>
        <w:rPr>
          <w:noProof/>
        </w:rPr>
        <w:instrText xml:space="preserve"> PAGEREF _Toc8719840 \h </w:instrText>
      </w:r>
      <w:r>
        <w:rPr>
          <w:noProof/>
        </w:rPr>
      </w:r>
      <w:r>
        <w:rPr>
          <w:noProof/>
        </w:rPr>
        <w:fldChar w:fldCharType="separate"/>
      </w:r>
      <w:r w:rsidR="007A39FD">
        <w:rPr>
          <w:noProof/>
        </w:rPr>
        <w:t>13</w:t>
      </w:r>
      <w:r>
        <w:rPr>
          <w:noProof/>
        </w:rPr>
        <w:fldChar w:fldCharType="end"/>
      </w:r>
    </w:p>
    <w:p w14:paraId="66548AB2" w14:textId="63C9D495" w:rsidR="004B1DD5" w:rsidRDefault="004B1DD5" w:rsidP="004773F6">
      <w:pPr>
        <w:pStyle w:val="TOC3"/>
        <w:ind w:left="2160"/>
        <w:rPr>
          <w:rFonts w:asciiTheme="minorHAnsi" w:eastAsiaTheme="minorEastAsia" w:hAnsiTheme="minorHAnsi" w:cstheme="minorBidi"/>
          <w:noProof/>
          <w:sz w:val="22"/>
          <w:lang w:eastAsia="en-NZ"/>
        </w:rPr>
      </w:pPr>
      <w:r>
        <w:rPr>
          <w:noProof/>
        </w:rPr>
        <w:t>Telecommunications services supplied by residents to non-residents</w:t>
      </w:r>
      <w:r>
        <w:rPr>
          <w:noProof/>
        </w:rPr>
        <w:tab/>
      </w:r>
      <w:r>
        <w:rPr>
          <w:noProof/>
        </w:rPr>
        <w:fldChar w:fldCharType="begin"/>
      </w:r>
      <w:r>
        <w:rPr>
          <w:noProof/>
        </w:rPr>
        <w:instrText xml:space="preserve"> PAGEREF _Toc8719841 \h </w:instrText>
      </w:r>
      <w:r>
        <w:rPr>
          <w:noProof/>
        </w:rPr>
      </w:r>
      <w:r>
        <w:rPr>
          <w:noProof/>
        </w:rPr>
        <w:fldChar w:fldCharType="separate"/>
      </w:r>
      <w:r w:rsidR="007A39FD">
        <w:rPr>
          <w:noProof/>
        </w:rPr>
        <w:t>14</w:t>
      </w:r>
      <w:r>
        <w:rPr>
          <w:noProof/>
        </w:rPr>
        <w:fldChar w:fldCharType="end"/>
      </w:r>
    </w:p>
    <w:p w14:paraId="5459A9B3" w14:textId="37B6BC5A" w:rsidR="004B1DD5" w:rsidRDefault="004B1DD5" w:rsidP="004773F6">
      <w:pPr>
        <w:pStyle w:val="TOC3"/>
        <w:ind w:left="2160"/>
        <w:rPr>
          <w:rFonts w:asciiTheme="minorHAnsi" w:eastAsiaTheme="minorEastAsia" w:hAnsiTheme="minorHAnsi" w:cstheme="minorBidi"/>
          <w:noProof/>
          <w:sz w:val="22"/>
          <w:lang w:eastAsia="en-NZ"/>
        </w:rPr>
      </w:pPr>
      <w:r>
        <w:rPr>
          <w:noProof/>
        </w:rPr>
        <w:t>Local SIM cards, phones and portable mobile routers</w:t>
      </w:r>
      <w:r>
        <w:rPr>
          <w:noProof/>
        </w:rPr>
        <w:tab/>
      </w:r>
      <w:r>
        <w:rPr>
          <w:noProof/>
        </w:rPr>
        <w:fldChar w:fldCharType="begin"/>
      </w:r>
      <w:r>
        <w:rPr>
          <w:noProof/>
        </w:rPr>
        <w:instrText xml:space="preserve"> PAGEREF _Toc8719842 \h </w:instrText>
      </w:r>
      <w:r>
        <w:rPr>
          <w:noProof/>
        </w:rPr>
      </w:r>
      <w:r>
        <w:rPr>
          <w:noProof/>
        </w:rPr>
        <w:fldChar w:fldCharType="separate"/>
      </w:r>
      <w:r w:rsidR="007A39FD">
        <w:rPr>
          <w:noProof/>
        </w:rPr>
        <w:t>14</w:t>
      </w:r>
      <w:r>
        <w:rPr>
          <w:noProof/>
        </w:rPr>
        <w:fldChar w:fldCharType="end"/>
      </w:r>
    </w:p>
    <w:p w14:paraId="0ED02C78" w14:textId="45DF08E9" w:rsidR="004B1DD5" w:rsidRDefault="004B1DD5">
      <w:pPr>
        <w:pStyle w:val="TOC2"/>
        <w:rPr>
          <w:rFonts w:asciiTheme="minorHAnsi" w:eastAsiaTheme="minorEastAsia" w:hAnsiTheme="minorHAnsi" w:cstheme="minorBidi"/>
          <w:noProof/>
          <w:szCs w:val="22"/>
          <w:lang w:eastAsia="en-NZ"/>
        </w:rPr>
      </w:pPr>
      <w:r>
        <w:rPr>
          <w:noProof/>
        </w:rPr>
        <w:t>Business-to-business supplies</w:t>
      </w:r>
      <w:r>
        <w:rPr>
          <w:noProof/>
        </w:rPr>
        <w:tab/>
      </w:r>
      <w:r>
        <w:rPr>
          <w:noProof/>
        </w:rPr>
        <w:fldChar w:fldCharType="begin"/>
      </w:r>
      <w:r>
        <w:rPr>
          <w:noProof/>
        </w:rPr>
        <w:instrText xml:space="preserve"> PAGEREF _Toc8719843 \h </w:instrText>
      </w:r>
      <w:r>
        <w:rPr>
          <w:noProof/>
        </w:rPr>
      </w:r>
      <w:r>
        <w:rPr>
          <w:noProof/>
        </w:rPr>
        <w:fldChar w:fldCharType="separate"/>
      </w:r>
      <w:r w:rsidR="007A39FD">
        <w:rPr>
          <w:noProof/>
        </w:rPr>
        <w:t>15</w:t>
      </w:r>
      <w:r>
        <w:rPr>
          <w:noProof/>
        </w:rPr>
        <w:fldChar w:fldCharType="end"/>
      </w:r>
    </w:p>
    <w:p w14:paraId="6346B568" w14:textId="0E8E6E9F" w:rsidR="004B1DD5" w:rsidRDefault="004B1DD5">
      <w:pPr>
        <w:pStyle w:val="TOC2"/>
        <w:rPr>
          <w:rFonts w:asciiTheme="minorHAnsi" w:eastAsiaTheme="minorEastAsia" w:hAnsiTheme="minorHAnsi" w:cstheme="minorBidi"/>
          <w:noProof/>
          <w:szCs w:val="22"/>
          <w:lang w:eastAsia="en-NZ"/>
        </w:rPr>
      </w:pPr>
      <w:r>
        <w:rPr>
          <w:noProof/>
        </w:rPr>
        <w:t>Definition of telecommunications services</w:t>
      </w:r>
      <w:r>
        <w:rPr>
          <w:noProof/>
        </w:rPr>
        <w:tab/>
      </w:r>
      <w:r>
        <w:rPr>
          <w:noProof/>
        </w:rPr>
        <w:fldChar w:fldCharType="begin"/>
      </w:r>
      <w:r>
        <w:rPr>
          <w:noProof/>
        </w:rPr>
        <w:instrText xml:space="preserve"> PAGEREF _Toc8719844 \h </w:instrText>
      </w:r>
      <w:r>
        <w:rPr>
          <w:noProof/>
        </w:rPr>
      </w:r>
      <w:r>
        <w:rPr>
          <w:noProof/>
        </w:rPr>
        <w:fldChar w:fldCharType="separate"/>
      </w:r>
      <w:r w:rsidR="007A39FD">
        <w:rPr>
          <w:noProof/>
        </w:rPr>
        <w:t>16</w:t>
      </w:r>
      <w:r>
        <w:rPr>
          <w:noProof/>
        </w:rPr>
        <w:fldChar w:fldCharType="end"/>
      </w:r>
    </w:p>
    <w:p w14:paraId="2AAA515E" w14:textId="09B1A75F" w:rsidR="004B1DD5" w:rsidRDefault="004B1DD5">
      <w:pPr>
        <w:pStyle w:val="TOC2"/>
        <w:rPr>
          <w:rFonts w:asciiTheme="minorHAnsi" w:eastAsiaTheme="minorEastAsia" w:hAnsiTheme="minorHAnsi" w:cstheme="minorBidi"/>
          <w:noProof/>
          <w:szCs w:val="22"/>
          <w:lang w:eastAsia="en-NZ"/>
        </w:rPr>
      </w:pPr>
      <w:r>
        <w:rPr>
          <w:noProof/>
        </w:rPr>
        <w:t>Application date</w:t>
      </w:r>
      <w:r>
        <w:rPr>
          <w:noProof/>
        </w:rPr>
        <w:tab/>
      </w:r>
      <w:r>
        <w:rPr>
          <w:noProof/>
        </w:rPr>
        <w:fldChar w:fldCharType="begin"/>
      </w:r>
      <w:r>
        <w:rPr>
          <w:noProof/>
        </w:rPr>
        <w:instrText xml:space="preserve"> PAGEREF _Toc8719845 \h </w:instrText>
      </w:r>
      <w:r>
        <w:rPr>
          <w:noProof/>
        </w:rPr>
      </w:r>
      <w:r>
        <w:rPr>
          <w:noProof/>
        </w:rPr>
        <w:fldChar w:fldCharType="separate"/>
      </w:r>
      <w:r w:rsidR="007A39FD">
        <w:rPr>
          <w:noProof/>
        </w:rPr>
        <w:t>16</w:t>
      </w:r>
      <w:r>
        <w:rPr>
          <w:noProof/>
        </w:rPr>
        <w:fldChar w:fldCharType="end"/>
      </w:r>
    </w:p>
    <w:p w14:paraId="1B2DDEF0" w14:textId="51AFA869" w:rsidR="004B1DD5" w:rsidRDefault="004B1DD5" w:rsidP="004B1DD5">
      <w:pPr>
        <w:pStyle w:val="TOC1"/>
        <w:rPr>
          <w:rFonts w:asciiTheme="minorHAnsi" w:eastAsiaTheme="minorEastAsia" w:hAnsiTheme="minorHAnsi" w:cstheme="minorBidi"/>
          <w:b w:val="0"/>
          <w:noProof/>
          <w:sz w:val="22"/>
          <w:szCs w:val="22"/>
          <w:lang w:eastAsia="en-NZ"/>
        </w:rPr>
      </w:pPr>
      <w:r>
        <w:rPr>
          <w:noProof/>
        </w:rPr>
        <w:t>CHAPTER 4</w:t>
      </w:r>
      <w:r>
        <w:rPr>
          <w:noProof/>
        </w:rPr>
        <w:tab/>
      </w:r>
      <w:r w:rsidRPr="001E20BE">
        <w:rPr>
          <w:noProof/>
        </w:rPr>
        <w:t>Place of supply of specific telecommunications services</w:t>
      </w:r>
      <w:r>
        <w:rPr>
          <w:noProof/>
        </w:rPr>
        <w:tab/>
      </w:r>
      <w:r>
        <w:rPr>
          <w:noProof/>
        </w:rPr>
        <w:fldChar w:fldCharType="begin"/>
      </w:r>
      <w:r>
        <w:rPr>
          <w:noProof/>
        </w:rPr>
        <w:instrText xml:space="preserve"> PAGEREF _Toc8719847 \h </w:instrText>
      </w:r>
      <w:r>
        <w:rPr>
          <w:noProof/>
        </w:rPr>
      </w:r>
      <w:r>
        <w:rPr>
          <w:noProof/>
        </w:rPr>
        <w:fldChar w:fldCharType="separate"/>
      </w:r>
      <w:r w:rsidR="007A39FD">
        <w:rPr>
          <w:noProof/>
        </w:rPr>
        <w:t>17</w:t>
      </w:r>
      <w:r>
        <w:rPr>
          <w:noProof/>
        </w:rPr>
        <w:fldChar w:fldCharType="end"/>
      </w:r>
    </w:p>
    <w:p w14:paraId="49CE4F50" w14:textId="5AE53264" w:rsidR="004B1DD5" w:rsidRDefault="004B1DD5">
      <w:pPr>
        <w:pStyle w:val="TOC2"/>
        <w:rPr>
          <w:rFonts w:asciiTheme="minorHAnsi" w:eastAsiaTheme="minorEastAsia" w:hAnsiTheme="minorHAnsi" w:cstheme="minorBidi"/>
          <w:noProof/>
          <w:szCs w:val="22"/>
          <w:lang w:eastAsia="en-NZ"/>
        </w:rPr>
      </w:pPr>
      <w:r>
        <w:rPr>
          <w:noProof/>
        </w:rPr>
        <w:t>OECD Guidelines</w:t>
      </w:r>
      <w:r>
        <w:rPr>
          <w:noProof/>
        </w:rPr>
        <w:tab/>
      </w:r>
      <w:r>
        <w:rPr>
          <w:noProof/>
        </w:rPr>
        <w:fldChar w:fldCharType="begin"/>
      </w:r>
      <w:r>
        <w:rPr>
          <w:noProof/>
        </w:rPr>
        <w:instrText xml:space="preserve"> PAGEREF _Toc8719848 \h </w:instrText>
      </w:r>
      <w:r>
        <w:rPr>
          <w:noProof/>
        </w:rPr>
      </w:r>
      <w:r>
        <w:rPr>
          <w:noProof/>
        </w:rPr>
        <w:fldChar w:fldCharType="separate"/>
      </w:r>
      <w:r w:rsidR="007A39FD">
        <w:rPr>
          <w:noProof/>
        </w:rPr>
        <w:t>17</w:t>
      </w:r>
      <w:r>
        <w:rPr>
          <w:noProof/>
        </w:rPr>
        <w:fldChar w:fldCharType="end"/>
      </w:r>
    </w:p>
    <w:p w14:paraId="0AC59DC3" w14:textId="7C1C51E3" w:rsidR="004B1DD5" w:rsidRDefault="004B1DD5">
      <w:pPr>
        <w:pStyle w:val="TOC2"/>
        <w:rPr>
          <w:rFonts w:asciiTheme="minorHAnsi" w:eastAsiaTheme="minorEastAsia" w:hAnsiTheme="minorHAnsi" w:cstheme="minorBidi"/>
          <w:noProof/>
          <w:szCs w:val="22"/>
          <w:lang w:eastAsia="en-NZ"/>
        </w:rPr>
      </w:pPr>
      <w:r>
        <w:rPr>
          <w:noProof/>
        </w:rPr>
        <w:t>Supplies received in New Zealand</w:t>
      </w:r>
      <w:r>
        <w:rPr>
          <w:noProof/>
        </w:rPr>
        <w:tab/>
      </w:r>
      <w:r>
        <w:rPr>
          <w:noProof/>
        </w:rPr>
        <w:fldChar w:fldCharType="begin"/>
      </w:r>
      <w:r>
        <w:rPr>
          <w:noProof/>
        </w:rPr>
        <w:instrText xml:space="preserve"> PAGEREF _Toc8719849 \h </w:instrText>
      </w:r>
      <w:r>
        <w:rPr>
          <w:noProof/>
        </w:rPr>
      </w:r>
      <w:r>
        <w:rPr>
          <w:noProof/>
        </w:rPr>
        <w:fldChar w:fldCharType="separate"/>
      </w:r>
      <w:r w:rsidR="007A39FD">
        <w:rPr>
          <w:noProof/>
        </w:rPr>
        <w:t>18</w:t>
      </w:r>
      <w:r>
        <w:rPr>
          <w:noProof/>
        </w:rPr>
        <w:fldChar w:fldCharType="end"/>
      </w:r>
    </w:p>
    <w:p w14:paraId="5A41F251" w14:textId="3E9681F9" w:rsidR="004B1DD5" w:rsidRDefault="004B1DD5">
      <w:pPr>
        <w:pStyle w:val="TOC2"/>
        <w:rPr>
          <w:rFonts w:asciiTheme="minorHAnsi" w:eastAsiaTheme="minorEastAsia" w:hAnsiTheme="minorHAnsi" w:cstheme="minorBidi"/>
          <w:noProof/>
          <w:szCs w:val="22"/>
          <w:lang w:eastAsia="en-NZ"/>
        </w:rPr>
      </w:pPr>
      <w:r>
        <w:rPr>
          <w:noProof/>
        </w:rPr>
        <w:t>Supplies received outside New Zealand</w:t>
      </w:r>
      <w:r>
        <w:rPr>
          <w:noProof/>
        </w:rPr>
        <w:tab/>
      </w:r>
      <w:r>
        <w:rPr>
          <w:noProof/>
        </w:rPr>
        <w:fldChar w:fldCharType="begin"/>
      </w:r>
      <w:r>
        <w:rPr>
          <w:noProof/>
        </w:rPr>
        <w:instrText xml:space="preserve"> PAGEREF _Toc8719850 \h </w:instrText>
      </w:r>
      <w:r>
        <w:rPr>
          <w:noProof/>
        </w:rPr>
      </w:r>
      <w:r>
        <w:rPr>
          <w:noProof/>
        </w:rPr>
        <w:fldChar w:fldCharType="separate"/>
      </w:r>
      <w:r w:rsidR="007A39FD">
        <w:rPr>
          <w:noProof/>
        </w:rPr>
        <w:t>18</w:t>
      </w:r>
      <w:r>
        <w:rPr>
          <w:noProof/>
        </w:rPr>
        <w:fldChar w:fldCharType="end"/>
      </w:r>
    </w:p>
    <w:p w14:paraId="781972F4" w14:textId="2C2852C7" w:rsidR="004B37FB" w:rsidRPr="00673800" w:rsidRDefault="00D10025" w:rsidP="00E253EA">
      <w:pPr>
        <w:jc w:val="center"/>
        <w:rPr>
          <w:b/>
        </w:rPr>
      </w:pPr>
      <w:r w:rsidRPr="00673800">
        <w:rPr>
          <w:rFonts w:ascii="Times New Roman Bold" w:hAnsi="Times New Roman Bold"/>
          <w:sz w:val="22"/>
          <w:szCs w:val="24"/>
        </w:rPr>
        <w:fldChar w:fldCharType="end"/>
      </w:r>
    </w:p>
    <w:p w14:paraId="035BFA79" w14:textId="77777777" w:rsidR="00725975" w:rsidRPr="00673800" w:rsidRDefault="00725975" w:rsidP="00E253EA">
      <w:pPr>
        <w:jc w:val="center"/>
        <w:rPr>
          <w:b/>
        </w:rPr>
        <w:sectPr w:rsidR="00725975" w:rsidRPr="00673800" w:rsidSect="00ED1498">
          <w:footerReference w:type="even" r:id="rId8"/>
          <w:footerReference w:type="default" r:id="rId9"/>
          <w:footerReference w:type="first" r:id="rId10"/>
          <w:pgSz w:w="11906" w:h="16838" w:code="9"/>
          <w:pgMar w:top="1134" w:right="1797" w:bottom="1134" w:left="1797" w:header="709" w:footer="709" w:gutter="0"/>
          <w:cols w:space="708"/>
          <w:titlePg/>
          <w:docGrid w:linePitch="360"/>
        </w:sectPr>
      </w:pPr>
    </w:p>
    <w:p w14:paraId="7AA4A2EF" w14:textId="77777777" w:rsidR="007809E0" w:rsidRPr="00673800" w:rsidRDefault="00CD7C3C" w:rsidP="00D10025">
      <w:pPr>
        <w:pStyle w:val="Chapterheading"/>
      </w:pPr>
      <w:bookmarkStart w:id="1" w:name="_Toc147567992"/>
      <w:bookmarkStart w:id="2" w:name="_Toc512956454"/>
      <w:bookmarkStart w:id="3" w:name="_Toc513030664"/>
      <w:bookmarkStart w:id="4" w:name="_Toc513049663"/>
      <w:bookmarkStart w:id="5" w:name="_Toc513060231"/>
      <w:bookmarkStart w:id="6" w:name="_Toc513105765"/>
      <w:bookmarkStart w:id="7" w:name="_Toc532468269"/>
      <w:bookmarkStart w:id="8" w:name="_Toc532468597"/>
      <w:bookmarkStart w:id="9" w:name="_Toc536625561"/>
      <w:bookmarkStart w:id="10" w:name="_Toc428841"/>
      <w:bookmarkStart w:id="11" w:name="_Toc944334"/>
      <w:bookmarkStart w:id="12" w:name="_Toc966555"/>
      <w:bookmarkStart w:id="13" w:name="_Toc1122095"/>
      <w:bookmarkStart w:id="14" w:name="_Toc3276818"/>
      <w:bookmarkStart w:id="15" w:name="_Toc3284841"/>
      <w:bookmarkStart w:id="16" w:name="_Toc8719820"/>
      <w:r w:rsidRPr="00673800">
        <w:lastRenderedPageBreak/>
        <w:t xml:space="preserve">CHAPTER </w:t>
      </w:r>
      <w:r w:rsidR="00C15285" w:rsidRPr="00673800">
        <w:t>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90BA6C2" w14:textId="77777777" w:rsidR="007809E0" w:rsidRPr="00673800" w:rsidRDefault="007809E0" w:rsidP="00D10025">
      <w:pPr>
        <w:pStyle w:val="Chapterheading"/>
      </w:pPr>
    </w:p>
    <w:p w14:paraId="6F0924BC" w14:textId="77777777" w:rsidR="00EA330F" w:rsidRPr="00673800" w:rsidRDefault="00E71737" w:rsidP="00070294">
      <w:pPr>
        <w:pStyle w:val="Chapterheading"/>
      </w:pPr>
      <w:bookmarkStart w:id="17" w:name="_Toc944335"/>
      <w:bookmarkStart w:id="18" w:name="_Toc2240540"/>
      <w:bookmarkStart w:id="19" w:name="_Toc8719821"/>
      <w:r w:rsidRPr="00673800">
        <w:t>I</w:t>
      </w:r>
      <w:r w:rsidR="00070294" w:rsidRPr="00673800">
        <w:rPr>
          <w:caps w:val="0"/>
        </w:rPr>
        <w:t>ntroduction</w:t>
      </w:r>
      <w:bookmarkEnd w:id="17"/>
      <w:bookmarkEnd w:id="18"/>
      <w:bookmarkEnd w:id="19"/>
    </w:p>
    <w:p w14:paraId="4CD32C58" w14:textId="77777777" w:rsidR="002279C6" w:rsidRPr="00673800" w:rsidRDefault="002279C6" w:rsidP="00070294">
      <w:pPr>
        <w:pStyle w:val="Chapter1"/>
        <w:numPr>
          <w:ilvl w:val="0"/>
          <w:numId w:val="0"/>
        </w:numPr>
        <w:ind w:left="851"/>
      </w:pPr>
    </w:p>
    <w:p w14:paraId="5C59031C" w14:textId="77777777" w:rsidR="002279C6" w:rsidRPr="00673800" w:rsidRDefault="002279C6" w:rsidP="00070294">
      <w:pPr>
        <w:pStyle w:val="Chapter1"/>
        <w:numPr>
          <w:ilvl w:val="0"/>
          <w:numId w:val="0"/>
        </w:numPr>
        <w:ind w:left="851"/>
      </w:pPr>
    </w:p>
    <w:p w14:paraId="5DD92C86" w14:textId="42E24D16" w:rsidR="00707BCB" w:rsidRDefault="00F242C1" w:rsidP="00C83C98">
      <w:pPr>
        <w:pStyle w:val="Chapter1"/>
      </w:pPr>
      <w:r>
        <w:t>The</w:t>
      </w:r>
      <w:r w:rsidR="006B3C5A">
        <w:t xml:space="preserve"> Government has announced </w:t>
      </w:r>
      <w:r w:rsidR="00707BCB">
        <w:t xml:space="preserve">changes to the </w:t>
      </w:r>
      <w:r w:rsidR="00707BCB" w:rsidRPr="00673800">
        <w:t xml:space="preserve">GST treatment of </w:t>
      </w:r>
      <w:r w:rsidR="00707BCB">
        <w:t>telecommunications services</w:t>
      </w:r>
      <w:r w:rsidR="00707BCB" w:rsidRPr="00673800">
        <w:t xml:space="preserve"> that </w:t>
      </w:r>
      <w:r w:rsidR="004C54F1">
        <w:t>are</w:t>
      </w:r>
      <w:r w:rsidR="00707BCB" w:rsidRPr="00673800">
        <w:t xml:space="preserve"> to apply from </w:t>
      </w:r>
      <w:r w:rsidR="00707BCB">
        <w:t>1 October 2020</w:t>
      </w:r>
      <w:r w:rsidR="00C10363">
        <w:t xml:space="preserve">. </w:t>
      </w:r>
      <w:r w:rsidR="00707BCB">
        <w:t>T</w:t>
      </w:r>
      <w:r w:rsidR="00707BCB" w:rsidRPr="00673800">
        <w:t xml:space="preserve">his issues paper </w:t>
      </w:r>
      <w:r w:rsidR="00707BCB">
        <w:t>provides further</w:t>
      </w:r>
      <w:r w:rsidR="00707BCB" w:rsidRPr="00673800">
        <w:t xml:space="preserve"> </w:t>
      </w:r>
      <w:r w:rsidR="00707BCB">
        <w:t xml:space="preserve">details of the announcement, specifically the decision </w:t>
      </w:r>
      <w:r w:rsidR="00C83C98">
        <w:t>to r</w:t>
      </w:r>
      <w:r w:rsidR="00707BCB">
        <w:t>epeal</w:t>
      </w:r>
      <w:r w:rsidR="00AF40C7">
        <w:t xml:space="preserve"> most of th</w:t>
      </w:r>
      <w:r w:rsidR="002E51A3">
        <w:t xml:space="preserve">e </w:t>
      </w:r>
      <w:r w:rsidR="00707BCB">
        <w:t>special rules currently in the Goods and Services Tax Act 1985</w:t>
      </w:r>
      <w:r w:rsidR="002B143E" w:rsidRPr="002B143E">
        <w:t xml:space="preserve"> </w:t>
      </w:r>
      <w:r w:rsidR="002B143E">
        <w:t>for taxing supplies of telecommunications services</w:t>
      </w:r>
      <w:r w:rsidR="00707BCB">
        <w:t>.</w:t>
      </w:r>
    </w:p>
    <w:p w14:paraId="6F8E0B56" w14:textId="77777777" w:rsidR="005B52A7" w:rsidRDefault="005B52A7" w:rsidP="004D46AC">
      <w:pPr>
        <w:pStyle w:val="Chapter1"/>
        <w:numPr>
          <w:ilvl w:val="0"/>
          <w:numId w:val="0"/>
        </w:numPr>
        <w:ind w:left="851"/>
      </w:pPr>
    </w:p>
    <w:p w14:paraId="3755C958" w14:textId="3312D80E" w:rsidR="005B52A7" w:rsidRPr="00673800" w:rsidRDefault="005B52A7" w:rsidP="005B52A7">
      <w:pPr>
        <w:pStyle w:val="Chapter1"/>
      </w:pPr>
      <w:r w:rsidRPr="004D0703">
        <w:t>Under the current special rules for telecommunications services, whether a telecommunication</w:t>
      </w:r>
      <w:r>
        <w:t>s</w:t>
      </w:r>
      <w:r w:rsidRPr="004D0703">
        <w:t xml:space="preserve"> service is subject to New Zealand GST is </w:t>
      </w:r>
      <w:r>
        <w:t xml:space="preserve">generally </w:t>
      </w:r>
      <w:r w:rsidRPr="004D0703">
        <w:t xml:space="preserve">based on the </w:t>
      </w:r>
      <w:r w:rsidRPr="004D46AC">
        <w:rPr>
          <w:i/>
        </w:rPr>
        <w:t>physical location</w:t>
      </w:r>
      <w:r w:rsidRPr="004D0703">
        <w:t xml:space="preserve"> of the consumer at the time that service is initiated. </w:t>
      </w:r>
      <w:r w:rsidR="00AF40C7">
        <w:t>This approach is out of date and inconsistent</w:t>
      </w:r>
      <w:r w:rsidR="00A1172E">
        <w:t xml:space="preserve"> with </w:t>
      </w:r>
      <w:r w:rsidRPr="004D0703">
        <w:t xml:space="preserve">international best practice (based on guidelines developed by the OECD) which applies GST to these types of services based on the consumer’s </w:t>
      </w:r>
      <w:r w:rsidRPr="004D46AC">
        <w:rPr>
          <w:i/>
        </w:rPr>
        <w:t>usual place of residence</w:t>
      </w:r>
      <w:r w:rsidRPr="004D0703">
        <w:t xml:space="preserve">. </w:t>
      </w:r>
      <w:r w:rsidR="00AF40C7" w:rsidRPr="004D46AC">
        <w:t xml:space="preserve">In light of New Zealand’s new GST rules for taxing supplies of remote services, which are based on the residency of the customer, </w:t>
      </w:r>
      <w:r w:rsidR="00AF40C7">
        <w:t>w</w:t>
      </w:r>
      <w:r w:rsidR="004D46AC" w:rsidRPr="004D46AC">
        <w:t>e consider that a better approach would be to align the GST treatment of telecommunications services with our rules for remote services.</w:t>
      </w:r>
    </w:p>
    <w:p w14:paraId="711A0C68" w14:textId="77777777" w:rsidR="00C83C98" w:rsidRDefault="00C83C98" w:rsidP="00C83C98">
      <w:pPr>
        <w:pStyle w:val="Chapter1"/>
        <w:numPr>
          <w:ilvl w:val="0"/>
          <w:numId w:val="0"/>
        </w:numPr>
        <w:ind w:left="851"/>
      </w:pPr>
    </w:p>
    <w:p w14:paraId="0F5AF103" w14:textId="77AF9747" w:rsidR="00C77C40" w:rsidRDefault="003B6144" w:rsidP="00313EBC">
      <w:pPr>
        <w:pStyle w:val="Chapter1"/>
      </w:pPr>
      <w:r>
        <w:t>Remote services, such as digital downloads and online services, are services which have no necessary connection between the place</w:t>
      </w:r>
      <w:r w:rsidR="00F57D3B">
        <w:t xml:space="preserve"> where</w:t>
      </w:r>
      <w:r>
        <w:t xml:space="preserve"> </w:t>
      </w:r>
      <w:r w:rsidR="005A16C9">
        <w:t xml:space="preserve">the services are </w:t>
      </w:r>
      <w:r>
        <w:t>perform</w:t>
      </w:r>
      <w:r w:rsidR="005A16C9">
        <w:t>ed</w:t>
      </w:r>
      <w:r>
        <w:t xml:space="preserve"> and the location of the recipient of the services. The GST treatment of </w:t>
      </w:r>
      <w:r w:rsidR="00F57D3B">
        <w:t xml:space="preserve">a </w:t>
      </w:r>
      <w:r>
        <w:t>remote service</w:t>
      </w:r>
      <w:r w:rsidR="00F57D3B">
        <w:t xml:space="preserve"> is</w:t>
      </w:r>
      <w:r>
        <w:t xml:space="preserve"> generally determined by the residency of the consumer.</w:t>
      </w:r>
    </w:p>
    <w:p w14:paraId="2EDCC40D" w14:textId="77777777" w:rsidR="00C77C40" w:rsidRDefault="00C77C40" w:rsidP="00BD0CEB">
      <w:pPr>
        <w:pStyle w:val="Chapter1"/>
        <w:numPr>
          <w:ilvl w:val="0"/>
          <w:numId w:val="0"/>
        </w:numPr>
        <w:ind w:left="851"/>
      </w:pPr>
    </w:p>
    <w:p w14:paraId="6659F6E5" w14:textId="64131E1B" w:rsidR="003B6144" w:rsidRDefault="00606C02" w:rsidP="00313EBC">
      <w:pPr>
        <w:pStyle w:val="Chapter1"/>
      </w:pPr>
      <w:r>
        <w:t>Aligning the treatment of most telecommunications services with the treatment of remote services</w:t>
      </w:r>
      <w:r w:rsidR="00BD783E">
        <w:t xml:space="preserve"> would result in </w:t>
      </w:r>
      <w:r w:rsidR="00EB632F">
        <w:t xml:space="preserve">outbound </w:t>
      </w:r>
      <w:r w:rsidR="00C77C40">
        <w:t xml:space="preserve">mobile roaming services received by </w:t>
      </w:r>
      <w:r w:rsidR="00EB632F">
        <w:t>New Zealand residents overseas being subject to GST at the standard rate of 15</w:t>
      </w:r>
      <w:r w:rsidR="00C10363">
        <w:t>%</w:t>
      </w:r>
      <w:r w:rsidR="00EB632F">
        <w:t>. However, inbound mobile roaming services received by non-residents whil</w:t>
      </w:r>
      <w:r w:rsidR="009B4F56">
        <w:t>e</w:t>
      </w:r>
      <w:r w:rsidR="00EB632F">
        <w:t xml:space="preserve"> in New Zealand would no</w:t>
      </w:r>
      <w:r w:rsidR="00F57D3B">
        <w:t xml:space="preserve">t </w:t>
      </w:r>
      <w:r w:rsidR="00EB632F">
        <w:t>be</w:t>
      </w:r>
      <w:r w:rsidR="005B52A7">
        <w:t xml:space="preserve"> </w:t>
      </w:r>
      <w:r w:rsidR="00EB632F">
        <w:t>subject to GST.</w:t>
      </w:r>
      <w:r w:rsidR="00EB632F" w:rsidRPr="006C78C1">
        <w:rPr>
          <w:rStyle w:val="FootnoteReference"/>
          <w:sz w:val="24"/>
          <w:szCs w:val="24"/>
        </w:rPr>
        <w:footnoteReference w:id="1"/>
      </w:r>
    </w:p>
    <w:p w14:paraId="246196AB" w14:textId="77777777" w:rsidR="003B6144" w:rsidRDefault="003B6144" w:rsidP="00BD0CEB">
      <w:pPr>
        <w:pStyle w:val="Chapter1"/>
        <w:numPr>
          <w:ilvl w:val="0"/>
          <w:numId w:val="0"/>
        </w:numPr>
        <w:ind w:left="851"/>
      </w:pPr>
    </w:p>
    <w:p w14:paraId="4EDDF20A" w14:textId="77777777" w:rsidR="004534F5" w:rsidRDefault="003B6144" w:rsidP="00313EBC">
      <w:pPr>
        <w:pStyle w:val="Chapter1"/>
      </w:pPr>
      <w:r>
        <w:t xml:space="preserve">However, </w:t>
      </w:r>
      <w:r w:rsidR="00EB632F">
        <w:t xml:space="preserve">treating telecommunications services as remote services would, in some cases, </w:t>
      </w:r>
      <w:r w:rsidR="004534F5">
        <w:t xml:space="preserve">not </w:t>
      </w:r>
      <w:r w:rsidR="00EB632F">
        <w:t>result in</w:t>
      </w:r>
      <w:r w:rsidR="004534F5">
        <w:t xml:space="preserve"> appropriate outcomes. Some telecommunications services require the recipient of the services to be in a specific location to receive the services. For example, a person making a call from a phone booth needs to be at the phone booth to receive the telecommunications services. For these types of telecommunications services, the location of the consumer of the services is a more appropriate proxy than the consumer’s residency for determining the place of consumption. We therefore propose that the GST treatment of this type of telecommunications services be determined by the location of the recipient of the services.</w:t>
      </w:r>
    </w:p>
    <w:p w14:paraId="339B5442" w14:textId="77777777" w:rsidR="00313EBC" w:rsidRPr="00673800" w:rsidRDefault="00313EBC" w:rsidP="00313EBC">
      <w:pPr>
        <w:pStyle w:val="Chapter1"/>
        <w:numPr>
          <w:ilvl w:val="0"/>
          <w:numId w:val="0"/>
        </w:numPr>
        <w:ind w:left="851"/>
      </w:pPr>
    </w:p>
    <w:p w14:paraId="68FC2DA8" w14:textId="77777777" w:rsidR="003A25DB" w:rsidRDefault="003A25DB">
      <w:pPr>
        <w:jc w:val="left"/>
        <w:rPr>
          <w:b/>
        </w:rPr>
      </w:pPr>
      <w:r>
        <w:rPr>
          <w:b/>
        </w:rPr>
        <w:br w:type="page"/>
      </w:r>
    </w:p>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7877"/>
      </w:tblGrid>
      <w:tr w:rsidR="0009028A" w:rsidRPr="00673800" w14:paraId="15361737" w14:textId="77777777" w:rsidTr="0009028A">
        <w:tc>
          <w:tcPr>
            <w:tcW w:w="7877" w:type="dxa"/>
          </w:tcPr>
          <w:p w14:paraId="2D708363" w14:textId="77777777" w:rsidR="0009028A" w:rsidRPr="0009028A" w:rsidRDefault="0009028A" w:rsidP="00612EC2">
            <w:pPr>
              <w:ind w:left="284" w:hanging="284"/>
              <w:rPr>
                <w:b/>
              </w:rPr>
            </w:pPr>
            <w:bookmarkStart w:id="20" w:name="_Hlk8719742"/>
            <w:r w:rsidRPr="0009028A">
              <w:rPr>
                <w:b/>
              </w:rPr>
              <w:lastRenderedPageBreak/>
              <w:t>Summary of proposed changes</w:t>
            </w:r>
          </w:p>
          <w:p w14:paraId="506D4262" w14:textId="77777777" w:rsidR="0009028A" w:rsidRDefault="0009028A" w:rsidP="00612EC2">
            <w:pPr>
              <w:ind w:left="284" w:hanging="284"/>
            </w:pPr>
          </w:p>
          <w:p w14:paraId="0A988624" w14:textId="77777777" w:rsidR="0009028A" w:rsidRDefault="0009028A" w:rsidP="00612EC2">
            <w:pPr>
              <w:ind w:left="284" w:hanging="284"/>
            </w:pPr>
            <w:r>
              <w:t>It is proposed that:</w:t>
            </w:r>
          </w:p>
          <w:p w14:paraId="185ED312" w14:textId="77777777" w:rsidR="0009028A" w:rsidRDefault="0009028A" w:rsidP="00612EC2">
            <w:pPr>
              <w:ind w:left="284" w:hanging="284"/>
            </w:pPr>
          </w:p>
          <w:p w14:paraId="08D411AA" w14:textId="4FAD4BC9" w:rsidR="0009028A" w:rsidRPr="00673800" w:rsidRDefault="00A6202E" w:rsidP="00612EC2">
            <w:pPr>
              <w:pStyle w:val="Bullets"/>
              <w:tabs>
                <w:tab w:val="clear" w:pos="567"/>
                <w:tab w:val="clear" w:pos="1418"/>
                <w:tab w:val="left" w:pos="568"/>
              </w:tabs>
              <w:ind w:left="568" w:hanging="568"/>
            </w:pPr>
            <w:r>
              <w:t>Most of t</w:t>
            </w:r>
            <w:r w:rsidR="0009028A">
              <w:t xml:space="preserve">he special rules in the </w:t>
            </w:r>
            <w:r w:rsidR="003345FE">
              <w:t>Goods and Services Tax Act 1985</w:t>
            </w:r>
            <w:r w:rsidR="0009028A">
              <w:t xml:space="preserve"> for supplies of telecommunications services be repealed.</w:t>
            </w:r>
          </w:p>
          <w:p w14:paraId="4AB65C1B" w14:textId="77777777" w:rsidR="0009028A" w:rsidRPr="00673800" w:rsidRDefault="0009028A" w:rsidP="00612EC2">
            <w:pPr>
              <w:pStyle w:val="Bullets"/>
              <w:tabs>
                <w:tab w:val="clear" w:pos="567"/>
                <w:tab w:val="clear" w:pos="1418"/>
                <w:tab w:val="left" w:pos="568"/>
              </w:tabs>
              <w:ind w:left="568" w:hanging="568"/>
            </w:pPr>
            <w:r>
              <w:t>The GST treatment of most telecommunications services be aligned with the treatment of other remote services and determined based on the residency of the consumer</w:t>
            </w:r>
            <w:r w:rsidRPr="00673800">
              <w:t>.</w:t>
            </w:r>
          </w:p>
          <w:p w14:paraId="50F85E3C" w14:textId="77777777" w:rsidR="0009028A" w:rsidRDefault="0009028A" w:rsidP="00612EC2">
            <w:pPr>
              <w:pStyle w:val="Bullets"/>
              <w:tabs>
                <w:tab w:val="clear" w:pos="567"/>
                <w:tab w:val="clear" w:pos="1418"/>
                <w:tab w:val="left" w:pos="568"/>
              </w:tabs>
              <w:ind w:left="568" w:hanging="568"/>
            </w:pPr>
            <w:r>
              <w:t>However, the GST treatment of some specific telecommunications services will be determined by the physical location of the recipient rather than their residency, if to receive the services, the recipient needs to be at a specific location.</w:t>
            </w:r>
          </w:p>
          <w:p w14:paraId="6344093F" w14:textId="77777777" w:rsidR="0009028A" w:rsidRDefault="0009028A" w:rsidP="0009028A">
            <w:pPr>
              <w:pStyle w:val="Bullets"/>
              <w:numPr>
                <w:ilvl w:val="0"/>
                <w:numId w:val="0"/>
              </w:numPr>
              <w:tabs>
                <w:tab w:val="clear" w:pos="1418"/>
              </w:tabs>
            </w:pPr>
            <w:r>
              <w:t>The proposed changes are not intended to change the GST treatment of most telecommunications services. However, the proposed changes would mean that:</w:t>
            </w:r>
          </w:p>
          <w:p w14:paraId="4423B3D7" w14:textId="77777777" w:rsidR="0009028A" w:rsidRDefault="0009028A" w:rsidP="00612EC2">
            <w:pPr>
              <w:pStyle w:val="Bullets"/>
              <w:tabs>
                <w:tab w:val="clear" w:pos="567"/>
                <w:tab w:val="clear" w:pos="1418"/>
                <w:tab w:val="left" w:pos="568"/>
              </w:tabs>
              <w:ind w:left="568" w:hanging="568"/>
            </w:pPr>
            <w:r>
              <w:t>Outbound mobile roaming services received by New Zealand residents overseas would be subject to GST at the standard rate of 15%; and</w:t>
            </w:r>
          </w:p>
          <w:p w14:paraId="28B725E9" w14:textId="77777777" w:rsidR="0009028A" w:rsidRPr="00673800" w:rsidRDefault="0009028A" w:rsidP="006C78C1">
            <w:pPr>
              <w:pStyle w:val="Bullets"/>
              <w:tabs>
                <w:tab w:val="clear" w:pos="567"/>
                <w:tab w:val="clear" w:pos="1418"/>
                <w:tab w:val="left" w:pos="568"/>
              </w:tabs>
              <w:spacing w:after="0"/>
              <w:ind w:left="567"/>
            </w:pPr>
            <w:r>
              <w:t>Inbound mobile roaming services received by non-residents in New Zealand would no longer be technically subject to GST.</w:t>
            </w:r>
          </w:p>
        </w:tc>
      </w:tr>
      <w:bookmarkEnd w:id="20"/>
    </w:tbl>
    <w:p w14:paraId="57255BF7" w14:textId="77777777" w:rsidR="0009028A" w:rsidRDefault="0009028A" w:rsidP="00BD0CEB">
      <w:pPr>
        <w:pStyle w:val="Chapter1"/>
        <w:numPr>
          <w:ilvl w:val="0"/>
          <w:numId w:val="0"/>
        </w:numPr>
        <w:ind w:left="851"/>
      </w:pPr>
    </w:p>
    <w:p w14:paraId="27CD623C" w14:textId="77777777" w:rsidR="005D3B9B" w:rsidRPr="00673800" w:rsidRDefault="005D3B9B" w:rsidP="00394D52">
      <w:pPr>
        <w:pStyle w:val="Chapter1"/>
        <w:numPr>
          <w:ilvl w:val="0"/>
          <w:numId w:val="0"/>
        </w:numPr>
        <w:ind w:left="851"/>
      </w:pPr>
    </w:p>
    <w:p w14:paraId="0D3E5817" w14:textId="77777777" w:rsidR="005B7A0B" w:rsidRPr="00673800" w:rsidRDefault="005B7A0B" w:rsidP="00451F21">
      <w:pPr>
        <w:pStyle w:val="Heading1"/>
      </w:pPr>
      <w:bookmarkStart w:id="21" w:name="_Toc8719822"/>
      <w:r w:rsidRPr="00673800">
        <w:t>How to make a submission</w:t>
      </w:r>
      <w:bookmarkEnd w:id="21"/>
    </w:p>
    <w:p w14:paraId="2BC617FD" w14:textId="77777777" w:rsidR="00373F5D" w:rsidRPr="00673800" w:rsidRDefault="00373F5D" w:rsidP="00070294">
      <w:pPr>
        <w:pStyle w:val="Chapter1"/>
        <w:numPr>
          <w:ilvl w:val="0"/>
          <w:numId w:val="0"/>
        </w:numPr>
        <w:ind w:left="851"/>
      </w:pPr>
    </w:p>
    <w:p w14:paraId="69931023" w14:textId="77777777" w:rsidR="00ED1498" w:rsidRPr="00673800" w:rsidRDefault="00671017" w:rsidP="00070294">
      <w:pPr>
        <w:pStyle w:val="Chapter1"/>
      </w:pPr>
      <w:r w:rsidRPr="00673800">
        <w:t xml:space="preserve">Officials invite submissions on the </w:t>
      </w:r>
      <w:r w:rsidR="00BC773C">
        <w:t>proposed</w:t>
      </w:r>
      <w:r w:rsidR="00BC773C" w:rsidRPr="00673800">
        <w:t xml:space="preserve"> </w:t>
      </w:r>
      <w:r w:rsidRPr="00673800">
        <w:t>changes and points raised in this issues paper.</w:t>
      </w:r>
    </w:p>
    <w:p w14:paraId="49DEF6A4" w14:textId="77777777" w:rsidR="00ED1498" w:rsidRPr="00673800" w:rsidRDefault="00ED1498" w:rsidP="00ED1498">
      <w:pPr>
        <w:pStyle w:val="Chapter1"/>
        <w:numPr>
          <w:ilvl w:val="0"/>
          <w:numId w:val="0"/>
        </w:numPr>
        <w:ind w:left="851"/>
      </w:pPr>
    </w:p>
    <w:p w14:paraId="09A8C8F3" w14:textId="77777777" w:rsidR="00671017" w:rsidRPr="00673800" w:rsidRDefault="00671017" w:rsidP="00070294">
      <w:pPr>
        <w:pStyle w:val="Chapter1"/>
      </w:pPr>
      <w:r w:rsidRPr="00673800">
        <w:t xml:space="preserve">Send your submission to policy.webmaster@ird.govt.nz with “GST on </w:t>
      </w:r>
      <w:r w:rsidR="007D538F">
        <w:t>telecommunications services</w:t>
      </w:r>
      <w:r w:rsidR="00070294" w:rsidRPr="00673800">
        <w:t>” in the subject line.</w:t>
      </w:r>
    </w:p>
    <w:p w14:paraId="2B31BDD0" w14:textId="77777777" w:rsidR="005B7A0B" w:rsidRPr="00673800" w:rsidRDefault="005B7A0B" w:rsidP="005B7A0B">
      <w:pPr>
        <w:pStyle w:val="Chapter1"/>
        <w:numPr>
          <w:ilvl w:val="0"/>
          <w:numId w:val="0"/>
        </w:numPr>
        <w:ind w:left="851"/>
        <w:rPr>
          <w:szCs w:val="24"/>
        </w:rPr>
      </w:pPr>
    </w:p>
    <w:p w14:paraId="2E4B9C7F" w14:textId="77777777" w:rsidR="00671017" w:rsidRPr="00673800" w:rsidRDefault="00671017" w:rsidP="00070294">
      <w:pPr>
        <w:pStyle w:val="Chapter1"/>
      </w:pPr>
      <w:r w:rsidRPr="00673800">
        <w:t>Alternative</w:t>
      </w:r>
      <w:r w:rsidR="00070294" w:rsidRPr="00673800">
        <w:t xml:space="preserve">ly, </w:t>
      </w:r>
      <w:r w:rsidR="00ED1498" w:rsidRPr="00673800">
        <w:t>send your s</w:t>
      </w:r>
      <w:r w:rsidR="00070294" w:rsidRPr="00673800">
        <w:t>ubmission to:</w:t>
      </w:r>
    </w:p>
    <w:p w14:paraId="25BF7600" w14:textId="77777777" w:rsidR="00070294" w:rsidRPr="00673800" w:rsidRDefault="00070294" w:rsidP="00070294">
      <w:pPr>
        <w:pStyle w:val="Chapter1"/>
        <w:numPr>
          <w:ilvl w:val="0"/>
          <w:numId w:val="0"/>
        </w:numPr>
        <w:ind w:left="851"/>
      </w:pPr>
    </w:p>
    <w:p w14:paraId="3D1EAAE0" w14:textId="77777777" w:rsidR="007D538F" w:rsidRDefault="007D538F" w:rsidP="00070294">
      <w:pPr>
        <w:pStyle w:val="Chapter1"/>
        <w:numPr>
          <w:ilvl w:val="0"/>
          <w:numId w:val="0"/>
        </w:numPr>
        <w:ind w:left="851"/>
      </w:pPr>
      <w:r w:rsidRPr="00673800">
        <w:t xml:space="preserve">GST on </w:t>
      </w:r>
      <w:r>
        <w:t>telecommunications services</w:t>
      </w:r>
    </w:p>
    <w:p w14:paraId="5C8E3B26" w14:textId="77777777" w:rsidR="00671017" w:rsidRPr="00673800" w:rsidRDefault="00671017" w:rsidP="00070294">
      <w:pPr>
        <w:pStyle w:val="Chapter1"/>
        <w:numPr>
          <w:ilvl w:val="0"/>
          <w:numId w:val="0"/>
        </w:numPr>
        <w:ind w:left="851"/>
      </w:pPr>
      <w:r w:rsidRPr="00673800">
        <w:t>C/- Deputy Co</w:t>
      </w:r>
      <w:r w:rsidR="00070294" w:rsidRPr="00673800">
        <w:t>mmissioner, Policy and Strategy</w:t>
      </w:r>
    </w:p>
    <w:p w14:paraId="57801099" w14:textId="77777777" w:rsidR="00671017" w:rsidRPr="00673800" w:rsidRDefault="00070294" w:rsidP="00070294">
      <w:pPr>
        <w:pStyle w:val="Chapter1"/>
        <w:numPr>
          <w:ilvl w:val="0"/>
          <w:numId w:val="0"/>
        </w:numPr>
        <w:ind w:left="851"/>
      </w:pPr>
      <w:r w:rsidRPr="00673800">
        <w:t>Inland Revenue Department</w:t>
      </w:r>
    </w:p>
    <w:p w14:paraId="670997B8" w14:textId="77777777" w:rsidR="00671017" w:rsidRPr="00673800" w:rsidRDefault="00070294" w:rsidP="00070294">
      <w:pPr>
        <w:pStyle w:val="Chapter1"/>
        <w:numPr>
          <w:ilvl w:val="0"/>
          <w:numId w:val="0"/>
        </w:numPr>
        <w:ind w:left="851"/>
      </w:pPr>
      <w:r w:rsidRPr="00673800">
        <w:t>PO Box 2198</w:t>
      </w:r>
    </w:p>
    <w:p w14:paraId="760E5B63" w14:textId="77777777" w:rsidR="00671017" w:rsidRPr="00673800" w:rsidRDefault="00070294" w:rsidP="00070294">
      <w:pPr>
        <w:pStyle w:val="Chapter1"/>
        <w:numPr>
          <w:ilvl w:val="0"/>
          <w:numId w:val="0"/>
        </w:numPr>
        <w:ind w:left="851"/>
      </w:pPr>
      <w:r w:rsidRPr="00673800">
        <w:t>Wellington 6140</w:t>
      </w:r>
    </w:p>
    <w:p w14:paraId="1FD4D43C" w14:textId="77777777" w:rsidR="005B7A0B" w:rsidRPr="00673800" w:rsidRDefault="005B7A0B" w:rsidP="00070294">
      <w:pPr>
        <w:pStyle w:val="Chapter1"/>
        <w:numPr>
          <w:ilvl w:val="0"/>
          <w:numId w:val="0"/>
        </w:numPr>
        <w:ind w:left="851"/>
      </w:pPr>
    </w:p>
    <w:p w14:paraId="42DED198" w14:textId="0B0D209D" w:rsidR="00671017" w:rsidRPr="00673800" w:rsidRDefault="00671017" w:rsidP="00E3517F">
      <w:pPr>
        <w:pStyle w:val="Chapter1"/>
        <w:rPr>
          <w:szCs w:val="24"/>
        </w:rPr>
      </w:pPr>
      <w:r w:rsidRPr="00673800">
        <w:rPr>
          <w:szCs w:val="24"/>
        </w:rPr>
        <w:t xml:space="preserve">The closing date for submissions is </w:t>
      </w:r>
      <w:r w:rsidR="007D60CF" w:rsidRPr="002E51A3">
        <w:rPr>
          <w:b/>
          <w:bCs/>
          <w:szCs w:val="24"/>
        </w:rPr>
        <w:t>28 June</w:t>
      </w:r>
      <w:r w:rsidR="007D538F">
        <w:rPr>
          <w:b/>
          <w:bCs/>
          <w:szCs w:val="24"/>
        </w:rPr>
        <w:t xml:space="preserve"> 2019</w:t>
      </w:r>
      <w:r w:rsidR="00070294" w:rsidRPr="00673800">
        <w:rPr>
          <w:szCs w:val="24"/>
        </w:rPr>
        <w:t>.</w:t>
      </w:r>
    </w:p>
    <w:p w14:paraId="791B9F37" w14:textId="77777777" w:rsidR="00671017" w:rsidRPr="00673800" w:rsidRDefault="00671017" w:rsidP="00BD0CEB">
      <w:pPr>
        <w:pStyle w:val="Chapter1"/>
        <w:numPr>
          <w:ilvl w:val="0"/>
          <w:numId w:val="0"/>
        </w:numPr>
        <w:ind w:left="851"/>
      </w:pPr>
    </w:p>
    <w:p w14:paraId="33B7E982" w14:textId="77777777" w:rsidR="00671017" w:rsidRPr="00673800" w:rsidRDefault="00671017" w:rsidP="00070294">
      <w:pPr>
        <w:pStyle w:val="Chapter1"/>
      </w:pPr>
      <w:r w:rsidRPr="00673800">
        <w:t xml:space="preserve">Submissions should include a brief summary of major points and recommendations. They should also indicate whether it </w:t>
      </w:r>
      <w:r w:rsidR="00BE117C">
        <w:t>is</w:t>
      </w:r>
      <w:r w:rsidRPr="00673800">
        <w:t xml:space="preserve"> acceptable for Inland Revenue and Treasury officials to contact </w:t>
      </w:r>
      <w:r w:rsidR="00BE117C">
        <w:t>submitters</w:t>
      </w:r>
      <w:r w:rsidRPr="00673800">
        <w:t xml:space="preserve"> to discuss the points raised, if requ</w:t>
      </w:r>
      <w:r w:rsidR="00070294" w:rsidRPr="00673800">
        <w:t>ired.</w:t>
      </w:r>
    </w:p>
    <w:p w14:paraId="3185E2B0" w14:textId="77777777" w:rsidR="00671017" w:rsidRPr="00673800" w:rsidRDefault="00671017" w:rsidP="00070294">
      <w:pPr>
        <w:pStyle w:val="Chapter1"/>
        <w:numPr>
          <w:ilvl w:val="0"/>
          <w:numId w:val="0"/>
        </w:numPr>
        <w:ind w:left="851"/>
      </w:pPr>
    </w:p>
    <w:p w14:paraId="78565832" w14:textId="77777777" w:rsidR="00671017" w:rsidRPr="00673800" w:rsidRDefault="00671017" w:rsidP="00070294">
      <w:pPr>
        <w:pStyle w:val="Chapter1"/>
      </w:pPr>
      <w:r w:rsidRPr="00673800">
        <w:lastRenderedPageBreak/>
        <w:t>Submissions may be the subject of a request under the Official Information Act 1982, which may result in their release.</w:t>
      </w:r>
      <w:r w:rsidR="000D6AAE" w:rsidRPr="00673800">
        <w:t xml:space="preserve"> </w:t>
      </w:r>
      <w:r w:rsidRPr="00673800">
        <w:t xml:space="preserve">The withholding of particular submissions, or parts </w:t>
      </w:r>
      <w:r w:rsidR="00BE117C">
        <w:t>of submissions</w:t>
      </w:r>
      <w:r w:rsidRPr="00673800">
        <w:t>, on the grounds of privacy, or commercial sensitivity, or for any other reason, will be determined in accordance with that Act</w:t>
      </w:r>
      <w:r w:rsidR="00C10363">
        <w:t xml:space="preserve">. </w:t>
      </w:r>
      <w:r w:rsidRPr="00673800">
        <w:t>Those making a submission who consider that there is any part of it that should properly be withheld under the Ac</w:t>
      </w:r>
      <w:r w:rsidR="00070294" w:rsidRPr="00673800">
        <w:t>t should clearly indicate this.</w:t>
      </w:r>
    </w:p>
    <w:p w14:paraId="23826356" w14:textId="77777777" w:rsidR="00373F5D" w:rsidRPr="00673800" w:rsidRDefault="00373F5D" w:rsidP="00070294">
      <w:pPr>
        <w:pStyle w:val="Chapter1"/>
        <w:numPr>
          <w:ilvl w:val="0"/>
          <w:numId w:val="0"/>
        </w:numPr>
        <w:ind w:left="851"/>
      </w:pPr>
    </w:p>
    <w:p w14:paraId="5C29A6BE" w14:textId="77777777" w:rsidR="00CE7EF4" w:rsidRDefault="00CE7EF4" w:rsidP="00D10025">
      <w:pPr>
        <w:pStyle w:val="Chapterheading"/>
        <w:sectPr w:rsidR="00CE7EF4" w:rsidSect="006B7BF9">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134" w:right="1797" w:bottom="1134" w:left="1797" w:header="709" w:footer="425" w:gutter="0"/>
          <w:pgNumType w:start="1"/>
          <w:cols w:space="708"/>
          <w:titlePg/>
          <w:docGrid w:linePitch="360"/>
        </w:sectPr>
      </w:pPr>
    </w:p>
    <w:p w14:paraId="44EEB252" w14:textId="77777777" w:rsidR="00373F5D" w:rsidRPr="00673800" w:rsidRDefault="001005B7" w:rsidP="00D10025">
      <w:pPr>
        <w:pStyle w:val="Chapterheading"/>
      </w:pPr>
      <w:bookmarkStart w:id="22" w:name="_Toc147567996"/>
      <w:bookmarkStart w:id="23" w:name="_Toc512956457"/>
      <w:bookmarkStart w:id="24" w:name="_Toc513030667"/>
      <w:bookmarkStart w:id="25" w:name="_Toc513049666"/>
      <w:bookmarkStart w:id="26" w:name="_Toc513060234"/>
      <w:bookmarkStart w:id="27" w:name="_Toc513105768"/>
      <w:bookmarkStart w:id="28" w:name="_Toc532468272"/>
      <w:bookmarkStart w:id="29" w:name="_Toc532468600"/>
      <w:bookmarkStart w:id="30" w:name="_Toc536625564"/>
      <w:bookmarkStart w:id="31" w:name="_Toc428844"/>
      <w:bookmarkStart w:id="32" w:name="_Toc944337"/>
      <w:bookmarkStart w:id="33" w:name="_Toc966558"/>
      <w:bookmarkStart w:id="34" w:name="_Toc1122098"/>
      <w:bookmarkStart w:id="35" w:name="_Toc2240542"/>
      <w:bookmarkStart w:id="36" w:name="_Toc3276821"/>
      <w:bookmarkStart w:id="37" w:name="_Toc3284844"/>
      <w:bookmarkStart w:id="38" w:name="_Toc8719823"/>
      <w:r w:rsidRPr="00673800">
        <w:lastRenderedPageBreak/>
        <w:t xml:space="preserve">CHAPTER </w:t>
      </w:r>
      <w:r w:rsidR="00373F5D" w:rsidRPr="00673800">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43BD1D4" w14:textId="77777777" w:rsidR="00373F5D" w:rsidRPr="00673800" w:rsidRDefault="00373F5D" w:rsidP="00D10025">
      <w:pPr>
        <w:pStyle w:val="Chapterheading"/>
      </w:pPr>
    </w:p>
    <w:p w14:paraId="55ED63EB" w14:textId="77777777" w:rsidR="00373F5D" w:rsidRPr="00673800" w:rsidRDefault="00651A17" w:rsidP="00D10025">
      <w:pPr>
        <w:pStyle w:val="Chapterheading"/>
      </w:pPr>
      <w:bookmarkStart w:id="39" w:name="_Toc8719824"/>
      <w:r w:rsidRPr="00673800">
        <w:rPr>
          <w:caps w:val="0"/>
        </w:rPr>
        <w:t>Background</w:t>
      </w:r>
      <w:bookmarkEnd w:id="39"/>
    </w:p>
    <w:p w14:paraId="0F1F072A" w14:textId="77777777" w:rsidR="00373F5D" w:rsidRPr="00673800" w:rsidRDefault="00373F5D" w:rsidP="00070294">
      <w:pPr>
        <w:pStyle w:val="Chapter2"/>
        <w:numPr>
          <w:ilvl w:val="0"/>
          <w:numId w:val="0"/>
        </w:numPr>
        <w:ind w:left="851"/>
      </w:pPr>
    </w:p>
    <w:p w14:paraId="3462931A" w14:textId="77777777" w:rsidR="00873DBE" w:rsidRPr="00673800" w:rsidRDefault="00873DBE" w:rsidP="00070294">
      <w:pPr>
        <w:pStyle w:val="Chapter2"/>
        <w:numPr>
          <w:ilvl w:val="0"/>
          <w:numId w:val="0"/>
        </w:numPr>
        <w:ind w:left="851"/>
      </w:pPr>
    </w:p>
    <w:p w14:paraId="44B212CE" w14:textId="77777777" w:rsidR="00444F7F" w:rsidRDefault="00800B12" w:rsidP="00EB7739">
      <w:pPr>
        <w:pStyle w:val="Chapter2"/>
      </w:pPr>
      <w:r>
        <w:t>New Zealand’s GST is a broad-based</w:t>
      </w:r>
      <w:r w:rsidR="00444F7F">
        <w:t xml:space="preserve"> consumption tax based on the destination principle. </w:t>
      </w:r>
      <w:r w:rsidR="00EB7739">
        <w:t xml:space="preserve">This means that GST </w:t>
      </w:r>
      <w:r w:rsidR="00444F7F">
        <w:t xml:space="preserve">applies </w:t>
      </w:r>
      <w:r w:rsidR="00394D52">
        <w:t xml:space="preserve">at the standard rate of 15% </w:t>
      </w:r>
      <w:r w:rsidR="00444F7F">
        <w:t xml:space="preserve">to most goods and services that are consumed in New Zealand (with very few exemptions). This ensures that </w:t>
      </w:r>
      <w:r w:rsidR="00EB7739">
        <w:t>the tax is fair, efficient and simple.</w:t>
      </w:r>
    </w:p>
    <w:p w14:paraId="7E8831D0" w14:textId="77777777" w:rsidR="00444F7F" w:rsidRDefault="00444F7F" w:rsidP="00760799">
      <w:pPr>
        <w:pStyle w:val="Chapter2"/>
        <w:numPr>
          <w:ilvl w:val="0"/>
          <w:numId w:val="0"/>
        </w:numPr>
        <w:ind w:left="851"/>
      </w:pPr>
    </w:p>
    <w:p w14:paraId="49EBF59E" w14:textId="051B4708" w:rsidR="00EB7739" w:rsidRDefault="00CC6821" w:rsidP="00EB7739">
      <w:pPr>
        <w:pStyle w:val="Chapter2"/>
      </w:pPr>
      <w:r>
        <w:t>Most</w:t>
      </w:r>
      <w:r w:rsidR="00444F7F">
        <w:t xml:space="preserve"> other jurisdictions with GST or </w:t>
      </w:r>
      <w:r w:rsidR="00F57D3B">
        <w:t>V</w:t>
      </w:r>
      <w:r w:rsidR="00394D52">
        <w:t xml:space="preserve">alue </w:t>
      </w:r>
      <w:r w:rsidR="00F57D3B">
        <w:t>A</w:t>
      </w:r>
      <w:r w:rsidR="00394D52">
        <w:t xml:space="preserve">dded </w:t>
      </w:r>
      <w:r w:rsidR="00F57D3B">
        <w:t>T</w:t>
      </w:r>
      <w:r w:rsidR="00394D52">
        <w:t>ax</w:t>
      </w:r>
      <w:r w:rsidR="00A6357F">
        <w:t xml:space="preserve"> (</w:t>
      </w:r>
      <w:r w:rsidR="00444F7F">
        <w:t>VAT</w:t>
      </w:r>
      <w:r w:rsidR="00A6357F">
        <w:t>)</w:t>
      </w:r>
      <w:r w:rsidR="00444F7F">
        <w:t xml:space="preserve"> systems also apply the destination principle for determining the place of consumption. Under this principle, a good or service should be taxable in the jurisdiction in which it is consumed.</w:t>
      </w:r>
    </w:p>
    <w:p w14:paraId="7C3A8E61" w14:textId="77777777" w:rsidR="00EB7739" w:rsidRDefault="00EB7739" w:rsidP="00FD140A">
      <w:pPr>
        <w:pStyle w:val="Chapter2"/>
        <w:numPr>
          <w:ilvl w:val="0"/>
          <w:numId w:val="0"/>
        </w:numPr>
        <w:ind w:left="851"/>
      </w:pPr>
    </w:p>
    <w:p w14:paraId="6D75133A" w14:textId="07DC9643" w:rsidR="00EB7739" w:rsidRDefault="00EB7739" w:rsidP="00EB7739">
      <w:pPr>
        <w:pStyle w:val="Chapter2"/>
      </w:pPr>
      <w:r>
        <w:t>Another key principle</w:t>
      </w:r>
      <w:r w:rsidRPr="0067349E">
        <w:t xml:space="preserve"> </w:t>
      </w:r>
      <w:r>
        <w:t xml:space="preserve">of GST </w:t>
      </w:r>
      <w:r w:rsidRPr="0067349E">
        <w:t>is tax neutrality.</w:t>
      </w:r>
      <w:r>
        <w:t xml:space="preserve"> </w:t>
      </w:r>
      <w:r w:rsidR="00444F7F">
        <w:t>T</w:t>
      </w:r>
      <w:r>
        <w:t xml:space="preserve">ax neutrality in GST means that as </w:t>
      </w:r>
      <w:r w:rsidRPr="0067349E">
        <w:t>a consumption tax</w:t>
      </w:r>
      <w:r>
        <w:t xml:space="preserve">, GST is borne by the final consumer and should </w:t>
      </w:r>
      <w:r w:rsidR="007B0413">
        <w:t xml:space="preserve">not be a tax on </w:t>
      </w:r>
      <w:r w:rsidRPr="0067349E">
        <w:t>businesses</w:t>
      </w:r>
      <w:r>
        <w:t>.</w:t>
      </w:r>
      <w:r w:rsidRPr="006C78C1">
        <w:rPr>
          <w:rStyle w:val="FootnoteReference"/>
          <w:sz w:val="24"/>
          <w:szCs w:val="24"/>
        </w:rPr>
        <w:footnoteReference w:id="2"/>
      </w:r>
      <w:r>
        <w:t xml:space="preserve"> </w:t>
      </w:r>
      <w:r w:rsidR="00444F7F">
        <w:t>It</w:t>
      </w:r>
      <w:r>
        <w:t xml:space="preserve"> also means that GST should be applied evenly across all businesses in similar circumstances carrying out similar transactions, including similar transactions by resident and non-resident businesses. When different groups of suppliers are treated the same for GST purposes, it ensures that one group is not competitively advantaged over another group. It also means that consumer behaviour is not driven by tax considerations in situations where goods and services supplied by different suppliers are readily substitutable.</w:t>
      </w:r>
    </w:p>
    <w:p w14:paraId="3F6F78CE" w14:textId="77777777" w:rsidR="00222A0D" w:rsidRDefault="00222A0D" w:rsidP="00BD0CEB">
      <w:pPr>
        <w:pStyle w:val="Chapter2"/>
        <w:numPr>
          <w:ilvl w:val="0"/>
          <w:numId w:val="0"/>
        </w:numPr>
        <w:ind w:left="851"/>
      </w:pPr>
    </w:p>
    <w:p w14:paraId="327A3D7F" w14:textId="77777777" w:rsidR="00222A0D" w:rsidRPr="00FD140A" w:rsidRDefault="00222A0D" w:rsidP="00222A0D">
      <w:pPr>
        <w:pStyle w:val="Chapter2"/>
        <w:rPr>
          <w:sz w:val="20"/>
          <w:lang w:eastAsia="en-NZ"/>
        </w:rPr>
      </w:pPr>
      <w:r>
        <w:t>The “place of supply” rules in the Goods and Services Tax Act 1985 (the GST Act)</w:t>
      </w:r>
      <w:r w:rsidR="004303E2" w:rsidRPr="006C78C1">
        <w:rPr>
          <w:rStyle w:val="FootnoteReference"/>
          <w:sz w:val="24"/>
          <w:szCs w:val="24"/>
        </w:rPr>
        <w:footnoteReference w:id="3"/>
      </w:r>
      <w:r>
        <w:t xml:space="preserve"> determine where consumption of goods and services occurs and, therefore, whether they are subject to New Zealand GST. For the supply of services, we generally look to the supplier’s location and the place of physical performance to determine consumption. Traditionally, these proxies for consumption could easily be applied to services, as the consumption of services would typically occur in the same place the services were performed. For example, a haircut</w:t>
      </w:r>
      <w:r w:rsidR="00444F7F">
        <w:t xml:space="preserve"> performed</w:t>
      </w:r>
      <w:r>
        <w:t xml:space="preserve"> in New Zealand would be subject to New Zealand GST.</w:t>
      </w:r>
    </w:p>
    <w:p w14:paraId="1695EFA1" w14:textId="77777777" w:rsidR="00FC6459" w:rsidRDefault="00FC6459" w:rsidP="00FD140A">
      <w:pPr>
        <w:pStyle w:val="Chapter2"/>
        <w:numPr>
          <w:ilvl w:val="0"/>
          <w:numId w:val="0"/>
        </w:numPr>
        <w:rPr>
          <w:sz w:val="20"/>
          <w:lang w:eastAsia="en-NZ"/>
        </w:rPr>
      </w:pPr>
    </w:p>
    <w:p w14:paraId="1116B9B3" w14:textId="77777777" w:rsidR="00222A0D" w:rsidRDefault="00222A0D" w:rsidP="00222A0D">
      <w:pPr>
        <w:pStyle w:val="Chapter2"/>
      </w:pPr>
      <w:r>
        <w:t>The emergence of imported telecommunication</w:t>
      </w:r>
      <w:r w:rsidR="00DF0899">
        <w:t>s</w:t>
      </w:r>
      <w:r>
        <w:t xml:space="preserve"> services (such as call-back services and international roaming) in the early 2000s, however, gave rise to concerns about how our GST rules at that time applied to these services. The concept of physical performance used to determine consumption and, therefore, which country had the right to tax a service did not fit well with the nature of telecommunication</w:t>
      </w:r>
      <w:r w:rsidR="00DF0899">
        <w:t>s</w:t>
      </w:r>
      <w:r>
        <w:t xml:space="preserve"> services. Unlike traditional services, telecommunication</w:t>
      </w:r>
      <w:r w:rsidR="00DF0899">
        <w:t>s</w:t>
      </w:r>
      <w:r>
        <w:t xml:space="preserve"> services were (and still are) highly mobile, often involve many different supplies or “connections”, and can be supplied across borders, which meant it was not always clear where the consumption of the services occurred.</w:t>
      </w:r>
    </w:p>
    <w:p w14:paraId="2FDEC312" w14:textId="77777777" w:rsidR="00EB7739" w:rsidRDefault="00EB7739" w:rsidP="00FD140A">
      <w:pPr>
        <w:pStyle w:val="Chapter2"/>
        <w:numPr>
          <w:ilvl w:val="0"/>
          <w:numId w:val="0"/>
        </w:numPr>
        <w:ind w:left="851"/>
      </w:pPr>
    </w:p>
    <w:p w14:paraId="0FEE687A" w14:textId="77777777" w:rsidR="00373F5D" w:rsidRPr="00673800" w:rsidRDefault="00FC6459" w:rsidP="00567018">
      <w:pPr>
        <w:pStyle w:val="Chapter2"/>
      </w:pPr>
      <w:r>
        <w:lastRenderedPageBreak/>
        <w:t>As a result, i</w:t>
      </w:r>
      <w:r w:rsidR="00C45C97">
        <w:t>n 2003 special GST rules for cross-border supplies of telecommunications services were introduced. Under these special rules</w:t>
      </w:r>
      <w:r w:rsidR="009E75BB" w:rsidRPr="00673800">
        <w:t>:</w:t>
      </w:r>
    </w:p>
    <w:p w14:paraId="482AC91E" w14:textId="77777777" w:rsidR="007A7592" w:rsidRPr="00673800" w:rsidRDefault="007A7592" w:rsidP="00070294">
      <w:pPr>
        <w:pStyle w:val="Chapter2"/>
        <w:numPr>
          <w:ilvl w:val="0"/>
          <w:numId w:val="0"/>
        </w:numPr>
        <w:ind w:left="851"/>
      </w:pPr>
    </w:p>
    <w:p w14:paraId="2C72519A" w14:textId="77777777" w:rsidR="00BF138E" w:rsidRDefault="00C45C97" w:rsidP="00070294">
      <w:pPr>
        <w:pStyle w:val="Bullets"/>
      </w:pPr>
      <w:r>
        <w:t>A</w:t>
      </w:r>
      <w:r w:rsidR="007A7592" w:rsidRPr="00673800">
        <w:t xml:space="preserve"> supply of </w:t>
      </w:r>
      <w:r>
        <w:t xml:space="preserve">telecommunications services is </w:t>
      </w:r>
      <w:r w:rsidR="00444F7F">
        <w:t xml:space="preserve">generally </w:t>
      </w:r>
      <w:r w:rsidR="00BF138E">
        <w:t>subject to GST if the supply is</w:t>
      </w:r>
      <w:r>
        <w:t xml:space="preserve"> made to a person physically in New Zealand</w:t>
      </w:r>
      <w:r w:rsidR="00BF138E">
        <w:t xml:space="preserve"> at the time the service is initiated</w:t>
      </w:r>
      <w:r>
        <w:t>.</w:t>
      </w:r>
    </w:p>
    <w:p w14:paraId="38B14249" w14:textId="77777777" w:rsidR="00BF138E" w:rsidRDefault="00BF138E" w:rsidP="00070294">
      <w:pPr>
        <w:pStyle w:val="Bullets"/>
      </w:pPr>
      <w:r>
        <w:t xml:space="preserve">A supply of telecommunications services </w:t>
      </w:r>
      <w:r w:rsidR="002473D9">
        <w:t>is</w:t>
      </w:r>
      <w:r>
        <w:t xml:space="preserve"> not subject to GST if the supply is made to a person physically outside New Zealand at the time the service is initiated.</w:t>
      </w:r>
    </w:p>
    <w:p w14:paraId="0348ACFC" w14:textId="77777777" w:rsidR="00BF138E" w:rsidRDefault="00BF138E" w:rsidP="00070294">
      <w:pPr>
        <w:pStyle w:val="Bullets"/>
      </w:pPr>
      <w:r>
        <w:t>Telecommunications services supplied by a non-resident to a GST-registered business are not subject to GST.</w:t>
      </w:r>
    </w:p>
    <w:p w14:paraId="1620F772" w14:textId="77777777" w:rsidR="00BF138E" w:rsidRDefault="00E82CD5" w:rsidP="00070294">
      <w:pPr>
        <w:pStyle w:val="Bullets"/>
      </w:pPr>
      <w:r>
        <w:t>Telecommunications services supplied by a resident are zero-rated if supplied to a non-resident supplier of telecommunications services.</w:t>
      </w:r>
    </w:p>
    <w:p w14:paraId="09C1973A" w14:textId="77777777" w:rsidR="007A7592" w:rsidRPr="00673800" w:rsidRDefault="00E82CD5" w:rsidP="00760799">
      <w:pPr>
        <w:pStyle w:val="Bullets"/>
      </w:pPr>
      <w:r>
        <w:t>A non-resident supplier of telecommunications services is not required to register if their only taxable supplies are supplies of telecommunications services to non-resident consumers.</w:t>
      </w:r>
    </w:p>
    <w:p w14:paraId="62D34923" w14:textId="038F1095" w:rsidR="00760799" w:rsidRDefault="008C3941" w:rsidP="00E82CD5">
      <w:pPr>
        <w:pStyle w:val="Chapter2"/>
      </w:pPr>
      <w:r>
        <w:t xml:space="preserve">The special rules for telecommunications services use the location of the person who initiates the supply from a telecommunications supplier as a proxy for determining the place of consumption of these services. </w:t>
      </w:r>
      <w:r w:rsidR="00D44F21">
        <w:t xml:space="preserve">It is not always clear who has initiated a supply of telecommunications services. Section 8(9) provides three tests for determining the person who has initiated a supply. Furthermore, for certain telecommunications services it can be difficult to determine the location of the </w:t>
      </w:r>
      <w:r w:rsidR="00CC6821">
        <w:t>person who initiated the supply. Section 8A allows suppliers to use the</w:t>
      </w:r>
      <w:r w:rsidR="007F195A">
        <w:t xml:space="preserve"> customer’s</w:t>
      </w:r>
      <w:r w:rsidR="00CC6821">
        <w:t xml:space="preserve"> billing address to determine the place of supply if the actual location of the initiator of the supply cannot be determined. The “initiator” test is unique to New Zealand’s GST system.</w:t>
      </w:r>
    </w:p>
    <w:p w14:paraId="5EA99EFA" w14:textId="77777777" w:rsidR="00760799" w:rsidRDefault="00760799" w:rsidP="00760799">
      <w:pPr>
        <w:pStyle w:val="Chapter2"/>
        <w:numPr>
          <w:ilvl w:val="0"/>
          <w:numId w:val="0"/>
        </w:numPr>
        <w:ind w:left="851"/>
      </w:pPr>
    </w:p>
    <w:p w14:paraId="334AC90D" w14:textId="20B8D62B" w:rsidR="00F57D3B" w:rsidRDefault="00E82CD5" w:rsidP="00E82CD5">
      <w:pPr>
        <w:pStyle w:val="Chapter2"/>
      </w:pPr>
      <w:r>
        <w:t>When these special rules were introduced in 2003 the place where the service was initiated was considered the best proxy for determining the place of consumption. However, New Zealand’s approach to applying GST to telecommunications services is now out</w:t>
      </w:r>
      <w:r w:rsidR="00F57D3B">
        <w:t>-</w:t>
      </w:r>
      <w:r>
        <w:t>of</w:t>
      </w:r>
      <w:r w:rsidR="00F57D3B">
        <w:t>-</w:t>
      </w:r>
      <w:r>
        <w:t>date and inconsistent with international best practice</w:t>
      </w:r>
      <w:r w:rsidR="005475C7">
        <w:t>.</w:t>
      </w:r>
    </w:p>
    <w:p w14:paraId="570FCC17" w14:textId="77777777" w:rsidR="00F57D3B" w:rsidRDefault="00F57D3B" w:rsidP="003C065F">
      <w:pPr>
        <w:pStyle w:val="Chapter2"/>
        <w:numPr>
          <w:ilvl w:val="0"/>
          <w:numId w:val="0"/>
        </w:numPr>
        <w:ind w:left="851"/>
      </w:pPr>
    </w:p>
    <w:p w14:paraId="2C44BFCD" w14:textId="7A0A249D" w:rsidR="00E82CD5" w:rsidRDefault="00E82CD5" w:rsidP="00E82CD5">
      <w:pPr>
        <w:pStyle w:val="Chapter2"/>
      </w:pPr>
      <w:r>
        <w:t xml:space="preserve">The </w:t>
      </w:r>
      <w:r w:rsidR="00F57D3B" w:rsidRPr="007B0413">
        <w:rPr>
          <w:i/>
        </w:rPr>
        <w:t xml:space="preserve">International </w:t>
      </w:r>
      <w:r w:rsidRPr="007B0413">
        <w:rPr>
          <w:i/>
        </w:rPr>
        <w:t xml:space="preserve">VAT/GST </w:t>
      </w:r>
      <w:r w:rsidR="00F57D3B" w:rsidRPr="007B0413">
        <w:rPr>
          <w:i/>
        </w:rPr>
        <w:t>G</w:t>
      </w:r>
      <w:r w:rsidRPr="007B0413">
        <w:rPr>
          <w:i/>
        </w:rPr>
        <w:t>uidelines</w:t>
      </w:r>
      <w:r w:rsidR="00612EC2">
        <w:rPr>
          <w:i/>
        </w:rPr>
        <w:t xml:space="preserve"> </w:t>
      </w:r>
      <w:r w:rsidR="00612EC2" w:rsidRPr="007B0413">
        <w:t>(the</w:t>
      </w:r>
      <w:r w:rsidR="00612EC2">
        <w:rPr>
          <w:i/>
        </w:rPr>
        <w:t xml:space="preserve"> Guidelines</w:t>
      </w:r>
      <w:r w:rsidR="00612EC2" w:rsidRPr="007B0413">
        <w:t>)</w:t>
      </w:r>
      <w:r>
        <w:t xml:space="preserve"> developed by the OECD recommend taxing </w:t>
      </w:r>
      <w:r w:rsidR="005475C7">
        <w:t>these services based on the consumer’s usual place of residence</w:t>
      </w:r>
      <w:r w:rsidR="00612EC2">
        <w:t>.</w:t>
      </w:r>
      <w:r w:rsidR="008222AA">
        <w:t xml:space="preserve"> </w:t>
      </w:r>
      <w:r w:rsidR="00612EC2">
        <w:t>M</w:t>
      </w:r>
      <w:r w:rsidR="005475C7">
        <w:t xml:space="preserve">any other countries (with the notable exception of Australia) </w:t>
      </w:r>
      <w:r w:rsidR="00444F7F">
        <w:t xml:space="preserve">adopt approaches consistent with </w:t>
      </w:r>
      <w:r w:rsidR="005475C7">
        <w:t>these guidelines for applying GST/VAT to telecommunications services.</w:t>
      </w:r>
    </w:p>
    <w:p w14:paraId="647EF349" w14:textId="77777777" w:rsidR="004A1ABD" w:rsidRDefault="004A1ABD" w:rsidP="004A1ABD">
      <w:pPr>
        <w:pStyle w:val="Chapter2"/>
        <w:numPr>
          <w:ilvl w:val="0"/>
          <w:numId w:val="0"/>
        </w:numPr>
      </w:pPr>
    </w:p>
    <w:p w14:paraId="75483339" w14:textId="7BE52C37" w:rsidR="004A1ABD" w:rsidRPr="00673800" w:rsidRDefault="004A1ABD" w:rsidP="004A1ABD">
      <w:pPr>
        <w:pStyle w:val="Heading1"/>
      </w:pPr>
      <w:bookmarkStart w:id="40" w:name="_Toc8719825"/>
      <w:r>
        <w:t xml:space="preserve">OECD VAT/GST </w:t>
      </w:r>
      <w:r w:rsidR="00612EC2">
        <w:t>G</w:t>
      </w:r>
      <w:r>
        <w:t>uidelines</w:t>
      </w:r>
      <w:bookmarkEnd w:id="40"/>
    </w:p>
    <w:p w14:paraId="6DE20DA3" w14:textId="77777777" w:rsidR="004A1ABD" w:rsidRDefault="004A1ABD" w:rsidP="004A1ABD">
      <w:pPr>
        <w:pStyle w:val="Chapter2"/>
        <w:numPr>
          <w:ilvl w:val="0"/>
          <w:numId w:val="0"/>
        </w:numPr>
        <w:ind w:left="851"/>
      </w:pPr>
    </w:p>
    <w:p w14:paraId="143210D7" w14:textId="21DE46EC" w:rsidR="00905CDA" w:rsidRDefault="00905CDA" w:rsidP="00905CDA">
      <w:pPr>
        <w:pStyle w:val="Chapter2"/>
      </w:pPr>
      <w:r>
        <w:t xml:space="preserve">Over time, the rise of the global economy, technological advances, and trade liberalisation have </w:t>
      </w:r>
      <w:r w:rsidR="00612EC2">
        <w:t>led to</w:t>
      </w:r>
      <w:r>
        <w:t xml:space="preserve"> growth in digital supplies of services and intangibles.</w:t>
      </w:r>
      <w:r w:rsidRPr="008C2B76">
        <w:t xml:space="preserve"> </w:t>
      </w:r>
      <w:r>
        <w:t xml:space="preserve">These developments have allowed </w:t>
      </w:r>
      <w:r w:rsidDel="005D113B">
        <w:t>businesses to supply services to customers remotely from anywhere in the world</w:t>
      </w:r>
      <w:r>
        <w:t>,</w:t>
      </w:r>
      <w:r w:rsidDel="005D113B">
        <w:t xml:space="preserve"> </w:t>
      </w:r>
      <w:r>
        <w:t xml:space="preserve">so </w:t>
      </w:r>
      <w:r w:rsidDel="005D113B">
        <w:t xml:space="preserve">that customers no longer need to be in the same location as the supplier </w:t>
      </w:r>
      <w:r w:rsidR="005F4D07" w:rsidDel="005D113B">
        <w:t>to</w:t>
      </w:r>
      <w:r w:rsidDel="005D113B">
        <w:t xml:space="preserve"> consume </w:t>
      </w:r>
      <w:r w:rsidR="005F4D07">
        <w:t xml:space="preserve">the </w:t>
      </w:r>
      <w:r w:rsidDel="005D113B">
        <w:t xml:space="preserve">services. </w:t>
      </w:r>
      <w:r w:rsidR="005F4D07">
        <w:t>I</w:t>
      </w:r>
      <w:r>
        <w:t>t was considered internationally that the traditional proxies for determining consumption did not work for the supply of these “remote services”</w:t>
      </w:r>
      <w:r w:rsidR="005F4D07">
        <w:t xml:space="preserve"> (including telecommunications services)</w:t>
      </w:r>
      <w:r>
        <w:t xml:space="preserve"> as it was often unclear where the consumption of these services </w:t>
      </w:r>
      <w:r>
        <w:lastRenderedPageBreak/>
        <w:t>occurred and, therefore, which country had the right to tax the supply</w:t>
      </w:r>
      <w:r w:rsidR="00C10363">
        <w:t xml:space="preserve">. </w:t>
      </w:r>
      <w:r>
        <w:t>This led to growing uncertainty globally about how GST/VAT should apply to these services.</w:t>
      </w:r>
    </w:p>
    <w:p w14:paraId="5FBCCDDD" w14:textId="77777777" w:rsidR="003730F2" w:rsidRDefault="003730F2" w:rsidP="003730F2">
      <w:pPr>
        <w:pStyle w:val="Chapter2"/>
        <w:numPr>
          <w:ilvl w:val="0"/>
          <w:numId w:val="0"/>
        </w:numPr>
        <w:ind w:left="851"/>
      </w:pPr>
    </w:p>
    <w:p w14:paraId="6932753E" w14:textId="5FA60D00" w:rsidR="00905CDA" w:rsidRDefault="00905CDA" w:rsidP="00905CDA">
      <w:pPr>
        <w:pStyle w:val="Chapter2"/>
      </w:pPr>
      <w:r>
        <w:t>As a result, the OECD developed best practice guidelines</w:t>
      </w:r>
      <w:r w:rsidR="00444F7F">
        <w:t xml:space="preserve"> </w:t>
      </w:r>
      <w:r>
        <w:t>which provided proxies for determining consumption for supplies of services and intangibles.</w:t>
      </w:r>
      <w:r w:rsidRPr="006C78C1">
        <w:rPr>
          <w:rStyle w:val="FootnoteReference"/>
          <w:sz w:val="24"/>
          <w:szCs w:val="24"/>
        </w:rPr>
        <w:footnoteReference w:id="4"/>
      </w:r>
      <w:r>
        <w:t xml:space="preserve"> For “on</w:t>
      </w:r>
      <w:r w:rsidR="00444F7F">
        <w:t>-</w:t>
      </w:r>
      <w:r>
        <w:t>the</w:t>
      </w:r>
      <w:r w:rsidR="00444F7F">
        <w:t>-</w:t>
      </w:r>
      <w:r>
        <w:t xml:space="preserve">spot” services, where the </w:t>
      </w:r>
      <w:r w:rsidR="00612EC2">
        <w:t xml:space="preserve">nature of the service requires the </w:t>
      </w:r>
      <w:r>
        <w:t xml:space="preserve">supplier and the consumer </w:t>
      </w:r>
      <w:r w:rsidR="00612EC2">
        <w:t xml:space="preserve">to be </w:t>
      </w:r>
      <w:r>
        <w:t xml:space="preserve">in the same place (for example, a haircut), the </w:t>
      </w:r>
      <w:r w:rsidR="00612EC2" w:rsidRPr="007B0413">
        <w:rPr>
          <w:i/>
        </w:rPr>
        <w:t>G</w:t>
      </w:r>
      <w:r w:rsidRPr="007B0413">
        <w:rPr>
          <w:i/>
        </w:rPr>
        <w:t>uidelines</w:t>
      </w:r>
      <w:r>
        <w:t xml:space="preserve"> suggest a place of performance test for determining</w:t>
      </w:r>
      <w:r w:rsidR="00612EC2">
        <w:t xml:space="preserve"> the</w:t>
      </w:r>
      <w:r>
        <w:t xml:space="preserve"> place of consumption. For remote services and intangibles, where it is not necessary for the supplier and the consumer to be in the same place (for example, a digital download), the </w:t>
      </w:r>
      <w:r w:rsidR="00612EC2" w:rsidRPr="007B0413">
        <w:rPr>
          <w:i/>
        </w:rPr>
        <w:t>G</w:t>
      </w:r>
      <w:r w:rsidRPr="007B0413">
        <w:rPr>
          <w:i/>
        </w:rPr>
        <w:t>uidelines</w:t>
      </w:r>
      <w:r>
        <w:t xml:space="preserve"> suggest </w:t>
      </w:r>
      <w:r w:rsidR="00612EC2">
        <w:t>the</w:t>
      </w:r>
      <w:r>
        <w:t xml:space="preserve"> consumer’s usual place of residence</w:t>
      </w:r>
      <w:r w:rsidR="00CB3FF8">
        <w:t xml:space="preserve"> as the</w:t>
      </w:r>
      <w:r>
        <w:t xml:space="preserve"> test for determining </w:t>
      </w:r>
      <w:r w:rsidR="005F4D07">
        <w:t>the place of consumption.</w:t>
      </w:r>
    </w:p>
    <w:p w14:paraId="4FC8C32F" w14:textId="77777777" w:rsidR="003730F2" w:rsidRPr="0047317D" w:rsidRDefault="003730F2" w:rsidP="003730F2">
      <w:pPr>
        <w:pStyle w:val="Chapter2"/>
        <w:numPr>
          <w:ilvl w:val="0"/>
          <w:numId w:val="0"/>
        </w:numPr>
      </w:pPr>
    </w:p>
    <w:p w14:paraId="63F4BEFC" w14:textId="3C65C400" w:rsidR="00905CDA" w:rsidRDefault="00905CDA" w:rsidP="00905CDA">
      <w:pPr>
        <w:pStyle w:val="Chapter2"/>
      </w:pPr>
      <w:r>
        <w:t xml:space="preserve">The </w:t>
      </w:r>
      <w:r w:rsidR="00612EC2" w:rsidRPr="007B0413">
        <w:rPr>
          <w:i/>
        </w:rPr>
        <w:t>G</w:t>
      </w:r>
      <w:r w:rsidRPr="007B0413">
        <w:rPr>
          <w:i/>
        </w:rPr>
        <w:t>uidelines</w:t>
      </w:r>
      <w:r>
        <w:t xml:space="preserve"> adopt a broad definition of what is a remote service</w:t>
      </w:r>
      <w:r w:rsidR="005F4D07">
        <w:t xml:space="preserve"> and include</w:t>
      </w:r>
      <w:r>
        <w:t xml:space="preserve"> supplies of telecommunication</w:t>
      </w:r>
      <w:r w:rsidR="00DF0899">
        <w:t>s</w:t>
      </w:r>
      <w:r>
        <w:t xml:space="preserve"> services.</w:t>
      </w:r>
      <w:r w:rsidRPr="0023769E">
        <w:rPr>
          <w:rStyle w:val="FootnoteReference"/>
        </w:rPr>
        <w:t xml:space="preserve"> </w:t>
      </w:r>
      <w:r w:rsidRPr="003C065F">
        <w:rPr>
          <w:rStyle w:val="FootnoteReference"/>
          <w:sz w:val="24"/>
          <w:szCs w:val="24"/>
        </w:rPr>
        <w:footnoteReference w:id="5"/>
      </w:r>
    </w:p>
    <w:p w14:paraId="3F4FAC61" w14:textId="77777777" w:rsidR="003730F2" w:rsidRDefault="003730F2" w:rsidP="003730F2">
      <w:pPr>
        <w:pStyle w:val="Chapter2"/>
        <w:numPr>
          <w:ilvl w:val="0"/>
          <w:numId w:val="0"/>
        </w:numPr>
      </w:pPr>
    </w:p>
    <w:p w14:paraId="6E94CF1D" w14:textId="271D0959" w:rsidR="004A1ABD" w:rsidRDefault="00612EC2" w:rsidP="003730F2">
      <w:pPr>
        <w:pStyle w:val="Chapter2"/>
      </w:pPr>
      <w:r>
        <w:t>The</w:t>
      </w:r>
      <w:r w:rsidR="00905CDA" w:rsidRPr="00127959">
        <w:t xml:space="preserve"> consume</w:t>
      </w:r>
      <w:r w:rsidR="00905CDA">
        <w:t xml:space="preserve">r’s usual place of </w:t>
      </w:r>
      <w:r w:rsidR="00905CDA" w:rsidRPr="001A398D">
        <w:t>residence</w:t>
      </w:r>
      <w:r w:rsidR="00905CDA">
        <w:t xml:space="preserve"> has been </w:t>
      </w:r>
      <w:r w:rsidR="00905CDA" w:rsidRPr="00127959">
        <w:t xml:space="preserve">broadly accepted as </w:t>
      </w:r>
      <w:r w:rsidR="00905CDA">
        <w:t>the best</w:t>
      </w:r>
      <w:r w:rsidR="00905CDA" w:rsidRPr="00127959">
        <w:t xml:space="preserve"> proxy for determining </w:t>
      </w:r>
      <w:r>
        <w:t xml:space="preserve">the </w:t>
      </w:r>
      <w:r w:rsidR="00905CDA" w:rsidRPr="00127959">
        <w:t>place of consumption</w:t>
      </w:r>
      <w:r w:rsidR="00905CDA">
        <w:t xml:space="preserve"> for remote services and intangibles</w:t>
      </w:r>
      <w:r w:rsidR="00905CDA" w:rsidRPr="00127959">
        <w:t>.</w:t>
      </w:r>
      <w:r w:rsidR="00905CDA">
        <w:t xml:space="preserve"> </w:t>
      </w:r>
      <w:r w:rsidR="00905CDA" w:rsidRPr="00127959">
        <w:t>It is</w:t>
      </w:r>
      <w:r w:rsidR="00905CDA">
        <w:t xml:space="preserve"> relatively easy to determine and</w:t>
      </w:r>
      <w:r w:rsidR="00905CDA" w:rsidRPr="00127959">
        <w:t xml:space="preserve"> less open to manipulation than other proxies such as the location of the consumer at the time of supply</w:t>
      </w:r>
      <w:r w:rsidR="00905CDA">
        <w:t xml:space="preserve"> (which gives rise to problems of both determining the location of the consumer and how to treat a supply consumed in multiple locations)</w:t>
      </w:r>
      <w:r w:rsidR="00905CDA" w:rsidRPr="00127959">
        <w:t>.</w:t>
      </w:r>
      <w:r w:rsidR="00905CDA">
        <w:t xml:space="preserve"> I</w:t>
      </w:r>
      <w:r w:rsidR="00905CDA" w:rsidRPr="00127959">
        <w:t xml:space="preserve">t is </w:t>
      </w:r>
      <w:r w:rsidR="00905CDA">
        <w:t xml:space="preserve">also </w:t>
      </w:r>
      <w:r w:rsidR="00905CDA" w:rsidRPr="00127959">
        <w:t>considered a relatively simple proxy for suppliers to apply in practice.</w:t>
      </w:r>
    </w:p>
    <w:p w14:paraId="5DDA8F7B" w14:textId="77777777" w:rsidR="003730F2" w:rsidRDefault="003730F2" w:rsidP="00BD0CEB">
      <w:pPr>
        <w:pStyle w:val="Chapter2"/>
        <w:numPr>
          <w:ilvl w:val="0"/>
          <w:numId w:val="0"/>
        </w:numPr>
        <w:ind w:left="851"/>
      </w:pPr>
    </w:p>
    <w:p w14:paraId="24BF5CF1" w14:textId="1FFC58ED" w:rsidR="003730F2" w:rsidRDefault="003730F2" w:rsidP="003730F2">
      <w:pPr>
        <w:pStyle w:val="Chapter2"/>
      </w:pPr>
      <w:r>
        <w:t xml:space="preserve">In line with the </w:t>
      </w:r>
      <w:r w:rsidR="00612EC2" w:rsidRPr="007B0413">
        <w:rPr>
          <w:i/>
        </w:rPr>
        <w:t>G</w:t>
      </w:r>
      <w:r w:rsidRPr="007B0413">
        <w:rPr>
          <w:i/>
        </w:rPr>
        <w:t>uidelines</w:t>
      </w:r>
      <w:r>
        <w:t>, since 1 October 2016, GST has applied to remote services (such as online services and digital downloads) supplied by offshore suppliers to New Zealand-resident consumers at the standard rate of 15%. While our remote services regime covers a broad range of services, telecommunication</w:t>
      </w:r>
      <w:r w:rsidR="00DF0899">
        <w:t>s</w:t>
      </w:r>
      <w:r>
        <w:t xml:space="preserve"> services </w:t>
      </w:r>
      <w:r w:rsidR="00246007">
        <w:t>are not covered by the regime.</w:t>
      </w:r>
    </w:p>
    <w:p w14:paraId="5C5D5BAC" w14:textId="77777777" w:rsidR="00871595" w:rsidRDefault="00871595" w:rsidP="00BD0CEB">
      <w:pPr>
        <w:pStyle w:val="Chapter2"/>
        <w:numPr>
          <w:ilvl w:val="0"/>
          <w:numId w:val="0"/>
        </w:numPr>
        <w:ind w:left="851"/>
      </w:pPr>
    </w:p>
    <w:p w14:paraId="0492B253" w14:textId="77777777" w:rsidR="00871595" w:rsidRDefault="00871595" w:rsidP="00871595">
      <w:pPr>
        <w:pStyle w:val="Heading1"/>
      </w:pPr>
      <w:bookmarkStart w:id="41" w:name="_Toc8719826"/>
      <w:r>
        <w:t xml:space="preserve">Other </w:t>
      </w:r>
      <w:r w:rsidR="005D3B9B">
        <w:t>c</w:t>
      </w:r>
      <w:r>
        <w:t xml:space="preserve">ountries’ </w:t>
      </w:r>
      <w:r w:rsidR="00A6357F">
        <w:t>a</w:t>
      </w:r>
      <w:r>
        <w:t>pproaches</w:t>
      </w:r>
      <w:bookmarkEnd w:id="41"/>
    </w:p>
    <w:p w14:paraId="0ACFCFA8" w14:textId="77777777" w:rsidR="00871595" w:rsidRDefault="00871595" w:rsidP="00BD0CEB">
      <w:pPr>
        <w:pStyle w:val="Chapter2"/>
        <w:numPr>
          <w:ilvl w:val="0"/>
          <w:numId w:val="0"/>
        </w:numPr>
        <w:ind w:left="851"/>
      </w:pPr>
    </w:p>
    <w:p w14:paraId="615E07AB" w14:textId="77777777" w:rsidR="00871595" w:rsidRDefault="00871595" w:rsidP="00871595">
      <w:pPr>
        <w:pStyle w:val="Chapter2"/>
      </w:pPr>
      <w:r>
        <w:t>M</w:t>
      </w:r>
      <w:r w:rsidR="005F4D07">
        <w:t>any</w:t>
      </w:r>
      <w:r>
        <w:t xml:space="preserve"> jurisdictions with comparable GST/VAT systems use the residency of the consumer as a</w:t>
      </w:r>
      <w:r w:rsidR="00C83C98">
        <w:t xml:space="preserve"> proxy for consumption of telecommunication</w:t>
      </w:r>
      <w:r w:rsidR="00DF0899">
        <w:t>s</w:t>
      </w:r>
      <w:r w:rsidR="00C83C98">
        <w:t xml:space="preserve"> </w:t>
      </w:r>
      <w:r>
        <w:t>services. The most notable exception is Australia, whose rules for telecommunication</w:t>
      </w:r>
      <w:r w:rsidR="00DF0899">
        <w:t>s</w:t>
      </w:r>
      <w:r>
        <w:t xml:space="preserve"> services are similar to New Zealand’s current rules.</w:t>
      </w:r>
    </w:p>
    <w:p w14:paraId="6F590854" w14:textId="77777777" w:rsidR="00871595" w:rsidRDefault="00871595" w:rsidP="00871595">
      <w:pPr>
        <w:pStyle w:val="Chapter2"/>
        <w:numPr>
          <w:ilvl w:val="0"/>
          <w:numId w:val="0"/>
        </w:numPr>
      </w:pPr>
    </w:p>
    <w:p w14:paraId="45A17D38" w14:textId="77777777" w:rsidR="00871595" w:rsidRDefault="00871595" w:rsidP="00871595">
      <w:pPr>
        <w:pStyle w:val="Heading2"/>
      </w:pPr>
      <w:bookmarkStart w:id="42" w:name="_Toc428848"/>
      <w:bookmarkStart w:id="43" w:name="_Toc8719827"/>
      <w:r>
        <w:t>United Kingdom</w:t>
      </w:r>
      <w:bookmarkEnd w:id="42"/>
      <w:bookmarkEnd w:id="43"/>
    </w:p>
    <w:p w14:paraId="5F4DAD2D" w14:textId="77777777" w:rsidR="00871595" w:rsidRPr="00871595" w:rsidRDefault="00871595" w:rsidP="00BD0CEB">
      <w:pPr>
        <w:pStyle w:val="Chapter2"/>
        <w:numPr>
          <w:ilvl w:val="0"/>
          <w:numId w:val="0"/>
        </w:numPr>
        <w:ind w:left="851"/>
      </w:pPr>
    </w:p>
    <w:p w14:paraId="41F97D66" w14:textId="59100A63" w:rsidR="00871595" w:rsidRDefault="00871595" w:rsidP="00871595">
      <w:pPr>
        <w:pStyle w:val="Chapter2"/>
      </w:pPr>
      <w:r>
        <w:t xml:space="preserve">The </w:t>
      </w:r>
      <w:r w:rsidR="00612EC2">
        <w:t>United Kingdom (</w:t>
      </w:r>
      <w:r>
        <w:t>UK</w:t>
      </w:r>
      <w:r w:rsidR="00612EC2">
        <w:t>)</w:t>
      </w:r>
      <w:r>
        <w:t xml:space="preserve"> is the most recent example of a country which has moved to a residency-based test for consumption of supplies of telecommunication</w:t>
      </w:r>
      <w:r w:rsidR="00DF0899">
        <w:t>s</w:t>
      </w:r>
      <w:r>
        <w:t xml:space="preserve"> services. Before 1 November 2017, the UK applied a “use and enjoyment” rule to telecommunication</w:t>
      </w:r>
      <w:r w:rsidR="00DF0899">
        <w:t>s</w:t>
      </w:r>
      <w:r>
        <w:t xml:space="preserve"> services, which meant that if telecommunication</w:t>
      </w:r>
      <w:r w:rsidR="00DF0899">
        <w:t>s</w:t>
      </w:r>
      <w:r>
        <w:t xml:space="preserve"> services were consumed outside the EU, they were treated as being outside the scope of UK VAT. This approach had the same effect as New Zealand’s current rules in the GST Act for supplies of telecommunication</w:t>
      </w:r>
      <w:r w:rsidR="00DF0899">
        <w:t>s</w:t>
      </w:r>
      <w:r>
        <w:t xml:space="preserve"> services.</w:t>
      </w:r>
    </w:p>
    <w:p w14:paraId="1B4C9B08" w14:textId="77777777" w:rsidR="00871595" w:rsidRDefault="00871595" w:rsidP="00871595">
      <w:pPr>
        <w:pStyle w:val="Chapter2"/>
        <w:numPr>
          <w:ilvl w:val="0"/>
          <w:numId w:val="0"/>
        </w:numPr>
      </w:pPr>
    </w:p>
    <w:p w14:paraId="64E447BD" w14:textId="2EEC3B6A" w:rsidR="00871595" w:rsidRDefault="00871595" w:rsidP="00871595">
      <w:pPr>
        <w:pStyle w:val="Chapter2"/>
      </w:pPr>
      <w:r>
        <w:lastRenderedPageBreak/>
        <w:t xml:space="preserve">However, as part of </w:t>
      </w:r>
      <w:r w:rsidR="00612EC2">
        <w:t xml:space="preserve">its </w:t>
      </w:r>
      <w:r>
        <w:t>2017</w:t>
      </w:r>
      <w:r w:rsidR="00612EC2">
        <w:t xml:space="preserve"> Budget</w:t>
      </w:r>
      <w:r>
        <w:t>, the UK</w:t>
      </w:r>
      <w:r w:rsidR="00612EC2">
        <w:t xml:space="preserve"> Government</w:t>
      </w:r>
      <w:r>
        <w:t xml:space="preserve"> announced changes to their VAT place of supply rules for telecommunication</w:t>
      </w:r>
      <w:r w:rsidR="00DF0899">
        <w:t>s</w:t>
      </w:r>
      <w:r>
        <w:t xml:space="preserve"> services </w:t>
      </w:r>
      <w:r w:rsidR="00445065">
        <w:t>–</w:t>
      </w:r>
      <w:r>
        <w:t xml:space="preserve"> specifically, supplies of telecommunication</w:t>
      </w:r>
      <w:r w:rsidR="00DF0899">
        <w:t>s</w:t>
      </w:r>
      <w:r>
        <w:t xml:space="preserve"> services by UK suppliers to UK non-business users (that is, UK consumers). The changes mean that since 1 November 2017, these services</w:t>
      </w:r>
      <w:r w:rsidR="005F4D07">
        <w:t>,</w:t>
      </w:r>
      <w:r>
        <w:t xml:space="preserve"> when supplied to UK residents</w:t>
      </w:r>
      <w:r w:rsidR="005F4D07">
        <w:t>,</w:t>
      </w:r>
      <w:r>
        <w:t xml:space="preserve"> are subject to UK VAT regardless of where they are consumed. In practical terms, it means that UK VAT now applies to roaming services when UK consumers use their mobile </w:t>
      </w:r>
      <w:r w:rsidR="005F4D07">
        <w:t xml:space="preserve">devices </w:t>
      </w:r>
      <w:r>
        <w:t>outside the UK and the EU. Equally, supplies to visitors from countries outside the EU are no longer subject to UK VAT.</w:t>
      </w:r>
    </w:p>
    <w:p w14:paraId="24A10297" w14:textId="77777777" w:rsidR="00871595" w:rsidRDefault="00871595" w:rsidP="00871595">
      <w:pPr>
        <w:pStyle w:val="Chapter2"/>
        <w:numPr>
          <w:ilvl w:val="0"/>
          <w:numId w:val="0"/>
        </w:numPr>
      </w:pPr>
    </w:p>
    <w:p w14:paraId="4FED2808" w14:textId="77777777" w:rsidR="00871595" w:rsidRDefault="00871595" w:rsidP="00871595">
      <w:pPr>
        <w:pStyle w:val="Chapter2"/>
      </w:pPr>
      <w:r>
        <w:t>In making the change, the UK Government noted it would align the UK treatment of telecommunication</w:t>
      </w:r>
      <w:r w:rsidR="00DF0899">
        <w:t>s</w:t>
      </w:r>
      <w:r>
        <w:t xml:space="preserve"> services with the internationally agreed approach for taxing these services.</w:t>
      </w:r>
    </w:p>
    <w:p w14:paraId="58259831" w14:textId="77777777" w:rsidR="00871595" w:rsidRDefault="00871595" w:rsidP="00871595">
      <w:pPr>
        <w:pStyle w:val="Chapter2"/>
        <w:numPr>
          <w:ilvl w:val="0"/>
          <w:numId w:val="0"/>
        </w:numPr>
      </w:pPr>
    </w:p>
    <w:p w14:paraId="354C6F1C" w14:textId="77777777" w:rsidR="00871595" w:rsidRDefault="00871595" w:rsidP="00871595">
      <w:pPr>
        <w:pStyle w:val="Heading2"/>
      </w:pPr>
      <w:bookmarkStart w:id="44" w:name="_Toc428849"/>
      <w:bookmarkStart w:id="45" w:name="_Toc8719828"/>
      <w:r>
        <w:t>European Union</w:t>
      </w:r>
      <w:bookmarkEnd w:id="44"/>
      <w:bookmarkEnd w:id="45"/>
    </w:p>
    <w:p w14:paraId="504F60CF" w14:textId="77777777" w:rsidR="00871595" w:rsidRPr="00871595" w:rsidRDefault="00871595" w:rsidP="00BD0CEB">
      <w:pPr>
        <w:pStyle w:val="Chapter2"/>
        <w:numPr>
          <w:ilvl w:val="0"/>
          <w:numId w:val="0"/>
        </w:numPr>
        <w:ind w:left="851"/>
      </w:pPr>
    </w:p>
    <w:p w14:paraId="1041C4A9" w14:textId="37B017A4" w:rsidR="00871595" w:rsidRDefault="00612EC2" w:rsidP="00871595">
      <w:pPr>
        <w:pStyle w:val="Chapter2"/>
      </w:pPr>
      <w:r>
        <w:t>Under the EU’s rules, s</w:t>
      </w:r>
      <w:r w:rsidR="00871595">
        <w:t>ince 1 January 2015, supplies of telecommunications, broadcasting and electronic services have been subject to tax in the Member State</w:t>
      </w:r>
      <w:r w:rsidR="005F4D07">
        <w:t xml:space="preserve"> in which the customer is resident</w:t>
      </w:r>
      <w:r w:rsidR="00871595">
        <w:t>. VAT applies regardless of whether the customer is a business or a final consumer, and regardless of whether the supplier is based in the EU or outside.</w:t>
      </w:r>
    </w:p>
    <w:p w14:paraId="46224A9B" w14:textId="77777777" w:rsidR="00871595" w:rsidRDefault="00871595" w:rsidP="00871595">
      <w:pPr>
        <w:pStyle w:val="Chapter2"/>
        <w:numPr>
          <w:ilvl w:val="0"/>
          <w:numId w:val="0"/>
        </w:numPr>
      </w:pPr>
    </w:p>
    <w:p w14:paraId="2C94F387" w14:textId="7987C903" w:rsidR="00871595" w:rsidRDefault="00871595" w:rsidP="00871595">
      <w:pPr>
        <w:pStyle w:val="Chapter2"/>
      </w:pPr>
      <w:r>
        <w:t>The definition of telecommunication</w:t>
      </w:r>
      <w:r w:rsidR="00612EC2">
        <w:t>s</w:t>
      </w:r>
      <w:r>
        <w:t xml:space="preserve"> services in the EU VAT </w:t>
      </w:r>
      <w:r w:rsidR="00612EC2">
        <w:t>D</w:t>
      </w:r>
      <w:r>
        <w:t>irective</w:t>
      </w:r>
      <w:r w:rsidR="00E21421" w:rsidRPr="006C78C1">
        <w:rPr>
          <w:rStyle w:val="FootnoteReference"/>
          <w:sz w:val="24"/>
          <w:szCs w:val="24"/>
        </w:rPr>
        <w:footnoteReference w:id="6"/>
      </w:r>
      <w:r>
        <w:t xml:space="preserve"> is similar to the definition in New Zealand’s GST Act, except that it does not specifically exclude content.</w:t>
      </w:r>
    </w:p>
    <w:p w14:paraId="694F4600" w14:textId="77777777" w:rsidR="00871595" w:rsidRDefault="00871595" w:rsidP="00871595">
      <w:pPr>
        <w:pStyle w:val="Chapter2"/>
        <w:numPr>
          <w:ilvl w:val="0"/>
          <w:numId w:val="0"/>
        </w:numPr>
      </w:pPr>
    </w:p>
    <w:p w14:paraId="213D648A" w14:textId="77777777" w:rsidR="00871595" w:rsidRDefault="00871595" w:rsidP="00871595">
      <w:pPr>
        <w:pStyle w:val="Heading2"/>
      </w:pPr>
      <w:bookmarkStart w:id="46" w:name="_Toc428850"/>
      <w:bookmarkStart w:id="47" w:name="_Toc8719829"/>
      <w:r>
        <w:t>Norway</w:t>
      </w:r>
      <w:bookmarkEnd w:id="46"/>
      <w:bookmarkEnd w:id="47"/>
    </w:p>
    <w:p w14:paraId="4B46C33F" w14:textId="77777777" w:rsidR="00871595" w:rsidRPr="00871595" w:rsidRDefault="00871595" w:rsidP="00BD0CEB">
      <w:pPr>
        <w:pStyle w:val="Chapter2"/>
        <w:numPr>
          <w:ilvl w:val="0"/>
          <w:numId w:val="0"/>
        </w:numPr>
        <w:ind w:left="851"/>
      </w:pPr>
    </w:p>
    <w:p w14:paraId="74BD1BCE" w14:textId="0790DA58" w:rsidR="00871595" w:rsidRDefault="00871595" w:rsidP="00871595">
      <w:pPr>
        <w:pStyle w:val="Chapter2"/>
      </w:pPr>
      <w:r>
        <w:t xml:space="preserve">Norway’s </w:t>
      </w:r>
      <w:r w:rsidR="00E21421">
        <w:t>VAT</w:t>
      </w:r>
      <w:r>
        <w:t xml:space="preserve"> on </w:t>
      </w:r>
      <w:r w:rsidR="00E21421">
        <w:t>e</w:t>
      </w:r>
      <w:r>
        <w:t xml:space="preserve">lectronic </w:t>
      </w:r>
      <w:r w:rsidR="00464633">
        <w:t>s</w:t>
      </w:r>
      <w:r>
        <w:t>ervices</w:t>
      </w:r>
      <w:r w:rsidR="00E21421">
        <w:t xml:space="preserve"> (e-services)</w:t>
      </w:r>
      <w:r>
        <w:t xml:space="preserve"> has applied since 1 July 2011. Under Norway’s rules, e-services include electronic communication and telecommunication</w:t>
      </w:r>
      <w:r w:rsidR="00CB3FF8">
        <w:t>s</w:t>
      </w:r>
      <w:r>
        <w:t xml:space="preserve"> services. The definition of these services is based on the EU VAT Directive and the EU VAT Regulation</w:t>
      </w:r>
      <w:r w:rsidR="00E21421">
        <w:t xml:space="preserve"> No 282/2011</w:t>
      </w:r>
      <w:r w:rsidR="00DA06CA">
        <w:t>.</w:t>
      </w:r>
      <w:r w:rsidR="0015715E" w:rsidRPr="003C065F">
        <w:rPr>
          <w:rStyle w:val="FootnoteReference"/>
          <w:sz w:val="24"/>
          <w:szCs w:val="24"/>
        </w:rPr>
        <w:footnoteReference w:id="7"/>
      </w:r>
    </w:p>
    <w:p w14:paraId="15E09876" w14:textId="77777777" w:rsidR="00871595" w:rsidRDefault="00871595" w:rsidP="00871595">
      <w:pPr>
        <w:pStyle w:val="Chapter2"/>
        <w:numPr>
          <w:ilvl w:val="0"/>
          <w:numId w:val="0"/>
        </w:numPr>
      </w:pPr>
    </w:p>
    <w:p w14:paraId="6445ACA0" w14:textId="77777777" w:rsidR="00871595" w:rsidRDefault="00871595" w:rsidP="00871595">
      <w:pPr>
        <w:pStyle w:val="Heading2"/>
      </w:pPr>
      <w:bookmarkStart w:id="48" w:name="_Toc428851"/>
      <w:bookmarkStart w:id="49" w:name="_Toc8719830"/>
      <w:r>
        <w:t>Switzerland</w:t>
      </w:r>
      <w:bookmarkEnd w:id="48"/>
      <w:bookmarkEnd w:id="49"/>
    </w:p>
    <w:p w14:paraId="5FFC5415" w14:textId="77777777" w:rsidR="00871595" w:rsidRPr="00871595" w:rsidRDefault="00871595" w:rsidP="00BD0CEB">
      <w:pPr>
        <w:pStyle w:val="Chapter2"/>
        <w:numPr>
          <w:ilvl w:val="0"/>
          <w:numId w:val="0"/>
        </w:numPr>
        <w:ind w:left="851"/>
      </w:pPr>
    </w:p>
    <w:p w14:paraId="6E32A149" w14:textId="324DE11B" w:rsidR="00871595" w:rsidRDefault="00871595" w:rsidP="00871595">
      <w:pPr>
        <w:pStyle w:val="Chapter2"/>
      </w:pPr>
      <w:r>
        <w:t xml:space="preserve">Similarly, since 2010, Switzerland’s “remote services” rules </w:t>
      </w:r>
      <w:r w:rsidR="00E21421">
        <w:t xml:space="preserve">cover </w:t>
      </w:r>
      <w:r>
        <w:t>both telecom and electronically supplied services.</w:t>
      </w:r>
    </w:p>
    <w:p w14:paraId="276270CC" w14:textId="77777777" w:rsidR="00871595" w:rsidRDefault="00871595" w:rsidP="00871595">
      <w:pPr>
        <w:pStyle w:val="Chapter2"/>
        <w:numPr>
          <w:ilvl w:val="0"/>
          <w:numId w:val="0"/>
        </w:numPr>
      </w:pPr>
    </w:p>
    <w:p w14:paraId="068DFE95" w14:textId="77777777" w:rsidR="00871595" w:rsidRDefault="00871595" w:rsidP="00871595">
      <w:pPr>
        <w:pStyle w:val="Heading2"/>
      </w:pPr>
      <w:bookmarkStart w:id="50" w:name="_Toc428852"/>
      <w:bookmarkStart w:id="51" w:name="_Toc8719831"/>
      <w:r>
        <w:t>Australia</w:t>
      </w:r>
      <w:bookmarkEnd w:id="50"/>
      <w:bookmarkEnd w:id="51"/>
    </w:p>
    <w:p w14:paraId="106C3DA6" w14:textId="77777777" w:rsidR="00871595" w:rsidRPr="00871595" w:rsidRDefault="00871595" w:rsidP="00BD0CEB">
      <w:pPr>
        <w:pStyle w:val="Chapter2"/>
        <w:numPr>
          <w:ilvl w:val="0"/>
          <w:numId w:val="0"/>
        </w:numPr>
        <w:ind w:left="851"/>
      </w:pPr>
    </w:p>
    <w:p w14:paraId="2385C087" w14:textId="5FC91428" w:rsidR="00871595" w:rsidRDefault="005D3B9B" w:rsidP="00871595">
      <w:pPr>
        <w:pStyle w:val="Chapter2"/>
      </w:pPr>
      <w:r>
        <w:t>T</w:t>
      </w:r>
      <w:r w:rsidR="00871595">
        <w:t>elecommunication</w:t>
      </w:r>
      <w:r w:rsidR="00CB3FF8">
        <w:t>s</w:t>
      </w:r>
      <w:r w:rsidR="00871595">
        <w:t xml:space="preserve"> supplies of global roaming</w:t>
      </w:r>
      <w:r w:rsidR="005F4D07">
        <w:t xml:space="preserve"> services</w:t>
      </w:r>
      <w:r w:rsidR="00871595">
        <w:t xml:space="preserve"> outside Australia by an Australian</w:t>
      </w:r>
      <w:r w:rsidR="00A851D1">
        <w:t>-</w:t>
      </w:r>
      <w:r w:rsidR="00871595">
        <w:t>resident supplier</w:t>
      </w:r>
      <w:r w:rsidR="005F4D07">
        <w:t xml:space="preserve"> are </w:t>
      </w:r>
      <w:r w:rsidR="00871595">
        <w:t xml:space="preserve">treated as GST-free </w:t>
      </w:r>
      <w:r w:rsidR="005F4D07">
        <w:t xml:space="preserve">(zero-rated) </w:t>
      </w:r>
      <w:r w:rsidR="00871595">
        <w:t>when:</w:t>
      </w:r>
    </w:p>
    <w:p w14:paraId="5D37CFDC" w14:textId="77777777" w:rsidR="00871595" w:rsidRDefault="00871595" w:rsidP="00871595">
      <w:pPr>
        <w:pStyle w:val="Chapter2"/>
        <w:numPr>
          <w:ilvl w:val="0"/>
          <w:numId w:val="0"/>
        </w:numPr>
      </w:pPr>
    </w:p>
    <w:p w14:paraId="412E1C70" w14:textId="77777777" w:rsidR="00871595" w:rsidRDefault="00871595" w:rsidP="00DA06CA">
      <w:pPr>
        <w:pStyle w:val="Bullets"/>
      </w:pPr>
      <w:r>
        <w:t>the customer is outside Australia when the service is supplied; and</w:t>
      </w:r>
    </w:p>
    <w:p w14:paraId="2105D5A6" w14:textId="77777777" w:rsidR="00871595" w:rsidRDefault="00871595" w:rsidP="006C78C1">
      <w:pPr>
        <w:pStyle w:val="Bullets"/>
      </w:pPr>
      <w:r>
        <w:t>the effective use and enjoyment of the supply by the customer takes place outside Australia.</w:t>
      </w:r>
    </w:p>
    <w:p w14:paraId="32B7AB7C" w14:textId="36CAC6AF" w:rsidR="00871595" w:rsidRDefault="00871595" w:rsidP="00871595">
      <w:pPr>
        <w:pStyle w:val="Chapter2"/>
      </w:pPr>
      <w:r>
        <w:t>Telecommunication</w:t>
      </w:r>
      <w:r w:rsidR="00CB3FF8">
        <w:t>s</w:t>
      </w:r>
      <w:r>
        <w:t xml:space="preserve"> supplies made by an Australian</w:t>
      </w:r>
      <w:r w:rsidR="00276FD1">
        <w:t>-</w:t>
      </w:r>
      <w:r>
        <w:t>resident supplier to a non-resident supplier</w:t>
      </w:r>
      <w:r w:rsidR="00506795">
        <w:t xml:space="preserve"> are GST-free if</w:t>
      </w:r>
      <w:r>
        <w:t xml:space="preserve"> </w:t>
      </w:r>
      <w:r w:rsidR="00276FD1">
        <w:t xml:space="preserve">the supply </w:t>
      </w:r>
      <w:r>
        <w:t xml:space="preserve">enables a non-resident customer </w:t>
      </w:r>
      <w:r w:rsidR="00276FD1">
        <w:t>(</w:t>
      </w:r>
      <w:r>
        <w:t xml:space="preserve">who has a subscription to a telecommunications network outside </w:t>
      </w:r>
      <w:r>
        <w:lastRenderedPageBreak/>
        <w:t>Australia</w:t>
      </w:r>
      <w:r w:rsidR="00276FD1">
        <w:t>)</w:t>
      </w:r>
      <w:r>
        <w:t xml:space="preserve"> to roam in Australia. In effect this means that no Australian GST applies to</w:t>
      </w:r>
      <w:r w:rsidR="00844296">
        <w:t xml:space="preserve"> either outbound or</w:t>
      </w:r>
      <w:r>
        <w:t xml:space="preserve"> inbound roaming services.</w:t>
      </w:r>
    </w:p>
    <w:p w14:paraId="4B3A7F80" w14:textId="77777777" w:rsidR="003730F2" w:rsidRDefault="003730F2" w:rsidP="00BD0CEB">
      <w:pPr>
        <w:pStyle w:val="Chapter2"/>
        <w:numPr>
          <w:ilvl w:val="0"/>
          <w:numId w:val="0"/>
        </w:numPr>
        <w:ind w:left="851"/>
      </w:pPr>
    </w:p>
    <w:p w14:paraId="1E3A27F8" w14:textId="77777777" w:rsidR="003730F2" w:rsidRPr="00673800" w:rsidRDefault="003730F2" w:rsidP="003730F2">
      <w:pPr>
        <w:pStyle w:val="Heading1"/>
      </w:pPr>
      <w:bookmarkStart w:id="52" w:name="_Toc8719832"/>
      <w:r>
        <w:t>Effect of the current rules for telecommunications services</w:t>
      </w:r>
      <w:bookmarkEnd w:id="52"/>
    </w:p>
    <w:p w14:paraId="381C2019" w14:textId="77777777" w:rsidR="00E82CD5" w:rsidRDefault="00E82CD5" w:rsidP="00E82CD5">
      <w:pPr>
        <w:pStyle w:val="Chapter2"/>
        <w:numPr>
          <w:ilvl w:val="0"/>
          <w:numId w:val="0"/>
        </w:numPr>
      </w:pPr>
    </w:p>
    <w:p w14:paraId="2A08321B" w14:textId="77777777" w:rsidR="003730F2" w:rsidRDefault="003730F2" w:rsidP="003730F2">
      <w:pPr>
        <w:pStyle w:val="Chapter2"/>
      </w:pPr>
      <w:r>
        <w:t>The GST rules for telecommunication</w:t>
      </w:r>
      <w:r w:rsidR="00CB3FF8">
        <w:t>s</w:t>
      </w:r>
      <w:r>
        <w:t xml:space="preserve"> services (based on the physical location of the consumer) are out-of-date and inconsistent with both international best practice and with our rules for taxing supplies of remote services. The current rules result in the following outcomes:</w:t>
      </w:r>
    </w:p>
    <w:p w14:paraId="1776F32D" w14:textId="77777777" w:rsidR="003730F2" w:rsidRDefault="003730F2" w:rsidP="003730F2">
      <w:pPr>
        <w:pStyle w:val="Chapter2"/>
        <w:numPr>
          <w:ilvl w:val="0"/>
          <w:numId w:val="0"/>
        </w:numPr>
      </w:pPr>
    </w:p>
    <w:p w14:paraId="495BD61F" w14:textId="77777777" w:rsidR="003730F2" w:rsidRDefault="003730F2" w:rsidP="003730F2">
      <w:pPr>
        <w:pStyle w:val="Heading2"/>
      </w:pPr>
      <w:bookmarkStart w:id="53" w:name="_Toc428854"/>
      <w:bookmarkStart w:id="54" w:name="_Toc8719833"/>
      <w:r>
        <w:t>Resident suppliers</w:t>
      </w:r>
      <w:bookmarkEnd w:id="53"/>
      <w:bookmarkEnd w:id="54"/>
    </w:p>
    <w:p w14:paraId="633235C2" w14:textId="77777777" w:rsidR="003730F2" w:rsidRPr="003730F2" w:rsidRDefault="003730F2" w:rsidP="00BD0CEB">
      <w:pPr>
        <w:pStyle w:val="Chapter2"/>
        <w:numPr>
          <w:ilvl w:val="0"/>
          <w:numId w:val="0"/>
        </w:numPr>
        <w:ind w:left="851"/>
      </w:pPr>
    </w:p>
    <w:p w14:paraId="18452CCB" w14:textId="1C34F37B" w:rsidR="003730F2" w:rsidRDefault="003730F2" w:rsidP="003730F2">
      <w:pPr>
        <w:pStyle w:val="Chapter2"/>
      </w:pPr>
      <w:r>
        <w:t>Supplies of telecommunication</w:t>
      </w:r>
      <w:r w:rsidR="00CB3FF8">
        <w:t>s</w:t>
      </w:r>
      <w:r>
        <w:t xml:space="preserve"> services by a resident to a person who initiates tha</w:t>
      </w:r>
      <w:r w:rsidR="00C83C98">
        <w:t xml:space="preserve">t supply outside New Zealand are </w:t>
      </w:r>
      <w:r>
        <w:t xml:space="preserve">zero-rated (subject to tax at a rate </w:t>
      </w:r>
      <w:r w:rsidR="00966B47">
        <w:t xml:space="preserve">of </w:t>
      </w:r>
      <w:r>
        <w:t xml:space="preserve">zero percent). In practical terms, this allows a resident telecommunications supplier to zero-rate roaming services provided to New Zealand-resident consumers who are temporarily offshore (outbound roaming). </w:t>
      </w:r>
      <w:r w:rsidR="00844296">
        <w:t>The</w:t>
      </w:r>
      <w:r>
        <w:t xml:space="preserve"> principle </w:t>
      </w:r>
      <w:r w:rsidR="00844296">
        <w:t xml:space="preserve">on which this rule is based </w:t>
      </w:r>
      <w:r>
        <w:t xml:space="preserve">was that the consumption of roaming services occurred offshore as the recipient of the services </w:t>
      </w:r>
      <w:r w:rsidR="00844296">
        <w:t xml:space="preserve">is </w:t>
      </w:r>
      <w:r>
        <w:t>offshore when these services</w:t>
      </w:r>
      <w:r w:rsidR="00844296">
        <w:t xml:space="preserve"> are</w:t>
      </w:r>
      <w:r>
        <w:t xml:space="preserve"> physically performed.</w:t>
      </w:r>
    </w:p>
    <w:p w14:paraId="30D42F01" w14:textId="77777777" w:rsidR="003730F2" w:rsidRDefault="003730F2" w:rsidP="003730F2">
      <w:pPr>
        <w:pStyle w:val="Chapter2"/>
        <w:numPr>
          <w:ilvl w:val="0"/>
          <w:numId w:val="0"/>
        </w:numPr>
      </w:pPr>
    </w:p>
    <w:p w14:paraId="571C093C" w14:textId="24A9AB83" w:rsidR="003730F2" w:rsidRPr="00AF40C7" w:rsidRDefault="003730F2" w:rsidP="0009028A">
      <w:pPr>
        <w:pBdr>
          <w:top w:val="single" w:sz="4" w:space="10" w:color="auto"/>
          <w:left w:val="single" w:sz="4" w:space="10" w:color="auto"/>
          <w:bottom w:val="single" w:sz="4" w:space="10" w:color="auto"/>
          <w:right w:val="single" w:sz="4" w:space="10" w:color="auto"/>
        </w:pBdr>
        <w:rPr>
          <w:b/>
          <w:sz w:val="20"/>
        </w:rPr>
      </w:pPr>
      <w:r w:rsidRPr="00AF40C7">
        <w:rPr>
          <w:b/>
          <w:sz w:val="20"/>
        </w:rPr>
        <w:t>Example 1</w:t>
      </w:r>
      <w:r w:rsidR="00165B3E">
        <w:rPr>
          <w:b/>
          <w:sz w:val="20"/>
        </w:rPr>
        <w:t>:</w:t>
      </w:r>
      <w:r w:rsidR="00C076DC">
        <w:rPr>
          <w:b/>
          <w:sz w:val="20"/>
        </w:rPr>
        <w:t xml:space="preserve"> Current GST treatment of outbound roaming services</w:t>
      </w:r>
    </w:p>
    <w:p w14:paraId="699B34C3" w14:textId="77777777" w:rsidR="003730F2" w:rsidRPr="00AF40C7" w:rsidRDefault="003730F2" w:rsidP="0009028A">
      <w:pPr>
        <w:pBdr>
          <w:top w:val="single" w:sz="4" w:space="10" w:color="auto"/>
          <w:left w:val="single" w:sz="4" w:space="10" w:color="auto"/>
          <w:bottom w:val="single" w:sz="4" w:space="10" w:color="auto"/>
          <w:right w:val="single" w:sz="4" w:space="10" w:color="auto"/>
        </w:pBdr>
        <w:rPr>
          <w:sz w:val="20"/>
        </w:rPr>
      </w:pPr>
    </w:p>
    <w:p w14:paraId="0244013F" w14:textId="366D693C" w:rsidR="003730F2" w:rsidRPr="00AF40C7" w:rsidRDefault="003730F2" w:rsidP="0009028A">
      <w:pPr>
        <w:pBdr>
          <w:top w:val="single" w:sz="4" w:space="10" w:color="auto"/>
          <w:left w:val="single" w:sz="4" w:space="10" w:color="auto"/>
          <w:bottom w:val="single" w:sz="4" w:space="10" w:color="auto"/>
          <w:right w:val="single" w:sz="4" w:space="10" w:color="auto"/>
        </w:pBdr>
        <w:rPr>
          <w:sz w:val="20"/>
        </w:rPr>
      </w:pPr>
      <w:r w:rsidRPr="00AF40C7">
        <w:rPr>
          <w:sz w:val="20"/>
        </w:rPr>
        <w:t xml:space="preserve">Nell is a New Zealand resident visiting her Aunty in Brussels. Nell uses her New Zealand mobile phone during her visit to Brussels. GST is charged </w:t>
      </w:r>
      <w:r w:rsidR="00687410">
        <w:rPr>
          <w:sz w:val="20"/>
        </w:rPr>
        <w:t xml:space="preserve">at the rate of </w:t>
      </w:r>
      <w:r w:rsidR="00B0470F">
        <w:rPr>
          <w:sz w:val="20"/>
        </w:rPr>
        <w:t xml:space="preserve">zero percent </w:t>
      </w:r>
      <w:r w:rsidRPr="00AF40C7">
        <w:rPr>
          <w:sz w:val="20"/>
        </w:rPr>
        <w:t>on the roaming services supplied by the New Zealand telecommunication</w:t>
      </w:r>
      <w:r w:rsidR="00CB3FF8" w:rsidRPr="00AF40C7">
        <w:rPr>
          <w:sz w:val="20"/>
        </w:rPr>
        <w:t>s</w:t>
      </w:r>
      <w:r w:rsidRPr="00AF40C7">
        <w:rPr>
          <w:sz w:val="20"/>
        </w:rPr>
        <w:t xml:space="preserve"> services provider to Nell.</w:t>
      </w:r>
    </w:p>
    <w:p w14:paraId="05F090A7" w14:textId="77777777" w:rsidR="003730F2" w:rsidRDefault="003730F2" w:rsidP="003730F2">
      <w:pPr>
        <w:pStyle w:val="Chapter2"/>
        <w:numPr>
          <w:ilvl w:val="0"/>
          <w:numId w:val="0"/>
        </w:numPr>
        <w:ind w:left="851" w:hanging="851"/>
      </w:pPr>
    </w:p>
    <w:p w14:paraId="78EA0413" w14:textId="77777777" w:rsidR="003730F2" w:rsidRDefault="003730F2" w:rsidP="003730F2">
      <w:pPr>
        <w:pStyle w:val="Heading2"/>
      </w:pPr>
      <w:bookmarkStart w:id="55" w:name="_Toc428855"/>
      <w:bookmarkStart w:id="56" w:name="_Toc8719834"/>
      <w:r>
        <w:t>Non-resident suppliers</w:t>
      </w:r>
      <w:bookmarkEnd w:id="55"/>
      <w:bookmarkEnd w:id="56"/>
    </w:p>
    <w:p w14:paraId="44AB4095" w14:textId="77777777" w:rsidR="003730F2" w:rsidRPr="003730F2" w:rsidRDefault="003730F2" w:rsidP="00BD0CEB">
      <w:pPr>
        <w:pStyle w:val="Chapter2"/>
        <w:numPr>
          <w:ilvl w:val="0"/>
          <w:numId w:val="0"/>
        </w:numPr>
        <w:ind w:left="851"/>
      </w:pPr>
    </w:p>
    <w:p w14:paraId="78D97036" w14:textId="77777777" w:rsidR="003730F2" w:rsidRDefault="003730F2" w:rsidP="003730F2">
      <w:pPr>
        <w:pStyle w:val="Chapter2"/>
      </w:pPr>
      <w:r>
        <w:t>Supplies of telecommunication</w:t>
      </w:r>
      <w:r w:rsidR="00CB3FF8">
        <w:t>s</w:t>
      </w:r>
      <w:r>
        <w:t xml:space="preserve"> services by non-residents to both resident and non-resident consumers physically in New Zealand are subject to GST provided the non-resident supplier meets the threshold for GST registration. This means that under current rules, inbound roaming services to non-resident consumers who are temporarily in New Zealand could technically be subject to New Zealand GST. However, a special rule for suppliers of telecommunications services means these suppliers are not required to register if their only taxable supplies are supplies of telecommunications services to non-residents physically in New Zealand.</w:t>
      </w:r>
      <w:r w:rsidRPr="006C78C1">
        <w:rPr>
          <w:rStyle w:val="FootnoteReference"/>
          <w:sz w:val="24"/>
          <w:szCs w:val="24"/>
        </w:rPr>
        <w:footnoteReference w:id="8"/>
      </w:r>
    </w:p>
    <w:p w14:paraId="48B2D0E3" w14:textId="77777777" w:rsidR="003730F2" w:rsidRDefault="003730F2" w:rsidP="003730F2">
      <w:pPr>
        <w:pStyle w:val="Chapter2"/>
        <w:numPr>
          <w:ilvl w:val="0"/>
          <w:numId w:val="0"/>
        </w:numPr>
      </w:pPr>
    </w:p>
    <w:p w14:paraId="0F046551" w14:textId="3A7B93AB" w:rsidR="003730F2" w:rsidRPr="00AF40C7" w:rsidRDefault="003730F2" w:rsidP="0009028A">
      <w:pPr>
        <w:pBdr>
          <w:top w:val="single" w:sz="4" w:space="10" w:color="auto"/>
          <w:left w:val="single" w:sz="4" w:space="10" w:color="auto"/>
          <w:bottom w:val="single" w:sz="4" w:space="10" w:color="auto"/>
          <w:right w:val="single" w:sz="4" w:space="10" w:color="auto"/>
        </w:pBdr>
        <w:rPr>
          <w:b/>
          <w:sz w:val="20"/>
        </w:rPr>
      </w:pPr>
      <w:r w:rsidRPr="00AF40C7">
        <w:rPr>
          <w:b/>
          <w:sz w:val="20"/>
        </w:rPr>
        <w:t>Example 2</w:t>
      </w:r>
      <w:r w:rsidR="00165B3E">
        <w:rPr>
          <w:b/>
          <w:sz w:val="20"/>
        </w:rPr>
        <w:t>:</w:t>
      </w:r>
      <w:r w:rsidR="0080020A">
        <w:rPr>
          <w:b/>
          <w:sz w:val="20"/>
        </w:rPr>
        <w:t xml:space="preserve"> Non-resident supplier of inbound roaming services not required to register</w:t>
      </w:r>
    </w:p>
    <w:p w14:paraId="36AF8787" w14:textId="77777777" w:rsidR="003730F2" w:rsidRPr="00AF40C7" w:rsidRDefault="003730F2" w:rsidP="0009028A">
      <w:pPr>
        <w:pBdr>
          <w:top w:val="single" w:sz="4" w:space="10" w:color="auto"/>
          <w:left w:val="single" w:sz="4" w:space="10" w:color="auto"/>
          <w:bottom w:val="single" w:sz="4" w:space="10" w:color="auto"/>
          <w:right w:val="single" w:sz="4" w:space="10" w:color="auto"/>
        </w:pBdr>
        <w:rPr>
          <w:sz w:val="20"/>
        </w:rPr>
      </w:pPr>
    </w:p>
    <w:p w14:paraId="06EF1B3E" w14:textId="77777777" w:rsidR="003730F2" w:rsidRPr="00AF40C7" w:rsidRDefault="003730F2" w:rsidP="0009028A">
      <w:pPr>
        <w:pBdr>
          <w:top w:val="single" w:sz="4" w:space="10" w:color="auto"/>
          <w:left w:val="single" w:sz="4" w:space="10" w:color="auto"/>
          <w:bottom w:val="single" w:sz="4" w:space="10" w:color="auto"/>
          <w:right w:val="single" w:sz="4" w:space="10" w:color="auto"/>
        </w:pBdr>
        <w:rPr>
          <w:sz w:val="20"/>
        </w:rPr>
      </w:pPr>
      <w:r w:rsidRPr="00AF40C7">
        <w:rPr>
          <w:sz w:val="20"/>
        </w:rPr>
        <w:t>Britphones is a British telecommunications company that supplies $100,000 worth of roaming services to British tourists on holiday in New Zealand. Britphones does not make any other taxable supplies in New Zealand. Britphones is not required to register for GST as their only taxable supplies in New Zealand are telecommunications services supplied to non-residents.</w:t>
      </w:r>
    </w:p>
    <w:p w14:paraId="1DF4BACB" w14:textId="77777777" w:rsidR="005D3B9B" w:rsidRDefault="005D3B9B" w:rsidP="003730F2">
      <w:pPr>
        <w:pStyle w:val="Chapter2"/>
        <w:numPr>
          <w:ilvl w:val="0"/>
          <w:numId w:val="0"/>
        </w:numPr>
        <w:ind w:left="851" w:hanging="851"/>
      </w:pPr>
    </w:p>
    <w:p w14:paraId="50AECA19" w14:textId="77777777" w:rsidR="00CE7EF4" w:rsidRDefault="00CE7EF4" w:rsidP="00B96C6D">
      <w:pPr>
        <w:sectPr w:rsidR="00CE7EF4" w:rsidSect="004D533B">
          <w:type w:val="oddPage"/>
          <w:pgSz w:w="11906" w:h="16838" w:code="9"/>
          <w:pgMar w:top="1134" w:right="1797" w:bottom="1134" w:left="1797" w:header="709" w:footer="425" w:gutter="0"/>
          <w:cols w:space="708"/>
          <w:titlePg/>
          <w:docGrid w:linePitch="360"/>
        </w:sectPr>
      </w:pPr>
      <w:bookmarkStart w:id="57" w:name="_Toc147568000"/>
    </w:p>
    <w:p w14:paraId="5C8BFE71" w14:textId="77777777" w:rsidR="004B4ECA" w:rsidRPr="00673800" w:rsidRDefault="004B4ECA" w:rsidP="004B4ECA">
      <w:pPr>
        <w:pStyle w:val="Chapterheading"/>
      </w:pPr>
      <w:bookmarkStart w:id="58" w:name="_Toc536625576"/>
      <w:bookmarkStart w:id="59" w:name="_Toc428856"/>
      <w:bookmarkStart w:id="60" w:name="_Toc944349"/>
      <w:bookmarkStart w:id="61" w:name="_Toc966570"/>
      <w:bookmarkStart w:id="62" w:name="_Toc1122110"/>
      <w:bookmarkStart w:id="63" w:name="_Toc2240554"/>
      <w:bookmarkStart w:id="64" w:name="_Toc3276833"/>
      <w:bookmarkStart w:id="65" w:name="_Toc3284856"/>
      <w:bookmarkStart w:id="66" w:name="_Toc8719835"/>
      <w:bookmarkEnd w:id="57"/>
      <w:r w:rsidRPr="00673800">
        <w:lastRenderedPageBreak/>
        <w:t>CHAPTER 3</w:t>
      </w:r>
      <w:bookmarkEnd w:id="58"/>
      <w:bookmarkEnd w:id="59"/>
      <w:bookmarkEnd w:id="60"/>
      <w:bookmarkEnd w:id="61"/>
      <w:bookmarkEnd w:id="62"/>
      <w:bookmarkEnd w:id="63"/>
      <w:bookmarkEnd w:id="64"/>
      <w:bookmarkEnd w:id="65"/>
      <w:bookmarkEnd w:id="66"/>
    </w:p>
    <w:p w14:paraId="01AD1B55" w14:textId="77777777" w:rsidR="004B4ECA" w:rsidRPr="00673800" w:rsidRDefault="004B4ECA" w:rsidP="004B4ECA">
      <w:pPr>
        <w:pStyle w:val="Chapterheading"/>
      </w:pPr>
    </w:p>
    <w:p w14:paraId="68FE3D08" w14:textId="77777777" w:rsidR="004B4ECA" w:rsidRPr="00673800" w:rsidRDefault="004B4ECA" w:rsidP="004B4ECA">
      <w:pPr>
        <w:pStyle w:val="Chapterheading"/>
        <w:rPr>
          <w:caps w:val="0"/>
        </w:rPr>
      </w:pPr>
      <w:bookmarkStart w:id="67" w:name="_Toc8719836"/>
      <w:r w:rsidRPr="00673800">
        <w:rPr>
          <w:caps w:val="0"/>
        </w:rPr>
        <w:t>Proposals</w:t>
      </w:r>
      <w:bookmarkEnd w:id="67"/>
    </w:p>
    <w:p w14:paraId="7C783BBD" w14:textId="77777777" w:rsidR="004B4ECA" w:rsidRPr="00673800" w:rsidRDefault="004B4ECA" w:rsidP="004B4ECA">
      <w:pPr>
        <w:pStyle w:val="Chapter3"/>
        <w:numPr>
          <w:ilvl w:val="0"/>
          <w:numId w:val="0"/>
        </w:numPr>
        <w:ind w:left="851"/>
      </w:pPr>
    </w:p>
    <w:p w14:paraId="2B98BEB8" w14:textId="77777777" w:rsidR="004B4ECA" w:rsidRPr="00673800" w:rsidRDefault="004B4ECA" w:rsidP="004B4ECA">
      <w:pPr>
        <w:pStyle w:val="Chapter3"/>
        <w:numPr>
          <w:ilvl w:val="0"/>
          <w:numId w:val="0"/>
        </w:numPr>
        <w:ind w:left="851"/>
      </w:pPr>
    </w:p>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7877"/>
      </w:tblGrid>
      <w:tr w:rsidR="004B4ECA" w:rsidRPr="00673800" w14:paraId="1F9F6BAA" w14:textId="77777777" w:rsidTr="00FD140A">
        <w:tc>
          <w:tcPr>
            <w:tcW w:w="8505" w:type="dxa"/>
          </w:tcPr>
          <w:p w14:paraId="1DD95277" w14:textId="77777777" w:rsidR="004B4ECA" w:rsidRDefault="004B4ECA" w:rsidP="00FD140A">
            <w:pPr>
              <w:ind w:left="284" w:hanging="284"/>
            </w:pPr>
            <w:bookmarkStart w:id="68" w:name="_Hlk774037"/>
            <w:bookmarkStart w:id="69" w:name="_Hlk883268"/>
            <w:bookmarkStart w:id="70" w:name="_Hlk951861"/>
            <w:r w:rsidRPr="00673800">
              <w:t xml:space="preserve">It is proposed </w:t>
            </w:r>
            <w:r w:rsidR="00014D0D">
              <w:t>that</w:t>
            </w:r>
            <w:r w:rsidRPr="00673800">
              <w:t>:</w:t>
            </w:r>
          </w:p>
          <w:p w14:paraId="353D6CDB" w14:textId="77777777" w:rsidR="0040711D" w:rsidRPr="00673800" w:rsidRDefault="0040711D" w:rsidP="00FD140A">
            <w:pPr>
              <w:ind w:left="284" w:hanging="284"/>
            </w:pPr>
          </w:p>
          <w:p w14:paraId="1085EE4B" w14:textId="77777777" w:rsidR="004B4ECA" w:rsidRPr="00673800" w:rsidRDefault="00014D0D" w:rsidP="00FD140A">
            <w:pPr>
              <w:pStyle w:val="Bullets"/>
              <w:tabs>
                <w:tab w:val="clear" w:pos="567"/>
                <w:tab w:val="clear" w:pos="1418"/>
                <w:tab w:val="left" w:pos="568"/>
              </w:tabs>
              <w:ind w:left="568" w:hanging="568"/>
            </w:pPr>
            <w:r>
              <w:t>The</w:t>
            </w:r>
            <w:r w:rsidR="004B4ECA">
              <w:t xml:space="preserve"> special rules in the GST Act for supplies of telecommunications services</w:t>
            </w:r>
            <w:r>
              <w:t xml:space="preserve"> be </w:t>
            </w:r>
            <w:r w:rsidR="001C35D0">
              <w:t xml:space="preserve">mostly </w:t>
            </w:r>
            <w:r>
              <w:t>repealed</w:t>
            </w:r>
            <w:r w:rsidR="004B4ECA">
              <w:t>.</w:t>
            </w:r>
          </w:p>
          <w:bookmarkEnd w:id="68"/>
          <w:p w14:paraId="7D1379D3" w14:textId="77777777" w:rsidR="00844296" w:rsidRPr="00844296" w:rsidRDefault="00844296" w:rsidP="00844296">
            <w:pPr>
              <w:pStyle w:val="Bullets"/>
              <w:tabs>
                <w:tab w:val="clear" w:pos="567"/>
                <w:tab w:val="clear" w:pos="1418"/>
                <w:tab w:val="left" w:pos="568"/>
              </w:tabs>
              <w:ind w:left="568" w:hanging="568"/>
            </w:pPr>
            <w:r w:rsidRPr="00844296">
              <w:t>The GST treatment of most telecommunications services be aligned with the treatment of other remote services.</w:t>
            </w:r>
          </w:p>
          <w:bookmarkEnd w:id="69"/>
          <w:p w14:paraId="6F3597E6" w14:textId="77777777" w:rsidR="004B4ECA" w:rsidRDefault="00827D49" w:rsidP="00D44F21">
            <w:pPr>
              <w:pStyle w:val="Bullets"/>
              <w:tabs>
                <w:tab w:val="clear" w:pos="567"/>
                <w:tab w:val="clear" w:pos="1418"/>
                <w:tab w:val="left" w:pos="568"/>
              </w:tabs>
              <w:ind w:left="568" w:hanging="568"/>
            </w:pPr>
            <w:r>
              <w:t>The GST treatment of some specific telecommunications services will be determined by the physical location of the recipient rather than their residency, if to receive the services, the recipient needs to be at a specific location.</w:t>
            </w:r>
          </w:p>
          <w:p w14:paraId="76114352" w14:textId="77777777" w:rsidR="00CC6821" w:rsidRDefault="00CC6821" w:rsidP="00D44F21">
            <w:pPr>
              <w:pStyle w:val="Bullets"/>
              <w:tabs>
                <w:tab w:val="clear" w:pos="567"/>
                <w:tab w:val="clear" w:pos="1418"/>
                <w:tab w:val="left" w:pos="568"/>
              </w:tabs>
              <w:ind w:left="568" w:hanging="568"/>
            </w:pPr>
            <w:r>
              <w:t>The residency of a consumer receiving mobile telecommunications services be determined solely by the country code of the SIM card they are using to receive those services.</w:t>
            </w:r>
          </w:p>
          <w:p w14:paraId="0F5088DE" w14:textId="77777777" w:rsidR="00CC6821" w:rsidRPr="00673800" w:rsidRDefault="00187F13" w:rsidP="00CC6821">
            <w:pPr>
              <w:pStyle w:val="Bullets"/>
              <w:tabs>
                <w:tab w:val="clear" w:pos="567"/>
                <w:tab w:val="clear" w:pos="1418"/>
                <w:tab w:val="left" w:pos="568"/>
              </w:tabs>
              <w:ind w:left="568" w:hanging="568"/>
            </w:pPr>
            <w:r>
              <w:t>Business-to-business s</w:t>
            </w:r>
            <w:r w:rsidR="00CC6821">
              <w:t xml:space="preserve">upplies of telecommunications services </w:t>
            </w:r>
            <w:r w:rsidR="008F4EFD">
              <w:t xml:space="preserve">by non-resident suppliers </w:t>
            </w:r>
            <w:r w:rsidR="00CC6821">
              <w:t xml:space="preserve">would </w:t>
            </w:r>
            <w:r>
              <w:t xml:space="preserve">continue to </w:t>
            </w:r>
            <w:r w:rsidR="00CC6821">
              <w:t>not be subject to GST.</w:t>
            </w:r>
          </w:p>
        </w:tc>
      </w:tr>
      <w:bookmarkEnd w:id="70"/>
    </w:tbl>
    <w:p w14:paraId="41F22962" w14:textId="77777777" w:rsidR="004B4ECA" w:rsidRPr="00673800" w:rsidRDefault="004B4ECA" w:rsidP="004B4ECA">
      <w:pPr>
        <w:pStyle w:val="Chapter3"/>
        <w:numPr>
          <w:ilvl w:val="0"/>
          <w:numId w:val="0"/>
        </w:numPr>
        <w:ind w:left="851"/>
      </w:pPr>
    </w:p>
    <w:p w14:paraId="022A592A" w14:textId="77777777" w:rsidR="004B4ECA" w:rsidRPr="00673800" w:rsidRDefault="004B4ECA" w:rsidP="004B4ECA">
      <w:pPr>
        <w:pStyle w:val="Chapter3"/>
        <w:numPr>
          <w:ilvl w:val="0"/>
          <w:numId w:val="0"/>
        </w:numPr>
        <w:ind w:left="851"/>
      </w:pPr>
    </w:p>
    <w:p w14:paraId="2DAB5B74" w14:textId="77777777" w:rsidR="004B4ECA" w:rsidRPr="00673800" w:rsidRDefault="004B4ECA" w:rsidP="004B4ECA">
      <w:pPr>
        <w:pStyle w:val="Heading1"/>
      </w:pPr>
      <w:bookmarkStart w:id="71" w:name="_Toc8719837"/>
      <w:r w:rsidRPr="00673800">
        <w:t>The problem</w:t>
      </w:r>
      <w:bookmarkEnd w:id="71"/>
    </w:p>
    <w:p w14:paraId="21E037A7" w14:textId="77777777" w:rsidR="004B4ECA" w:rsidRPr="00673800" w:rsidRDefault="004B4ECA" w:rsidP="004B4ECA">
      <w:pPr>
        <w:pStyle w:val="Chapter3"/>
        <w:numPr>
          <w:ilvl w:val="0"/>
          <w:numId w:val="0"/>
        </w:numPr>
        <w:ind w:left="851"/>
      </w:pPr>
    </w:p>
    <w:p w14:paraId="31C3C93A" w14:textId="77777777" w:rsidR="003A25DB" w:rsidRPr="00673800" w:rsidRDefault="003A25DB" w:rsidP="003A25DB">
      <w:pPr>
        <w:pStyle w:val="Chapter3"/>
      </w:pPr>
      <w:r>
        <w:t>As outlined in chapter 2, the approach of m</w:t>
      </w:r>
      <w:r w:rsidR="0015715E">
        <w:t>any</w:t>
      </w:r>
      <w:r>
        <w:t xml:space="preserve"> countries is to apply tax to telecommunications services on a residency basis. As New Zealand’s current rules are not aligned with international best practice they could give rise to potential double non-taxation and double taxation issues. Outbound roaming services supplied to New Zealand-resident consumers temporarily offshore may not be taxed in any country (double non-taxation). On the other hand, inbound roaming services received by a non-resident in New Zealand could </w:t>
      </w:r>
      <w:r w:rsidR="00827D49">
        <w:t xml:space="preserve">possibly </w:t>
      </w:r>
      <w:r>
        <w:t>be subject to tax in both New Zealand and in the country where the consumer is usually resident (double taxation).</w:t>
      </w:r>
    </w:p>
    <w:p w14:paraId="3F0B7B74" w14:textId="77777777" w:rsidR="003A25DB" w:rsidRDefault="003A25DB" w:rsidP="00760799">
      <w:pPr>
        <w:pStyle w:val="Chapter3"/>
        <w:numPr>
          <w:ilvl w:val="0"/>
          <w:numId w:val="0"/>
        </w:numPr>
        <w:ind w:left="851"/>
      </w:pPr>
    </w:p>
    <w:p w14:paraId="368BF2A0" w14:textId="77777777" w:rsidR="004B4ECA" w:rsidRDefault="009B159C" w:rsidP="004B4ECA">
      <w:pPr>
        <w:pStyle w:val="Chapter3"/>
      </w:pPr>
      <w:r>
        <w:t>Further, t</w:t>
      </w:r>
      <w:r w:rsidR="004B4ECA">
        <w:t>he nature of telecommunication</w:t>
      </w:r>
      <w:r w:rsidR="00CB3FF8">
        <w:t>s</w:t>
      </w:r>
      <w:r w:rsidR="004B4ECA">
        <w:t xml:space="preserve"> services has changed significantly since the special GST rules were introduced in 2003. The lines between telecommunication</w:t>
      </w:r>
      <w:r w:rsidR="00CB3FF8">
        <w:t>s</w:t>
      </w:r>
      <w:r w:rsidR="004B4ECA">
        <w:t xml:space="preserve"> services and content are now blurred and services that were once separate are now supplied together over data-based networks.</w:t>
      </w:r>
    </w:p>
    <w:p w14:paraId="31E7A3AA" w14:textId="77777777" w:rsidR="005D3B9B" w:rsidRDefault="005D3B9B" w:rsidP="004B4ECA">
      <w:pPr>
        <w:pStyle w:val="Chapter3"/>
        <w:numPr>
          <w:ilvl w:val="0"/>
          <w:numId w:val="0"/>
        </w:numPr>
      </w:pPr>
    </w:p>
    <w:p w14:paraId="1E7E8BCC" w14:textId="77777777" w:rsidR="004B4ECA" w:rsidRDefault="004B4ECA" w:rsidP="004B4ECA">
      <w:pPr>
        <w:pStyle w:val="Chapter3"/>
      </w:pPr>
      <w:r>
        <w:t>It does not make sense when these services are now so interconnected, for the supply of digital content to be treated differently (currently taxable under the remote services regime) from the telecommunication</w:t>
      </w:r>
      <w:r w:rsidR="00CB3FF8">
        <w:t>s</w:t>
      </w:r>
      <w:r>
        <w:t xml:space="preserve"> services through which the content is able to be provided or delivered. The current rules mean that a New Zealand resident would, for example, be charged GST on music that she has downloaded while overseas, but no GST would be charged on the roaming services that she has used to download the music.</w:t>
      </w:r>
    </w:p>
    <w:p w14:paraId="77C5DF2E" w14:textId="77777777" w:rsidR="004B4ECA" w:rsidRDefault="004B4ECA" w:rsidP="004B4ECA">
      <w:pPr>
        <w:pStyle w:val="Chapter3"/>
        <w:numPr>
          <w:ilvl w:val="0"/>
          <w:numId w:val="0"/>
        </w:numPr>
        <w:ind w:left="851"/>
      </w:pPr>
    </w:p>
    <w:p w14:paraId="7D0FF240" w14:textId="1575B12D" w:rsidR="004B4ECA" w:rsidRPr="0009028A" w:rsidRDefault="004B4ECA" w:rsidP="0009028A">
      <w:pPr>
        <w:pBdr>
          <w:top w:val="single" w:sz="4" w:space="10" w:color="auto"/>
          <w:left w:val="single" w:sz="4" w:space="10" w:color="auto"/>
          <w:bottom w:val="single" w:sz="4" w:space="10" w:color="auto"/>
          <w:right w:val="single" w:sz="4" w:space="10" w:color="auto"/>
        </w:pBdr>
        <w:rPr>
          <w:b/>
          <w:sz w:val="20"/>
        </w:rPr>
      </w:pPr>
      <w:r w:rsidRPr="0009028A">
        <w:rPr>
          <w:b/>
          <w:sz w:val="20"/>
        </w:rPr>
        <w:lastRenderedPageBreak/>
        <w:t>Example 3</w:t>
      </w:r>
      <w:r w:rsidR="00165B3E">
        <w:rPr>
          <w:b/>
          <w:sz w:val="20"/>
        </w:rPr>
        <w:t>:</w:t>
      </w:r>
      <w:r w:rsidR="00857170">
        <w:rPr>
          <w:b/>
          <w:sz w:val="20"/>
        </w:rPr>
        <w:t xml:space="preserve"> Current treatment of outbound roaming services versus treatment of other remote services</w:t>
      </w:r>
    </w:p>
    <w:p w14:paraId="67CD7BE8" w14:textId="77777777" w:rsidR="004B4ECA" w:rsidRPr="0009028A" w:rsidRDefault="004B4ECA" w:rsidP="0009028A">
      <w:pPr>
        <w:pBdr>
          <w:top w:val="single" w:sz="4" w:space="10" w:color="auto"/>
          <w:left w:val="single" w:sz="4" w:space="10" w:color="auto"/>
          <w:bottom w:val="single" w:sz="4" w:space="10" w:color="auto"/>
          <w:right w:val="single" w:sz="4" w:space="10" w:color="auto"/>
        </w:pBdr>
        <w:rPr>
          <w:sz w:val="20"/>
        </w:rPr>
      </w:pPr>
    </w:p>
    <w:p w14:paraId="51175A75" w14:textId="1E6AFB70" w:rsidR="004B4ECA" w:rsidRPr="0009028A" w:rsidRDefault="004B4ECA" w:rsidP="0009028A">
      <w:pPr>
        <w:pBdr>
          <w:top w:val="single" w:sz="4" w:space="10" w:color="auto"/>
          <w:left w:val="single" w:sz="4" w:space="10" w:color="auto"/>
          <w:bottom w:val="single" w:sz="4" w:space="10" w:color="auto"/>
          <w:right w:val="single" w:sz="4" w:space="10" w:color="auto"/>
        </w:pBdr>
        <w:rPr>
          <w:sz w:val="20"/>
        </w:rPr>
      </w:pPr>
      <w:r w:rsidRPr="0009028A">
        <w:rPr>
          <w:sz w:val="20"/>
        </w:rPr>
        <w:t xml:space="preserve">Nell is still in Brussels on holiday. She uses roaming services on her New Zealand mobile phone to search for a song title. She then pays to download that song from a popular international music website. The song she downloads onto her phone is subject to New Zealand GST (taxable under the remote service rules). However, the underlying roaming services which enabled her to search for the song on the internet and subsequently download it onto her phone </w:t>
      </w:r>
      <w:r w:rsidR="001C5D7D">
        <w:rPr>
          <w:sz w:val="20"/>
        </w:rPr>
        <w:t>are</w:t>
      </w:r>
      <w:r w:rsidR="001C5D7D" w:rsidRPr="0009028A">
        <w:rPr>
          <w:sz w:val="20"/>
        </w:rPr>
        <w:t xml:space="preserve"> </w:t>
      </w:r>
      <w:r w:rsidRPr="0009028A">
        <w:rPr>
          <w:sz w:val="20"/>
        </w:rPr>
        <w:t>not subject to GST (currently zero-rated under the special rules for telecommunication</w:t>
      </w:r>
      <w:r w:rsidR="00CB3FF8" w:rsidRPr="0009028A">
        <w:rPr>
          <w:sz w:val="20"/>
        </w:rPr>
        <w:t>s</w:t>
      </w:r>
      <w:r w:rsidRPr="0009028A">
        <w:rPr>
          <w:sz w:val="20"/>
        </w:rPr>
        <w:t xml:space="preserve"> services).</w:t>
      </w:r>
    </w:p>
    <w:p w14:paraId="07F618EB" w14:textId="77777777" w:rsidR="004B4ECA" w:rsidRDefault="004B4ECA" w:rsidP="004B4ECA">
      <w:pPr>
        <w:pStyle w:val="Chapter3"/>
        <w:numPr>
          <w:ilvl w:val="0"/>
          <w:numId w:val="0"/>
        </w:numPr>
        <w:ind w:left="851"/>
      </w:pPr>
    </w:p>
    <w:p w14:paraId="07269DC1" w14:textId="77777777" w:rsidR="004B4ECA" w:rsidRPr="00673800" w:rsidRDefault="004B4ECA" w:rsidP="004B4ECA">
      <w:pPr>
        <w:pStyle w:val="Heading1"/>
      </w:pPr>
      <w:bookmarkStart w:id="72" w:name="_Toc8719838"/>
      <w:r w:rsidRPr="00673800">
        <w:t>The main proposal</w:t>
      </w:r>
      <w:bookmarkEnd w:id="72"/>
    </w:p>
    <w:p w14:paraId="6F7EB94C" w14:textId="77777777" w:rsidR="004B4ECA" w:rsidRPr="00673800" w:rsidRDefault="004B4ECA" w:rsidP="004B4ECA">
      <w:pPr>
        <w:pStyle w:val="Chapter3"/>
        <w:numPr>
          <w:ilvl w:val="0"/>
          <w:numId w:val="0"/>
        </w:numPr>
        <w:ind w:left="851"/>
      </w:pPr>
    </w:p>
    <w:p w14:paraId="6B977DAF" w14:textId="77777777" w:rsidR="00513DEC" w:rsidRDefault="00F56814" w:rsidP="004B4ECA">
      <w:pPr>
        <w:pStyle w:val="Chapter3"/>
      </w:pPr>
      <w:r>
        <w:t>The Government has proposed to repeal</w:t>
      </w:r>
      <w:r w:rsidR="00AF40C7">
        <w:t xml:space="preserve"> most of</w:t>
      </w:r>
      <w:r>
        <w:t xml:space="preserve"> the special rules applying to telecommunications services.</w:t>
      </w:r>
      <w:r w:rsidR="004B4ECA">
        <w:t xml:space="preserve"> Repealing the telecommunication</w:t>
      </w:r>
      <w:r w:rsidR="00CB3FF8">
        <w:t>s</w:t>
      </w:r>
      <w:r w:rsidR="004B4ECA">
        <w:t xml:space="preserve"> services rules would mean that</w:t>
      </w:r>
      <w:r w:rsidR="00CA6DA6">
        <w:t xml:space="preserve"> </w:t>
      </w:r>
      <w:r w:rsidR="00966B47">
        <w:t xml:space="preserve">telecommunications services </w:t>
      </w:r>
      <w:r w:rsidR="00513DEC">
        <w:t>would generally be treated as remote services. As such, their place of consumption would be determined by the residency of the recipient of the services.</w:t>
      </w:r>
    </w:p>
    <w:p w14:paraId="2DBDA420" w14:textId="77777777" w:rsidR="00513DEC" w:rsidRDefault="00513DEC" w:rsidP="00760799">
      <w:pPr>
        <w:pStyle w:val="Chapter3"/>
        <w:numPr>
          <w:ilvl w:val="0"/>
          <w:numId w:val="0"/>
        </w:numPr>
        <w:ind w:left="851"/>
      </w:pPr>
    </w:p>
    <w:p w14:paraId="5F4E3BB6" w14:textId="093CCCF6" w:rsidR="00F56814" w:rsidRDefault="00513DEC" w:rsidP="004B4ECA">
      <w:pPr>
        <w:pStyle w:val="Chapter3"/>
      </w:pPr>
      <w:r>
        <w:t xml:space="preserve">However, for certain telecommunications services </w:t>
      </w:r>
      <w:r w:rsidR="00F27401">
        <w:t>the</w:t>
      </w:r>
      <w:r>
        <w:t xml:space="preserve"> consumer’s residency is not an appropriate proxy for the place of consumption. These services require a person to be in a specific location to receive the services. For these specific telecommunications services we propose that the location of the recipient of the services should be used for determining the place of consumption (discussed in chapter 4).</w:t>
      </w:r>
    </w:p>
    <w:p w14:paraId="57559805" w14:textId="77777777" w:rsidR="00CA6DA6" w:rsidRDefault="00CA6DA6" w:rsidP="00CA6DA6">
      <w:pPr>
        <w:pStyle w:val="Chapter3"/>
        <w:numPr>
          <w:ilvl w:val="0"/>
          <w:numId w:val="0"/>
        </w:numPr>
      </w:pPr>
    </w:p>
    <w:p w14:paraId="09B5EF08" w14:textId="77777777" w:rsidR="00CA6DA6" w:rsidRPr="00673800" w:rsidRDefault="00513DEC" w:rsidP="00CA6DA6">
      <w:pPr>
        <w:pStyle w:val="Heading1"/>
      </w:pPr>
      <w:bookmarkStart w:id="73" w:name="_Toc8719839"/>
      <w:r>
        <w:t>Telecommunications services as remote services</w:t>
      </w:r>
      <w:bookmarkEnd w:id="73"/>
    </w:p>
    <w:p w14:paraId="239FB902" w14:textId="77777777" w:rsidR="00CA6DA6" w:rsidRDefault="00CA6DA6" w:rsidP="00CA6DA6">
      <w:pPr>
        <w:pStyle w:val="Chapter3"/>
        <w:numPr>
          <w:ilvl w:val="0"/>
          <w:numId w:val="0"/>
        </w:numPr>
      </w:pPr>
    </w:p>
    <w:p w14:paraId="418956EC" w14:textId="77777777" w:rsidR="00DC1A41" w:rsidRDefault="00DC1A41" w:rsidP="00760799">
      <w:pPr>
        <w:pStyle w:val="Chapter3"/>
      </w:pPr>
      <w:r>
        <w:t>Section 2 of the GST Act defines a remote service as:</w:t>
      </w:r>
    </w:p>
    <w:p w14:paraId="4CD8635E" w14:textId="77777777" w:rsidR="00DC1A41" w:rsidRDefault="00DC1A41" w:rsidP="00DC1A41">
      <w:pPr>
        <w:pStyle w:val="Chapter3"/>
        <w:numPr>
          <w:ilvl w:val="0"/>
          <w:numId w:val="0"/>
        </w:numPr>
        <w:ind w:left="851"/>
      </w:pPr>
    </w:p>
    <w:p w14:paraId="2468D981" w14:textId="77777777" w:rsidR="00DC1A41" w:rsidRDefault="00DC1A41" w:rsidP="00DC1A41">
      <w:pPr>
        <w:pStyle w:val="Chapter3"/>
        <w:numPr>
          <w:ilvl w:val="0"/>
          <w:numId w:val="0"/>
        </w:numPr>
        <w:ind w:left="1440"/>
        <w:rPr>
          <w:i/>
        </w:rPr>
      </w:pPr>
      <w:r>
        <w:rPr>
          <w:i/>
        </w:rPr>
        <w:t xml:space="preserve">a service that, </w:t>
      </w:r>
      <w:r w:rsidRPr="006C6AFA">
        <w:rPr>
          <w:i/>
        </w:rPr>
        <w:t>at the time of the performance of the service, has no necessary connection between</w:t>
      </w:r>
      <w:r>
        <w:rPr>
          <w:i/>
        </w:rPr>
        <w:t xml:space="preserve"> –</w:t>
      </w:r>
    </w:p>
    <w:p w14:paraId="656CE0DC" w14:textId="77777777" w:rsidR="00DC1A41" w:rsidRDefault="00DC1A41" w:rsidP="00DC1A41">
      <w:pPr>
        <w:pStyle w:val="Chapter3"/>
        <w:numPr>
          <w:ilvl w:val="0"/>
          <w:numId w:val="0"/>
        </w:numPr>
        <w:ind w:left="1440"/>
        <w:rPr>
          <w:i/>
        </w:rPr>
      </w:pPr>
    </w:p>
    <w:p w14:paraId="1CFB3E34" w14:textId="77777777" w:rsidR="00DC1A41" w:rsidRDefault="00DC1A41" w:rsidP="00DC1A41">
      <w:pPr>
        <w:pStyle w:val="Chapter3"/>
        <w:numPr>
          <w:ilvl w:val="0"/>
          <w:numId w:val="16"/>
        </w:numPr>
        <w:rPr>
          <w:i/>
        </w:rPr>
      </w:pPr>
      <w:r>
        <w:rPr>
          <w:i/>
        </w:rPr>
        <w:t>the place where the service is physically performed; and</w:t>
      </w:r>
    </w:p>
    <w:p w14:paraId="6D8E020B" w14:textId="77777777" w:rsidR="00DC1A41" w:rsidRPr="006C6AFA" w:rsidRDefault="00DC1A41" w:rsidP="00DC1A41">
      <w:pPr>
        <w:pStyle w:val="Chapter3"/>
        <w:numPr>
          <w:ilvl w:val="0"/>
          <w:numId w:val="16"/>
        </w:numPr>
        <w:rPr>
          <w:i/>
        </w:rPr>
      </w:pPr>
      <w:r>
        <w:rPr>
          <w:i/>
        </w:rPr>
        <w:t>the location of the recipient of the services</w:t>
      </w:r>
    </w:p>
    <w:p w14:paraId="7BF13FD3" w14:textId="77777777" w:rsidR="00DC1A41" w:rsidRDefault="00DC1A41" w:rsidP="00DC1A41">
      <w:pPr>
        <w:pStyle w:val="Chapter3"/>
        <w:numPr>
          <w:ilvl w:val="0"/>
          <w:numId w:val="0"/>
        </w:numPr>
        <w:ind w:left="851"/>
      </w:pPr>
    </w:p>
    <w:p w14:paraId="712A8E24" w14:textId="77777777" w:rsidR="00DC1A41" w:rsidRDefault="00DC1A41" w:rsidP="00C16A87">
      <w:pPr>
        <w:pStyle w:val="Chapter3"/>
      </w:pPr>
      <w:r>
        <w:rPr>
          <w:rStyle w:val="Chapter3Char1"/>
        </w:rPr>
        <w:t>We consider that most</w:t>
      </w:r>
      <w:r w:rsidRPr="00760799">
        <w:rPr>
          <w:rStyle w:val="Chapter3Char1"/>
        </w:rPr>
        <w:t xml:space="preserve"> telecommunications services meet this definition. Therefore, by</w:t>
      </w:r>
      <w:r>
        <w:t xml:space="preserve"> repealing the special GST rules for telecommunications services, the treatment of telecommunications services would be aligned with the treatment of other remote services</w:t>
      </w:r>
      <w:r w:rsidR="00827D49">
        <w:t xml:space="preserve"> and based on the consumer’s residency rather than their physical location</w:t>
      </w:r>
      <w:r>
        <w:t>. This means that telecommunications services supplied to New Zealand</w:t>
      </w:r>
      <w:r w:rsidR="009B159C">
        <w:t>-</w:t>
      </w:r>
      <w:r>
        <w:t>resident consumers would be subject to GST regardless of the location of the consumer. Conversely, telecommunications services supplied to non-resident</w:t>
      </w:r>
      <w:r w:rsidR="009B159C">
        <w:t xml:space="preserve"> consumers</w:t>
      </w:r>
      <w:r>
        <w:t xml:space="preserve"> would not be subject to GST.</w:t>
      </w:r>
    </w:p>
    <w:p w14:paraId="089BEB1A" w14:textId="77777777" w:rsidR="00CD0BC0" w:rsidRDefault="00CD0BC0">
      <w:pPr>
        <w:pStyle w:val="Chapter3"/>
        <w:numPr>
          <w:ilvl w:val="0"/>
          <w:numId w:val="0"/>
        </w:numPr>
      </w:pPr>
    </w:p>
    <w:p w14:paraId="6096E6D6" w14:textId="77777777" w:rsidR="00871775" w:rsidRDefault="00871775" w:rsidP="00C16A87">
      <w:pPr>
        <w:pStyle w:val="Chapter3"/>
      </w:pPr>
      <w:r>
        <w:t xml:space="preserve">For most telecommunications services, aligning their treatment with the GST treatment of other remote services would not change their GST treatment. </w:t>
      </w:r>
      <w:r w:rsidR="00491744">
        <w:t>These telecommunications services are currently initiated in New Zealand by a New Zealand resident, or initiated outside New Zealand by a non-resident.</w:t>
      </w:r>
    </w:p>
    <w:p w14:paraId="182287E5" w14:textId="77777777" w:rsidR="00CB2B86" w:rsidRDefault="00CB2B86" w:rsidP="00760799">
      <w:pPr>
        <w:pStyle w:val="Chapter3"/>
        <w:numPr>
          <w:ilvl w:val="0"/>
          <w:numId w:val="0"/>
        </w:numPr>
        <w:ind w:left="851"/>
      </w:pPr>
    </w:p>
    <w:p w14:paraId="2CF1E13D" w14:textId="77777777" w:rsidR="002E51A3" w:rsidRDefault="002E51A3">
      <w:pPr>
        <w:jc w:val="left"/>
        <w:rPr>
          <w:b/>
          <w:sz w:val="20"/>
        </w:rPr>
      </w:pPr>
      <w:r>
        <w:rPr>
          <w:b/>
          <w:sz w:val="20"/>
        </w:rPr>
        <w:br w:type="page"/>
      </w:r>
    </w:p>
    <w:p w14:paraId="7FC42219" w14:textId="6F84A8DC" w:rsidR="00491744" w:rsidRPr="0009028A" w:rsidRDefault="00491744" w:rsidP="0009028A">
      <w:pPr>
        <w:pBdr>
          <w:top w:val="single" w:sz="4" w:space="10" w:color="auto"/>
          <w:left w:val="single" w:sz="4" w:space="10" w:color="auto"/>
          <w:bottom w:val="single" w:sz="4" w:space="10" w:color="auto"/>
          <w:right w:val="single" w:sz="4" w:space="10" w:color="auto"/>
        </w:pBdr>
        <w:rPr>
          <w:b/>
          <w:sz w:val="20"/>
        </w:rPr>
      </w:pPr>
      <w:r w:rsidRPr="0009028A">
        <w:rPr>
          <w:b/>
          <w:sz w:val="20"/>
        </w:rPr>
        <w:lastRenderedPageBreak/>
        <w:t>Example</w:t>
      </w:r>
      <w:r w:rsidR="00C10363" w:rsidRPr="0009028A">
        <w:rPr>
          <w:b/>
          <w:sz w:val="20"/>
        </w:rPr>
        <w:t xml:space="preserve"> 4</w:t>
      </w:r>
      <w:r w:rsidR="004B1DD5">
        <w:rPr>
          <w:b/>
          <w:sz w:val="20"/>
        </w:rPr>
        <w:t>: Telecommunication services supplied to a resident</w:t>
      </w:r>
    </w:p>
    <w:p w14:paraId="225D04FB" w14:textId="77777777" w:rsidR="00491744" w:rsidRPr="0009028A" w:rsidRDefault="00491744" w:rsidP="0009028A">
      <w:pPr>
        <w:pBdr>
          <w:top w:val="single" w:sz="4" w:space="10" w:color="auto"/>
          <w:left w:val="single" w:sz="4" w:space="10" w:color="auto"/>
          <w:bottom w:val="single" w:sz="4" w:space="10" w:color="auto"/>
          <w:right w:val="single" w:sz="4" w:space="10" w:color="auto"/>
        </w:pBdr>
        <w:rPr>
          <w:sz w:val="20"/>
        </w:rPr>
      </w:pPr>
    </w:p>
    <w:p w14:paraId="6594DA3D" w14:textId="7C8FA19A" w:rsidR="002178F4" w:rsidRPr="0009028A" w:rsidRDefault="00491744" w:rsidP="0009028A">
      <w:pPr>
        <w:pBdr>
          <w:top w:val="single" w:sz="4" w:space="10" w:color="auto"/>
          <w:left w:val="single" w:sz="4" w:space="10" w:color="auto"/>
          <w:bottom w:val="single" w:sz="4" w:space="10" w:color="auto"/>
          <w:right w:val="single" w:sz="4" w:space="10" w:color="auto"/>
        </w:pBdr>
        <w:rPr>
          <w:sz w:val="20"/>
        </w:rPr>
      </w:pPr>
      <w:r w:rsidRPr="0009028A">
        <w:rPr>
          <w:sz w:val="20"/>
        </w:rPr>
        <w:t xml:space="preserve">Brett is a New Zealand resident living in Hamilton. Brett receives mobile phone services from </w:t>
      </w:r>
      <w:r w:rsidR="002178F4" w:rsidRPr="0009028A">
        <w:rPr>
          <w:sz w:val="20"/>
        </w:rPr>
        <w:t>Kiwiphone, a New Zealand</w:t>
      </w:r>
      <w:r w:rsidR="00A06F42">
        <w:rPr>
          <w:sz w:val="20"/>
        </w:rPr>
        <w:t>-</w:t>
      </w:r>
      <w:r w:rsidR="002178F4" w:rsidRPr="0009028A">
        <w:rPr>
          <w:sz w:val="20"/>
        </w:rPr>
        <w:t>resident telecommunications supplier. The mobile phone services supplied to Brett are currently standard</w:t>
      </w:r>
      <w:r w:rsidR="00B76FB0" w:rsidRPr="0009028A">
        <w:rPr>
          <w:sz w:val="20"/>
        </w:rPr>
        <w:t>-</w:t>
      </w:r>
      <w:r w:rsidR="002178F4" w:rsidRPr="0009028A">
        <w:rPr>
          <w:sz w:val="20"/>
        </w:rPr>
        <w:t>rated</w:t>
      </w:r>
      <w:r w:rsidR="005746F9" w:rsidRPr="0009028A">
        <w:rPr>
          <w:sz w:val="20"/>
        </w:rPr>
        <w:t xml:space="preserve"> (</w:t>
      </w:r>
      <w:r w:rsidR="00B76FB0" w:rsidRPr="0009028A">
        <w:rPr>
          <w:sz w:val="20"/>
        </w:rPr>
        <w:t>subject to GST at 15</w:t>
      </w:r>
      <w:r w:rsidR="00C10363" w:rsidRPr="0009028A">
        <w:rPr>
          <w:sz w:val="20"/>
        </w:rPr>
        <w:t>%</w:t>
      </w:r>
      <w:r w:rsidR="00B76FB0" w:rsidRPr="0009028A">
        <w:rPr>
          <w:sz w:val="20"/>
        </w:rPr>
        <w:t>)</w:t>
      </w:r>
      <w:r w:rsidR="002178F4" w:rsidRPr="0009028A">
        <w:rPr>
          <w:sz w:val="20"/>
        </w:rPr>
        <w:t xml:space="preserve"> as they</w:t>
      </w:r>
      <w:r w:rsidR="00307943">
        <w:rPr>
          <w:sz w:val="20"/>
        </w:rPr>
        <w:t xml:space="preserve"> supplied by a New Zealand</w:t>
      </w:r>
      <w:r w:rsidR="00A06F42">
        <w:rPr>
          <w:sz w:val="20"/>
        </w:rPr>
        <w:t xml:space="preserve"> </w:t>
      </w:r>
      <w:r w:rsidR="00307943">
        <w:rPr>
          <w:sz w:val="20"/>
        </w:rPr>
        <w:t xml:space="preserve">resident </w:t>
      </w:r>
      <w:r w:rsidR="00A06F42">
        <w:rPr>
          <w:sz w:val="20"/>
        </w:rPr>
        <w:t>and</w:t>
      </w:r>
      <w:r w:rsidR="002178F4" w:rsidRPr="0009028A">
        <w:rPr>
          <w:sz w:val="20"/>
        </w:rPr>
        <w:t xml:space="preserve"> are initiated by Brett in New Zealand</w:t>
      </w:r>
      <w:r w:rsidR="008E7BBF">
        <w:rPr>
          <w:sz w:val="20"/>
        </w:rPr>
        <w:t xml:space="preserve"> (meaning that section 11AB</w:t>
      </w:r>
      <w:r w:rsidR="00142470">
        <w:rPr>
          <w:sz w:val="20"/>
        </w:rPr>
        <w:t>,</w:t>
      </w:r>
      <w:r w:rsidR="008E7BBF">
        <w:rPr>
          <w:sz w:val="20"/>
        </w:rPr>
        <w:t xml:space="preserve"> which zero-rates telecommunications services </w:t>
      </w:r>
      <w:r w:rsidR="00142470">
        <w:rPr>
          <w:sz w:val="20"/>
        </w:rPr>
        <w:t xml:space="preserve">initiated outside New Zealand, does not apply to the treatment of the </w:t>
      </w:r>
      <w:r w:rsidR="005C15CC">
        <w:rPr>
          <w:sz w:val="20"/>
        </w:rPr>
        <w:t>services)</w:t>
      </w:r>
      <w:r w:rsidR="002178F4" w:rsidRPr="0009028A">
        <w:rPr>
          <w:sz w:val="20"/>
        </w:rPr>
        <w:t>. These mobile phone services would still be standard</w:t>
      </w:r>
      <w:r w:rsidR="00B76FB0" w:rsidRPr="0009028A">
        <w:rPr>
          <w:sz w:val="20"/>
        </w:rPr>
        <w:t>-</w:t>
      </w:r>
      <w:r w:rsidR="002178F4" w:rsidRPr="0009028A">
        <w:rPr>
          <w:sz w:val="20"/>
        </w:rPr>
        <w:t xml:space="preserve">rated </w:t>
      </w:r>
      <w:r w:rsidR="001C35D0" w:rsidRPr="0009028A">
        <w:rPr>
          <w:sz w:val="20"/>
        </w:rPr>
        <w:t xml:space="preserve">in the absence of the special telecommunications rules </w:t>
      </w:r>
      <w:r w:rsidR="009369E9" w:rsidRPr="0009028A">
        <w:rPr>
          <w:sz w:val="20"/>
        </w:rPr>
        <w:t>as they are supplied by a New Zealand resident.</w:t>
      </w:r>
    </w:p>
    <w:p w14:paraId="1A8533D3" w14:textId="77777777" w:rsidR="002178F4" w:rsidRPr="0009028A" w:rsidRDefault="002178F4" w:rsidP="0009028A">
      <w:pPr>
        <w:pBdr>
          <w:top w:val="single" w:sz="4" w:space="10" w:color="auto"/>
          <w:left w:val="single" w:sz="4" w:space="10" w:color="auto"/>
          <w:bottom w:val="single" w:sz="4" w:space="10" w:color="auto"/>
          <w:right w:val="single" w:sz="4" w:space="10" w:color="auto"/>
        </w:pBdr>
        <w:rPr>
          <w:sz w:val="20"/>
        </w:rPr>
      </w:pPr>
    </w:p>
    <w:p w14:paraId="0321DB15" w14:textId="77777777" w:rsidR="002178F4" w:rsidRPr="0009028A" w:rsidRDefault="002178F4" w:rsidP="0009028A">
      <w:pPr>
        <w:pBdr>
          <w:top w:val="single" w:sz="4" w:space="10" w:color="auto"/>
          <w:left w:val="single" w:sz="4" w:space="10" w:color="auto"/>
          <w:bottom w:val="single" w:sz="4" w:space="10" w:color="auto"/>
          <w:right w:val="single" w:sz="4" w:space="10" w:color="auto"/>
        </w:pBdr>
        <w:rPr>
          <w:sz w:val="20"/>
        </w:rPr>
      </w:pPr>
      <w:r w:rsidRPr="0009028A">
        <w:rPr>
          <w:sz w:val="20"/>
        </w:rPr>
        <w:t>Brett also receives landline phone services to his house in Hamilton from Kiwiphone. These services are currently subject to GST at 15</w:t>
      </w:r>
      <w:r w:rsidR="00C10363" w:rsidRPr="0009028A">
        <w:rPr>
          <w:sz w:val="20"/>
        </w:rPr>
        <w:t>%</w:t>
      </w:r>
      <w:r w:rsidRPr="0009028A">
        <w:rPr>
          <w:sz w:val="20"/>
        </w:rPr>
        <w:t xml:space="preserve"> as they are initiated by Brett in New Zealand. </w:t>
      </w:r>
      <w:r w:rsidR="009369E9" w:rsidRPr="0009028A">
        <w:rPr>
          <w:sz w:val="20"/>
        </w:rPr>
        <w:t>In the absence of the special telecommunications rules these services</w:t>
      </w:r>
      <w:r w:rsidRPr="0009028A">
        <w:rPr>
          <w:sz w:val="20"/>
        </w:rPr>
        <w:t xml:space="preserve"> would also be subject to GST at 15</w:t>
      </w:r>
      <w:r w:rsidR="00C10363" w:rsidRPr="0009028A">
        <w:rPr>
          <w:sz w:val="20"/>
        </w:rPr>
        <w:t>%</w:t>
      </w:r>
      <w:r w:rsidRPr="0009028A">
        <w:rPr>
          <w:sz w:val="20"/>
        </w:rPr>
        <w:t xml:space="preserve"> as they are supplied </w:t>
      </w:r>
      <w:r w:rsidR="009369E9" w:rsidRPr="0009028A">
        <w:rPr>
          <w:sz w:val="20"/>
        </w:rPr>
        <w:t>by a New Zealand resident.</w:t>
      </w:r>
    </w:p>
    <w:p w14:paraId="44DE554C" w14:textId="77777777" w:rsidR="002178F4" w:rsidRPr="0009028A" w:rsidRDefault="002178F4" w:rsidP="0009028A">
      <w:pPr>
        <w:pBdr>
          <w:top w:val="single" w:sz="4" w:space="10" w:color="auto"/>
          <w:left w:val="single" w:sz="4" w:space="10" w:color="auto"/>
          <w:bottom w:val="single" w:sz="4" w:space="10" w:color="auto"/>
          <w:right w:val="single" w:sz="4" w:space="10" w:color="auto"/>
        </w:pBdr>
        <w:rPr>
          <w:sz w:val="20"/>
        </w:rPr>
      </w:pPr>
    </w:p>
    <w:p w14:paraId="207B25F2" w14:textId="500A10D9" w:rsidR="002178F4" w:rsidRPr="0009028A" w:rsidRDefault="002178F4" w:rsidP="0009028A">
      <w:pPr>
        <w:pBdr>
          <w:top w:val="single" w:sz="4" w:space="10" w:color="auto"/>
          <w:left w:val="single" w:sz="4" w:space="10" w:color="auto"/>
          <w:bottom w:val="single" w:sz="4" w:space="10" w:color="auto"/>
          <w:right w:val="single" w:sz="4" w:space="10" w:color="auto"/>
        </w:pBdr>
        <w:rPr>
          <w:sz w:val="20"/>
        </w:rPr>
      </w:pPr>
      <w:r w:rsidRPr="0009028A">
        <w:rPr>
          <w:sz w:val="20"/>
        </w:rPr>
        <w:t>Brett also contracts Catapult Broadband, an American internet service provider to supply internet to Brett’s home in Hamilton. Under the current rules</w:t>
      </w:r>
      <w:r w:rsidR="009369E9" w:rsidRPr="0009028A">
        <w:rPr>
          <w:sz w:val="20"/>
        </w:rPr>
        <w:t xml:space="preserve">, assuming Catapult Broadband meets the registration threshold, they </w:t>
      </w:r>
      <w:r w:rsidRPr="0009028A">
        <w:rPr>
          <w:sz w:val="20"/>
        </w:rPr>
        <w:t>would need to charge GST on the internet services they provide to Brett as the services are initiated by a person in New Zealand.</w:t>
      </w:r>
      <w:r w:rsidR="00CB2B86" w:rsidRPr="0009028A">
        <w:rPr>
          <w:sz w:val="20"/>
        </w:rPr>
        <w:t xml:space="preserve"> Under the remote services rules these internet services would still be subject to GST as they are provided to a New Zealand</w:t>
      </w:r>
      <w:r w:rsidR="00920576">
        <w:rPr>
          <w:sz w:val="20"/>
        </w:rPr>
        <w:t>-</w:t>
      </w:r>
      <w:r w:rsidR="00CB2B86" w:rsidRPr="0009028A">
        <w:rPr>
          <w:sz w:val="20"/>
        </w:rPr>
        <w:t>resident consumer.</w:t>
      </w:r>
    </w:p>
    <w:p w14:paraId="2F6B7D85" w14:textId="77777777" w:rsidR="00491744" w:rsidRDefault="00491744" w:rsidP="00760799">
      <w:pPr>
        <w:pStyle w:val="Chapter3"/>
        <w:numPr>
          <w:ilvl w:val="0"/>
          <w:numId w:val="0"/>
        </w:numPr>
      </w:pPr>
    </w:p>
    <w:p w14:paraId="49BB3188" w14:textId="77777777" w:rsidR="00E0189C" w:rsidRDefault="00E0189C" w:rsidP="00C16A87">
      <w:pPr>
        <w:pStyle w:val="Heading2"/>
      </w:pPr>
      <w:bookmarkStart w:id="74" w:name="_Toc8719840"/>
      <w:r>
        <w:t>Mobile roaming services</w:t>
      </w:r>
      <w:bookmarkEnd w:id="74"/>
    </w:p>
    <w:p w14:paraId="2D67FC8F" w14:textId="77777777" w:rsidR="00E0189C" w:rsidRPr="00C16A87" w:rsidRDefault="00E0189C" w:rsidP="00BD0CEB">
      <w:pPr>
        <w:pStyle w:val="Chapter3"/>
        <w:numPr>
          <w:ilvl w:val="0"/>
          <w:numId w:val="0"/>
        </w:numPr>
        <w:ind w:left="851"/>
      </w:pPr>
    </w:p>
    <w:p w14:paraId="0950BEBD" w14:textId="77777777" w:rsidR="00491744" w:rsidRDefault="00E0189C" w:rsidP="00C16A87">
      <w:pPr>
        <w:pStyle w:val="Chapter3"/>
      </w:pPr>
      <w:r>
        <w:t>T</w:t>
      </w:r>
      <w:r w:rsidR="00CB2B86">
        <w:t>elecommunications services supplied to a New Zealand resident physically outside New Zealand, or to a non-resident physically inside New Zealand would have their GST treatment changed under the proposals. The place of consumption for these services would no longer be determined by the place the services are initiated but would instead be determined by the residency of the recipient of the services.</w:t>
      </w:r>
    </w:p>
    <w:p w14:paraId="79B20264" w14:textId="6FEE5C02" w:rsidR="00CB2B86" w:rsidRDefault="00FC053C" w:rsidP="00760799">
      <w:pPr>
        <w:pStyle w:val="Chapter3"/>
        <w:numPr>
          <w:ilvl w:val="0"/>
          <w:numId w:val="0"/>
        </w:numPr>
        <w:ind w:left="851"/>
      </w:pPr>
      <w:r>
        <w:t xml:space="preserve"> </w:t>
      </w:r>
    </w:p>
    <w:p w14:paraId="3D12BD33" w14:textId="63C956C9" w:rsidR="00CB2B86" w:rsidRDefault="00CB2B86" w:rsidP="00CB2B86">
      <w:pPr>
        <w:pStyle w:val="Chapter3"/>
      </w:pPr>
      <w:r>
        <w:t>The most prominent type of telecommunications service</w:t>
      </w:r>
      <w:r w:rsidR="005B65D5">
        <w:t>s</w:t>
      </w:r>
      <w:r>
        <w:t xml:space="preserve"> that would have their GST treatment changed under the proposals are mobile roaming services. For example, outbound roaming services supplied to New Zealand residents outside New Zealand are currently zero-rated but would be standard-rated </w:t>
      </w:r>
      <w:r w:rsidR="00B76FB0">
        <w:t>(subject to GST of 15</w:t>
      </w:r>
      <w:r w:rsidR="00C10363">
        <w:t>%</w:t>
      </w:r>
      <w:r w:rsidR="00B76FB0">
        <w:t xml:space="preserve">) </w:t>
      </w:r>
      <w:r>
        <w:t>under the proposed changes.</w:t>
      </w:r>
    </w:p>
    <w:p w14:paraId="12F12592" w14:textId="77777777" w:rsidR="00CB2B86" w:rsidRDefault="00CB2B86" w:rsidP="00BD0CEB">
      <w:pPr>
        <w:pStyle w:val="Chapter3"/>
        <w:numPr>
          <w:ilvl w:val="0"/>
          <w:numId w:val="0"/>
        </w:numPr>
        <w:ind w:left="851"/>
      </w:pPr>
    </w:p>
    <w:p w14:paraId="483B15ED" w14:textId="77777777" w:rsidR="00CB2B86" w:rsidRPr="0009028A" w:rsidRDefault="00CB2B86" w:rsidP="0009028A">
      <w:pPr>
        <w:pBdr>
          <w:top w:val="single" w:sz="4" w:space="10" w:color="auto"/>
          <w:left w:val="single" w:sz="4" w:space="10" w:color="auto"/>
          <w:bottom w:val="single" w:sz="4" w:space="10" w:color="auto"/>
          <w:right w:val="single" w:sz="4" w:space="10" w:color="auto"/>
        </w:pBdr>
        <w:rPr>
          <w:b/>
          <w:sz w:val="20"/>
        </w:rPr>
      </w:pPr>
      <w:r w:rsidRPr="0009028A">
        <w:rPr>
          <w:b/>
          <w:sz w:val="20"/>
        </w:rPr>
        <w:t xml:space="preserve">Example </w:t>
      </w:r>
      <w:r w:rsidR="00C10363" w:rsidRPr="0009028A">
        <w:rPr>
          <w:b/>
          <w:sz w:val="20"/>
        </w:rPr>
        <w:t xml:space="preserve">5: </w:t>
      </w:r>
      <w:r w:rsidRPr="0009028A">
        <w:rPr>
          <w:b/>
          <w:sz w:val="20"/>
        </w:rPr>
        <w:t>Roaming services supplied to resident</w:t>
      </w:r>
      <w:r w:rsidR="003C130E" w:rsidRPr="0009028A">
        <w:rPr>
          <w:b/>
          <w:sz w:val="20"/>
        </w:rPr>
        <w:t>s</w:t>
      </w:r>
    </w:p>
    <w:p w14:paraId="1DC4EE4E" w14:textId="77777777" w:rsidR="00CB2B86" w:rsidRPr="0009028A" w:rsidRDefault="00CB2B86" w:rsidP="0009028A">
      <w:pPr>
        <w:pBdr>
          <w:top w:val="single" w:sz="4" w:space="10" w:color="auto"/>
          <w:left w:val="single" w:sz="4" w:space="10" w:color="auto"/>
          <w:bottom w:val="single" w:sz="4" w:space="10" w:color="auto"/>
          <w:right w:val="single" w:sz="4" w:space="10" w:color="auto"/>
        </w:pBdr>
        <w:rPr>
          <w:sz w:val="20"/>
        </w:rPr>
      </w:pPr>
    </w:p>
    <w:p w14:paraId="26F6EB92" w14:textId="4F4EE380" w:rsidR="00CB2B86" w:rsidRPr="0009028A" w:rsidRDefault="00CB2B86" w:rsidP="0009028A">
      <w:pPr>
        <w:pBdr>
          <w:top w:val="single" w:sz="4" w:space="10" w:color="auto"/>
          <w:left w:val="single" w:sz="4" w:space="10" w:color="auto"/>
          <w:bottom w:val="single" w:sz="4" w:space="10" w:color="auto"/>
          <w:right w:val="single" w:sz="4" w:space="10" w:color="auto"/>
        </w:pBdr>
        <w:rPr>
          <w:sz w:val="20"/>
        </w:rPr>
      </w:pPr>
      <w:r w:rsidRPr="0009028A">
        <w:rPr>
          <w:sz w:val="20"/>
        </w:rPr>
        <w:t>Kiwi Telco, a New Zealand</w:t>
      </w:r>
      <w:r w:rsidR="00A152A4">
        <w:rPr>
          <w:sz w:val="20"/>
        </w:rPr>
        <w:t>-</w:t>
      </w:r>
      <w:r w:rsidRPr="0009028A">
        <w:rPr>
          <w:sz w:val="20"/>
        </w:rPr>
        <w:t xml:space="preserve">resident telecommunications supplier, supplies mobile phone services to New Zealand residents. Currently, Kiwi Telco charges GST on the mobile phone services its customers receive in New Zealand. However, Kiwi Telco zero-rates the roaming services it provides to its customers when they are outside New Zealand. </w:t>
      </w:r>
      <w:r w:rsidR="003C130E" w:rsidRPr="0009028A">
        <w:rPr>
          <w:sz w:val="20"/>
        </w:rPr>
        <w:t xml:space="preserve">Under </w:t>
      </w:r>
      <w:r w:rsidRPr="0009028A">
        <w:rPr>
          <w:sz w:val="20"/>
        </w:rPr>
        <w:t>the proposed rules, Kiwi Telco would be required to charge GST at the standard rate on</w:t>
      </w:r>
      <w:r w:rsidR="003C130E" w:rsidRPr="0009028A">
        <w:rPr>
          <w:sz w:val="20"/>
        </w:rPr>
        <w:t xml:space="preserve"> both the regular mobile phone services and</w:t>
      </w:r>
      <w:r w:rsidRPr="0009028A">
        <w:rPr>
          <w:sz w:val="20"/>
        </w:rPr>
        <w:t xml:space="preserve"> t</w:t>
      </w:r>
      <w:r w:rsidR="003C130E" w:rsidRPr="0009028A">
        <w:rPr>
          <w:sz w:val="20"/>
        </w:rPr>
        <w:t>he outbound roaming</w:t>
      </w:r>
      <w:r w:rsidRPr="0009028A">
        <w:rPr>
          <w:sz w:val="20"/>
        </w:rPr>
        <w:t xml:space="preserve"> services</w:t>
      </w:r>
      <w:r w:rsidR="003C130E" w:rsidRPr="0009028A">
        <w:rPr>
          <w:sz w:val="20"/>
        </w:rPr>
        <w:t xml:space="preserve"> it supplies to New Zealand residents</w:t>
      </w:r>
      <w:r w:rsidRPr="0009028A">
        <w:rPr>
          <w:sz w:val="20"/>
        </w:rPr>
        <w:t>.</w:t>
      </w:r>
    </w:p>
    <w:p w14:paraId="69B81395" w14:textId="77777777" w:rsidR="00CB2B86" w:rsidRDefault="00CB2B86" w:rsidP="00760799">
      <w:pPr>
        <w:pStyle w:val="Chapter3"/>
        <w:numPr>
          <w:ilvl w:val="0"/>
          <w:numId w:val="0"/>
        </w:numPr>
        <w:ind w:left="851" w:hanging="851"/>
      </w:pPr>
    </w:p>
    <w:p w14:paraId="55D42946" w14:textId="77777777" w:rsidR="00CB2B86" w:rsidRDefault="00CB2B86" w:rsidP="00C16A87">
      <w:pPr>
        <w:pStyle w:val="Chapter3"/>
      </w:pPr>
      <w:r>
        <w:t>Conversely, inbound roaming services supplied to non-residents inside New Zealand would no longer be potentially subject to GST.</w:t>
      </w:r>
    </w:p>
    <w:p w14:paraId="47403CB8" w14:textId="77777777" w:rsidR="00CB2B86" w:rsidRDefault="00CB2B86" w:rsidP="00760799">
      <w:pPr>
        <w:pStyle w:val="Chapter3"/>
        <w:numPr>
          <w:ilvl w:val="0"/>
          <w:numId w:val="0"/>
        </w:numPr>
        <w:ind w:left="851"/>
      </w:pPr>
    </w:p>
    <w:p w14:paraId="37DC3353" w14:textId="77777777" w:rsidR="00920576" w:rsidRDefault="00920576">
      <w:pPr>
        <w:jc w:val="left"/>
        <w:rPr>
          <w:b/>
          <w:sz w:val="20"/>
        </w:rPr>
      </w:pPr>
      <w:bookmarkStart w:id="75" w:name="_Hlk888518"/>
      <w:r>
        <w:rPr>
          <w:b/>
          <w:sz w:val="20"/>
        </w:rPr>
        <w:br w:type="page"/>
      </w:r>
    </w:p>
    <w:p w14:paraId="066633F7" w14:textId="755ACFA0" w:rsidR="00CB2B86" w:rsidRPr="006B7BF9" w:rsidRDefault="00CB2B86" w:rsidP="006B7BF9">
      <w:pPr>
        <w:pBdr>
          <w:top w:val="single" w:sz="4" w:space="10" w:color="auto"/>
          <w:left w:val="single" w:sz="4" w:space="10" w:color="auto"/>
          <w:bottom w:val="single" w:sz="4" w:space="10" w:color="auto"/>
          <w:right w:val="single" w:sz="4" w:space="10" w:color="auto"/>
        </w:pBdr>
        <w:rPr>
          <w:b/>
          <w:sz w:val="20"/>
        </w:rPr>
      </w:pPr>
      <w:r w:rsidRPr="006B7BF9">
        <w:rPr>
          <w:b/>
          <w:sz w:val="20"/>
        </w:rPr>
        <w:lastRenderedPageBreak/>
        <w:t>Example</w:t>
      </w:r>
      <w:r w:rsidR="00C10363" w:rsidRPr="006B7BF9">
        <w:rPr>
          <w:b/>
          <w:sz w:val="20"/>
        </w:rPr>
        <w:t xml:space="preserve"> 6: </w:t>
      </w:r>
      <w:r w:rsidRPr="006B7BF9">
        <w:rPr>
          <w:b/>
          <w:sz w:val="20"/>
        </w:rPr>
        <w:t>Roaming services supplied to non-resident</w:t>
      </w:r>
      <w:r w:rsidR="003C130E" w:rsidRPr="006B7BF9">
        <w:rPr>
          <w:b/>
          <w:sz w:val="20"/>
        </w:rPr>
        <w:t>s</w:t>
      </w:r>
    </w:p>
    <w:p w14:paraId="19E44B65" w14:textId="77777777" w:rsidR="00CB2B86" w:rsidRPr="006B7BF9" w:rsidRDefault="00CB2B86" w:rsidP="006B7BF9">
      <w:pPr>
        <w:pBdr>
          <w:top w:val="single" w:sz="4" w:space="10" w:color="auto"/>
          <w:left w:val="single" w:sz="4" w:space="10" w:color="auto"/>
          <w:bottom w:val="single" w:sz="4" w:space="10" w:color="auto"/>
          <w:right w:val="single" w:sz="4" w:space="10" w:color="auto"/>
        </w:pBdr>
        <w:rPr>
          <w:sz w:val="20"/>
        </w:rPr>
      </w:pPr>
    </w:p>
    <w:p w14:paraId="662D322A" w14:textId="77777777" w:rsidR="00CB2B86" w:rsidRPr="006B7BF9" w:rsidRDefault="00CB2B86" w:rsidP="006B7BF9">
      <w:pPr>
        <w:pBdr>
          <w:top w:val="single" w:sz="4" w:space="10" w:color="auto"/>
          <w:left w:val="single" w:sz="4" w:space="10" w:color="auto"/>
          <w:bottom w:val="single" w:sz="4" w:space="10" w:color="auto"/>
          <w:right w:val="single" w:sz="4" w:space="10" w:color="auto"/>
        </w:pBdr>
        <w:rPr>
          <w:sz w:val="20"/>
        </w:rPr>
      </w:pPr>
      <w:r w:rsidRPr="006B7BF9">
        <w:rPr>
          <w:sz w:val="20"/>
        </w:rPr>
        <w:t>Ozzy Telco is an Australian telecommunications company that supplies roaming services to Australian tourists on holiday in New Zealand. Ozzy Telco also makes some taxable supplies to New Zealand residents</w:t>
      </w:r>
      <w:r w:rsidR="009369E9" w:rsidRPr="006B7BF9">
        <w:rPr>
          <w:sz w:val="20"/>
        </w:rPr>
        <w:t xml:space="preserve"> and is therefore GST-registered</w:t>
      </w:r>
      <w:r w:rsidRPr="006B7BF9">
        <w:rPr>
          <w:sz w:val="20"/>
        </w:rPr>
        <w:t>. Currently Ozzy Telco would be required to return GST on the</w:t>
      </w:r>
      <w:r w:rsidR="00B76FB0" w:rsidRPr="006B7BF9">
        <w:rPr>
          <w:sz w:val="20"/>
        </w:rPr>
        <w:t xml:space="preserve"> inbound</w:t>
      </w:r>
      <w:r w:rsidRPr="006B7BF9">
        <w:rPr>
          <w:sz w:val="20"/>
        </w:rPr>
        <w:t xml:space="preserve"> roaming services it provides to tourists in New Zealand. Under the proposals, Ozzy Telco would no longer be required to return GST on its supplies of</w:t>
      </w:r>
      <w:r w:rsidR="00B76FB0" w:rsidRPr="006B7BF9">
        <w:rPr>
          <w:sz w:val="20"/>
        </w:rPr>
        <w:t xml:space="preserve"> inbound</w:t>
      </w:r>
      <w:r w:rsidRPr="006B7BF9">
        <w:rPr>
          <w:sz w:val="20"/>
        </w:rPr>
        <w:t xml:space="preserve"> roaming services</w:t>
      </w:r>
      <w:r w:rsidR="003C130E" w:rsidRPr="006B7BF9">
        <w:rPr>
          <w:sz w:val="20"/>
        </w:rPr>
        <w:t xml:space="preserve"> to non-residents</w:t>
      </w:r>
      <w:r w:rsidRPr="006B7BF9">
        <w:rPr>
          <w:sz w:val="20"/>
        </w:rPr>
        <w:t>.</w:t>
      </w:r>
    </w:p>
    <w:bookmarkEnd w:id="75"/>
    <w:p w14:paraId="6EEA523E" w14:textId="77777777" w:rsidR="00CB2B86" w:rsidRDefault="00CB2B86" w:rsidP="00C16A87">
      <w:pPr>
        <w:pStyle w:val="Chapter3"/>
        <w:numPr>
          <w:ilvl w:val="0"/>
          <w:numId w:val="0"/>
        </w:numPr>
      </w:pPr>
    </w:p>
    <w:p w14:paraId="2E61FE53" w14:textId="77777777" w:rsidR="00E0189C" w:rsidRDefault="00E0189C" w:rsidP="00760799">
      <w:pPr>
        <w:pStyle w:val="Heading2"/>
      </w:pPr>
      <w:bookmarkStart w:id="76" w:name="_Toc8719841"/>
      <w:r>
        <w:t>Telecommunications services supplied by residents to non-residents</w:t>
      </w:r>
      <w:bookmarkEnd w:id="76"/>
    </w:p>
    <w:p w14:paraId="00667BEA" w14:textId="77777777" w:rsidR="00E0189C" w:rsidRPr="00C16A87" w:rsidRDefault="00E0189C" w:rsidP="00BD0CEB">
      <w:pPr>
        <w:pStyle w:val="Chapter3"/>
        <w:numPr>
          <w:ilvl w:val="0"/>
          <w:numId w:val="0"/>
        </w:numPr>
        <w:ind w:left="851"/>
      </w:pPr>
    </w:p>
    <w:p w14:paraId="76AC779A" w14:textId="5CC3D9F2" w:rsidR="00CB2B86" w:rsidRDefault="003C130E" w:rsidP="00C16A87">
      <w:pPr>
        <w:pStyle w:val="Chapter3"/>
      </w:pPr>
      <w:r>
        <w:t xml:space="preserve">Applying the remote services rules to telecommunications services would mean that telecommunications services supplied by </w:t>
      </w:r>
      <w:r w:rsidR="005D3B9B">
        <w:t xml:space="preserve">a </w:t>
      </w:r>
      <w:r>
        <w:t>resident supplier to non-residents</w:t>
      </w:r>
      <w:r w:rsidR="00E0189C">
        <w:t xml:space="preserve"> outside New Zealand would remain zero-rated. </w:t>
      </w:r>
      <w:r w:rsidR="009369E9">
        <w:t>T</w:t>
      </w:r>
      <w:r w:rsidR="00E0189C">
        <w:t>elecommunication</w:t>
      </w:r>
      <w:r w:rsidR="00342017">
        <w:t>s</w:t>
      </w:r>
      <w:r w:rsidR="00E0189C">
        <w:t xml:space="preserve"> services supplied to non-residents</w:t>
      </w:r>
      <w:r>
        <w:t xml:space="preserve"> physically in New Zealand would under section </w:t>
      </w:r>
      <w:r w:rsidR="00E0189C">
        <w:t>8</w:t>
      </w:r>
      <w:r>
        <w:t xml:space="preserve">(2) be </w:t>
      </w:r>
      <w:r w:rsidRPr="00760799">
        <w:rPr>
          <w:i/>
        </w:rPr>
        <w:t>prima facie</w:t>
      </w:r>
      <w:r>
        <w:t xml:space="preserve"> still subject to GST at the standard rate. </w:t>
      </w:r>
      <w:r w:rsidRPr="003C130E">
        <w:t xml:space="preserve">However, section 20(3)(dc) would </w:t>
      </w:r>
      <w:r w:rsidR="00827D49">
        <w:t xml:space="preserve">mitigate double taxation by </w:t>
      </w:r>
      <w:r w:rsidRPr="003C130E">
        <w:t>reduc</w:t>
      </w:r>
      <w:r w:rsidR="00827D49">
        <w:t>ing</w:t>
      </w:r>
      <w:r w:rsidRPr="003C130E">
        <w:t xml:space="preserve"> the amount of output tax payable on these services to the extent the supplier has incurred liability for, returned and paid a consumption tax in another jurisdiction.</w:t>
      </w:r>
    </w:p>
    <w:p w14:paraId="5175469B" w14:textId="77777777" w:rsidR="00E0189C" w:rsidRDefault="00E0189C" w:rsidP="00760799">
      <w:pPr>
        <w:pStyle w:val="Chapter3"/>
        <w:numPr>
          <w:ilvl w:val="0"/>
          <w:numId w:val="0"/>
        </w:numPr>
        <w:ind w:left="851"/>
      </w:pPr>
    </w:p>
    <w:p w14:paraId="1B2293AF" w14:textId="4618C51F" w:rsidR="00E0189C" w:rsidRPr="006B7BF9" w:rsidRDefault="00E0189C" w:rsidP="006B7BF9">
      <w:pPr>
        <w:pBdr>
          <w:top w:val="single" w:sz="4" w:space="10" w:color="auto"/>
          <w:left w:val="single" w:sz="4" w:space="10" w:color="auto"/>
          <w:bottom w:val="single" w:sz="4" w:space="10" w:color="auto"/>
          <w:right w:val="single" w:sz="4" w:space="10" w:color="auto"/>
        </w:pBdr>
        <w:rPr>
          <w:b/>
          <w:sz w:val="20"/>
        </w:rPr>
      </w:pPr>
      <w:r w:rsidRPr="006B7BF9">
        <w:rPr>
          <w:b/>
          <w:sz w:val="20"/>
        </w:rPr>
        <w:t>Example</w:t>
      </w:r>
      <w:r w:rsidR="00C10363" w:rsidRPr="006B7BF9">
        <w:rPr>
          <w:b/>
          <w:sz w:val="20"/>
        </w:rPr>
        <w:t xml:space="preserve"> 7</w:t>
      </w:r>
      <w:r w:rsidR="004B1DD5">
        <w:rPr>
          <w:b/>
          <w:sz w:val="20"/>
        </w:rPr>
        <w:t xml:space="preserve">: </w:t>
      </w:r>
      <w:r w:rsidR="00920576">
        <w:rPr>
          <w:b/>
          <w:sz w:val="20"/>
        </w:rPr>
        <w:t>Telecommunications services supplied by a resident to non-residents</w:t>
      </w:r>
    </w:p>
    <w:p w14:paraId="18885F38" w14:textId="77777777" w:rsidR="00E0189C" w:rsidRPr="006B7BF9" w:rsidRDefault="00E0189C" w:rsidP="006B7BF9">
      <w:pPr>
        <w:pBdr>
          <w:top w:val="single" w:sz="4" w:space="10" w:color="auto"/>
          <w:left w:val="single" w:sz="4" w:space="10" w:color="auto"/>
          <w:bottom w:val="single" w:sz="4" w:space="10" w:color="auto"/>
          <w:right w:val="single" w:sz="4" w:space="10" w:color="auto"/>
        </w:pBdr>
        <w:rPr>
          <w:sz w:val="20"/>
        </w:rPr>
      </w:pPr>
    </w:p>
    <w:p w14:paraId="42B99520" w14:textId="6DF89AE2" w:rsidR="00E0189C" w:rsidRPr="006B7BF9" w:rsidRDefault="00E0189C" w:rsidP="006B7BF9">
      <w:pPr>
        <w:pBdr>
          <w:top w:val="single" w:sz="4" w:space="10" w:color="auto"/>
          <w:left w:val="single" w:sz="4" w:space="10" w:color="auto"/>
          <w:bottom w:val="single" w:sz="4" w:space="10" w:color="auto"/>
          <w:right w:val="single" w:sz="4" w:space="10" w:color="auto"/>
        </w:pBdr>
        <w:rPr>
          <w:sz w:val="20"/>
        </w:rPr>
      </w:pPr>
      <w:r w:rsidRPr="006B7BF9">
        <w:rPr>
          <w:sz w:val="20"/>
        </w:rPr>
        <w:t>Kiwiphone is a New Zealand</w:t>
      </w:r>
      <w:r w:rsidR="00920576">
        <w:rPr>
          <w:sz w:val="20"/>
        </w:rPr>
        <w:t>-</w:t>
      </w:r>
      <w:r w:rsidRPr="006B7BF9">
        <w:rPr>
          <w:sz w:val="20"/>
        </w:rPr>
        <w:t>resident telecommunications supplier that primarily supplies mobile phone services to New Zealand residents. However, Kiwiphone also operates a mobile network in the UK through which it supplies mobile phone services to UK residents. Currently, the regular mobile services Kiwiphone supplies to UK residents are zero-rated</w:t>
      </w:r>
      <w:r w:rsidR="00FD65C4" w:rsidRPr="006B7BF9">
        <w:rPr>
          <w:sz w:val="20"/>
        </w:rPr>
        <w:t xml:space="preserve"> under section 11AB(b)</w:t>
      </w:r>
      <w:r w:rsidRPr="006B7BF9">
        <w:rPr>
          <w:sz w:val="20"/>
        </w:rPr>
        <w:t>, whilst the inbound roaming services they supply to UK residents physically in New Zealand are standard rated.</w:t>
      </w:r>
    </w:p>
    <w:p w14:paraId="649AC5CA" w14:textId="77777777" w:rsidR="00E0189C" w:rsidRPr="006B7BF9" w:rsidRDefault="00E0189C" w:rsidP="006B7BF9">
      <w:pPr>
        <w:pBdr>
          <w:top w:val="single" w:sz="4" w:space="10" w:color="auto"/>
          <w:left w:val="single" w:sz="4" w:space="10" w:color="auto"/>
          <w:bottom w:val="single" w:sz="4" w:space="10" w:color="auto"/>
          <w:right w:val="single" w:sz="4" w:space="10" w:color="auto"/>
        </w:pBdr>
        <w:rPr>
          <w:sz w:val="20"/>
        </w:rPr>
      </w:pPr>
    </w:p>
    <w:p w14:paraId="20A2B612" w14:textId="3797F8A9" w:rsidR="00E0189C" w:rsidRPr="006B7BF9" w:rsidRDefault="00E0189C" w:rsidP="006B7BF9">
      <w:pPr>
        <w:pBdr>
          <w:top w:val="single" w:sz="4" w:space="10" w:color="auto"/>
          <w:left w:val="single" w:sz="4" w:space="10" w:color="auto"/>
          <w:bottom w:val="single" w:sz="4" w:space="10" w:color="auto"/>
          <w:right w:val="single" w:sz="4" w:space="10" w:color="auto"/>
        </w:pBdr>
        <w:rPr>
          <w:sz w:val="20"/>
        </w:rPr>
      </w:pPr>
      <w:r w:rsidRPr="006B7BF9">
        <w:rPr>
          <w:sz w:val="20"/>
        </w:rPr>
        <w:t xml:space="preserve">Under the remote services rules the regular mobile services Kiwiphone supplies to UK residents would remain zero-rated and the inbound roaming services they supply to UK residents in New Zealand would </w:t>
      </w:r>
      <w:r w:rsidRPr="006B7BF9">
        <w:rPr>
          <w:i/>
          <w:sz w:val="20"/>
        </w:rPr>
        <w:t>prima facie</w:t>
      </w:r>
      <w:r w:rsidRPr="006B7BF9">
        <w:rPr>
          <w:sz w:val="20"/>
        </w:rPr>
        <w:t xml:space="preserve"> be subject to GST at the standard rate. However, as Kiwiphone is registered for VAT in the UK they are paying UK VAT on these inbound roaming services at the rate of 20</w:t>
      </w:r>
      <w:r w:rsidR="00C10363" w:rsidRPr="006B7BF9">
        <w:rPr>
          <w:sz w:val="20"/>
        </w:rPr>
        <w:t>%</w:t>
      </w:r>
      <w:r w:rsidRPr="006B7BF9">
        <w:rPr>
          <w:sz w:val="20"/>
        </w:rPr>
        <w:t xml:space="preserve">. </w:t>
      </w:r>
      <w:r w:rsidR="00C16A87" w:rsidRPr="006B7BF9">
        <w:rPr>
          <w:sz w:val="20"/>
        </w:rPr>
        <w:t>Under section 20(3)(dc) Kiwiphone would therefore not be required to return GST on the inbound roaming services they supply to UK residents.</w:t>
      </w:r>
    </w:p>
    <w:p w14:paraId="1D2F824B" w14:textId="77777777" w:rsidR="003C130E" w:rsidRDefault="003C130E" w:rsidP="00C16A87">
      <w:pPr>
        <w:pStyle w:val="Chapter3"/>
        <w:numPr>
          <w:ilvl w:val="0"/>
          <w:numId w:val="0"/>
        </w:numPr>
      </w:pPr>
    </w:p>
    <w:p w14:paraId="42A6421A" w14:textId="77777777" w:rsidR="00C16A87" w:rsidRDefault="00C16A87" w:rsidP="00760799">
      <w:pPr>
        <w:pStyle w:val="Heading2"/>
      </w:pPr>
      <w:bookmarkStart w:id="77" w:name="_Toc8719842"/>
      <w:r>
        <w:t>Local SIM cards, phones and portable mobile routers</w:t>
      </w:r>
      <w:bookmarkEnd w:id="77"/>
    </w:p>
    <w:p w14:paraId="7F42A487" w14:textId="77777777" w:rsidR="00C16A87" w:rsidRDefault="00C16A87" w:rsidP="00760799">
      <w:pPr>
        <w:pStyle w:val="Chapter3"/>
        <w:numPr>
          <w:ilvl w:val="0"/>
          <w:numId w:val="0"/>
        </w:numPr>
      </w:pPr>
    </w:p>
    <w:p w14:paraId="3AAEBB04" w14:textId="77777777" w:rsidR="00C16A87" w:rsidRDefault="00C16A87" w:rsidP="00760799">
      <w:pPr>
        <w:pStyle w:val="Chapter3"/>
      </w:pPr>
      <w:r>
        <w:t>It is a common practice for tourists travelling overseas to purchase local SIM cards or use local portable mobile routers (such as, pocket wi-fi) of the country they are travelling in to avoid paying international roaming charges. Alternatively, some tourists may purchase local mobile phones of the country they are travelling in to use while away on holiday.</w:t>
      </w:r>
    </w:p>
    <w:p w14:paraId="17FC5CF6" w14:textId="77777777" w:rsidR="005D3B9B" w:rsidRDefault="005D3B9B" w:rsidP="00C16A87">
      <w:pPr>
        <w:pStyle w:val="Chapter3"/>
        <w:numPr>
          <w:ilvl w:val="0"/>
          <w:numId w:val="0"/>
        </w:numPr>
        <w:ind w:left="851"/>
      </w:pPr>
    </w:p>
    <w:p w14:paraId="47870E9A" w14:textId="77777777" w:rsidR="00827D49" w:rsidRDefault="00C16A87" w:rsidP="00827D49">
      <w:pPr>
        <w:pStyle w:val="Chapter3"/>
      </w:pPr>
      <w:r>
        <w:t>Under the remote services rules, these mobile telecommunications services a tourist receives should be subject to GST/VAT in the jurisdiction they are resident in even if they are using a local SIM card or phone.</w:t>
      </w:r>
      <w:r w:rsidR="00827D49" w:rsidRPr="00827D49">
        <w:t xml:space="preserve"> </w:t>
      </w:r>
      <w:r w:rsidR="00827D49">
        <w:t>However, it can be argued that the place of consumption for the telecommunications services a tourist receives through the use of a local SIM card, portable mobile router or mobile phone should be the tourist’s physical location and not their residency as, to receive the “non-roaming” mobile telecommunications services, a tourist using a local SIM card needs to be in the country associated with that SIM card.</w:t>
      </w:r>
    </w:p>
    <w:p w14:paraId="2347FD7E" w14:textId="77777777" w:rsidR="00827D49" w:rsidRDefault="00827D49" w:rsidP="004D46AC">
      <w:pPr>
        <w:pStyle w:val="Chapter3"/>
        <w:numPr>
          <w:ilvl w:val="0"/>
          <w:numId w:val="0"/>
        </w:numPr>
        <w:ind w:left="851"/>
      </w:pPr>
    </w:p>
    <w:p w14:paraId="1BD4928F" w14:textId="5C2B3A11" w:rsidR="00C16A87" w:rsidRDefault="00827D49" w:rsidP="00827D49">
      <w:pPr>
        <w:pStyle w:val="Chapter3"/>
      </w:pPr>
      <w:r>
        <w:lastRenderedPageBreak/>
        <w:t>In</w:t>
      </w:r>
      <w:r w:rsidR="00C16A87">
        <w:t xml:space="preserve"> practice it </w:t>
      </w:r>
      <w:r w:rsidR="00300096">
        <w:t>is also likely to</w:t>
      </w:r>
      <w:r>
        <w:t xml:space="preserve"> </w:t>
      </w:r>
      <w:r w:rsidR="00C16A87">
        <w:t xml:space="preserve">be difficult for telecommunications suppliers to charge the correct jurisdictions’ GST or VAT when a tourist is using a local SIM or phone. Under section 8B(2) suppliers are required to use two non-contradictory pieces of evidence for determining the residency of </w:t>
      </w:r>
      <w:r w:rsidR="00EA156A">
        <w:t>the</w:t>
      </w:r>
      <w:r w:rsidR="00C16A87">
        <w:t xml:space="preserve"> consumer. However, under paragraph (e) one of the pieces of evidence that can be used is the mobile country code of the SIM card used by the person. It may therefore be difficult for a supplier of mobile phone services to have two non-contradictory pieces of evidence for a consumer’s residency </w:t>
      </w:r>
      <w:r w:rsidR="00626494">
        <w:t xml:space="preserve">status </w:t>
      </w:r>
      <w:r w:rsidR="00C16A87">
        <w:t>when a tourist is using a local SIM card.</w:t>
      </w:r>
    </w:p>
    <w:p w14:paraId="45072BE0" w14:textId="77777777" w:rsidR="00C16A87" w:rsidRDefault="00C16A87">
      <w:pPr>
        <w:pStyle w:val="Chapter3"/>
        <w:numPr>
          <w:ilvl w:val="0"/>
          <w:numId w:val="0"/>
        </w:numPr>
      </w:pPr>
    </w:p>
    <w:p w14:paraId="3F2B057E" w14:textId="015F93BE" w:rsidR="00C16A87" w:rsidRDefault="00C16A87" w:rsidP="00760799">
      <w:pPr>
        <w:pStyle w:val="Chapter3"/>
      </w:pPr>
      <w:r>
        <w:t>As such, we propose that the residency of a consumer receiving these mobile telecommunications services should be determined solely by the country code of the SIM card they are using to receive those services. This would mean that mobile telecommunications services a tourist receives through using a New Zealand SIM card, for example, would be subject to GST. Likewise, the mobile telecommunications services a New Zealand resident receives through a foreign SIM card whil</w:t>
      </w:r>
      <w:r w:rsidR="009906B4">
        <w:t>e</w:t>
      </w:r>
      <w:r>
        <w:t xml:space="preserve"> overseas would not be subject to GST.</w:t>
      </w:r>
    </w:p>
    <w:p w14:paraId="707E99CC" w14:textId="77777777" w:rsidR="00C16A87" w:rsidRDefault="00C16A87" w:rsidP="00C16A87">
      <w:pPr>
        <w:pStyle w:val="Chapter3"/>
        <w:numPr>
          <w:ilvl w:val="0"/>
          <w:numId w:val="0"/>
        </w:numPr>
        <w:ind w:left="851"/>
      </w:pPr>
    </w:p>
    <w:p w14:paraId="43DF1DF2" w14:textId="3FDDD071" w:rsidR="00C16A87" w:rsidRPr="00BD36DC" w:rsidRDefault="00C16A87" w:rsidP="006B7BF9">
      <w:pPr>
        <w:pBdr>
          <w:top w:val="single" w:sz="4" w:space="10" w:color="auto"/>
          <w:left w:val="single" w:sz="4" w:space="10" w:color="auto"/>
          <w:bottom w:val="single" w:sz="4" w:space="10" w:color="auto"/>
          <w:right w:val="single" w:sz="4" w:space="10" w:color="auto"/>
        </w:pBdr>
        <w:rPr>
          <w:b/>
          <w:sz w:val="20"/>
        </w:rPr>
      </w:pPr>
      <w:r w:rsidRPr="00BD36DC">
        <w:rPr>
          <w:b/>
          <w:sz w:val="20"/>
        </w:rPr>
        <w:t>Example</w:t>
      </w:r>
      <w:r w:rsidR="00C10363" w:rsidRPr="00BD36DC">
        <w:rPr>
          <w:b/>
          <w:sz w:val="20"/>
        </w:rPr>
        <w:t xml:space="preserve"> </w:t>
      </w:r>
      <w:r w:rsidR="00A87C3A">
        <w:rPr>
          <w:b/>
          <w:sz w:val="20"/>
        </w:rPr>
        <w:t>8: New Zealand resident using a foreign SIM card</w:t>
      </w:r>
    </w:p>
    <w:p w14:paraId="618CAA0C" w14:textId="77777777" w:rsidR="00C16A87" w:rsidRPr="00BD36DC" w:rsidRDefault="00C16A87" w:rsidP="006B7BF9">
      <w:pPr>
        <w:pBdr>
          <w:top w:val="single" w:sz="4" w:space="10" w:color="auto"/>
          <w:left w:val="single" w:sz="4" w:space="10" w:color="auto"/>
          <w:bottom w:val="single" w:sz="4" w:space="10" w:color="auto"/>
          <w:right w:val="single" w:sz="4" w:space="10" w:color="auto"/>
        </w:pBdr>
        <w:rPr>
          <w:sz w:val="20"/>
        </w:rPr>
      </w:pPr>
    </w:p>
    <w:p w14:paraId="6C648618" w14:textId="551288BA" w:rsidR="00C16A87" w:rsidRPr="00BD36DC" w:rsidRDefault="00920576" w:rsidP="006B7BF9">
      <w:pPr>
        <w:pBdr>
          <w:top w:val="single" w:sz="4" w:space="10" w:color="auto"/>
          <w:left w:val="single" w:sz="4" w:space="10" w:color="auto"/>
          <w:bottom w:val="single" w:sz="4" w:space="10" w:color="auto"/>
          <w:right w:val="single" w:sz="4" w:space="10" w:color="auto"/>
        </w:pBdr>
        <w:rPr>
          <w:sz w:val="20"/>
        </w:rPr>
      </w:pPr>
      <w:r w:rsidRPr="00BD36DC">
        <w:rPr>
          <w:sz w:val="20"/>
        </w:rPr>
        <w:t>Kirsty, a New Zealand resident, is on holiday in Egypt. To avoid paying international roaming charges she purchases a SIM card of a local Egyptian telecommunications supplier.</w:t>
      </w:r>
      <w:r w:rsidR="00A87C3A">
        <w:rPr>
          <w:sz w:val="20"/>
        </w:rPr>
        <w:t xml:space="preserve"> T</w:t>
      </w:r>
      <w:r w:rsidR="00C16A87" w:rsidRPr="00BD36DC">
        <w:rPr>
          <w:sz w:val="20"/>
        </w:rPr>
        <w:t xml:space="preserve">he </w:t>
      </w:r>
      <w:r w:rsidR="00A110FD" w:rsidRPr="00BD36DC">
        <w:rPr>
          <w:sz w:val="20"/>
        </w:rPr>
        <w:t xml:space="preserve">mobile </w:t>
      </w:r>
      <w:r w:rsidR="00C16A87" w:rsidRPr="00BD36DC">
        <w:rPr>
          <w:sz w:val="20"/>
        </w:rPr>
        <w:t>telecommunications services she receives through her Egyptian SIM card will not be subject to GST.</w:t>
      </w:r>
    </w:p>
    <w:p w14:paraId="4F87FD5F" w14:textId="77777777" w:rsidR="005D3B9B" w:rsidRDefault="005D3B9B" w:rsidP="00C16A87">
      <w:pPr>
        <w:pStyle w:val="Chapter3"/>
        <w:numPr>
          <w:ilvl w:val="0"/>
          <w:numId w:val="0"/>
        </w:numPr>
      </w:pPr>
    </w:p>
    <w:p w14:paraId="2F0FFB75" w14:textId="6770C925" w:rsidR="00C16A87" w:rsidRPr="006B7BF9" w:rsidRDefault="00C16A87" w:rsidP="006B7BF9">
      <w:pPr>
        <w:pBdr>
          <w:top w:val="single" w:sz="4" w:space="10" w:color="auto"/>
          <w:left w:val="single" w:sz="4" w:space="10" w:color="auto"/>
          <w:bottom w:val="single" w:sz="4" w:space="10" w:color="auto"/>
          <w:right w:val="single" w:sz="4" w:space="10" w:color="auto"/>
        </w:pBdr>
        <w:rPr>
          <w:b/>
          <w:sz w:val="20"/>
        </w:rPr>
      </w:pPr>
      <w:r w:rsidRPr="006B7BF9">
        <w:rPr>
          <w:b/>
          <w:sz w:val="20"/>
        </w:rPr>
        <w:t>Example</w:t>
      </w:r>
      <w:r w:rsidR="00C10363" w:rsidRPr="006B7BF9">
        <w:rPr>
          <w:b/>
          <w:sz w:val="20"/>
        </w:rPr>
        <w:t xml:space="preserve"> </w:t>
      </w:r>
      <w:r w:rsidR="00A87C3A">
        <w:rPr>
          <w:b/>
          <w:sz w:val="20"/>
        </w:rPr>
        <w:t>9: Non-residents using a New Zealand mobile device</w:t>
      </w:r>
    </w:p>
    <w:p w14:paraId="132E7818" w14:textId="77777777" w:rsidR="00C16A87" w:rsidRPr="006B7BF9" w:rsidRDefault="00C16A87" w:rsidP="006B7BF9">
      <w:pPr>
        <w:pBdr>
          <w:top w:val="single" w:sz="4" w:space="10" w:color="auto"/>
          <w:left w:val="single" w:sz="4" w:space="10" w:color="auto"/>
          <w:bottom w:val="single" w:sz="4" w:space="10" w:color="auto"/>
          <w:right w:val="single" w:sz="4" w:space="10" w:color="auto"/>
        </w:pBdr>
        <w:rPr>
          <w:sz w:val="20"/>
        </w:rPr>
      </w:pPr>
    </w:p>
    <w:p w14:paraId="78C1FA38" w14:textId="4AB39346" w:rsidR="003C130E" w:rsidRPr="006B7BF9" w:rsidRDefault="00C16A87" w:rsidP="006B7BF9">
      <w:pPr>
        <w:pBdr>
          <w:top w:val="single" w:sz="4" w:space="10" w:color="auto"/>
          <w:left w:val="single" w:sz="4" w:space="10" w:color="auto"/>
          <w:bottom w:val="single" w:sz="4" w:space="10" w:color="auto"/>
          <w:right w:val="single" w:sz="4" w:space="10" w:color="auto"/>
        </w:pBdr>
        <w:rPr>
          <w:sz w:val="20"/>
        </w:rPr>
      </w:pPr>
      <w:r w:rsidRPr="006B7BF9">
        <w:rPr>
          <w:sz w:val="20"/>
        </w:rPr>
        <w:t>Steve, Dave and Cameron are Australian tourists on holiday in New Zealand. To avoid paying international roaming charges while in New Zealand, they purchase a pocket wi-fi device from the local supermarket</w:t>
      </w:r>
      <w:r w:rsidR="00C10363" w:rsidRPr="006B7BF9">
        <w:rPr>
          <w:sz w:val="20"/>
        </w:rPr>
        <w:t xml:space="preserve">. </w:t>
      </w:r>
      <w:r w:rsidRPr="006B7BF9">
        <w:rPr>
          <w:sz w:val="20"/>
        </w:rPr>
        <w:t>This device provides them with a private wi-fi signal and allows them all to connect to</w:t>
      </w:r>
      <w:r w:rsidR="009B4F56">
        <w:rPr>
          <w:sz w:val="20"/>
        </w:rPr>
        <w:t xml:space="preserve"> the</w:t>
      </w:r>
      <w:r w:rsidRPr="006B7BF9">
        <w:rPr>
          <w:sz w:val="20"/>
        </w:rPr>
        <w:t xml:space="preserve"> </w:t>
      </w:r>
      <w:r w:rsidR="009B4F56">
        <w:rPr>
          <w:sz w:val="20"/>
        </w:rPr>
        <w:t>I</w:t>
      </w:r>
      <w:r w:rsidRPr="006B7BF9">
        <w:rPr>
          <w:sz w:val="20"/>
        </w:rPr>
        <w:t>nternet from their respective mobile devices. This mobile telecommunications service they receive through the pocket wi-fi will be subject to GST</w:t>
      </w:r>
      <w:r w:rsidR="00D44F21" w:rsidRPr="006B7BF9">
        <w:rPr>
          <w:sz w:val="20"/>
        </w:rPr>
        <w:t xml:space="preserve"> at 15</w:t>
      </w:r>
      <w:r w:rsidR="00C10363" w:rsidRPr="006B7BF9">
        <w:rPr>
          <w:sz w:val="20"/>
        </w:rPr>
        <w:t>%</w:t>
      </w:r>
      <w:r w:rsidRPr="006B7BF9">
        <w:rPr>
          <w:sz w:val="20"/>
        </w:rPr>
        <w:t>.</w:t>
      </w:r>
    </w:p>
    <w:p w14:paraId="44A93DD0" w14:textId="77777777" w:rsidR="00BF3431" w:rsidRDefault="00BF3431" w:rsidP="00760799">
      <w:pPr>
        <w:pStyle w:val="Chapter3"/>
        <w:numPr>
          <w:ilvl w:val="0"/>
          <w:numId w:val="0"/>
        </w:numPr>
        <w:ind w:left="851"/>
      </w:pPr>
    </w:p>
    <w:p w14:paraId="2BB53DFD" w14:textId="6625C78F" w:rsidR="00BF3431" w:rsidRDefault="00BF3431" w:rsidP="004B4ECA">
      <w:pPr>
        <w:pStyle w:val="Chapter3"/>
      </w:pPr>
      <w:r>
        <w:t xml:space="preserve">We are seeking feedback on whether this is an appropriate approach </w:t>
      </w:r>
      <w:r w:rsidR="00A110FD">
        <w:t>for determining the place of consumption of mobile telecommunications services when a person uses a local SIM card or mobile device whil</w:t>
      </w:r>
      <w:r w:rsidR="009906B4">
        <w:t>e</w:t>
      </w:r>
      <w:r w:rsidR="00A110FD">
        <w:t xml:space="preserve"> overseas.</w:t>
      </w:r>
    </w:p>
    <w:p w14:paraId="6317DC30" w14:textId="77777777" w:rsidR="00254307" w:rsidRDefault="00254307" w:rsidP="00254307">
      <w:pPr>
        <w:pStyle w:val="Chapter3"/>
        <w:numPr>
          <w:ilvl w:val="0"/>
          <w:numId w:val="0"/>
        </w:numPr>
      </w:pPr>
    </w:p>
    <w:p w14:paraId="25671001" w14:textId="77777777" w:rsidR="004B4ECA" w:rsidRDefault="004B4ECA" w:rsidP="004B4ECA">
      <w:pPr>
        <w:pStyle w:val="Heading1"/>
      </w:pPr>
      <w:bookmarkStart w:id="78" w:name="_Toc8719843"/>
      <w:r>
        <w:t>Business-to-business supplies</w:t>
      </w:r>
      <w:bookmarkEnd w:id="78"/>
    </w:p>
    <w:p w14:paraId="7DDDC5C9" w14:textId="77777777" w:rsidR="004B4ECA" w:rsidRPr="00A71B0D" w:rsidRDefault="004B4ECA" w:rsidP="00BD0CEB">
      <w:pPr>
        <w:pStyle w:val="Chapter3"/>
        <w:numPr>
          <w:ilvl w:val="0"/>
          <w:numId w:val="0"/>
        </w:numPr>
        <w:ind w:left="851"/>
      </w:pPr>
    </w:p>
    <w:p w14:paraId="3FF99E8A" w14:textId="5265AA2A" w:rsidR="004B4ECA" w:rsidRDefault="00351BBD" w:rsidP="004B4ECA">
      <w:pPr>
        <w:pStyle w:val="Chapter3"/>
      </w:pPr>
      <w:r>
        <w:t xml:space="preserve">Telecommunications services supplied by a non-resident to a GST-registered business are </w:t>
      </w:r>
      <w:r w:rsidR="009369E9">
        <w:t>generally</w:t>
      </w:r>
      <w:r w:rsidR="00683470">
        <w:t xml:space="preserve"> not</w:t>
      </w:r>
      <w:r w:rsidR="009369E9">
        <w:t xml:space="preserve"> </w:t>
      </w:r>
      <w:r>
        <w:t>subject to GST</w:t>
      </w:r>
      <w:r w:rsidR="00FD65C4">
        <w:t xml:space="preserve"> under section 8(8)</w:t>
      </w:r>
      <w:r>
        <w:t xml:space="preserve">. </w:t>
      </w:r>
      <w:r w:rsidR="00CB2B86">
        <w:t xml:space="preserve">Treating telecommunications services as remote services should generally maintain this treatment. </w:t>
      </w:r>
      <w:r w:rsidR="00FD65C4">
        <w:t>Under section 8(4D)</w:t>
      </w:r>
      <w:r w:rsidR="00281D0A">
        <w:t>,</w:t>
      </w:r>
      <w:r w:rsidR="00FD65C4">
        <w:t xml:space="preserve"> r</w:t>
      </w:r>
      <w:r w:rsidR="00CB2B86">
        <w:t>emote services</w:t>
      </w:r>
      <w:r>
        <w:t xml:space="preserve"> supplied by a non-resident to a GST-registered business </w:t>
      </w:r>
      <w:r w:rsidR="00FD65C4">
        <w:t xml:space="preserve">are </w:t>
      </w:r>
      <w:r>
        <w:t>not subject to GST unless the supplier chooses to zero-rate the supply</w:t>
      </w:r>
      <w:r w:rsidR="00827D49">
        <w:t xml:space="preserve"> in order to claim back any New Zealand GST incurred in making the supply</w:t>
      </w:r>
      <w:r w:rsidR="00CB2B86">
        <w:t>.</w:t>
      </w:r>
    </w:p>
    <w:p w14:paraId="6643EAF9" w14:textId="77777777" w:rsidR="004B4ECA" w:rsidRDefault="004B4ECA" w:rsidP="004B4ECA">
      <w:pPr>
        <w:pStyle w:val="Chapter3"/>
        <w:numPr>
          <w:ilvl w:val="0"/>
          <w:numId w:val="0"/>
        </w:numPr>
      </w:pPr>
    </w:p>
    <w:p w14:paraId="569A404D" w14:textId="77777777" w:rsidR="004B4ECA" w:rsidRDefault="004B4ECA" w:rsidP="004B4ECA">
      <w:pPr>
        <w:pStyle w:val="Chapter3"/>
      </w:pPr>
      <w:r>
        <w:t>Currently telecommunications services supplied by a resident are zero-rated if supplied to a non-resident supplier of telecommunications services. We recommend that this treatment be retained to ensure that GST remains a tax on consumption and not on businesses.</w:t>
      </w:r>
    </w:p>
    <w:p w14:paraId="6ED6826C" w14:textId="15A9B6EB" w:rsidR="002E51A3" w:rsidRPr="006C78C1" w:rsidRDefault="002E51A3">
      <w:pPr>
        <w:jc w:val="left"/>
        <w:rPr>
          <w:rFonts w:ascii="Times New Roman Bold" w:hAnsi="Times New Roman Bold"/>
          <w:kern w:val="28"/>
          <w:szCs w:val="24"/>
        </w:rPr>
      </w:pPr>
    </w:p>
    <w:p w14:paraId="33B9E15B" w14:textId="565AA771" w:rsidR="004B4ECA" w:rsidRDefault="004B4ECA" w:rsidP="004B4ECA">
      <w:pPr>
        <w:pStyle w:val="Heading1"/>
      </w:pPr>
      <w:bookmarkStart w:id="79" w:name="_Toc8719844"/>
      <w:r>
        <w:lastRenderedPageBreak/>
        <w:t>Definition of telecommunications services</w:t>
      </w:r>
      <w:bookmarkEnd w:id="79"/>
    </w:p>
    <w:p w14:paraId="7D071F38" w14:textId="77777777" w:rsidR="004B4ECA" w:rsidRDefault="004B4ECA" w:rsidP="004B4ECA">
      <w:pPr>
        <w:pStyle w:val="Chapter3"/>
        <w:numPr>
          <w:ilvl w:val="0"/>
          <w:numId w:val="0"/>
        </w:numPr>
        <w:ind w:left="851" w:hanging="851"/>
      </w:pPr>
    </w:p>
    <w:p w14:paraId="1545AC45" w14:textId="77777777" w:rsidR="004B4ECA" w:rsidRDefault="004B4ECA" w:rsidP="004B4ECA">
      <w:pPr>
        <w:pStyle w:val="Chapter3"/>
      </w:pPr>
      <w:r>
        <w:t>Telecommunications services are currently defined in section 2 of the GST Act as:</w:t>
      </w:r>
    </w:p>
    <w:p w14:paraId="2CEE8F89" w14:textId="77777777" w:rsidR="00BD0CEB" w:rsidRDefault="00BD0CEB" w:rsidP="00BD0CEB">
      <w:pPr>
        <w:pStyle w:val="Chapter3"/>
        <w:numPr>
          <w:ilvl w:val="0"/>
          <w:numId w:val="0"/>
        </w:numPr>
        <w:ind w:left="851"/>
      </w:pPr>
    </w:p>
    <w:p w14:paraId="570544A6" w14:textId="77777777" w:rsidR="004B4ECA" w:rsidRPr="00A71B0D" w:rsidRDefault="004B4ECA" w:rsidP="004B4ECA">
      <w:pPr>
        <w:pStyle w:val="Chapter3"/>
        <w:numPr>
          <w:ilvl w:val="0"/>
          <w:numId w:val="0"/>
        </w:numPr>
        <w:ind w:left="1440"/>
        <w:rPr>
          <w:i/>
        </w:rPr>
      </w:pPr>
      <w:r w:rsidRPr="00A71B0D">
        <w:rPr>
          <w:i/>
        </w:rPr>
        <w:t xml:space="preserve">the transmission, emission or reception, and the </w:t>
      </w:r>
      <w:r>
        <w:rPr>
          <w:i/>
        </w:rPr>
        <w:t>transfer or assignment of the right to use capacity for the transmission, emission or reception, of signals, writing, images, sounds or information of any kind by wire, cable, radio, optical or other electromagnetic system, or by a similar technical system, and includes access to global information networks but does not include the content of the telecommunication</w:t>
      </w:r>
    </w:p>
    <w:p w14:paraId="002771E5" w14:textId="77777777" w:rsidR="004B4ECA" w:rsidRDefault="004B4ECA" w:rsidP="004B4ECA">
      <w:pPr>
        <w:pStyle w:val="Chapter3"/>
        <w:numPr>
          <w:ilvl w:val="0"/>
          <w:numId w:val="0"/>
        </w:numPr>
        <w:ind w:left="851"/>
      </w:pPr>
    </w:p>
    <w:p w14:paraId="04490CA7" w14:textId="77777777" w:rsidR="004B4ECA" w:rsidRDefault="00513DEC" w:rsidP="004B4ECA">
      <w:pPr>
        <w:pStyle w:val="Chapter3"/>
      </w:pPr>
      <w:r>
        <w:t>While we are proposing to repeal the special telecommunications rules we consider that a definition of telecommunications services is still required in the GST Act</w:t>
      </w:r>
      <w:r w:rsidR="00C10363">
        <w:t xml:space="preserve">. </w:t>
      </w:r>
      <w:r w:rsidR="00014D0D">
        <w:t xml:space="preserve">We are </w:t>
      </w:r>
      <w:r w:rsidR="00C70D10">
        <w:t xml:space="preserve">therefore </w:t>
      </w:r>
      <w:r w:rsidR="00014D0D">
        <w:t xml:space="preserve">seeking feedback on whether </w:t>
      </w:r>
      <w:r w:rsidR="004B4ECA">
        <w:t>the current definition is still fit for purpose.</w:t>
      </w:r>
    </w:p>
    <w:p w14:paraId="01770777" w14:textId="77777777" w:rsidR="004B4ECA" w:rsidRDefault="004B4ECA" w:rsidP="004B4ECA">
      <w:pPr>
        <w:pStyle w:val="Chapter3"/>
        <w:numPr>
          <w:ilvl w:val="0"/>
          <w:numId w:val="0"/>
        </w:numPr>
      </w:pPr>
    </w:p>
    <w:p w14:paraId="4E6602D5" w14:textId="77777777" w:rsidR="004B4ECA" w:rsidRDefault="004B4ECA" w:rsidP="004B4ECA">
      <w:pPr>
        <w:pStyle w:val="Heading1"/>
      </w:pPr>
      <w:bookmarkStart w:id="80" w:name="_Toc8719845"/>
      <w:r>
        <w:t>Application date</w:t>
      </w:r>
      <w:bookmarkEnd w:id="80"/>
    </w:p>
    <w:p w14:paraId="3A878B8D" w14:textId="77777777" w:rsidR="004B4ECA" w:rsidRPr="00480196" w:rsidRDefault="004B4ECA" w:rsidP="00BD0CEB">
      <w:pPr>
        <w:pStyle w:val="Chapter3"/>
        <w:numPr>
          <w:ilvl w:val="0"/>
          <w:numId w:val="0"/>
        </w:numPr>
        <w:ind w:left="851"/>
      </w:pPr>
    </w:p>
    <w:p w14:paraId="7D016D3F" w14:textId="77777777" w:rsidR="004B4ECA" w:rsidRDefault="00014D0D" w:rsidP="004B4ECA">
      <w:pPr>
        <w:pStyle w:val="Chapter3"/>
      </w:pPr>
      <w:r>
        <w:t>It is proposed</w:t>
      </w:r>
      <w:r w:rsidR="004B4ECA">
        <w:t xml:space="preserve"> that the new rules apply from 1 October 2020.</w:t>
      </w:r>
    </w:p>
    <w:p w14:paraId="3AC8FF9A" w14:textId="77777777" w:rsidR="00CE7EF4" w:rsidRDefault="00CE7EF4">
      <w:pPr>
        <w:jc w:val="left"/>
        <w:rPr>
          <w:rFonts w:ascii="Times New Roman Bold" w:hAnsi="Times New Roman Bold"/>
          <w:b/>
          <w:bCs/>
          <w:caps/>
          <w:sz w:val="28"/>
          <w:szCs w:val="28"/>
        </w:rPr>
        <w:sectPr w:rsidR="00CE7EF4" w:rsidSect="004D533B">
          <w:type w:val="oddPage"/>
          <w:pgSz w:w="11906" w:h="16838" w:code="9"/>
          <w:pgMar w:top="1134" w:right="1797" w:bottom="1134" w:left="1797" w:header="709" w:footer="425" w:gutter="0"/>
          <w:cols w:space="708"/>
          <w:titlePg/>
          <w:docGrid w:linePitch="360"/>
        </w:sectPr>
      </w:pPr>
    </w:p>
    <w:p w14:paraId="4C027835" w14:textId="77777777" w:rsidR="00FD140A" w:rsidRPr="00673800" w:rsidRDefault="00FD140A" w:rsidP="00FD140A">
      <w:pPr>
        <w:pStyle w:val="Chapterheading"/>
      </w:pPr>
      <w:bookmarkStart w:id="81" w:name="_Toc512956460"/>
      <w:bookmarkStart w:id="82" w:name="_Toc513030669"/>
      <w:bookmarkStart w:id="83" w:name="_Toc513049668"/>
      <w:bookmarkStart w:id="84" w:name="_Toc513060236"/>
      <w:bookmarkStart w:id="85" w:name="_Toc513105770"/>
      <w:bookmarkStart w:id="86" w:name="_Toc532468278"/>
      <w:bookmarkStart w:id="87" w:name="_Toc532468612"/>
      <w:bookmarkStart w:id="88" w:name="_Toc536625590"/>
      <w:bookmarkStart w:id="89" w:name="_Toc428871"/>
      <w:bookmarkStart w:id="90" w:name="_Toc944360"/>
      <w:bookmarkStart w:id="91" w:name="_Toc966581"/>
      <w:bookmarkStart w:id="92" w:name="_Toc1122121"/>
      <w:bookmarkStart w:id="93" w:name="_Toc2240565"/>
      <w:bookmarkStart w:id="94" w:name="_Toc3276844"/>
      <w:bookmarkStart w:id="95" w:name="_Toc3284867"/>
      <w:bookmarkStart w:id="96" w:name="_Toc8719846"/>
      <w:r w:rsidRPr="00673800">
        <w:lastRenderedPageBreak/>
        <w:t xml:space="preserve">CHAPTER </w:t>
      </w:r>
      <w:bookmarkEnd w:id="81"/>
      <w:bookmarkEnd w:id="82"/>
      <w:bookmarkEnd w:id="83"/>
      <w:bookmarkEnd w:id="84"/>
      <w:bookmarkEnd w:id="85"/>
      <w:bookmarkEnd w:id="86"/>
      <w:bookmarkEnd w:id="87"/>
      <w:r w:rsidR="003C130E">
        <w:t>4</w:t>
      </w:r>
      <w:bookmarkEnd w:id="88"/>
      <w:bookmarkEnd w:id="89"/>
      <w:bookmarkEnd w:id="90"/>
      <w:bookmarkEnd w:id="91"/>
      <w:bookmarkEnd w:id="92"/>
      <w:bookmarkEnd w:id="93"/>
      <w:bookmarkEnd w:id="94"/>
      <w:bookmarkEnd w:id="95"/>
      <w:bookmarkEnd w:id="96"/>
    </w:p>
    <w:p w14:paraId="15CA6B1D" w14:textId="77777777" w:rsidR="00FD140A" w:rsidRPr="00673800" w:rsidRDefault="00FD140A" w:rsidP="00FD140A">
      <w:pPr>
        <w:pStyle w:val="Chapterheading"/>
      </w:pPr>
    </w:p>
    <w:p w14:paraId="117BF38E" w14:textId="77777777" w:rsidR="00FD140A" w:rsidRPr="00673800" w:rsidRDefault="003C130E" w:rsidP="00FD140A">
      <w:pPr>
        <w:pStyle w:val="Chapterheading"/>
        <w:rPr>
          <w:caps w:val="0"/>
        </w:rPr>
      </w:pPr>
      <w:bookmarkStart w:id="97" w:name="_Toc8719847"/>
      <w:r>
        <w:rPr>
          <w:caps w:val="0"/>
        </w:rPr>
        <w:t xml:space="preserve">Place of </w:t>
      </w:r>
      <w:r w:rsidR="009369E9">
        <w:rPr>
          <w:caps w:val="0"/>
        </w:rPr>
        <w:t>supply</w:t>
      </w:r>
      <w:r>
        <w:rPr>
          <w:caps w:val="0"/>
        </w:rPr>
        <w:t xml:space="preserve"> of specific telecommunications services</w:t>
      </w:r>
      <w:bookmarkEnd w:id="97"/>
    </w:p>
    <w:p w14:paraId="5B3B5504" w14:textId="77777777" w:rsidR="00FD140A" w:rsidRPr="00673800" w:rsidRDefault="00FD140A" w:rsidP="00BD0CEB">
      <w:pPr>
        <w:pStyle w:val="Chapter4"/>
        <w:numPr>
          <w:ilvl w:val="0"/>
          <w:numId w:val="0"/>
        </w:numPr>
        <w:ind w:left="851"/>
      </w:pPr>
    </w:p>
    <w:p w14:paraId="0E3970C5" w14:textId="77777777" w:rsidR="00FD140A" w:rsidRPr="00673800" w:rsidRDefault="00FD140A" w:rsidP="00BD0CEB">
      <w:pPr>
        <w:pStyle w:val="Chapter4"/>
        <w:numPr>
          <w:ilvl w:val="0"/>
          <w:numId w:val="0"/>
        </w:numPr>
        <w:ind w:left="851"/>
      </w:pPr>
    </w:p>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7877"/>
      </w:tblGrid>
      <w:tr w:rsidR="00A110FD" w:rsidRPr="00673800" w14:paraId="65AD6E43" w14:textId="77777777" w:rsidTr="0015715E">
        <w:tc>
          <w:tcPr>
            <w:tcW w:w="8505" w:type="dxa"/>
          </w:tcPr>
          <w:p w14:paraId="4CA7E1C6" w14:textId="77777777" w:rsidR="00A110FD" w:rsidRDefault="00A110FD" w:rsidP="0015715E">
            <w:pPr>
              <w:ind w:left="284" w:hanging="284"/>
            </w:pPr>
            <w:r w:rsidRPr="00673800">
              <w:t xml:space="preserve">It is proposed </w:t>
            </w:r>
            <w:r>
              <w:t>that</w:t>
            </w:r>
            <w:r w:rsidRPr="00673800">
              <w:t>:</w:t>
            </w:r>
          </w:p>
          <w:p w14:paraId="5F8D4936" w14:textId="77777777" w:rsidR="00A110FD" w:rsidRPr="00673800" w:rsidRDefault="00A110FD" w:rsidP="0015715E">
            <w:pPr>
              <w:ind w:left="284" w:hanging="284"/>
            </w:pPr>
          </w:p>
          <w:p w14:paraId="4A3E861E" w14:textId="77777777" w:rsidR="00A110FD" w:rsidRDefault="00827D49" w:rsidP="0015715E">
            <w:pPr>
              <w:pStyle w:val="Bullets"/>
              <w:tabs>
                <w:tab w:val="clear" w:pos="567"/>
                <w:tab w:val="clear" w:pos="1418"/>
                <w:tab w:val="left" w:pos="568"/>
              </w:tabs>
              <w:ind w:left="568" w:hanging="568"/>
            </w:pPr>
            <w:r>
              <w:t>Specific telecommunications services supplied by residents would be subject to GST at 15</w:t>
            </w:r>
            <w:r w:rsidR="00C10363">
              <w:t>%</w:t>
            </w:r>
            <w:r>
              <w:t xml:space="preserve"> regardless of the consumer’s residency if, to receive the services, the recipient of the services needs to be in a specific location in New Zealand.</w:t>
            </w:r>
          </w:p>
          <w:p w14:paraId="5BABFD25" w14:textId="77777777" w:rsidR="00827D49" w:rsidRDefault="00827D49" w:rsidP="0015715E">
            <w:pPr>
              <w:pStyle w:val="Bullets"/>
              <w:tabs>
                <w:tab w:val="clear" w:pos="567"/>
                <w:tab w:val="clear" w:pos="1418"/>
                <w:tab w:val="left" w:pos="568"/>
              </w:tabs>
              <w:ind w:left="568" w:hanging="568"/>
            </w:pPr>
            <w:r>
              <w:t>Specific telecommunications services would not be subject to GST even when supplied to a New Zealand resident, if to receive the services the recipient needs to be in a specific location outside New Zealand.</w:t>
            </w:r>
          </w:p>
          <w:p w14:paraId="701B62E2" w14:textId="1ED83B10" w:rsidR="00A110FD" w:rsidRPr="00673800" w:rsidRDefault="00A110FD" w:rsidP="006C78C1">
            <w:pPr>
              <w:pStyle w:val="Bullets"/>
              <w:tabs>
                <w:tab w:val="clear" w:pos="567"/>
                <w:tab w:val="clear" w:pos="1418"/>
                <w:tab w:val="left" w:pos="568"/>
              </w:tabs>
              <w:spacing w:after="0"/>
              <w:ind w:left="567"/>
            </w:pPr>
            <w:r>
              <w:t xml:space="preserve">A new test for determining the place of </w:t>
            </w:r>
            <w:r w:rsidR="009369E9">
              <w:t>supply</w:t>
            </w:r>
            <w:r>
              <w:t xml:space="preserve"> of these specific telecommunications services replace the existing test based on the location of the person initiating the supply.</w:t>
            </w:r>
          </w:p>
        </w:tc>
      </w:tr>
    </w:tbl>
    <w:p w14:paraId="496BEB6A" w14:textId="77777777" w:rsidR="00FD140A" w:rsidRDefault="00FD140A" w:rsidP="00BD0CEB">
      <w:pPr>
        <w:pStyle w:val="Chapter4"/>
        <w:numPr>
          <w:ilvl w:val="0"/>
          <w:numId w:val="0"/>
        </w:numPr>
        <w:ind w:left="851"/>
      </w:pPr>
    </w:p>
    <w:p w14:paraId="4C330AA3" w14:textId="77777777" w:rsidR="008E5F79" w:rsidRDefault="008E5F79" w:rsidP="00BD0CEB">
      <w:pPr>
        <w:pStyle w:val="Chapter4"/>
        <w:numPr>
          <w:ilvl w:val="0"/>
          <w:numId w:val="0"/>
        </w:numPr>
        <w:ind w:left="851"/>
      </w:pPr>
    </w:p>
    <w:p w14:paraId="5D2BF3D8" w14:textId="0E90F6FC" w:rsidR="0036079C" w:rsidRDefault="0036079C" w:rsidP="00627D47">
      <w:pPr>
        <w:pStyle w:val="Chapter4"/>
      </w:pPr>
      <w:r>
        <w:t xml:space="preserve">Some telecommunications services </w:t>
      </w:r>
      <w:r w:rsidR="00166166">
        <w:t>require the recipient of the services to be in a specific location to receive the services. For example, a person using wi-fi at an internet cafe needs to be at that cafe to receive the wi-fi services</w:t>
      </w:r>
      <w:r w:rsidR="00C10363">
        <w:t xml:space="preserve">. </w:t>
      </w:r>
      <w:r w:rsidR="00166166">
        <w:t xml:space="preserve">For these types of </w:t>
      </w:r>
      <w:r w:rsidR="008E5B5F">
        <w:t>telecommunications services,</w:t>
      </w:r>
      <w:r w:rsidR="00166166">
        <w:t xml:space="preserve"> we do not consider the residency of the recipient of the services to be an appropriate proxy for determining the place </w:t>
      </w:r>
      <w:r w:rsidR="009369E9">
        <w:t>the services are consumed</w:t>
      </w:r>
      <w:r w:rsidR="00166166">
        <w:t>. Instead we propose that the place of consumption for these telecommunications services be determined by the location that the services are received.</w:t>
      </w:r>
    </w:p>
    <w:p w14:paraId="7A367D22" w14:textId="77777777" w:rsidR="00166166" w:rsidRDefault="00166166" w:rsidP="00760799">
      <w:pPr>
        <w:pStyle w:val="Chapter4"/>
        <w:numPr>
          <w:ilvl w:val="0"/>
          <w:numId w:val="0"/>
        </w:numPr>
        <w:ind w:left="851"/>
      </w:pPr>
    </w:p>
    <w:p w14:paraId="176B6F20" w14:textId="5ABAB983" w:rsidR="00166166" w:rsidRDefault="00166166" w:rsidP="00627D47">
      <w:pPr>
        <w:pStyle w:val="Chapter4"/>
      </w:pPr>
      <w:r>
        <w:t xml:space="preserve">The current test for determining the place of </w:t>
      </w:r>
      <w:r w:rsidR="009369E9">
        <w:t>supply</w:t>
      </w:r>
      <w:r>
        <w:t xml:space="preserve"> of telecommunications services</w:t>
      </w:r>
      <w:r w:rsidR="00A34FCD">
        <w:t>,</w:t>
      </w:r>
      <w:r>
        <w:t xml:space="preserve"> based on the location of the person initiating the supply</w:t>
      </w:r>
      <w:r w:rsidR="000F56D9">
        <w:t>,</w:t>
      </w:r>
      <w:r>
        <w:t xml:space="preserve"> may achieve the correct result</w:t>
      </w:r>
      <w:r w:rsidR="00627D47">
        <w:t xml:space="preserve"> for these specific telecommunications services. However, we do not propose keeping </w:t>
      </w:r>
      <w:r w:rsidR="001C382F">
        <w:t>th</w:t>
      </w:r>
      <w:r w:rsidR="000F56D9">
        <w:t xml:space="preserve">e </w:t>
      </w:r>
      <w:r w:rsidR="001C382F">
        <w:rPr>
          <w:i/>
        </w:rPr>
        <w:t>“initiator test”</w:t>
      </w:r>
      <w:r w:rsidR="00627D47">
        <w:t xml:space="preserve"> for these telecommunications services. It may not always be clear who has initiated a supply of telecommunication</w:t>
      </w:r>
      <w:r w:rsidR="00D3198D">
        <w:t>s</w:t>
      </w:r>
      <w:r w:rsidR="00627D47">
        <w:t xml:space="preserve"> services. Furthermore, determining the place of consumption based on where a service is initiated is unique to New Zealand’s GST. </w:t>
      </w:r>
      <w:r w:rsidR="000F56D9">
        <w:t>T</w:t>
      </w:r>
      <w:r w:rsidR="00627D47">
        <w:t xml:space="preserve">herefore, </w:t>
      </w:r>
      <w:r w:rsidR="000F56D9">
        <w:t xml:space="preserve">we </w:t>
      </w:r>
      <w:r w:rsidR="00627D47">
        <w:t>consider that repealing this test and developing a clearer test for the place of consumption of these specific telecommunications services is appropriate.</w:t>
      </w:r>
    </w:p>
    <w:p w14:paraId="0F92D626" w14:textId="77777777" w:rsidR="00627D47" w:rsidRDefault="00627D47" w:rsidP="00BD0CEB">
      <w:pPr>
        <w:pStyle w:val="Chapter4"/>
        <w:numPr>
          <w:ilvl w:val="0"/>
          <w:numId w:val="0"/>
        </w:numPr>
        <w:ind w:left="851"/>
      </w:pPr>
    </w:p>
    <w:p w14:paraId="0F2E3A23" w14:textId="213DF8B5" w:rsidR="00627D47" w:rsidRDefault="00627D47" w:rsidP="00760799">
      <w:pPr>
        <w:pStyle w:val="Heading1"/>
      </w:pPr>
      <w:bookmarkStart w:id="98" w:name="_Toc8719848"/>
      <w:r>
        <w:t xml:space="preserve">OECD </w:t>
      </w:r>
      <w:r w:rsidR="00AA5ED4">
        <w:t>G</w:t>
      </w:r>
      <w:r>
        <w:t>uidelines</w:t>
      </w:r>
      <w:bookmarkEnd w:id="98"/>
    </w:p>
    <w:p w14:paraId="7B790B61" w14:textId="77777777" w:rsidR="00627D47" w:rsidRDefault="00627D47" w:rsidP="00BD0CEB">
      <w:pPr>
        <w:pStyle w:val="Chapter4"/>
        <w:numPr>
          <w:ilvl w:val="0"/>
          <w:numId w:val="0"/>
        </w:numPr>
        <w:ind w:left="851"/>
      </w:pPr>
    </w:p>
    <w:p w14:paraId="611CD897" w14:textId="2BCF9DBF" w:rsidR="00844FDD" w:rsidRDefault="000F56D9">
      <w:pPr>
        <w:pStyle w:val="Chapter4"/>
      </w:pPr>
      <w:r>
        <w:t xml:space="preserve">As noted in </w:t>
      </w:r>
      <w:r w:rsidR="00B339B6">
        <w:t>c</w:t>
      </w:r>
      <w:r>
        <w:t>hapter 2, t</w:t>
      </w:r>
      <w:r w:rsidR="001A3352">
        <w:t>he OECD</w:t>
      </w:r>
      <w:r w:rsidR="00BF05A6">
        <w:t xml:space="preserve">’s </w:t>
      </w:r>
      <w:r w:rsidR="00BF05A6" w:rsidRPr="004B1DD5">
        <w:rPr>
          <w:i/>
        </w:rPr>
        <w:t>International</w:t>
      </w:r>
      <w:r w:rsidR="001A3352" w:rsidRPr="004B1DD5">
        <w:rPr>
          <w:i/>
        </w:rPr>
        <w:t xml:space="preserve"> VAT/GST </w:t>
      </w:r>
      <w:r w:rsidR="00BF05A6" w:rsidRPr="004B1DD5">
        <w:rPr>
          <w:i/>
        </w:rPr>
        <w:t>G</w:t>
      </w:r>
      <w:r w:rsidR="001A3352" w:rsidRPr="004B1DD5">
        <w:rPr>
          <w:i/>
        </w:rPr>
        <w:t>uidelines</w:t>
      </w:r>
      <w:r w:rsidR="001A3352">
        <w:t xml:space="preserve"> recommend that for business-to-consumer supplies of services</w:t>
      </w:r>
      <w:r>
        <w:t>,</w:t>
      </w:r>
      <w:r w:rsidR="001A3352">
        <w:t xml:space="preserve"> the place of consumption should generally be determined by</w:t>
      </w:r>
      <w:r w:rsidR="00844FDD">
        <w:t>:</w:t>
      </w:r>
    </w:p>
    <w:p w14:paraId="2E242E12" w14:textId="77777777" w:rsidR="00ED50EC" w:rsidRDefault="00ED50EC" w:rsidP="004B1DD5">
      <w:pPr>
        <w:pStyle w:val="Chapter4"/>
        <w:numPr>
          <w:ilvl w:val="0"/>
          <w:numId w:val="0"/>
        </w:numPr>
        <w:ind w:left="851"/>
      </w:pPr>
    </w:p>
    <w:p w14:paraId="1531F9EA" w14:textId="0596E6BE" w:rsidR="00867EDC" w:rsidRDefault="001A3352" w:rsidP="004B1DD5">
      <w:pPr>
        <w:pStyle w:val="Bullets"/>
      </w:pPr>
      <w:r>
        <w:t>the consumer’s residency</w:t>
      </w:r>
      <w:r w:rsidR="00844FDD">
        <w:t>, in the case of</w:t>
      </w:r>
      <w:r>
        <w:t xml:space="preserve"> remote services</w:t>
      </w:r>
      <w:r w:rsidR="00844FDD">
        <w:t>;</w:t>
      </w:r>
      <w:r>
        <w:t xml:space="preserve"> and</w:t>
      </w:r>
    </w:p>
    <w:p w14:paraId="3DE39E8F" w14:textId="757CB477" w:rsidR="00ED50EC" w:rsidRDefault="001A3352" w:rsidP="004B1DD5">
      <w:pPr>
        <w:pStyle w:val="Bullets"/>
      </w:pPr>
      <w:r>
        <w:lastRenderedPageBreak/>
        <w:t>the place where the service is performed</w:t>
      </w:r>
      <w:r w:rsidR="00867EDC">
        <w:t>,</w:t>
      </w:r>
      <w:r>
        <w:t xml:space="preserve"> </w:t>
      </w:r>
      <w:r w:rsidR="00ED50EC">
        <w:t>in the case of</w:t>
      </w:r>
      <w:r>
        <w:t xml:space="preserve"> on-the-spot services</w:t>
      </w:r>
      <w:r w:rsidR="004B1DD5">
        <w:t>.</w:t>
      </w:r>
    </w:p>
    <w:p w14:paraId="47D76BD7" w14:textId="17747226" w:rsidR="007613E5" w:rsidRDefault="001A3352" w:rsidP="004B1DD5">
      <w:pPr>
        <w:pStyle w:val="Chapter4"/>
      </w:pPr>
      <w:r>
        <w:t xml:space="preserve">However, </w:t>
      </w:r>
      <w:r w:rsidR="00D119E1">
        <w:t xml:space="preserve">the </w:t>
      </w:r>
      <w:r w:rsidR="00ED50EC" w:rsidRPr="004B1DD5">
        <w:rPr>
          <w:i/>
        </w:rPr>
        <w:t>G</w:t>
      </w:r>
      <w:r w:rsidR="00D119E1" w:rsidRPr="004B1DD5">
        <w:rPr>
          <w:i/>
        </w:rPr>
        <w:t>uidelines</w:t>
      </w:r>
      <w:r w:rsidR="00D119E1">
        <w:t xml:space="preserve"> </w:t>
      </w:r>
      <w:r w:rsidR="000F56D9">
        <w:t xml:space="preserve">also </w:t>
      </w:r>
      <w:r w:rsidR="00D119E1">
        <w:t>note that in some specific cases</w:t>
      </w:r>
      <w:r w:rsidR="00760799">
        <w:t xml:space="preserve"> these proxies may not be appropriate for determining the place of consumption.</w:t>
      </w:r>
      <w:r w:rsidR="005A7E51">
        <w:t xml:space="preserve"> </w:t>
      </w:r>
      <w:r w:rsidR="007613E5">
        <w:t xml:space="preserve">The </w:t>
      </w:r>
      <w:r w:rsidR="00EF233C" w:rsidRPr="004B1DD5">
        <w:rPr>
          <w:i/>
        </w:rPr>
        <w:t>G</w:t>
      </w:r>
      <w:r w:rsidR="007613E5" w:rsidRPr="004B1DD5">
        <w:rPr>
          <w:i/>
        </w:rPr>
        <w:t>uidelines</w:t>
      </w:r>
      <w:r w:rsidR="007613E5">
        <w:t xml:space="preserve"> mention the provision of wi-fi in an internet cafe or the use of a telephone booth to make a phone call as examples of remote services in which the consumer’s residency is not an appropriate </w:t>
      </w:r>
      <w:r w:rsidR="007A67BC">
        <w:t xml:space="preserve">proxy for determining the place of consumption. Instead the </w:t>
      </w:r>
      <w:r w:rsidR="005A7E51" w:rsidRPr="004B1DD5">
        <w:rPr>
          <w:i/>
        </w:rPr>
        <w:t>G</w:t>
      </w:r>
      <w:r w:rsidR="007A67BC" w:rsidRPr="004B1DD5">
        <w:rPr>
          <w:i/>
        </w:rPr>
        <w:t>uidelines</w:t>
      </w:r>
      <w:r w:rsidR="007A67BC">
        <w:t xml:space="preserve"> note that</w:t>
      </w:r>
      <w:r w:rsidR="005A7E51">
        <w:t>,</w:t>
      </w:r>
      <w:r w:rsidR="007A67BC">
        <w:t xml:space="preserve"> </w:t>
      </w:r>
      <w:r w:rsidR="005A7E51">
        <w:t xml:space="preserve">in the case of </w:t>
      </w:r>
      <w:r w:rsidR="007A67BC">
        <w:t>these telecommunications services</w:t>
      </w:r>
      <w:r w:rsidR="005A7E51">
        <w:t>,</w:t>
      </w:r>
      <w:r w:rsidR="007A67BC">
        <w:t xml:space="preserve"> the actual location of the consumer is a more appropriate proxy for the place of consumption.</w:t>
      </w:r>
    </w:p>
    <w:p w14:paraId="2E50E8C7" w14:textId="77777777" w:rsidR="007A67BC" w:rsidRDefault="007A67BC" w:rsidP="00BD0CEB">
      <w:pPr>
        <w:pStyle w:val="Chapter4"/>
        <w:numPr>
          <w:ilvl w:val="0"/>
          <w:numId w:val="0"/>
        </w:numPr>
        <w:ind w:left="851"/>
      </w:pPr>
    </w:p>
    <w:p w14:paraId="70FEF3AE" w14:textId="6C897733" w:rsidR="007A67BC" w:rsidRDefault="007A67BC" w:rsidP="00760799">
      <w:pPr>
        <w:pStyle w:val="Chapter4"/>
      </w:pPr>
      <w:r>
        <w:t xml:space="preserve">In line with the </w:t>
      </w:r>
      <w:r w:rsidR="00110190" w:rsidRPr="004B1DD5">
        <w:rPr>
          <w:i/>
        </w:rPr>
        <w:t>G</w:t>
      </w:r>
      <w:r w:rsidRPr="004B1DD5">
        <w:rPr>
          <w:i/>
        </w:rPr>
        <w:t>uidelines</w:t>
      </w:r>
      <w:r w:rsidR="00110190">
        <w:t>,</w:t>
      </w:r>
      <w:r>
        <w:t xml:space="preserve"> we consider that </w:t>
      </w:r>
      <w:r w:rsidR="00945262">
        <w:t>for specific telecommunications services which require the consumer to be in a specific place to receive the services (such as</w:t>
      </w:r>
      <w:r w:rsidR="00BF3431">
        <w:t xml:space="preserve"> making a call from a phone booth)</w:t>
      </w:r>
      <w:r w:rsidR="00316E2F">
        <w:t>,</w:t>
      </w:r>
      <w:r w:rsidR="00BF3431">
        <w:t xml:space="preserve"> the place of consumption should be determined by the location of the consumer.</w:t>
      </w:r>
    </w:p>
    <w:p w14:paraId="7FD74ECC" w14:textId="77777777" w:rsidR="0036079C" w:rsidRDefault="0036079C" w:rsidP="00BD0CEB">
      <w:pPr>
        <w:pStyle w:val="Chapter4"/>
        <w:numPr>
          <w:ilvl w:val="0"/>
          <w:numId w:val="0"/>
        </w:numPr>
        <w:ind w:left="851"/>
      </w:pPr>
    </w:p>
    <w:p w14:paraId="01F6DA3B" w14:textId="77777777" w:rsidR="0036079C" w:rsidRDefault="0036079C" w:rsidP="0036079C">
      <w:pPr>
        <w:pStyle w:val="Heading1"/>
      </w:pPr>
      <w:bookmarkStart w:id="99" w:name="_Toc8719849"/>
      <w:r>
        <w:t xml:space="preserve">Supplies </w:t>
      </w:r>
      <w:r w:rsidR="004E7AF2">
        <w:t xml:space="preserve">received </w:t>
      </w:r>
      <w:r w:rsidR="00584662">
        <w:t>in New Zealand</w:t>
      </w:r>
      <w:bookmarkEnd w:id="99"/>
    </w:p>
    <w:p w14:paraId="761EAF1F" w14:textId="77777777" w:rsidR="0036079C" w:rsidRPr="0036079C" w:rsidRDefault="0036079C" w:rsidP="00BD0CEB">
      <w:pPr>
        <w:pStyle w:val="Chapter4"/>
        <w:numPr>
          <w:ilvl w:val="0"/>
          <w:numId w:val="0"/>
        </w:numPr>
        <w:ind w:left="851"/>
      </w:pPr>
    </w:p>
    <w:p w14:paraId="5DB14A0C" w14:textId="56E384EC" w:rsidR="00475E69" w:rsidRDefault="004E7AF2" w:rsidP="00475E69">
      <w:pPr>
        <w:pStyle w:val="Chapter4"/>
      </w:pPr>
      <w:r>
        <w:t>We propose that r</w:t>
      </w:r>
      <w:r w:rsidR="00F0466B">
        <w:t>egardless of the residency of the recipient, a supply of telecommunications services</w:t>
      </w:r>
      <w:r w:rsidR="00E92086">
        <w:t xml:space="preserve"> by a resident supplier</w:t>
      </w:r>
      <w:r w:rsidR="00F0466B">
        <w:t xml:space="preserve"> would be subject to GST</w:t>
      </w:r>
      <w:r w:rsidR="00E92086">
        <w:t xml:space="preserve"> at 15</w:t>
      </w:r>
      <w:r w:rsidR="00C10363">
        <w:t>%</w:t>
      </w:r>
      <w:r w:rsidR="00F0466B">
        <w:t xml:space="preserve"> if the supply </w:t>
      </w:r>
      <w:r>
        <w:t>requires the recipient to receive the services at a specific place</w:t>
      </w:r>
      <w:r w:rsidR="00F0466B">
        <w:t xml:space="preserve"> in New Zealand. This generally aligns with the current GST treatment of </w:t>
      </w:r>
      <w:r w:rsidR="00BD36DC">
        <w:t>these telecommunications services</w:t>
      </w:r>
      <w:r w:rsidR="00F0466B">
        <w:t>.</w:t>
      </w:r>
    </w:p>
    <w:p w14:paraId="01A9E004" w14:textId="77777777" w:rsidR="00377A06" w:rsidRDefault="00377A06" w:rsidP="00475E69">
      <w:pPr>
        <w:pStyle w:val="Chapter4"/>
        <w:numPr>
          <w:ilvl w:val="0"/>
          <w:numId w:val="0"/>
        </w:numPr>
        <w:ind w:left="851"/>
      </w:pPr>
    </w:p>
    <w:p w14:paraId="6D03A702" w14:textId="4E0D1AF6" w:rsidR="00377A06" w:rsidRPr="00BC63FF" w:rsidRDefault="00F0466B" w:rsidP="00BC63FF">
      <w:pPr>
        <w:pBdr>
          <w:top w:val="single" w:sz="4" w:space="10" w:color="auto"/>
          <w:left w:val="single" w:sz="4" w:space="10" w:color="auto"/>
          <w:bottom w:val="single" w:sz="4" w:space="10" w:color="auto"/>
          <w:right w:val="single" w:sz="4" w:space="10" w:color="auto"/>
        </w:pBdr>
        <w:rPr>
          <w:b/>
          <w:sz w:val="20"/>
        </w:rPr>
      </w:pPr>
      <w:bookmarkStart w:id="100" w:name="_Hlk271304"/>
      <w:r w:rsidRPr="00BC63FF">
        <w:rPr>
          <w:b/>
          <w:sz w:val="20"/>
        </w:rPr>
        <w:t xml:space="preserve">Example </w:t>
      </w:r>
      <w:r w:rsidR="00C10363">
        <w:rPr>
          <w:b/>
          <w:sz w:val="20"/>
        </w:rPr>
        <w:t>1</w:t>
      </w:r>
      <w:r w:rsidR="00A87C3A">
        <w:rPr>
          <w:b/>
          <w:sz w:val="20"/>
        </w:rPr>
        <w:t>0</w:t>
      </w:r>
      <w:r w:rsidR="00C10363">
        <w:rPr>
          <w:b/>
          <w:sz w:val="20"/>
        </w:rPr>
        <w:t xml:space="preserve">: </w:t>
      </w:r>
      <w:r w:rsidR="002678C5" w:rsidRPr="00BC63FF">
        <w:rPr>
          <w:b/>
          <w:sz w:val="20"/>
        </w:rPr>
        <w:t>Internet Cafe</w:t>
      </w:r>
    </w:p>
    <w:p w14:paraId="402AE25A" w14:textId="77777777" w:rsidR="00377A06" w:rsidRPr="00BC63FF" w:rsidRDefault="00377A06" w:rsidP="00BC63FF">
      <w:pPr>
        <w:pBdr>
          <w:top w:val="single" w:sz="4" w:space="10" w:color="auto"/>
          <w:left w:val="single" w:sz="4" w:space="10" w:color="auto"/>
          <w:bottom w:val="single" w:sz="4" w:space="10" w:color="auto"/>
          <w:right w:val="single" w:sz="4" w:space="10" w:color="auto"/>
        </w:pBdr>
        <w:rPr>
          <w:sz w:val="20"/>
        </w:rPr>
      </w:pPr>
    </w:p>
    <w:p w14:paraId="483A67FE" w14:textId="108543F4" w:rsidR="00833A41" w:rsidRPr="00BC63FF" w:rsidRDefault="002678C5" w:rsidP="00BC63FF">
      <w:pPr>
        <w:pBdr>
          <w:top w:val="single" w:sz="4" w:space="10" w:color="auto"/>
          <w:left w:val="single" w:sz="4" w:space="10" w:color="auto"/>
          <w:bottom w:val="single" w:sz="4" w:space="10" w:color="auto"/>
          <w:right w:val="single" w:sz="4" w:space="10" w:color="auto"/>
        </w:pBdr>
        <w:rPr>
          <w:sz w:val="20"/>
        </w:rPr>
      </w:pPr>
      <w:r w:rsidRPr="00BC63FF">
        <w:rPr>
          <w:sz w:val="20"/>
        </w:rPr>
        <w:t xml:space="preserve">Wi-Fi &amp; Kai is an internet cafe located in Tauranga. They charge customers $5 an hour for access to wi-fi at the cafe. As customers need to be at Wi-Fi &amp; Kai to receive the supply of wi-fi it </w:t>
      </w:r>
      <w:r w:rsidR="00573280" w:rsidRPr="00BC63FF">
        <w:rPr>
          <w:sz w:val="20"/>
        </w:rPr>
        <w:t>will be subject to GST</w:t>
      </w:r>
      <w:r w:rsidR="00E92086" w:rsidRPr="00BC63FF">
        <w:rPr>
          <w:sz w:val="20"/>
        </w:rPr>
        <w:t xml:space="preserve"> at </w:t>
      </w:r>
      <w:r w:rsidR="00316E2F">
        <w:rPr>
          <w:sz w:val="20"/>
        </w:rPr>
        <w:t xml:space="preserve">the rate of </w:t>
      </w:r>
      <w:r w:rsidR="00E92086" w:rsidRPr="00BC63FF">
        <w:rPr>
          <w:sz w:val="20"/>
        </w:rPr>
        <w:t>15</w:t>
      </w:r>
      <w:r w:rsidR="00C10363">
        <w:rPr>
          <w:sz w:val="20"/>
        </w:rPr>
        <w:t>%</w:t>
      </w:r>
      <w:r w:rsidR="00573280" w:rsidRPr="00BC63FF">
        <w:rPr>
          <w:sz w:val="20"/>
        </w:rPr>
        <w:t xml:space="preserve"> regardless of the residency of the cafe’s customers.</w:t>
      </w:r>
    </w:p>
    <w:bookmarkEnd w:id="100"/>
    <w:p w14:paraId="362F320D" w14:textId="77777777" w:rsidR="00A87C3A" w:rsidRDefault="00A87C3A" w:rsidP="00BD0CEB">
      <w:pPr>
        <w:pStyle w:val="Chapter4"/>
        <w:numPr>
          <w:ilvl w:val="0"/>
          <w:numId w:val="0"/>
        </w:numPr>
        <w:ind w:left="851"/>
      </w:pPr>
    </w:p>
    <w:p w14:paraId="38A7E5E8" w14:textId="39AC9233" w:rsidR="00377A06" w:rsidRPr="006B7BF9" w:rsidRDefault="00377A06" w:rsidP="006B7BF9">
      <w:pPr>
        <w:pBdr>
          <w:top w:val="single" w:sz="4" w:space="10" w:color="auto"/>
          <w:left w:val="single" w:sz="4" w:space="10" w:color="auto"/>
          <w:bottom w:val="single" w:sz="4" w:space="10" w:color="auto"/>
          <w:right w:val="single" w:sz="4" w:space="10" w:color="auto"/>
        </w:pBdr>
        <w:rPr>
          <w:b/>
          <w:sz w:val="20"/>
        </w:rPr>
      </w:pPr>
      <w:r w:rsidRPr="006B7BF9">
        <w:rPr>
          <w:b/>
          <w:sz w:val="20"/>
        </w:rPr>
        <w:t>Example</w:t>
      </w:r>
      <w:r w:rsidR="00C10363" w:rsidRPr="006B7BF9">
        <w:rPr>
          <w:b/>
          <w:sz w:val="20"/>
        </w:rPr>
        <w:t xml:space="preserve"> 1</w:t>
      </w:r>
      <w:r w:rsidR="00A87C3A">
        <w:rPr>
          <w:b/>
          <w:sz w:val="20"/>
        </w:rPr>
        <w:t>1</w:t>
      </w:r>
      <w:r w:rsidR="00C10363" w:rsidRPr="006B7BF9">
        <w:rPr>
          <w:b/>
          <w:sz w:val="20"/>
        </w:rPr>
        <w:t xml:space="preserve">: </w:t>
      </w:r>
      <w:r w:rsidRPr="006B7BF9">
        <w:rPr>
          <w:b/>
          <w:sz w:val="20"/>
        </w:rPr>
        <w:t>Phone booth</w:t>
      </w:r>
    </w:p>
    <w:p w14:paraId="1C2BBF2A" w14:textId="77777777" w:rsidR="00E55681" w:rsidRPr="006B7BF9" w:rsidRDefault="00E55681" w:rsidP="006B7BF9">
      <w:pPr>
        <w:pBdr>
          <w:top w:val="single" w:sz="4" w:space="10" w:color="auto"/>
          <w:left w:val="single" w:sz="4" w:space="10" w:color="auto"/>
          <w:bottom w:val="single" w:sz="4" w:space="10" w:color="auto"/>
          <w:right w:val="single" w:sz="4" w:space="10" w:color="auto"/>
        </w:pBdr>
        <w:rPr>
          <w:sz w:val="20"/>
        </w:rPr>
      </w:pPr>
    </w:p>
    <w:p w14:paraId="5551657B" w14:textId="77777777" w:rsidR="00E55681" w:rsidRPr="006B7BF9" w:rsidRDefault="00E55681" w:rsidP="006B7BF9">
      <w:pPr>
        <w:pBdr>
          <w:top w:val="single" w:sz="4" w:space="10" w:color="auto"/>
          <w:left w:val="single" w:sz="4" w:space="10" w:color="auto"/>
          <w:bottom w:val="single" w:sz="4" w:space="10" w:color="auto"/>
          <w:right w:val="single" w:sz="4" w:space="10" w:color="auto"/>
        </w:pBdr>
        <w:rPr>
          <w:sz w:val="20"/>
        </w:rPr>
      </w:pPr>
      <w:r w:rsidRPr="006B7BF9">
        <w:rPr>
          <w:sz w:val="20"/>
        </w:rPr>
        <w:t xml:space="preserve">Aneale, an Australian tourist in Wellington, uses a phone booth to make a call to a friend. </w:t>
      </w:r>
      <w:r w:rsidR="004E7AF2" w:rsidRPr="006B7BF9">
        <w:rPr>
          <w:sz w:val="20"/>
        </w:rPr>
        <w:t>Despite being a non-resident, Aneale would be charged GST</w:t>
      </w:r>
      <w:r w:rsidR="00E92086" w:rsidRPr="006B7BF9">
        <w:rPr>
          <w:sz w:val="20"/>
        </w:rPr>
        <w:t xml:space="preserve"> at 15</w:t>
      </w:r>
      <w:r w:rsidR="00C10363" w:rsidRPr="006B7BF9">
        <w:rPr>
          <w:sz w:val="20"/>
        </w:rPr>
        <w:t xml:space="preserve">% </w:t>
      </w:r>
      <w:r w:rsidR="004E7AF2" w:rsidRPr="006B7BF9">
        <w:rPr>
          <w:sz w:val="20"/>
        </w:rPr>
        <w:t>on the supply of telecommunications services as he had to be at the phone booth in Wellington to receive the supply.</w:t>
      </w:r>
    </w:p>
    <w:p w14:paraId="2EAEF481" w14:textId="77777777" w:rsidR="00377A06" w:rsidRDefault="00377A06" w:rsidP="00BD0CEB">
      <w:pPr>
        <w:pStyle w:val="Chapter4"/>
        <w:numPr>
          <w:ilvl w:val="0"/>
          <w:numId w:val="0"/>
        </w:numPr>
        <w:ind w:left="851"/>
      </w:pPr>
    </w:p>
    <w:p w14:paraId="08E6C405" w14:textId="77777777" w:rsidR="00E92086" w:rsidRDefault="00E92086" w:rsidP="00E92086">
      <w:pPr>
        <w:pStyle w:val="Chapter4"/>
      </w:pPr>
      <w:r>
        <w:t>We do not anticipate many instances in which these specific telecommunications services could be supplied in a specific location in New Zealand by non-resident suppliers.</w:t>
      </w:r>
    </w:p>
    <w:p w14:paraId="17FAAE6A" w14:textId="77777777" w:rsidR="00E92086" w:rsidRDefault="00E92086" w:rsidP="00E92086">
      <w:pPr>
        <w:pStyle w:val="Chapter4"/>
        <w:numPr>
          <w:ilvl w:val="0"/>
          <w:numId w:val="0"/>
        </w:numPr>
        <w:ind w:left="851"/>
      </w:pPr>
    </w:p>
    <w:p w14:paraId="0701CDA3" w14:textId="77777777" w:rsidR="0036079C" w:rsidRDefault="0036079C" w:rsidP="0036079C">
      <w:pPr>
        <w:pStyle w:val="Heading1"/>
      </w:pPr>
      <w:bookmarkStart w:id="101" w:name="_Toc8719850"/>
      <w:r>
        <w:t xml:space="preserve">Supplies </w:t>
      </w:r>
      <w:r w:rsidR="007A67BC">
        <w:t>received</w:t>
      </w:r>
      <w:r w:rsidR="004E7AF2">
        <w:t xml:space="preserve"> </w:t>
      </w:r>
      <w:r w:rsidR="00584662">
        <w:t>outside New Zealand</w:t>
      </w:r>
      <w:bookmarkEnd w:id="101"/>
    </w:p>
    <w:p w14:paraId="6B3A915F" w14:textId="77777777" w:rsidR="0036079C" w:rsidRPr="0036079C" w:rsidRDefault="0036079C" w:rsidP="00BD0CEB">
      <w:pPr>
        <w:pStyle w:val="Chapter4"/>
        <w:numPr>
          <w:ilvl w:val="0"/>
          <w:numId w:val="0"/>
        </w:numPr>
        <w:ind w:left="851"/>
      </w:pPr>
    </w:p>
    <w:p w14:paraId="40E7DB54" w14:textId="77777777" w:rsidR="007A67BC" w:rsidRDefault="007A67BC" w:rsidP="00760799">
      <w:pPr>
        <w:pStyle w:val="Chapter4"/>
      </w:pPr>
      <w:r w:rsidRPr="00BF3431">
        <w:t>We propose that regardless of the residency of the recipient, a supply of telecommunications services would not be subject to GST (or zero-rated) if the supply requires the recipient to receive the services at a specific place outside New Zealand. This also would generally align with the current treatment of these services.</w:t>
      </w:r>
    </w:p>
    <w:p w14:paraId="19D5FC0F" w14:textId="77777777" w:rsidR="00790AD5" w:rsidRPr="00BF3431" w:rsidRDefault="00790AD5" w:rsidP="00790AD5">
      <w:pPr>
        <w:pStyle w:val="Chapter4"/>
        <w:numPr>
          <w:ilvl w:val="0"/>
          <w:numId w:val="0"/>
        </w:numPr>
        <w:ind w:left="851"/>
      </w:pPr>
    </w:p>
    <w:p w14:paraId="52C7827A" w14:textId="77777777" w:rsidR="006C78C1" w:rsidRDefault="006C78C1">
      <w:pPr>
        <w:jc w:val="left"/>
        <w:rPr>
          <w:b/>
          <w:sz w:val="20"/>
        </w:rPr>
      </w:pPr>
      <w:r>
        <w:rPr>
          <w:b/>
          <w:sz w:val="20"/>
        </w:rPr>
        <w:br w:type="page"/>
      </w:r>
    </w:p>
    <w:p w14:paraId="41339D6C" w14:textId="716F3815" w:rsidR="00D200E5" w:rsidRPr="006B7BF9" w:rsidRDefault="00D200E5" w:rsidP="006B7BF9">
      <w:pPr>
        <w:pBdr>
          <w:top w:val="single" w:sz="4" w:space="10" w:color="auto"/>
          <w:left w:val="single" w:sz="4" w:space="10" w:color="auto"/>
          <w:bottom w:val="single" w:sz="4" w:space="10" w:color="auto"/>
          <w:right w:val="single" w:sz="4" w:space="10" w:color="auto"/>
        </w:pBdr>
        <w:rPr>
          <w:b/>
          <w:sz w:val="20"/>
        </w:rPr>
      </w:pPr>
      <w:r w:rsidRPr="006B7BF9">
        <w:rPr>
          <w:b/>
          <w:sz w:val="20"/>
        </w:rPr>
        <w:lastRenderedPageBreak/>
        <w:t>Example</w:t>
      </w:r>
      <w:r w:rsidR="00C10363" w:rsidRPr="006B7BF9">
        <w:rPr>
          <w:b/>
          <w:sz w:val="20"/>
        </w:rPr>
        <w:t xml:space="preserve"> 1</w:t>
      </w:r>
      <w:r w:rsidR="00A87C3A">
        <w:rPr>
          <w:b/>
          <w:sz w:val="20"/>
        </w:rPr>
        <w:t xml:space="preserve">2: </w:t>
      </w:r>
      <w:r w:rsidR="00DB07FC">
        <w:rPr>
          <w:b/>
          <w:sz w:val="20"/>
        </w:rPr>
        <w:t>Telecommunication service received at a specific place outside New Zealand</w:t>
      </w:r>
    </w:p>
    <w:p w14:paraId="742B0722" w14:textId="77777777" w:rsidR="00D200E5" w:rsidRPr="006B7BF9" w:rsidRDefault="00D200E5" w:rsidP="006B7BF9">
      <w:pPr>
        <w:pBdr>
          <w:top w:val="single" w:sz="4" w:space="10" w:color="auto"/>
          <w:left w:val="single" w:sz="4" w:space="10" w:color="auto"/>
          <w:bottom w:val="single" w:sz="4" w:space="10" w:color="auto"/>
          <w:right w:val="single" w:sz="4" w:space="10" w:color="auto"/>
        </w:pBdr>
        <w:rPr>
          <w:sz w:val="20"/>
        </w:rPr>
      </w:pPr>
    </w:p>
    <w:p w14:paraId="31BD8775" w14:textId="77777777" w:rsidR="00D200E5" w:rsidRPr="006B7BF9" w:rsidRDefault="00F17A9B" w:rsidP="006B7BF9">
      <w:pPr>
        <w:pBdr>
          <w:top w:val="single" w:sz="4" w:space="10" w:color="auto"/>
          <w:left w:val="single" w:sz="4" w:space="10" w:color="auto"/>
          <w:bottom w:val="single" w:sz="4" w:space="10" w:color="auto"/>
          <w:right w:val="single" w:sz="4" w:space="10" w:color="auto"/>
        </w:pBdr>
        <w:rPr>
          <w:sz w:val="20"/>
        </w:rPr>
      </w:pPr>
      <w:r w:rsidRPr="006B7BF9">
        <w:rPr>
          <w:sz w:val="20"/>
        </w:rPr>
        <w:t>Keava</w:t>
      </w:r>
      <w:r w:rsidR="00D200E5" w:rsidRPr="006B7BF9">
        <w:rPr>
          <w:sz w:val="20"/>
        </w:rPr>
        <w:t xml:space="preserve">, a New Zealand resident, is staying at a hotel in Sydney. The hotel </w:t>
      </w:r>
      <w:r w:rsidR="00E55681" w:rsidRPr="006B7BF9">
        <w:rPr>
          <w:sz w:val="20"/>
        </w:rPr>
        <w:t xml:space="preserve">charges her for using the phone in her room to make an international call to her </w:t>
      </w:r>
      <w:r w:rsidRPr="006B7BF9">
        <w:rPr>
          <w:sz w:val="20"/>
        </w:rPr>
        <w:t>sister in Hamilton</w:t>
      </w:r>
      <w:r w:rsidR="00E55681" w:rsidRPr="006B7BF9">
        <w:rPr>
          <w:sz w:val="20"/>
        </w:rPr>
        <w:t xml:space="preserve">. </w:t>
      </w:r>
      <w:r w:rsidR="004E7AF2" w:rsidRPr="006B7BF9">
        <w:rPr>
          <w:sz w:val="20"/>
        </w:rPr>
        <w:t>Despite Keava being a New Zealand resident, t</w:t>
      </w:r>
      <w:r w:rsidR="00E55681" w:rsidRPr="006B7BF9">
        <w:rPr>
          <w:sz w:val="20"/>
        </w:rPr>
        <w:t xml:space="preserve">he supply of telephone services </w:t>
      </w:r>
      <w:r w:rsidR="004E7AF2" w:rsidRPr="006B7BF9">
        <w:rPr>
          <w:sz w:val="20"/>
        </w:rPr>
        <w:t>would not be subject to GST as Keava had to be in her hotel in Sydney to receive the supply.</w:t>
      </w:r>
    </w:p>
    <w:p w14:paraId="4F0260C1" w14:textId="77777777" w:rsidR="0036079C" w:rsidRDefault="0036079C" w:rsidP="00D200E5">
      <w:pPr>
        <w:jc w:val="left"/>
      </w:pPr>
    </w:p>
    <w:sectPr w:rsidR="0036079C" w:rsidSect="004D533B">
      <w:type w:val="oddPage"/>
      <w:pgSz w:w="11906" w:h="16838" w:code="9"/>
      <w:pgMar w:top="1134" w:right="1797" w:bottom="1134" w:left="1797"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F055" w14:textId="77777777" w:rsidR="004B1DD5" w:rsidRDefault="004B1DD5">
      <w:r>
        <w:separator/>
      </w:r>
    </w:p>
  </w:endnote>
  <w:endnote w:type="continuationSeparator" w:id="0">
    <w:p w14:paraId="03C421F8" w14:textId="77777777" w:rsidR="004B1DD5" w:rsidRDefault="004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DB0" w14:textId="77777777" w:rsidR="004B1DD5" w:rsidRDefault="004B1DD5" w:rsidP="00725975">
    <w:pPr>
      <w:pStyle w:val="Footer"/>
      <w:tabs>
        <w:tab w:val="clear" w:pos="4153"/>
      </w:tabs>
      <w:ind w:right="32"/>
    </w:pPr>
    <w:r>
      <w:rPr>
        <w:noProof/>
        <w:lang w:eastAsia="en-NZ"/>
      </w:rPr>
      <mc:AlternateContent>
        <mc:Choice Requires="wps">
          <w:drawing>
            <wp:anchor distT="0" distB="0" distL="114300" distR="114300" simplePos="0" relativeHeight="251661312" behindDoc="0" locked="0" layoutInCell="0" allowOverlap="1" wp14:anchorId="7B64459F" wp14:editId="50CFE9FC">
              <wp:simplePos x="0" y="0"/>
              <wp:positionH relativeFrom="page">
                <wp:posOffset>0</wp:posOffset>
              </wp:positionH>
              <wp:positionV relativeFrom="page">
                <wp:posOffset>10234930</wp:posOffset>
              </wp:positionV>
              <wp:extent cx="7560310" cy="266700"/>
              <wp:effectExtent l="0" t="0" r="0" b="0"/>
              <wp:wrapNone/>
              <wp:docPr id="3" name="MSIPCM0020412c854815e6ecdc1fc2" descr="{&quot;HashCode&quot;:-68211403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8D510"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64459F" id="_x0000_t202" coordsize="21600,21600" o:spt="202" path="m,l,21600r21600,l21600,xe">
              <v:stroke joinstyle="miter"/>
              <v:path gradientshapeok="t" o:connecttype="rect"/>
            </v:shapetype>
            <v:shape id="MSIPCM0020412c854815e6ecdc1fc2" o:spid="_x0000_s1026" type="#_x0000_t202" alt="{&quot;HashCode&quot;:-682114031,&quot;Height&quot;:841.0,&quot;Width&quot;:595.0,&quot;Placement&quot;:&quot;Footer&quot;,&quot;Index&quot;:&quot;OddAndEven&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E4Pxi0ZAwAAOQYAAA4AAAAAAAAAAAAA&#10;AAAALgIAAGRycy9lMm9Eb2MueG1sUEsBAi0AFAAGAAgAAAAhAIOyjyvfAAAACwEAAA8AAAAAAAAA&#10;AAAAAAAAcwUAAGRycy9kb3ducmV2LnhtbFBLBQYAAAAABAAEAPMAAAB/BgAAAAA=&#10;" o:allowincell="f" filled="f" stroked="f" strokeweight=".5pt">
              <v:textbox inset=",0,,0">
                <w:txbxContent>
                  <w:p w14:paraId="2998D510"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8F2A" w14:textId="77777777" w:rsidR="004B1DD5" w:rsidRDefault="004B1DD5">
    <w:pPr>
      <w:pStyle w:val="Footer"/>
    </w:pPr>
    <w:r>
      <w:rPr>
        <w:noProof/>
        <w:lang w:eastAsia="en-NZ"/>
      </w:rPr>
      <mc:AlternateContent>
        <mc:Choice Requires="wps">
          <w:drawing>
            <wp:anchor distT="0" distB="0" distL="114300" distR="114300" simplePos="0" relativeHeight="251659264" behindDoc="0" locked="0" layoutInCell="0" allowOverlap="1" wp14:anchorId="535040E3" wp14:editId="48D62439">
              <wp:simplePos x="0" y="0"/>
              <wp:positionH relativeFrom="page">
                <wp:posOffset>0</wp:posOffset>
              </wp:positionH>
              <wp:positionV relativeFrom="page">
                <wp:posOffset>10234930</wp:posOffset>
              </wp:positionV>
              <wp:extent cx="7560310" cy="266700"/>
              <wp:effectExtent l="0" t="0" r="0" b="0"/>
              <wp:wrapNone/>
              <wp:docPr id="1" name="MSIPCM338c4cc3a36d119b8a6dc12a" descr="{&quot;HashCode&quot;:-682114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640D2"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5040E3" id="_x0000_t202" coordsize="21600,21600" o:spt="202" path="m,l,21600r21600,l21600,xe">
              <v:stroke joinstyle="miter"/>
              <v:path gradientshapeok="t" o:connecttype="rect"/>
            </v:shapetype>
            <v:shape id="MSIPCM338c4cc3a36d119b8a6dc12a" o:spid="_x0000_s1027" type="#_x0000_t202" alt="{&quot;HashCode&quot;:-6821140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ltFakGgMAAD0GAAAOAAAAAAAAAAAA&#10;AAAAAC4CAABkcnMvZTJvRG9jLnhtbFBLAQItABQABgAIAAAAIQCDso8r3wAAAAsBAAAPAAAAAAAA&#10;AAAAAAAAAHQFAABkcnMvZG93bnJldi54bWxQSwUGAAAAAAQABADzAAAAgAYAAAAA&#10;" o:allowincell="f" filled="f" stroked="f" strokeweight=".5pt">
              <v:textbox inset=",0,,0">
                <w:txbxContent>
                  <w:p w14:paraId="18C640D2"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68AE" w14:textId="77777777" w:rsidR="004B1DD5" w:rsidRDefault="004B1DD5">
    <w:pPr>
      <w:pStyle w:val="Footer"/>
    </w:pPr>
    <w:r>
      <w:rPr>
        <w:noProof/>
        <w:lang w:eastAsia="en-NZ"/>
      </w:rPr>
      <mc:AlternateContent>
        <mc:Choice Requires="wps">
          <w:drawing>
            <wp:anchor distT="0" distB="0" distL="114300" distR="114300" simplePos="0" relativeHeight="251660288" behindDoc="0" locked="0" layoutInCell="0" allowOverlap="1" wp14:anchorId="443E9B7A" wp14:editId="30DF8325">
              <wp:simplePos x="0" y="0"/>
              <wp:positionH relativeFrom="page">
                <wp:posOffset>0</wp:posOffset>
              </wp:positionH>
              <wp:positionV relativeFrom="page">
                <wp:posOffset>10234930</wp:posOffset>
              </wp:positionV>
              <wp:extent cx="7560310" cy="266700"/>
              <wp:effectExtent l="0" t="0" r="0" b="0"/>
              <wp:wrapNone/>
              <wp:docPr id="2" name="MSIPCM09484dc7bb78f15d08eccf31" descr="{&quot;HashCode&quot;:-68211403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3C766"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3E9B7A" id="_x0000_t202" coordsize="21600,21600" o:spt="202" path="m,l,21600r21600,l21600,xe">
              <v:stroke joinstyle="miter"/>
              <v:path gradientshapeok="t" o:connecttype="rect"/>
            </v:shapetype>
            <v:shape id="MSIPCM09484dc7bb78f15d08eccf31" o:spid="_x0000_s1028" type="#_x0000_t202" alt="{&quot;HashCode&quot;:-682114031,&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RqlaPx4DAAA/BgAADgAAAAAA&#10;AAAAAAAAAAAuAgAAZHJzL2Uyb0RvYy54bWxQSwECLQAUAAYACAAAACEAg7KPK98AAAALAQAADwAA&#10;AAAAAAAAAAAAAAB4BQAAZHJzL2Rvd25yZXYueG1sUEsFBgAAAAAEAAQA8wAAAIQGAAAAAA==&#10;" o:allowincell="f" filled="f" stroked="f" strokeweight=".5pt">
              <v:textbox inset=",0,,0">
                <w:txbxContent>
                  <w:p w14:paraId="1D03C766"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8FEB" w14:textId="77777777" w:rsidR="004B1DD5" w:rsidRDefault="004B1DD5" w:rsidP="00C10363">
    <w:pPr>
      <w:pStyle w:val="Footer"/>
      <w:tabs>
        <w:tab w:val="clear" w:pos="4153"/>
      </w:tabs>
      <w:ind w:right="32"/>
      <w:jc w:val="right"/>
    </w:pPr>
    <w:r>
      <w:rPr>
        <w:noProof/>
        <w:sz w:val="22"/>
        <w:szCs w:val="22"/>
        <w:lang w:eastAsia="en-NZ"/>
      </w:rPr>
      <mc:AlternateContent>
        <mc:Choice Requires="wps">
          <w:drawing>
            <wp:anchor distT="0" distB="0" distL="114300" distR="114300" simplePos="0" relativeHeight="251664384" behindDoc="0" locked="0" layoutInCell="0" allowOverlap="1" wp14:anchorId="2348AA11" wp14:editId="35B118BB">
              <wp:simplePos x="0" y="0"/>
              <wp:positionH relativeFrom="page">
                <wp:posOffset>0</wp:posOffset>
              </wp:positionH>
              <wp:positionV relativeFrom="page">
                <wp:posOffset>10234930</wp:posOffset>
              </wp:positionV>
              <wp:extent cx="7560310" cy="266700"/>
              <wp:effectExtent l="0" t="0" r="0" b="0"/>
              <wp:wrapNone/>
              <wp:docPr id="6" name="MSIPCM6cc94fa189e56169f00e2b7e" descr="{&quot;HashCode&quot;:-68211403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F85E5"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48AA11" id="_x0000_t202" coordsize="21600,21600" o:spt="202" path="m,l,21600r21600,l21600,xe">
              <v:stroke joinstyle="miter"/>
              <v:path gradientshapeok="t" o:connecttype="rect"/>
            </v:shapetype>
            <v:shape id="MSIPCM6cc94fa189e56169f00e2b7e" o:spid="_x0000_s1029" type="#_x0000_t202" alt="{&quot;HashCode&quot;:-682114031,&quot;Height&quot;:841.0,&quot;Width&quot;:595.0,&quot;Placement&quot;:&quot;Footer&quot;,&quot;Index&quot;:&quot;OddAndEven&quot;,&quot;Section&quot;:2,&quot;Top&quot;:0.0,&quot;Left&quot;:0.0}" style="position:absolute;left:0;text-align:left;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B3/eXPHQMAAEAGAAAOAAAAAAAA&#10;AAAAAAAAAC4CAABkcnMvZTJvRG9jLnhtbFBLAQItABQABgAIAAAAIQCDso8r3wAAAAsBAAAPAAAA&#10;AAAAAAAAAAAAAHcFAABkcnMvZG93bnJldi54bWxQSwUGAAAAAAQABADzAAAAgwYAAAAA&#10;" o:allowincell="f" filled="f" stroked="f" strokeweight=".5pt">
              <v:textbox inset=",0,,0">
                <w:txbxContent>
                  <w:p w14:paraId="28AF85E5"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A3B3" w14:textId="77777777" w:rsidR="004B1DD5" w:rsidRPr="0003164B" w:rsidRDefault="004B1DD5" w:rsidP="00C10363">
    <w:pPr>
      <w:pStyle w:val="Footer"/>
      <w:tabs>
        <w:tab w:val="clear" w:pos="4153"/>
        <w:tab w:val="center" w:pos="4156"/>
      </w:tabs>
      <w:jc w:val="right"/>
    </w:pPr>
    <w:r>
      <w:rPr>
        <w:noProof/>
        <w:sz w:val="22"/>
        <w:szCs w:val="22"/>
        <w:lang w:eastAsia="en-NZ"/>
      </w:rPr>
      <mc:AlternateContent>
        <mc:Choice Requires="wps">
          <w:drawing>
            <wp:anchor distT="0" distB="0" distL="114300" distR="114300" simplePos="0" relativeHeight="251662336" behindDoc="0" locked="0" layoutInCell="0" allowOverlap="1" wp14:anchorId="660E8D81" wp14:editId="57578A51">
              <wp:simplePos x="0" y="0"/>
              <wp:positionH relativeFrom="page">
                <wp:posOffset>0</wp:posOffset>
              </wp:positionH>
              <wp:positionV relativeFrom="page">
                <wp:posOffset>10234930</wp:posOffset>
              </wp:positionV>
              <wp:extent cx="7560310" cy="266700"/>
              <wp:effectExtent l="0" t="0" r="0" b="0"/>
              <wp:wrapNone/>
              <wp:docPr id="4" name="MSIPCMd2474fd59586216641ab84a3" descr="{&quot;HashCode&quot;:-68211403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00772D"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0E8D81" id="_x0000_t202" coordsize="21600,21600" o:spt="202" path="m,l,21600r21600,l21600,xe">
              <v:stroke joinstyle="miter"/>
              <v:path gradientshapeok="t" o:connecttype="rect"/>
            </v:shapetype>
            <v:shape id="MSIPCMd2474fd59586216641ab84a3" o:spid="_x0000_s1030" type="#_x0000_t202" alt="{&quot;HashCode&quot;:-682114031,&quot;Height&quot;:841.0,&quot;Width&quot;:595.0,&quot;Placement&quot;:&quot;Footer&quot;,&quot;Index&quot;:&quot;Primary&quot;,&quot;Section&quot;:2,&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HyWYAIZAwAAPQYAAA4AAAAAAAAAAAAA&#10;AAAALgIAAGRycy9lMm9Eb2MueG1sUEsBAi0AFAAGAAgAAAAhAIOyjyvfAAAACwEAAA8AAAAAAAAA&#10;AAAAAAAAcwUAAGRycy9kb3ducmV2LnhtbFBLBQYAAAAABAAEAPMAAAB/BgAAAAA=&#10;" o:allowincell="f" filled="f" stroked="f" strokeweight=".5pt">
              <v:textbox inset=",0,,0">
                <w:txbxContent>
                  <w:p w14:paraId="3D00772D"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33FC" w14:textId="77777777" w:rsidR="004B1DD5" w:rsidRDefault="004B1DD5" w:rsidP="00C10363">
    <w:pPr>
      <w:pStyle w:val="Footer"/>
      <w:jc w:val="right"/>
    </w:pPr>
    <w:r>
      <w:rPr>
        <w:noProof/>
        <w:lang w:eastAsia="en-NZ"/>
      </w:rPr>
      <mc:AlternateContent>
        <mc:Choice Requires="wps">
          <w:drawing>
            <wp:anchor distT="0" distB="0" distL="114300" distR="114300" simplePos="0" relativeHeight="251663360" behindDoc="0" locked="0" layoutInCell="0" allowOverlap="1" wp14:anchorId="5763F6B0" wp14:editId="30FB9FCC">
              <wp:simplePos x="0" y="0"/>
              <wp:positionH relativeFrom="page">
                <wp:posOffset>0</wp:posOffset>
              </wp:positionH>
              <wp:positionV relativeFrom="page">
                <wp:posOffset>10233329</wp:posOffset>
              </wp:positionV>
              <wp:extent cx="7560310" cy="266700"/>
              <wp:effectExtent l="0" t="0" r="0" b="0"/>
              <wp:wrapNone/>
              <wp:docPr id="5" name="MSIPCMb4b14a39a5276595dee34323" descr="{&quot;HashCode&quot;:-68211403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CCD49"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63F6B0" id="_x0000_t202" coordsize="21600,21600" o:spt="202" path="m,l,21600r21600,l21600,xe">
              <v:stroke joinstyle="miter"/>
              <v:path gradientshapeok="t" o:connecttype="rect"/>
            </v:shapetype>
            <v:shape id="MSIPCMb4b14a39a5276595dee34323" o:spid="_x0000_s1031" type="#_x0000_t202" alt="{&quot;HashCode&quot;:-682114031,&quot;Height&quot;:841.0,&quot;Width&quot;:595.0,&quot;Placement&quot;:&quot;Footer&quot;,&quot;Index&quot;:&quot;FirstPage&quot;,&quot;Section&quot;:2,&quot;Top&quot;:0.0,&quot;Left&quot;:0.0}" style="position:absolute;left:0;text-align:left;margin-left:0;margin-top:805.7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" o:allowincell="f" filled="f" stroked="f" strokeweight=".5pt">
              <v:textbox inset=",0,,0">
                <w:txbxContent>
                  <w:p w14:paraId="5CECCD49" w14:textId="77777777" w:rsidR="004B1DD5" w:rsidRPr="007D538F" w:rsidRDefault="004B1DD5" w:rsidP="007D538F">
                    <w:pPr>
                      <w:jc w:val="center"/>
                      <w:rPr>
                        <w:rFonts w:ascii="Verdana" w:hAnsi="Verdana"/>
                        <w:color w:val="000000"/>
                        <w:sz w:val="20"/>
                      </w:rPr>
                    </w:pPr>
                    <w:r w:rsidRPr="007D538F">
                      <w:rPr>
                        <w:rFonts w:ascii="Verdana" w:hAnsi="Verdana"/>
                        <w:color w:val="000000"/>
                        <w:sz w:val="20"/>
                      </w:rPr>
                      <w:t>SENSITIVE</w:t>
                    </w:r>
                  </w:p>
                </w:txbxContent>
              </v:textbox>
              <w10:wrap anchorx="page" anchory="page"/>
            </v:shape>
          </w:pict>
        </mc:Fallback>
      </mc:AlternateContent>
    </w:r>
    <w:r>
      <w:fldChar w:fldCharType="begin"/>
    </w:r>
    <w:r>
      <w:rPr>
        <w:rStyle w:val="PageNumber"/>
      </w:rPr>
      <w:instrText xml:space="preserve"> PAGE </w:instrText>
    </w:r>
    <w:r>
      <w:fldChar w:fldCharType="separate"/>
    </w:r>
    <w:r>
      <w:rPr>
        <w:rStyle w:val="PageNumbe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5478" w14:textId="77777777" w:rsidR="004B1DD5" w:rsidRDefault="004B1DD5">
      <w:r>
        <w:separator/>
      </w:r>
    </w:p>
  </w:footnote>
  <w:footnote w:type="continuationSeparator" w:id="0">
    <w:p w14:paraId="2E424A8D" w14:textId="77777777" w:rsidR="004B1DD5" w:rsidRDefault="004B1DD5">
      <w:r>
        <w:continuationSeparator/>
      </w:r>
    </w:p>
  </w:footnote>
  <w:footnote w:id="1">
    <w:p w14:paraId="402E1121" w14:textId="4C76CE0B" w:rsidR="004B1DD5" w:rsidRDefault="004B1DD5" w:rsidP="00DA06CA">
      <w:pPr>
        <w:pStyle w:val="FootnoteText"/>
        <w:jc w:val="both"/>
      </w:pPr>
      <w:r>
        <w:rPr>
          <w:rStyle w:val="FootnoteReference"/>
        </w:rPr>
        <w:footnoteRef/>
      </w:r>
      <w:r>
        <w:t xml:space="preserve"> Under the current rules, inbound mobile roaming services received by non-residents while in New Zealand are potentially subject to GST. However, section 51(1)(e) means that currently most inbound roaming services are not subject to GST, as non-resident telecommunications suppliers are not required to register if their only taxable supplies are supplies of telecommunications services to non-residents.</w:t>
      </w:r>
    </w:p>
  </w:footnote>
  <w:footnote w:id="2">
    <w:p w14:paraId="4253E56C" w14:textId="77777777" w:rsidR="004B1DD5" w:rsidRDefault="004B1DD5" w:rsidP="00DA06CA">
      <w:pPr>
        <w:pStyle w:val="FootnoteText"/>
        <w:jc w:val="both"/>
      </w:pPr>
      <w:r>
        <w:rPr>
          <w:rStyle w:val="FootnoteReference"/>
        </w:rPr>
        <w:footnoteRef/>
      </w:r>
      <w:r>
        <w:t xml:space="preserve"> </w:t>
      </w:r>
      <w:r w:rsidRPr="0067349E">
        <w:rPr>
          <w:szCs w:val="24"/>
        </w:rPr>
        <w:t xml:space="preserve">In New Zealand, although GST is collected at each stage of the supply chain, businesses can deduct the GST costs of their </w:t>
      </w:r>
      <w:r>
        <w:rPr>
          <w:szCs w:val="24"/>
        </w:rPr>
        <w:t>inputs</w:t>
      </w:r>
      <w:r w:rsidRPr="0067349E">
        <w:rPr>
          <w:szCs w:val="24"/>
        </w:rPr>
        <w:t xml:space="preserve"> through an input tax credit mechanism</w:t>
      </w:r>
      <w:r>
        <w:rPr>
          <w:szCs w:val="24"/>
        </w:rPr>
        <w:t>. This ensures that the tax flows through businesses to tax supplies made to final consumers.</w:t>
      </w:r>
    </w:p>
  </w:footnote>
  <w:footnote w:id="3">
    <w:p w14:paraId="2795302F" w14:textId="77777777" w:rsidR="004B1DD5" w:rsidRDefault="004B1DD5" w:rsidP="00DA06CA">
      <w:pPr>
        <w:pStyle w:val="FootnoteText"/>
        <w:jc w:val="both"/>
      </w:pPr>
      <w:r>
        <w:rPr>
          <w:rStyle w:val="FootnoteReference"/>
        </w:rPr>
        <w:footnoteRef/>
      </w:r>
      <w:r>
        <w:t xml:space="preserve"> Unless otherwise stated, all legislative references in this issues paper are to the Goods and Services Tax Act 1985.</w:t>
      </w:r>
    </w:p>
  </w:footnote>
  <w:footnote w:id="4">
    <w:p w14:paraId="21664DA6" w14:textId="77777777" w:rsidR="004B1DD5" w:rsidRDefault="004B1DD5" w:rsidP="00DA06CA">
      <w:pPr>
        <w:pStyle w:val="FootnoteText"/>
        <w:jc w:val="both"/>
      </w:pPr>
      <w:r>
        <w:rPr>
          <w:rStyle w:val="FootnoteReference"/>
        </w:rPr>
        <w:footnoteRef/>
      </w:r>
      <w:r>
        <w:t xml:space="preserve"> OECD (2017), </w:t>
      </w:r>
      <w:r w:rsidRPr="008645C2">
        <w:rPr>
          <w:i/>
        </w:rPr>
        <w:t>International VAT/GST Guidelines</w:t>
      </w:r>
      <w:r>
        <w:t>, OECD Publishing, Paris</w:t>
      </w:r>
    </w:p>
  </w:footnote>
  <w:footnote w:id="5">
    <w:p w14:paraId="6CBD9339" w14:textId="77777777" w:rsidR="004B1DD5" w:rsidRDefault="004B1DD5" w:rsidP="00DA06CA">
      <w:pPr>
        <w:pStyle w:val="FootnoteText"/>
        <w:jc w:val="both"/>
      </w:pPr>
      <w:r>
        <w:rPr>
          <w:rStyle w:val="FootnoteReference"/>
        </w:rPr>
        <w:footnoteRef/>
      </w:r>
      <w:r>
        <w:t xml:space="preserve"> </w:t>
      </w:r>
      <w:r w:rsidRPr="008645C2">
        <w:rPr>
          <w:i/>
        </w:rPr>
        <w:t>International VAT/GST Guidelines</w:t>
      </w:r>
      <w:r>
        <w:t>, page 69</w:t>
      </w:r>
    </w:p>
  </w:footnote>
  <w:footnote w:id="6">
    <w:p w14:paraId="37085F1E" w14:textId="77777777" w:rsidR="004B1DD5" w:rsidRDefault="004B1DD5" w:rsidP="00E21421">
      <w:pPr>
        <w:pStyle w:val="FootnoteText"/>
        <w:jc w:val="both"/>
      </w:pPr>
      <w:r>
        <w:rPr>
          <w:rStyle w:val="FootnoteReference"/>
        </w:rPr>
        <w:footnoteRef/>
      </w:r>
      <w:r>
        <w:t xml:space="preserve"> Council Directive 2006/112/EC of 28 November 2006 on the common system of value added tax</w:t>
      </w:r>
    </w:p>
  </w:footnote>
  <w:footnote w:id="7">
    <w:p w14:paraId="24775081" w14:textId="6E61CAEB" w:rsidR="004B1DD5" w:rsidRDefault="004B1DD5" w:rsidP="00DA06CA">
      <w:pPr>
        <w:pStyle w:val="FootnoteText"/>
        <w:jc w:val="both"/>
      </w:pPr>
      <w:r>
        <w:rPr>
          <w:rStyle w:val="FootnoteReference"/>
        </w:rPr>
        <w:footnoteRef/>
      </w:r>
      <w:r>
        <w:t xml:space="preserve"> Council Implementing Regulation (EU) No 282/2011 of 15 March 2011, Article 7</w:t>
      </w:r>
    </w:p>
  </w:footnote>
  <w:footnote w:id="8">
    <w:p w14:paraId="10582CF3" w14:textId="77777777" w:rsidR="004B1DD5" w:rsidRDefault="004B1DD5" w:rsidP="006A62CC">
      <w:pPr>
        <w:pStyle w:val="FootnoteText"/>
        <w:jc w:val="both"/>
      </w:pPr>
      <w:r>
        <w:rPr>
          <w:rStyle w:val="FootnoteReference"/>
        </w:rPr>
        <w:footnoteRef/>
      </w:r>
      <w:r>
        <w:t xml:space="preserve"> Section 51(1)(e) of the GST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79F5" w14:textId="3E640F6E" w:rsidR="004B1DD5" w:rsidRDefault="004B1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1C9D" w14:textId="1FB0C9A0" w:rsidR="004B1DD5" w:rsidRDefault="004B1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544F" w14:textId="26199489" w:rsidR="004B1DD5" w:rsidRDefault="004B1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999"/>
    <w:multiLevelType w:val="hybridMultilevel"/>
    <w:tmpl w:val="AC048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936E75"/>
    <w:multiLevelType w:val="hybridMultilevel"/>
    <w:tmpl w:val="A76C5810"/>
    <w:lvl w:ilvl="0" w:tplc="B8C62660">
      <w:start w:val="1"/>
      <w:numFmt w:val="decimal"/>
      <w:pStyle w:val="Chapter5"/>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94C3309"/>
    <w:multiLevelType w:val="hybridMultilevel"/>
    <w:tmpl w:val="FC7CCAD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DC37972"/>
    <w:multiLevelType w:val="singleLevel"/>
    <w:tmpl w:val="EA3CADD8"/>
    <w:lvl w:ilvl="0">
      <w:start w:val="1"/>
      <w:numFmt w:val="decimal"/>
      <w:pStyle w:val="Chapter2"/>
      <w:lvlText w:val="2.%1"/>
      <w:lvlJc w:val="left"/>
      <w:pPr>
        <w:tabs>
          <w:tab w:val="num" w:pos="851"/>
        </w:tabs>
        <w:ind w:left="851" w:hanging="851"/>
      </w:pPr>
      <w:rPr>
        <w:rFonts w:ascii="Times New Roman" w:hAnsi="Times New Roman" w:cs="Times New Roman" w:hint="default"/>
        <w:b w:val="0"/>
        <w:sz w:val="24"/>
        <w:szCs w:val="24"/>
      </w:rPr>
    </w:lvl>
  </w:abstractNum>
  <w:abstractNum w:abstractNumId="4"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E203D6"/>
    <w:multiLevelType w:val="hybridMultilevel"/>
    <w:tmpl w:val="CEAEA33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31AF4AC3"/>
    <w:multiLevelType w:val="hybridMultilevel"/>
    <w:tmpl w:val="BE72AB6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15:restartNumberingAfterBreak="0">
    <w:nsid w:val="31E974D3"/>
    <w:multiLevelType w:val="hybridMultilevel"/>
    <w:tmpl w:val="1F241F4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5F4C4F"/>
    <w:multiLevelType w:val="hybridMultilevel"/>
    <w:tmpl w:val="EE3C0418"/>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50FF3"/>
    <w:multiLevelType w:val="hybridMultilevel"/>
    <w:tmpl w:val="278C8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58805FE7"/>
    <w:multiLevelType w:val="hybridMultilevel"/>
    <w:tmpl w:val="A3884172"/>
    <w:lvl w:ilvl="0" w:tplc="BFEEC37C">
      <w:start w:val="1"/>
      <w:numFmt w:val="bullet"/>
      <w:pStyle w:val="List-Bullet"/>
      <w:lvlText w:val="•"/>
      <w:lvlJc w:val="left"/>
      <w:pPr>
        <w:ind w:left="360" w:hanging="360"/>
      </w:pPr>
      <w:rPr>
        <w:rFonts w:ascii="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3993153"/>
    <w:multiLevelType w:val="multilevel"/>
    <w:tmpl w:val="B6600CC6"/>
    <w:lvl w:ilvl="0">
      <w:start w:val="1"/>
      <w:numFmt w:val="decimal"/>
      <w:pStyle w:val="NumberedParagraph"/>
      <w:lvlText w:val="%1."/>
      <w:lvlJc w:val="left"/>
      <w:pPr>
        <w:tabs>
          <w:tab w:val="num" w:pos="709"/>
        </w:tabs>
        <w:ind w:left="709" w:hanging="709"/>
      </w:pPr>
      <w:rPr>
        <w:rFonts w:ascii="Verdana" w:hAnsi="Verdana" w:hint="default"/>
        <w:b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6" w15:restartNumberingAfterBreak="0">
    <w:nsid w:val="640C6943"/>
    <w:multiLevelType w:val="singleLevel"/>
    <w:tmpl w:val="E4B6C50A"/>
    <w:lvl w:ilvl="0">
      <w:start w:val="1"/>
      <w:numFmt w:val="decimal"/>
      <w:pStyle w:val="Chapter3"/>
      <w:lvlText w:val="3.%1"/>
      <w:lvlJc w:val="left"/>
      <w:pPr>
        <w:tabs>
          <w:tab w:val="num" w:pos="851"/>
        </w:tabs>
        <w:ind w:left="851" w:hanging="851"/>
      </w:pPr>
      <w:rPr>
        <w:rFonts w:ascii="Times New Roman" w:hAnsi="Times New Roman" w:cs="Times New Roman" w:hint="default"/>
        <w:b w:val="0"/>
        <w:sz w:val="24"/>
        <w:szCs w:val="24"/>
      </w:rPr>
    </w:lvl>
  </w:abstractNum>
  <w:abstractNum w:abstractNumId="17" w15:restartNumberingAfterBreak="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7502291"/>
    <w:multiLevelType w:val="hybridMultilevel"/>
    <w:tmpl w:val="FABE154C"/>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56220"/>
    <w:multiLevelType w:val="hybridMultilevel"/>
    <w:tmpl w:val="C49ADF12"/>
    <w:lvl w:ilvl="0" w:tplc="142C49B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4"/>
  </w:num>
  <w:num w:numId="2">
    <w:abstractNumId w:val="12"/>
  </w:num>
  <w:num w:numId="3">
    <w:abstractNumId w:val="13"/>
  </w:num>
  <w:num w:numId="4">
    <w:abstractNumId w:val="19"/>
  </w:num>
  <w:num w:numId="5">
    <w:abstractNumId w:val="3"/>
  </w:num>
  <w:num w:numId="6">
    <w:abstractNumId w:val="16"/>
  </w:num>
  <w:num w:numId="7">
    <w:abstractNumId w:val="8"/>
  </w:num>
  <w:num w:numId="8">
    <w:abstractNumId w:val="1"/>
  </w:num>
  <w:num w:numId="9">
    <w:abstractNumId w:val="20"/>
  </w:num>
  <w:num w:numId="10">
    <w:abstractNumId w:val="17"/>
  </w:num>
  <w:num w:numId="11">
    <w:abstractNumId w:val="10"/>
  </w:num>
  <w:num w:numId="12">
    <w:abstractNumId w:val="14"/>
  </w:num>
  <w:num w:numId="13">
    <w:abstractNumId w:val="15"/>
  </w:num>
  <w:num w:numId="14">
    <w:abstractNumId w:val="6"/>
  </w:num>
  <w:num w:numId="15">
    <w:abstractNumId w:val="16"/>
    <w:lvlOverride w:ilvl="0">
      <w:startOverride w:val="1"/>
    </w:lvlOverride>
  </w:num>
  <w:num w:numId="16">
    <w:abstractNumId w:val="21"/>
  </w:num>
  <w:num w:numId="17">
    <w:abstractNumId w:val="16"/>
    <w:lvlOverride w:ilvl="0">
      <w:startOverride w:val="1"/>
    </w:lvlOverride>
  </w:num>
  <w:num w:numId="18">
    <w:abstractNumId w:val="13"/>
  </w:num>
  <w:num w:numId="19">
    <w:abstractNumId w:val="13"/>
  </w:num>
  <w:num w:numId="20">
    <w:abstractNumId w:val="8"/>
  </w:num>
  <w:num w:numId="21">
    <w:abstractNumId w:val="8"/>
  </w:num>
  <w:num w:numId="22">
    <w:abstractNumId w:val="9"/>
  </w:num>
  <w:num w:numId="23">
    <w:abstractNumId w:val="8"/>
  </w:num>
  <w:num w:numId="24">
    <w:abstractNumId w:val="0"/>
  </w:num>
  <w:num w:numId="25">
    <w:abstractNumId w:val="13"/>
  </w:num>
  <w:num w:numId="26">
    <w:abstractNumId w:val="2"/>
  </w:num>
  <w:num w:numId="27">
    <w:abstractNumId w:val="7"/>
  </w:num>
  <w:num w:numId="28">
    <w:abstractNumId w:val="11"/>
  </w:num>
  <w:num w:numId="29">
    <w:abstractNumId w:val="12"/>
  </w:num>
  <w:num w:numId="30">
    <w:abstractNumId w:val="12"/>
  </w:num>
  <w:num w:numId="31">
    <w:abstractNumId w:val="5"/>
  </w:num>
  <w:num w:numId="32">
    <w:abstractNumId w:val="18"/>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BD"/>
    <w:rsid w:val="00000582"/>
    <w:rsid w:val="000022EC"/>
    <w:rsid w:val="000024A2"/>
    <w:rsid w:val="0000377B"/>
    <w:rsid w:val="00003908"/>
    <w:rsid w:val="0000622D"/>
    <w:rsid w:val="00006422"/>
    <w:rsid w:val="00007351"/>
    <w:rsid w:val="00007AE4"/>
    <w:rsid w:val="00012289"/>
    <w:rsid w:val="00014230"/>
    <w:rsid w:val="00014D0D"/>
    <w:rsid w:val="00015410"/>
    <w:rsid w:val="00015F50"/>
    <w:rsid w:val="0001695D"/>
    <w:rsid w:val="000171CE"/>
    <w:rsid w:val="0002158E"/>
    <w:rsid w:val="00021E02"/>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4D91"/>
    <w:rsid w:val="00035F81"/>
    <w:rsid w:val="00037A83"/>
    <w:rsid w:val="000407DB"/>
    <w:rsid w:val="00041A29"/>
    <w:rsid w:val="00041E24"/>
    <w:rsid w:val="00043BEF"/>
    <w:rsid w:val="00045EF1"/>
    <w:rsid w:val="000466E4"/>
    <w:rsid w:val="00047CC7"/>
    <w:rsid w:val="00047FF9"/>
    <w:rsid w:val="00050E51"/>
    <w:rsid w:val="00051E9F"/>
    <w:rsid w:val="000523E0"/>
    <w:rsid w:val="00053A26"/>
    <w:rsid w:val="00053BF5"/>
    <w:rsid w:val="0005471A"/>
    <w:rsid w:val="00055518"/>
    <w:rsid w:val="000570B4"/>
    <w:rsid w:val="0005761B"/>
    <w:rsid w:val="000578D5"/>
    <w:rsid w:val="00060501"/>
    <w:rsid w:val="000649B1"/>
    <w:rsid w:val="00064C13"/>
    <w:rsid w:val="00064CDF"/>
    <w:rsid w:val="00067972"/>
    <w:rsid w:val="00070294"/>
    <w:rsid w:val="00070A6E"/>
    <w:rsid w:val="00072271"/>
    <w:rsid w:val="00073DDA"/>
    <w:rsid w:val="00074205"/>
    <w:rsid w:val="0007577B"/>
    <w:rsid w:val="00077D5E"/>
    <w:rsid w:val="00081340"/>
    <w:rsid w:val="00081471"/>
    <w:rsid w:val="00082BB6"/>
    <w:rsid w:val="00083D81"/>
    <w:rsid w:val="00084ED4"/>
    <w:rsid w:val="0009028A"/>
    <w:rsid w:val="00090841"/>
    <w:rsid w:val="00091439"/>
    <w:rsid w:val="00096603"/>
    <w:rsid w:val="00096828"/>
    <w:rsid w:val="000972F9"/>
    <w:rsid w:val="000A1039"/>
    <w:rsid w:val="000A1D11"/>
    <w:rsid w:val="000A20D1"/>
    <w:rsid w:val="000A21B8"/>
    <w:rsid w:val="000A2369"/>
    <w:rsid w:val="000A55B7"/>
    <w:rsid w:val="000A6517"/>
    <w:rsid w:val="000A7407"/>
    <w:rsid w:val="000A7963"/>
    <w:rsid w:val="000B0C18"/>
    <w:rsid w:val="000B1DE7"/>
    <w:rsid w:val="000B38A9"/>
    <w:rsid w:val="000B4164"/>
    <w:rsid w:val="000B5747"/>
    <w:rsid w:val="000C009E"/>
    <w:rsid w:val="000C0168"/>
    <w:rsid w:val="000C0315"/>
    <w:rsid w:val="000C0324"/>
    <w:rsid w:val="000C1725"/>
    <w:rsid w:val="000C3FFB"/>
    <w:rsid w:val="000C5DF3"/>
    <w:rsid w:val="000C5EB7"/>
    <w:rsid w:val="000C73AB"/>
    <w:rsid w:val="000C78C9"/>
    <w:rsid w:val="000D0F7B"/>
    <w:rsid w:val="000D154C"/>
    <w:rsid w:val="000D431B"/>
    <w:rsid w:val="000D477E"/>
    <w:rsid w:val="000D5566"/>
    <w:rsid w:val="000D6AAE"/>
    <w:rsid w:val="000E1182"/>
    <w:rsid w:val="000E1473"/>
    <w:rsid w:val="000E3A50"/>
    <w:rsid w:val="000E3D2B"/>
    <w:rsid w:val="000E44C0"/>
    <w:rsid w:val="000E5145"/>
    <w:rsid w:val="000E5794"/>
    <w:rsid w:val="000E764D"/>
    <w:rsid w:val="000E7C71"/>
    <w:rsid w:val="000E7EAB"/>
    <w:rsid w:val="000F4BC1"/>
    <w:rsid w:val="000F56D9"/>
    <w:rsid w:val="000F60BB"/>
    <w:rsid w:val="000F7153"/>
    <w:rsid w:val="000F7771"/>
    <w:rsid w:val="001005B7"/>
    <w:rsid w:val="00100901"/>
    <w:rsid w:val="00104B40"/>
    <w:rsid w:val="001078F8"/>
    <w:rsid w:val="00110190"/>
    <w:rsid w:val="00110264"/>
    <w:rsid w:val="001142E4"/>
    <w:rsid w:val="001154B6"/>
    <w:rsid w:val="0011634C"/>
    <w:rsid w:val="00117C16"/>
    <w:rsid w:val="001201B6"/>
    <w:rsid w:val="00121752"/>
    <w:rsid w:val="00121F45"/>
    <w:rsid w:val="0012550F"/>
    <w:rsid w:val="00126F60"/>
    <w:rsid w:val="00127735"/>
    <w:rsid w:val="00131B6A"/>
    <w:rsid w:val="001324ED"/>
    <w:rsid w:val="001348E3"/>
    <w:rsid w:val="00134C59"/>
    <w:rsid w:val="001353EA"/>
    <w:rsid w:val="001362E5"/>
    <w:rsid w:val="00136CB8"/>
    <w:rsid w:val="00140748"/>
    <w:rsid w:val="00142470"/>
    <w:rsid w:val="001425E7"/>
    <w:rsid w:val="00142D66"/>
    <w:rsid w:val="00143CAA"/>
    <w:rsid w:val="001455DB"/>
    <w:rsid w:val="0014563C"/>
    <w:rsid w:val="0015001E"/>
    <w:rsid w:val="00150A63"/>
    <w:rsid w:val="001526C7"/>
    <w:rsid w:val="00152FBE"/>
    <w:rsid w:val="00153523"/>
    <w:rsid w:val="0015532D"/>
    <w:rsid w:val="0015715E"/>
    <w:rsid w:val="00157C9A"/>
    <w:rsid w:val="00160D92"/>
    <w:rsid w:val="00162125"/>
    <w:rsid w:val="0016327A"/>
    <w:rsid w:val="00164357"/>
    <w:rsid w:val="0016506E"/>
    <w:rsid w:val="00165B3E"/>
    <w:rsid w:val="00165FFB"/>
    <w:rsid w:val="00166166"/>
    <w:rsid w:val="00166D50"/>
    <w:rsid w:val="00166FD2"/>
    <w:rsid w:val="0016727C"/>
    <w:rsid w:val="001702CB"/>
    <w:rsid w:val="001713B3"/>
    <w:rsid w:val="001722B8"/>
    <w:rsid w:val="00176CEC"/>
    <w:rsid w:val="00176E74"/>
    <w:rsid w:val="00177C80"/>
    <w:rsid w:val="00180ED9"/>
    <w:rsid w:val="0018238B"/>
    <w:rsid w:val="00182551"/>
    <w:rsid w:val="001836E5"/>
    <w:rsid w:val="00183F66"/>
    <w:rsid w:val="00187F13"/>
    <w:rsid w:val="001926E5"/>
    <w:rsid w:val="001947EE"/>
    <w:rsid w:val="00196612"/>
    <w:rsid w:val="00197444"/>
    <w:rsid w:val="001A2A81"/>
    <w:rsid w:val="001A2BCA"/>
    <w:rsid w:val="001A3053"/>
    <w:rsid w:val="001A3352"/>
    <w:rsid w:val="001A385F"/>
    <w:rsid w:val="001A4B29"/>
    <w:rsid w:val="001A6A36"/>
    <w:rsid w:val="001A721B"/>
    <w:rsid w:val="001B1FAA"/>
    <w:rsid w:val="001B24BC"/>
    <w:rsid w:val="001B57E9"/>
    <w:rsid w:val="001B734F"/>
    <w:rsid w:val="001C23A1"/>
    <w:rsid w:val="001C35D0"/>
    <w:rsid w:val="001C382F"/>
    <w:rsid w:val="001C38AE"/>
    <w:rsid w:val="001C5D7D"/>
    <w:rsid w:val="001C6F6F"/>
    <w:rsid w:val="001C71BC"/>
    <w:rsid w:val="001C74B8"/>
    <w:rsid w:val="001D02C2"/>
    <w:rsid w:val="001D0512"/>
    <w:rsid w:val="001D47CB"/>
    <w:rsid w:val="001D4B71"/>
    <w:rsid w:val="001D5A37"/>
    <w:rsid w:val="001D72DE"/>
    <w:rsid w:val="001D768A"/>
    <w:rsid w:val="001D799C"/>
    <w:rsid w:val="001D7C02"/>
    <w:rsid w:val="001D7C04"/>
    <w:rsid w:val="001E193C"/>
    <w:rsid w:val="001E1CE3"/>
    <w:rsid w:val="001E3029"/>
    <w:rsid w:val="001E689B"/>
    <w:rsid w:val="001E7D14"/>
    <w:rsid w:val="001F0321"/>
    <w:rsid w:val="001F1432"/>
    <w:rsid w:val="001F1B9D"/>
    <w:rsid w:val="001F35C8"/>
    <w:rsid w:val="001F3CEA"/>
    <w:rsid w:val="001F6CB4"/>
    <w:rsid w:val="001F7F76"/>
    <w:rsid w:val="00200688"/>
    <w:rsid w:val="00200C96"/>
    <w:rsid w:val="00200EE6"/>
    <w:rsid w:val="002025E9"/>
    <w:rsid w:val="002033D4"/>
    <w:rsid w:val="002040FD"/>
    <w:rsid w:val="00205799"/>
    <w:rsid w:val="00205990"/>
    <w:rsid w:val="0020641A"/>
    <w:rsid w:val="00211C0F"/>
    <w:rsid w:val="002137D1"/>
    <w:rsid w:val="0021414A"/>
    <w:rsid w:val="002152CE"/>
    <w:rsid w:val="0021548E"/>
    <w:rsid w:val="00216B3F"/>
    <w:rsid w:val="00216D5E"/>
    <w:rsid w:val="002178F4"/>
    <w:rsid w:val="00217C12"/>
    <w:rsid w:val="00222A0D"/>
    <w:rsid w:val="00222AC5"/>
    <w:rsid w:val="00224190"/>
    <w:rsid w:val="002279C6"/>
    <w:rsid w:val="00231C75"/>
    <w:rsid w:val="002325A4"/>
    <w:rsid w:val="00232C5B"/>
    <w:rsid w:val="00232C97"/>
    <w:rsid w:val="0023315E"/>
    <w:rsid w:val="00233203"/>
    <w:rsid w:val="002334CC"/>
    <w:rsid w:val="002343E9"/>
    <w:rsid w:val="002357D6"/>
    <w:rsid w:val="0023589C"/>
    <w:rsid w:val="002361A0"/>
    <w:rsid w:val="0023748D"/>
    <w:rsid w:val="00237EF2"/>
    <w:rsid w:val="00240DCC"/>
    <w:rsid w:val="0024175F"/>
    <w:rsid w:val="00242D38"/>
    <w:rsid w:val="00244391"/>
    <w:rsid w:val="00245821"/>
    <w:rsid w:val="00246007"/>
    <w:rsid w:val="002473D9"/>
    <w:rsid w:val="0025084A"/>
    <w:rsid w:val="002516B4"/>
    <w:rsid w:val="00253969"/>
    <w:rsid w:val="00254177"/>
    <w:rsid w:val="00254307"/>
    <w:rsid w:val="00255964"/>
    <w:rsid w:val="0026027E"/>
    <w:rsid w:val="00260B59"/>
    <w:rsid w:val="00260ED8"/>
    <w:rsid w:val="00263E47"/>
    <w:rsid w:val="002673E2"/>
    <w:rsid w:val="002678C5"/>
    <w:rsid w:val="00267C0F"/>
    <w:rsid w:val="0027067F"/>
    <w:rsid w:val="00271089"/>
    <w:rsid w:val="00273349"/>
    <w:rsid w:val="00276FD1"/>
    <w:rsid w:val="00277C44"/>
    <w:rsid w:val="00281D0A"/>
    <w:rsid w:val="00283A2A"/>
    <w:rsid w:val="00286748"/>
    <w:rsid w:val="00290180"/>
    <w:rsid w:val="00290FF4"/>
    <w:rsid w:val="00291A59"/>
    <w:rsid w:val="0029316E"/>
    <w:rsid w:val="002960FD"/>
    <w:rsid w:val="00296FC3"/>
    <w:rsid w:val="002A1409"/>
    <w:rsid w:val="002A1595"/>
    <w:rsid w:val="002A2045"/>
    <w:rsid w:val="002A2064"/>
    <w:rsid w:val="002A2214"/>
    <w:rsid w:val="002A27F1"/>
    <w:rsid w:val="002A3B95"/>
    <w:rsid w:val="002A5B7C"/>
    <w:rsid w:val="002A6420"/>
    <w:rsid w:val="002A6B59"/>
    <w:rsid w:val="002A729A"/>
    <w:rsid w:val="002A7B5E"/>
    <w:rsid w:val="002A7F65"/>
    <w:rsid w:val="002B143E"/>
    <w:rsid w:val="002B213A"/>
    <w:rsid w:val="002B2263"/>
    <w:rsid w:val="002B3770"/>
    <w:rsid w:val="002B578A"/>
    <w:rsid w:val="002B62BA"/>
    <w:rsid w:val="002B7250"/>
    <w:rsid w:val="002C1491"/>
    <w:rsid w:val="002C3D65"/>
    <w:rsid w:val="002C4868"/>
    <w:rsid w:val="002C5860"/>
    <w:rsid w:val="002C5E5F"/>
    <w:rsid w:val="002C723A"/>
    <w:rsid w:val="002C7AD2"/>
    <w:rsid w:val="002D08DF"/>
    <w:rsid w:val="002D0B41"/>
    <w:rsid w:val="002D0CFB"/>
    <w:rsid w:val="002D78AA"/>
    <w:rsid w:val="002D7CEB"/>
    <w:rsid w:val="002E05EC"/>
    <w:rsid w:val="002E093E"/>
    <w:rsid w:val="002E102D"/>
    <w:rsid w:val="002E227E"/>
    <w:rsid w:val="002E3A75"/>
    <w:rsid w:val="002E51A3"/>
    <w:rsid w:val="002E7EB2"/>
    <w:rsid w:val="002F082A"/>
    <w:rsid w:val="002F102C"/>
    <w:rsid w:val="002F2C39"/>
    <w:rsid w:val="002F3B02"/>
    <w:rsid w:val="002F46B3"/>
    <w:rsid w:val="002F4D83"/>
    <w:rsid w:val="002F5465"/>
    <w:rsid w:val="002F5A43"/>
    <w:rsid w:val="002F6D60"/>
    <w:rsid w:val="00300096"/>
    <w:rsid w:val="00302020"/>
    <w:rsid w:val="0030295B"/>
    <w:rsid w:val="003044B0"/>
    <w:rsid w:val="003048A8"/>
    <w:rsid w:val="0030508B"/>
    <w:rsid w:val="0030535A"/>
    <w:rsid w:val="0030684E"/>
    <w:rsid w:val="00307943"/>
    <w:rsid w:val="003107B8"/>
    <w:rsid w:val="0031193B"/>
    <w:rsid w:val="00311DBB"/>
    <w:rsid w:val="003120D8"/>
    <w:rsid w:val="00313EBC"/>
    <w:rsid w:val="003154E5"/>
    <w:rsid w:val="00316E2F"/>
    <w:rsid w:val="00317CA5"/>
    <w:rsid w:val="00317EAA"/>
    <w:rsid w:val="00320319"/>
    <w:rsid w:val="0032154C"/>
    <w:rsid w:val="0032499B"/>
    <w:rsid w:val="00325904"/>
    <w:rsid w:val="003265FB"/>
    <w:rsid w:val="00326E16"/>
    <w:rsid w:val="00331093"/>
    <w:rsid w:val="0033227F"/>
    <w:rsid w:val="00333F40"/>
    <w:rsid w:val="003345FE"/>
    <w:rsid w:val="003356AC"/>
    <w:rsid w:val="003356F2"/>
    <w:rsid w:val="003413ED"/>
    <w:rsid w:val="00341557"/>
    <w:rsid w:val="0034165E"/>
    <w:rsid w:val="00342017"/>
    <w:rsid w:val="00343FC6"/>
    <w:rsid w:val="0034639D"/>
    <w:rsid w:val="003469D8"/>
    <w:rsid w:val="003473DB"/>
    <w:rsid w:val="00351BBD"/>
    <w:rsid w:val="00354453"/>
    <w:rsid w:val="003563D9"/>
    <w:rsid w:val="0036079C"/>
    <w:rsid w:val="0036156A"/>
    <w:rsid w:val="00362461"/>
    <w:rsid w:val="003667B4"/>
    <w:rsid w:val="00367337"/>
    <w:rsid w:val="00367C7B"/>
    <w:rsid w:val="00370F9D"/>
    <w:rsid w:val="00371125"/>
    <w:rsid w:val="0037173A"/>
    <w:rsid w:val="0037304A"/>
    <w:rsid w:val="003730F2"/>
    <w:rsid w:val="00373D19"/>
    <w:rsid w:val="00373E7D"/>
    <w:rsid w:val="00373F5D"/>
    <w:rsid w:val="003742E3"/>
    <w:rsid w:val="00374BD9"/>
    <w:rsid w:val="00374E66"/>
    <w:rsid w:val="003754D0"/>
    <w:rsid w:val="003756B0"/>
    <w:rsid w:val="00377524"/>
    <w:rsid w:val="00377A06"/>
    <w:rsid w:val="00380CAC"/>
    <w:rsid w:val="00381ABC"/>
    <w:rsid w:val="00382E2E"/>
    <w:rsid w:val="00384C7E"/>
    <w:rsid w:val="0038645D"/>
    <w:rsid w:val="00386BD1"/>
    <w:rsid w:val="00387D1E"/>
    <w:rsid w:val="00390F8D"/>
    <w:rsid w:val="00391A22"/>
    <w:rsid w:val="00391B92"/>
    <w:rsid w:val="00392924"/>
    <w:rsid w:val="0039375F"/>
    <w:rsid w:val="003944D6"/>
    <w:rsid w:val="00394CF8"/>
    <w:rsid w:val="00394D52"/>
    <w:rsid w:val="00395475"/>
    <w:rsid w:val="00395B3F"/>
    <w:rsid w:val="003960A8"/>
    <w:rsid w:val="003962BF"/>
    <w:rsid w:val="00396824"/>
    <w:rsid w:val="00397856"/>
    <w:rsid w:val="00397A2B"/>
    <w:rsid w:val="003A25DB"/>
    <w:rsid w:val="003A2CB8"/>
    <w:rsid w:val="003A31FD"/>
    <w:rsid w:val="003A34AB"/>
    <w:rsid w:val="003A43D1"/>
    <w:rsid w:val="003A4D95"/>
    <w:rsid w:val="003A5393"/>
    <w:rsid w:val="003A5488"/>
    <w:rsid w:val="003A5C2F"/>
    <w:rsid w:val="003A798D"/>
    <w:rsid w:val="003B397F"/>
    <w:rsid w:val="003B3EAC"/>
    <w:rsid w:val="003B5EA0"/>
    <w:rsid w:val="003B6144"/>
    <w:rsid w:val="003C055A"/>
    <w:rsid w:val="003C065F"/>
    <w:rsid w:val="003C130E"/>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53AC"/>
    <w:rsid w:val="003E7906"/>
    <w:rsid w:val="003E7977"/>
    <w:rsid w:val="003F03E7"/>
    <w:rsid w:val="003F5739"/>
    <w:rsid w:val="003F6AB6"/>
    <w:rsid w:val="003F6E87"/>
    <w:rsid w:val="0040030D"/>
    <w:rsid w:val="00401F0F"/>
    <w:rsid w:val="00402087"/>
    <w:rsid w:val="0040231F"/>
    <w:rsid w:val="00403468"/>
    <w:rsid w:val="00404CDB"/>
    <w:rsid w:val="00405235"/>
    <w:rsid w:val="0040711D"/>
    <w:rsid w:val="0040742C"/>
    <w:rsid w:val="00413004"/>
    <w:rsid w:val="004137E5"/>
    <w:rsid w:val="0041492E"/>
    <w:rsid w:val="00414AC0"/>
    <w:rsid w:val="00414F89"/>
    <w:rsid w:val="00415A8F"/>
    <w:rsid w:val="00417987"/>
    <w:rsid w:val="0042286D"/>
    <w:rsid w:val="00423ECD"/>
    <w:rsid w:val="004243F7"/>
    <w:rsid w:val="004258D6"/>
    <w:rsid w:val="004303E2"/>
    <w:rsid w:val="004306CC"/>
    <w:rsid w:val="00430BB2"/>
    <w:rsid w:val="00431555"/>
    <w:rsid w:val="00431576"/>
    <w:rsid w:val="00431E1A"/>
    <w:rsid w:val="004326C9"/>
    <w:rsid w:val="00432E0E"/>
    <w:rsid w:val="00432F19"/>
    <w:rsid w:val="00434294"/>
    <w:rsid w:val="00434570"/>
    <w:rsid w:val="00435C8B"/>
    <w:rsid w:val="00436FCD"/>
    <w:rsid w:val="0044126B"/>
    <w:rsid w:val="00444F7F"/>
    <w:rsid w:val="00445065"/>
    <w:rsid w:val="0044537A"/>
    <w:rsid w:val="00445690"/>
    <w:rsid w:val="0044583D"/>
    <w:rsid w:val="0044726A"/>
    <w:rsid w:val="00447865"/>
    <w:rsid w:val="004478AE"/>
    <w:rsid w:val="00450226"/>
    <w:rsid w:val="00451F21"/>
    <w:rsid w:val="00452856"/>
    <w:rsid w:val="004532E6"/>
    <w:rsid w:val="004534F5"/>
    <w:rsid w:val="00453713"/>
    <w:rsid w:val="00454686"/>
    <w:rsid w:val="00455B3C"/>
    <w:rsid w:val="00456DE8"/>
    <w:rsid w:val="004603E1"/>
    <w:rsid w:val="00461F3E"/>
    <w:rsid w:val="00462EB3"/>
    <w:rsid w:val="00464633"/>
    <w:rsid w:val="004649DC"/>
    <w:rsid w:val="004714F2"/>
    <w:rsid w:val="00475E69"/>
    <w:rsid w:val="004767E6"/>
    <w:rsid w:val="004773F6"/>
    <w:rsid w:val="00477B93"/>
    <w:rsid w:val="00477F92"/>
    <w:rsid w:val="00480196"/>
    <w:rsid w:val="00482460"/>
    <w:rsid w:val="00482B21"/>
    <w:rsid w:val="00485CD4"/>
    <w:rsid w:val="00485D7B"/>
    <w:rsid w:val="004865E4"/>
    <w:rsid w:val="00490759"/>
    <w:rsid w:val="00491744"/>
    <w:rsid w:val="00493A9F"/>
    <w:rsid w:val="004940EE"/>
    <w:rsid w:val="004955E2"/>
    <w:rsid w:val="00495F1D"/>
    <w:rsid w:val="004A0BAE"/>
    <w:rsid w:val="004A11C8"/>
    <w:rsid w:val="004A1ABD"/>
    <w:rsid w:val="004A1DEC"/>
    <w:rsid w:val="004A2292"/>
    <w:rsid w:val="004A31EE"/>
    <w:rsid w:val="004A4529"/>
    <w:rsid w:val="004A6E86"/>
    <w:rsid w:val="004B0926"/>
    <w:rsid w:val="004B1B92"/>
    <w:rsid w:val="004B1DD5"/>
    <w:rsid w:val="004B36B0"/>
    <w:rsid w:val="004B37FB"/>
    <w:rsid w:val="004B4ECA"/>
    <w:rsid w:val="004B659E"/>
    <w:rsid w:val="004B684C"/>
    <w:rsid w:val="004B6F8B"/>
    <w:rsid w:val="004C073F"/>
    <w:rsid w:val="004C1701"/>
    <w:rsid w:val="004C2444"/>
    <w:rsid w:val="004C2DB8"/>
    <w:rsid w:val="004C54F1"/>
    <w:rsid w:val="004C5738"/>
    <w:rsid w:val="004C6BC7"/>
    <w:rsid w:val="004D0703"/>
    <w:rsid w:val="004D2B7A"/>
    <w:rsid w:val="004D46AC"/>
    <w:rsid w:val="004D4D44"/>
    <w:rsid w:val="004D533B"/>
    <w:rsid w:val="004D6158"/>
    <w:rsid w:val="004D773C"/>
    <w:rsid w:val="004E10A4"/>
    <w:rsid w:val="004E1168"/>
    <w:rsid w:val="004E2A2B"/>
    <w:rsid w:val="004E2CEB"/>
    <w:rsid w:val="004E491E"/>
    <w:rsid w:val="004E5574"/>
    <w:rsid w:val="004E59D9"/>
    <w:rsid w:val="004E5B10"/>
    <w:rsid w:val="004E648C"/>
    <w:rsid w:val="004E72FD"/>
    <w:rsid w:val="004E7AF2"/>
    <w:rsid w:val="004F0044"/>
    <w:rsid w:val="004F2252"/>
    <w:rsid w:val="004F2DA5"/>
    <w:rsid w:val="004F3671"/>
    <w:rsid w:val="004F4237"/>
    <w:rsid w:val="004F4278"/>
    <w:rsid w:val="004F4C58"/>
    <w:rsid w:val="004F5679"/>
    <w:rsid w:val="00501164"/>
    <w:rsid w:val="00501EBD"/>
    <w:rsid w:val="00502359"/>
    <w:rsid w:val="005025DD"/>
    <w:rsid w:val="00506795"/>
    <w:rsid w:val="00506D4E"/>
    <w:rsid w:val="0050746B"/>
    <w:rsid w:val="005105C2"/>
    <w:rsid w:val="00512EC7"/>
    <w:rsid w:val="00513DEC"/>
    <w:rsid w:val="00513EFC"/>
    <w:rsid w:val="0051485F"/>
    <w:rsid w:val="00514F79"/>
    <w:rsid w:val="00517261"/>
    <w:rsid w:val="00520106"/>
    <w:rsid w:val="005204F6"/>
    <w:rsid w:val="00520539"/>
    <w:rsid w:val="005209B8"/>
    <w:rsid w:val="00521C06"/>
    <w:rsid w:val="0052362E"/>
    <w:rsid w:val="00530A3D"/>
    <w:rsid w:val="0053146F"/>
    <w:rsid w:val="0053156B"/>
    <w:rsid w:val="00532B5D"/>
    <w:rsid w:val="005353CC"/>
    <w:rsid w:val="0054074E"/>
    <w:rsid w:val="00541932"/>
    <w:rsid w:val="00542C0A"/>
    <w:rsid w:val="00543138"/>
    <w:rsid w:val="005443EC"/>
    <w:rsid w:val="005453ED"/>
    <w:rsid w:val="00546695"/>
    <w:rsid w:val="005471D8"/>
    <w:rsid w:val="00547515"/>
    <w:rsid w:val="005475C7"/>
    <w:rsid w:val="00550F68"/>
    <w:rsid w:val="00551C9D"/>
    <w:rsid w:val="00551EBF"/>
    <w:rsid w:val="00551FAE"/>
    <w:rsid w:val="0055286A"/>
    <w:rsid w:val="00552DD1"/>
    <w:rsid w:val="0055476A"/>
    <w:rsid w:val="00554E3A"/>
    <w:rsid w:val="00556FC9"/>
    <w:rsid w:val="00557701"/>
    <w:rsid w:val="00560940"/>
    <w:rsid w:val="005614DF"/>
    <w:rsid w:val="00561AEA"/>
    <w:rsid w:val="00561BA6"/>
    <w:rsid w:val="00562990"/>
    <w:rsid w:val="00565602"/>
    <w:rsid w:val="0056690C"/>
    <w:rsid w:val="00567018"/>
    <w:rsid w:val="00567926"/>
    <w:rsid w:val="00573280"/>
    <w:rsid w:val="005746F9"/>
    <w:rsid w:val="00575170"/>
    <w:rsid w:val="00577313"/>
    <w:rsid w:val="00580AF0"/>
    <w:rsid w:val="00580B4E"/>
    <w:rsid w:val="00581E13"/>
    <w:rsid w:val="00582227"/>
    <w:rsid w:val="005827DA"/>
    <w:rsid w:val="00583BFC"/>
    <w:rsid w:val="00583E53"/>
    <w:rsid w:val="00584662"/>
    <w:rsid w:val="00586ED7"/>
    <w:rsid w:val="005871DB"/>
    <w:rsid w:val="005911E8"/>
    <w:rsid w:val="0059176E"/>
    <w:rsid w:val="005920A0"/>
    <w:rsid w:val="00592591"/>
    <w:rsid w:val="00592F96"/>
    <w:rsid w:val="00597261"/>
    <w:rsid w:val="0059797F"/>
    <w:rsid w:val="005A087D"/>
    <w:rsid w:val="005A148F"/>
    <w:rsid w:val="005A16C9"/>
    <w:rsid w:val="005A209F"/>
    <w:rsid w:val="005A3A67"/>
    <w:rsid w:val="005A3D08"/>
    <w:rsid w:val="005A3D33"/>
    <w:rsid w:val="005A5CF8"/>
    <w:rsid w:val="005A5EFE"/>
    <w:rsid w:val="005A629E"/>
    <w:rsid w:val="005A76F3"/>
    <w:rsid w:val="005A7E51"/>
    <w:rsid w:val="005B06C3"/>
    <w:rsid w:val="005B1EAC"/>
    <w:rsid w:val="005B46A5"/>
    <w:rsid w:val="005B52A7"/>
    <w:rsid w:val="005B65D5"/>
    <w:rsid w:val="005B7782"/>
    <w:rsid w:val="005B7A0B"/>
    <w:rsid w:val="005C15CC"/>
    <w:rsid w:val="005C1D28"/>
    <w:rsid w:val="005C1FDB"/>
    <w:rsid w:val="005C373C"/>
    <w:rsid w:val="005C3DE8"/>
    <w:rsid w:val="005C6E37"/>
    <w:rsid w:val="005D1902"/>
    <w:rsid w:val="005D1BD6"/>
    <w:rsid w:val="005D1CBA"/>
    <w:rsid w:val="005D2143"/>
    <w:rsid w:val="005D3A47"/>
    <w:rsid w:val="005D3B9B"/>
    <w:rsid w:val="005D51C1"/>
    <w:rsid w:val="005D6D12"/>
    <w:rsid w:val="005D6E01"/>
    <w:rsid w:val="005E0A51"/>
    <w:rsid w:val="005E1382"/>
    <w:rsid w:val="005E168D"/>
    <w:rsid w:val="005E265B"/>
    <w:rsid w:val="005E3C39"/>
    <w:rsid w:val="005E52FB"/>
    <w:rsid w:val="005E559F"/>
    <w:rsid w:val="005E6722"/>
    <w:rsid w:val="005E6E05"/>
    <w:rsid w:val="005F29F5"/>
    <w:rsid w:val="005F305F"/>
    <w:rsid w:val="005F42A5"/>
    <w:rsid w:val="005F4770"/>
    <w:rsid w:val="005F4D07"/>
    <w:rsid w:val="005F6053"/>
    <w:rsid w:val="005F6EBC"/>
    <w:rsid w:val="006002F3"/>
    <w:rsid w:val="0060100F"/>
    <w:rsid w:val="0060141E"/>
    <w:rsid w:val="00603414"/>
    <w:rsid w:val="00603449"/>
    <w:rsid w:val="00603762"/>
    <w:rsid w:val="006041F7"/>
    <w:rsid w:val="006042D1"/>
    <w:rsid w:val="0060457E"/>
    <w:rsid w:val="0060519F"/>
    <w:rsid w:val="00606865"/>
    <w:rsid w:val="00606C02"/>
    <w:rsid w:val="00610D98"/>
    <w:rsid w:val="00610EA0"/>
    <w:rsid w:val="006117FD"/>
    <w:rsid w:val="006124AC"/>
    <w:rsid w:val="00612EC2"/>
    <w:rsid w:val="00614467"/>
    <w:rsid w:val="00615A22"/>
    <w:rsid w:val="006169BE"/>
    <w:rsid w:val="00617CE2"/>
    <w:rsid w:val="00617DFC"/>
    <w:rsid w:val="00617FD2"/>
    <w:rsid w:val="00620585"/>
    <w:rsid w:val="00621929"/>
    <w:rsid w:val="00624899"/>
    <w:rsid w:val="00626494"/>
    <w:rsid w:val="00627D47"/>
    <w:rsid w:val="00627DD1"/>
    <w:rsid w:val="00627E1F"/>
    <w:rsid w:val="006300DF"/>
    <w:rsid w:val="00631AD7"/>
    <w:rsid w:val="00632A6B"/>
    <w:rsid w:val="00634623"/>
    <w:rsid w:val="006350A3"/>
    <w:rsid w:val="00635E6E"/>
    <w:rsid w:val="00635EB8"/>
    <w:rsid w:val="00636058"/>
    <w:rsid w:val="00642559"/>
    <w:rsid w:val="00642F45"/>
    <w:rsid w:val="00644A8B"/>
    <w:rsid w:val="00647202"/>
    <w:rsid w:val="006515C5"/>
    <w:rsid w:val="00651A17"/>
    <w:rsid w:val="0065219C"/>
    <w:rsid w:val="00652798"/>
    <w:rsid w:val="00652E32"/>
    <w:rsid w:val="0065392C"/>
    <w:rsid w:val="006549EB"/>
    <w:rsid w:val="00654A37"/>
    <w:rsid w:val="00654BCA"/>
    <w:rsid w:val="00654C0C"/>
    <w:rsid w:val="006551E5"/>
    <w:rsid w:val="00655851"/>
    <w:rsid w:val="0065704D"/>
    <w:rsid w:val="0066087D"/>
    <w:rsid w:val="00661A13"/>
    <w:rsid w:val="00662E92"/>
    <w:rsid w:val="00662F7B"/>
    <w:rsid w:val="00663CBD"/>
    <w:rsid w:val="006644EE"/>
    <w:rsid w:val="0066498C"/>
    <w:rsid w:val="00665DEA"/>
    <w:rsid w:val="006666FC"/>
    <w:rsid w:val="00670383"/>
    <w:rsid w:val="00671017"/>
    <w:rsid w:val="0067137C"/>
    <w:rsid w:val="0067215C"/>
    <w:rsid w:val="0067287E"/>
    <w:rsid w:val="006735D1"/>
    <w:rsid w:val="00673800"/>
    <w:rsid w:val="00675264"/>
    <w:rsid w:val="00675707"/>
    <w:rsid w:val="00675C41"/>
    <w:rsid w:val="00676969"/>
    <w:rsid w:val="006772F4"/>
    <w:rsid w:val="00681F0D"/>
    <w:rsid w:val="00683470"/>
    <w:rsid w:val="00683EB1"/>
    <w:rsid w:val="0068437A"/>
    <w:rsid w:val="00686E61"/>
    <w:rsid w:val="00687410"/>
    <w:rsid w:val="00690DC4"/>
    <w:rsid w:val="00690F3A"/>
    <w:rsid w:val="006922FB"/>
    <w:rsid w:val="00692772"/>
    <w:rsid w:val="006A08C1"/>
    <w:rsid w:val="006A23A6"/>
    <w:rsid w:val="006A2BE5"/>
    <w:rsid w:val="006A62CC"/>
    <w:rsid w:val="006A6B54"/>
    <w:rsid w:val="006A7428"/>
    <w:rsid w:val="006B0566"/>
    <w:rsid w:val="006B1316"/>
    <w:rsid w:val="006B2A85"/>
    <w:rsid w:val="006B3C5A"/>
    <w:rsid w:val="006B5427"/>
    <w:rsid w:val="006B598A"/>
    <w:rsid w:val="006B5C00"/>
    <w:rsid w:val="006B7BF9"/>
    <w:rsid w:val="006C0008"/>
    <w:rsid w:val="006C6AFA"/>
    <w:rsid w:val="006C78C1"/>
    <w:rsid w:val="006D1287"/>
    <w:rsid w:val="006D5E8F"/>
    <w:rsid w:val="006D6102"/>
    <w:rsid w:val="006D69D1"/>
    <w:rsid w:val="006D75D7"/>
    <w:rsid w:val="006E19D8"/>
    <w:rsid w:val="006E1C6B"/>
    <w:rsid w:val="006E2848"/>
    <w:rsid w:val="006E44FA"/>
    <w:rsid w:val="006E50E7"/>
    <w:rsid w:val="006E6038"/>
    <w:rsid w:val="006E78E1"/>
    <w:rsid w:val="006F02AD"/>
    <w:rsid w:val="006F1D5A"/>
    <w:rsid w:val="006F2899"/>
    <w:rsid w:val="006F3442"/>
    <w:rsid w:val="006F3E59"/>
    <w:rsid w:val="006F4D00"/>
    <w:rsid w:val="006F4E96"/>
    <w:rsid w:val="006F50C5"/>
    <w:rsid w:val="006F63EC"/>
    <w:rsid w:val="006F6822"/>
    <w:rsid w:val="006F7D52"/>
    <w:rsid w:val="0070017E"/>
    <w:rsid w:val="00701E76"/>
    <w:rsid w:val="007021F3"/>
    <w:rsid w:val="007022BF"/>
    <w:rsid w:val="0070247E"/>
    <w:rsid w:val="00704AD1"/>
    <w:rsid w:val="007055A3"/>
    <w:rsid w:val="007056D0"/>
    <w:rsid w:val="00705A04"/>
    <w:rsid w:val="00707B09"/>
    <w:rsid w:val="00707BCB"/>
    <w:rsid w:val="007119A0"/>
    <w:rsid w:val="00711F8D"/>
    <w:rsid w:val="00713702"/>
    <w:rsid w:val="00715279"/>
    <w:rsid w:val="00715D61"/>
    <w:rsid w:val="007161D3"/>
    <w:rsid w:val="00717673"/>
    <w:rsid w:val="00725975"/>
    <w:rsid w:val="00725B0D"/>
    <w:rsid w:val="00726941"/>
    <w:rsid w:val="00726C4D"/>
    <w:rsid w:val="007271BB"/>
    <w:rsid w:val="007276C0"/>
    <w:rsid w:val="00727B0E"/>
    <w:rsid w:val="0073368E"/>
    <w:rsid w:val="0073406D"/>
    <w:rsid w:val="007343A9"/>
    <w:rsid w:val="007351D5"/>
    <w:rsid w:val="007357CF"/>
    <w:rsid w:val="00735B02"/>
    <w:rsid w:val="00736162"/>
    <w:rsid w:val="007369E2"/>
    <w:rsid w:val="007444CE"/>
    <w:rsid w:val="007452FA"/>
    <w:rsid w:val="00746725"/>
    <w:rsid w:val="00746D40"/>
    <w:rsid w:val="007471BB"/>
    <w:rsid w:val="0074770F"/>
    <w:rsid w:val="00747BCE"/>
    <w:rsid w:val="00750168"/>
    <w:rsid w:val="007502A7"/>
    <w:rsid w:val="007510CF"/>
    <w:rsid w:val="007514BF"/>
    <w:rsid w:val="007526F1"/>
    <w:rsid w:val="00753E8F"/>
    <w:rsid w:val="0075609C"/>
    <w:rsid w:val="00757846"/>
    <w:rsid w:val="00757E1F"/>
    <w:rsid w:val="00757E6C"/>
    <w:rsid w:val="00757EBD"/>
    <w:rsid w:val="00760799"/>
    <w:rsid w:val="0076139C"/>
    <w:rsid w:val="007613E5"/>
    <w:rsid w:val="007620E8"/>
    <w:rsid w:val="0076265A"/>
    <w:rsid w:val="00764FC2"/>
    <w:rsid w:val="007658B3"/>
    <w:rsid w:val="007664F6"/>
    <w:rsid w:val="00766F65"/>
    <w:rsid w:val="00776D47"/>
    <w:rsid w:val="007809E0"/>
    <w:rsid w:val="00780E1E"/>
    <w:rsid w:val="00782A42"/>
    <w:rsid w:val="0078345B"/>
    <w:rsid w:val="00783C1E"/>
    <w:rsid w:val="00785A7F"/>
    <w:rsid w:val="00786280"/>
    <w:rsid w:val="00787D12"/>
    <w:rsid w:val="00790114"/>
    <w:rsid w:val="007902DC"/>
    <w:rsid w:val="00790AD5"/>
    <w:rsid w:val="007922D4"/>
    <w:rsid w:val="007935E2"/>
    <w:rsid w:val="007936EE"/>
    <w:rsid w:val="00793CC4"/>
    <w:rsid w:val="00794535"/>
    <w:rsid w:val="007958B8"/>
    <w:rsid w:val="00795D94"/>
    <w:rsid w:val="007961D3"/>
    <w:rsid w:val="007976E4"/>
    <w:rsid w:val="007A186C"/>
    <w:rsid w:val="007A204E"/>
    <w:rsid w:val="007A349A"/>
    <w:rsid w:val="007A39FD"/>
    <w:rsid w:val="007A3CFC"/>
    <w:rsid w:val="007A4CC6"/>
    <w:rsid w:val="007A59B3"/>
    <w:rsid w:val="007A6213"/>
    <w:rsid w:val="007A67BC"/>
    <w:rsid w:val="007A7592"/>
    <w:rsid w:val="007B0045"/>
    <w:rsid w:val="007B0413"/>
    <w:rsid w:val="007B06B7"/>
    <w:rsid w:val="007B12BF"/>
    <w:rsid w:val="007B3F45"/>
    <w:rsid w:val="007B454F"/>
    <w:rsid w:val="007B5A67"/>
    <w:rsid w:val="007B6B9F"/>
    <w:rsid w:val="007B702F"/>
    <w:rsid w:val="007C033B"/>
    <w:rsid w:val="007C0792"/>
    <w:rsid w:val="007C2341"/>
    <w:rsid w:val="007C23A7"/>
    <w:rsid w:val="007C2425"/>
    <w:rsid w:val="007C28DB"/>
    <w:rsid w:val="007C2F1B"/>
    <w:rsid w:val="007C358F"/>
    <w:rsid w:val="007C5126"/>
    <w:rsid w:val="007C72A8"/>
    <w:rsid w:val="007D538F"/>
    <w:rsid w:val="007D60CF"/>
    <w:rsid w:val="007D6AE3"/>
    <w:rsid w:val="007E3625"/>
    <w:rsid w:val="007E3DD7"/>
    <w:rsid w:val="007E667C"/>
    <w:rsid w:val="007F0EAC"/>
    <w:rsid w:val="007F12A4"/>
    <w:rsid w:val="007F195A"/>
    <w:rsid w:val="007F1E98"/>
    <w:rsid w:val="007F39E1"/>
    <w:rsid w:val="007F5EF1"/>
    <w:rsid w:val="007F68CB"/>
    <w:rsid w:val="0080020A"/>
    <w:rsid w:val="0080092E"/>
    <w:rsid w:val="00800B12"/>
    <w:rsid w:val="00811AAE"/>
    <w:rsid w:val="00813605"/>
    <w:rsid w:val="00816367"/>
    <w:rsid w:val="008164DA"/>
    <w:rsid w:val="008173CB"/>
    <w:rsid w:val="008177B1"/>
    <w:rsid w:val="008201B3"/>
    <w:rsid w:val="00820687"/>
    <w:rsid w:val="00821169"/>
    <w:rsid w:val="00821757"/>
    <w:rsid w:val="008222AA"/>
    <w:rsid w:val="00827D49"/>
    <w:rsid w:val="00830AC3"/>
    <w:rsid w:val="00831363"/>
    <w:rsid w:val="00832939"/>
    <w:rsid w:val="00833A41"/>
    <w:rsid w:val="00833BEF"/>
    <w:rsid w:val="00833D74"/>
    <w:rsid w:val="00833D82"/>
    <w:rsid w:val="00834092"/>
    <w:rsid w:val="00834C8A"/>
    <w:rsid w:val="00836E7D"/>
    <w:rsid w:val="00837387"/>
    <w:rsid w:val="00837D98"/>
    <w:rsid w:val="008421B3"/>
    <w:rsid w:val="008423EA"/>
    <w:rsid w:val="0084257B"/>
    <w:rsid w:val="008430E9"/>
    <w:rsid w:val="00844296"/>
    <w:rsid w:val="00844FDD"/>
    <w:rsid w:val="00845BC1"/>
    <w:rsid w:val="008464AB"/>
    <w:rsid w:val="0085013C"/>
    <w:rsid w:val="00850C87"/>
    <w:rsid w:val="00850F10"/>
    <w:rsid w:val="00851B2F"/>
    <w:rsid w:val="00852377"/>
    <w:rsid w:val="008525B1"/>
    <w:rsid w:val="008529E2"/>
    <w:rsid w:val="008537EA"/>
    <w:rsid w:val="0085447D"/>
    <w:rsid w:val="00854C43"/>
    <w:rsid w:val="00854D7E"/>
    <w:rsid w:val="00854DFA"/>
    <w:rsid w:val="00855A22"/>
    <w:rsid w:val="008569FB"/>
    <w:rsid w:val="00856C3E"/>
    <w:rsid w:val="00857170"/>
    <w:rsid w:val="00857BE6"/>
    <w:rsid w:val="00861702"/>
    <w:rsid w:val="00863BEF"/>
    <w:rsid w:val="00864C17"/>
    <w:rsid w:val="008654D3"/>
    <w:rsid w:val="00867EDC"/>
    <w:rsid w:val="00871595"/>
    <w:rsid w:val="00871775"/>
    <w:rsid w:val="0087224B"/>
    <w:rsid w:val="00873A37"/>
    <w:rsid w:val="00873DBE"/>
    <w:rsid w:val="008740E7"/>
    <w:rsid w:val="0087438E"/>
    <w:rsid w:val="0087590E"/>
    <w:rsid w:val="00876AEB"/>
    <w:rsid w:val="00882647"/>
    <w:rsid w:val="008829F9"/>
    <w:rsid w:val="008840A1"/>
    <w:rsid w:val="00886904"/>
    <w:rsid w:val="00886A68"/>
    <w:rsid w:val="00890CAB"/>
    <w:rsid w:val="00890CD7"/>
    <w:rsid w:val="00891892"/>
    <w:rsid w:val="008938CF"/>
    <w:rsid w:val="00893C67"/>
    <w:rsid w:val="0089509C"/>
    <w:rsid w:val="00895302"/>
    <w:rsid w:val="00896AB8"/>
    <w:rsid w:val="00896B56"/>
    <w:rsid w:val="008A05E6"/>
    <w:rsid w:val="008A1911"/>
    <w:rsid w:val="008A3229"/>
    <w:rsid w:val="008A325E"/>
    <w:rsid w:val="008A339E"/>
    <w:rsid w:val="008A36A9"/>
    <w:rsid w:val="008A58F1"/>
    <w:rsid w:val="008B1A24"/>
    <w:rsid w:val="008B3247"/>
    <w:rsid w:val="008B371A"/>
    <w:rsid w:val="008B4016"/>
    <w:rsid w:val="008B60D9"/>
    <w:rsid w:val="008C03D1"/>
    <w:rsid w:val="008C1ACF"/>
    <w:rsid w:val="008C3941"/>
    <w:rsid w:val="008C3D45"/>
    <w:rsid w:val="008C4055"/>
    <w:rsid w:val="008C41AC"/>
    <w:rsid w:val="008C4292"/>
    <w:rsid w:val="008C439A"/>
    <w:rsid w:val="008C44B8"/>
    <w:rsid w:val="008C4809"/>
    <w:rsid w:val="008C49ED"/>
    <w:rsid w:val="008C4A03"/>
    <w:rsid w:val="008C59DF"/>
    <w:rsid w:val="008C639C"/>
    <w:rsid w:val="008C7648"/>
    <w:rsid w:val="008C78BD"/>
    <w:rsid w:val="008D004A"/>
    <w:rsid w:val="008D3096"/>
    <w:rsid w:val="008D4E6B"/>
    <w:rsid w:val="008E051A"/>
    <w:rsid w:val="008E29D4"/>
    <w:rsid w:val="008E4DA9"/>
    <w:rsid w:val="008E520E"/>
    <w:rsid w:val="008E5B5F"/>
    <w:rsid w:val="008E5F79"/>
    <w:rsid w:val="008E5FD9"/>
    <w:rsid w:val="008E6715"/>
    <w:rsid w:val="008E79EC"/>
    <w:rsid w:val="008E7BBF"/>
    <w:rsid w:val="008F0649"/>
    <w:rsid w:val="008F1B05"/>
    <w:rsid w:val="008F34C4"/>
    <w:rsid w:val="008F3A34"/>
    <w:rsid w:val="008F4EFD"/>
    <w:rsid w:val="008F64CF"/>
    <w:rsid w:val="00900193"/>
    <w:rsid w:val="00902A72"/>
    <w:rsid w:val="009050A8"/>
    <w:rsid w:val="00905CDA"/>
    <w:rsid w:val="0091275E"/>
    <w:rsid w:val="00915136"/>
    <w:rsid w:val="009165B1"/>
    <w:rsid w:val="0091766D"/>
    <w:rsid w:val="00920576"/>
    <w:rsid w:val="00921EBA"/>
    <w:rsid w:val="009234BB"/>
    <w:rsid w:val="00924AC6"/>
    <w:rsid w:val="00925651"/>
    <w:rsid w:val="00925E43"/>
    <w:rsid w:val="00926D28"/>
    <w:rsid w:val="00930D24"/>
    <w:rsid w:val="00933510"/>
    <w:rsid w:val="00933E77"/>
    <w:rsid w:val="009368ED"/>
    <w:rsid w:val="009369E9"/>
    <w:rsid w:val="00937E27"/>
    <w:rsid w:val="00940439"/>
    <w:rsid w:val="0094222C"/>
    <w:rsid w:val="00942C84"/>
    <w:rsid w:val="009430F5"/>
    <w:rsid w:val="00943723"/>
    <w:rsid w:val="0094413F"/>
    <w:rsid w:val="0094416A"/>
    <w:rsid w:val="00945262"/>
    <w:rsid w:val="00945302"/>
    <w:rsid w:val="00952BCD"/>
    <w:rsid w:val="00952BDA"/>
    <w:rsid w:val="00953305"/>
    <w:rsid w:val="009533C1"/>
    <w:rsid w:val="00953AA6"/>
    <w:rsid w:val="00954411"/>
    <w:rsid w:val="00955F81"/>
    <w:rsid w:val="009568F0"/>
    <w:rsid w:val="00956AA6"/>
    <w:rsid w:val="00957B8D"/>
    <w:rsid w:val="009620DD"/>
    <w:rsid w:val="0096344E"/>
    <w:rsid w:val="0096690D"/>
    <w:rsid w:val="00966B47"/>
    <w:rsid w:val="009766AC"/>
    <w:rsid w:val="00977421"/>
    <w:rsid w:val="0097761A"/>
    <w:rsid w:val="00977B8A"/>
    <w:rsid w:val="00983D07"/>
    <w:rsid w:val="00984423"/>
    <w:rsid w:val="00984554"/>
    <w:rsid w:val="00986D97"/>
    <w:rsid w:val="00987B82"/>
    <w:rsid w:val="009906B4"/>
    <w:rsid w:val="00991CA2"/>
    <w:rsid w:val="00992959"/>
    <w:rsid w:val="00993AEC"/>
    <w:rsid w:val="00996BB1"/>
    <w:rsid w:val="009974FD"/>
    <w:rsid w:val="00997952"/>
    <w:rsid w:val="009A095D"/>
    <w:rsid w:val="009A1DBB"/>
    <w:rsid w:val="009A239F"/>
    <w:rsid w:val="009A38C4"/>
    <w:rsid w:val="009A4114"/>
    <w:rsid w:val="009A47E6"/>
    <w:rsid w:val="009A4F1F"/>
    <w:rsid w:val="009A6335"/>
    <w:rsid w:val="009A68D0"/>
    <w:rsid w:val="009A69BB"/>
    <w:rsid w:val="009A72BB"/>
    <w:rsid w:val="009B08CA"/>
    <w:rsid w:val="009B14AC"/>
    <w:rsid w:val="009B159C"/>
    <w:rsid w:val="009B32A4"/>
    <w:rsid w:val="009B408D"/>
    <w:rsid w:val="009B4F56"/>
    <w:rsid w:val="009B7311"/>
    <w:rsid w:val="009C0FBC"/>
    <w:rsid w:val="009C2842"/>
    <w:rsid w:val="009C4EC3"/>
    <w:rsid w:val="009C5032"/>
    <w:rsid w:val="009C69CB"/>
    <w:rsid w:val="009C7462"/>
    <w:rsid w:val="009C7E53"/>
    <w:rsid w:val="009D34C0"/>
    <w:rsid w:val="009D4F0D"/>
    <w:rsid w:val="009D53D4"/>
    <w:rsid w:val="009E07CC"/>
    <w:rsid w:val="009E0AD0"/>
    <w:rsid w:val="009E11B3"/>
    <w:rsid w:val="009E1E3B"/>
    <w:rsid w:val="009E3675"/>
    <w:rsid w:val="009E3C5E"/>
    <w:rsid w:val="009E4D3B"/>
    <w:rsid w:val="009E4DD2"/>
    <w:rsid w:val="009E57CF"/>
    <w:rsid w:val="009E59BC"/>
    <w:rsid w:val="009E59D6"/>
    <w:rsid w:val="009E75BB"/>
    <w:rsid w:val="009E79DB"/>
    <w:rsid w:val="009F0E76"/>
    <w:rsid w:val="009F1BA3"/>
    <w:rsid w:val="009F2FD1"/>
    <w:rsid w:val="009F390D"/>
    <w:rsid w:val="009F471E"/>
    <w:rsid w:val="009F50E3"/>
    <w:rsid w:val="009F5253"/>
    <w:rsid w:val="009F54C0"/>
    <w:rsid w:val="009F5816"/>
    <w:rsid w:val="00A01DB8"/>
    <w:rsid w:val="00A0205D"/>
    <w:rsid w:val="00A0658C"/>
    <w:rsid w:val="00A06F42"/>
    <w:rsid w:val="00A06F5B"/>
    <w:rsid w:val="00A071FB"/>
    <w:rsid w:val="00A110FD"/>
    <w:rsid w:val="00A11690"/>
    <w:rsid w:val="00A1172E"/>
    <w:rsid w:val="00A11BB8"/>
    <w:rsid w:val="00A13880"/>
    <w:rsid w:val="00A14EB5"/>
    <w:rsid w:val="00A152A4"/>
    <w:rsid w:val="00A15951"/>
    <w:rsid w:val="00A168B7"/>
    <w:rsid w:val="00A237BB"/>
    <w:rsid w:val="00A23F7A"/>
    <w:rsid w:val="00A24CA9"/>
    <w:rsid w:val="00A252AC"/>
    <w:rsid w:val="00A26AFA"/>
    <w:rsid w:val="00A27E9E"/>
    <w:rsid w:val="00A309A9"/>
    <w:rsid w:val="00A32DB0"/>
    <w:rsid w:val="00A331A0"/>
    <w:rsid w:val="00A33724"/>
    <w:rsid w:val="00A34FCD"/>
    <w:rsid w:val="00A35A6F"/>
    <w:rsid w:val="00A36B22"/>
    <w:rsid w:val="00A36C68"/>
    <w:rsid w:val="00A3741A"/>
    <w:rsid w:val="00A37AFC"/>
    <w:rsid w:val="00A4184E"/>
    <w:rsid w:val="00A429E0"/>
    <w:rsid w:val="00A43538"/>
    <w:rsid w:val="00A44DA0"/>
    <w:rsid w:val="00A46BEC"/>
    <w:rsid w:val="00A47873"/>
    <w:rsid w:val="00A524BD"/>
    <w:rsid w:val="00A53438"/>
    <w:rsid w:val="00A56B86"/>
    <w:rsid w:val="00A57421"/>
    <w:rsid w:val="00A603D5"/>
    <w:rsid w:val="00A6138F"/>
    <w:rsid w:val="00A61A7A"/>
    <w:rsid w:val="00A6202E"/>
    <w:rsid w:val="00A6357F"/>
    <w:rsid w:val="00A64CED"/>
    <w:rsid w:val="00A654A2"/>
    <w:rsid w:val="00A7007F"/>
    <w:rsid w:val="00A70278"/>
    <w:rsid w:val="00A70A9E"/>
    <w:rsid w:val="00A70F07"/>
    <w:rsid w:val="00A71B0D"/>
    <w:rsid w:val="00A72490"/>
    <w:rsid w:val="00A735E6"/>
    <w:rsid w:val="00A73656"/>
    <w:rsid w:val="00A73DA9"/>
    <w:rsid w:val="00A75D76"/>
    <w:rsid w:val="00A8012B"/>
    <w:rsid w:val="00A8194D"/>
    <w:rsid w:val="00A845C7"/>
    <w:rsid w:val="00A851D1"/>
    <w:rsid w:val="00A851EB"/>
    <w:rsid w:val="00A854C1"/>
    <w:rsid w:val="00A870CA"/>
    <w:rsid w:val="00A87217"/>
    <w:rsid w:val="00A87C3A"/>
    <w:rsid w:val="00A92D9B"/>
    <w:rsid w:val="00A94E6A"/>
    <w:rsid w:val="00A97A29"/>
    <w:rsid w:val="00A97A68"/>
    <w:rsid w:val="00AA013F"/>
    <w:rsid w:val="00AA0311"/>
    <w:rsid w:val="00AA0C0C"/>
    <w:rsid w:val="00AA0E96"/>
    <w:rsid w:val="00AA5C50"/>
    <w:rsid w:val="00AA5ED4"/>
    <w:rsid w:val="00AA79D8"/>
    <w:rsid w:val="00AB0633"/>
    <w:rsid w:val="00AB091A"/>
    <w:rsid w:val="00AB353C"/>
    <w:rsid w:val="00AB4BE6"/>
    <w:rsid w:val="00AB531F"/>
    <w:rsid w:val="00AB6656"/>
    <w:rsid w:val="00AC1BBC"/>
    <w:rsid w:val="00AC22BF"/>
    <w:rsid w:val="00AC2600"/>
    <w:rsid w:val="00AC3A3A"/>
    <w:rsid w:val="00AC4AFF"/>
    <w:rsid w:val="00AC65A1"/>
    <w:rsid w:val="00AC7AF4"/>
    <w:rsid w:val="00AD348E"/>
    <w:rsid w:val="00AD3DD5"/>
    <w:rsid w:val="00AE0153"/>
    <w:rsid w:val="00AE1349"/>
    <w:rsid w:val="00AE3239"/>
    <w:rsid w:val="00AE4560"/>
    <w:rsid w:val="00AE5041"/>
    <w:rsid w:val="00AE7C32"/>
    <w:rsid w:val="00AE7F95"/>
    <w:rsid w:val="00AF27A9"/>
    <w:rsid w:val="00AF2CF1"/>
    <w:rsid w:val="00AF2D32"/>
    <w:rsid w:val="00AF360B"/>
    <w:rsid w:val="00AF40C7"/>
    <w:rsid w:val="00AF48FB"/>
    <w:rsid w:val="00AF641C"/>
    <w:rsid w:val="00AF66E6"/>
    <w:rsid w:val="00AF7D2E"/>
    <w:rsid w:val="00B00624"/>
    <w:rsid w:val="00B00746"/>
    <w:rsid w:val="00B015E3"/>
    <w:rsid w:val="00B026C0"/>
    <w:rsid w:val="00B0470F"/>
    <w:rsid w:val="00B11E0C"/>
    <w:rsid w:val="00B133E9"/>
    <w:rsid w:val="00B13479"/>
    <w:rsid w:val="00B14BF8"/>
    <w:rsid w:val="00B167FD"/>
    <w:rsid w:val="00B20935"/>
    <w:rsid w:val="00B22A79"/>
    <w:rsid w:val="00B22D45"/>
    <w:rsid w:val="00B260AF"/>
    <w:rsid w:val="00B31398"/>
    <w:rsid w:val="00B32385"/>
    <w:rsid w:val="00B324EB"/>
    <w:rsid w:val="00B339B6"/>
    <w:rsid w:val="00B35E73"/>
    <w:rsid w:val="00B37D85"/>
    <w:rsid w:val="00B41A2D"/>
    <w:rsid w:val="00B41FA8"/>
    <w:rsid w:val="00B43E3E"/>
    <w:rsid w:val="00B44ABC"/>
    <w:rsid w:val="00B45404"/>
    <w:rsid w:val="00B46566"/>
    <w:rsid w:val="00B465D6"/>
    <w:rsid w:val="00B4770F"/>
    <w:rsid w:val="00B4780A"/>
    <w:rsid w:val="00B505E2"/>
    <w:rsid w:val="00B51BDC"/>
    <w:rsid w:val="00B528FA"/>
    <w:rsid w:val="00B539DE"/>
    <w:rsid w:val="00B53D41"/>
    <w:rsid w:val="00B55968"/>
    <w:rsid w:val="00B55E89"/>
    <w:rsid w:val="00B566D9"/>
    <w:rsid w:val="00B60E0C"/>
    <w:rsid w:val="00B61516"/>
    <w:rsid w:val="00B6161E"/>
    <w:rsid w:val="00B62657"/>
    <w:rsid w:val="00B64683"/>
    <w:rsid w:val="00B65BA0"/>
    <w:rsid w:val="00B6659E"/>
    <w:rsid w:val="00B75517"/>
    <w:rsid w:val="00B76E7A"/>
    <w:rsid w:val="00B76FB0"/>
    <w:rsid w:val="00B7789F"/>
    <w:rsid w:val="00B80202"/>
    <w:rsid w:val="00B8273D"/>
    <w:rsid w:val="00B82CE2"/>
    <w:rsid w:val="00B82D7E"/>
    <w:rsid w:val="00B83BAD"/>
    <w:rsid w:val="00B84903"/>
    <w:rsid w:val="00B8528A"/>
    <w:rsid w:val="00B854CC"/>
    <w:rsid w:val="00B91481"/>
    <w:rsid w:val="00B94003"/>
    <w:rsid w:val="00B94457"/>
    <w:rsid w:val="00B96C6D"/>
    <w:rsid w:val="00B9700A"/>
    <w:rsid w:val="00B97CF9"/>
    <w:rsid w:val="00B97E0D"/>
    <w:rsid w:val="00BA0664"/>
    <w:rsid w:val="00BA17D5"/>
    <w:rsid w:val="00BA282A"/>
    <w:rsid w:val="00BA2F5B"/>
    <w:rsid w:val="00BA4082"/>
    <w:rsid w:val="00BA4B09"/>
    <w:rsid w:val="00BA591D"/>
    <w:rsid w:val="00BB0122"/>
    <w:rsid w:val="00BB07FC"/>
    <w:rsid w:val="00BB099F"/>
    <w:rsid w:val="00BB0D03"/>
    <w:rsid w:val="00BB307D"/>
    <w:rsid w:val="00BB5895"/>
    <w:rsid w:val="00BB74A5"/>
    <w:rsid w:val="00BB75AF"/>
    <w:rsid w:val="00BC195E"/>
    <w:rsid w:val="00BC261C"/>
    <w:rsid w:val="00BC34B3"/>
    <w:rsid w:val="00BC40EC"/>
    <w:rsid w:val="00BC496E"/>
    <w:rsid w:val="00BC4FA2"/>
    <w:rsid w:val="00BC5DD5"/>
    <w:rsid w:val="00BC63FF"/>
    <w:rsid w:val="00BC773C"/>
    <w:rsid w:val="00BD0CEB"/>
    <w:rsid w:val="00BD2420"/>
    <w:rsid w:val="00BD31D0"/>
    <w:rsid w:val="00BD36DC"/>
    <w:rsid w:val="00BD3764"/>
    <w:rsid w:val="00BD3B1F"/>
    <w:rsid w:val="00BD3CAD"/>
    <w:rsid w:val="00BD5387"/>
    <w:rsid w:val="00BD783E"/>
    <w:rsid w:val="00BD7ECC"/>
    <w:rsid w:val="00BE117C"/>
    <w:rsid w:val="00BE15EA"/>
    <w:rsid w:val="00BE2385"/>
    <w:rsid w:val="00BE32DE"/>
    <w:rsid w:val="00BE4424"/>
    <w:rsid w:val="00BE4680"/>
    <w:rsid w:val="00BE5341"/>
    <w:rsid w:val="00BE5D13"/>
    <w:rsid w:val="00BE7C01"/>
    <w:rsid w:val="00BE7E9F"/>
    <w:rsid w:val="00BF05A6"/>
    <w:rsid w:val="00BF138E"/>
    <w:rsid w:val="00BF1ADD"/>
    <w:rsid w:val="00BF2EF2"/>
    <w:rsid w:val="00BF2FC2"/>
    <w:rsid w:val="00BF3431"/>
    <w:rsid w:val="00BF381D"/>
    <w:rsid w:val="00BF3E8E"/>
    <w:rsid w:val="00BF542A"/>
    <w:rsid w:val="00BF5C75"/>
    <w:rsid w:val="00BF68EE"/>
    <w:rsid w:val="00BF69D8"/>
    <w:rsid w:val="00BF77DF"/>
    <w:rsid w:val="00BF79FE"/>
    <w:rsid w:val="00C001D3"/>
    <w:rsid w:val="00C007BA"/>
    <w:rsid w:val="00C00A9C"/>
    <w:rsid w:val="00C01233"/>
    <w:rsid w:val="00C01BB5"/>
    <w:rsid w:val="00C02909"/>
    <w:rsid w:val="00C04761"/>
    <w:rsid w:val="00C048EF"/>
    <w:rsid w:val="00C055F8"/>
    <w:rsid w:val="00C063A1"/>
    <w:rsid w:val="00C076DC"/>
    <w:rsid w:val="00C07899"/>
    <w:rsid w:val="00C10363"/>
    <w:rsid w:val="00C113F3"/>
    <w:rsid w:val="00C15011"/>
    <w:rsid w:val="00C15065"/>
    <w:rsid w:val="00C15285"/>
    <w:rsid w:val="00C16A87"/>
    <w:rsid w:val="00C175BD"/>
    <w:rsid w:val="00C17D00"/>
    <w:rsid w:val="00C213D1"/>
    <w:rsid w:val="00C2295C"/>
    <w:rsid w:val="00C2477F"/>
    <w:rsid w:val="00C26667"/>
    <w:rsid w:val="00C30A17"/>
    <w:rsid w:val="00C31F9D"/>
    <w:rsid w:val="00C33442"/>
    <w:rsid w:val="00C35A93"/>
    <w:rsid w:val="00C40C63"/>
    <w:rsid w:val="00C41427"/>
    <w:rsid w:val="00C41571"/>
    <w:rsid w:val="00C422DA"/>
    <w:rsid w:val="00C43493"/>
    <w:rsid w:val="00C44DCF"/>
    <w:rsid w:val="00C45C97"/>
    <w:rsid w:val="00C468BD"/>
    <w:rsid w:val="00C50DBF"/>
    <w:rsid w:val="00C5366A"/>
    <w:rsid w:val="00C540CC"/>
    <w:rsid w:val="00C55759"/>
    <w:rsid w:val="00C55E01"/>
    <w:rsid w:val="00C56D16"/>
    <w:rsid w:val="00C56EA3"/>
    <w:rsid w:val="00C62970"/>
    <w:rsid w:val="00C62C00"/>
    <w:rsid w:val="00C658A0"/>
    <w:rsid w:val="00C70D10"/>
    <w:rsid w:val="00C727C3"/>
    <w:rsid w:val="00C74037"/>
    <w:rsid w:val="00C748C2"/>
    <w:rsid w:val="00C74BA9"/>
    <w:rsid w:val="00C7580C"/>
    <w:rsid w:val="00C77C40"/>
    <w:rsid w:val="00C77CF4"/>
    <w:rsid w:val="00C81DDE"/>
    <w:rsid w:val="00C82751"/>
    <w:rsid w:val="00C83C98"/>
    <w:rsid w:val="00C83FA4"/>
    <w:rsid w:val="00C84058"/>
    <w:rsid w:val="00C86B11"/>
    <w:rsid w:val="00C86C43"/>
    <w:rsid w:val="00C86EA7"/>
    <w:rsid w:val="00C86FB2"/>
    <w:rsid w:val="00C912FB"/>
    <w:rsid w:val="00C922F7"/>
    <w:rsid w:val="00C92BAA"/>
    <w:rsid w:val="00C92D63"/>
    <w:rsid w:val="00C93EEC"/>
    <w:rsid w:val="00C9417E"/>
    <w:rsid w:val="00C94D20"/>
    <w:rsid w:val="00C97186"/>
    <w:rsid w:val="00CA040E"/>
    <w:rsid w:val="00CA2BBC"/>
    <w:rsid w:val="00CA2FDE"/>
    <w:rsid w:val="00CA33EC"/>
    <w:rsid w:val="00CA429C"/>
    <w:rsid w:val="00CA62FA"/>
    <w:rsid w:val="00CA6A71"/>
    <w:rsid w:val="00CA6D27"/>
    <w:rsid w:val="00CA6DA6"/>
    <w:rsid w:val="00CA73DC"/>
    <w:rsid w:val="00CB0403"/>
    <w:rsid w:val="00CB0AA7"/>
    <w:rsid w:val="00CB2B86"/>
    <w:rsid w:val="00CB3FF8"/>
    <w:rsid w:val="00CB4711"/>
    <w:rsid w:val="00CB62D2"/>
    <w:rsid w:val="00CB659D"/>
    <w:rsid w:val="00CB66E1"/>
    <w:rsid w:val="00CB7A06"/>
    <w:rsid w:val="00CB7AFB"/>
    <w:rsid w:val="00CC08C3"/>
    <w:rsid w:val="00CC0F7B"/>
    <w:rsid w:val="00CC1226"/>
    <w:rsid w:val="00CC160E"/>
    <w:rsid w:val="00CC3062"/>
    <w:rsid w:val="00CC42CC"/>
    <w:rsid w:val="00CC6821"/>
    <w:rsid w:val="00CD0BC0"/>
    <w:rsid w:val="00CD0F2D"/>
    <w:rsid w:val="00CD1568"/>
    <w:rsid w:val="00CD22A1"/>
    <w:rsid w:val="00CD4C3C"/>
    <w:rsid w:val="00CD53FC"/>
    <w:rsid w:val="00CD54FB"/>
    <w:rsid w:val="00CD6641"/>
    <w:rsid w:val="00CD6895"/>
    <w:rsid w:val="00CD7BE9"/>
    <w:rsid w:val="00CD7C3C"/>
    <w:rsid w:val="00CE0083"/>
    <w:rsid w:val="00CE0435"/>
    <w:rsid w:val="00CE272B"/>
    <w:rsid w:val="00CE3301"/>
    <w:rsid w:val="00CE52B3"/>
    <w:rsid w:val="00CE56DF"/>
    <w:rsid w:val="00CE5C4D"/>
    <w:rsid w:val="00CE62AE"/>
    <w:rsid w:val="00CE7EF4"/>
    <w:rsid w:val="00CF0525"/>
    <w:rsid w:val="00CF12B7"/>
    <w:rsid w:val="00CF2E35"/>
    <w:rsid w:val="00CF767D"/>
    <w:rsid w:val="00D01708"/>
    <w:rsid w:val="00D01D38"/>
    <w:rsid w:val="00D03B5C"/>
    <w:rsid w:val="00D03B6B"/>
    <w:rsid w:val="00D05FF5"/>
    <w:rsid w:val="00D06CB1"/>
    <w:rsid w:val="00D07427"/>
    <w:rsid w:val="00D10025"/>
    <w:rsid w:val="00D119E1"/>
    <w:rsid w:val="00D142DF"/>
    <w:rsid w:val="00D159C4"/>
    <w:rsid w:val="00D15E55"/>
    <w:rsid w:val="00D178A8"/>
    <w:rsid w:val="00D200E5"/>
    <w:rsid w:val="00D21CEF"/>
    <w:rsid w:val="00D227C1"/>
    <w:rsid w:val="00D2582C"/>
    <w:rsid w:val="00D25ADF"/>
    <w:rsid w:val="00D25D7B"/>
    <w:rsid w:val="00D27C1F"/>
    <w:rsid w:val="00D3198D"/>
    <w:rsid w:val="00D33135"/>
    <w:rsid w:val="00D343C2"/>
    <w:rsid w:val="00D34A62"/>
    <w:rsid w:val="00D34BF2"/>
    <w:rsid w:val="00D34FD8"/>
    <w:rsid w:val="00D36967"/>
    <w:rsid w:val="00D40395"/>
    <w:rsid w:val="00D40489"/>
    <w:rsid w:val="00D40CED"/>
    <w:rsid w:val="00D40D21"/>
    <w:rsid w:val="00D44877"/>
    <w:rsid w:val="00D44AA1"/>
    <w:rsid w:val="00D44F21"/>
    <w:rsid w:val="00D452F9"/>
    <w:rsid w:val="00D46FD6"/>
    <w:rsid w:val="00D47103"/>
    <w:rsid w:val="00D4713C"/>
    <w:rsid w:val="00D51ABD"/>
    <w:rsid w:val="00D52FA8"/>
    <w:rsid w:val="00D53B11"/>
    <w:rsid w:val="00D54540"/>
    <w:rsid w:val="00D54F33"/>
    <w:rsid w:val="00D5555D"/>
    <w:rsid w:val="00D5583E"/>
    <w:rsid w:val="00D559C5"/>
    <w:rsid w:val="00D56991"/>
    <w:rsid w:val="00D5737C"/>
    <w:rsid w:val="00D57852"/>
    <w:rsid w:val="00D57A20"/>
    <w:rsid w:val="00D6175C"/>
    <w:rsid w:val="00D629F2"/>
    <w:rsid w:val="00D62C44"/>
    <w:rsid w:val="00D64536"/>
    <w:rsid w:val="00D649BC"/>
    <w:rsid w:val="00D65D18"/>
    <w:rsid w:val="00D662A0"/>
    <w:rsid w:val="00D669AA"/>
    <w:rsid w:val="00D739A9"/>
    <w:rsid w:val="00D73AEC"/>
    <w:rsid w:val="00D7474C"/>
    <w:rsid w:val="00D75FED"/>
    <w:rsid w:val="00D77B36"/>
    <w:rsid w:val="00D803E8"/>
    <w:rsid w:val="00D85880"/>
    <w:rsid w:val="00D86446"/>
    <w:rsid w:val="00D86C38"/>
    <w:rsid w:val="00D872DE"/>
    <w:rsid w:val="00D91D42"/>
    <w:rsid w:val="00D92359"/>
    <w:rsid w:val="00D9235C"/>
    <w:rsid w:val="00D92DBB"/>
    <w:rsid w:val="00D931AC"/>
    <w:rsid w:val="00D9428D"/>
    <w:rsid w:val="00D95D4A"/>
    <w:rsid w:val="00D96E48"/>
    <w:rsid w:val="00D972B1"/>
    <w:rsid w:val="00D97734"/>
    <w:rsid w:val="00D97F80"/>
    <w:rsid w:val="00DA01A3"/>
    <w:rsid w:val="00DA05CA"/>
    <w:rsid w:val="00DA06CA"/>
    <w:rsid w:val="00DA0AC5"/>
    <w:rsid w:val="00DA1F3B"/>
    <w:rsid w:val="00DA5729"/>
    <w:rsid w:val="00DA67EF"/>
    <w:rsid w:val="00DA701D"/>
    <w:rsid w:val="00DA7AFB"/>
    <w:rsid w:val="00DB07FC"/>
    <w:rsid w:val="00DB2E6B"/>
    <w:rsid w:val="00DB3494"/>
    <w:rsid w:val="00DB4B7D"/>
    <w:rsid w:val="00DB7C06"/>
    <w:rsid w:val="00DB7FF2"/>
    <w:rsid w:val="00DC0193"/>
    <w:rsid w:val="00DC0AE9"/>
    <w:rsid w:val="00DC0F17"/>
    <w:rsid w:val="00DC1A41"/>
    <w:rsid w:val="00DC257B"/>
    <w:rsid w:val="00DC2AA9"/>
    <w:rsid w:val="00DC4C41"/>
    <w:rsid w:val="00DC5A64"/>
    <w:rsid w:val="00DC645C"/>
    <w:rsid w:val="00DD0318"/>
    <w:rsid w:val="00DD0B87"/>
    <w:rsid w:val="00DD2224"/>
    <w:rsid w:val="00DD2D67"/>
    <w:rsid w:val="00DD3074"/>
    <w:rsid w:val="00DD30AA"/>
    <w:rsid w:val="00DD36E6"/>
    <w:rsid w:val="00DD37AC"/>
    <w:rsid w:val="00DD4609"/>
    <w:rsid w:val="00DD7B6D"/>
    <w:rsid w:val="00DE1160"/>
    <w:rsid w:val="00DE18C3"/>
    <w:rsid w:val="00DE27E9"/>
    <w:rsid w:val="00DE5700"/>
    <w:rsid w:val="00DE6801"/>
    <w:rsid w:val="00DE7BB3"/>
    <w:rsid w:val="00DF0899"/>
    <w:rsid w:val="00DF1E8F"/>
    <w:rsid w:val="00DF2B37"/>
    <w:rsid w:val="00DF2C04"/>
    <w:rsid w:val="00DF2C51"/>
    <w:rsid w:val="00DF3470"/>
    <w:rsid w:val="00DF3FBD"/>
    <w:rsid w:val="00E0134D"/>
    <w:rsid w:val="00E013D5"/>
    <w:rsid w:val="00E016B7"/>
    <w:rsid w:val="00E0189C"/>
    <w:rsid w:val="00E02904"/>
    <w:rsid w:val="00E0570F"/>
    <w:rsid w:val="00E07D47"/>
    <w:rsid w:val="00E109A5"/>
    <w:rsid w:val="00E1246F"/>
    <w:rsid w:val="00E13118"/>
    <w:rsid w:val="00E13EBD"/>
    <w:rsid w:val="00E17C9F"/>
    <w:rsid w:val="00E202F4"/>
    <w:rsid w:val="00E205BA"/>
    <w:rsid w:val="00E210FE"/>
    <w:rsid w:val="00E212E7"/>
    <w:rsid w:val="00E21421"/>
    <w:rsid w:val="00E253EA"/>
    <w:rsid w:val="00E301A5"/>
    <w:rsid w:val="00E305B1"/>
    <w:rsid w:val="00E320A5"/>
    <w:rsid w:val="00E3433D"/>
    <w:rsid w:val="00E3517F"/>
    <w:rsid w:val="00E3614C"/>
    <w:rsid w:val="00E371C8"/>
    <w:rsid w:val="00E40A6C"/>
    <w:rsid w:val="00E40BF5"/>
    <w:rsid w:val="00E427D0"/>
    <w:rsid w:val="00E432F5"/>
    <w:rsid w:val="00E43F4C"/>
    <w:rsid w:val="00E44569"/>
    <w:rsid w:val="00E44E50"/>
    <w:rsid w:val="00E45366"/>
    <w:rsid w:val="00E511A0"/>
    <w:rsid w:val="00E53DD6"/>
    <w:rsid w:val="00E54DD0"/>
    <w:rsid w:val="00E55681"/>
    <w:rsid w:val="00E55DF2"/>
    <w:rsid w:val="00E56026"/>
    <w:rsid w:val="00E56819"/>
    <w:rsid w:val="00E570E8"/>
    <w:rsid w:val="00E5753C"/>
    <w:rsid w:val="00E6063A"/>
    <w:rsid w:val="00E65978"/>
    <w:rsid w:val="00E65B69"/>
    <w:rsid w:val="00E66FBB"/>
    <w:rsid w:val="00E71737"/>
    <w:rsid w:val="00E749F0"/>
    <w:rsid w:val="00E75715"/>
    <w:rsid w:val="00E76BE8"/>
    <w:rsid w:val="00E77261"/>
    <w:rsid w:val="00E82596"/>
    <w:rsid w:val="00E82CD5"/>
    <w:rsid w:val="00E833E7"/>
    <w:rsid w:val="00E83B1F"/>
    <w:rsid w:val="00E92086"/>
    <w:rsid w:val="00E93386"/>
    <w:rsid w:val="00E939A9"/>
    <w:rsid w:val="00E93DB3"/>
    <w:rsid w:val="00E96DD6"/>
    <w:rsid w:val="00EA014C"/>
    <w:rsid w:val="00EA0226"/>
    <w:rsid w:val="00EA0357"/>
    <w:rsid w:val="00EA156A"/>
    <w:rsid w:val="00EA287A"/>
    <w:rsid w:val="00EA2C69"/>
    <w:rsid w:val="00EA2C7B"/>
    <w:rsid w:val="00EA330F"/>
    <w:rsid w:val="00EA3913"/>
    <w:rsid w:val="00EA492C"/>
    <w:rsid w:val="00EA546F"/>
    <w:rsid w:val="00EA574F"/>
    <w:rsid w:val="00EA7F6A"/>
    <w:rsid w:val="00EB1B24"/>
    <w:rsid w:val="00EB2A2E"/>
    <w:rsid w:val="00EB2A90"/>
    <w:rsid w:val="00EB2CEA"/>
    <w:rsid w:val="00EB39C6"/>
    <w:rsid w:val="00EB4577"/>
    <w:rsid w:val="00EB4672"/>
    <w:rsid w:val="00EB5F52"/>
    <w:rsid w:val="00EB632F"/>
    <w:rsid w:val="00EB7739"/>
    <w:rsid w:val="00EB7C38"/>
    <w:rsid w:val="00EC0104"/>
    <w:rsid w:val="00EC0D00"/>
    <w:rsid w:val="00EC192C"/>
    <w:rsid w:val="00EC1D0C"/>
    <w:rsid w:val="00EC4084"/>
    <w:rsid w:val="00EC43A9"/>
    <w:rsid w:val="00EC6C95"/>
    <w:rsid w:val="00ED1498"/>
    <w:rsid w:val="00ED2ECA"/>
    <w:rsid w:val="00ED3065"/>
    <w:rsid w:val="00ED34D4"/>
    <w:rsid w:val="00ED3CA5"/>
    <w:rsid w:val="00ED45F2"/>
    <w:rsid w:val="00ED50EC"/>
    <w:rsid w:val="00ED6BCA"/>
    <w:rsid w:val="00ED733A"/>
    <w:rsid w:val="00EE0020"/>
    <w:rsid w:val="00EE0128"/>
    <w:rsid w:val="00EE0CF4"/>
    <w:rsid w:val="00EE1B7B"/>
    <w:rsid w:val="00EE1C9E"/>
    <w:rsid w:val="00EE75AF"/>
    <w:rsid w:val="00EE7A56"/>
    <w:rsid w:val="00EF233C"/>
    <w:rsid w:val="00EF2E52"/>
    <w:rsid w:val="00EF3B15"/>
    <w:rsid w:val="00EF45E5"/>
    <w:rsid w:val="00EF4832"/>
    <w:rsid w:val="00EF4BC6"/>
    <w:rsid w:val="00EF6574"/>
    <w:rsid w:val="00EF69A0"/>
    <w:rsid w:val="00EF78D5"/>
    <w:rsid w:val="00EF7CD8"/>
    <w:rsid w:val="00EF7FF3"/>
    <w:rsid w:val="00F007F8"/>
    <w:rsid w:val="00F037DF"/>
    <w:rsid w:val="00F03A3A"/>
    <w:rsid w:val="00F044D3"/>
    <w:rsid w:val="00F0466B"/>
    <w:rsid w:val="00F066BF"/>
    <w:rsid w:val="00F06CB5"/>
    <w:rsid w:val="00F103EC"/>
    <w:rsid w:val="00F10C04"/>
    <w:rsid w:val="00F10FEA"/>
    <w:rsid w:val="00F11255"/>
    <w:rsid w:val="00F11498"/>
    <w:rsid w:val="00F11C72"/>
    <w:rsid w:val="00F12EC3"/>
    <w:rsid w:val="00F1479F"/>
    <w:rsid w:val="00F156B4"/>
    <w:rsid w:val="00F15772"/>
    <w:rsid w:val="00F17A9B"/>
    <w:rsid w:val="00F2131E"/>
    <w:rsid w:val="00F22381"/>
    <w:rsid w:val="00F242C1"/>
    <w:rsid w:val="00F24F51"/>
    <w:rsid w:val="00F27401"/>
    <w:rsid w:val="00F276D3"/>
    <w:rsid w:val="00F31EDA"/>
    <w:rsid w:val="00F33841"/>
    <w:rsid w:val="00F342D7"/>
    <w:rsid w:val="00F348C4"/>
    <w:rsid w:val="00F36FF2"/>
    <w:rsid w:val="00F41228"/>
    <w:rsid w:val="00F413EE"/>
    <w:rsid w:val="00F41E01"/>
    <w:rsid w:val="00F42493"/>
    <w:rsid w:val="00F44E85"/>
    <w:rsid w:val="00F4543B"/>
    <w:rsid w:val="00F46053"/>
    <w:rsid w:val="00F463F6"/>
    <w:rsid w:val="00F46CDD"/>
    <w:rsid w:val="00F470B1"/>
    <w:rsid w:val="00F470C9"/>
    <w:rsid w:val="00F506B7"/>
    <w:rsid w:val="00F56814"/>
    <w:rsid w:val="00F5748F"/>
    <w:rsid w:val="00F57D3B"/>
    <w:rsid w:val="00F6217D"/>
    <w:rsid w:val="00F6425E"/>
    <w:rsid w:val="00F651C3"/>
    <w:rsid w:val="00F66195"/>
    <w:rsid w:val="00F70596"/>
    <w:rsid w:val="00F7068F"/>
    <w:rsid w:val="00F752FE"/>
    <w:rsid w:val="00F800F8"/>
    <w:rsid w:val="00F82570"/>
    <w:rsid w:val="00F828A6"/>
    <w:rsid w:val="00F84DCA"/>
    <w:rsid w:val="00F862CB"/>
    <w:rsid w:val="00F86D96"/>
    <w:rsid w:val="00F90F96"/>
    <w:rsid w:val="00F92BED"/>
    <w:rsid w:val="00F967D5"/>
    <w:rsid w:val="00F96DE4"/>
    <w:rsid w:val="00FA0E02"/>
    <w:rsid w:val="00FA145B"/>
    <w:rsid w:val="00FA474F"/>
    <w:rsid w:val="00FA633F"/>
    <w:rsid w:val="00FA6CDE"/>
    <w:rsid w:val="00FA77A2"/>
    <w:rsid w:val="00FA77E1"/>
    <w:rsid w:val="00FB12F1"/>
    <w:rsid w:val="00FB1CC4"/>
    <w:rsid w:val="00FB1F12"/>
    <w:rsid w:val="00FB475F"/>
    <w:rsid w:val="00FB54FA"/>
    <w:rsid w:val="00FB65E5"/>
    <w:rsid w:val="00FB7A2A"/>
    <w:rsid w:val="00FC053C"/>
    <w:rsid w:val="00FC0646"/>
    <w:rsid w:val="00FC2A5D"/>
    <w:rsid w:val="00FC30C6"/>
    <w:rsid w:val="00FC39F7"/>
    <w:rsid w:val="00FC3A2C"/>
    <w:rsid w:val="00FC5C35"/>
    <w:rsid w:val="00FC63C7"/>
    <w:rsid w:val="00FC6459"/>
    <w:rsid w:val="00FC7146"/>
    <w:rsid w:val="00FC76A2"/>
    <w:rsid w:val="00FD11ED"/>
    <w:rsid w:val="00FD140A"/>
    <w:rsid w:val="00FD1414"/>
    <w:rsid w:val="00FD40B4"/>
    <w:rsid w:val="00FD5F9B"/>
    <w:rsid w:val="00FD65C4"/>
    <w:rsid w:val="00FE0389"/>
    <w:rsid w:val="00FE1B44"/>
    <w:rsid w:val="00FE4758"/>
    <w:rsid w:val="00FE5296"/>
    <w:rsid w:val="00FF26A4"/>
    <w:rsid w:val="00FF4901"/>
    <w:rsid w:val="00FF4D46"/>
    <w:rsid w:val="00FF6B2E"/>
    <w:rsid w:val="00FF7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A8EFC"/>
  <w15:docId w15:val="{BC412A2F-BF9A-4719-B385-C1532488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96"/>
    <w:pPr>
      <w:jc w:val="both"/>
    </w:pPr>
    <w:rPr>
      <w:sz w:val="24"/>
      <w:lang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E1"/>
    <w:pPr>
      <w:ind w:left="720"/>
      <w:contextualSpacing/>
    </w:p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eastAsia="ja-JP"/>
    </w:rPr>
  </w:style>
  <w:style w:type="character" w:styleId="FootnoteReference">
    <w:name w:val="footnote reference"/>
    <w:basedOn w:val="DefaultParagraphFont"/>
    <w:uiPriority w:val="99"/>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0"/>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basedOn w:val="Normal"/>
    <w:link w:val="Chapter1Char1"/>
    <w:rsid w:val="006F02AD"/>
    <w:pPr>
      <w:numPr>
        <w:numId w:val="3"/>
      </w:numPr>
    </w:pPr>
  </w:style>
  <w:style w:type="paragraph" w:customStyle="1" w:styleId="Chapter100">
    <w:name w:val="Chapter 10"/>
    <w:basedOn w:val="Normal"/>
    <w:rsid w:val="00070294"/>
    <w:pPr>
      <w:numPr>
        <w:numId w:val="4"/>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5"/>
      </w:numPr>
    </w:pPr>
    <w:rPr>
      <w:snapToGrid w:val="0"/>
      <w:lang w:eastAsia="en-US"/>
    </w:rPr>
  </w:style>
  <w:style w:type="paragraph" w:customStyle="1" w:styleId="Chapter3">
    <w:name w:val="Chapter 3"/>
    <w:basedOn w:val="Chapter1"/>
    <w:link w:val="Chapter3Char1"/>
    <w:rsid w:val="00725975"/>
    <w:pPr>
      <w:numPr>
        <w:numId w:val="6"/>
      </w:numPr>
    </w:pPr>
  </w:style>
  <w:style w:type="paragraph" w:customStyle="1" w:styleId="Chapter4">
    <w:name w:val="Chapter 4"/>
    <w:basedOn w:val="Chapter1"/>
    <w:rsid w:val="00725975"/>
    <w:pPr>
      <w:numPr>
        <w:numId w:val="7"/>
      </w:numPr>
    </w:pPr>
  </w:style>
  <w:style w:type="paragraph" w:customStyle="1" w:styleId="Chapter5">
    <w:name w:val="Chapter 5"/>
    <w:basedOn w:val="Normal"/>
    <w:link w:val="Chapter5Char"/>
    <w:rsid w:val="00725975"/>
    <w:pPr>
      <w:numPr>
        <w:numId w:val="8"/>
      </w:numPr>
    </w:pPr>
  </w:style>
  <w:style w:type="paragraph" w:customStyle="1" w:styleId="Indentbullet">
    <w:name w:val="Indent bullet"/>
    <w:basedOn w:val="Normal"/>
    <w:rsid w:val="00725975"/>
    <w:pPr>
      <w:numPr>
        <w:numId w:val="9"/>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119A0"/>
    <w:pPr>
      <w:ind w:left="1276" w:right="515"/>
    </w:pPr>
    <w:rPr>
      <w:sz w:val="22"/>
      <w:szCs w:val="22"/>
    </w:rPr>
  </w:style>
  <w:style w:type="paragraph" w:styleId="TOC1">
    <w:name w:val="toc 1"/>
    <w:basedOn w:val="Normal"/>
    <w:next w:val="Normal"/>
    <w:autoRedefine/>
    <w:uiPriority w:val="39"/>
    <w:rsid w:val="00673800"/>
    <w:pPr>
      <w:tabs>
        <w:tab w:val="left" w:pos="1701"/>
        <w:tab w:val="right" w:pos="8296"/>
      </w:tabs>
      <w:spacing w:before="360" w:after="240"/>
      <w:ind w:left="1701" w:hanging="1701"/>
      <w:jc w:val="left"/>
    </w:pPr>
    <w:rPr>
      <w:rFonts w:ascii="Times New Roman Bold" w:hAnsi="Times New Roman Bold"/>
      <w:b/>
      <w:szCs w:val="24"/>
    </w:rPr>
  </w:style>
  <w:style w:type="paragraph" w:styleId="TOC2">
    <w:name w:val="toc 2"/>
    <w:basedOn w:val="Normal"/>
    <w:next w:val="Normal"/>
    <w:autoRedefine/>
    <w:uiPriority w:val="39"/>
    <w:rsid w:val="008B4016"/>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673800"/>
    <w:pPr>
      <w:tabs>
        <w:tab w:val="right" w:pos="8302"/>
      </w:tabs>
      <w:spacing w:before="20" w:after="20"/>
      <w:ind w:left="1701"/>
    </w:pPr>
    <w:rPr>
      <w:sz w:val="20"/>
      <w:szCs w:val="22"/>
    </w:rPr>
  </w:style>
  <w:style w:type="numbering" w:customStyle="1" w:styleId="StyleBulletedWingdingssymbol">
    <w:name w:val="Style Bulleted Wingdings (symbol)"/>
    <w:basedOn w:val="NoList"/>
    <w:rsid w:val="00311DBB"/>
    <w:pPr>
      <w:numPr>
        <w:numId w:val="11"/>
      </w:numPr>
    </w:pPr>
  </w:style>
  <w:style w:type="paragraph" w:customStyle="1" w:styleId="Bullets">
    <w:name w:val="Bullets"/>
    <w:basedOn w:val="Bullet"/>
    <w:link w:val="BulletsChar"/>
    <w:rsid w:val="008840A1"/>
    <w:pPr>
      <w:numPr>
        <w:numId w:val="2"/>
      </w:numPr>
      <w:tabs>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73800"/>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3800"/>
    <w:rPr>
      <w:snapToGrid/>
      <w:sz w:val="24"/>
      <w:lang w:eastAsia="en-AU"/>
    </w:rPr>
  </w:style>
  <w:style w:type="character" w:customStyle="1" w:styleId="Chapter5Char">
    <w:name w:val="Chapter 5 Char"/>
    <w:basedOn w:val="DefaultParagraphFont"/>
    <w:link w:val="Chapter5"/>
    <w:rsid w:val="00B45404"/>
    <w:rPr>
      <w:sz w:val="24"/>
      <w:lang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Default">
    <w:name w:val="Default"/>
    <w:rsid w:val="00671017"/>
    <w:pPr>
      <w:autoSpaceDE w:val="0"/>
      <w:autoSpaceDN w:val="0"/>
      <w:adjustRightInd w:val="0"/>
    </w:pPr>
    <w:rPr>
      <w:color w:val="000000"/>
      <w:sz w:val="24"/>
      <w:szCs w:val="24"/>
    </w:rPr>
  </w:style>
  <w:style w:type="paragraph" w:customStyle="1" w:styleId="List-Bullet">
    <w:name w:val="List - Bullet"/>
    <w:basedOn w:val="Normal"/>
    <w:rsid w:val="009E3675"/>
    <w:pPr>
      <w:numPr>
        <w:numId w:val="12"/>
      </w:numPr>
    </w:pPr>
  </w:style>
  <w:style w:type="paragraph" w:customStyle="1" w:styleId="NumberedParagraph">
    <w:name w:val="Numbered Paragraph"/>
    <w:basedOn w:val="Normal"/>
    <w:qFormat/>
    <w:rsid w:val="00905CDA"/>
    <w:pPr>
      <w:numPr>
        <w:numId w:val="13"/>
      </w:numPr>
      <w:spacing w:after="200"/>
    </w:pPr>
    <w:rPr>
      <w:rFonts w:ascii="Verdana" w:eastAsiaTheme="minorHAnsi" w:hAnsi="Verdana" w:cstheme="minorBidi"/>
      <w:sz w:val="20"/>
      <w:szCs w:val="23"/>
      <w:lang w:eastAsia="en-NZ"/>
    </w:rPr>
  </w:style>
  <w:style w:type="character" w:customStyle="1" w:styleId="FootnoteTextChar">
    <w:name w:val="Footnote Text Char"/>
    <w:basedOn w:val="DefaultParagraphFont"/>
    <w:link w:val="FootnoteText"/>
    <w:uiPriority w:val="99"/>
    <w:rsid w:val="00905CDA"/>
    <w:rPr>
      <w:rFonts w:eastAsia="MS Mincho"/>
      <w:sz w:val="18"/>
      <w:szCs w:val="18"/>
      <w:lang w:eastAsia="ja-JP"/>
    </w:rPr>
  </w:style>
  <w:style w:type="character" w:customStyle="1" w:styleId="UnresolvedMention1">
    <w:name w:val="Unresolved Mention1"/>
    <w:basedOn w:val="DefaultParagraphFont"/>
    <w:uiPriority w:val="99"/>
    <w:semiHidden/>
    <w:unhideWhenUsed/>
    <w:rsid w:val="00B91481"/>
    <w:rPr>
      <w:color w:val="808080"/>
      <w:shd w:val="clear" w:color="auto" w:fill="E6E6E6"/>
    </w:rPr>
  </w:style>
  <w:style w:type="paragraph" w:styleId="Revision">
    <w:name w:val="Revision"/>
    <w:hidden/>
    <w:uiPriority w:val="99"/>
    <w:semiHidden/>
    <w:rsid w:val="00BF3431"/>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314333339">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32510035">
      <w:bodyDiv w:val="1"/>
      <w:marLeft w:val="0"/>
      <w:marRight w:val="0"/>
      <w:marTop w:val="0"/>
      <w:marBottom w:val="0"/>
      <w:divBdr>
        <w:top w:val="none" w:sz="0" w:space="0" w:color="auto"/>
        <w:left w:val="none" w:sz="0" w:space="0" w:color="auto"/>
        <w:bottom w:val="none" w:sz="0" w:space="0" w:color="auto"/>
        <w:right w:val="none" w:sz="0" w:space="0" w:color="auto"/>
      </w:divBdr>
    </w:div>
    <w:div w:id="88155490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7B7F-DA1F-475A-AB14-210F572A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5986</Words>
  <Characters>34124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GST and temecommunications services - An officials' issues paper</vt:lpstr>
    </vt:vector>
  </TitlesOfParts>
  <Company>Inland Revenue</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and temecommunications services - An officials' issues paper</dc:title>
  <dc:subject>GST and temecommunications services - An officials' issues paper</dc:subject>
  <dc:creator>Policy and Strategy</dc:creator>
  <cp:lastModifiedBy>Wendy Watkin</cp:lastModifiedBy>
  <cp:revision>2</cp:revision>
  <cp:lastPrinted>2019-05-14T00:23:00Z</cp:lastPrinted>
  <dcterms:created xsi:type="dcterms:W3CDTF">2019-05-15T01:56:00Z</dcterms:created>
  <dcterms:modified xsi:type="dcterms:W3CDTF">2019-05-15T01:56:00Z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1a6335-44fd-45c6-9cef-911b8f60efa4_Enabled">
    <vt:lpwstr>True</vt:lpwstr>
  </property>
  <property fmtid="{D5CDD505-2E9C-101B-9397-08002B2CF9AE}" pid="3" name="MSIP_Label_5d1a6335-44fd-45c6-9cef-911b8f60efa4_SiteId">
    <vt:lpwstr>fb39e3e9-23a9-404e-93a2-b42a87d94f35</vt:lpwstr>
  </property>
  <property fmtid="{D5CDD505-2E9C-101B-9397-08002B2CF9AE}" pid="4" name="MSIP_Label_5d1a6335-44fd-45c6-9cef-911b8f60efa4_Owner">
    <vt:lpwstr>matthew.pilkinton@ird.govt.nz</vt:lpwstr>
  </property>
  <property fmtid="{D5CDD505-2E9C-101B-9397-08002B2CF9AE}" pid="5" name="MSIP_Label_5d1a6335-44fd-45c6-9cef-911b8f60efa4_SetDate">
    <vt:lpwstr>2018-12-12T01:10:05.6678854Z</vt:lpwstr>
  </property>
  <property fmtid="{D5CDD505-2E9C-101B-9397-08002B2CF9AE}" pid="6" name="MSIP_Label_5d1a6335-44fd-45c6-9cef-911b8f60efa4_Name">
    <vt:lpwstr>SENSITIVE</vt:lpwstr>
  </property>
  <property fmtid="{D5CDD505-2E9C-101B-9397-08002B2CF9AE}" pid="7" name="MSIP_Label_5d1a6335-44fd-45c6-9cef-911b8f60efa4_Application">
    <vt:lpwstr>Microsoft Azure Information Protection</vt:lpwstr>
  </property>
  <property fmtid="{D5CDD505-2E9C-101B-9397-08002B2CF9AE}" pid="8" name="MSIP_Label_5d1a6335-44fd-45c6-9cef-911b8f60efa4_Extended_MSFT_Method">
    <vt:lpwstr>Manual</vt:lpwstr>
  </property>
  <property fmtid="{D5CDD505-2E9C-101B-9397-08002B2CF9AE}" pid="9" name="Sensitivity">
    <vt:lpwstr>SENSITIVE</vt:lpwstr>
  </property>
  <property fmtid="{D5CDD505-2E9C-101B-9397-08002B2CF9AE}" pid="10" name="_MarkAsFinal">
    <vt:bool>true</vt:bool>
  </property>
</Properties>
</file>