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C14" w:rsidRPr="00D950E1" w:rsidRDefault="00D1449D" w:rsidP="00D1449D">
      <w:pPr>
        <w:pStyle w:val="TRTitle"/>
        <w:spacing w:before="240" w:after="720"/>
        <w:ind w:left="2835" w:hanging="2835"/>
        <w:outlineLvl w:val="0"/>
      </w:pPr>
      <w:bookmarkStart w:id="0" w:name="_GoBack"/>
      <w:bookmarkEnd w:id="0"/>
      <w:r>
        <w:t>Tax p</w:t>
      </w:r>
      <w:r w:rsidR="00BC5F2C" w:rsidRPr="00D950E1">
        <w:t xml:space="preserve">olicy </w:t>
      </w:r>
      <w:r w:rsidR="00DB0C14" w:rsidRPr="00D950E1">
        <w:t>report:</w:t>
      </w:r>
      <w:r w:rsidR="00DB0C14" w:rsidRPr="00D950E1">
        <w:tab/>
      </w:r>
      <w:bookmarkStart w:id="1" w:name="Subject"/>
      <w:bookmarkEnd w:id="1"/>
      <w:r w:rsidR="004169BD">
        <w:t>Integrity within the R&amp;D Tax Credit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1" w:type="dxa"/>
          <w:right w:w="71" w:type="dxa"/>
        </w:tblCellMar>
        <w:tblLook w:val="0000" w:firstRow="0" w:lastRow="0" w:firstColumn="0" w:lastColumn="0" w:noHBand="0" w:noVBand="0"/>
      </w:tblPr>
      <w:tblGrid>
        <w:gridCol w:w="1914"/>
        <w:gridCol w:w="3260"/>
        <w:gridCol w:w="1985"/>
        <w:gridCol w:w="2551"/>
      </w:tblGrid>
      <w:tr w:rsidR="00DB0C14" w:rsidRPr="00D950E1">
        <w:tc>
          <w:tcPr>
            <w:tcW w:w="1914" w:type="dxa"/>
            <w:vAlign w:val="center"/>
          </w:tcPr>
          <w:p w:rsidR="00DB0C14" w:rsidRPr="00D950E1" w:rsidRDefault="00DB0C14" w:rsidP="00410D77">
            <w:pPr>
              <w:pStyle w:val="TRBodyText"/>
              <w:spacing w:before="60" w:after="60" w:line="240" w:lineRule="auto"/>
              <w:jc w:val="left"/>
              <w:rPr>
                <w:b/>
                <w:sz w:val="20"/>
              </w:rPr>
            </w:pPr>
            <w:r w:rsidRPr="00D950E1">
              <w:rPr>
                <w:b/>
                <w:sz w:val="20"/>
              </w:rPr>
              <w:t>Date:</w:t>
            </w:r>
          </w:p>
        </w:tc>
        <w:tc>
          <w:tcPr>
            <w:tcW w:w="3260" w:type="dxa"/>
            <w:vAlign w:val="center"/>
          </w:tcPr>
          <w:p w:rsidR="00DB0C14" w:rsidRPr="00D950E1" w:rsidRDefault="008D05F2" w:rsidP="00B174F3">
            <w:pPr>
              <w:pStyle w:val="TRBodyText"/>
              <w:spacing w:before="60" w:after="60" w:line="240" w:lineRule="auto"/>
              <w:jc w:val="left"/>
            </w:pPr>
            <w:bookmarkStart w:id="2" w:name="Date"/>
            <w:bookmarkEnd w:id="2"/>
            <w:r>
              <w:t>13</w:t>
            </w:r>
            <w:r w:rsidR="004169BD">
              <w:t xml:space="preserve"> March 2018</w:t>
            </w:r>
          </w:p>
        </w:tc>
        <w:tc>
          <w:tcPr>
            <w:tcW w:w="1985" w:type="dxa"/>
            <w:vAlign w:val="center"/>
          </w:tcPr>
          <w:p w:rsidR="00DB0C14" w:rsidRPr="00D950E1" w:rsidRDefault="00DB0C14" w:rsidP="00410D77">
            <w:pPr>
              <w:pStyle w:val="TRBodyText"/>
              <w:spacing w:before="60" w:after="60" w:line="240" w:lineRule="auto"/>
              <w:jc w:val="left"/>
              <w:rPr>
                <w:b/>
                <w:sz w:val="20"/>
              </w:rPr>
            </w:pPr>
            <w:r w:rsidRPr="00D950E1">
              <w:rPr>
                <w:b/>
                <w:sz w:val="20"/>
              </w:rPr>
              <w:t>Priority:</w:t>
            </w:r>
          </w:p>
        </w:tc>
        <w:tc>
          <w:tcPr>
            <w:tcW w:w="2551" w:type="dxa"/>
            <w:vAlign w:val="center"/>
          </w:tcPr>
          <w:p w:rsidR="00DB0C14" w:rsidRPr="00D950E1" w:rsidRDefault="004169BD" w:rsidP="00410D77">
            <w:pPr>
              <w:pStyle w:val="TRBodyText"/>
              <w:jc w:val="left"/>
            </w:pPr>
            <w:bookmarkStart w:id="3" w:name="Priority"/>
            <w:bookmarkEnd w:id="3"/>
            <w:r>
              <w:t>Medium</w:t>
            </w:r>
          </w:p>
        </w:tc>
      </w:tr>
      <w:tr w:rsidR="00DB0C14" w:rsidRPr="00D950E1">
        <w:tc>
          <w:tcPr>
            <w:tcW w:w="1914" w:type="dxa"/>
            <w:vAlign w:val="center"/>
          </w:tcPr>
          <w:p w:rsidR="00DB0C14" w:rsidRPr="00D950E1" w:rsidRDefault="00FD2316" w:rsidP="00410D77">
            <w:pPr>
              <w:pStyle w:val="TRBodyText"/>
              <w:spacing w:before="60" w:after="60" w:line="240" w:lineRule="auto"/>
              <w:jc w:val="left"/>
              <w:rPr>
                <w:b/>
                <w:sz w:val="20"/>
              </w:rPr>
            </w:pPr>
            <w:r w:rsidRPr="00D950E1">
              <w:rPr>
                <w:b/>
                <w:sz w:val="20"/>
              </w:rPr>
              <w:t>Security l</w:t>
            </w:r>
            <w:r w:rsidR="00DB0C14" w:rsidRPr="00D950E1">
              <w:rPr>
                <w:b/>
                <w:sz w:val="20"/>
              </w:rPr>
              <w:t>evel:</w:t>
            </w:r>
          </w:p>
        </w:tc>
        <w:tc>
          <w:tcPr>
            <w:tcW w:w="3260" w:type="dxa"/>
            <w:vAlign w:val="center"/>
          </w:tcPr>
          <w:p w:rsidR="00DB0C14" w:rsidRPr="00D950E1" w:rsidRDefault="004169BD" w:rsidP="00410D77">
            <w:pPr>
              <w:pStyle w:val="TRBodyText"/>
              <w:spacing w:before="60" w:after="60" w:line="240" w:lineRule="auto"/>
              <w:jc w:val="left"/>
            </w:pPr>
            <w:bookmarkStart w:id="4" w:name="Security"/>
            <w:bookmarkEnd w:id="4"/>
            <w:r>
              <w:t>In Confidence</w:t>
            </w:r>
          </w:p>
        </w:tc>
        <w:tc>
          <w:tcPr>
            <w:tcW w:w="1985" w:type="dxa"/>
            <w:vAlign w:val="center"/>
          </w:tcPr>
          <w:p w:rsidR="00DB0C14" w:rsidRPr="00D950E1" w:rsidRDefault="00FD2316" w:rsidP="00410D77">
            <w:pPr>
              <w:pStyle w:val="TRBodyText"/>
              <w:spacing w:before="60" w:after="60" w:line="240" w:lineRule="auto"/>
              <w:jc w:val="left"/>
              <w:rPr>
                <w:b/>
                <w:sz w:val="20"/>
              </w:rPr>
            </w:pPr>
            <w:r w:rsidRPr="00D950E1">
              <w:rPr>
                <w:b/>
                <w:sz w:val="20"/>
              </w:rPr>
              <w:t>Report n</w:t>
            </w:r>
            <w:r w:rsidR="00DB0C14" w:rsidRPr="00D950E1">
              <w:rPr>
                <w:b/>
                <w:sz w:val="20"/>
              </w:rPr>
              <w:t>o:</w:t>
            </w:r>
          </w:p>
        </w:tc>
        <w:tc>
          <w:tcPr>
            <w:tcW w:w="2551" w:type="dxa"/>
            <w:vAlign w:val="center"/>
          </w:tcPr>
          <w:p w:rsidR="00192C20" w:rsidRDefault="004169BD" w:rsidP="00410D77">
            <w:pPr>
              <w:pStyle w:val="TRBodyText"/>
              <w:jc w:val="left"/>
            </w:pPr>
            <w:bookmarkStart w:id="5" w:name="ReportNumber"/>
            <w:bookmarkStart w:id="6" w:name="ReportPad"/>
            <w:bookmarkEnd w:id="5"/>
            <w:bookmarkEnd w:id="6"/>
            <w:r>
              <w:t>IR2018/</w:t>
            </w:r>
            <w:r w:rsidR="00B174F3">
              <w:t>132</w:t>
            </w:r>
          </w:p>
          <w:p w:rsidR="00BF4385" w:rsidRPr="00D950E1" w:rsidRDefault="00D32284" w:rsidP="00410D77">
            <w:pPr>
              <w:pStyle w:val="TRBodyText"/>
              <w:jc w:val="left"/>
            </w:pPr>
            <w:r>
              <w:t>2465 17-18</w:t>
            </w:r>
          </w:p>
        </w:tc>
      </w:tr>
    </w:tbl>
    <w:p w:rsidR="00DB0C14" w:rsidRPr="00D950E1" w:rsidRDefault="00DB0C14">
      <w:pPr>
        <w:pStyle w:val="TRHeading1"/>
      </w:pPr>
      <w:r w:rsidRPr="00D950E1">
        <w:t>Action sought</w:t>
      </w:r>
    </w:p>
    <w:tbl>
      <w:tblPr>
        <w:tblW w:w="0" w:type="auto"/>
        <w:tblLayout w:type="fixed"/>
        <w:tblCellMar>
          <w:left w:w="71" w:type="dxa"/>
          <w:right w:w="71" w:type="dxa"/>
        </w:tblCellMar>
        <w:tblLook w:val="0000" w:firstRow="0" w:lastRow="0" w:firstColumn="0" w:lastColumn="0" w:noHBand="0" w:noVBand="0"/>
      </w:tblPr>
      <w:tblGrid>
        <w:gridCol w:w="3473"/>
        <w:gridCol w:w="3261"/>
        <w:gridCol w:w="2976"/>
      </w:tblGrid>
      <w:tr w:rsidR="00DB0C14" w:rsidRPr="00D950E1">
        <w:tc>
          <w:tcPr>
            <w:tcW w:w="3473" w:type="dxa"/>
          </w:tcPr>
          <w:p w:rsidR="00DB0C14" w:rsidRPr="00D950E1" w:rsidRDefault="00DB0C14">
            <w:pPr>
              <w:spacing w:after="60"/>
              <w:rPr>
                <w:sz w:val="20"/>
              </w:rPr>
            </w:pPr>
          </w:p>
        </w:tc>
        <w:tc>
          <w:tcPr>
            <w:tcW w:w="3261" w:type="dxa"/>
            <w:tcBorders>
              <w:left w:val="nil"/>
            </w:tcBorders>
          </w:tcPr>
          <w:p w:rsidR="00DB0C14" w:rsidRPr="00D950E1" w:rsidRDefault="00FD2316">
            <w:pPr>
              <w:pStyle w:val="TRBodyText"/>
              <w:spacing w:after="60" w:line="240" w:lineRule="auto"/>
              <w:rPr>
                <w:b/>
                <w:sz w:val="20"/>
              </w:rPr>
            </w:pPr>
            <w:r w:rsidRPr="00D950E1">
              <w:rPr>
                <w:b/>
                <w:sz w:val="20"/>
              </w:rPr>
              <w:t>Action s</w:t>
            </w:r>
            <w:r w:rsidR="00DB0C14" w:rsidRPr="00D950E1">
              <w:rPr>
                <w:b/>
                <w:sz w:val="20"/>
              </w:rPr>
              <w:t>ought</w:t>
            </w:r>
          </w:p>
        </w:tc>
        <w:tc>
          <w:tcPr>
            <w:tcW w:w="2976" w:type="dxa"/>
          </w:tcPr>
          <w:p w:rsidR="00DB0C14" w:rsidRPr="00D950E1" w:rsidRDefault="00DB0C14">
            <w:pPr>
              <w:pStyle w:val="TRBodyText"/>
              <w:spacing w:after="60" w:line="240" w:lineRule="auto"/>
              <w:rPr>
                <w:b/>
                <w:sz w:val="20"/>
              </w:rPr>
            </w:pPr>
            <w:r w:rsidRPr="00D950E1">
              <w:rPr>
                <w:b/>
                <w:sz w:val="20"/>
              </w:rPr>
              <w:t>Deadline</w:t>
            </w:r>
          </w:p>
        </w:tc>
      </w:tr>
      <w:tr w:rsidR="004169BD" w:rsidRPr="00D950E1">
        <w:tc>
          <w:tcPr>
            <w:tcW w:w="3473" w:type="dxa"/>
            <w:tcBorders>
              <w:top w:val="single" w:sz="4" w:space="0" w:color="808080"/>
              <w:left w:val="single" w:sz="4" w:space="0" w:color="808080"/>
              <w:bottom w:val="single" w:sz="4" w:space="0" w:color="808080"/>
              <w:right w:val="single" w:sz="4" w:space="0" w:color="808080"/>
            </w:tcBorders>
          </w:tcPr>
          <w:p w:rsidR="004169BD" w:rsidRDefault="004169BD">
            <w:pPr>
              <w:pStyle w:val="TRBodyText"/>
              <w:spacing w:before="60" w:after="60" w:line="240" w:lineRule="auto"/>
            </w:pPr>
            <w:bookmarkStart w:id="7" w:name="Action"/>
            <w:bookmarkEnd w:id="7"/>
            <w:r>
              <w:t>Minister of Research, Science and Innovation</w:t>
            </w:r>
          </w:p>
        </w:tc>
        <w:tc>
          <w:tcPr>
            <w:tcW w:w="3261" w:type="dxa"/>
            <w:tcBorders>
              <w:top w:val="single" w:sz="4" w:space="0" w:color="808080"/>
              <w:left w:val="single" w:sz="4" w:space="0" w:color="808080"/>
              <w:bottom w:val="single" w:sz="4" w:space="0" w:color="808080"/>
              <w:right w:val="single" w:sz="4" w:space="0" w:color="808080"/>
            </w:tcBorders>
          </w:tcPr>
          <w:p w:rsidR="004169BD" w:rsidRPr="00D950E1" w:rsidRDefault="00CD4D6A" w:rsidP="00410D77">
            <w:pPr>
              <w:pStyle w:val="TRBodyText"/>
              <w:spacing w:before="60" w:after="60" w:line="240" w:lineRule="auto"/>
              <w:jc w:val="left"/>
            </w:pPr>
            <w:r w:rsidRPr="00CD4D6A">
              <w:rPr>
                <w:b/>
              </w:rPr>
              <w:t>Agree</w:t>
            </w:r>
            <w:r w:rsidR="00551633">
              <w:t xml:space="preserve"> </w:t>
            </w:r>
            <w:r>
              <w:t>to inclusion of proposals in the R&amp;D Tax Credit Discussion Document</w:t>
            </w:r>
          </w:p>
        </w:tc>
        <w:tc>
          <w:tcPr>
            <w:tcW w:w="2976" w:type="dxa"/>
            <w:tcBorders>
              <w:top w:val="single" w:sz="4" w:space="0" w:color="808080"/>
              <w:left w:val="single" w:sz="4" w:space="0" w:color="808080"/>
              <w:bottom w:val="single" w:sz="4" w:space="0" w:color="808080"/>
              <w:right w:val="single" w:sz="4" w:space="0" w:color="808080"/>
            </w:tcBorders>
          </w:tcPr>
          <w:p w:rsidR="004169BD" w:rsidRPr="00D950E1" w:rsidRDefault="00CD4D6A" w:rsidP="00410D77">
            <w:pPr>
              <w:pStyle w:val="TRBodyText"/>
              <w:spacing w:before="60" w:after="60" w:line="240" w:lineRule="auto"/>
              <w:jc w:val="left"/>
            </w:pPr>
            <w:r>
              <w:t>22 March 2018</w:t>
            </w:r>
          </w:p>
        </w:tc>
      </w:tr>
      <w:tr w:rsidR="004169BD" w:rsidRPr="00D950E1">
        <w:tc>
          <w:tcPr>
            <w:tcW w:w="3473" w:type="dxa"/>
            <w:tcBorders>
              <w:top w:val="single" w:sz="4" w:space="0" w:color="808080"/>
              <w:left w:val="single" w:sz="4" w:space="0" w:color="808080"/>
              <w:bottom w:val="single" w:sz="4" w:space="0" w:color="808080"/>
              <w:right w:val="single" w:sz="4" w:space="0" w:color="808080"/>
            </w:tcBorders>
          </w:tcPr>
          <w:p w:rsidR="004169BD" w:rsidRDefault="004169BD">
            <w:pPr>
              <w:pStyle w:val="TRBodyText"/>
              <w:spacing w:before="60" w:after="60" w:line="240" w:lineRule="auto"/>
            </w:pPr>
            <w:r>
              <w:t>Minister of Revenue</w:t>
            </w:r>
          </w:p>
        </w:tc>
        <w:tc>
          <w:tcPr>
            <w:tcW w:w="3261" w:type="dxa"/>
            <w:tcBorders>
              <w:top w:val="single" w:sz="4" w:space="0" w:color="808080"/>
              <w:left w:val="single" w:sz="4" w:space="0" w:color="808080"/>
              <w:bottom w:val="single" w:sz="4" w:space="0" w:color="808080"/>
              <w:right w:val="single" w:sz="4" w:space="0" w:color="808080"/>
            </w:tcBorders>
          </w:tcPr>
          <w:p w:rsidR="004169BD" w:rsidRPr="00D950E1" w:rsidRDefault="00CD4D6A" w:rsidP="00410D77">
            <w:pPr>
              <w:pStyle w:val="TRBodyText"/>
              <w:spacing w:before="60" w:after="60" w:line="240" w:lineRule="auto"/>
              <w:jc w:val="left"/>
            </w:pPr>
            <w:r w:rsidRPr="00CD4D6A">
              <w:rPr>
                <w:b/>
              </w:rPr>
              <w:t>Agree</w:t>
            </w:r>
            <w:r>
              <w:t xml:space="preserve"> to inclusion of proposals in the R&amp;D Tax Credit Discussion Document</w:t>
            </w:r>
          </w:p>
        </w:tc>
        <w:tc>
          <w:tcPr>
            <w:tcW w:w="2976" w:type="dxa"/>
            <w:tcBorders>
              <w:top w:val="single" w:sz="4" w:space="0" w:color="808080"/>
              <w:left w:val="single" w:sz="4" w:space="0" w:color="808080"/>
              <w:bottom w:val="single" w:sz="4" w:space="0" w:color="808080"/>
              <w:right w:val="single" w:sz="4" w:space="0" w:color="808080"/>
            </w:tcBorders>
          </w:tcPr>
          <w:p w:rsidR="004169BD" w:rsidRPr="00D950E1" w:rsidRDefault="00CD4D6A" w:rsidP="00410D77">
            <w:pPr>
              <w:pStyle w:val="TRBodyText"/>
              <w:spacing w:before="60" w:after="60" w:line="240" w:lineRule="auto"/>
              <w:jc w:val="left"/>
            </w:pPr>
            <w:r>
              <w:t>22 March 2018</w:t>
            </w:r>
          </w:p>
        </w:tc>
      </w:tr>
    </w:tbl>
    <w:p w:rsidR="00DB0C14" w:rsidRPr="00D950E1" w:rsidRDefault="00DB0C14">
      <w:pPr>
        <w:pStyle w:val="TRHeading1"/>
      </w:pPr>
      <w:r w:rsidRPr="00D950E1">
        <w:t xml:space="preserve">Contact for telephone discussion </w:t>
      </w:r>
      <w:r w:rsidRPr="00D950E1">
        <w:rPr>
          <w:b w:val="0"/>
        </w:rPr>
        <w:t>(if required)</w:t>
      </w: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2339"/>
        <w:gridCol w:w="3119"/>
        <w:gridCol w:w="2126"/>
        <w:gridCol w:w="2126"/>
      </w:tblGrid>
      <w:tr w:rsidR="00DB0C14" w:rsidRPr="00D950E1" w:rsidTr="004D37E9">
        <w:trPr>
          <w:cantSplit/>
        </w:trPr>
        <w:tc>
          <w:tcPr>
            <w:tcW w:w="233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Name</w:t>
            </w:r>
          </w:p>
        </w:tc>
        <w:tc>
          <w:tcPr>
            <w:tcW w:w="3119" w:type="dxa"/>
            <w:tcBorders>
              <w:top w:val="nil"/>
              <w:left w:val="nil"/>
              <w:bottom w:val="nil"/>
              <w:right w:val="nil"/>
            </w:tcBorders>
          </w:tcPr>
          <w:p w:rsidR="00DB0C14" w:rsidRPr="00D950E1" w:rsidRDefault="00DB0C14">
            <w:pPr>
              <w:pStyle w:val="TRBodyText"/>
              <w:spacing w:before="60" w:after="60" w:line="240" w:lineRule="auto"/>
              <w:rPr>
                <w:b/>
                <w:sz w:val="20"/>
              </w:rPr>
            </w:pPr>
            <w:r w:rsidRPr="00D950E1">
              <w:rPr>
                <w:b/>
                <w:sz w:val="20"/>
              </w:rPr>
              <w:t>Position</w:t>
            </w:r>
          </w:p>
        </w:tc>
        <w:tc>
          <w:tcPr>
            <w:tcW w:w="4252" w:type="dxa"/>
            <w:gridSpan w:val="2"/>
            <w:tcBorders>
              <w:top w:val="nil"/>
              <w:left w:val="nil"/>
              <w:bottom w:val="nil"/>
              <w:right w:val="nil"/>
            </w:tcBorders>
          </w:tcPr>
          <w:p w:rsidR="00DB0C14" w:rsidRPr="00D950E1" w:rsidRDefault="00DB0C14">
            <w:pPr>
              <w:pStyle w:val="TRBodyText"/>
              <w:spacing w:before="60" w:after="60" w:line="240" w:lineRule="auto"/>
              <w:jc w:val="center"/>
              <w:rPr>
                <w:b/>
                <w:sz w:val="20"/>
              </w:rPr>
            </w:pPr>
            <w:r w:rsidRPr="00D950E1">
              <w:rPr>
                <w:b/>
                <w:sz w:val="20"/>
              </w:rPr>
              <w:t>Telephone</w:t>
            </w:r>
          </w:p>
        </w:tc>
      </w:tr>
      <w:tr w:rsidR="00E97400" w:rsidRPr="00D950E1" w:rsidTr="00E97400">
        <w:tc>
          <w:tcPr>
            <w:tcW w:w="2339" w:type="dxa"/>
            <w:tcBorders>
              <w:top w:val="single" w:sz="4" w:space="0" w:color="808080"/>
              <w:left w:val="single" w:sz="4" w:space="0" w:color="808080"/>
              <w:bottom w:val="single" w:sz="4" w:space="0" w:color="808080"/>
              <w:right w:val="single" w:sz="4" w:space="0" w:color="808080"/>
            </w:tcBorders>
          </w:tcPr>
          <w:p w:rsidR="00E97400" w:rsidRPr="00D950E1" w:rsidRDefault="00E97400" w:rsidP="00410D77">
            <w:pPr>
              <w:pStyle w:val="TRNormal"/>
              <w:spacing w:before="60" w:after="60" w:line="240" w:lineRule="auto"/>
              <w:jc w:val="left"/>
            </w:pPr>
            <w:bookmarkStart w:id="8" w:name="Name1"/>
            <w:bookmarkStart w:id="9" w:name="Name2"/>
            <w:bookmarkEnd w:id="8"/>
            <w:bookmarkEnd w:id="9"/>
            <w:r>
              <w:t>Keith Taylor</w:t>
            </w:r>
          </w:p>
        </w:tc>
        <w:tc>
          <w:tcPr>
            <w:tcW w:w="3119" w:type="dxa"/>
            <w:tcBorders>
              <w:top w:val="single" w:sz="4" w:space="0" w:color="808080"/>
              <w:left w:val="single" w:sz="4" w:space="0" w:color="808080"/>
              <w:bottom w:val="single" w:sz="4" w:space="0" w:color="808080"/>
              <w:right w:val="single" w:sz="4" w:space="0" w:color="808080"/>
            </w:tcBorders>
          </w:tcPr>
          <w:p w:rsidR="00E97400" w:rsidRPr="00D950E1" w:rsidRDefault="00E97400" w:rsidP="00410D77">
            <w:pPr>
              <w:pStyle w:val="TRNormal"/>
              <w:spacing w:before="60" w:after="60" w:line="240" w:lineRule="auto"/>
              <w:jc w:val="left"/>
            </w:pPr>
            <w:bookmarkStart w:id="10" w:name="Pos2"/>
            <w:bookmarkEnd w:id="10"/>
            <w:r>
              <w:t>Policy Manager</w:t>
            </w:r>
          </w:p>
        </w:tc>
        <w:tc>
          <w:tcPr>
            <w:tcW w:w="4252" w:type="dxa"/>
            <w:gridSpan w:val="2"/>
            <w:vMerge w:val="restart"/>
            <w:tcBorders>
              <w:top w:val="single" w:sz="4" w:space="0" w:color="808080"/>
              <w:left w:val="single" w:sz="4" w:space="0" w:color="808080"/>
              <w:right w:val="single" w:sz="4" w:space="0" w:color="808080"/>
            </w:tcBorders>
            <w:shd w:val="clear" w:color="auto" w:fill="000000" w:themeFill="text1"/>
          </w:tcPr>
          <w:p w:rsidR="00E97400" w:rsidRPr="00E97400" w:rsidRDefault="00E97400" w:rsidP="00E97400">
            <w:pPr>
              <w:pStyle w:val="TRNormal"/>
              <w:spacing w:before="60" w:after="60" w:line="240" w:lineRule="auto"/>
              <w:jc w:val="left"/>
              <w:rPr>
                <w:sz w:val="20"/>
              </w:rPr>
            </w:pPr>
            <w:bookmarkStart w:id="11" w:name="Direct2"/>
            <w:bookmarkStart w:id="12" w:name="After2"/>
            <w:bookmarkEnd w:id="11"/>
            <w:bookmarkEnd w:id="12"/>
            <w:r w:rsidRPr="00E97400">
              <w:rPr>
                <w:sz w:val="20"/>
              </w:rPr>
              <w:t>Withheld under section 9(2)(a) of the Official Information Act 1982</w:t>
            </w:r>
          </w:p>
        </w:tc>
      </w:tr>
      <w:tr w:rsidR="00E97400" w:rsidRPr="00D950E1" w:rsidTr="00E97400">
        <w:tc>
          <w:tcPr>
            <w:tcW w:w="2339" w:type="dxa"/>
            <w:tcBorders>
              <w:top w:val="single" w:sz="4" w:space="0" w:color="808080"/>
              <w:left w:val="single" w:sz="4" w:space="0" w:color="808080"/>
              <w:bottom w:val="single" w:sz="4" w:space="0" w:color="808080"/>
              <w:right w:val="single" w:sz="4" w:space="0" w:color="808080"/>
            </w:tcBorders>
          </w:tcPr>
          <w:p w:rsidR="00E97400" w:rsidRDefault="00E97400" w:rsidP="00410D77">
            <w:pPr>
              <w:pStyle w:val="TRNormal"/>
              <w:spacing w:before="60" w:after="60" w:line="240" w:lineRule="auto"/>
              <w:jc w:val="left"/>
            </w:pPr>
            <w:r>
              <w:t xml:space="preserve">Richard </w:t>
            </w:r>
            <w:proofErr w:type="spellStart"/>
            <w:r>
              <w:t>Walley</w:t>
            </w:r>
            <w:proofErr w:type="spellEnd"/>
          </w:p>
        </w:tc>
        <w:tc>
          <w:tcPr>
            <w:tcW w:w="3119" w:type="dxa"/>
            <w:tcBorders>
              <w:top w:val="single" w:sz="4" w:space="0" w:color="808080"/>
              <w:left w:val="single" w:sz="4" w:space="0" w:color="808080"/>
              <w:bottom w:val="single" w:sz="4" w:space="0" w:color="808080"/>
              <w:right w:val="single" w:sz="4" w:space="0" w:color="808080"/>
            </w:tcBorders>
          </w:tcPr>
          <w:p w:rsidR="00E97400" w:rsidRDefault="00E97400" w:rsidP="00410D77">
            <w:pPr>
              <w:pStyle w:val="TRNormal"/>
              <w:spacing w:before="60" w:after="60" w:line="240" w:lineRule="auto"/>
              <w:jc w:val="left"/>
            </w:pPr>
            <w:r>
              <w:t>Manager, Innovation Policy</w:t>
            </w:r>
          </w:p>
        </w:tc>
        <w:tc>
          <w:tcPr>
            <w:tcW w:w="4252" w:type="dxa"/>
            <w:gridSpan w:val="2"/>
            <w:vMerge/>
            <w:tcBorders>
              <w:left w:val="single" w:sz="4" w:space="0" w:color="808080"/>
              <w:bottom w:val="single" w:sz="4" w:space="0" w:color="808080"/>
              <w:right w:val="single" w:sz="4" w:space="0" w:color="808080"/>
            </w:tcBorders>
            <w:shd w:val="clear" w:color="auto" w:fill="000000" w:themeFill="text1"/>
          </w:tcPr>
          <w:p w:rsidR="00E97400" w:rsidRDefault="00E97400">
            <w:pPr>
              <w:pStyle w:val="TRNormal"/>
              <w:spacing w:before="60" w:after="60" w:line="240" w:lineRule="auto"/>
              <w:jc w:val="center"/>
            </w:pPr>
          </w:p>
        </w:tc>
      </w:tr>
      <w:tr w:rsidR="00557860" w:rsidRPr="00D950E1" w:rsidTr="00E97400">
        <w:tc>
          <w:tcPr>
            <w:tcW w:w="2339" w:type="dxa"/>
            <w:tcBorders>
              <w:top w:val="single" w:sz="4" w:space="0" w:color="808080"/>
              <w:left w:val="single" w:sz="4" w:space="0" w:color="808080"/>
              <w:bottom w:val="single" w:sz="4" w:space="0" w:color="808080"/>
              <w:right w:val="single" w:sz="4" w:space="0" w:color="808080"/>
            </w:tcBorders>
          </w:tcPr>
          <w:p w:rsidR="00557860" w:rsidRDefault="00557860" w:rsidP="00410D77">
            <w:pPr>
              <w:pStyle w:val="TRNormal"/>
              <w:spacing w:before="60" w:after="60" w:line="240" w:lineRule="auto"/>
              <w:jc w:val="left"/>
            </w:pPr>
            <w:proofErr w:type="spellStart"/>
            <w:r>
              <w:t>Becci</w:t>
            </w:r>
            <w:proofErr w:type="spellEnd"/>
            <w:r>
              <w:t xml:space="preserve"> Whitton</w:t>
            </w:r>
          </w:p>
        </w:tc>
        <w:tc>
          <w:tcPr>
            <w:tcW w:w="3119" w:type="dxa"/>
            <w:tcBorders>
              <w:top w:val="single" w:sz="4" w:space="0" w:color="808080"/>
              <w:left w:val="single" w:sz="4" w:space="0" w:color="808080"/>
              <w:bottom w:val="single" w:sz="4" w:space="0" w:color="808080"/>
              <w:right w:val="single" w:sz="4" w:space="0" w:color="808080"/>
            </w:tcBorders>
          </w:tcPr>
          <w:p w:rsidR="00557860" w:rsidRDefault="00557860" w:rsidP="00410D77">
            <w:pPr>
              <w:pStyle w:val="TRNormal"/>
              <w:spacing w:before="60" w:after="60" w:line="240" w:lineRule="auto"/>
              <w:jc w:val="left"/>
            </w:pPr>
            <w:r>
              <w:t>Manager Stakeholder and Government Engagement</w:t>
            </w:r>
          </w:p>
        </w:tc>
        <w:tc>
          <w:tcPr>
            <w:tcW w:w="2126" w:type="dxa"/>
            <w:tcBorders>
              <w:top w:val="single" w:sz="4" w:space="0" w:color="808080"/>
              <w:left w:val="single" w:sz="4" w:space="0" w:color="808080"/>
              <w:bottom w:val="single" w:sz="4" w:space="0" w:color="808080"/>
              <w:right w:val="single" w:sz="4" w:space="0" w:color="808080"/>
            </w:tcBorders>
          </w:tcPr>
          <w:p w:rsidR="00557860" w:rsidRDefault="00557860">
            <w:pPr>
              <w:pStyle w:val="TRNormal"/>
              <w:spacing w:before="60" w:after="60" w:line="240" w:lineRule="auto"/>
              <w:jc w:val="center"/>
            </w:pPr>
          </w:p>
        </w:tc>
        <w:tc>
          <w:tcPr>
            <w:tcW w:w="2126" w:type="dxa"/>
            <w:tcBorders>
              <w:top w:val="single" w:sz="4" w:space="0" w:color="808080"/>
              <w:left w:val="single" w:sz="4" w:space="0" w:color="808080"/>
              <w:bottom w:val="single" w:sz="4" w:space="0" w:color="808080"/>
              <w:right w:val="single" w:sz="4" w:space="0" w:color="808080"/>
            </w:tcBorders>
            <w:shd w:val="clear" w:color="auto" w:fill="000000" w:themeFill="text1"/>
          </w:tcPr>
          <w:p w:rsidR="00557860" w:rsidRDefault="00557860">
            <w:pPr>
              <w:pStyle w:val="TRNormal"/>
              <w:spacing w:before="60" w:after="60" w:line="240" w:lineRule="auto"/>
              <w:jc w:val="center"/>
            </w:pPr>
          </w:p>
        </w:tc>
      </w:tr>
    </w:tbl>
    <w:p w:rsidR="00DB0C14" w:rsidRPr="00D950E1" w:rsidRDefault="00DB0C14">
      <w:pPr>
        <w:pStyle w:val="TRNormal"/>
      </w:pPr>
    </w:p>
    <w:p w:rsidR="00070841" w:rsidRDefault="00070841">
      <w:pPr>
        <w:jc w:val="left"/>
      </w:pPr>
      <w:r>
        <w:br w:type="page"/>
      </w:r>
    </w:p>
    <w:p w:rsidR="00DB0C14" w:rsidRPr="00D950E1" w:rsidRDefault="00DB0C14">
      <w:pPr>
        <w:pStyle w:val="TRNormal"/>
        <w:sectPr w:rsidR="00DB0C14" w:rsidRPr="00D950E1">
          <w:footerReference w:type="default" r:id="rId9"/>
          <w:headerReference w:type="first" r:id="rId10"/>
          <w:pgSz w:w="11907" w:h="16840" w:code="9"/>
          <w:pgMar w:top="1134" w:right="1134" w:bottom="1134" w:left="1134" w:header="567" w:footer="567" w:gutter="0"/>
          <w:pgNumType w:start="1"/>
          <w:cols w:space="720"/>
          <w:titlePg/>
        </w:sectPr>
      </w:pPr>
    </w:p>
    <w:p w:rsidR="00DB0C14" w:rsidRPr="00D950E1" w:rsidRDefault="00DB0C14">
      <w:pPr>
        <w:pStyle w:val="TRBodyText"/>
        <w:tabs>
          <w:tab w:val="right" w:pos="9072"/>
        </w:tabs>
        <w:ind w:right="-1"/>
        <w:outlineLvl w:val="0"/>
      </w:pPr>
    </w:p>
    <w:p w:rsidR="00DB0C14" w:rsidRPr="00D950E1" w:rsidRDefault="00DB0C14">
      <w:pPr>
        <w:pStyle w:val="TRBodyText"/>
        <w:tabs>
          <w:tab w:val="right" w:pos="9072"/>
        </w:tabs>
        <w:ind w:right="-1"/>
        <w:outlineLvl w:val="0"/>
      </w:pPr>
    </w:p>
    <w:p w:rsidR="00DB0C14" w:rsidRPr="00D950E1" w:rsidRDefault="00CD4D6A">
      <w:pPr>
        <w:pStyle w:val="TRBodyText"/>
        <w:tabs>
          <w:tab w:val="right" w:pos="9072"/>
        </w:tabs>
        <w:ind w:right="-1"/>
        <w:outlineLvl w:val="0"/>
      </w:pPr>
      <w:bookmarkStart w:id="13" w:name="Date1"/>
      <w:bookmarkStart w:id="14" w:name="FileReference"/>
      <w:bookmarkEnd w:id="13"/>
      <w:bookmarkEnd w:id="14"/>
      <w:r>
        <w:t>9</w:t>
      </w:r>
      <w:r w:rsidR="004169BD">
        <w:t xml:space="preserve"> March 2018</w:t>
      </w:r>
    </w:p>
    <w:p w:rsidR="00DB0C14" w:rsidRPr="00D950E1" w:rsidRDefault="00DB0C14">
      <w:pPr>
        <w:pStyle w:val="TRNormal"/>
      </w:pPr>
    </w:p>
    <w:p w:rsidR="00DB0C14" w:rsidRPr="00D950E1" w:rsidRDefault="00DB0C14">
      <w:pPr>
        <w:pStyle w:val="TRBodyText"/>
        <w:outlineLvl w:val="0"/>
      </w:pPr>
    </w:p>
    <w:p w:rsidR="00DB0C14" w:rsidRPr="00D950E1" w:rsidRDefault="00DB0C14">
      <w:pPr>
        <w:pStyle w:val="TRBodyText"/>
        <w:outlineLvl w:val="0"/>
      </w:pPr>
    </w:p>
    <w:p w:rsidR="004169BD" w:rsidRDefault="004169BD">
      <w:pPr>
        <w:pStyle w:val="TRBodyText"/>
        <w:outlineLvl w:val="0"/>
      </w:pPr>
      <w:r>
        <w:t>Minister of Research, Science and Innovation</w:t>
      </w:r>
    </w:p>
    <w:p w:rsidR="00DB0C14" w:rsidRPr="00D950E1" w:rsidRDefault="00DB0C14">
      <w:pPr>
        <w:pStyle w:val="TRBodyText"/>
        <w:outlineLvl w:val="0"/>
      </w:pPr>
      <w:r w:rsidRPr="00D950E1">
        <w:t>Minister of Revenue</w:t>
      </w:r>
    </w:p>
    <w:p w:rsidR="00DB0C14" w:rsidRPr="00D950E1" w:rsidRDefault="004169BD">
      <w:pPr>
        <w:pStyle w:val="TRTitle"/>
        <w:ind w:left="0" w:firstLine="0"/>
      </w:pPr>
      <w:bookmarkStart w:id="15" w:name="Subject1"/>
      <w:bookmarkEnd w:id="15"/>
      <w:r>
        <w:t>Integrity within the R&amp;D Tax Credit</w:t>
      </w:r>
    </w:p>
    <w:p w:rsidR="00DB0C14" w:rsidRPr="00D950E1" w:rsidRDefault="00DB0C14">
      <w:pPr>
        <w:pStyle w:val="TRHeading1"/>
        <w:outlineLvl w:val="0"/>
      </w:pPr>
      <w:r w:rsidRPr="00D950E1">
        <w:t>Executive summary</w:t>
      </w:r>
    </w:p>
    <w:p w:rsidR="008F3C3A" w:rsidRDefault="00996437" w:rsidP="00914D9D">
      <w:pPr>
        <w:pStyle w:val="TRNormal"/>
        <w:tabs>
          <w:tab w:val="left" w:pos="567"/>
        </w:tabs>
      </w:pPr>
      <w:r>
        <w:fldChar w:fldCharType="begin"/>
      </w:r>
      <w:r>
        <w:instrText xml:space="preserve"> AUTONUM  </w:instrText>
      </w:r>
      <w:r>
        <w:fldChar w:fldCharType="end"/>
      </w:r>
      <w:r>
        <w:tab/>
      </w:r>
      <w:r w:rsidR="00914D9D">
        <w:t xml:space="preserve">This report </w:t>
      </w:r>
      <w:r w:rsidR="00BE6C99">
        <w:t xml:space="preserve">seeks your approval to </w:t>
      </w:r>
      <w:r w:rsidR="008F3C3A">
        <w:t>proposals to be included in the Discussion Document</w:t>
      </w:r>
      <w:r w:rsidR="00BE6C99">
        <w:t xml:space="preserve"> </w:t>
      </w:r>
      <w:r w:rsidR="00252C7D">
        <w:t xml:space="preserve">- </w:t>
      </w:r>
      <w:r w:rsidR="00BE6C99">
        <w:rPr>
          <w:i/>
        </w:rPr>
        <w:t>R&amp;D Tax Incentive – building a diverse, knowledge-intensive economy through Research and Development</w:t>
      </w:r>
      <w:r w:rsidR="008F3C3A">
        <w:t>.</w:t>
      </w:r>
    </w:p>
    <w:p w:rsidR="008F3C3A" w:rsidRDefault="008F3C3A" w:rsidP="00914D9D">
      <w:pPr>
        <w:pStyle w:val="TRNormal"/>
        <w:tabs>
          <w:tab w:val="left" w:pos="567"/>
        </w:tabs>
      </w:pPr>
    </w:p>
    <w:p w:rsidR="00914D9D" w:rsidRDefault="008F3C3A" w:rsidP="00914D9D">
      <w:pPr>
        <w:pStyle w:val="TRNormal"/>
        <w:tabs>
          <w:tab w:val="left" w:pos="567"/>
        </w:tabs>
      </w:pPr>
      <w:r>
        <w:fldChar w:fldCharType="begin"/>
      </w:r>
      <w:r>
        <w:instrText xml:space="preserve"> AUTONUM  </w:instrText>
      </w:r>
      <w:r>
        <w:fldChar w:fldCharType="end"/>
      </w:r>
      <w:r>
        <w:tab/>
        <w:t xml:space="preserve">It </w:t>
      </w:r>
      <w:r w:rsidR="00914D9D">
        <w:t>responds to a request from Ministers for further advice around measures to ensure the integrity of the tax credit. It proposes certain adjustments to the definition of eligible R&amp;D</w:t>
      </w:r>
      <w:r w:rsidR="00252C7D">
        <w:t>.</w:t>
      </w:r>
      <w:r w:rsidR="00914D9D">
        <w:t xml:space="preserve"> It responds to a request from Ministers at DEV for advice about the penalty rules that would apply to inappropriate claims under the tax credit.</w:t>
      </w:r>
    </w:p>
    <w:p w:rsidR="00914D9D" w:rsidRDefault="00914D9D" w:rsidP="00914D9D">
      <w:pPr>
        <w:pStyle w:val="TRNormal"/>
        <w:tabs>
          <w:tab w:val="left" w:pos="567"/>
        </w:tabs>
      </w:pPr>
    </w:p>
    <w:p w:rsidR="00914D9D" w:rsidRDefault="00914D9D" w:rsidP="00914D9D">
      <w:pPr>
        <w:pStyle w:val="TRNormal"/>
        <w:tabs>
          <w:tab w:val="left" w:pos="567"/>
        </w:tabs>
      </w:pPr>
      <w:r>
        <w:fldChar w:fldCharType="begin"/>
      </w:r>
      <w:r>
        <w:instrText xml:space="preserve"> AUTONUM  </w:instrText>
      </w:r>
      <w:r>
        <w:fldChar w:fldCharType="end"/>
      </w:r>
      <w:r>
        <w:tab/>
        <w:t>Integrity will be an important feature for the R&amp;D tax credit. Perceptions that the scheme is rewarding claims that do not represent genuine R&amp;D or that tax advisors are claiming too great a share of the expenditure will undermine the credibility of the scheme.</w:t>
      </w:r>
    </w:p>
    <w:p w:rsidR="00914D9D" w:rsidRDefault="00914D9D" w:rsidP="00914D9D">
      <w:pPr>
        <w:pStyle w:val="TRNormal"/>
        <w:tabs>
          <w:tab w:val="left" w:pos="567"/>
        </w:tabs>
      </w:pPr>
    </w:p>
    <w:p w:rsidR="00914D9D" w:rsidRDefault="00914D9D" w:rsidP="00914D9D">
      <w:pPr>
        <w:pStyle w:val="TRNormal"/>
        <w:tabs>
          <w:tab w:val="left" w:pos="567"/>
        </w:tabs>
      </w:pPr>
      <w:r>
        <w:fldChar w:fldCharType="begin"/>
      </w:r>
      <w:r>
        <w:instrText xml:space="preserve"> AUTONUM  </w:instrText>
      </w:r>
      <w:r>
        <w:fldChar w:fldCharType="end"/>
      </w:r>
      <w:r>
        <w:tab/>
        <w:t>A review of claims from the 2008 tax credit highlights circumstances in which firms were able to receive the tax credit for business as usual expenditure. Consequently, officials propose tightening the rules in two areas – where there is dual purpose expenditure and where firms are being paid by a third party to undertake work.</w:t>
      </w:r>
    </w:p>
    <w:p w:rsidR="00914D9D" w:rsidRDefault="00914D9D" w:rsidP="00914D9D">
      <w:pPr>
        <w:pStyle w:val="TRNormal"/>
        <w:tabs>
          <w:tab w:val="left" w:pos="567"/>
        </w:tabs>
      </w:pPr>
    </w:p>
    <w:p w:rsidR="00914D9D" w:rsidRDefault="00914D9D" w:rsidP="00914D9D">
      <w:pPr>
        <w:pStyle w:val="TRNormal"/>
        <w:tabs>
          <w:tab w:val="left" w:pos="567"/>
        </w:tabs>
      </w:pPr>
      <w:r>
        <w:fldChar w:fldCharType="begin"/>
      </w:r>
      <w:r>
        <w:instrText xml:space="preserve"> AUTONUM  </w:instrText>
      </w:r>
      <w:r>
        <w:fldChar w:fldCharType="end"/>
      </w:r>
      <w:r>
        <w:tab/>
        <w:t xml:space="preserve">Software is </w:t>
      </w:r>
      <w:r w:rsidR="00AC0FC8">
        <w:t xml:space="preserve">an important area of R&amp;D expenditure. It is </w:t>
      </w:r>
      <w:r>
        <w:t xml:space="preserve">also an area where officials consider tightening </w:t>
      </w:r>
      <w:r w:rsidR="00AC0FC8">
        <w:t xml:space="preserve">of the rules that applied in </w:t>
      </w:r>
      <w:r>
        <w:t>2008 could be warranted</w:t>
      </w:r>
      <w:r w:rsidR="00AC0FC8">
        <w:t xml:space="preserve">. We are working on developing a robust set of proposals for defining eligibility of software expenditure. We expect this to be complete by May 2018 and anticipate </w:t>
      </w:r>
      <w:r w:rsidR="00CD4D6A">
        <w:t xml:space="preserve">following this by </w:t>
      </w:r>
      <w:r w:rsidR="00AC0FC8">
        <w:t>targeted consultation with relevant stakeholders.</w:t>
      </w:r>
    </w:p>
    <w:p w:rsidR="00AC0FC8" w:rsidRDefault="00AC0FC8" w:rsidP="00914D9D">
      <w:pPr>
        <w:pStyle w:val="TRNormal"/>
        <w:tabs>
          <w:tab w:val="left" w:pos="567"/>
        </w:tabs>
      </w:pPr>
    </w:p>
    <w:p w:rsidR="00AC0FC8" w:rsidRDefault="00AC0FC8" w:rsidP="00914D9D">
      <w:pPr>
        <w:pStyle w:val="TRNormal"/>
        <w:tabs>
          <w:tab w:val="left" w:pos="567"/>
        </w:tabs>
      </w:pPr>
      <w:r>
        <w:fldChar w:fldCharType="begin"/>
      </w:r>
      <w:r>
        <w:instrText xml:space="preserve"> AUTONUM  </w:instrText>
      </w:r>
      <w:r>
        <w:fldChar w:fldCharType="end"/>
      </w:r>
      <w:r>
        <w:tab/>
        <w:t xml:space="preserve">Officials consider the shortfall penalties framework that applies to all tax returns is </w:t>
      </w:r>
      <w:r w:rsidR="007A1838">
        <w:t>a suitable basis for applying penalties to incorrect R&amp;D tax credit claims. However, we also consider the risks around R&amp;D tax credits may be greater when advisors are paid on a contingency basis. Theref</w:t>
      </w:r>
      <w:r w:rsidR="003605D9">
        <w:t>ore an extension to the framework</w:t>
      </w:r>
      <w:r w:rsidR="007A1838">
        <w:t xml:space="preserve"> is proposed where the offense is non-trivial and the advisor shares in the value of the claim.</w:t>
      </w:r>
    </w:p>
    <w:p w:rsidR="00DC36D0" w:rsidRDefault="00DC36D0">
      <w:pPr>
        <w:jc w:val="left"/>
        <w:rPr>
          <w:b/>
          <w:sz w:val="28"/>
        </w:rPr>
      </w:pPr>
      <w:r>
        <w:br w:type="page"/>
      </w:r>
    </w:p>
    <w:p w:rsidR="00690E5F" w:rsidRDefault="00690E5F">
      <w:pPr>
        <w:pStyle w:val="TRHeading1"/>
        <w:outlineLvl w:val="0"/>
      </w:pPr>
    </w:p>
    <w:p w:rsidR="00DB0C14" w:rsidRPr="00D950E1" w:rsidRDefault="00DB0C14">
      <w:pPr>
        <w:pStyle w:val="TRHeading1"/>
        <w:outlineLvl w:val="0"/>
      </w:pPr>
      <w:r w:rsidRPr="00D950E1">
        <w:t>Recommended action</w:t>
      </w:r>
    </w:p>
    <w:p w:rsidR="00252C7D" w:rsidRPr="00252C7D" w:rsidRDefault="00252C7D" w:rsidP="00EF0B80">
      <w:pPr>
        <w:pStyle w:val="TRBodyText"/>
        <w:tabs>
          <w:tab w:val="left" w:pos="567"/>
        </w:tabs>
      </w:pPr>
      <w:r w:rsidRPr="00252C7D">
        <w:t>We recommend that you</w:t>
      </w:r>
    </w:p>
    <w:p w:rsidR="00252C7D" w:rsidRDefault="00252C7D" w:rsidP="00EF0B80">
      <w:pPr>
        <w:pStyle w:val="TRBodyText"/>
        <w:tabs>
          <w:tab w:val="left" w:pos="567"/>
        </w:tabs>
        <w:rPr>
          <w:b/>
        </w:rPr>
      </w:pPr>
    </w:p>
    <w:p w:rsidR="00EF0B80" w:rsidRDefault="00776604" w:rsidP="00EF0B80">
      <w:pPr>
        <w:pStyle w:val="TRBodyText"/>
        <w:tabs>
          <w:tab w:val="left" w:pos="567"/>
        </w:tabs>
      </w:pPr>
      <w:r>
        <w:rPr>
          <w:b/>
        </w:rPr>
        <w:t>Note</w:t>
      </w:r>
      <w:r>
        <w:t xml:space="preserve"> that a review of claims from the 2008 R&amp;D tax credit indicated circumstances where applicants were able to receive the credit for business as usual expenditure </w:t>
      </w:r>
    </w:p>
    <w:p w:rsidR="00551633" w:rsidRDefault="00551633" w:rsidP="00EF0B80">
      <w:pPr>
        <w:pStyle w:val="TRBodyText"/>
        <w:tabs>
          <w:tab w:val="left" w:pos="567"/>
        </w:tabs>
        <w:rPr>
          <w:b/>
        </w:rPr>
      </w:pPr>
    </w:p>
    <w:p w:rsidR="00252C7D" w:rsidRDefault="00252C7D" w:rsidP="00EF0B80">
      <w:pPr>
        <w:pStyle w:val="TRBodyText"/>
        <w:tabs>
          <w:tab w:val="left" w:pos="567"/>
        </w:tabs>
        <w:rPr>
          <w:b/>
        </w:rPr>
      </w:pPr>
      <w:r>
        <w:rPr>
          <w:b/>
        </w:rPr>
        <w:t>Noted</w:t>
      </w:r>
    </w:p>
    <w:p w:rsidR="00252C7D" w:rsidRDefault="00252C7D" w:rsidP="00EF0B80">
      <w:pPr>
        <w:pStyle w:val="TRBodyText"/>
        <w:tabs>
          <w:tab w:val="left" w:pos="567"/>
        </w:tabs>
        <w:rPr>
          <w:b/>
        </w:rPr>
      </w:pPr>
    </w:p>
    <w:p w:rsidR="00252C7D" w:rsidRDefault="00776604" w:rsidP="00EF0B80">
      <w:pPr>
        <w:pStyle w:val="TRBodyText"/>
        <w:tabs>
          <w:tab w:val="left" w:pos="567"/>
        </w:tabs>
      </w:pPr>
      <w:r>
        <w:rPr>
          <w:b/>
        </w:rPr>
        <w:t>Agree</w:t>
      </w:r>
      <w:r>
        <w:t xml:space="preserve"> that the Discussion Document include the proposal</w:t>
      </w:r>
      <w:r w:rsidR="00252C7D">
        <w:t>s:</w:t>
      </w:r>
    </w:p>
    <w:p w:rsidR="00252C7D" w:rsidRDefault="00776604" w:rsidP="00EF0B80">
      <w:pPr>
        <w:pStyle w:val="TRBodyText"/>
        <w:numPr>
          <w:ilvl w:val="0"/>
          <w:numId w:val="41"/>
        </w:numPr>
        <w:tabs>
          <w:tab w:val="left" w:pos="567"/>
        </w:tabs>
      </w:pPr>
      <w:r>
        <w:t>that to be an eligible activity for the R&amp;D tax credit, th</w:t>
      </w:r>
      <w:r w:rsidR="00252C7D">
        <w:t xml:space="preserve">e activity must be for the sole </w:t>
      </w:r>
      <w:r>
        <w:t>purpose of R&amp;D</w:t>
      </w:r>
    </w:p>
    <w:p w:rsidR="00776604" w:rsidRDefault="003605D9" w:rsidP="00EF0B80">
      <w:pPr>
        <w:pStyle w:val="TRBodyText"/>
        <w:numPr>
          <w:ilvl w:val="0"/>
          <w:numId w:val="41"/>
        </w:numPr>
        <w:tabs>
          <w:tab w:val="left" w:pos="567"/>
        </w:tabs>
      </w:pPr>
      <w:r>
        <w:t>that eligible expenditure does not include expenditure when the R&amp;D performing entity or its associate had received or could reasonably be expected to receive consideration</w:t>
      </w:r>
    </w:p>
    <w:p w:rsidR="00551633" w:rsidRDefault="00551633" w:rsidP="00EF0B80">
      <w:pPr>
        <w:pStyle w:val="TRBodyText"/>
        <w:tabs>
          <w:tab w:val="left" w:pos="567"/>
        </w:tabs>
        <w:rPr>
          <w:b/>
        </w:rPr>
      </w:pPr>
    </w:p>
    <w:p w:rsidR="00252C7D" w:rsidRDefault="00252C7D" w:rsidP="00EF0B80">
      <w:pPr>
        <w:pStyle w:val="TRBodyText"/>
        <w:tabs>
          <w:tab w:val="left" w:pos="567"/>
        </w:tabs>
        <w:rPr>
          <w:b/>
        </w:rPr>
      </w:pPr>
      <w:r>
        <w:rPr>
          <w:b/>
        </w:rPr>
        <w:t>Agreed / Not agreed</w:t>
      </w:r>
      <w:r>
        <w:rPr>
          <w:b/>
        </w:rPr>
        <w:tab/>
      </w:r>
      <w:r>
        <w:rPr>
          <w:b/>
        </w:rPr>
        <w:tab/>
      </w:r>
      <w:r>
        <w:rPr>
          <w:b/>
        </w:rPr>
        <w:tab/>
      </w:r>
      <w:r>
        <w:rPr>
          <w:b/>
        </w:rPr>
        <w:tab/>
      </w:r>
      <w:r>
        <w:rPr>
          <w:b/>
        </w:rPr>
        <w:tab/>
      </w:r>
      <w:r>
        <w:rPr>
          <w:b/>
        </w:rPr>
        <w:tab/>
      </w:r>
      <w:r>
        <w:rPr>
          <w:b/>
        </w:rPr>
        <w:tab/>
      </w:r>
      <w:r>
        <w:rPr>
          <w:b/>
        </w:rPr>
        <w:tab/>
      </w:r>
      <w:r>
        <w:rPr>
          <w:b/>
        </w:rPr>
        <w:tab/>
      </w:r>
      <w:proofErr w:type="spellStart"/>
      <w:r>
        <w:rPr>
          <w:b/>
        </w:rPr>
        <w:t>Agreed</w:t>
      </w:r>
      <w:proofErr w:type="spellEnd"/>
      <w:r>
        <w:rPr>
          <w:b/>
        </w:rPr>
        <w:t xml:space="preserve"> / Not agreed</w:t>
      </w:r>
    </w:p>
    <w:p w:rsidR="00252C7D" w:rsidRDefault="00252C7D" w:rsidP="00EF0B80">
      <w:pPr>
        <w:pStyle w:val="TRBodyText"/>
        <w:tabs>
          <w:tab w:val="left" w:pos="567"/>
        </w:tabs>
        <w:rPr>
          <w:b/>
        </w:rPr>
      </w:pPr>
    </w:p>
    <w:p w:rsidR="003605D9" w:rsidRDefault="003605D9" w:rsidP="00EF0B80">
      <w:pPr>
        <w:pStyle w:val="TRBodyText"/>
        <w:tabs>
          <w:tab w:val="left" w:pos="567"/>
        </w:tabs>
      </w:pPr>
      <w:r>
        <w:rPr>
          <w:b/>
        </w:rPr>
        <w:t>Note</w:t>
      </w:r>
      <w:r>
        <w:t xml:space="preserve"> that limits or exclusions may be appropriate with respect to internal software development</w:t>
      </w:r>
      <w:r w:rsidR="00692F9C">
        <w:t xml:space="preserve"> and </w:t>
      </w:r>
      <w:r>
        <w:t>certain types of activities within the software development process</w:t>
      </w:r>
    </w:p>
    <w:p w:rsidR="00252C7D" w:rsidRDefault="00252C7D" w:rsidP="00EF0B80">
      <w:pPr>
        <w:pStyle w:val="TRBodyText"/>
        <w:tabs>
          <w:tab w:val="left" w:pos="567"/>
        </w:tabs>
      </w:pPr>
    </w:p>
    <w:p w:rsidR="00252C7D" w:rsidRPr="00252C7D" w:rsidRDefault="00252C7D" w:rsidP="00EF0B80">
      <w:pPr>
        <w:pStyle w:val="TRBodyText"/>
        <w:tabs>
          <w:tab w:val="left" w:pos="567"/>
        </w:tabs>
        <w:rPr>
          <w:b/>
        </w:rPr>
      </w:pPr>
      <w:r w:rsidRPr="00252C7D">
        <w:rPr>
          <w:b/>
        </w:rPr>
        <w:t>Noted</w:t>
      </w:r>
    </w:p>
    <w:p w:rsidR="00551633" w:rsidRDefault="00551633" w:rsidP="00EF0B80">
      <w:pPr>
        <w:pStyle w:val="TRBodyText"/>
        <w:tabs>
          <w:tab w:val="left" w:pos="567"/>
        </w:tabs>
        <w:rPr>
          <w:b/>
        </w:rPr>
      </w:pPr>
    </w:p>
    <w:p w:rsidR="003605D9" w:rsidRDefault="003605D9" w:rsidP="00EF0B80">
      <w:pPr>
        <w:pStyle w:val="TRBodyText"/>
        <w:tabs>
          <w:tab w:val="left" w:pos="567"/>
        </w:tabs>
      </w:pPr>
      <w:r>
        <w:rPr>
          <w:b/>
        </w:rPr>
        <w:t>Agree</w:t>
      </w:r>
      <w:r>
        <w:t xml:space="preserve"> that once officials have developed proposals with respect to eligibility of software, they undertake consultation with targeted stakeholders</w:t>
      </w:r>
    </w:p>
    <w:p w:rsidR="00252C7D" w:rsidRDefault="00252C7D" w:rsidP="00EF0B80">
      <w:pPr>
        <w:pStyle w:val="TRBodyText"/>
        <w:tabs>
          <w:tab w:val="left" w:pos="567"/>
        </w:tabs>
      </w:pPr>
    </w:p>
    <w:p w:rsidR="00252C7D" w:rsidRDefault="00252C7D" w:rsidP="00252C7D">
      <w:pPr>
        <w:pStyle w:val="TRBodyText"/>
        <w:tabs>
          <w:tab w:val="left" w:pos="567"/>
        </w:tabs>
        <w:rPr>
          <w:b/>
        </w:rPr>
      </w:pPr>
      <w:r>
        <w:rPr>
          <w:b/>
        </w:rPr>
        <w:t>Agreed / Not agreed</w:t>
      </w:r>
      <w:r>
        <w:rPr>
          <w:b/>
        </w:rPr>
        <w:tab/>
      </w:r>
      <w:r>
        <w:rPr>
          <w:b/>
        </w:rPr>
        <w:tab/>
      </w:r>
      <w:r>
        <w:rPr>
          <w:b/>
        </w:rPr>
        <w:tab/>
      </w:r>
      <w:r>
        <w:rPr>
          <w:b/>
        </w:rPr>
        <w:tab/>
      </w:r>
      <w:r>
        <w:rPr>
          <w:b/>
        </w:rPr>
        <w:tab/>
      </w:r>
      <w:r>
        <w:rPr>
          <w:b/>
        </w:rPr>
        <w:tab/>
      </w:r>
      <w:r>
        <w:rPr>
          <w:b/>
        </w:rPr>
        <w:tab/>
      </w:r>
      <w:r>
        <w:rPr>
          <w:b/>
        </w:rPr>
        <w:tab/>
      </w:r>
      <w:r>
        <w:rPr>
          <w:b/>
        </w:rPr>
        <w:tab/>
      </w:r>
      <w:proofErr w:type="spellStart"/>
      <w:r>
        <w:rPr>
          <w:b/>
        </w:rPr>
        <w:t>Agreed</w:t>
      </w:r>
      <w:proofErr w:type="spellEnd"/>
      <w:r>
        <w:rPr>
          <w:b/>
        </w:rPr>
        <w:t xml:space="preserve"> / Not agreed</w:t>
      </w:r>
    </w:p>
    <w:p w:rsidR="00551633" w:rsidRDefault="00551633" w:rsidP="00EF0B80">
      <w:pPr>
        <w:pStyle w:val="TRBodyText"/>
        <w:tabs>
          <w:tab w:val="left" w:pos="567"/>
        </w:tabs>
        <w:rPr>
          <w:b/>
        </w:rPr>
      </w:pPr>
    </w:p>
    <w:p w:rsidR="003605D9" w:rsidRDefault="003605D9" w:rsidP="00EF0B80">
      <w:pPr>
        <w:pStyle w:val="TRBodyText"/>
        <w:tabs>
          <w:tab w:val="left" w:pos="567"/>
        </w:tabs>
      </w:pPr>
      <w:r>
        <w:rPr>
          <w:b/>
        </w:rPr>
        <w:t>Note</w:t>
      </w:r>
      <w:r>
        <w:t xml:space="preserve"> the shortfall penalties framework that applies to all tax returns will apply to the R&amp;D tax credit</w:t>
      </w:r>
    </w:p>
    <w:p w:rsidR="00252C7D" w:rsidRDefault="00252C7D" w:rsidP="00EF0B80">
      <w:pPr>
        <w:pStyle w:val="TRBodyText"/>
        <w:tabs>
          <w:tab w:val="left" w:pos="567"/>
        </w:tabs>
      </w:pPr>
    </w:p>
    <w:p w:rsidR="00252C7D" w:rsidRPr="00252C7D" w:rsidRDefault="00252C7D" w:rsidP="00EF0B80">
      <w:pPr>
        <w:pStyle w:val="TRBodyText"/>
        <w:tabs>
          <w:tab w:val="left" w:pos="567"/>
        </w:tabs>
        <w:rPr>
          <w:b/>
        </w:rPr>
      </w:pPr>
      <w:r w:rsidRPr="00252C7D">
        <w:rPr>
          <w:b/>
        </w:rPr>
        <w:t>Noted</w:t>
      </w:r>
    </w:p>
    <w:p w:rsidR="00551633" w:rsidRDefault="00551633" w:rsidP="00EF0B80">
      <w:pPr>
        <w:pStyle w:val="TRBodyText"/>
        <w:tabs>
          <w:tab w:val="left" w:pos="567"/>
        </w:tabs>
        <w:rPr>
          <w:b/>
        </w:rPr>
      </w:pPr>
    </w:p>
    <w:p w:rsidR="003605D9" w:rsidRDefault="003605D9" w:rsidP="00EF0B80">
      <w:pPr>
        <w:pStyle w:val="TRBodyText"/>
        <w:tabs>
          <w:tab w:val="left" w:pos="567"/>
        </w:tabs>
      </w:pPr>
      <w:r>
        <w:rPr>
          <w:b/>
        </w:rPr>
        <w:t>Note</w:t>
      </w:r>
      <w:r>
        <w:t xml:space="preserve"> the risk of inappropriate claims may be greater where tax advisors are paid on a contingency basis</w:t>
      </w:r>
    </w:p>
    <w:p w:rsidR="00252C7D" w:rsidRDefault="00252C7D" w:rsidP="00EF0B80">
      <w:pPr>
        <w:pStyle w:val="TRBodyText"/>
        <w:tabs>
          <w:tab w:val="left" w:pos="567"/>
        </w:tabs>
      </w:pPr>
    </w:p>
    <w:p w:rsidR="00252C7D" w:rsidRPr="00252C7D" w:rsidRDefault="00252C7D" w:rsidP="00EF0B80">
      <w:pPr>
        <w:pStyle w:val="TRBodyText"/>
        <w:tabs>
          <w:tab w:val="left" w:pos="567"/>
        </w:tabs>
        <w:rPr>
          <w:b/>
        </w:rPr>
      </w:pPr>
      <w:r w:rsidRPr="00252C7D">
        <w:rPr>
          <w:b/>
        </w:rPr>
        <w:t>Noted</w:t>
      </w:r>
    </w:p>
    <w:p w:rsidR="00690E5F" w:rsidRDefault="00690E5F">
      <w:pPr>
        <w:jc w:val="left"/>
        <w:rPr>
          <w:b/>
        </w:rPr>
      </w:pPr>
      <w:r>
        <w:rPr>
          <w:b/>
        </w:rPr>
        <w:br w:type="page"/>
      </w:r>
    </w:p>
    <w:p w:rsidR="00551633" w:rsidRDefault="00551633" w:rsidP="00EF0B80">
      <w:pPr>
        <w:pStyle w:val="TRBodyText"/>
        <w:tabs>
          <w:tab w:val="left" w:pos="567"/>
        </w:tabs>
        <w:rPr>
          <w:b/>
        </w:rPr>
      </w:pPr>
    </w:p>
    <w:p w:rsidR="003605D9" w:rsidRDefault="003605D9" w:rsidP="00EF0B80">
      <w:pPr>
        <w:pStyle w:val="TRBodyText"/>
        <w:tabs>
          <w:tab w:val="left" w:pos="567"/>
        </w:tabs>
      </w:pPr>
      <w:r>
        <w:rPr>
          <w:b/>
        </w:rPr>
        <w:t>Agree</w:t>
      </w:r>
      <w:r>
        <w:t xml:space="preserve"> that the Discussion Document include a proposal that the penalties framework </w:t>
      </w:r>
      <w:r w:rsidR="00551633">
        <w:t>be extended to apply to an advisor who receives a fee contingent on the R&amp;D tax credit and the tax credit application demonstrates gross carelessness or a more serious offense.</w:t>
      </w:r>
    </w:p>
    <w:p w:rsidR="00252C7D" w:rsidRDefault="00252C7D" w:rsidP="00EF0B80">
      <w:pPr>
        <w:pStyle w:val="TRBodyText"/>
        <w:tabs>
          <w:tab w:val="left" w:pos="567"/>
        </w:tabs>
      </w:pPr>
    </w:p>
    <w:p w:rsidR="00252C7D" w:rsidRDefault="00252C7D" w:rsidP="00252C7D">
      <w:pPr>
        <w:pStyle w:val="TRBodyText"/>
        <w:tabs>
          <w:tab w:val="left" w:pos="567"/>
        </w:tabs>
        <w:rPr>
          <w:b/>
        </w:rPr>
      </w:pPr>
      <w:r>
        <w:rPr>
          <w:b/>
        </w:rPr>
        <w:t>Agreed / Not agreed</w:t>
      </w:r>
      <w:r>
        <w:rPr>
          <w:b/>
        </w:rPr>
        <w:tab/>
      </w:r>
      <w:r>
        <w:rPr>
          <w:b/>
        </w:rPr>
        <w:tab/>
      </w:r>
      <w:r>
        <w:rPr>
          <w:b/>
        </w:rPr>
        <w:tab/>
      </w:r>
      <w:r>
        <w:rPr>
          <w:b/>
        </w:rPr>
        <w:tab/>
      </w:r>
      <w:r>
        <w:rPr>
          <w:b/>
        </w:rPr>
        <w:tab/>
      </w:r>
      <w:r>
        <w:rPr>
          <w:b/>
        </w:rPr>
        <w:tab/>
      </w:r>
      <w:r>
        <w:rPr>
          <w:b/>
        </w:rPr>
        <w:tab/>
      </w:r>
      <w:r>
        <w:rPr>
          <w:b/>
        </w:rPr>
        <w:tab/>
      </w:r>
      <w:r>
        <w:rPr>
          <w:b/>
        </w:rPr>
        <w:tab/>
      </w:r>
      <w:proofErr w:type="spellStart"/>
      <w:r>
        <w:rPr>
          <w:b/>
        </w:rPr>
        <w:t>Agreed</w:t>
      </w:r>
      <w:proofErr w:type="spellEnd"/>
      <w:r>
        <w:rPr>
          <w:b/>
        </w:rPr>
        <w:t xml:space="preserve"> / Not agreed</w:t>
      </w:r>
    </w:p>
    <w:p w:rsidR="00252C7D" w:rsidRDefault="00252C7D" w:rsidP="00EF0B80">
      <w:pPr>
        <w:pStyle w:val="TRBodyText"/>
        <w:tabs>
          <w:tab w:val="left" w:pos="567"/>
        </w:tabs>
      </w:pPr>
    </w:p>
    <w:p w:rsidR="00252C7D" w:rsidRDefault="00252C7D" w:rsidP="00EF0B80">
      <w:pPr>
        <w:pStyle w:val="TRBodyText"/>
        <w:tabs>
          <w:tab w:val="left" w:pos="567"/>
        </w:tabs>
      </w:pPr>
    </w:p>
    <w:p w:rsidR="00252C7D" w:rsidRDefault="00252C7D" w:rsidP="00EF0B80">
      <w:pPr>
        <w:pStyle w:val="TRBodyText"/>
        <w:tabs>
          <w:tab w:val="left" w:pos="567"/>
        </w:tabs>
      </w:pPr>
    </w:p>
    <w:p w:rsidR="00252C7D" w:rsidRPr="003605D9" w:rsidRDefault="00252C7D" w:rsidP="00EF0B80">
      <w:pPr>
        <w:pStyle w:val="TRBodyText"/>
        <w:tabs>
          <w:tab w:val="left" w:pos="567"/>
        </w:tabs>
      </w:pPr>
    </w:p>
    <w:p w:rsidR="00EF0B80" w:rsidRPr="00D950E1" w:rsidRDefault="00EF0B80" w:rsidP="00EF0B80">
      <w:pPr>
        <w:pStyle w:val="TRBodyText"/>
        <w:tabs>
          <w:tab w:val="left" w:pos="567"/>
        </w:tabs>
      </w:pPr>
    </w:p>
    <w:p w:rsidR="00E97400" w:rsidRPr="00E97400" w:rsidRDefault="00E97400" w:rsidP="00E97400">
      <w:pPr>
        <w:pStyle w:val="TRBodyText"/>
        <w:tabs>
          <w:tab w:val="left" w:pos="567"/>
        </w:tabs>
        <w:jc w:val="left"/>
        <w:rPr>
          <w:noProof/>
          <w:highlight w:val="black"/>
          <w:lang w:eastAsia="en-NZ"/>
        </w:rPr>
      </w:pPr>
      <w:r w:rsidRPr="00E97400">
        <w:rPr>
          <w:noProof/>
          <w:highlight w:val="black"/>
          <w:lang w:eastAsia="en-NZ"/>
        </w:rPr>
        <w:t>.</w:t>
      </w:r>
      <w:r w:rsidRPr="00E97400">
        <w:rPr>
          <w:noProof/>
          <w:color w:val="FFFFFF" w:themeColor="background1"/>
          <w:sz w:val="20"/>
          <w:highlight w:val="black"/>
          <w:lang w:eastAsia="en-NZ"/>
        </w:rPr>
        <w:t>Withheld under section 9(2)(a) of the Official Information Act 1982</w:t>
      </w:r>
      <w:r w:rsidRPr="00E97400">
        <w:rPr>
          <w:noProof/>
          <w:highlight w:val="black"/>
          <w:lang w:eastAsia="en-NZ"/>
        </w:rPr>
        <w:t>..................</w:t>
      </w:r>
      <w:r>
        <w:rPr>
          <w:noProof/>
          <w:highlight w:val="black"/>
          <w:lang w:eastAsia="en-NZ"/>
        </w:rPr>
        <w:t xml:space="preserve">  </w:t>
      </w:r>
      <w:r w:rsidRPr="00E97400">
        <w:rPr>
          <w:noProof/>
          <w:highlight w:val="black"/>
          <w:lang w:eastAsia="en-NZ"/>
        </w:rPr>
        <w:t>................................................</w:t>
      </w:r>
    </w:p>
    <w:p w:rsidR="00EF0B80" w:rsidRPr="00D950E1" w:rsidRDefault="00E97400" w:rsidP="00E97400">
      <w:pPr>
        <w:pStyle w:val="TRBodyText"/>
        <w:tabs>
          <w:tab w:val="left" w:pos="567"/>
        </w:tabs>
        <w:jc w:val="left"/>
      </w:pPr>
      <w:r w:rsidRPr="00E97400">
        <w:rPr>
          <w:noProof/>
          <w:highlight w:val="black"/>
          <w:lang w:eastAsia="en-NZ"/>
        </w:rPr>
        <w:t>................................................................................................................................................................................................................................................................................................................................................................................................................................................................................................................................................................................................................................................................</w:t>
      </w:r>
    </w:p>
    <w:p w:rsidR="00EF0B80" w:rsidRPr="00D950E1" w:rsidRDefault="00EF0B80" w:rsidP="00EF0B80">
      <w:pPr>
        <w:pStyle w:val="TRBodyText"/>
        <w:tabs>
          <w:tab w:val="left" w:pos="567"/>
          <w:tab w:val="left" w:pos="5812"/>
        </w:tabs>
      </w:pPr>
    </w:p>
    <w:p w:rsidR="00EF0B80" w:rsidRPr="00D950E1" w:rsidRDefault="00EF0B80" w:rsidP="00EF0B80">
      <w:pPr>
        <w:pStyle w:val="TRBodyText"/>
        <w:tabs>
          <w:tab w:val="left" w:pos="567"/>
          <w:tab w:val="left" w:pos="5812"/>
        </w:tabs>
      </w:pPr>
    </w:p>
    <w:p w:rsidR="00EF0B80" w:rsidRPr="00D950E1" w:rsidRDefault="00551633" w:rsidP="00557860">
      <w:pPr>
        <w:pStyle w:val="TRBodyText"/>
        <w:tabs>
          <w:tab w:val="left" w:pos="5387"/>
        </w:tabs>
        <w:jc w:val="left"/>
        <w:rPr>
          <w:b/>
        </w:rPr>
      </w:pPr>
      <w:r>
        <w:rPr>
          <w:b/>
        </w:rPr>
        <w:t xml:space="preserve">Richard </w:t>
      </w:r>
      <w:proofErr w:type="spellStart"/>
      <w:r>
        <w:rPr>
          <w:b/>
        </w:rPr>
        <w:t>Walley</w:t>
      </w:r>
      <w:proofErr w:type="spellEnd"/>
      <w:r>
        <w:rPr>
          <w:b/>
        </w:rPr>
        <w:t xml:space="preserve">                        </w:t>
      </w:r>
      <w:r w:rsidR="00557860">
        <w:rPr>
          <w:b/>
        </w:rPr>
        <w:t xml:space="preserve">   </w:t>
      </w:r>
      <w:r w:rsidR="00BF4385">
        <w:rPr>
          <w:b/>
        </w:rPr>
        <w:t xml:space="preserve">   </w:t>
      </w:r>
      <w:r>
        <w:rPr>
          <w:b/>
        </w:rPr>
        <w:t xml:space="preserve">Keith Taylor                 </w:t>
      </w:r>
      <w:r w:rsidR="00BF4385">
        <w:rPr>
          <w:b/>
        </w:rPr>
        <w:t xml:space="preserve">      Vic Crone</w:t>
      </w:r>
    </w:p>
    <w:p w:rsidR="00EF0B80" w:rsidRPr="00D950E1" w:rsidRDefault="00551633" w:rsidP="00557860">
      <w:pPr>
        <w:pStyle w:val="TRBodyText"/>
        <w:tabs>
          <w:tab w:val="left" w:pos="5387"/>
        </w:tabs>
        <w:jc w:val="left"/>
      </w:pPr>
      <w:r>
        <w:t>M</w:t>
      </w:r>
      <w:r w:rsidR="00557860">
        <w:t xml:space="preserve">anager, Innovation Policy         </w:t>
      </w:r>
      <w:r w:rsidR="00BF4385">
        <w:t xml:space="preserve">    </w:t>
      </w:r>
      <w:proofErr w:type="spellStart"/>
      <w:r>
        <w:t>Policy</w:t>
      </w:r>
      <w:proofErr w:type="spellEnd"/>
      <w:r>
        <w:t xml:space="preserve"> Manager   </w:t>
      </w:r>
      <w:r w:rsidR="00557860">
        <w:t xml:space="preserve">           </w:t>
      </w:r>
      <w:r w:rsidR="00BF4385">
        <w:t xml:space="preserve">      Chief Executive</w:t>
      </w:r>
    </w:p>
    <w:p w:rsidR="00EF0B80" w:rsidRPr="00D950E1" w:rsidRDefault="00551633" w:rsidP="00EF0B80">
      <w:pPr>
        <w:pStyle w:val="TRBodyText"/>
        <w:tabs>
          <w:tab w:val="left" w:pos="5387"/>
        </w:tabs>
      </w:pPr>
      <w:proofErr w:type="spellStart"/>
      <w:r>
        <w:t>MBIE</w:t>
      </w:r>
      <w:proofErr w:type="spellEnd"/>
      <w:r>
        <w:t xml:space="preserve">                                      </w:t>
      </w:r>
      <w:r w:rsidR="00557860">
        <w:t xml:space="preserve"> </w:t>
      </w:r>
      <w:r>
        <w:t xml:space="preserve">    </w:t>
      </w:r>
      <w:r w:rsidR="00BF4385">
        <w:t xml:space="preserve">     </w:t>
      </w:r>
      <w:r w:rsidR="00EF0B80">
        <w:t>Inland Revenue</w:t>
      </w:r>
      <w:r>
        <w:t xml:space="preserve">              </w:t>
      </w:r>
      <w:r w:rsidR="00BF4385">
        <w:t xml:space="preserve">      </w:t>
      </w:r>
      <w:r>
        <w:t>Callaghan Innovation</w:t>
      </w: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EF0B80" w:rsidP="00EF0B80">
      <w:pPr>
        <w:pStyle w:val="TRBodyText"/>
        <w:tabs>
          <w:tab w:val="left" w:pos="5387"/>
        </w:tabs>
      </w:pPr>
    </w:p>
    <w:p w:rsidR="00EF0B80" w:rsidRPr="00D950E1" w:rsidRDefault="00551633" w:rsidP="00EF0B80">
      <w:pPr>
        <w:pStyle w:val="TRBodyText"/>
        <w:tabs>
          <w:tab w:val="left" w:pos="5387"/>
        </w:tabs>
        <w:rPr>
          <w:b/>
        </w:rPr>
      </w:pPr>
      <w:r>
        <w:rPr>
          <w:b/>
        </w:rPr>
        <w:t>Hon Dr Megan Woods</w:t>
      </w:r>
      <w:r w:rsidR="00EF0B80">
        <w:rPr>
          <w:b/>
        </w:rPr>
        <w:tab/>
      </w:r>
      <w:r w:rsidR="00EF0B80" w:rsidRPr="00D950E1">
        <w:rPr>
          <w:b/>
        </w:rPr>
        <w:t xml:space="preserve">Hon </w:t>
      </w:r>
      <w:r w:rsidR="00535B23">
        <w:rPr>
          <w:b/>
        </w:rPr>
        <w:t>Stuart Nash</w:t>
      </w:r>
    </w:p>
    <w:p w:rsidR="00EF0B80" w:rsidRDefault="00551633" w:rsidP="00EF0B80">
      <w:pPr>
        <w:pStyle w:val="TRBodyText"/>
        <w:tabs>
          <w:tab w:val="left" w:pos="5387"/>
        </w:tabs>
      </w:pPr>
      <w:r>
        <w:t>Minister</w:t>
      </w:r>
      <w:r w:rsidR="00D32284">
        <w:t xml:space="preserve"> of Research, Science and I</w:t>
      </w:r>
      <w:r>
        <w:t>nnovation</w:t>
      </w:r>
      <w:r w:rsidR="00EF0B80">
        <w:tab/>
      </w:r>
      <w:r w:rsidR="00EF0B80" w:rsidRPr="00D950E1">
        <w:t>Minister of Revenue</w:t>
      </w:r>
    </w:p>
    <w:p w:rsidR="00C77ACA" w:rsidRPr="00D950E1" w:rsidRDefault="00C77ACA" w:rsidP="00EF0B80">
      <w:pPr>
        <w:pStyle w:val="TRBodyText"/>
        <w:tabs>
          <w:tab w:val="left" w:pos="5387"/>
        </w:tabs>
      </w:pPr>
      <w:r w:rsidRPr="00C77ACA">
        <w:t xml:space="preserve">       /       /201</w:t>
      </w:r>
      <w:r w:rsidR="00B174F3">
        <w:t>8</w:t>
      </w:r>
      <w:r>
        <w:tab/>
      </w:r>
      <w:r w:rsidRPr="00C77ACA">
        <w:t xml:space="preserve">       /       /201</w:t>
      </w:r>
      <w:r w:rsidR="00B174F3">
        <w:t>8</w:t>
      </w:r>
    </w:p>
    <w:p w:rsidR="00DB0C14" w:rsidRPr="00D950E1" w:rsidRDefault="00DB0C14">
      <w:pPr>
        <w:pStyle w:val="TRHeading1"/>
      </w:pPr>
      <w:r w:rsidRPr="00D950E1">
        <w:br w:type="page"/>
        <w:t>Background</w:t>
      </w:r>
    </w:p>
    <w:p w:rsidR="00D94B1F" w:rsidRDefault="00145E15" w:rsidP="00D94B1F">
      <w:pPr>
        <w:pStyle w:val="TRNormal"/>
        <w:tabs>
          <w:tab w:val="left" w:pos="567"/>
        </w:tabs>
      </w:pPr>
      <w:r>
        <w:fldChar w:fldCharType="begin"/>
      </w:r>
      <w:r>
        <w:instrText xml:space="preserve"> AUTONUM  </w:instrText>
      </w:r>
      <w:r>
        <w:fldChar w:fldCharType="end"/>
      </w:r>
      <w:r>
        <w:tab/>
      </w:r>
      <w:r w:rsidR="004169BD">
        <w:t>Cabinet has agreed, subject to Budget decisions, to the introduction of a</w:t>
      </w:r>
      <w:r w:rsidR="00120AC2">
        <w:t xml:space="preserve"> Research and Development (R&amp;D)</w:t>
      </w:r>
      <w:r w:rsidR="004169BD">
        <w:t xml:space="preserve"> tax credit</w:t>
      </w:r>
      <w:r>
        <w:t xml:space="preserve"> from 1 April 2019</w:t>
      </w:r>
      <w:r w:rsidR="004169BD">
        <w:t xml:space="preserve">. </w:t>
      </w:r>
      <w:r w:rsidR="00120AC2" w:rsidRPr="00120AC2">
        <w:t xml:space="preserve">(CAB-18-MIN-0056 </w:t>
      </w:r>
      <w:r w:rsidR="00120AC2" w:rsidRPr="00670E3B">
        <w:t>refers</w:t>
      </w:r>
      <w:r w:rsidR="004169BD" w:rsidRPr="00670E3B">
        <w:t>) Officials</w:t>
      </w:r>
      <w:r w:rsidR="00690E5F">
        <w:t xml:space="preserve"> have </w:t>
      </w:r>
      <w:r w:rsidR="00CD4D6A">
        <w:t>prepared</w:t>
      </w:r>
      <w:r w:rsidR="00252C7D">
        <w:t xml:space="preserve"> a d</w:t>
      </w:r>
      <w:r w:rsidR="004169BD">
        <w:t xml:space="preserve">iscussion </w:t>
      </w:r>
      <w:r w:rsidR="00252C7D">
        <w:t>d</w:t>
      </w:r>
      <w:r w:rsidR="004169BD">
        <w:t xml:space="preserve">ocument </w:t>
      </w:r>
      <w:r w:rsidR="00CD4D6A">
        <w:t xml:space="preserve">(2216 17-18, IR2018/133 refers) </w:t>
      </w:r>
      <w:r w:rsidR="004169BD">
        <w:t xml:space="preserve">based on </w:t>
      </w:r>
      <w:r>
        <w:t>decisions by Ministers on the design features for the tax credit (1714 17-18, IR2018/083 and 1892 17-18, IR2018/084 refer)</w:t>
      </w:r>
    </w:p>
    <w:p w:rsidR="00145E15" w:rsidRDefault="00145E15" w:rsidP="00D94B1F">
      <w:pPr>
        <w:pStyle w:val="TRNormal"/>
        <w:tabs>
          <w:tab w:val="left" w:pos="567"/>
        </w:tabs>
      </w:pPr>
    </w:p>
    <w:p w:rsidR="00A62968" w:rsidRDefault="00D94B1F" w:rsidP="00D94B1F">
      <w:pPr>
        <w:pStyle w:val="TRNormal"/>
        <w:tabs>
          <w:tab w:val="left" w:pos="567"/>
        </w:tabs>
      </w:pPr>
      <w:r>
        <w:fldChar w:fldCharType="begin"/>
      </w:r>
      <w:r>
        <w:instrText xml:space="preserve"> AUTONUM  </w:instrText>
      </w:r>
      <w:r>
        <w:fldChar w:fldCharType="end"/>
      </w:r>
      <w:r>
        <w:tab/>
      </w:r>
      <w:r w:rsidR="00145E15">
        <w:t xml:space="preserve">As with any scheme involving expenditure of public money, there is a need to ensure the integrity of that expenditure. </w:t>
      </w:r>
      <w:r w:rsidR="00DC36D0">
        <w:t>T</w:t>
      </w:r>
      <w:r w:rsidR="009E6F96">
        <w:t xml:space="preserve">here </w:t>
      </w:r>
      <w:r w:rsidR="00B32636">
        <w:t>are</w:t>
      </w:r>
      <w:r w:rsidR="009E6F96">
        <w:t xml:space="preserve"> </w:t>
      </w:r>
      <w:r w:rsidR="00A62968">
        <w:t xml:space="preserve">risks </w:t>
      </w:r>
      <w:r w:rsidR="0071515B">
        <w:t>of</w:t>
      </w:r>
      <w:r w:rsidR="009E6F96">
        <w:t xml:space="preserve"> </w:t>
      </w:r>
      <w:r w:rsidR="00A62968">
        <w:t xml:space="preserve">inappropriate </w:t>
      </w:r>
      <w:r w:rsidR="009E6F96">
        <w:t>claims</w:t>
      </w:r>
      <w:r w:rsidR="00A62968">
        <w:t xml:space="preserve"> with an R&amp;D tax credit. </w:t>
      </w:r>
    </w:p>
    <w:p w:rsidR="00A62968" w:rsidRDefault="00A62968" w:rsidP="00D94B1F">
      <w:pPr>
        <w:pStyle w:val="TRNormal"/>
        <w:tabs>
          <w:tab w:val="left" w:pos="567"/>
        </w:tabs>
      </w:pPr>
    </w:p>
    <w:p w:rsidR="00A62968" w:rsidRDefault="00A62968" w:rsidP="00D94B1F">
      <w:pPr>
        <w:pStyle w:val="TRNormal"/>
        <w:tabs>
          <w:tab w:val="left" w:pos="567"/>
        </w:tabs>
      </w:pPr>
      <w:r>
        <w:fldChar w:fldCharType="begin"/>
      </w:r>
      <w:r>
        <w:instrText xml:space="preserve"> AUTONUM  </w:instrText>
      </w:r>
      <w:r>
        <w:fldChar w:fldCharType="end"/>
      </w:r>
      <w:r>
        <w:tab/>
      </w:r>
      <w:r w:rsidR="00145E15">
        <w:t xml:space="preserve">This report responds to a request from Ministers for further advice around </w:t>
      </w:r>
      <w:r>
        <w:t xml:space="preserve">measures to ensure the integrity of the tax credit. </w:t>
      </w:r>
      <w:r w:rsidR="00B174F3">
        <w:t>It proposes certain adjustments to the definition of eligible R&amp;D and seeks Ministers’ approval for their inclusion in the Discussion Documen</w:t>
      </w:r>
      <w:r w:rsidR="0071515B">
        <w:t>t</w:t>
      </w:r>
      <w:r w:rsidR="00B174F3">
        <w:t xml:space="preserve">. </w:t>
      </w:r>
      <w:r>
        <w:t>It also responds to a request from Ministers at DE</w:t>
      </w:r>
      <w:r w:rsidR="009E6F96">
        <w:t>V for advice about the penalty</w:t>
      </w:r>
      <w:r>
        <w:t xml:space="preserve"> r</w:t>
      </w:r>
      <w:r w:rsidR="009E6F96">
        <w:t>ules</w:t>
      </w:r>
      <w:r>
        <w:t xml:space="preserve"> that would apply to</w:t>
      </w:r>
      <w:r w:rsidR="00B32636">
        <w:t xml:space="preserve"> inappropriate claims under the</w:t>
      </w:r>
      <w:r>
        <w:t xml:space="preserve"> </w:t>
      </w:r>
      <w:r w:rsidR="00B32636">
        <w:t>tax credit</w:t>
      </w:r>
      <w:r>
        <w:t>.</w:t>
      </w:r>
    </w:p>
    <w:p w:rsidR="00A62968" w:rsidRDefault="00A62968" w:rsidP="00D94B1F">
      <w:pPr>
        <w:pStyle w:val="TRNormal"/>
        <w:tabs>
          <w:tab w:val="left" w:pos="567"/>
        </w:tabs>
      </w:pPr>
    </w:p>
    <w:p w:rsidR="00A62968" w:rsidRDefault="00673098" w:rsidP="00D94B1F">
      <w:pPr>
        <w:pStyle w:val="TRNormal"/>
        <w:tabs>
          <w:tab w:val="left" w:pos="567"/>
        </w:tabs>
      </w:pPr>
      <w:r>
        <w:fldChar w:fldCharType="begin"/>
      </w:r>
      <w:r>
        <w:instrText xml:space="preserve"> AUTONUM  </w:instrText>
      </w:r>
      <w:r>
        <w:fldChar w:fldCharType="end"/>
      </w:r>
      <w:r>
        <w:tab/>
      </w:r>
      <w:r w:rsidR="00A62968">
        <w:t xml:space="preserve">This report has three sections. The first outlines the framework for the </w:t>
      </w:r>
      <w:r w:rsidR="00120AC2">
        <w:t xml:space="preserve">R&amp;D </w:t>
      </w:r>
      <w:r w:rsidR="00A62968">
        <w:t xml:space="preserve">tax credit and how this supports its integrity. The second proposes some particular </w:t>
      </w:r>
      <w:r w:rsidR="00FD0E7D">
        <w:t xml:space="preserve">refinements to the definition of R&amp;D that was described in the </w:t>
      </w:r>
      <w:r>
        <w:t>technical design features report in order to support appropriate expenditure</w:t>
      </w:r>
      <w:r w:rsidR="00A62968">
        <w:t xml:space="preserve">. The third outlines </w:t>
      </w:r>
      <w:r w:rsidR="009E6F96">
        <w:t xml:space="preserve">possible new </w:t>
      </w:r>
      <w:r>
        <w:t xml:space="preserve">penalties </w:t>
      </w:r>
      <w:r w:rsidR="009E6F96">
        <w:t>for the R&amp;D tax credit to complement existing penalty rules</w:t>
      </w:r>
      <w:r>
        <w:t>.</w:t>
      </w:r>
    </w:p>
    <w:p w:rsidR="00DB0C14" w:rsidRPr="00D950E1" w:rsidRDefault="00673098">
      <w:pPr>
        <w:pStyle w:val="TRHeading1"/>
      </w:pPr>
      <w:r>
        <w:t>How the framework supports integrity</w:t>
      </w:r>
    </w:p>
    <w:p w:rsidR="00ED4D94" w:rsidRDefault="00E33E52" w:rsidP="00E33E52">
      <w:pPr>
        <w:pStyle w:val="TRNormal"/>
        <w:tabs>
          <w:tab w:val="left" w:pos="567"/>
        </w:tabs>
      </w:pPr>
      <w:r>
        <w:fldChar w:fldCharType="begin"/>
      </w:r>
      <w:r>
        <w:instrText xml:space="preserve"> AUTONUM  </w:instrText>
      </w:r>
      <w:r>
        <w:fldChar w:fldCharType="end"/>
      </w:r>
      <w:r>
        <w:tab/>
      </w:r>
      <w:r w:rsidR="009E6F96">
        <w:t>As noted in a previous report (1714 17-18, IR2018/083 refers), t</w:t>
      </w:r>
      <w:r w:rsidR="00673098">
        <w:t xml:space="preserve">he </w:t>
      </w:r>
      <w:r w:rsidR="00ED4D94">
        <w:t xml:space="preserve">objectives </w:t>
      </w:r>
      <w:r w:rsidR="0071515B">
        <w:t xml:space="preserve">for designing </w:t>
      </w:r>
      <w:r w:rsidR="00ED4D94">
        <w:t xml:space="preserve">an </w:t>
      </w:r>
      <w:r w:rsidR="00673098">
        <w:t xml:space="preserve">R&amp;D tax credit </w:t>
      </w:r>
      <w:r w:rsidR="00ED4D94">
        <w:t xml:space="preserve">are to provide easily accessible support to a broad range of business R&amp;D, </w:t>
      </w:r>
      <w:r w:rsidR="00DC36D0">
        <w:t>in a fiscally responsible way</w:t>
      </w:r>
      <w:r w:rsidR="00ED4D94">
        <w:t>, while maintaining trust and confidence in the tax system. Each element of these objectives has integrity implications.</w:t>
      </w:r>
    </w:p>
    <w:p w:rsidR="00ED4D94" w:rsidRDefault="00ED4D94" w:rsidP="00E33E52">
      <w:pPr>
        <w:pStyle w:val="TRNormal"/>
        <w:tabs>
          <w:tab w:val="left" w:pos="567"/>
        </w:tabs>
      </w:pPr>
    </w:p>
    <w:p w:rsidR="00ED4D94" w:rsidRDefault="009119DA" w:rsidP="00E33E52">
      <w:pPr>
        <w:pStyle w:val="TRNormal"/>
        <w:tabs>
          <w:tab w:val="left" w:pos="567"/>
        </w:tabs>
      </w:pPr>
      <w:r>
        <w:fldChar w:fldCharType="begin"/>
      </w:r>
      <w:r>
        <w:instrText xml:space="preserve"> AUTONUM  </w:instrText>
      </w:r>
      <w:r>
        <w:fldChar w:fldCharType="end"/>
      </w:r>
      <w:r>
        <w:tab/>
      </w:r>
      <w:r w:rsidR="00ED4D94">
        <w:t xml:space="preserve">Providing easily accessible support means that the compliance burden associated with applying for the tax credit should be kept to a minimum. This requires the information requirements be consistent with normal business practices. </w:t>
      </w:r>
    </w:p>
    <w:p w:rsidR="00ED4D94" w:rsidRDefault="00ED4D94" w:rsidP="00E33E52">
      <w:pPr>
        <w:pStyle w:val="TRNormal"/>
        <w:tabs>
          <w:tab w:val="left" w:pos="567"/>
        </w:tabs>
      </w:pPr>
    </w:p>
    <w:p w:rsidR="00DB0C14" w:rsidRDefault="009119DA" w:rsidP="00E33E52">
      <w:pPr>
        <w:pStyle w:val="TRNormal"/>
        <w:tabs>
          <w:tab w:val="left" w:pos="567"/>
        </w:tabs>
      </w:pPr>
      <w:r>
        <w:fldChar w:fldCharType="begin"/>
      </w:r>
      <w:r>
        <w:instrText xml:space="preserve"> AUTONUM  </w:instrText>
      </w:r>
      <w:r>
        <w:fldChar w:fldCharType="end"/>
      </w:r>
      <w:r>
        <w:tab/>
      </w:r>
      <w:r w:rsidR="00ED4D94">
        <w:t xml:space="preserve">It also means there is as little ambiguity as possible as to what constitutes eligible R&amp;D expenditure. This can be challenging as </w:t>
      </w:r>
      <w:r w:rsidR="00307E6E">
        <w:t>research and development, as it is used colloquially,</w:t>
      </w:r>
      <w:r w:rsidR="00ED4D94">
        <w:t xml:space="preserve"> doesn’t have </w:t>
      </w:r>
      <w:r w:rsidR="00307E6E">
        <w:t>a precise definition. Firms may consider they are doing R&amp;D because a project is innovative and challenging but not comply with the definition within the legislation. Consequently, an important aspect of the definition of R&amp;D is to favour clarity as to what qualifies and what doesn’t, even if – at the margin – this might disqualify some expenditure that is worthy of support.</w:t>
      </w:r>
    </w:p>
    <w:p w:rsidR="00307E6E" w:rsidRDefault="00307E6E" w:rsidP="00E33E52">
      <w:pPr>
        <w:pStyle w:val="TRNormal"/>
        <w:tabs>
          <w:tab w:val="left" w:pos="567"/>
        </w:tabs>
      </w:pPr>
    </w:p>
    <w:p w:rsidR="00832E88" w:rsidRDefault="009119DA" w:rsidP="009119DA">
      <w:pPr>
        <w:tabs>
          <w:tab w:val="left" w:pos="567"/>
        </w:tabs>
      </w:pPr>
      <w:r>
        <w:fldChar w:fldCharType="begin"/>
      </w:r>
      <w:r>
        <w:instrText xml:space="preserve"> AUTONUM  </w:instrText>
      </w:r>
      <w:r>
        <w:fldChar w:fldCharType="end"/>
      </w:r>
      <w:r>
        <w:tab/>
      </w:r>
      <w:r w:rsidR="00307E6E">
        <w:t xml:space="preserve">It is also the case that government will learn with experience. </w:t>
      </w:r>
      <w:r w:rsidR="00832E88">
        <w:t xml:space="preserve">There needs to be a flexible regulatory environment both to keep up with how R&amp;D is changing for firms and to address what appears to be abuse of the scheme. Though stability of the scheme is an objective because this will be conducive to firms planning to undertake R&amp;D, it has to be tempered by a </w:t>
      </w:r>
      <w:r>
        <w:t>commitment to adjust the legislation when warranted</w:t>
      </w:r>
      <w:r w:rsidR="00832E88">
        <w:t>.</w:t>
      </w:r>
    </w:p>
    <w:p w:rsidR="00307E6E" w:rsidRDefault="00307E6E" w:rsidP="00E33E52">
      <w:pPr>
        <w:pStyle w:val="TRNormal"/>
        <w:tabs>
          <w:tab w:val="left" w:pos="567"/>
        </w:tabs>
      </w:pPr>
    </w:p>
    <w:p w:rsidR="00307E6E" w:rsidRDefault="009119DA" w:rsidP="00E33E52">
      <w:pPr>
        <w:pStyle w:val="TRNormal"/>
        <w:tabs>
          <w:tab w:val="left" w:pos="567"/>
        </w:tabs>
      </w:pPr>
      <w:r>
        <w:fldChar w:fldCharType="begin"/>
      </w:r>
      <w:r>
        <w:instrText xml:space="preserve"> AUTONUM  </w:instrText>
      </w:r>
      <w:r>
        <w:fldChar w:fldCharType="end"/>
      </w:r>
      <w:r>
        <w:tab/>
      </w:r>
      <w:r w:rsidR="00307E6E">
        <w:t>Applying the concept of fiscal</w:t>
      </w:r>
      <w:r w:rsidR="00DC36D0">
        <w:t xml:space="preserve"> responsibility</w:t>
      </w:r>
      <w:r w:rsidR="00307E6E">
        <w:t xml:space="preserve"> to integrity is also challenging. On the one hand, increased expenditure as a result of firms undertaking more R&amp;D is exactly what the scheme is aiming for.</w:t>
      </w:r>
      <w:r w:rsidR="00832E88">
        <w:t xml:space="preserve"> On the other hand, rapid increases in expenditure under the scheme</w:t>
      </w:r>
      <w:r w:rsidR="00307E6E">
        <w:t xml:space="preserve"> </w:t>
      </w:r>
      <w:r w:rsidR="00832E88">
        <w:t>may signal a proliferation of low value claims.</w:t>
      </w:r>
    </w:p>
    <w:p w:rsidR="009119DA" w:rsidRDefault="009119DA" w:rsidP="00E33E52">
      <w:pPr>
        <w:pStyle w:val="TRNormal"/>
        <w:tabs>
          <w:tab w:val="left" w:pos="567"/>
        </w:tabs>
      </w:pPr>
    </w:p>
    <w:p w:rsidR="00316C49" w:rsidRDefault="009119DA" w:rsidP="00E33E52">
      <w:pPr>
        <w:pStyle w:val="TRNormal"/>
        <w:tabs>
          <w:tab w:val="left" w:pos="567"/>
        </w:tabs>
      </w:pPr>
      <w:r>
        <w:fldChar w:fldCharType="begin"/>
      </w:r>
      <w:r>
        <w:instrText xml:space="preserve"> AUTONUM  </w:instrText>
      </w:r>
      <w:r>
        <w:fldChar w:fldCharType="end"/>
      </w:r>
      <w:r>
        <w:tab/>
      </w:r>
      <w:r w:rsidR="00316C49">
        <w:t xml:space="preserve">Perceptions that the </w:t>
      </w:r>
      <w:r w:rsidR="00120AC2">
        <w:t>scheme</w:t>
      </w:r>
      <w:r w:rsidR="00316C49">
        <w:t xml:space="preserve"> is rewarding claims that do not represent genuine R&amp;D or that tax advisors are claiming too great a share of the expenditure will undermine the credibility of the scheme.</w:t>
      </w:r>
    </w:p>
    <w:p w:rsidR="00316C49" w:rsidRDefault="00316C49" w:rsidP="00E33E52">
      <w:pPr>
        <w:pStyle w:val="TRNormal"/>
        <w:tabs>
          <w:tab w:val="left" w:pos="567"/>
        </w:tabs>
      </w:pPr>
    </w:p>
    <w:p w:rsidR="009119DA" w:rsidRDefault="00316C49" w:rsidP="00E33E52">
      <w:pPr>
        <w:pStyle w:val="TRNormal"/>
        <w:tabs>
          <w:tab w:val="left" w:pos="567"/>
        </w:tabs>
      </w:pPr>
      <w:r>
        <w:fldChar w:fldCharType="begin"/>
      </w:r>
      <w:r>
        <w:instrText xml:space="preserve"> AUTONUM  </w:instrText>
      </w:r>
      <w:r>
        <w:fldChar w:fldCharType="end"/>
      </w:r>
      <w:r>
        <w:tab/>
      </w:r>
      <w:r w:rsidR="002B3DE7">
        <w:t>As stated in the Discussion Document, the Government is committed</w:t>
      </w:r>
      <w:r w:rsidR="009119DA">
        <w:t xml:space="preserve"> to </w:t>
      </w:r>
      <w:r w:rsidR="00B174F3">
        <w:t xml:space="preserve">monitoring </w:t>
      </w:r>
      <w:r w:rsidR="0051239A">
        <w:t xml:space="preserve">the </w:t>
      </w:r>
      <w:r w:rsidR="002B3DE7">
        <w:t xml:space="preserve">scheme and will have the ability to speedily identify and remedy issues that could compromise the integrity of the scheme. </w:t>
      </w:r>
      <w:r w:rsidR="001F6DA1">
        <w:t xml:space="preserve">This sends </w:t>
      </w:r>
      <w:r w:rsidR="009119DA">
        <w:t>a clear signal that the Government will maintain a focus on the scheme meeting its objectives and delivering value for money.</w:t>
      </w:r>
    </w:p>
    <w:p w:rsidR="009119DA" w:rsidRDefault="009119DA" w:rsidP="00E33E52">
      <w:pPr>
        <w:pStyle w:val="TRNormal"/>
        <w:tabs>
          <w:tab w:val="left" w:pos="567"/>
        </w:tabs>
      </w:pPr>
    </w:p>
    <w:p w:rsidR="00BD357C" w:rsidRDefault="008F29EE" w:rsidP="00E33E52">
      <w:pPr>
        <w:pStyle w:val="TRNormal"/>
        <w:tabs>
          <w:tab w:val="left" w:pos="567"/>
        </w:tabs>
      </w:pPr>
      <w:r>
        <w:fldChar w:fldCharType="begin"/>
      </w:r>
      <w:r>
        <w:instrText xml:space="preserve"> AUTONUM  </w:instrText>
      </w:r>
      <w:r>
        <w:fldChar w:fldCharType="end"/>
      </w:r>
      <w:r>
        <w:tab/>
      </w:r>
      <w:r w:rsidR="00DC36D0">
        <w:t>B</w:t>
      </w:r>
      <w:r>
        <w:t xml:space="preserve">eing part of the tax system means that the tax credit will influence perceptions of that system. </w:t>
      </w:r>
      <w:r w:rsidR="00BD357C">
        <w:t>The tax system relies on voluntary compliance which in turn hinges on public confidence that the system is fair.</w:t>
      </w:r>
      <w:r w:rsidR="009119DA">
        <w:t xml:space="preserve"> An erosion of trust in one part of the system can undermine compliance in other parts of the tax system.</w:t>
      </w:r>
      <w:r w:rsidR="00443126">
        <w:t xml:space="preserve"> </w:t>
      </w:r>
    </w:p>
    <w:p w:rsidR="00BD357C" w:rsidRDefault="00BD357C" w:rsidP="00E33E52">
      <w:pPr>
        <w:pStyle w:val="TRNormal"/>
        <w:tabs>
          <w:tab w:val="left" w:pos="567"/>
        </w:tabs>
      </w:pPr>
    </w:p>
    <w:p w:rsidR="009119DA" w:rsidRDefault="00BD357C" w:rsidP="00E33E52">
      <w:pPr>
        <w:pStyle w:val="TRNormal"/>
        <w:tabs>
          <w:tab w:val="left" w:pos="567"/>
        </w:tabs>
      </w:pPr>
      <w:r>
        <w:fldChar w:fldCharType="begin"/>
      </w:r>
      <w:r>
        <w:instrText xml:space="preserve"> AUTONUM  </w:instrText>
      </w:r>
      <w:r>
        <w:fldChar w:fldCharType="end"/>
      </w:r>
      <w:r>
        <w:tab/>
      </w:r>
      <w:r w:rsidR="00316C49">
        <w:t xml:space="preserve">Inland Revenue will audit </w:t>
      </w:r>
      <w:r>
        <w:t xml:space="preserve">a selection of </w:t>
      </w:r>
      <w:r w:rsidR="00316C49">
        <w:t>claims to test their validity and enforce</w:t>
      </w:r>
      <w:r w:rsidR="007B4F1C">
        <w:t xml:space="preserve"> compliance with the legislation.</w:t>
      </w:r>
      <w:r>
        <w:t xml:space="preserve"> But this will not be a comprehensive safeguard so the transparency measures (discussed in 1892 17-18, IR2018/084) and integrity measures discussed in this report will be necessary adjuncts</w:t>
      </w:r>
      <w:r w:rsidR="00B96F2E">
        <w:t xml:space="preserve"> to support the integrity of the tax credit.</w:t>
      </w:r>
    </w:p>
    <w:p w:rsidR="007B4F1C" w:rsidRDefault="007B4F1C" w:rsidP="00E33E52">
      <w:pPr>
        <w:pStyle w:val="TRNormal"/>
        <w:tabs>
          <w:tab w:val="left" w:pos="567"/>
        </w:tabs>
      </w:pPr>
    </w:p>
    <w:p w:rsidR="00DB0C14" w:rsidRDefault="007B4F1C" w:rsidP="007B4F1C">
      <w:pPr>
        <w:pStyle w:val="TRHeading1"/>
      </w:pPr>
      <w:r>
        <w:t>Refinements to the definition of R&amp;D</w:t>
      </w:r>
    </w:p>
    <w:p w:rsidR="00990C8A" w:rsidRDefault="00990C8A" w:rsidP="00290415">
      <w:pPr>
        <w:pStyle w:val="TRNormal"/>
        <w:tabs>
          <w:tab w:val="left" w:pos="567"/>
        </w:tabs>
      </w:pPr>
      <w:r>
        <w:fldChar w:fldCharType="begin"/>
      </w:r>
      <w:r>
        <w:instrText xml:space="preserve"> AUTONUM  </w:instrText>
      </w:r>
      <w:r>
        <w:fldChar w:fldCharType="end"/>
      </w:r>
      <w:r>
        <w:tab/>
      </w:r>
      <w:r w:rsidR="00290415">
        <w:t xml:space="preserve">The technical design features briefing (1892 17-18, IR2018/084 refers) outlined the definition of R&amp;D, including eligible and ineligible activities and </w:t>
      </w:r>
      <w:r>
        <w:t xml:space="preserve">expenditure categories. Since finalising that report, officials have completed a review of claims from the 2008 R&amp;D tax credit. This has led us to propose </w:t>
      </w:r>
      <w:r w:rsidR="00120AC2">
        <w:t>certain</w:t>
      </w:r>
      <w:r>
        <w:t xml:space="preserve"> refinements</w:t>
      </w:r>
      <w:r w:rsidR="00120AC2">
        <w:t xml:space="preserve"> to the R&amp;D definition</w:t>
      </w:r>
      <w:r>
        <w:t>.</w:t>
      </w:r>
      <w:r w:rsidR="003F0FBE">
        <w:t xml:space="preserve"> These have been incorporated into the draft Discussion Document</w:t>
      </w:r>
      <w:r w:rsidR="0071515B">
        <w:t xml:space="preserve"> that has</w:t>
      </w:r>
      <w:r w:rsidR="00EA705D">
        <w:t xml:space="preserve"> be</w:t>
      </w:r>
      <w:r w:rsidR="0071515B">
        <w:t>en</w:t>
      </w:r>
      <w:r w:rsidR="00EA705D">
        <w:t xml:space="preserve"> presented to Ministers as an attachment to briefing </w:t>
      </w:r>
      <w:r w:rsidR="009E6F96">
        <w:t>2216 17-18, IR2018/133.</w:t>
      </w:r>
    </w:p>
    <w:p w:rsidR="00990C8A" w:rsidRDefault="00990C8A" w:rsidP="00290415">
      <w:pPr>
        <w:pStyle w:val="TRNormal"/>
        <w:tabs>
          <w:tab w:val="left" w:pos="567"/>
        </w:tabs>
      </w:pPr>
    </w:p>
    <w:p w:rsidR="007B4F1C" w:rsidRPr="00290415" w:rsidRDefault="00990C8A" w:rsidP="00290415">
      <w:pPr>
        <w:pStyle w:val="TRNormal"/>
        <w:tabs>
          <w:tab w:val="left" w:pos="567"/>
        </w:tabs>
      </w:pPr>
      <w:r>
        <w:fldChar w:fldCharType="begin"/>
      </w:r>
      <w:r>
        <w:instrText xml:space="preserve"> AUTONUM  </w:instrText>
      </w:r>
      <w:r>
        <w:fldChar w:fldCharType="end"/>
      </w:r>
      <w:r>
        <w:tab/>
      </w:r>
      <w:r w:rsidR="007B4F1C" w:rsidRPr="00290415">
        <w:t xml:space="preserve">A common theme from </w:t>
      </w:r>
      <w:r w:rsidR="00670E3B">
        <w:t xml:space="preserve">the </w:t>
      </w:r>
      <w:r w:rsidR="007B4F1C" w:rsidRPr="00290415">
        <w:t xml:space="preserve">2008 claims is that firms undertook R&amp;D as part of a broader project. The claim was for </w:t>
      </w:r>
      <w:proofErr w:type="gramStart"/>
      <w:r w:rsidR="007B4F1C" w:rsidRPr="00290415">
        <w:t>all the</w:t>
      </w:r>
      <w:proofErr w:type="gramEnd"/>
      <w:r w:rsidR="007B4F1C" w:rsidRPr="00290415">
        <w:t xml:space="preserve"> project; business as usual expenses were included as R&amp;D. The result was claims many times greater than what the IR investigators considered was genuine R&amp;D. However, applicants successfully argued that their claims were permissible according to the letter of the law.</w:t>
      </w:r>
    </w:p>
    <w:p w:rsidR="007B4F1C" w:rsidRPr="00290415" w:rsidRDefault="007B4F1C" w:rsidP="00290415">
      <w:pPr>
        <w:pStyle w:val="TRNormal"/>
        <w:tabs>
          <w:tab w:val="left" w:pos="567"/>
        </w:tabs>
      </w:pPr>
    </w:p>
    <w:p w:rsidR="007B4F1C" w:rsidRDefault="00990C8A" w:rsidP="00864BB6">
      <w:pPr>
        <w:pStyle w:val="TRNormal"/>
        <w:tabs>
          <w:tab w:val="left" w:pos="567"/>
        </w:tabs>
        <w:rPr>
          <w:rFonts w:ascii="Verdana" w:hAnsi="Verdana"/>
          <w:sz w:val="20"/>
        </w:rPr>
      </w:pPr>
      <w:r>
        <w:fldChar w:fldCharType="begin"/>
      </w:r>
      <w:r>
        <w:instrText xml:space="preserve"> AUTONUM  </w:instrText>
      </w:r>
      <w:r>
        <w:fldChar w:fldCharType="end"/>
      </w:r>
      <w:r>
        <w:tab/>
      </w:r>
      <w:r w:rsidR="007B4F1C" w:rsidRPr="00290415">
        <w:t>For the 2019 tax credit, officials therefore propose the following adjustments to the previous definition in order to provide greater clarity and to better target the credit to genuine R&amp;D.</w:t>
      </w:r>
    </w:p>
    <w:p w:rsidR="007B4F1C" w:rsidRPr="00F03E69" w:rsidRDefault="00864BB6" w:rsidP="00990C8A">
      <w:pPr>
        <w:pStyle w:val="TRHeading2"/>
      </w:pPr>
      <w:r>
        <w:t>Issue: Dual purpose R&amp;D</w:t>
      </w:r>
      <w:r w:rsidR="00670E3B">
        <w:t xml:space="preserve"> </w:t>
      </w:r>
    </w:p>
    <w:p w:rsidR="00E97400" w:rsidRDefault="00990C8A" w:rsidP="00E97400">
      <w:pPr>
        <w:pStyle w:val="TRNormal"/>
        <w:tabs>
          <w:tab w:val="left" w:pos="567"/>
        </w:tabs>
        <w:jc w:val="left"/>
      </w:pPr>
      <w:r>
        <w:fldChar w:fldCharType="begin"/>
      </w:r>
      <w:r>
        <w:instrText xml:space="preserve"> AUTONUM  </w:instrText>
      </w:r>
      <w:r>
        <w:fldChar w:fldCharType="end"/>
      </w:r>
      <w:r>
        <w:tab/>
      </w:r>
      <w:r w:rsidR="00E97400" w:rsidRPr="00E97400">
        <w:rPr>
          <w:highlight w:val="black"/>
        </w:rPr>
        <w:t>.</w:t>
      </w:r>
      <w:r w:rsidR="00E97400" w:rsidRPr="00E97400">
        <w:rPr>
          <w:color w:val="FFFFFF" w:themeColor="background1"/>
          <w:sz w:val="20"/>
          <w:highlight w:val="black"/>
        </w:rPr>
        <w:t>Withheld under section 81 of the Tax Administration Act 1994</w:t>
      </w:r>
      <w:r w:rsidR="00E97400" w:rsidRPr="00E97400">
        <w:rPr>
          <w:highlight w:val="black"/>
        </w:rPr>
        <w:t>..................................................................</w:t>
      </w:r>
    </w:p>
    <w:p w:rsidR="007B4F1C" w:rsidRPr="00E97400" w:rsidRDefault="00E97400" w:rsidP="00E97400">
      <w:pPr>
        <w:pStyle w:val="TRNormal"/>
        <w:tabs>
          <w:tab w:val="left" w:pos="567"/>
        </w:tabs>
        <w:jc w:val="left"/>
        <w:rPr>
          <w:highlight w:val="black"/>
        </w:rPr>
      </w:pPr>
      <w:r w:rsidRPr="00E97400">
        <w:rPr>
          <w:highlight w:val="black"/>
        </w:rPr>
        <w:t>.................................................................................................................</w:t>
      </w:r>
      <w:r>
        <w:rPr>
          <w:highlight w:val="black"/>
        </w:rPr>
        <w:t>.</w:t>
      </w:r>
      <w:r w:rsidRPr="00E97400">
        <w:rPr>
          <w:highlight w:val="black"/>
        </w:rPr>
        <w:t>....</w:t>
      </w:r>
    </w:p>
    <w:p w:rsidR="007B4F1C" w:rsidRPr="00290415" w:rsidRDefault="007B4F1C" w:rsidP="00290415">
      <w:pPr>
        <w:pStyle w:val="TRNormal"/>
        <w:tabs>
          <w:tab w:val="left" w:pos="567"/>
        </w:tabs>
      </w:pPr>
    </w:p>
    <w:p w:rsidR="007B4F1C" w:rsidRPr="00290415" w:rsidRDefault="00990C8A" w:rsidP="00290415">
      <w:pPr>
        <w:pStyle w:val="TRNormal"/>
        <w:tabs>
          <w:tab w:val="left" w:pos="567"/>
        </w:tabs>
      </w:pPr>
      <w:r>
        <w:fldChar w:fldCharType="begin"/>
      </w:r>
      <w:r>
        <w:instrText xml:space="preserve"> AUTONUM  </w:instrText>
      </w:r>
      <w:r>
        <w:fldChar w:fldCharType="end"/>
      </w:r>
      <w:r>
        <w:tab/>
      </w:r>
      <w:r w:rsidR="007B4F1C" w:rsidRPr="00290415">
        <w:t xml:space="preserve">Officials consider R&amp;D can legitimately occur with respect to the operation of a manufacturing plant. However, the appropriate amount of </w:t>
      </w:r>
      <w:r w:rsidR="00864BB6">
        <w:t xml:space="preserve">eligible </w:t>
      </w:r>
      <w:r w:rsidR="007B4F1C" w:rsidRPr="00290415">
        <w:t xml:space="preserve">R&amp;D </w:t>
      </w:r>
      <w:r w:rsidR="00864BB6">
        <w:t xml:space="preserve">expenditure </w:t>
      </w:r>
      <w:r w:rsidR="007B4F1C" w:rsidRPr="00290415">
        <w:t xml:space="preserve">would be the extra expenditure incurred over what it would have cost to manufacture the firm’s output without any R&amp;D. </w:t>
      </w:r>
      <w:r w:rsidR="00864BB6">
        <w:t>This would isolate the actual cost of the R&amp;D from the business as usual costs of the entity.</w:t>
      </w:r>
    </w:p>
    <w:p w:rsidR="007B4F1C" w:rsidRPr="00290415" w:rsidRDefault="007B4F1C" w:rsidP="00290415">
      <w:pPr>
        <w:pStyle w:val="TRNormal"/>
        <w:tabs>
          <w:tab w:val="left" w:pos="567"/>
        </w:tabs>
      </w:pPr>
    </w:p>
    <w:p w:rsidR="007B4F1C" w:rsidRPr="00290415" w:rsidRDefault="00990C8A" w:rsidP="00290415">
      <w:pPr>
        <w:pStyle w:val="TRNormal"/>
        <w:tabs>
          <w:tab w:val="left" w:pos="567"/>
        </w:tabs>
      </w:pPr>
      <w:r>
        <w:fldChar w:fldCharType="begin"/>
      </w:r>
      <w:r>
        <w:instrText xml:space="preserve"> AUTONUM  </w:instrText>
      </w:r>
      <w:r>
        <w:fldChar w:fldCharType="end"/>
      </w:r>
      <w:r>
        <w:tab/>
      </w:r>
      <w:r w:rsidR="007B4F1C" w:rsidRPr="00290415">
        <w:t>One way to address this would be to introduce a “to the extent” test. This would mean that where an activity has an R&amp;D purpose and another purpose (in this case manufacturing output), the applicant would be required to apportion expenditure to R&amp;D and the other purpose.</w:t>
      </w:r>
    </w:p>
    <w:p w:rsidR="007B4F1C" w:rsidRPr="00290415" w:rsidRDefault="007B4F1C" w:rsidP="00290415">
      <w:pPr>
        <w:pStyle w:val="TRNormal"/>
        <w:tabs>
          <w:tab w:val="left" w:pos="567"/>
        </w:tabs>
      </w:pPr>
    </w:p>
    <w:p w:rsidR="007B4F1C" w:rsidRPr="00290415" w:rsidRDefault="00990C8A" w:rsidP="00290415">
      <w:pPr>
        <w:pStyle w:val="TRNormal"/>
        <w:tabs>
          <w:tab w:val="left" w:pos="567"/>
        </w:tabs>
      </w:pPr>
      <w:r>
        <w:fldChar w:fldCharType="begin"/>
      </w:r>
      <w:r>
        <w:instrText xml:space="preserve"> AUTONUM  </w:instrText>
      </w:r>
      <w:r>
        <w:fldChar w:fldCharType="end"/>
      </w:r>
      <w:r>
        <w:tab/>
      </w:r>
      <w:r w:rsidR="007B4F1C" w:rsidRPr="00290415">
        <w:t xml:space="preserve">The problem with this test is that its application is fact specific. This will potentially lead to a high administration and compliance costs associated with establishing how much of an activity is for an R&amp;D purpose and how much for another purpose. There is also a risk that it would not be as robust as expected and still allow </w:t>
      </w:r>
      <w:proofErr w:type="spellStart"/>
      <w:r w:rsidR="007B4F1C" w:rsidRPr="00290415">
        <w:t>recharacterisation</w:t>
      </w:r>
      <w:proofErr w:type="spellEnd"/>
      <w:r w:rsidR="007B4F1C" w:rsidRPr="00290415">
        <w:t>.</w:t>
      </w:r>
    </w:p>
    <w:p w:rsidR="007B4F1C" w:rsidRPr="00290415" w:rsidRDefault="007B4F1C" w:rsidP="00290415">
      <w:pPr>
        <w:pStyle w:val="TRNormal"/>
        <w:tabs>
          <w:tab w:val="left" w:pos="567"/>
        </w:tabs>
      </w:pPr>
    </w:p>
    <w:p w:rsidR="00B02AD3" w:rsidRDefault="00990C8A" w:rsidP="00290415">
      <w:pPr>
        <w:pStyle w:val="TRNormal"/>
        <w:tabs>
          <w:tab w:val="left" w:pos="567"/>
        </w:tabs>
      </w:pPr>
      <w:r>
        <w:fldChar w:fldCharType="begin"/>
      </w:r>
      <w:r>
        <w:instrText xml:space="preserve"> AUTONUM  </w:instrText>
      </w:r>
      <w:r>
        <w:fldChar w:fldCharType="end"/>
      </w:r>
      <w:r>
        <w:tab/>
      </w:r>
      <w:r w:rsidR="007B4F1C" w:rsidRPr="00290415">
        <w:t xml:space="preserve">Officials therefore propose a clearer rule </w:t>
      </w:r>
      <w:r w:rsidR="00670E3B">
        <w:t xml:space="preserve">that to be </w:t>
      </w:r>
      <w:proofErr w:type="gramStart"/>
      <w:r w:rsidR="00670E3B">
        <w:t>eligible,</w:t>
      </w:r>
      <w:proofErr w:type="gramEnd"/>
      <w:r w:rsidR="00670E3B">
        <w:t xml:space="preserve"> an activity must be</w:t>
      </w:r>
      <w:r w:rsidR="007B4F1C" w:rsidRPr="00290415">
        <w:t xml:space="preserve"> for </w:t>
      </w:r>
      <w:r w:rsidR="00864BB6">
        <w:t xml:space="preserve">the sole purpose of </w:t>
      </w:r>
      <w:r w:rsidR="007B4F1C" w:rsidRPr="00290415">
        <w:t xml:space="preserve">R&amp;D. </w:t>
      </w:r>
      <w:r w:rsidR="00B02AD3" w:rsidRPr="00290415">
        <w:t>This woul</w:t>
      </w:r>
      <w:r w:rsidR="00B02AD3">
        <w:t>d mean that dual purpose activities</w:t>
      </w:r>
      <w:r w:rsidR="00B02AD3" w:rsidRPr="00290415">
        <w:t xml:space="preserve"> </w:t>
      </w:r>
      <w:r w:rsidR="00B02AD3">
        <w:t xml:space="preserve">would not be </w:t>
      </w:r>
      <w:r w:rsidR="00B02AD3" w:rsidRPr="00290415">
        <w:t>eligible</w:t>
      </w:r>
      <w:r w:rsidR="00B02AD3">
        <w:t xml:space="preserve"> R&amp;D expenditure</w:t>
      </w:r>
      <w:r w:rsidR="00B02AD3" w:rsidRPr="00290415">
        <w:t xml:space="preserve">. </w:t>
      </w:r>
      <w:r w:rsidR="00864BB6">
        <w:t xml:space="preserve">In the example above, this rule </w:t>
      </w:r>
      <w:r w:rsidR="00B02AD3">
        <w:t>would have excluded the costs of the manufacturing operation as eligible R&amp;D expenditure because there would have been an additional purpose of producing output for sale.</w:t>
      </w:r>
      <w:r w:rsidR="00864BB6">
        <w:t xml:space="preserve"> </w:t>
      </w:r>
    </w:p>
    <w:p w:rsidR="00B02AD3" w:rsidRDefault="00B02AD3" w:rsidP="00290415">
      <w:pPr>
        <w:pStyle w:val="TRNormal"/>
        <w:tabs>
          <w:tab w:val="left" w:pos="567"/>
        </w:tabs>
      </w:pPr>
    </w:p>
    <w:p w:rsidR="00B02AD3" w:rsidRDefault="00B02AD3" w:rsidP="00290415">
      <w:pPr>
        <w:pStyle w:val="TRNormal"/>
        <w:tabs>
          <w:tab w:val="left" w:pos="567"/>
        </w:tabs>
      </w:pPr>
      <w:r>
        <w:fldChar w:fldCharType="begin"/>
      </w:r>
      <w:r>
        <w:instrText xml:space="preserve"> AUTONUM  </w:instrText>
      </w:r>
      <w:r>
        <w:fldChar w:fldCharType="end"/>
      </w:r>
      <w:r>
        <w:tab/>
        <w:t>This rule would not exclude genuine pre-production trials and manufacturing innovation. For example, if a production process is run solely to trial an innovative new method, this could be eligible.</w:t>
      </w:r>
    </w:p>
    <w:p w:rsidR="00B02AD3" w:rsidRDefault="00B02AD3" w:rsidP="00290415">
      <w:pPr>
        <w:pStyle w:val="TRNormal"/>
        <w:tabs>
          <w:tab w:val="left" w:pos="567"/>
        </w:tabs>
      </w:pPr>
    </w:p>
    <w:p w:rsidR="00B02AD3" w:rsidRDefault="00990C8A" w:rsidP="00290415">
      <w:pPr>
        <w:pStyle w:val="TRNormal"/>
        <w:tabs>
          <w:tab w:val="left" w:pos="567"/>
        </w:tabs>
      </w:pPr>
      <w:r>
        <w:fldChar w:fldCharType="begin"/>
      </w:r>
      <w:r>
        <w:instrText xml:space="preserve"> AUTONUM  </w:instrText>
      </w:r>
      <w:r>
        <w:fldChar w:fldCharType="end"/>
      </w:r>
      <w:r>
        <w:tab/>
      </w:r>
      <w:r w:rsidR="00B02AD3">
        <w:t>Nonetheless, t</w:t>
      </w:r>
      <w:r w:rsidR="007B4F1C" w:rsidRPr="00290415">
        <w:t xml:space="preserve">here is a risk of over-reach with this exclusion – that is valid R&amp;D is excluded or firms incur additional costs in order to separate R&amp;D from other activities. </w:t>
      </w:r>
      <w:r w:rsidR="003F0FBE">
        <w:t>However, officials note the</w:t>
      </w:r>
      <w:r w:rsidR="003F0FBE" w:rsidRPr="00290415">
        <w:t xml:space="preserve"> approach is </w:t>
      </w:r>
      <w:r w:rsidR="00B02AD3" w:rsidRPr="00290415">
        <w:t xml:space="preserve">consistent with the </w:t>
      </w:r>
      <w:proofErr w:type="spellStart"/>
      <w:r w:rsidR="00B02AD3" w:rsidRPr="00290415">
        <w:t>brightline</w:t>
      </w:r>
      <w:proofErr w:type="spellEnd"/>
      <w:r w:rsidR="00B02AD3" w:rsidRPr="00290415">
        <w:t xml:space="preserve"> (a clear boundary) test used elsewhere in the tax system</w:t>
      </w:r>
      <w:r w:rsidR="00B02AD3">
        <w:t>. It is also</w:t>
      </w:r>
      <w:r w:rsidR="00B02AD3" w:rsidRPr="00290415">
        <w:t xml:space="preserve"> </w:t>
      </w:r>
      <w:r w:rsidR="003F0FBE" w:rsidRPr="00290415">
        <w:t>similar to that adopted in other jurisdictions</w:t>
      </w:r>
      <w:r w:rsidR="003F0FBE" w:rsidRPr="00120AC2">
        <w:rPr>
          <w:vertAlign w:val="superscript"/>
        </w:rPr>
        <w:footnoteReference w:id="1"/>
      </w:r>
      <w:r w:rsidR="003F0FBE" w:rsidRPr="00290415">
        <w:t>.</w:t>
      </w:r>
      <w:r w:rsidR="003F0FBE">
        <w:t xml:space="preserve"> </w:t>
      </w:r>
    </w:p>
    <w:p w:rsidR="00B02AD3" w:rsidRDefault="00B02AD3" w:rsidP="00290415">
      <w:pPr>
        <w:pStyle w:val="TRNormal"/>
        <w:tabs>
          <w:tab w:val="left" w:pos="567"/>
        </w:tabs>
      </w:pPr>
    </w:p>
    <w:p w:rsidR="007B4F1C" w:rsidRPr="00290415" w:rsidRDefault="00B02AD3" w:rsidP="00B02AD3">
      <w:pPr>
        <w:pStyle w:val="TRBodyText"/>
        <w:tabs>
          <w:tab w:val="left" w:pos="567"/>
        </w:tabs>
      </w:pPr>
      <w:r>
        <w:fldChar w:fldCharType="begin"/>
      </w:r>
      <w:r>
        <w:instrText xml:space="preserve"> AUTONUM  </w:instrText>
      </w:r>
      <w:r>
        <w:fldChar w:fldCharType="end"/>
      </w:r>
      <w:r>
        <w:tab/>
        <w:t xml:space="preserve">On balance, </w:t>
      </w:r>
      <w:r w:rsidR="003F0FBE">
        <w:t xml:space="preserve">officials consider the benefits arising from clarity </w:t>
      </w:r>
      <w:r w:rsidR="008B0177">
        <w:t xml:space="preserve">are likely to </w:t>
      </w:r>
      <w:r w:rsidR="003F0FBE">
        <w:t>outweigh the</w:t>
      </w:r>
      <w:r>
        <w:t xml:space="preserve"> possible</w:t>
      </w:r>
      <w:r w:rsidR="003F0FBE">
        <w:t xml:space="preserve"> costs</w:t>
      </w:r>
      <w:r>
        <w:t>. The proposal will be highlig</w:t>
      </w:r>
      <w:r w:rsidR="0071515B">
        <w:t>hted in the Discussion Document</w:t>
      </w:r>
      <w:r w:rsidR="008B0177">
        <w:t xml:space="preserve"> </w:t>
      </w:r>
      <w:r>
        <w:t xml:space="preserve">so will </w:t>
      </w:r>
      <w:r w:rsidR="008B0177">
        <w:t>be tested through consultation</w:t>
      </w:r>
      <w:r w:rsidR="003F0FBE">
        <w:t>.</w:t>
      </w:r>
    </w:p>
    <w:p w:rsidR="007B4F1C" w:rsidRPr="00290415" w:rsidRDefault="007B4F1C" w:rsidP="00290415">
      <w:pPr>
        <w:pStyle w:val="TRNormal"/>
        <w:tabs>
          <w:tab w:val="left" w:pos="567"/>
        </w:tabs>
      </w:pPr>
    </w:p>
    <w:p w:rsidR="00290415" w:rsidRPr="00990C8A" w:rsidRDefault="00990C8A" w:rsidP="00990C8A">
      <w:pPr>
        <w:pStyle w:val="TRNormal"/>
        <w:tabs>
          <w:tab w:val="left" w:pos="567"/>
        </w:tabs>
      </w:pPr>
      <w:r>
        <w:fldChar w:fldCharType="begin"/>
      </w:r>
      <w:r>
        <w:instrText xml:space="preserve"> AUTONUM  </w:instrText>
      </w:r>
      <w:r>
        <w:fldChar w:fldCharType="end"/>
      </w:r>
      <w:r>
        <w:tab/>
      </w:r>
      <w:r w:rsidR="007B4F1C" w:rsidRPr="00990C8A">
        <w:rPr>
          <w:b/>
          <w:i/>
        </w:rPr>
        <w:t>Proposal:</w:t>
      </w:r>
      <w:r w:rsidR="007B4F1C" w:rsidRPr="00290415">
        <w:t xml:space="preserve"> </w:t>
      </w:r>
      <w:r w:rsidR="00B02AD3">
        <w:t>To be a</w:t>
      </w:r>
      <w:r w:rsidR="00670E3B">
        <w:t>n eligible activity</w:t>
      </w:r>
      <w:r w:rsidR="007B4F1C" w:rsidRPr="00290415">
        <w:t xml:space="preserve"> for the R&amp;D tax </w:t>
      </w:r>
      <w:r w:rsidR="00670E3B">
        <w:t>credit</w:t>
      </w:r>
      <w:r w:rsidR="00B02AD3">
        <w:t xml:space="preserve">, the activity must be for the sole purpose of </w:t>
      </w:r>
      <w:r w:rsidR="007B4F1C" w:rsidRPr="00290415">
        <w:t>R&amp;D.</w:t>
      </w:r>
    </w:p>
    <w:p w:rsidR="007B4F1C" w:rsidRDefault="003853E1" w:rsidP="00990C8A">
      <w:pPr>
        <w:pStyle w:val="TRHeading2"/>
      </w:pPr>
      <w:r>
        <w:t xml:space="preserve">Issue: Eligibility where there is </w:t>
      </w:r>
      <w:r w:rsidR="007B4F1C">
        <w:t>commercial consideration</w:t>
      </w:r>
    </w:p>
    <w:p w:rsidR="007B4F1C" w:rsidRPr="00945AEF" w:rsidRDefault="00990C8A" w:rsidP="00290415">
      <w:pPr>
        <w:pStyle w:val="TRNormal"/>
        <w:tabs>
          <w:tab w:val="left" w:pos="567"/>
        </w:tabs>
        <w:rPr>
          <w:sz w:val="20"/>
          <w:highlight w:val="black"/>
        </w:rPr>
      </w:pPr>
      <w:r>
        <w:fldChar w:fldCharType="begin"/>
      </w:r>
      <w:r>
        <w:instrText xml:space="preserve"> AUTONUM  </w:instrText>
      </w:r>
      <w:r>
        <w:fldChar w:fldCharType="end"/>
      </w:r>
      <w:r>
        <w:tab/>
      </w:r>
      <w:r w:rsidR="00E97400" w:rsidRPr="00945AEF">
        <w:rPr>
          <w:color w:val="FFFFFF" w:themeColor="background1"/>
          <w:sz w:val="20"/>
          <w:highlight w:val="black"/>
        </w:rPr>
        <w:t>Withheld under section 81 of the Tax Administration Act 1994</w:t>
      </w:r>
      <w:r w:rsidR="00E97400" w:rsidRPr="00945AEF">
        <w:rPr>
          <w:sz w:val="20"/>
          <w:highlight w:val="black"/>
        </w:rPr>
        <w:t>................................................................................</w:t>
      </w:r>
    </w:p>
    <w:p w:rsidR="00E97400" w:rsidRPr="00E97400" w:rsidRDefault="00E97400" w:rsidP="00290415">
      <w:pPr>
        <w:pStyle w:val="TRNormal"/>
        <w:tabs>
          <w:tab w:val="left" w:pos="567"/>
        </w:tabs>
        <w:rPr>
          <w:szCs w:val="24"/>
        </w:rPr>
      </w:pPr>
      <w:r w:rsidRPr="00945AEF">
        <w:rPr>
          <w:szCs w:val="24"/>
          <w:highlight w:val="black"/>
        </w:rPr>
        <w:t>.........................................................................................................................................................................................................................................................................................................................................................................................</w:t>
      </w:r>
    </w:p>
    <w:p w:rsidR="007B4F1C" w:rsidRPr="00290415" w:rsidRDefault="007B4F1C" w:rsidP="00290415">
      <w:pPr>
        <w:pStyle w:val="TRNormal"/>
        <w:tabs>
          <w:tab w:val="left" w:pos="567"/>
        </w:tabs>
      </w:pPr>
    </w:p>
    <w:p w:rsidR="007B4F1C" w:rsidRPr="00290415" w:rsidRDefault="007B4F1C" w:rsidP="008B0177">
      <w:pPr>
        <w:pStyle w:val="TRListBullet"/>
        <w:numPr>
          <w:ilvl w:val="0"/>
          <w:numId w:val="39"/>
        </w:numPr>
      </w:pPr>
      <w:r w:rsidRPr="00290415">
        <w:t xml:space="preserve">The 2008 scheme had an “at risk” rule </w:t>
      </w:r>
      <w:r w:rsidR="00CC68E0">
        <w:t xml:space="preserve">- </w:t>
      </w:r>
      <w:r w:rsidR="00EE76A7">
        <w:t>firms claiming the tax credit had to bear the risk of the R&amp;D</w:t>
      </w:r>
      <w:r w:rsidR="00CC68E0">
        <w:t xml:space="preserve"> expenditure. The intention was that the </w:t>
      </w:r>
      <w:r w:rsidRPr="00290415">
        <w:t>party commissioning the R&amp;D w</w:t>
      </w:r>
      <w:r w:rsidR="00CC68E0">
        <w:t xml:space="preserve">ould </w:t>
      </w:r>
      <w:r w:rsidRPr="00290415">
        <w:t>claim</w:t>
      </w:r>
      <w:r w:rsidR="00CC68E0">
        <w:t xml:space="preserve"> for the R&amp;D</w:t>
      </w:r>
      <w:r w:rsidR="00031717">
        <w:t xml:space="preserve"> tax credit.</w:t>
      </w:r>
    </w:p>
    <w:p w:rsidR="007B4F1C" w:rsidRPr="00290415" w:rsidRDefault="00CC68E0" w:rsidP="008B0177">
      <w:pPr>
        <w:pStyle w:val="TRListBullet"/>
        <w:numPr>
          <w:ilvl w:val="0"/>
          <w:numId w:val="39"/>
        </w:numPr>
      </w:pPr>
      <w:r>
        <w:t xml:space="preserve">Often </w:t>
      </w:r>
      <w:r w:rsidR="007B4F1C" w:rsidRPr="00290415">
        <w:t xml:space="preserve">the </w:t>
      </w:r>
      <w:r>
        <w:t xml:space="preserve">investigators considered the genuine </w:t>
      </w:r>
      <w:r w:rsidR="007B4F1C" w:rsidRPr="00290415">
        <w:t xml:space="preserve">R&amp;D was a small part of the project but the </w:t>
      </w:r>
      <w:r>
        <w:t xml:space="preserve">applicant successfully </w:t>
      </w:r>
      <w:r w:rsidR="007B4F1C" w:rsidRPr="00290415">
        <w:t>claim</w:t>
      </w:r>
      <w:r>
        <w:t>ed for</w:t>
      </w:r>
      <w:r w:rsidR="007B4F1C" w:rsidRPr="00290415">
        <w:t xml:space="preserve"> most of the project cost.</w:t>
      </w:r>
      <w:r>
        <w:t xml:space="preserve"> The rules applying in 2008 did not enable claims to be confined to the genuine R&amp;D portion.</w:t>
      </w:r>
    </w:p>
    <w:p w:rsidR="007B4F1C" w:rsidRPr="00290415" w:rsidRDefault="00990C8A" w:rsidP="00290415">
      <w:pPr>
        <w:pStyle w:val="TRNormal"/>
        <w:tabs>
          <w:tab w:val="left" w:pos="567"/>
        </w:tabs>
      </w:pPr>
      <w:r>
        <w:fldChar w:fldCharType="begin"/>
      </w:r>
      <w:r>
        <w:instrText xml:space="preserve"> AUTONUM  </w:instrText>
      </w:r>
      <w:r>
        <w:fldChar w:fldCharType="end"/>
      </w:r>
      <w:r>
        <w:tab/>
        <w:t>O</w:t>
      </w:r>
      <w:r w:rsidR="007B4F1C" w:rsidRPr="00290415">
        <w:t>fficials consider these claims are not consistent with the intention of the scheme</w:t>
      </w:r>
      <w:r w:rsidR="00936E8C">
        <w:t xml:space="preserve"> and therefore propose </w:t>
      </w:r>
      <w:r w:rsidR="007B4F1C" w:rsidRPr="00290415">
        <w:t xml:space="preserve">to strengthen the “at risk rule” by incorporating a restriction that is included in the Australian R&amp;D tax credit. This specifies that eligible expenditure does not include expenditure when the R&amp;D performing entity or its associate had received or could reasonably be expected to receive consideration. </w:t>
      </w:r>
    </w:p>
    <w:p w:rsidR="007B4F1C" w:rsidRPr="00290415" w:rsidRDefault="007B4F1C" w:rsidP="00290415">
      <w:pPr>
        <w:pStyle w:val="TRNormal"/>
        <w:tabs>
          <w:tab w:val="left" w:pos="567"/>
        </w:tabs>
      </w:pPr>
    </w:p>
    <w:p w:rsidR="007B4F1C" w:rsidRPr="00290415" w:rsidRDefault="00990C8A" w:rsidP="00290415">
      <w:pPr>
        <w:pStyle w:val="TRNormal"/>
        <w:tabs>
          <w:tab w:val="left" w:pos="567"/>
        </w:tabs>
      </w:pPr>
      <w:r>
        <w:fldChar w:fldCharType="begin"/>
      </w:r>
      <w:r>
        <w:instrText xml:space="preserve"> AUTONUM  </w:instrText>
      </w:r>
      <w:r>
        <w:fldChar w:fldCharType="end"/>
      </w:r>
      <w:r>
        <w:tab/>
      </w:r>
      <w:r w:rsidR="007B4F1C" w:rsidRPr="00290415">
        <w:t>This rule, in conjunction with the restriction on dual purpose R&amp;D, would mean that where a commissioned project included R&amp;D, the commissioning party could claim the credit provided the R&amp;D-related portion was identified as a separate project. If the R&amp;D performing entity undertook extra R&amp;D separate from what is was commissioned to undertake, it could claim a credit for that extra R&amp;D.</w:t>
      </w:r>
    </w:p>
    <w:p w:rsidR="007B4F1C" w:rsidRPr="00290415" w:rsidRDefault="007B4F1C" w:rsidP="00290415">
      <w:pPr>
        <w:pStyle w:val="TRNormal"/>
        <w:tabs>
          <w:tab w:val="left" w:pos="567"/>
        </w:tabs>
      </w:pPr>
    </w:p>
    <w:p w:rsidR="007B4F1C" w:rsidRDefault="00990C8A" w:rsidP="00290415">
      <w:pPr>
        <w:pStyle w:val="TRNormal"/>
        <w:tabs>
          <w:tab w:val="left" w:pos="567"/>
        </w:tabs>
      </w:pPr>
      <w:r>
        <w:fldChar w:fldCharType="begin"/>
      </w:r>
      <w:r>
        <w:instrText xml:space="preserve"> AUTONUM  </w:instrText>
      </w:r>
      <w:r>
        <w:fldChar w:fldCharType="end"/>
      </w:r>
      <w:r>
        <w:tab/>
      </w:r>
      <w:r w:rsidR="007B4F1C" w:rsidRPr="00990C8A">
        <w:rPr>
          <w:b/>
          <w:i/>
        </w:rPr>
        <w:t>Proposal:</w:t>
      </w:r>
      <w:r w:rsidR="007B4F1C" w:rsidRPr="00290415">
        <w:t xml:space="preserve"> Eligible expenditure does not include expenditure when the R&amp;D performing entity or its associate had received or could reasonably be expected to receive consideration</w:t>
      </w:r>
      <w:r>
        <w:t>.</w:t>
      </w:r>
    </w:p>
    <w:p w:rsidR="00031717" w:rsidRDefault="00031717" w:rsidP="00031717">
      <w:pPr>
        <w:pStyle w:val="TRHeading2"/>
      </w:pPr>
      <w:r>
        <w:t>Software development</w:t>
      </w:r>
    </w:p>
    <w:p w:rsidR="00AA0376" w:rsidRDefault="00031717" w:rsidP="00B1733E">
      <w:pPr>
        <w:pStyle w:val="TRNormal"/>
        <w:tabs>
          <w:tab w:val="left" w:pos="567"/>
        </w:tabs>
      </w:pPr>
      <w:r>
        <w:fldChar w:fldCharType="begin"/>
      </w:r>
      <w:r>
        <w:instrText xml:space="preserve"> AUTONUM  </w:instrText>
      </w:r>
      <w:r>
        <w:fldChar w:fldCharType="end"/>
      </w:r>
      <w:r>
        <w:tab/>
      </w:r>
      <w:r w:rsidR="00AA0376">
        <w:t>Software R&amp;D will be an area of significant expenditure within the R&amp;D tax credit. It accounted for approximately 40% of all tax credit claims under the 2008 credit and Australian officials indicated it ma</w:t>
      </w:r>
      <w:r w:rsidR="004E6D5C">
        <w:t>kes</w:t>
      </w:r>
      <w:r w:rsidR="00AA0376">
        <w:t xml:space="preserve"> up a higher proportion of expenditure under its R&amp;D tax credit. </w:t>
      </w:r>
    </w:p>
    <w:p w:rsidR="00AA0376" w:rsidRDefault="00AA0376" w:rsidP="00AA0376"/>
    <w:p w:rsidR="00AA0376" w:rsidRDefault="00AA0376" w:rsidP="00B1733E">
      <w:pPr>
        <w:pStyle w:val="TRNormal"/>
        <w:tabs>
          <w:tab w:val="left" w:pos="567"/>
        </w:tabs>
      </w:pPr>
      <w:r>
        <w:fldChar w:fldCharType="begin"/>
      </w:r>
      <w:r>
        <w:instrText xml:space="preserve"> AUTONUM  </w:instrText>
      </w:r>
      <w:r>
        <w:fldChar w:fldCharType="end"/>
      </w:r>
      <w:r>
        <w:tab/>
      </w:r>
      <w:r w:rsidR="00C0404D">
        <w:t>Officials consider that software development activities should qualify for the R&amp;D tax credit where the activity meets the core or supporting R&amp;D activity definitions. However, a</w:t>
      </w:r>
      <w:r w:rsidR="00973078">
        <w:t xml:space="preserve">cross OECD countries, mapping the definition of R&amp;D onto software is an acknowledged difficulty. Inland Revenue investigators reported that when they investigated claims it was difficult to distinguish between R&amp;D and standard software development. In itself, this means that re-examination of the 2008 rules is warranted. Also, </w:t>
      </w:r>
      <w:r>
        <w:t>technological change</w:t>
      </w:r>
      <w:r w:rsidR="00973078">
        <w:t xml:space="preserve"> means that </w:t>
      </w:r>
      <w:r>
        <w:t xml:space="preserve">rolling over the 2008 rules relating to eligible </w:t>
      </w:r>
      <w:r w:rsidR="00B1733E">
        <w:t xml:space="preserve">software </w:t>
      </w:r>
      <w:r>
        <w:t xml:space="preserve">expenditure may not be appropriate. </w:t>
      </w:r>
    </w:p>
    <w:p w:rsidR="00AA0376" w:rsidRDefault="00AA0376" w:rsidP="00B1733E">
      <w:pPr>
        <w:pStyle w:val="TRNormal"/>
        <w:tabs>
          <w:tab w:val="left" w:pos="567"/>
        </w:tabs>
      </w:pPr>
    </w:p>
    <w:p w:rsidR="00AA0376" w:rsidRDefault="00AA0376" w:rsidP="00AA0376">
      <w:pPr>
        <w:pStyle w:val="TRNormal"/>
        <w:tabs>
          <w:tab w:val="left" w:pos="567"/>
        </w:tabs>
      </w:pPr>
      <w:r>
        <w:fldChar w:fldCharType="begin"/>
      </w:r>
      <w:r>
        <w:instrText xml:space="preserve"> AUTONUM  </w:instrText>
      </w:r>
      <w:r>
        <w:fldChar w:fldCharType="end"/>
      </w:r>
      <w:r>
        <w:tab/>
        <w:t xml:space="preserve">The only limit placed on software under the 2008 credit was a $3 million cap for </w:t>
      </w:r>
      <w:r w:rsidR="004E6D5C">
        <w:t xml:space="preserve">eligible expenditure on </w:t>
      </w:r>
      <w:r>
        <w:t>internal software development</w:t>
      </w:r>
      <w:r w:rsidR="00973078" w:rsidRPr="00B1733E">
        <w:rPr>
          <w:vertAlign w:val="superscript"/>
        </w:rPr>
        <w:footnoteReference w:id="2"/>
      </w:r>
      <w:r>
        <w:t xml:space="preserve">.  </w:t>
      </w:r>
      <w:r w:rsidR="004E6D5C">
        <w:t>Internal software development</w:t>
      </w:r>
      <w:r w:rsidR="00B1733E">
        <w:t xml:space="preserve"> was an area of particular concern for investigators of the 2008 claims. Officials are therefore </w:t>
      </w:r>
      <w:r w:rsidR="0071515B">
        <w:t>c</w:t>
      </w:r>
      <w:r w:rsidR="00B1733E">
        <w:t xml:space="preserve">onsidering whether </w:t>
      </w:r>
      <w:r>
        <w:t xml:space="preserve">internal software development </w:t>
      </w:r>
      <w:r w:rsidR="004E6D5C">
        <w:t xml:space="preserve">should be excluded from eligible expenditure </w:t>
      </w:r>
      <w:r>
        <w:t xml:space="preserve">altogether, </w:t>
      </w:r>
      <w:r w:rsidR="00B1733E">
        <w:t>as is the approach in Australia</w:t>
      </w:r>
      <w:r w:rsidR="004E6D5C">
        <w:t xml:space="preserve">. </w:t>
      </w:r>
    </w:p>
    <w:p w:rsidR="004E6D5C" w:rsidRDefault="004E6D5C" w:rsidP="00031717">
      <w:pPr>
        <w:pStyle w:val="TRNormal"/>
        <w:tabs>
          <w:tab w:val="left" w:pos="567"/>
        </w:tabs>
      </w:pPr>
    </w:p>
    <w:p w:rsidR="00031717" w:rsidRDefault="0093642D" w:rsidP="00031717">
      <w:pPr>
        <w:pStyle w:val="TRNormal"/>
        <w:tabs>
          <w:tab w:val="left" w:pos="567"/>
        </w:tabs>
      </w:pPr>
      <w:r>
        <w:fldChar w:fldCharType="begin"/>
      </w:r>
      <w:r>
        <w:instrText xml:space="preserve"> AUTONUM  </w:instrText>
      </w:r>
      <w:r>
        <w:fldChar w:fldCharType="end"/>
      </w:r>
      <w:r>
        <w:tab/>
        <w:t>Another approach adopted by other countries is to indicate, via guidelines or within legislation,</w:t>
      </w:r>
      <w:r w:rsidR="00031717">
        <w:t xml:space="preserve"> the type of activities that would </w:t>
      </w:r>
      <w:r w:rsidR="000324DF">
        <w:t xml:space="preserve">be eligible </w:t>
      </w:r>
      <w:r w:rsidR="00692F9C">
        <w:t xml:space="preserve">or ineligible </w:t>
      </w:r>
      <w:r w:rsidR="000324DF">
        <w:t>for the tax credit.</w:t>
      </w:r>
      <w:r w:rsidR="00692F9C">
        <w:t xml:space="preserve"> An example of the first could be developing new operating systems and of the second could be security testing. </w:t>
      </w:r>
      <w:r>
        <w:t>Officials consider th</w:t>
      </w:r>
      <w:r w:rsidR="00692F9C">
        <w:t xml:space="preserve">at </w:t>
      </w:r>
      <w:r w:rsidR="00031717">
        <w:t xml:space="preserve">having a schedule of the software activities that would not qualify for the tax credit, with the ability to update that schedule </w:t>
      </w:r>
      <w:r w:rsidR="00692F9C">
        <w:t>more quickly than by primary legislation</w:t>
      </w:r>
      <w:r w:rsidR="00692F9C">
        <w:rPr>
          <w:rStyle w:val="FootnoteReference"/>
        </w:rPr>
        <w:footnoteReference w:id="3"/>
      </w:r>
      <w:r w:rsidR="00692F9C">
        <w:t>, would make the tax credit more responsive to changes in the way software is developed and used</w:t>
      </w:r>
      <w:r w:rsidR="00031717">
        <w:t>.</w:t>
      </w:r>
    </w:p>
    <w:p w:rsidR="00031717" w:rsidRDefault="00031717" w:rsidP="00031717">
      <w:pPr>
        <w:pStyle w:val="TRNormal"/>
        <w:tabs>
          <w:tab w:val="left" w:pos="567"/>
        </w:tabs>
      </w:pPr>
    </w:p>
    <w:p w:rsidR="00592036" w:rsidRDefault="00031717" w:rsidP="00031717">
      <w:pPr>
        <w:pStyle w:val="TRNormal"/>
        <w:tabs>
          <w:tab w:val="left" w:pos="567"/>
        </w:tabs>
      </w:pPr>
      <w:r>
        <w:fldChar w:fldCharType="begin"/>
      </w:r>
      <w:r>
        <w:instrText xml:space="preserve"> AUTONUM  </w:instrText>
      </w:r>
      <w:r>
        <w:fldChar w:fldCharType="end"/>
      </w:r>
      <w:r>
        <w:tab/>
        <w:t xml:space="preserve">Officials </w:t>
      </w:r>
      <w:r w:rsidR="00592036">
        <w:t>will continue to work on these issues. Having a robust approach to software will be important for the integrity of the R&amp;D tax credit.</w:t>
      </w:r>
      <w:r w:rsidR="003853E1">
        <w:t xml:space="preserve"> It is anticipated that this work will be completed by May 2018.</w:t>
      </w:r>
    </w:p>
    <w:p w:rsidR="00592036" w:rsidRDefault="00592036" w:rsidP="00031717">
      <w:pPr>
        <w:pStyle w:val="TRNormal"/>
        <w:tabs>
          <w:tab w:val="left" w:pos="567"/>
        </w:tabs>
      </w:pPr>
    </w:p>
    <w:p w:rsidR="00031717" w:rsidRDefault="000324DF" w:rsidP="00031717">
      <w:pPr>
        <w:pStyle w:val="TRNormal"/>
        <w:tabs>
          <w:tab w:val="left" w:pos="567"/>
        </w:tabs>
      </w:pPr>
      <w:r>
        <w:fldChar w:fldCharType="begin"/>
      </w:r>
      <w:r>
        <w:instrText xml:space="preserve"> AUTONUM  </w:instrText>
      </w:r>
      <w:r>
        <w:fldChar w:fldCharType="end"/>
      </w:r>
      <w:r>
        <w:tab/>
      </w:r>
      <w:r w:rsidR="00592036">
        <w:t xml:space="preserve">Within the draft Discussion Document, </w:t>
      </w:r>
      <w:r w:rsidR="00B23FA3">
        <w:t xml:space="preserve">this is flagged as an area where more work is being undertaken. Once more robust proposals have been </w:t>
      </w:r>
      <w:proofErr w:type="gramStart"/>
      <w:r w:rsidR="00B23FA3">
        <w:t>developed,</w:t>
      </w:r>
      <w:proofErr w:type="gramEnd"/>
      <w:r w:rsidR="00B23FA3">
        <w:t xml:space="preserve"> </w:t>
      </w:r>
      <w:r w:rsidR="00592036">
        <w:t xml:space="preserve">officials </w:t>
      </w:r>
      <w:r w:rsidR="00B23FA3">
        <w:t xml:space="preserve">propose </w:t>
      </w:r>
      <w:r w:rsidR="00031717">
        <w:t>undertak</w:t>
      </w:r>
      <w:r w:rsidR="00B23FA3">
        <w:t>ing</w:t>
      </w:r>
      <w:r w:rsidR="00031717">
        <w:t xml:space="preserve"> targeted cons</w:t>
      </w:r>
      <w:r w:rsidR="0071515B">
        <w:t>ultation with relevant stakeholders</w:t>
      </w:r>
      <w:r>
        <w:t>.</w:t>
      </w:r>
    </w:p>
    <w:p w:rsidR="00990C8A" w:rsidRDefault="00990C8A" w:rsidP="00290415">
      <w:pPr>
        <w:pStyle w:val="TRNormal"/>
        <w:tabs>
          <w:tab w:val="left" w:pos="567"/>
        </w:tabs>
      </w:pPr>
    </w:p>
    <w:p w:rsidR="00990C8A" w:rsidRPr="003E589B" w:rsidRDefault="00B32636" w:rsidP="00990C8A">
      <w:pPr>
        <w:pStyle w:val="TRHeading1"/>
      </w:pPr>
      <w:r>
        <w:t>Penalty</w:t>
      </w:r>
      <w:r w:rsidR="00990C8A" w:rsidRPr="003E589B">
        <w:t xml:space="preserve"> R</w:t>
      </w:r>
      <w:r>
        <w:t>ules</w:t>
      </w:r>
    </w:p>
    <w:p w:rsidR="00990C8A" w:rsidRDefault="00990C8A" w:rsidP="00990C8A">
      <w:pPr>
        <w:rPr>
          <w:rFonts w:ascii="Verdana" w:hAnsi="Verdana"/>
          <w:sz w:val="20"/>
        </w:rPr>
      </w:pPr>
    </w:p>
    <w:p w:rsidR="00936E8C" w:rsidRDefault="00990C8A" w:rsidP="00990C8A">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r>
      <w:r w:rsidR="00FB14FF">
        <w:rPr>
          <w:szCs w:val="24"/>
        </w:rPr>
        <w:t xml:space="preserve">Voluntary compliance is the fundamental basis of the tax system. Administration of the R&amp;D tax credit will also rely on </w:t>
      </w:r>
      <w:r w:rsidR="00936E8C">
        <w:rPr>
          <w:szCs w:val="24"/>
        </w:rPr>
        <w:t xml:space="preserve">voluntary compliance by taxpayers. Guidance and education will be provided to assist taxpayers </w:t>
      </w:r>
      <w:r w:rsidR="000752CB">
        <w:rPr>
          <w:szCs w:val="24"/>
        </w:rPr>
        <w:t xml:space="preserve">understand what is eligible and </w:t>
      </w:r>
      <w:r w:rsidR="00936E8C">
        <w:rPr>
          <w:szCs w:val="24"/>
        </w:rPr>
        <w:t>make correct claims.</w:t>
      </w:r>
    </w:p>
    <w:p w:rsidR="00936E8C" w:rsidRDefault="00936E8C" w:rsidP="00990C8A">
      <w:pPr>
        <w:tabs>
          <w:tab w:val="left" w:pos="567"/>
        </w:tabs>
        <w:rPr>
          <w:szCs w:val="24"/>
        </w:rPr>
      </w:pPr>
    </w:p>
    <w:p w:rsidR="00990C8A" w:rsidRPr="00990C8A" w:rsidRDefault="00936E8C" w:rsidP="00990C8A">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t>However, t</w:t>
      </w:r>
      <w:r w:rsidR="00990C8A" w:rsidRPr="00990C8A">
        <w:rPr>
          <w:szCs w:val="24"/>
        </w:rPr>
        <w:t xml:space="preserve">here is a risk with the R&amp;D tax credit of applicants submitting incorrect claims. </w:t>
      </w:r>
      <w:r>
        <w:rPr>
          <w:szCs w:val="24"/>
        </w:rPr>
        <w:t>P</w:t>
      </w:r>
      <w:r w:rsidR="00990C8A" w:rsidRPr="00990C8A">
        <w:rPr>
          <w:szCs w:val="24"/>
        </w:rPr>
        <w:t xml:space="preserve">enalties </w:t>
      </w:r>
      <w:r>
        <w:rPr>
          <w:szCs w:val="24"/>
        </w:rPr>
        <w:t xml:space="preserve">are </w:t>
      </w:r>
      <w:r w:rsidR="00990C8A" w:rsidRPr="00990C8A">
        <w:rPr>
          <w:szCs w:val="24"/>
        </w:rPr>
        <w:t>one factor that will deter this.</w:t>
      </w:r>
    </w:p>
    <w:p w:rsidR="00990C8A" w:rsidRPr="00990C8A" w:rsidRDefault="00990C8A" w:rsidP="00990C8A">
      <w:pPr>
        <w:rPr>
          <w:szCs w:val="24"/>
        </w:rPr>
      </w:pPr>
    </w:p>
    <w:p w:rsidR="00990C8A" w:rsidRPr="00990C8A" w:rsidRDefault="00990C8A" w:rsidP="00990C8A">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r>
      <w:r w:rsidR="00936E8C">
        <w:rPr>
          <w:szCs w:val="24"/>
        </w:rPr>
        <w:t>Within the tax system</w:t>
      </w:r>
      <w:r w:rsidR="00FB14FF">
        <w:rPr>
          <w:szCs w:val="24"/>
        </w:rPr>
        <w:t xml:space="preserve">, </w:t>
      </w:r>
      <w:r w:rsidRPr="00990C8A">
        <w:rPr>
          <w:szCs w:val="24"/>
        </w:rPr>
        <w:t xml:space="preserve">the shortfall penalties framework applies to </w:t>
      </w:r>
      <w:r w:rsidR="00FB14FF">
        <w:rPr>
          <w:szCs w:val="24"/>
        </w:rPr>
        <w:t xml:space="preserve">all </w:t>
      </w:r>
      <w:r w:rsidRPr="00990C8A">
        <w:rPr>
          <w:szCs w:val="24"/>
        </w:rPr>
        <w:t>tax returns. This establishes a hierarchy of offenses from lack of reasonable care at the lowest level to tax evasion involving fraud at the highest. Appropriate penalties are associated with each level of offense, with civil penalties applying to the lower level offenses and criminal penalties applying to the higher level offenses.</w:t>
      </w:r>
    </w:p>
    <w:p w:rsidR="00990C8A" w:rsidRPr="00990C8A" w:rsidRDefault="00990C8A" w:rsidP="00990C8A">
      <w:pPr>
        <w:rPr>
          <w:szCs w:val="24"/>
        </w:rPr>
      </w:pPr>
    </w:p>
    <w:p w:rsidR="00EA705D" w:rsidRDefault="00990C8A" w:rsidP="00990C8A">
      <w:pPr>
        <w:pStyle w:val="TRBodyText"/>
        <w:tabs>
          <w:tab w:val="left" w:pos="567"/>
        </w:tabs>
      </w:pPr>
      <w:r>
        <w:fldChar w:fldCharType="begin"/>
      </w:r>
      <w:r>
        <w:instrText xml:space="preserve"> AUTONUM  </w:instrText>
      </w:r>
      <w:r>
        <w:fldChar w:fldCharType="end"/>
      </w:r>
      <w:r>
        <w:tab/>
      </w:r>
      <w:r w:rsidR="00B32636">
        <w:t xml:space="preserve">Officials consider the shortfall penalties framework provides a suitable basis for applying penalties to incorrect R&amp;D tax credit claims. However, </w:t>
      </w:r>
      <w:r w:rsidR="00D82CF9">
        <w:t xml:space="preserve">we also consider </w:t>
      </w:r>
      <w:r w:rsidRPr="00990C8A">
        <w:t>the risks around R&amp;D tax credits may be greater when advisors are paid on a contingency basis as th</w:t>
      </w:r>
      <w:r w:rsidR="000752CB">
        <w:t>is means they</w:t>
      </w:r>
      <w:r w:rsidRPr="00990C8A">
        <w:t xml:space="preserve"> gain an incentive to inflate the claim. For th</w:t>
      </w:r>
      <w:r w:rsidR="00EA705D">
        <w:t xml:space="preserve">is </w:t>
      </w:r>
      <w:r w:rsidRPr="00990C8A">
        <w:t>reason</w:t>
      </w:r>
      <w:r w:rsidR="00EA705D">
        <w:t xml:space="preserve"> it is </w:t>
      </w:r>
      <w:r w:rsidRPr="00990C8A">
        <w:t xml:space="preserve">proposed </w:t>
      </w:r>
      <w:r w:rsidR="00EA705D">
        <w:t>that:</w:t>
      </w:r>
    </w:p>
    <w:p w:rsidR="00EA705D" w:rsidRDefault="00EA705D" w:rsidP="00990C8A">
      <w:pPr>
        <w:pStyle w:val="TRBodyText"/>
        <w:tabs>
          <w:tab w:val="left" w:pos="567"/>
        </w:tabs>
      </w:pPr>
    </w:p>
    <w:p w:rsidR="00782A0A" w:rsidRPr="00782A0A" w:rsidRDefault="00990C8A" w:rsidP="00782A0A">
      <w:pPr>
        <w:pStyle w:val="TRListBullet"/>
        <w:numPr>
          <w:ilvl w:val="0"/>
          <w:numId w:val="24"/>
        </w:numPr>
        <w:rPr>
          <w:szCs w:val="24"/>
        </w:rPr>
      </w:pPr>
      <w:r w:rsidRPr="00990C8A">
        <w:t>where it is found that the R&amp;D tax credit application demonstrates gross carelessness</w:t>
      </w:r>
      <w:r w:rsidRPr="00782A0A">
        <w:rPr>
          <w:vertAlign w:val="superscript"/>
        </w:rPr>
        <w:footnoteReference w:id="4"/>
      </w:r>
      <w:r w:rsidRPr="00990C8A">
        <w:t xml:space="preserve"> or a more serious offense:</w:t>
      </w:r>
    </w:p>
    <w:p w:rsidR="00990C8A" w:rsidRPr="00782A0A" w:rsidRDefault="00782A0A" w:rsidP="00990C8A">
      <w:pPr>
        <w:pStyle w:val="TRListBullet"/>
        <w:rPr>
          <w:szCs w:val="24"/>
        </w:rPr>
      </w:pPr>
      <w:proofErr w:type="gramStart"/>
      <w:r w:rsidRPr="00782A0A">
        <w:rPr>
          <w:szCs w:val="24"/>
        </w:rPr>
        <w:t>and</w:t>
      </w:r>
      <w:proofErr w:type="gramEnd"/>
    </w:p>
    <w:p w:rsidR="00782A0A" w:rsidRDefault="00990C8A" w:rsidP="00782A0A">
      <w:pPr>
        <w:pStyle w:val="TRListBullet"/>
        <w:numPr>
          <w:ilvl w:val="0"/>
          <w:numId w:val="24"/>
        </w:numPr>
      </w:pPr>
      <w:r w:rsidRPr="00990C8A">
        <w:t xml:space="preserve">if an external advisor has received or would have received a direct financial benefit from the claim (in the form of a fee contingent on the R&amp;D tax credit), </w:t>
      </w:r>
    </w:p>
    <w:p w:rsidR="00990C8A" w:rsidRPr="00990C8A" w:rsidRDefault="00990C8A" w:rsidP="00782A0A">
      <w:pPr>
        <w:pStyle w:val="TRListBullet"/>
      </w:pPr>
      <w:proofErr w:type="gramStart"/>
      <w:r w:rsidRPr="00990C8A">
        <w:t>the</w:t>
      </w:r>
      <w:proofErr w:type="gramEnd"/>
      <w:r w:rsidRPr="00990C8A">
        <w:t xml:space="preserve"> advisor will be joint and severally liable (with the taxpayer) for the </w:t>
      </w:r>
      <w:r w:rsidR="00FC1411">
        <w:t>appropriate penalty (including repayment of tax shortfall and interest)</w:t>
      </w:r>
      <w:r w:rsidRPr="00990C8A">
        <w:t xml:space="preserve">. </w:t>
      </w:r>
    </w:p>
    <w:p w:rsidR="003F0FBE" w:rsidRDefault="00990C8A" w:rsidP="00990C8A">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r>
      <w:r w:rsidR="003F0FBE">
        <w:rPr>
          <w:szCs w:val="24"/>
        </w:rPr>
        <w:t>Th</w:t>
      </w:r>
      <w:r w:rsidR="00782A0A">
        <w:rPr>
          <w:szCs w:val="24"/>
        </w:rPr>
        <w:t>is</w:t>
      </w:r>
      <w:r w:rsidR="003F0FBE">
        <w:rPr>
          <w:szCs w:val="24"/>
        </w:rPr>
        <w:t xml:space="preserve"> proposal ha</w:t>
      </w:r>
      <w:r w:rsidR="00782A0A">
        <w:rPr>
          <w:szCs w:val="24"/>
        </w:rPr>
        <w:t>s</w:t>
      </w:r>
      <w:r w:rsidR="003F0FBE">
        <w:rPr>
          <w:szCs w:val="24"/>
        </w:rPr>
        <w:t xml:space="preserve"> been included in the draft Discussion Document.</w:t>
      </w:r>
    </w:p>
    <w:p w:rsidR="003F0FBE" w:rsidRDefault="003F0FBE" w:rsidP="00990C8A">
      <w:pPr>
        <w:tabs>
          <w:tab w:val="left" w:pos="567"/>
        </w:tabs>
        <w:rPr>
          <w:szCs w:val="24"/>
        </w:rPr>
      </w:pPr>
    </w:p>
    <w:p w:rsidR="003F0FBE" w:rsidRDefault="003F0FBE" w:rsidP="00990C8A">
      <w:pPr>
        <w:tabs>
          <w:tab w:val="left" w:pos="567"/>
        </w:tabs>
        <w:rPr>
          <w:szCs w:val="24"/>
        </w:rPr>
      </w:pPr>
      <w:r>
        <w:rPr>
          <w:szCs w:val="24"/>
        </w:rPr>
        <w:fldChar w:fldCharType="begin"/>
      </w:r>
      <w:r>
        <w:rPr>
          <w:szCs w:val="24"/>
        </w:rPr>
        <w:instrText xml:space="preserve"> AUTONUM  </w:instrText>
      </w:r>
      <w:r>
        <w:rPr>
          <w:szCs w:val="24"/>
        </w:rPr>
        <w:fldChar w:fldCharType="end"/>
      </w:r>
      <w:r>
        <w:rPr>
          <w:szCs w:val="24"/>
        </w:rPr>
        <w:tab/>
      </w:r>
      <w:r w:rsidR="00990C8A" w:rsidRPr="00990C8A">
        <w:rPr>
          <w:szCs w:val="24"/>
        </w:rPr>
        <w:t>The</w:t>
      </w:r>
      <w:r>
        <w:rPr>
          <w:szCs w:val="24"/>
        </w:rPr>
        <w:t>re are two further</w:t>
      </w:r>
      <w:r w:rsidR="00990C8A" w:rsidRPr="00990C8A">
        <w:rPr>
          <w:szCs w:val="24"/>
        </w:rPr>
        <w:t xml:space="preserve"> </w:t>
      </w:r>
      <w:r>
        <w:rPr>
          <w:szCs w:val="24"/>
        </w:rPr>
        <w:t>elements which officials are investigating as possible extensions to the penalties regime. These are not covered in the draft Discussion Document.</w:t>
      </w:r>
    </w:p>
    <w:p w:rsidR="003F0FBE" w:rsidRDefault="003F0FBE" w:rsidP="00990C8A">
      <w:pPr>
        <w:tabs>
          <w:tab w:val="left" w:pos="567"/>
        </w:tabs>
        <w:rPr>
          <w:szCs w:val="24"/>
        </w:rPr>
      </w:pPr>
    </w:p>
    <w:p w:rsidR="00990C8A" w:rsidRPr="003F0FBE" w:rsidRDefault="00FC1411" w:rsidP="00FC1411">
      <w:pPr>
        <w:pStyle w:val="TRListBullet"/>
        <w:tabs>
          <w:tab w:val="left" w:pos="567"/>
        </w:tabs>
      </w:pPr>
      <w:r>
        <w:fldChar w:fldCharType="begin"/>
      </w:r>
      <w:r>
        <w:instrText xml:space="preserve"> AUTONUM  </w:instrText>
      </w:r>
      <w:r>
        <w:fldChar w:fldCharType="end"/>
      </w:r>
      <w:r>
        <w:tab/>
      </w:r>
      <w:r w:rsidR="003F0FBE">
        <w:t xml:space="preserve">A risk is </w:t>
      </w:r>
      <w:r w:rsidR="00990C8A" w:rsidRPr="003F0FBE">
        <w:t>that advisors might promote template schemes</w:t>
      </w:r>
      <w:r w:rsidR="003F0FBE">
        <w:rPr>
          <w:rStyle w:val="FootnoteReference"/>
        </w:rPr>
        <w:footnoteReference w:id="5"/>
      </w:r>
      <w:r w:rsidR="00990C8A" w:rsidRPr="003F0FBE">
        <w:t xml:space="preserve"> </w:t>
      </w:r>
      <w:r w:rsidR="003853E1">
        <w:t xml:space="preserve">for claims under </w:t>
      </w:r>
      <w:r w:rsidR="00990C8A" w:rsidRPr="003F0FBE">
        <w:t>the R&amp;D tax credit. Officials are doing further work to assess whether the current promoter penalties regime is adequate to cover this situation or should be revised.</w:t>
      </w:r>
    </w:p>
    <w:p w:rsidR="00990C8A" w:rsidRDefault="00FC1411" w:rsidP="00FC1411">
      <w:pPr>
        <w:pStyle w:val="TRListBullet"/>
        <w:tabs>
          <w:tab w:val="left" w:pos="567"/>
        </w:tabs>
      </w:pPr>
      <w:r>
        <w:fldChar w:fldCharType="begin"/>
      </w:r>
      <w:r>
        <w:instrText xml:space="preserve"> AUTONUM  </w:instrText>
      </w:r>
      <w:r>
        <w:fldChar w:fldCharType="end"/>
      </w:r>
      <w:r>
        <w:tab/>
      </w:r>
      <w:r w:rsidR="00990C8A" w:rsidRPr="003F0FBE">
        <w:t xml:space="preserve">Officials are also investigating whether there should be an over-ride to the standard secrecy provisions </w:t>
      </w:r>
      <w:r w:rsidR="003F0FBE">
        <w:t xml:space="preserve">applying to tax records </w:t>
      </w:r>
      <w:r w:rsidR="00990C8A" w:rsidRPr="003F0FBE">
        <w:t>so that Inland Revenue could report a tax advisor associated with problematic claims to the appropriate professional body.</w:t>
      </w:r>
    </w:p>
    <w:p w:rsidR="00864BB6" w:rsidRDefault="00864BB6" w:rsidP="00864BB6">
      <w:pPr>
        <w:pStyle w:val="TRHeading1"/>
      </w:pPr>
      <w:r>
        <w:t>Consultation</w:t>
      </w:r>
    </w:p>
    <w:p w:rsidR="00864BB6" w:rsidRDefault="00864BB6" w:rsidP="00FC1411">
      <w:pPr>
        <w:pStyle w:val="TRListBullet"/>
        <w:tabs>
          <w:tab w:val="left" w:pos="567"/>
        </w:tabs>
      </w:pPr>
      <w:r>
        <w:fldChar w:fldCharType="begin"/>
      </w:r>
      <w:r>
        <w:instrText xml:space="preserve"> AUTONUM  </w:instrText>
      </w:r>
      <w:r>
        <w:fldChar w:fldCharType="end"/>
      </w:r>
      <w:r w:rsidR="00690E5F">
        <w:tab/>
        <w:t>The Treasury was</w:t>
      </w:r>
      <w:r>
        <w:t xml:space="preserve"> consulted in the preparation of this report.</w:t>
      </w:r>
    </w:p>
    <w:p w:rsidR="00864BB6" w:rsidRPr="003F0FBE" w:rsidRDefault="00864BB6" w:rsidP="00FC1411">
      <w:pPr>
        <w:pStyle w:val="TRListBullet"/>
        <w:tabs>
          <w:tab w:val="left" w:pos="567"/>
        </w:tabs>
      </w:pPr>
      <w:r>
        <w:fldChar w:fldCharType="begin"/>
      </w:r>
      <w:r>
        <w:instrText xml:space="preserve"> AUTONUM  </w:instrText>
      </w:r>
      <w:r>
        <w:fldChar w:fldCharType="end"/>
      </w:r>
      <w:r w:rsidR="000752CB">
        <w:tab/>
        <w:t>The Department of Prime Minister and C</w:t>
      </w:r>
      <w:r>
        <w:t>abinet was informed.</w:t>
      </w:r>
    </w:p>
    <w:p w:rsidR="00990C8A" w:rsidRPr="00290415" w:rsidRDefault="00990C8A" w:rsidP="00290415">
      <w:pPr>
        <w:pStyle w:val="TRNormal"/>
        <w:tabs>
          <w:tab w:val="left" w:pos="567"/>
        </w:tabs>
      </w:pPr>
    </w:p>
    <w:sectPr w:rsidR="00990C8A" w:rsidRPr="00290415" w:rsidSect="0063530C">
      <w:headerReference w:type="even" r:id="rId11"/>
      <w:headerReference w:type="default" r:id="rId12"/>
      <w:footerReference w:type="default" r:id="rId13"/>
      <w:headerReference w:type="first" r:id="rId14"/>
      <w:footerReference w:type="first" r:id="rId15"/>
      <w:pgSz w:w="11907" w:h="16840" w:code="9"/>
      <w:pgMar w:top="284" w:right="1134" w:bottom="284" w:left="1134" w:header="284" w:footer="42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C3A" w:rsidRDefault="008F3C3A">
      <w:r>
        <w:separator/>
      </w:r>
    </w:p>
  </w:endnote>
  <w:endnote w:type="continuationSeparator" w:id="0">
    <w:p w:rsidR="008F3C3A" w:rsidRDefault="008F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3A" w:rsidRDefault="008F3C3A">
    <w:r>
      <w:fldChar w:fldCharType="begin"/>
    </w:r>
    <w:r>
      <w:instrText>PAGE</w:instrText>
    </w:r>
    <w:r>
      <w:fldChar w:fldCharType="separate"/>
    </w:r>
    <w:r w:rsidR="00CE04E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4E1" w:rsidRDefault="00CE04E1" w:rsidP="0063530C">
    <w:pPr>
      <w:tabs>
        <w:tab w:val="right" w:pos="9356"/>
      </w:tabs>
      <w:ind w:right="-1"/>
      <w:rPr>
        <w:b/>
        <w:sz w:val="16"/>
        <w:szCs w:val="16"/>
      </w:rPr>
    </w:pPr>
  </w:p>
  <w:p w:rsidR="008F3C3A" w:rsidRPr="0063530C" w:rsidRDefault="0063530C" w:rsidP="0063530C">
    <w:pPr>
      <w:tabs>
        <w:tab w:val="right" w:pos="9356"/>
      </w:tabs>
      <w:ind w:right="-1"/>
      <w:rPr>
        <w:sz w:val="16"/>
        <w:szCs w:val="16"/>
      </w:rPr>
    </w:pPr>
    <w:r w:rsidRPr="0063530C">
      <w:rPr>
        <w:b/>
        <w:sz w:val="16"/>
        <w:szCs w:val="16"/>
      </w:rPr>
      <w:t xml:space="preserve">IR2018-132 Integrity within the RD Tax Credit </w:t>
    </w:r>
    <w:r w:rsidRPr="0063530C">
      <w:rPr>
        <w:sz w:val="16"/>
        <w:szCs w:val="16"/>
      </w:rPr>
      <w:tab/>
      <w:t xml:space="preserve">Page </w:t>
    </w:r>
    <w:r w:rsidRPr="0063530C">
      <w:rPr>
        <w:sz w:val="16"/>
        <w:szCs w:val="16"/>
      </w:rPr>
      <w:fldChar w:fldCharType="begin"/>
    </w:r>
    <w:r w:rsidRPr="0063530C">
      <w:rPr>
        <w:sz w:val="16"/>
        <w:szCs w:val="16"/>
      </w:rPr>
      <w:instrText xml:space="preserve">PAGE  </w:instrText>
    </w:r>
    <w:r w:rsidRPr="0063530C">
      <w:rPr>
        <w:sz w:val="16"/>
        <w:szCs w:val="16"/>
      </w:rPr>
      <w:fldChar w:fldCharType="separate"/>
    </w:r>
    <w:r w:rsidR="004E44E8">
      <w:rPr>
        <w:noProof/>
        <w:sz w:val="16"/>
        <w:szCs w:val="16"/>
      </w:rPr>
      <w:t>9</w:t>
    </w:r>
    <w:r w:rsidRPr="0063530C">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3A" w:rsidRDefault="008F3C3A">
    <w:pPr>
      <w:framePr w:wrap="around" w:vAnchor="text" w:hAnchor="margin" w:xAlign="right" w:y="1"/>
    </w:pPr>
  </w:p>
  <w:p w:rsidR="00CE04E1" w:rsidRDefault="00CE04E1">
    <w:pPr>
      <w:framePr w:wrap="around" w:vAnchor="text" w:hAnchor="margin" w:xAlign="right" w:y="1"/>
    </w:pPr>
  </w:p>
  <w:p w:rsidR="00CE04E1" w:rsidRDefault="00CE04E1">
    <w:pPr>
      <w:framePr w:wrap="around" w:vAnchor="text" w:hAnchor="margin" w:xAlign="right" w:y="1"/>
    </w:pPr>
  </w:p>
  <w:p w:rsidR="008F3C3A" w:rsidRDefault="0063530C" w:rsidP="0063530C">
    <w:pPr>
      <w:tabs>
        <w:tab w:val="right" w:pos="9356"/>
      </w:tabs>
      <w:ind w:right="-1"/>
    </w:pPr>
    <w:r w:rsidRPr="0063530C">
      <w:rPr>
        <w:b/>
        <w:sz w:val="16"/>
        <w:szCs w:val="16"/>
      </w:rPr>
      <w:t>IR2018-132 Integrity within the RD Tax Credit</w:t>
    </w:r>
    <w:r w:rsidR="008F3C3A" w:rsidRPr="0063530C">
      <w:rPr>
        <w:b/>
        <w:sz w:val="16"/>
        <w:szCs w:val="16"/>
      </w:rPr>
      <w:t xml:space="preserve"> </w:t>
    </w:r>
    <w:r w:rsidR="008F3C3A" w:rsidRPr="0063530C">
      <w:rPr>
        <w:sz w:val="16"/>
        <w:szCs w:val="16"/>
      </w:rPr>
      <w:tab/>
      <w:t xml:space="preserve">Page </w:t>
    </w:r>
    <w:r w:rsidR="008F3C3A" w:rsidRPr="0063530C">
      <w:rPr>
        <w:sz w:val="16"/>
        <w:szCs w:val="16"/>
      </w:rPr>
      <w:fldChar w:fldCharType="begin"/>
    </w:r>
    <w:r w:rsidR="008F3C3A" w:rsidRPr="0063530C">
      <w:rPr>
        <w:sz w:val="16"/>
        <w:szCs w:val="16"/>
      </w:rPr>
      <w:instrText xml:space="preserve">PAGE  </w:instrText>
    </w:r>
    <w:r w:rsidR="008F3C3A" w:rsidRPr="0063530C">
      <w:rPr>
        <w:sz w:val="16"/>
        <w:szCs w:val="16"/>
      </w:rPr>
      <w:fldChar w:fldCharType="separate"/>
    </w:r>
    <w:r w:rsidR="00225FB6">
      <w:rPr>
        <w:noProof/>
        <w:sz w:val="16"/>
        <w:szCs w:val="16"/>
      </w:rPr>
      <w:t>1</w:t>
    </w:r>
    <w:r w:rsidR="008F3C3A" w:rsidRPr="0063530C">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C3A" w:rsidRDefault="008F3C3A">
      <w:r>
        <w:separator/>
      </w:r>
    </w:p>
  </w:footnote>
  <w:footnote w:type="continuationSeparator" w:id="0">
    <w:p w:rsidR="008F3C3A" w:rsidRDefault="008F3C3A">
      <w:r>
        <w:continuationSeparator/>
      </w:r>
    </w:p>
  </w:footnote>
  <w:footnote w:id="1">
    <w:p w:rsidR="008F3C3A" w:rsidRDefault="008F3C3A" w:rsidP="003F0FBE">
      <w:pPr>
        <w:pStyle w:val="FootnoteText"/>
      </w:pPr>
      <w:r>
        <w:rPr>
          <w:rStyle w:val="FootnoteReference"/>
        </w:rPr>
        <w:footnoteRef/>
      </w:r>
      <w:r>
        <w:t xml:space="preserve"> The US excludes research that is conducted after the beginning of commercial production; Ireland requires eligible expenditure to be wholly and exclusively for the carrying on of the research; Australia requires a production activity to be for the dominant purpose of supporting R&amp;D.</w:t>
      </w:r>
    </w:p>
  </w:footnote>
  <w:footnote w:id="2">
    <w:p w:rsidR="008F3C3A" w:rsidRDefault="008F3C3A">
      <w:pPr>
        <w:pStyle w:val="FootnoteText"/>
      </w:pPr>
      <w:r>
        <w:rPr>
          <w:rStyle w:val="FootnoteReference"/>
        </w:rPr>
        <w:footnoteRef/>
      </w:r>
      <w:r>
        <w:t xml:space="preserve"> This could be increased at the Minister of Finance’s discretion.</w:t>
      </w:r>
    </w:p>
  </w:footnote>
  <w:footnote w:id="3">
    <w:p w:rsidR="008F3C3A" w:rsidRDefault="008F3C3A">
      <w:pPr>
        <w:pStyle w:val="FootnoteText"/>
      </w:pPr>
      <w:r>
        <w:rPr>
          <w:rStyle w:val="FootnoteReference"/>
        </w:rPr>
        <w:footnoteRef/>
      </w:r>
      <w:r>
        <w:t xml:space="preserve"> Possible mechanisms could be Order in Council or Commissioner’s (of Inland Revenue) Determination</w:t>
      </w:r>
    </w:p>
  </w:footnote>
  <w:footnote w:id="4">
    <w:p w:rsidR="008F3C3A" w:rsidRDefault="008F3C3A" w:rsidP="00990C8A">
      <w:pPr>
        <w:pStyle w:val="FootnoteText"/>
      </w:pPr>
      <w:r>
        <w:rPr>
          <w:rStyle w:val="FootnoteReference"/>
        </w:rPr>
        <w:footnoteRef/>
      </w:r>
      <w:r>
        <w:t xml:space="preserve"> This means that the extension of the penalty would not apply if the taxpayer was found not to have exercised reasonable care</w:t>
      </w:r>
    </w:p>
  </w:footnote>
  <w:footnote w:id="5">
    <w:p w:rsidR="008F3C3A" w:rsidRDefault="008F3C3A">
      <w:pPr>
        <w:pStyle w:val="FootnoteText"/>
      </w:pPr>
      <w:r>
        <w:rPr>
          <w:rStyle w:val="FootnoteReference"/>
        </w:rPr>
        <w:footnoteRef/>
      </w:r>
      <w:r>
        <w:t xml:space="preserve"> This refers to where the same arrangement is offered to 10 or more taxpayers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89" w:type="dxa"/>
      <w:tblLayout w:type="fixed"/>
      <w:tblLook w:val="0000" w:firstRow="0" w:lastRow="0" w:firstColumn="0" w:lastColumn="0" w:noHBand="0" w:noVBand="0"/>
    </w:tblPr>
    <w:tblGrid>
      <w:gridCol w:w="3652"/>
      <w:gridCol w:w="3119"/>
      <w:gridCol w:w="3118"/>
    </w:tblGrid>
    <w:tr w:rsidR="008F3C3A" w:rsidTr="00961F32">
      <w:trPr>
        <w:trHeight w:val="963"/>
      </w:trPr>
      <w:tc>
        <w:tcPr>
          <w:tcW w:w="3652" w:type="dxa"/>
        </w:tcPr>
        <w:p w:rsidR="008F3C3A" w:rsidRDefault="008F3C3A" w:rsidP="009119DA">
          <w:pPr>
            <w:jc w:val="left"/>
            <w:rPr>
              <w:b/>
              <w:caps/>
              <w:color w:val="000000"/>
              <w:sz w:val="32"/>
            </w:rPr>
          </w:pPr>
          <w:r>
            <w:rPr>
              <w:noProof/>
              <w:lang w:eastAsia="en-NZ"/>
            </w:rPr>
            <w:drawing>
              <wp:inline distT="0" distB="0" distL="0" distR="0" wp14:anchorId="0567B76E" wp14:editId="76F49BF9">
                <wp:extent cx="2141220" cy="671866"/>
                <wp:effectExtent l="0" t="0" r="0" b="0"/>
                <wp:docPr id="6" name="Picture 6" descr="new IR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R logo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154" cy="673100"/>
                        </a:xfrm>
                        <a:prstGeom prst="rect">
                          <a:avLst/>
                        </a:prstGeom>
                        <a:noFill/>
                        <a:ln>
                          <a:noFill/>
                        </a:ln>
                      </pic:spPr>
                    </pic:pic>
                  </a:graphicData>
                </a:graphic>
              </wp:inline>
            </w:drawing>
          </w:r>
          <w:r>
            <w:rPr>
              <w:noProof/>
              <w:lang w:eastAsia="en-NZ"/>
            </w:rPr>
            <mc:AlternateContent>
              <mc:Choice Requires="wps">
                <w:drawing>
                  <wp:anchor distT="0" distB="0" distL="114300" distR="114300" simplePos="0" relativeHeight="251659264" behindDoc="0" locked="0" layoutInCell="0" allowOverlap="1" wp14:anchorId="21109552" wp14:editId="143D39FE">
                    <wp:simplePos x="0" y="0"/>
                    <wp:positionH relativeFrom="column">
                      <wp:posOffset>-106680</wp:posOffset>
                    </wp:positionH>
                    <wp:positionV relativeFrom="paragraph">
                      <wp:posOffset>732155</wp:posOffset>
                    </wp:positionV>
                    <wp:extent cx="2255520" cy="373380"/>
                    <wp:effectExtent l="0" t="0" r="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3C3A" w:rsidRDefault="008F3C3A" w:rsidP="00EF0B80">
                                <w:pPr>
                                  <w:rPr>
                                    <w:spacing w:val="4"/>
                                    <w:sz w:val="25"/>
                                  </w:rPr>
                                </w:pPr>
                                <w:r>
                                  <w:rPr>
                                    <w:color w:val="000000"/>
                                    <w:spacing w:val="4"/>
                                    <w:sz w:val="25"/>
                                  </w:rPr>
                                  <w:t>POLICY AND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8.4pt;margin-top:57.65pt;width:177.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" o:allowincell="f" filled="f" stroked="f">
                    <v:textbox>
                      <w:txbxContent>
                        <w:p w:rsidR="008F3C3A" w:rsidRDefault="008F3C3A" w:rsidP="00EF0B80">
                          <w:pPr>
                            <w:rPr>
                              <w:spacing w:val="4"/>
                              <w:sz w:val="25"/>
                            </w:rPr>
                          </w:pPr>
                          <w:r>
                            <w:rPr>
                              <w:color w:val="000000"/>
                              <w:spacing w:val="4"/>
                              <w:sz w:val="25"/>
                            </w:rPr>
                            <w:t>POLICY AND STRATEGY</w:t>
                          </w:r>
                        </w:p>
                      </w:txbxContent>
                    </v:textbox>
                    <w10:wrap type="square"/>
                  </v:shape>
                </w:pict>
              </mc:Fallback>
            </mc:AlternateContent>
          </w:r>
        </w:p>
      </w:tc>
      <w:tc>
        <w:tcPr>
          <w:tcW w:w="3119" w:type="dxa"/>
        </w:tcPr>
        <w:p w:rsidR="008F3C3A" w:rsidRDefault="008F3C3A" w:rsidP="009119DA">
          <w:pPr>
            <w:jc w:val="center"/>
          </w:pPr>
          <w:r w:rsidRPr="00073C83">
            <w:rPr>
              <w:noProof/>
              <w:lang w:eastAsia="en-NZ"/>
            </w:rPr>
            <w:drawing>
              <wp:anchor distT="0" distB="0" distL="114300" distR="114300" simplePos="0" relativeHeight="251663360" behindDoc="1" locked="0" layoutInCell="1" allowOverlap="1" wp14:anchorId="0BE67887" wp14:editId="23AA8FD0">
                <wp:simplePos x="0" y="0"/>
                <wp:positionH relativeFrom="page">
                  <wp:posOffset>1994535</wp:posOffset>
                </wp:positionH>
                <wp:positionV relativeFrom="paragraph">
                  <wp:posOffset>40005</wp:posOffset>
                </wp:positionV>
                <wp:extent cx="2006892" cy="638175"/>
                <wp:effectExtent l="0" t="0" r="0" b="0"/>
                <wp:wrapNone/>
                <wp:docPr id="7" name="Picture 7"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1297" t="5487" r="50648" b="85942"/>
                        <a:stretch/>
                      </pic:blipFill>
                      <pic:spPr bwMode="auto">
                        <a:xfrm>
                          <a:off x="0" y="0"/>
                          <a:ext cx="2006892"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61312" behindDoc="0" locked="0" layoutInCell="1" allowOverlap="1" wp14:anchorId="615BDDF3" wp14:editId="1C5EA6BF">
                <wp:simplePos x="0" y="0"/>
                <wp:positionH relativeFrom="column">
                  <wp:posOffset>-3810</wp:posOffset>
                </wp:positionH>
                <wp:positionV relativeFrom="paragraph">
                  <wp:posOffset>163830</wp:posOffset>
                </wp:positionV>
                <wp:extent cx="1743075" cy="3714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3075" cy="371475"/>
                        </a:xfrm>
                        <a:prstGeom prst="rect">
                          <a:avLst/>
                        </a:prstGeom>
                        <a:noFill/>
                      </pic:spPr>
                    </pic:pic>
                  </a:graphicData>
                </a:graphic>
                <wp14:sizeRelH relativeFrom="page">
                  <wp14:pctWidth>0</wp14:pctWidth>
                </wp14:sizeRelH>
                <wp14:sizeRelV relativeFrom="page">
                  <wp14:pctHeight>0</wp14:pctHeight>
                </wp14:sizeRelV>
              </wp:anchor>
            </w:drawing>
          </w:r>
        </w:p>
      </w:tc>
      <w:tc>
        <w:tcPr>
          <w:tcW w:w="3118" w:type="dxa"/>
        </w:tcPr>
        <w:p w:rsidR="008F3C3A" w:rsidRDefault="008F3C3A" w:rsidP="009119DA">
          <w:pPr>
            <w:jc w:val="right"/>
            <w:rPr>
              <w:b/>
              <w:caps/>
              <w:color w:val="000000"/>
              <w:sz w:val="32"/>
            </w:rPr>
          </w:pPr>
        </w:p>
      </w:tc>
    </w:tr>
  </w:tbl>
  <w:p w:rsidR="008F3C3A" w:rsidRDefault="008F3C3A" w:rsidP="00EF0B80">
    <w:pPr>
      <w:pStyle w:val="Header"/>
      <w:spacing w:after="9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3A" w:rsidRDefault="008F3C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3A" w:rsidRDefault="00DC36D0" w:rsidP="00CE04E1">
    <w:pPr>
      <w:pStyle w:val="Header"/>
      <w:jc w:val="right"/>
      <w:rPr>
        <w:sz w:val="20"/>
      </w:rPr>
    </w:pPr>
    <w:r>
      <w:tab/>
    </w:r>
    <w:r>
      <w:tab/>
    </w:r>
    <w:r>
      <w:rPr>
        <w:sz w:val="20"/>
      </w:rPr>
      <w:t>In Confidence</w:t>
    </w:r>
  </w:p>
  <w:p w:rsidR="00690E5F" w:rsidRPr="00DC36D0" w:rsidRDefault="00690E5F" w:rsidP="00DC36D0">
    <w:pPr>
      <w:pStyle w:val="Header"/>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C3A" w:rsidRDefault="008F3C3A"/>
  <w:p w:rsidR="008F3C3A" w:rsidRDefault="008F3C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8D6C32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3DD621F"/>
    <w:multiLevelType w:val="singleLevel"/>
    <w:tmpl w:val="915E4D5A"/>
    <w:lvl w:ilvl="0">
      <w:start w:val="1"/>
      <w:numFmt w:val="decimal"/>
      <w:lvlText w:val="%1"/>
      <w:legacy w:legacy="1" w:legacySpace="0" w:legacyIndent="567"/>
      <w:lvlJc w:val="left"/>
      <w:pPr>
        <w:ind w:left="567" w:hanging="567"/>
      </w:pPr>
    </w:lvl>
  </w:abstractNum>
  <w:abstractNum w:abstractNumId="3">
    <w:nsid w:val="0C000399"/>
    <w:multiLevelType w:val="singleLevel"/>
    <w:tmpl w:val="915E4D5A"/>
    <w:lvl w:ilvl="0">
      <w:start w:val="1"/>
      <w:numFmt w:val="decimal"/>
      <w:lvlText w:val="%1"/>
      <w:legacy w:legacy="1" w:legacySpace="0" w:legacyIndent="567"/>
      <w:lvlJc w:val="left"/>
      <w:pPr>
        <w:ind w:left="567" w:hanging="567"/>
      </w:pPr>
    </w:lvl>
  </w:abstractNum>
  <w:abstractNum w:abstractNumId="4">
    <w:nsid w:val="0CA12010"/>
    <w:multiLevelType w:val="singleLevel"/>
    <w:tmpl w:val="638C4CD0"/>
    <w:lvl w:ilvl="0">
      <w:start w:val="1"/>
      <w:numFmt w:val="bullet"/>
      <w:lvlText w:val=""/>
      <w:lvlJc w:val="left"/>
      <w:pPr>
        <w:tabs>
          <w:tab w:val="num" w:pos="567"/>
        </w:tabs>
        <w:ind w:left="567" w:hanging="567"/>
      </w:pPr>
      <w:rPr>
        <w:rFonts w:ascii="Symbol" w:hAnsi="Symbol" w:hint="default"/>
      </w:rPr>
    </w:lvl>
  </w:abstractNum>
  <w:abstractNum w:abstractNumId="5">
    <w:nsid w:val="10C92418"/>
    <w:multiLevelType w:val="hybridMultilevel"/>
    <w:tmpl w:val="AE36CD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1101173F"/>
    <w:multiLevelType w:val="singleLevel"/>
    <w:tmpl w:val="915E4D5A"/>
    <w:lvl w:ilvl="0">
      <w:start w:val="1"/>
      <w:numFmt w:val="decimal"/>
      <w:lvlText w:val="%1"/>
      <w:legacy w:legacy="1" w:legacySpace="0" w:legacyIndent="567"/>
      <w:lvlJc w:val="left"/>
      <w:pPr>
        <w:ind w:left="567" w:hanging="567"/>
      </w:pPr>
    </w:lvl>
  </w:abstractNum>
  <w:abstractNum w:abstractNumId="7">
    <w:nsid w:val="12557B67"/>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8">
    <w:nsid w:val="12F9016C"/>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9">
    <w:nsid w:val="13E31336"/>
    <w:multiLevelType w:val="hybridMultilevel"/>
    <w:tmpl w:val="5E382814"/>
    <w:lvl w:ilvl="0" w:tplc="A3A0AB44">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164336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1">
    <w:nsid w:val="174F58CF"/>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2">
    <w:nsid w:val="19C72808"/>
    <w:multiLevelType w:val="hybridMultilevel"/>
    <w:tmpl w:val="FA842B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1CA80B76"/>
    <w:multiLevelType w:val="singleLevel"/>
    <w:tmpl w:val="FAD8B7F2"/>
    <w:lvl w:ilvl="0">
      <w:start w:val="1"/>
      <w:numFmt w:val="decimal"/>
      <w:lvlText w:val="%1."/>
      <w:lvlJc w:val="left"/>
      <w:pPr>
        <w:tabs>
          <w:tab w:val="num" w:pos="360"/>
        </w:tabs>
        <w:ind w:left="360" w:hanging="360"/>
      </w:pPr>
      <w:rPr>
        <w:rFonts w:ascii="Helvetica" w:hAnsi="Helvetica" w:hint="default"/>
        <w:b w:val="0"/>
        <w:i w:val="0"/>
      </w:rPr>
    </w:lvl>
  </w:abstractNum>
  <w:abstractNum w:abstractNumId="14">
    <w:nsid w:val="202B475C"/>
    <w:multiLevelType w:val="hybridMultilevel"/>
    <w:tmpl w:val="962E0B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AB80A99"/>
    <w:multiLevelType w:val="hybridMultilevel"/>
    <w:tmpl w:val="943E949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6">
    <w:nsid w:val="32814370"/>
    <w:multiLevelType w:val="hybridMultilevel"/>
    <w:tmpl w:val="031EF1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nsid w:val="35E83889"/>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8">
    <w:nsid w:val="361347DE"/>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19">
    <w:nsid w:val="39071271"/>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0">
    <w:nsid w:val="3DCC06AC"/>
    <w:multiLevelType w:val="hybridMultilevel"/>
    <w:tmpl w:val="2760E3D2"/>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21">
    <w:nsid w:val="3E4C2C0C"/>
    <w:multiLevelType w:val="hybridMultilevel"/>
    <w:tmpl w:val="EDAA5ADC"/>
    <w:lvl w:ilvl="0" w:tplc="A3A0AB44">
      <w:start w:val="1"/>
      <w:numFmt w:val="bullet"/>
      <w:lvlText w:val="-"/>
      <w:lvlJc w:val="left"/>
      <w:pPr>
        <w:ind w:left="360" w:hanging="360"/>
      </w:pPr>
      <w:rPr>
        <w:rFonts w:ascii="Courier New" w:hAnsi="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41E82E8F"/>
    <w:multiLevelType w:val="hybridMultilevel"/>
    <w:tmpl w:val="D9C85FD8"/>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23">
    <w:nsid w:val="463F23D2"/>
    <w:multiLevelType w:val="singleLevel"/>
    <w:tmpl w:val="915E4D5A"/>
    <w:lvl w:ilvl="0">
      <w:start w:val="1"/>
      <w:numFmt w:val="decimal"/>
      <w:lvlText w:val="%1"/>
      <w:legacy w:legacy="1" w:legacySpace="0" w:legacyIndent="567"/>
      <w:lvlJc w:val="left"/>
      <w:pPr>
        <w:ind w:left="567" w:hanging="567"/>
      </w:pPr>
    </w:lvl>
  </w:abstractNum>
  <w:abstractNum w:abstractNumId="24">
    <w:nsid w:val="535F252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5">
    <w:nsid w:val="56204238"/>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26">
    <w:nsid w:val="57AE6D67"/>
    <w:multiLevelType w:val="hybridMultilevel"/>
    <w:tmpl w:val="0890C6B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nsid w:val="5C4E7217"/>
    <w:multiLevelType w:val="singleLevel"/>
    <w:tmpl w:val="915E4D5A"/>
    <w:lvl w:ilvl="0">
      <w:start w:val="1"/>
      <w:numFmt w:val="decimal"/>
      <w:lvlText w:val="%1"/>
      <w:legacy w:legacy="1" w:legacySpace="0" w:legacyIndent="567"/>
      <w:lvlJc w:val="left"/>
      <w:pPr>
        <w:ind w:left="567" w:hanging="567"/>
      </w:pPr>
    </w:lvl>
  </w:abstractNum>
  <w:abstractNum w:abstractNumId="28">
    <w:nsid w:val="5F033750"/>
    <w:multiLevelType w:val="hybridMultilevel"/>
    <w:tmpl w:val="B87C1960"/>
    <w:lvl w:ilvl="0" w:tplc="E5A470F4">
      <w:numFmt w:val="bullet"/>
      <w:lvlText w:val="-"/>
      <w:lvlJc w:val="left"/>
      <w:pPr>
        <w:ind w:left="720" w:hanging="360"/>
      </w:pPr>
      <w:rPr>
        <w:rFonts w:ascii="Times New Roman" w:eastAsia="Times New Roman"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244181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0">
    <w:nsid w:val="63225CFF"/>
    <w:multiLevelType w:val="hybridMultilevel"/>
    <w:tmpl w:val="D51409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8641435"/>
    <w:multiLevelType w:val="hybridMultilevel"/>
    <w:tmpl w:val="F2F08C4A"/>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nsid w:val="6B1B4A56"/>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3">
    <w:nsid w:val="6BD108CD"/>
    <w:multiLevelType w:val="singleLevel"/>
    <w:tmpl w:val="915E4D5A"/>
    <w:lvl w:ilvl="0">
      <w:start w:val="1"/>
      <w:numFmt w:val="decimal"/>
      <w:lvlText w:val="%1"/>
      <w:legacy w:legacy="1" w:legacySpace="0" w:legacyIndent="567"/>
      <w:lvlJc w:val="left"/>
      <w:pPr>
        <w:ind w:left="567" w:hanging="567"/>
      </w:pPr>
    </w:lvl>
  </w:abstractNum>
  <w:abstractNum w:abstractNumId="34">
    <w:nsid w:val="715C1B4E"/>
    <w:multiLevelType w:val="singleLevel"/>
    <w:tmpl w:val="915E4D5A"/>
    <w:lvl w:ilvl="0">
      <w:start w:val="1"/>
      <w:numFmt w:val="decimal"/>
      <w:lvlText w:val="%1"/>
      <w:legacy w:legacy="1" w:legacySpace="0" w:legacyIndent="567"/>
      <w:lvlJc w:val="left"/>
      <w:pPr>
        <w:ind w:left="567" w:hanging="567"/>
      </w:pPr>
    </w:lvl>
  </w:abstractNum>
  <w:abstractNum w:abstractNumId="35">
    <w:nsid w:val="72253F17"/>
    <w:multiLevelType w:val="hybridMultilevel"/>
    <w:tmpl w:val="16DE8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722E105A"/>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7">
    <w:nsid w:val="757F6153"/>
    <w:multiLevelType w:val="singleLevel"/>
    <w:tmpl w:val="B91AB442"/>
    <w:lvl w:ilvl="0">
      <w:start w:val="1"/>
      <w:numFmt w:val="bullet"/>
      <w:lvlText w:val=""/>
      <w:lvlJc w:val="left"/>
      <w:pPr>
        <w:tabs>
          <w:tab w:val="num" w:pos="567"/>
        </w:tabs>
        <w:ind w:left="567" w:hanging="567"/>
      </w:pPr>
      <w:rPr>
        <w:rFonts w:ascii="Symbol" w:hAnsi="Symbol" w:hint="default"/>
      </w:rPr>
    </w:lvl>
  </w:abstractNum>
  <w:abstractNum w:abstractNumId="38">
    <w:nsid w:val="767C4449"/>
    <w:multiLevelType w:val="singleLevel"/>
    <w:tmpl w:val="350C63BE"/>
    <w:lvl w:ilvl="0">
      <w:start w:val="1"/>
      <w:numFmt w:val="lowerRoman"/>
      <w:lvlText w:val="%1."/>
      <w:lvlJc w:val="right"/>
      <w:pPr>
        <w:ind w:left="720" w:hanging="360"/>
      </w:pPr>
      <w:rPr>
        <w:rFonts w:hint="default"/>
        <w:sz w:val="24"/>
      </w:rPr>
    </w:lvl>
  </w:abstractNum>
  <w:abstractNum w:abstractNumId="39">
    <w:nsid w:val="7AF15127"/>
    <w:multiLevelType w:val="hybridMultilevel"/>
    <w:tmpl w:val="2258D0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36"/>
  </w:num>
  <w:num w:numId="4">
    <w:abstractNumId w:val="8"/>
  </w:num>
  <w:num w:numId="5">
    <w:abstractNumId w:val="19"/>
  </w:num>
  <w:num w:numId="6">
    <w:abstractNumId w:val="32"/>
  </w:num>
  <w:num w:numId="7">
    <w:abstractNumId w:val="10"/>
  </w:num>
  <w:num w:numId="8">
    <w:abstractNumId w:val="24"/>
  </w:num>
  <w:num w:numId="9">
    <w:abstractNumId w:val="37"/>
  </w:num>
  <w:num w:numId="10">
    <w:abstractNumId w:val="18"/>
  </w:num>
  <w:num w:numId="11">
    <w:abstractNumId w:val="25"/>
  </w:num>
  <w:num w:numId="12">
    <w:abstractNumId w:val="11"/>
  </w:num>
  <w:num w:numId="13">
    <w:abstractNumId w:val="17"/>
  </w:num>
  <w:num w:numId="14">
    <w:abstractNumId w:val="34"/>
  </w:num>
  <w:num w:numId="15">
    <w:abstractNumId w:val="1"/>
    <w:lvlOverride w:ilvl="0">
      <w:lvl w:ilvl="0">
        <w:start w:val="1"/>
        <w:numFmt w:val="bullet"/>
        <w:lvlText w:val=""/>
        <w:legacy w:legacy="1" w:legacySpace="0" w:legacyIndent="567"/>
        <w:lvlJc w:val="left"/>
        <w:pPr>
          <w:ind w:left="567" w:hanging="567"/>
        </w:pPr>
        <w:rPr>
          <w:rFonts w:ascii="Times" w:hAnsi="Times" w:hint="default"/>
        </w:rPr>
      </w:lvl>
    </w:lvlOverride>
  </w:num>
  <w:num w:numId="16">
    <w:abstractNumId w:val="2"/>
  </w:num>
  <w:num w:numId="17">
    <w:abstractNumId w:val="6"/>
  </w:num>
  <w:num w:numId="18">
    <w:abstractNumId w:val="23"/>
  </w:num>
  <w:num w:numId="19">
    <w:abstractNumId w:val="4"/>
  </w:num>
  <w:num w:numId="20">
    <w:abstractNumId w:val="3"/>
  </w:num>
  <w:num w:numId="21">
    <w:abstractNumId w:val="13"/>
  </w:num>
  <w:num w:numId="22">
    <w:abstractNumId w:val="33"/>
  </w:num>
  <w:num w:numId="23">
    <w:abstractNumId w:val="27"/>
  </w:num>
  <w:num w:numId="24">
    <w:abstractNumId w:val="38"/>
  </w:num>
  <w:num w:numId="25">
    <w:abstractNumId w:val="0"/>
  </w:num>
  <w:num w:numId="26">
    <w:abstractNumId w:val="12"/>
  </w:num>
  <w:num w:numId="27">
    <w:abstractNumId w:val="28"/>
  </w:num>
  <w:num w:numId="28">
    <w:abstractNumId w:val="21"/>
  </w:num>
  <w:num w:numId="29">
    <w:abstractNumId w:val="9"/>
  </w:num>
  <w:num w:numId="30">
    <w:abstractNumId w:val="22"/>
  </w:num>
  <w:num w:numId="31">
    <w:abstractNumId w:val="14"/>
  </w:num>
  <w:num w:numId="32">
    <w:abstractNumId w:val="39"/>
  </w:num>
  <w:num w:numId="33">
    <w:abstractNumId w:val="35"/>
  </w:num>
  <w:num w:numId="34">
    <w:abstractNumId w:val="15"/>
  </w:num>
  <w:num w:numId="35">
    <w:abstractNumId w:val="38"/>
  </w:num>
  <w:num w:numId="36">
    <w:abstractNumId w:val="31"/>
  </w:num>
  <w:num w:numId="37">
    <w:abstractNumId w:val="5"/>
  </w:num>
  <w:num w:numId="38">
    <w:abstractNumId w:val="16"/>
  </w:num>
  <w:num w:numId="39">
    <w:abstractNumId w:val="26"/>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AU" w:vendorID="8" w:dllVersion="513" w:checkStyle="1"/>
  <w:activeWritingStyle w:appName="MSWord" w:lang="en-NZ"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BD"/>
    <w:rsid w:val="00031717"/>
    <w:rsid w:val="000324DF"/>
    <w:rsid w:val="00064565"/>
    <w:rsid w:val="00065220"/>
    <w:rsid w:val="00070841"/>
    <w:rsid w:val="000752CB"/>
    <w:rsid w:val="000954C5"/>
    <w:rsid w:val="000A2B27"/>
    <w:rsid w:val="000A7577"/>
    <w:rsid w:val="000F50BC"/>
    <w:rsid w:val="001055AB"/>
    <w:rsid w:val="00107F7C"/>
    <w:rsid w:val="00114E1C"/>
    <w:rsid w:val="00120AC2"/>
    <w:rsid w:val="00123FE5"/>
    <w:rsid w:val="00127D8A"/>
    <w:rsid w:val="001319A6"/>
    <w:rsid w:val="0013396B"/>
    <w:rsid w:val="00145E15"/>
    <w:rsid w:val="00154CBC"/>
    <w:rsid w:val="001811D6"/>
    <w:rsid w:val="00192C20"/>
    <w:rsid w:val="001B41A0"/>
    <w:rsid w:val="001D2D28"/>
    <w:rsid w:val="001F1005"/>
    <w:rsid w:val="001F6DA1"/>
    <w:rsid w:val="00215F2A"/>
    <w:rsid w:val="00225FB6"/>
    <w:rsid w:val="0023241B"/>
    <w:rsid w:val="00252C7D"/>
    <w:rsid w:val="00262FE8"/>
    <w:rsid w:val="00266338"/>
    <w:rsid w:val="00287FC3"/>
    <w:rsid w:val="00290415"/>
    <w:rsid w:val="00295966"/>
    <w:rsid w:val="002B3DE7"/>
    <w:rsid w:val="002C3EBF"/>
    <w:rsid w:val="002D00BC"/>
    <w:rsid w:val="002D710E"/>
    <w:rsid w:val="002E1E54"/>
    <w:rsid w:val="00307E6E"/>
    <w:rsid w:val="003153EE"/>
    <w:rsid w:val="00316C49"/>
    <w:rsid w:val="003302E5"/>
    <w:rsid w:val="003605D9"/>
    <w:rsid w:val="003620A1"/>
    <w:rsid w:val="003730D8"/>
    <w:rsid w:val="003853E1"/>
    <w:rsid w:val="003B2B43"/>
    <w:rsid w:val="003C4AA6"/>
    <w:rsid w:val="003E6D1B"/>
    <w:rsid w:val="003F0FBE"/>
    <w:rsid w:val="00410D77"/>
    <w:rsid w:val="004169BD"/>
    <w:rsid w:val="00443126"/>
    <w:rsid w:val="00471B2A"/>
    <w:rsid w:val="00477668"/>
    <w:rsid w:val="00483FD6"/>
    <w:rsid w:val="0048466A"/>
    <w:rsid w:val="004A3856"/>
    <w:rsid w:val="004B7914"/>
    <w:rsid w:val="004D37E9"/>
    <w:rsid w:val="004E29F0"/>
    <w:rsid w:val="004E44E8"/>
    <w:rsid w:val="004E6D5C"/>
    <w:rsid w:val="004F24A4"/>
    <w:rsid w:val="0051239A"/>
    <w:rsid w:val="00534572"/>
    <w:rsid w:val="00535B23"/>
    <w:rsid w:val="00551633"/>
    <w:rsid w:val="00557860"/>
    <w:rsid w:val="00592036"/>
    <w:rsid w:val="005B76A2"/>
    <w:rsid w:val="005F0DA2"/>
    <w:rsid w:val="006304E2"/>
    <w:rsid w:val="0063530C"/>
    <w:rsid w:val="00662F7A"/>
    <w:rsid w:val="00670E3B"/>
    <w:rsid w:val="00673098"/>
    <w:rsid w:val="006855A0"/>
    <w:rsid w:val="00690E5F"/>
    <w:rsid w:val="00692F9C"/>
    <w:rsid w:val="006E4002"/>
    <w:rsid w:val="00712369"/>
    <w:rsid w:val="0071515B"/>
    <w:rsid w:val="00715BDD"/>
    <w:rsid w:val="007221B3"/>
    <w:rsid w:val="007260DC"/>
    <w:rsid w:val="00776604"/>
    <w:rsid w:val="00782A0A"/>
    <w:rsid w:val="007A1838"/>
    <w:rsid w:val="007A6789"/>
    <w:rsid w:val="007B4F1C"/>
    <w:rsid w:val="007E4935"/>
    <w:rsid w:val="00832E88"/>
    <w:rsid w:val="00844712"/>
    <w:rsid w:val="00864BB6"/>
    <w:rsid w:val="008862F3"/>
    <w:rsid w:val="008A47EA"/>
    <w:rsid w:val="008B0177"/>
    <w:rsid w:val="008B35D0"/>
    <w:rsid w:val="008C6AD1"/>
    <w:rsid w:val="008D05F2"/>
    <w:rsid w:val="008E360C"/>
    <w:rsid w:val="008F29EE"/>
    <w:rsid w:val="008F3C3A"/>
    <w:rsid w:val="00904CFC"/>
    <w:rsid w:val="009101E6"/>
    <w:rsid w:val="009119DA"/>
    <w:rsid w:val="00914D9D"/>
    <w:rsid w:val="0093642D"/>
    <w:rsid w:val="00936E8C"/>
    <w:rsid w:val="00945AEF"/>
    <w:rsid w:val="00961F32"/>
    <w:rsid w:val="00973078"/>
    <w:rsid w:val="00990C8A"/>
    <w:rsid w:val="00996437"/>
    <w:rsid w:val="009A0652"/>
    <w:rsid w:val="009A4648"/>
    <w:rsid w:val="009B4907"/>
    <w:rsid w:val="009C0D98"/>
    <w:rsid w:val="009D6A9F"/>
    <w:rsid w:val="009E6F96"/>
    <w:rsid w:val="00A3218C"/>
    <w:rsid w:val="00A62968"/>
    <w:rsid w:val="00A70FFF"/>
    <w:rsid w:val="00A85F72"/>
    <w:rsid w:val="00AA0376"/>
    <w:rsid w:val="00AC0387"/>
    <w:rsid w:val="00AC0FC8"/>
    <w:rsid w:val="00AE4A51"/>
    <w:rsid w:val="00AE6C88"/>
    <w:rsid w:val="00AF3BF0"/>
    <w:rsid w:val="00B02AD3"/>
    <w:rsid w:val="00B1733E"/>
    <w:rsid w:val="00B174F3"/>
    <w:rsid w:val="00B201F2"/>
    <w:rsid w:val="00B23FA3"/>
    <w:rsid w:val="00B32636"/>
    <w:rsid w:val="00B60AC5"/>
    <w:rsid w:val="00B91B1F"/>
    <w:rsid w:val="00B96F2E"/>
    <w:rsid w:val="00BA0424"/>
    <w:rsid w:val="00BA134E"/>
    <w:rsid w:val="00BC5F2C"/>
    <w:rsid w:val="00BD357C"/>
    <w:rsid w:val="00BD41DB"/>
    <w:rsid w:val="00BE6C99"/>
    <w:rsid w:val="00BE743E"/>
    <w:rsid w:val="00BF4385"/>
    <w:rsid w:val="00C0404D"/>
    <w:rsid w:val="00C0566A"/>
    <w:rsid w:val="00C132CF"/>
    <w:rsid w:val="00C16F17"/>
    <w:rsid w:val="00C219AE"/>
    <w:rsid w:val="00C655C2"/>
    <w:rsid w:val="00C72669"/>
    <w:rsid w:val="00C77ACA"/>
    <w:rsid w:val="00CC68E0"/>
    <w:rsid w:val="00CD4D6A"/>
    <w:rsid w:val="00CE04E1"/>
    <w:rsid w:val="00CF2C9B"/>
    <w:rsid w:val="00CF49D8"/>
    <w:rsid w:val="00D05B86"/>
    <w:rsid w:val="00D1449D"/>
    <w:rsid w:val="00D16B6E"/>
    <w:rsid w:val="00D32284"/>
    <w:rsid w:val="00D5104A"/>
    <w:rsid w:val="00D54854"/>
    <w:rsid w:val="00D744EF"/>
    <w:rsid w:val="00D757B3"/>
    <w:rsid w:val="00D82CF9"/>
    <w:rsid w:val="00D83D70"/>
    <w:rsid w:val="00D868D2"/>
    <w:rsid w:val="00D9358A"/>
    <w:rsid w:val="00D94B1F"/>
    <w:rsid w:val="00D950E1"/>
    <w:rsid w:val="00DB0C14"/>
    <w:rsid w:val="00DC256B"/>
    <w:rsid w:val="00DC36D0"/>
    <w:rsid w:val="00E33E52"/>
    <w:rsid w:val="00E558FD"/>
    <w:rsid w:val="00E6057C"/>
    <w:rsid w:val="00E9685E"/>
    <w:rsid w:val="00E97400"/>
    <w:rsid w:val="00EA2A35"/>
    <w:rsid w:val="00EA705D"/>
    <w:rsid w:val="00ED4D94"/>
    <w:rsid w:val="00EE76A7"/>
    <w:rsid w:val="00EF0B80"/>
    <w:rsid w:val="00F0038A"/>
    <w:rsid w:val="00F00A89"/>
    <w:rsid w:val="00F25FFA"/>
    <w:rsid w:val="00F4752C"/>
    <w:rsid w:val="00F5353A"/>
    <w:rsid w:val="00F7382E"/>
    <w:rsid w:val="00F85588"/>
    <w:rsid w:val="00FB14FF"/>
    <w:rsid w:val="00FC1411"/>
    <w:rsid w:val="00FD0E7D"/>
    <w:rsid w:val="00FD2316"/>
    <w:rsid w:val="00FD30DB"/>
    <w:rsid w:val="00FE455F"/>
    <w:rsid w:val="00FF0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spacing w:after="200"/>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7B4F1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7B4F1C"/>
    <w:rPr>
      <w:sz w:val="16"/>
      <w:lang w:eastAsia="en-AU"/>
    </w:rPr>
  </w:style>
  <w:style w:type="character" w:styleId="FootnoteReference">
    <w:name w:val="footnote reference"/>
    <w:basedOn w:val="DefaultParagraphFont"/>
    <w:uiPriority w:val="99"/>
    <w:semiHidden/>
    <w:unhideWhenUsed/>
    <w:rsid w:val="007B4F1C"/>
    <w:rPr>
      <w:vertAlign w:val="superscript"/>
    </w:rPr>
  </w:style>
  <w:style w:type="character" w:styleId="CommentReference">
    <w:name w:val="annotation reference"/>
    <w:basedOn w:val="DefaultParagraphFont"/>
    <w:uiPriority w:val="99"/>
    <w:semiHidden/>
    <w:unhideWhenUsed/>
    <w:rsid w:val="00031717"/>
    <w:rPr>
      <w:sz w:val="16"/>
      <w:szCs w:val="16"/>
    </w:rPr>
  </w:style>
  <w:style w:type="paragraph" w:styleId="CommentText">
    <w:name w:val="annotation text"/>
    <w:basedOn w:val="Normal"/>
    <w:link w:val="CommentTextChar"/>
    <w:uiPriority w:val="99"/>
    <w:semiHidden/>
    <w:unhideWhenUsed/>
    <w:rsid w:val="00031717"/>
    <w:rPr>
      <w:sz w:val="20"/>
    </w:rPr>
  </w:style>
  <w:style w:type="character" w:customStyle="1" w:styleId="CommentTextChar">
    <w:name w:val="Comment Text Char"/>
    <w:basedOn w:val="DefaultParagraphFont"/>
    <w:link w:val="CommentText"/>
    <w:uiPriority w:val="99"/>
    <w:semiHidden/>
    <w:rsid w:val="00031717"/>
    <w:rPr>
      <w:lang w:eastAsia="en-AU"/>
    </w:rPr>
  </w:style>
  <w:style w:type="paragraph" w:styleId="CommentSubject">
    <w:name w:val="annotation subject"/>
    <w:basedOn w:val="CommentText"/>
    <w:next w:val="CommentText"/>
    <w:link w:val="CommentSubjectChar"/>
    <w:uiPriority w:val="99"/>
    <w:semiHidden/>
    <w:unhideWhenUsed/>
    <w:rsid w:val="004E6D5C"/>
    <w:rPr>
      <w:b/>
      <w:bCs/>
    </w:rPr>
  </w:style>
  <w:style w:type="character" w:customStyle="1" w:styleId="CommentSubjectChar">
    <w:name w:val="Comment Subject Char"/>
    <w:basedOn w:val="CommentTextChar"/>
    <w:link w:val="CommentSubject"/>
    <w:uiPriority w:val="99"/>
    <w:semiHidden/>
    <w:rsid w:val="004E6D5C"/>
    <w:rPr>
      <w:b/>
      <w:bCs/>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lang w:eastAsia="en-AU"/>
    </w:rPr>
  </w:style>
  <w:style w:type="paragraph" w:styleId="Heading1">
    <w:name w:val="heading 1"/>
    <w:basedOn w:val="Normal"/>
    <w:next w:val="Normal"/>
    <w:qFormat/>
    <w:pPr>
      <w:keepNext/>
      <w:spacing w:before="60" w:after="240"/>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after="240"/>
      <w:outlineLvl w:val="2"/>
    </w:pPr>
    <w:rPr>
      <w:b/>
      <w:i/>
    </w:rPr>
  </w:style>
  <w:style w:type="paragraph" w:styleId="Heading4">
    <w:name w:val="heading 4"/>
    <w:basedOn w:val="Normal"/>
    <w:next w:val="Normal"/>
    <w:qFormat/>
    <w:pPr>
      <w:keepNext/>
      <w:spacing w:after="240"/>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RBodyText">
    <w:name w:val="_TRBody Text"/>
    <w:pPr>
      <w:spacing w:line="300" w:lineRule="atLeast"/>
      <w:jc w:val="both"/>
    </w:pPr>
    <w:rPr>
      <w:sz w:val="24"/>
      <w:lang w:eastAsia="en-AU"/>
    </w:rPr>
  </w:style>
  <w:style w:type="paragraph" w:customStyle="1" w:styleId="TRNormal">
    <w:name w:val="_TRNormal"/>
    <w:pPr>
      <w:spacing w:line="300" w:lineRule="atLeast"/>
      <w:jc w:val="both"/>
    </w:pPr>
    <w:rPr>
      <w:sz w:val="24"/>
      <w:lang w:eastAsia="en-AU"/>
    </w:rPr>
  </w:style>
  <w:style w:type="paragraph" w:customStyle="1" w:styleId="TRHeading1">
    <w:name w:val="_TRHeading 1"/>
    <w:next w:val="TRNormal"/>
    <w:pPr>
      <w:keepNext/>
      <w:widowControl w:val="0"/>
      <w:pBdr>
        <w:bottom w:val="single" w:sz="4" w:space="1" w:color="auto"/>
      </w:pBdr>
      <w:spacing w:before="720" w:after="360"/>
    </w:pPr>
    <w:rPr>
      <w:b/>
      <w:sz w:val="28"/>
      <w:lang w:eastAsia="en-AU"/>
    </w:rPr>
  </w:style>
  <w:style w:type="paragraph" w:customStyle="1" w:styleId="TRHeading2">
    <w:name w:val="_TRHeading 2"/>
    <w:basedOn w:val="TRHeading1"/>
    <w:next w:val="TRNormal"/>
    <w:pPr>
      <w:pBdr>
        <w:bottom w:val="none" w:sz="0" w:space="0" w:color="auto"/>
      </w:pBdr>
      <w:spacing w:before="560"/>
    </w:pPr>
    <w:rPr>
      <w:sz w:val="24"/>
    </w:rPr>
  </w:style>
  <w:style w:type="paragraph" w:customStyle="1" w:styleId="TRHeading3">
    <w:name w:val="_TRHeading 3"/>
    <w:basedOn w:val="TRHeading2"/>
    <w:next w:val="TRNormal"/>
    <w:rPr>
      <w:i/>
    </w:rPr>
  </w:style>
  <w:style w:type="paragraph" w:customStyle="1" w:styleId="TRHeading4">
    <w:name w:val="_TRHeading 4"/>
    <w:basedOn w:val="TRHeading3"/>
    <w:next w:val="TRNormal"/>
    <w:pPr>
      <w:spacing w:before="360"/>
    </w:pPr>
    <w:rPr>
      <w:b w:val="0"/>
    </w:rPr>
  </w:style>
  <w:style w:type="paragraph" w:customStyle="1" w:styleId="TRFooter">
    <w:name w:val="_TRFooter"/>
    <w:basedOn w:val="TRNormal"/>
    <w:pPr>
      <w:tabs>
        <w:tab w:val="right" w:pos="9071"/>
      </w:tabs>
      <w:spacing w:line="240" w:lineRule="atLeast"/>
    </w:pPr>
    <w:rPr>
      <w:sz w:val="16"/>
    </w:rPr>
  </w:style>
  <w:style w:type="paragraph" w:customStyle="1" w:styleId="TRFootnoteReference">
    <w:name w:val="_TRFootnote Reference"/>
    <w:basedOn w:val="TRBodyText"/>
    <w:rPr>
      <w:sz w:val="16"/>
    </w:rPr>
  </w:style>
  <w:style w:type="paragraph" w:customStyle="1" w:styleId="TRFootnoteText">
    <w:name w:val="_TRFootnote Text"/>
    <w:basedOn w:val="TRNormal"/>
    <w:rPr>
      <w:sz w:val="16"/>
    </w:rPr>
  </w:style>
  <w:style w:type="paragraph" w:customStyle="1" w:styleId="TRHeader">
    <w:name w:val="_TRHeader"/>
    <w:basedOn w:val="TRNormal"/>
    <w:rPr>
      <w:b/>
      <w:sz w:val="16"/>
    </w:rPr>
  </w:style>
  <w:style w:type="paragraph" w:customStyle="1" w:styleId="TRList">
    <w:name w:val="_TRList"/>
    <w:basedOn w:val="TRNormal"/>
  </w:style>
  <w:style w:type="paragraph" w:customStyle="1" w:styleId="TRListBullet">
    <w:name w:val="_TRList Bullet"/>
    <w:basedOn w:val="TRNormal"/>
    <w:pPr>
      <w:spacing w:after="200"/>
    </w:pPr>
  </w:style>
  <w:style w:type="paragraph" w:customStyle="1" w:styleId="TRNormalIndent">
    <w:name w:val="_TRNormal Indent"/>
    <w:basedOn w:val="TRNormal"/>
  </w:style>
  <w:style w:type="character" w:customStyle="1" w:styleId="TRPageNumber">
    <w:name w:val="_TRPage Number"/>
    <w:basedOn w:val="DefaultParagraphFont"/>
    <w:rPr>
      <w:rFonts w:ascii="Times New Roman" w:hAnsi="Times New Roman"/>
      <w:sz w:val="16"/>
    </w:rPr>
  </w:style>
  <w:style w:type="character" w:customStyle="1" w:styleId="TRDefaultParagraphFont">
    <w:name w:val="_TRDefault Paragraph Font"/>
    <w:basedOn w:val="DefaultParagraphFont"/>
    <w:rPr>
      <w:rFonts w:ascii="Times New Roman" w:hAnsi="Times New Roman"/>
      <w:b/>
    </w:rPr>
  </w:style>
  <w:style w:type="paragraph" w:customStyle="1" w:styleId="TRTitle">
    <w:name w:val="_TRTitle"/>
    <w:basedOn w:val="TRNormal"/>
    <w:next w:val="TRNormal"/>
    <w:pPr>
      <w:pBdr>
        <w:bottom w:val="single" w:sz="8" w:space="1" w:color="auto"/>
      </w:pBdr>
      <w:spacing w:before="360" w:after="120"/>
      <w:ind w:left="2552" w:hanging="2552"/>
    </w:pPr>
    <w:rPr>
      <w:b/>
      <w:sz w:val="32"/>
    </w:rPr>
  </w:style>
  <w:style w:type="paragraph" w:styleId="BodyText">
    <w:name w:val="Body Text"/>
    <w:basedOn w:val="Normal"/>
    <w:pPr>
      <w:spacing w:line="300" w:lineRule="exact"/>
    </w:pPr>
  </w:style>
  <w:style w:type="paragraph" w:styleId="ListBullet">
    <w:name w:val="List Bullet"/>
    <w:basedOn w:val="Normal"/>
    <w:autoRedefine/>
    <w:pPr>
      <w:numPr>
        <w:numId w:val="25"/>
      </w:numPr>
    </w:p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customStyle="1" w:styleId="Body">
    <w:name w:val="Body"/>
    <w:basedOn w:val="Normal"/>
    <w:pPr>
      <w:tabs>
        <w:tab w:val="left" w:pos="567"/>
      </w:tabs>
      <w:spacing w:line="300" w:lineRule="exact"/>
    </w:pPr>
  </w:style>
  <w:style w:type="table" w:styleId="TableGrid">
    <w:name w:val="Table Grid"/>
    <w:basedOn w:val="TableNormal"/>
    <w:rsid w:val="00FF09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Pr>
      <w:sz w:val="16"/>
    </w:rPr>
  </w:style>
  <w:style w:type="character" w:customStyle="1" w:styleId="HeaderChar">
    <w:name w:val="Header Char"/>
    <w:basedOn w:val="DefaultParagraphFont"/>
    <w:link w:val="Header"/>
    <w:rsid w:val="001319A6"/>
    <w:rPr>
      <w:sz w:val="24"/>
      <w:lang w:eastAsia="en-AU"/>
    </w:rPr>
  </w:style>
  <w:style w:type="character" w:styleId="Hyperlink">
    <w:name w:val="Hyperlink"/>
    <w:basedOn w:val="DefaultParagraphFont"/>
    <w:uiPriority w:val="99"/>
    <w:unhideWhenUsed/>
    <w:rsid w:val="002D00BC"/>
    <w:rPr>
      <w:color w:val="0000FF" w:themeColor="hyperlink"/>
      <w:u w:val="single"/>
    </w:rPr>
  </w:style>
  <w:style w:type="paragraph" w:styleId="BalloonText">
    <w:name w:val="Balloon Text"/>
    <w:basedOn w:val="Normal"/>
    <w:link w:val="BalloonTextChar"/>
    <w:uiPriority w:val="99"/>
    <w:semiHidden/>
    <w:unhideWhenUsed/>
    <w:rsid w:val="009A4648"/>
    <w:rPr>
      <w:rFonts w:ascii="Tahoma" w:hAnsi="Tahoma" w:cs="Tahoma"/>
      <w:sz w:val="16"/>
      <w:szCs w:val="16"/>
    </w:rPr>
  </w:style>
  <w:style w:type="character" w:customStyle="1" w:styleId="BalloonTextChar">
    <w:name w:val="Balloon Text Char"/>
    <w:basedOn w:val="DefaultParagraphFont"/>
    <w:link w:val="BalloonText"/>
    <w:uiPriority w:val="99"/>
    <w:semiHidden/>
    <w:rsid w:val="009A4648"/>
    <w:rPr>
      <w:rFonts w:ascii="Tahoma" w:hAnsi="Tahoma" w:cs="Tahoma"/>
      <w:sz w:val="16"/>
      <w:szCs w:val="16"/>
      <w:lang w:eastAsia="en-AU"/>
    </w:rPr>
  </w:style>
  <w:style w:type="paragraph" w:styleId="ListParagraph">
    <w:name w:val="List Paragraph"/>
    <w:basedOn w:val="Normal"/>
    <w:uiPriority w:val="34"/>
    <w:qFormat/>
    <w:rsid w:val="007B4F1C"/>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7B4F1C"/>
    <w:rPr>
      <w:sz w:val="16"/>
      <w:lang w:eastAsia="en-AU"/>
    </w:rPr>
  </w:style>
  <w:style w:type="character" w:styleId="FootnoteReference">
    <w:name w:val="footnote reference"/>
    <w:basedOn w:val="DefaultParagraphFont"/>
    <w:uiPriority w:val="99"/>
    <w:semiHidden/>
    <w:unhideWhenUsed/>
    <w:rsid w:val="007B4F1C"/>
    <w:rPr>
      <w:vertAlign w:val="superscript"/>
    </w:rPr>
  </w:style>
  <w:style w:type="character" w:styleId="CommentReference">
    <w:name w:val="annotation reference"/>
    <w:basedOn w:val="DefaultParagraphFont"/>
    <w:uiPriority w:val="99"/>
    <w:semiHidden/>
    <w:unhideWhenUsed/>
    <w:rsid w:val="00031717"/>
    <w:rPr>
      <w:sz w:val="16"/>
      <w:szCs w:val="16"/>
    </w:rPr>
  </w:style>
  <w:style w:type="paragraph" w:styleId="CommentText">
    <w:name w:val="annotation text"/>
    <w:basedOn w:val="Normal"/>
    <w:link w:val="CommentTextChar"/>
    <w:uiPriority w:val="99"/>
    <w:semiHidden/>
    <w:unhideWhenUsed/>
    <w:rsid w:val="00031717"/>
    <w:rPr>
      <w:sz w:val="20"/>
    </w:rPr>
  </w:style>
  <w:style w:type="character" w:customStyle="1" w:styleId="CommentTextChar">
    <w:name w:val="Comment Text Char"/>
    <w:basedOn w:val="DefaultParagraphFont"/>
    <w:link w:val="CommentText"/>
    <w:uiPriority w:val="99"/>
    <w:semiHidden/>
    <w:rsid w:val="00031717"/>
    <w:rPr>
      <w:lang w:eastAsia="en-AU"/>
    </w:rPr>
  </w:style>
  <w:style w:type="paragraph" w:styleId="CommentSubject">
    <w:name w:val="annotation subject"/>
    <w:basedOn w:val="CommentText"/>
    <w:next w:val="CommentText"/>
    <w:link w:val="CommentSubjectChar"/>
    <w:uiPriority w:val="99"/>
    <w:semiHidden/>
    <w:unhideWhenUsed/>
    <w:rsid w:val="004E6D5C"/>
    <w:rPr>
      <w:b/>
      <w:bCs/>
    </w:rPr>
  </w:style>
  <w:style w:type="character" w:customStyle="1" w:styleId="CommentSubjectChar">
    <w:name w:val="Comment Subject Char"/>
    <w:basedOn w:val="CommentTextChar"/>
    <w:link w:val="CommentSubject"/>
    <w:uiPriority w:val="99"/>
    <w:semiHidden/>
    <w:rsid w:val="004E6D5C"/>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402044">
      <w:bodyDiv w:val="1"/>
      <w:marLeft w:val="0"/>
      <w:marRight w:val="0"/>
      <w:marTop w:val="0"/>
      <w:marBottom w:val="0"/>
      <w:divBdr>
        <w:top w:val="none" w:sz="0" w:space="0" w:color="auto"/>
        <w:left w:val="none" w:sz="0" w:space="0" w:color="auto"/>
        <w:bottom w:val="none" w:sz="0" w:space="0" w:color="auto"/>
        <w:right w:val="none" w:sz="0" w:space="0" w:color="auto"/>
      </w:divBdr>
    </w:div>
    <w:div w:id="194565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A586-021D-41F7-95EA-110E7FAAC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18173</Characters>
  <Application>Microsoft Office Word</Application>
  <DocSecurity>0</DocSecurity>
  <Lines>395</Lines>
  <Paragraphs>156</Paragraphs>
  <ScaleCrop>false</ScaleCrop>
  <HeadingPairs>
    <vt:vector size="2" baseType="variant">
      <vt:variant>
        <vt:lpstr>Title</vt:lpstr>
      </vt:variant>
      <vt:variant>
        <vt:i4>1</vt:i4>
      </vt:variant>
    </vt:vector>
  </HeadingPairs>
  <TitlesOfParts>
    <vt:vector size="1" baseType="lpstr">
      <vt:lpstr>Tax policy report - IR2018/132: Integrity within the R&amp;D tax credit (Inland Revenue, CallaghanInnovation, Ministry of Business, Innovation &amp; Employment) (13 March 2018 -  released September 2018)</vt:lpstr>
    </vt:vector>
  </TitlesOfParts>
  <Company>Inland Revenue</Company>
  <LinksUpToDate>false</LinksUpToDate>
  <CharactersWithSpaces>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policy report - IR2018/132: Integrity within the R&amp;D tax credit (Inland Revenue, CallaghanInnovation, Ministry of Business, Innovation &amp; Employment) (13 March 2018 -  released September 2018)</dc:title>
  <dc:creator>Policy and Strategy</dc:creator>
  <cp:lastModifiedBy>Policy and Strategy, Inland Revenue</cp:lastModifiedBy>
  <cp:revision>2</cp:revision>
  <dcterms:created xsi:type="dcterms:W3CDTF">2018-09-04T02:58:00Z</dcterms:created>
  <dcterms:modified xsi:type="dcterms:W3CDTF">2018-09-04T02:59:00Z</dcterms:modified>
</cp:coreProperties>
</file>