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656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6"/>
      </w:tblGrid>
      <w:tr w:rsidR="00207672" w:rsidRPr="004E0B1F" w:rsidTr="00D472D9">
        <w:tc>
          <w:tcPr>
            <w:tcW w:w="3656" w:type="dxa"/>
          </w:tcPr>
          <w:p w:rsidR="00207672" w:rsidRPr="00F511F9" w:rsidRDefault="0077635A" w:rsidP="00F72F06">
            <w:pPr>
              <w:rPr>
                <w:rStyle w:val="Address-Groupname"/>
              </w:rPr>
            </w:pPr>
            <w:bookmarkStart w:id="0" w:name="_GoBack"/>
            <w:bookmarkEnd w:id="0"/>
            <w:r w:rsidRPr="00F511F9">
              <w:rPr>
                <w:rStyle w:val="Address-Groupname"/>
                <w:noProof/>
                <w:lang w:eastAsia="en-NZ"/>
              </w:rPr>
              <w:drawing>
                <wp:anchor distT="0" distB="0" distL="114300" distR="114300" simplePos="0" relativeHeight="251657728" behindDoc="0" locked="1" layoutInCell="1" allowOverlap="1" wp14:anchorId="13D54BF5" wp14:editId="78CFA43B">
                  <wp:simplePos x="0" y="0"/>
                  <wp:positionH relativeFrom="column">
                    <wp:posOffset>-3930015</wp:posOffset>
                  </wp:positionH>
                  <wp:positionV relativeFrom="page">
                    <wp:posOffset>-74295</wp:posOffset>
                  </wp:positionV>
                  <wp:extent cx="1872615" cy="525145"/>
                  <wp:effectExtent l="0" t="0" r="0" b="8255"/>
                  <wp:wrapNone/>
                  <wp:docPr id="2" name="Picture 2" descr="IR logo 07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R logo 07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1066" w:rsidRPr="00F511F9">
              <w:rPr>
                <w:rStyle w:val="Address-Groupname"/>
              </w:rPr>
              <w:t xml:space="preserve">Policy </w:t>
            </w:r>
            <w:r w:rsidR="00D472D9" w:rsidRPr="00F511F9">
              <w:rPr>
                <w:rStyle w:val="Address-Groupname"/>
              </w:rPr>
              <w:t>and Strategy</w:t>
            </w:r>
          </w:p>
          <w:p w:rsidR="00E311CF" w:rsidRPr="00496241" w:rsidRDefault="00D472D9" w:rsidP="00F511F9">
            <w:pPr>
              <w:pStyle w:val="Address-Moriname"/>
            </w:pPr>
            <w:r w:rsidRPr="00D472D9">
              <w:rPr>
                <w:noProof/>
              </w:rPr>
              <w:t>Te Wāhanga o te Rautaki me te Kaupapa</w:t>
            </w:r>
          </w:p>
        </w:tc>
      </w:tr>
      <w:tr w:rsidR="00207672" w:rsidRPr="004E0B1F" w:rsidTr="00D472D9">
        <w:tc>
          <w:tcPr>
            <w:tcW w:w="3656" w:type="dxa"/>
          </w:tcPr>
          <w:p w:rsidR="00207672" w:rsidRPr="004E0B1F" w:rsidRDefault="00462F58" w:rsidP="00F511F9">
            <w:pPr>
              <w:pStyle w:val="Address"/>
            </w:pPr>
            <w:r>
              <w:t xml:space="preserve">55 Featherston </w:t>
            </w:r>
            <w:r w:rsidR="00216067">
              <w:t>Street</w:t>
            </w:r>
          </w:p>
        </w:tc>
      </w:tr>
      <w:tr w:rsidR="00207672" w:rsidRPr="004E0B1F" w:rsidTr="00D472D9">
        <w:tc>
          <w:tcPr>
            <w:tcW w:w="3656" w:type="dxa"/>
          </w:tcPr>
          <w:p w:rsidR="00207672" w:rsidRPr="004E0B1F" w:rsidRDefault="00671066" w:rsidP="00F511F9">
            <w:pPr>
              <w:pStyle w:val="Address"/>
            </w:pPr>
            <w:smartTag w:uri="urn:schemas-microsoft-com:office:smarttags" w:element="address">
              <w:smartTag w:uri="urn:schemas-microsoft-com:office:smarttags" w:element="Street">
                <w:r>
                  <w:t>PO Box</w:t>
                </w:r>
              </w:smartTag>
              <w:r>
                <w:t xml:space="preserve"> 2198</w:t>
              </w:r>
            </w:smartTag>
          </w:p>
        </w:tc>
      </w:tr>
      <w:tr w:rsidR="00D33A43" w:rsidRPr="004E0B1F" w:rsidTr="00D472D9">
        <w:tc>
          <w:tcPr>
            <w:tcW w:w="3656" w:type="dxa"/>
          </w:tcPr>
          <w:p w:rsidR="00D33A43" w:rsidRPr="004E0B1F" w:rsidRDefault="00671066" w:rsidP="00F511F9">
            <w:pPr>
              <w:pStyle w:val="Address"/>
            </w:pPr>
            <w:smartTag w:uri="urn:schemas-microsoft-com:office:smarttags" w:element="City">
              <w:smartTag w:uri="urn:schemas-microsoft-com:office:smarttags" w:element="place">
                <w:r>
                  <w:t>Wellington</w:t>
                </w:r>
              </w:smartTag>
            </w:smartTag>
            <w:r>
              <w:t xml:space="preserve"> 6140</w:t>
            </w:r>
          </w:p>
        </w:tc>
      </w:tr>
      <w:tr w:rsidR="00B72EC9" w:rsidRPr="004E0B1F" w:rsidTr="00D472D9">
        <w:trPr>
          <w:trHeight w:val="341"/>
        </w:trPr>
        <w:tc>
          <w:tcPr>
            <w:tcW w:w="3656" w:type="dxa"/>
          </w:tcPr>
          <w:p w:rsidR="00B72EC9" w:rsidRPr="00F511F9" w:rsidRDefault="00E37E0C" w:rsidP="00F511F9">
            <w:pPr>
              <w:pStyle w:val="Address"/>
            </w:pPr>
            <w:smartTag w:uri="urn:schemas-microsoft-com:office:smarttags" w:element="date">
              <w:r w:rsidRPr="00F511F9">
                <w:t>New Zealand</w:t>
              </w:r>
            </w:smartTag>
          </w:p>
        </w:tc>
      </w:tr>
      <w:tr w:rsidR="00207672" w:rsidRPr="004E0B1F" w:rsidTr="00D472D9">
        <w:tc>
          <w:tcPr>
            <w:tcW w:w="3656" w:type="dxa"/>
          </w:tcPr>
          <w:p w:rsidR="00207672" w:rsidRPr="004E0B1F" w:rsidRDefault="00207672" w:rsidP="00F511F9">
            <w:pPr>
              <w:pStyle w:val="Address"/>
            </w:pPr>
            <w:r w:rsidRPr="004E0B1F">
              <w:t xml:space="preserve">T. </w:t>
            </w:r>
            <w:r w:rsidR="00671066">
              <w:t>04</w:t>
            </w:r>
            <w:r w:rsidR="00F511F9">
              <w:t xml:space="preserve"> </w:t>
            </w:r>
            <w:r w:rsidR="00671066">
              <w:t>890</w:t>
            </w:r>
            <w:r w:rsidR="0046162F" w:rsidRPr="004E0B1F">
              <w:t xml:space="preserve"> </w:t>
            </w:r>
            <w:r w:rsidR="00671066">
              <w:t>1500</w:t>
            </w:r>
          </w:p>
        </w:tc>
      </w:tr>
      <w:tr w:rsidR="00207672" w:rsidRPr="004E0B1F" w:rsidTr="00D472D9">
        <w:tc>
          <w:tcPr>
            <w:tcW w:w="3656" w:type="dxa"/>
          </w:tcPr>
          <w:p w:rsidR="00207672" w:rsidRPr="00F511F9" w:rsidRDefault="0046162F" w:rsidP="00F511F9">
            <w:pPr>
              <w:pStyle w:val="Address"/>
            </w:pPr>
            <w:r w:rsidRPr="00F511F9">
              <w:t xml:space="preserve">F. </w:t>
            </w:r>
            <w:r w:rsidR="00671066" w:rsidRPr="00F511F9">
              <w:t>04</w:t>
            </w:r>
            <w:r w:rsidR="00F511F9" w:rsidRPr="00F511F9">
              <w:t xml:space="preserve"> </w:t>
            </w:r>
            <w:r w:rsidR="00671066" w:rsidRPr="00F511F9">
              <w:t>9</w:t>
            </w:r>
            <w:r w:rsidR="00216067" w:rsidRPr="00F511F9">
              <w:t>03 2413</w:t>
            </w:r>
          </w:p>
        </w:tc>
      </w:tr>
    </w:tbl>
    <w:p w:rsidR="00CB3041" w:rsidRPr="008330E5" w:rsidRDefault="00CB3041" w:rsidP="00902463">
      <w:pPr>
        <w:pStyle w:val="Documenttype"/>
      </w:pPr>
      <w:r>
        <w:t>Briefing note</w:t>
      </w:r>
    </w:p>
    <w:p w:rsidR="00CB3041" w:rsidRDefault="00CB3041" w:rsidP="00CB3041"/>
    <w:p w:rsidR="00CB3041" w:rsidRDefault="00CB3041" w:rsidP="00902463">
      <w:pPr>
        <w:pStyle w:val="Seperatorline"/>
      </w:pPr>
    </w:p>
    <w:p w:rsidR="00E63EAA" w:rsidRPr="00571018" w:rsidRDefault="00E63EAA" w:rsidP="00E63EAA">
      <w:pPr>
        <w:tabs>
          <w:tab w:val="left" w:pos="1418"/>
        </w:tabs>
      </w:pPr>
      <w:r>
        <w:t>Reference</w:t>
      </w:r>
      <w:r w:rsidRPr="00571018">
        <w:t>:</w:t>
      </w:r>
      <w:r w:rsidRPr="00571018">
        <w:tab/>
      </w:r>
      <w:r w:rsidR="00BC0857">
        <w:t>BN</w:t>
      </w:r>
      <w:r w:rsidR="00076DF0">
        <w:t>201</w:t>
      </w:r>
      <w:r w:rsidR="00C24260">
        <w:t>7</w:t>
      </w:r>
      <w:r>
        <w:t>/</w:t>
      </w:r>
      <w:r w:rsidR="00E3653A">
        <w:t>675</w:t>
      </w:r>
      <w:r w:rsidR="00E3653A" w:rsidRPr="00571018">
        <w:t xml:space="preserve"> </w:t>
      </w:r>
    </w:p>
    <w:p w:rsidR="00E63EAA" w:rsidRDefault="00E63EAA" w:rsidP="00E63EAA">
      <w:pPr>
        <w:tabs>
          <w:tab w:val="left" w:pos="1418"/>
        </w:tabs>
      </w:pPr>
    </w:p>
    <w:p w:rsidR="00CB3041" w:rsidRPr="00571018" w:rsidRDefault="00CB3041" w:rsidP="00CB3041">
      <w:pPr>
        <w:tabs>
          <w:tab w:val="left" w:pos="1418"/>
        </w:tabs>
      </w:pPr>
      <w:r>
        <w:t>Date</w:t>
      </w:r>
      <w:r w:rsidRPr="00571018">
        <w:t>:</w:t>
      </w:r>
      <w:r w:rsidRPr="00571018">
        <w:tab/>
      </w:r>
      <w:r w:rsidR="004727E3">
        <w:t>19 December 2017</w:t>
      </w:r>
      <w:r w:rsidR="004727E3" w:rsidRPr="00571018">
        <w:t xml:space="preserve"> </w:t>
      </w:r>
    </w:p>
    <w:p w:rsidR="00CB3041" w:rsidRDefault="00CB3041" w:rsidP="00CB3041">
      <w:pPr>
        <w:tabs>
          <w:tab w:val="left" w:pos="1418"/>
        </w:tabs>
      </w:pPr>
    </w:p>
    <w:p w:rsidR="006C3749" w:rsidRDefault="00CB3041" w:rsidP="00CB3041">
      <w:pPr>
        <w:tabs>
          <w:tab w:val="left" w:pos="1418"/>
        </w:tabs>
      </w:pPr>
      <w:r>
        <w:t>To</w:t>
      </w:r>
      <w:r w:rsidRPr="00571018">
        <w:t>:</w:t>
      </w:r>
      <w:r>
        <w:tab/>
      </w:r>
      <w:r w:rsidR="006C3749">
        <w:t>Revenue Advisor</w:t>
      </w:r>
      <w:r w:rsidR="00FD72DE">
        <w:t>, Minister of Revenue</w:t>
      </w:r>
      <w:r w:rsidR="006C3749">
        <w:t xml:space="preserve"> </w:t>
      </w:r>
      <w:r w:rsidR="006C3749">
        <w:rPr>
          <w:rFonts w:ascii="Times New Roman" w:hAnsi="Times New Roman" w:cs="Times New Roman"/>
        </w:rPr>
        <w:t>–</w:t>
      </w:r>
      <w:r w:rsidR="00522352">
        <w:rPr>
          <w:rFonts w:ascii="Times New Roman" w:hAnsi="Times New Roman" w:cs="Times New Roman"/>
        </w:rPr>
        <w:t xml:space="preserve"> </w:t>
      </w:r>
      <w:r w:rsidR="006C3749">
        <w:t xml:space="preserve"> </w:t>
      </w:r>
      <w:r w:rsidR="00522352" w:rsidRPr="00522352">
        <w:rPr>
          <w:highlight w:val="black"/>
        </w:rPr>
        <w:t>.</w:t>
      </w:r>
      <w:r w:rsidR="00522352" w:rsidRPr="00F327CF">
        <w:rPr>
          <w:color w:val="FFFFFF" w:themeColor="background1"/>
          <w:sz w:val="16"/>
          <w:szCs w:val="16"/>
          <w:highlight w:val="black"/>
        </w:rPr>
        <w:t>s 9(2)(a)</w:t>
      </w:r>
      <w:r w:rsidR="00F327CF" w:rsidRPr="00F327CF">
        <w:rPr>
          <w:sz w:val="16"/>
          <w:szCs w:val="16"/>
          <w:highlight w:val="black"/>
        </w:rPr>
        <w:t xml:space="preserve"> </w:t>
      </w:r>
      <w:r w:rsidR="00522352" w:rsidRPr="00522352">
        <w:rPr>
          <w:highlight w:val="black"/>
        </w:rPr>
        <w:t>...</w:t>
      </w:r>
      <w:r w:rsidR="00F327CF">
        <w:rPr>
          <w:highlight w:val="black"/>
        </w:rPr>
        <w:t xml:space="preserve">   </w:t>
      </w:r>
      <w:r w:rsidR="00522352" w:rsidRPr="00522352">
        <w:rPr>
          <w:highlight w:val="black"/>
        </w:rPr>
        <w:t>......</w:t>
      </w:r>
    </w:p>
    <w:p w:rsidR="006C3749" w:rsidRDefault="006C3749" w:rsidP="00CB3041">
      <w:pPr>
        <w:tabs>
          <w:tab w:val="left" w:pos="1418"/>
        </w:tabs>
      </w:pPr>
      <w:r>
        <w:tab/>
        <w:t>Private Secretary</w:t>
      </w:r>
      <w:r w:rsidR="00FD72DE">
        <w:t>, Minister of Revenue</w:t>
      </w:r>
      <w:r>
        <w:t xml:space="preserve"> </w:t>
      </w:r>
      <w:r>
        <w:rPr>
          <w:rFonts w:ascii="Times New Roman" w:hAnsi="Times New Roman" w:cs="Times New Roman"/>
        </w:rPr>
        <w:t>–</w:t>
      </w:r>
      <w:r>
        <w:t xml:space="preserve"> </w:t>
      </w:r>
      <w:r w:rsidR="00522352" w:rsidRPr="00522352">
        <w:rPr>
          <w:highlight w:val="black"/>
        </w:rPr>
        <w:t>.</w:t>
      </w:r>
      <w:r w:rsidR="00236916" w:rsidRPr="00236916">
        <w:rPr>
          <w:highlight w:val="black"/>
        </w:rPr>
        <w:t>............</w:t>
      </w:r>
      <w:r w:rsidR="00522352" w:rsidRPr="00522352">
        <w:rPr>
          <w:highlight w:val="black"/>
        </w:rPr>
        <w:t>..........</w:t>
      </w:r>
    </w:p>
    <w:p w:rsidR="00CB3041" w:rsidRDefault="00CB3041" w:rsidP="00CB3041">
      <w:pPr>
        <w:tabs>
          <w:tab w:val="left" w:pos="1418"/>
        </w:tabs>
      </w:pPr>
    </w:p>
    <w:p w:rsidR="0097473F" w:rsidRDefault="0097473F" w:rsidP="00CB3041">
      <w:pPr>
        <w:tabs>
          <w:tab w:val="left" w:pos="1418"/>
        </w:tabs>
      </w:pPr>
      <w:r>
        <w:t>cc:</w:t>
      </w:r>
      <w:r>
        <w:tab/>
      </w:r>
      <w:r w:rsidR="004F4AAA">
        <w:t>Naomi Ferguson</w:t>
      </w:r>
      <w:r w:rsidR="005836C9">
        <w:t xml:space="preserve">, </w:t>
      </w:r>
      <w:r w:rsidR="00D323EF">
        <w:t>C</w:t>
      </w:r>
      <w:r w:rsidR="00007506">
        <w:t>o</w:t>
      </w:r>
      <w:r w:rsidR="00D323EF">
        <w:t>mmissioner</w:t>
      </w:r>
    </w:p>
    <w:p w:rsidR="006C3749" w:rsidRDefault="006C3749" w:rsidP="00CB3041">
      <w:pPr>
        <w:tabs>
          <w:tab w:val="left" w:pos="1418"/>
        </w:tabs>
      </w:pPr>
      <w:r>
        <w:tab/>
      </w:r>
      <w:r w:rsidR="004F4AAA">
        <w:t>Cath Atkins</w:t>
      </w:r>
      <w:r>
        <w:t>, Deputy Commissioner</w:t>
      </w:r>
    </w:p>
    <w:p w:rsidR="005836C9" w:rsidRDefault="005836C9" w:rsidP="00CB3041">
      <w:pPr>
        <w:tabs>
          <w:tab w:val="left" w:pos="1418"/>
        </w:tabs>
      </w:pPr>
      <w:r>
        <w:tab/>
        <w:t>Matt Benge, Chief Economist</w:t>
      </w:r>
    </w:p>
    <w:p w:rsidR="00E077AF" w:rsidRDefault="00E077AF" w:rsidP="000976FE">
      <w:pPr>
        <w:tabs>
          <w:tab w:val="left" w:pos="1418"/>
        </w:tabs>
      </w:pPr>
      <w:r>
        <w:tab/>
      </w:r>
      <w:r w:rsidR="004F4AAA">
        <w:t>Emma Grigg</w:t>
      </w:r>
      <w:r>
        <w:t>, Policy Director</w:t>
      </w:r>
    </w:p>
    <w:p w:rsidR="006C3749" w:rsidRDefault="006C3749" w:rsidP="000976FE">
      <w:pPr>
        <w:tabs>
          <w:tab w:val="left" w:pos="1418"/>
        </w:tabs>
      </w:pPr>
      <w:r>
        <w:tab/>
      </w:r>
      <w:r w:rsidR="004F4AAA">
        <w:t>David Carrigan</w:t>
      </w:r>
      <w:r>
        <w:t>, Policy Director</w:t>
      </w:r>
    </w:p>
    <w:p w:rsidR="00BC0857" w:rsidRDefault="00BC0857" w:rsidP="000976FE">
      <w:pPr>
        <w:tabs>
          <w:tab w:val="left" w:pos="1418"/>
        </w:tabs>
      </w:pPr>
      <w:r>
        <w:tab/>
      </w:r>
      <w:r w:rsidR="00522352" w:rsidRPr="00522352">
        <w:rPr>
          <w:highlight w:val="black"/>
        </w:rPr>
        <w:t>.</w:t>
      </w:r>
      <w:r w:rsidR="00522352" w:rsidRPr="00F327CF">
        <w:rPr>
          <w:color w:val="FFFFFF" w:themeColor="background1"/>
          <w:sz w:val="16"/>
          <w:szCs w:val="16"/>
          <w:highlight w:val="black"/>
        </w:rPr>
        <w:t>s 9(2)(a)</w:t>
      </w:r>
      <w:r w:rsidR="00522352" w:rsidRPr="00522352">
        <w:rPr>
          <w:highlight w:val="black"/>
        </w:rPr>
        <w:t>....</w:t>
      </w:r>
      <w:r w:rsidR="00F327CF">
        <w:rPr>
          <w:highlight w:val="black"/>
        </w:rPr>
        <w:t xml:space="preserve">  </w:t>
      </w:r>
      <w:r w:rsidR="00522352" w:rsidRPr="00522352">
        <w:rPr>
          <w:highlight w:val="black"/>
        </w:rPr>
        <w:t>..</w:t>
      </w:r>
      <w:r>
        <w:t xml:space="preserve"> </w:t>
      </w:r>
      <w:r w:rsidR="009802F1" w:rsidRPr="009802F1">
        <w:t>Executive Support Advisor</w:t>
      </w:r>
      <w:r>
        <w:t xml:space="preserve"> to </w:t>
      </w:r>
      <w:r w:rsidR="009802F1">
        <w:t xml:space="preserve">the </w:t>
      </w:r>
      <w:r>
        <w:t>Commissioner</w:t>
      </w:r>
    </w:p>
    <w:p w:rsidR="0097473F" w:rsidRDefault="00083862" w:rsidP="00CB3041">
      <w:pPr>
        <w:tabs>
          <w:tab w:val="left" w:pos="1418"/>
        </w:tabs>
      </w:pPr>
      <w:r>
        <w:tab/>
      </w:r>
      <w:r w:rsidR="00522352" w:rsidRPr="00522352">
        <w:rPr>
          <w:highlight w:val="black"/>
        </w:rPr>
        <w:t>.</w:t>
      </w:r>
      <w:r w:rsidR="00236916" w:rsidRPr="00236916">
        <w:rPr>
          <w:highlight w:val="black"/>
        </w:rPr>
        <w:t>............</w:t>
      </w:r>
      <w:r w:rsidR="00F327CF">
        <w:rPr>
          <w:highlight w:val="black"/>
        </w:rPr>
        <w:t xml:space="preserve">... </w:t>
      </w:r>
      <w:r w:rsidR="00522352" w:rsidRPr="00522352">
        <w:rPr>
          <w:highlight w:val="black"/>
        </w:rPr>
        <w:t>..</w:t>
      </w:r>
      <w:r w:rsidR="00007506">
        <w:t>PA to Deputy Commissioner</w:t>
      </w:r>
    </w:p>
    <w:p w:rsidR="007E05B3" w:rsidRDefault="007E05B3" w:rsidP="00CB3041">
      <w:pPr>
        <w:tabs>
          <w:tab w:val="left" w:pos="1418"/>
        </w:tabs>
      </w:pPr>
      <w:r>
        <w:tab/>
        <w:t>Government &amp; Executive Services</w:t>
      </w:r>
      <w:r w:rsidR="00814EB7">
        <w:t xml:space="preserve"> (Ministerial Services)</w:t>
      </w:r>
    </w:p>
    <w:p w:rsidR="007E05B3" w:rsidRDefault="007E05B3" w:rsidP="00CB3041">
      <w:pPr>
        <w:tabs>
          <w:tab w:val="left" w:pos="1418"/>
        </w:tabs>
      </w:pPr>
      <w:r>
        <w:tab/>
        <w:t>Policy records management</w:t>
      </w:r>
      <w:r w:rsidR="00814EB7">
        <w:t xml:space="preserve"> (PAS RM)</w:t>
      </w:r>
    </w:p>
    <w:p w:rsidR="0097473F" w:rsidRDefault="0097473F" w:rsidP="00CB3041">
      <w:pPr>
        <w:tabs>
          <w:tab w:val="left" w:pos="1418"/>
        </w:tabs>
      </w:pPr>
    </w:p>
    <w:p w:rsidR="00CB3041" w:rsidRPr="00571018" w:rsidRDefault="00CB3041" w:rsidP="00CB3041">
      <w:pPr>
        <w:tabs>
          <w:tab w:val="left" w:pos="1418"/>
        </w:tabs>
      </w:pPr>
      <w:r>
        <w:t>From</w:t>
      </w:r>
      <w:r w:rsidRPr="00571018">
        <w:t>:</w:t>
      </w:r>
      <w:r>
        <w:tab/>
      </w:r>
      <w:r w:rsidR="004727E3">
        <w:t>Richard Braae</w:t>
      </w:r>
    </w:p>
    <w:p w:rsidR="00CB3041" w:rsidRDefault="00CB3041" w:rsidP="00CB3041">
      <w:pPr>
        <w:tabs>
          <w:tab w:val="left" w:pos="1418"/>
        </w:tabs>
      </w:pPr>
    </w:p>
    <w:p w:rsidR="00CB3041" w:rsidRDefault="00CB3041" w:rsidP="00CB3041">
      <w:pPr>
        <w:tabs>
          <w:tab w:val="left" w:pos="1418"/>
        </w:tabs>
      </w:pPr>
      <w:r>
        <w:t>Subject</w:t>
      </w:r>
      <w:r w:rsidRPr="00571018">
        <w:t>:</w:t>
      </w:r>
      <w:r>
        <w:tab/>
      </w:r>
      <w:r w:rsidR="004727E3">
        <w:rPr>
          <w:b/>
        </w:rPr>
        <w:t>Consideration of the start date for an R&amp;D tax credit</w:t>
      </w:r>
    </w:p>
    <w:p w:rsidR="00CB3041" w:rsidRPr="00571018" w:rsidRDefault="00CB3041" w:rsidP="00CB3041"/>
    <w:p w:rsidR="00CB3041" w:rsidRDefault="00CB3041" w:rsidP="00902463">
      <w:pPr>
        <w:pStyle w:val="Seperatorline"/>
      </w:pPr>
    </w:p>
    <w:p w:rsidR="00D3761E" w:rsidRDefault="004727E3" w:rsidP="00D3761E">
      <w:pPr>
        <w:pStyle w:val="Heading1"/>
      </w:pPr>
      <w:r>
        <w:t>Purpose</w:t>
      </w:r>
    </w:p>
    <w:p w:rsidR="004727E3" w:rsidRPr="00107FB6" w:rsidRDefault="004727E3" w:rsidP="004727E3">
      <w:pPr>
        <w:pStyle w:val="ListParagraph"/>
      </w:pPr>
      <w:r>
        <w:t>This Note outlines factors to consider in relation to the commencement date of an R&amp;D tax credit. For the reasons set out below, Inland Revenue recommends a 2020 start date rather than a 2019 start date.</w:t>
      </w:r>
    </w:p>
    <w:p w:rsidR="004727E3" w:rsidRPr="004727E3" w:rsidRDefault="004727E3" w:rsidP="004727E3">
      <w:pPr>
        <w:pStyle w:val="Heading1"/>
      </w:pPr>
      <w:r w:rsidRPr="00CA6B92">
        <w:t>Background and Context</w:t>
      </w:r>
    </w:p>
    <w:p w:rsidR="004727E3" w:rsidRDefault="004727E3" w:rsidP="004727E3">
      <w:pPr>
        <w:pStyle w:val="ListParagraph"/>
      </w:pPr>
      <w:r>
        <w:t>There are three factors prompting this Note.</w:t>
      </w:r>
    </w:p>
    <w:p w:rsidR="004727E3" w:rsidRDefault="004727E3" w:rsidP="004727E3">
      <w:pPr>
        <w:pStyle w:val="ListParagraph"/>
      </w:pPr>
      <w:r>
        <w:t>First, the incoming Government’s policy is to re-introduce an R&amp;D tax credit, with the goal of encouraging greater levels of business R&amp;D. In taking this step, it is sensible to consider whether there are other parts of the tax system that might be frustrating firms from undertaking R&amp;D.</w:t>
      </w:r>
    </w:p>
    <w:p w:rsidR="004727E3" w:rsidRDefault="004727E3" w:rsidP="004727E3">
      <w:pPr>
        <w:pStyle w:val="ListParagraph"/>
      </w:pPr>
      <w:r>
        <w:t xml:space="preserve">Second, in response to the Supreme Court’s decision in </w:t>
      </w:r>
      <w:r>
        <w:rPr>
          <w:i/>
        </w:rPr>
        <w:t xml:space="preserve">Trustpower Limited v Commissioner of Inland Revenue </w:t>
      </w:r>
      <w:r>
        <w:t xml:space="preserve">(the </w:t>
      </w:r>
      <w:r>
        <w:rPr>
          <w:i/>
        </w:rPr>
        <w:t>Trustpower</w:t>
      </w:r>
      <w:r>
        <w:t xml:space="preserve"> decision), IR has been considering the approach to feasibility and black hole expenditure.</w:t>
      </w:r>
    </w:p>
    <w:p w:rsidR="004727E3" w:rsidRDefault="004727E3" w:rsidP="004727E3">
      <w:pPr>
        <w:pStyle w:val="ListParagraph"/>
      </w:pPr>
      <w:r>
        <w:t xml:space="preserve">Finally, Minister Nash has received a letter from </w:t>
      </w:r>
      <w:r w:rsidRPr="00A04DA9">
        <w:t>Business New Zealand, the Angel Association, New Zealand Private Equity and Venture Capital Association, and the Corporate Taxpayers Group</w:t>
      </w:r>
      <w:r>
        <w:t>.</w:t>
      </w:r>
      <w:r w:rsidRPr="00A04DA9">
        <w:t xml:space="preserve"> This letter argues that current tax law which prevents tax losses being carried forward if more than 51 per cent of ownership in a company changes hinders innovation in New Zealand. They instead propose the adoption of a same or similar business test.</w:t>
      </w:r>
    </w:p>
    <w:p w:rsidR="004727E3" w:rsidRDefault="004727E3" w:rsidP="004727E3">
      <w:pPr>
        <w:pStyle w:val="ListParagraph"/>
      </w:pPr>
      <w:r>
        <w:lastRenderedPageBreak/>
        <w:t>These factors come together when considering companies in loss that are undertaking R&amp;D and other productivity-enhancing expenditure– a relatively common outcome for start-ups. Will they be incentivised to undertake more R&amp;D by the tax credit? Are there other settings in the tax system which are deterring them from undertaking R&amp;D or treating them less favourably than other firms – perhaps older, larger and more established firms, that are in profit?</w:t>
      </w:r>
    </w:p>
    <w:p w:rsidR="004727E3" w:rsidRPr="004727E3" w:rsidRDefault="004727E3" w:rsidP="004727E3">
      <w:pPr>
        <w:pStyle w:val="Heading1"/>
      </w:pPr>
      <w:r w:rsidRPr="004727E3">
        <w:t>Relevant factors under current tax law</w:t>
      </w:r>
    </w:p>
    <w:p w:rsidR="004727E3" w:rsidRDefault="004727E3" w:rsidP="004727E3">
      <w:pPr>
        <w:pStyle w:val="ListParagraph"/>
      </w:pPr>
      <w:r>
        <w:t>General factors:</w:t>
      </w:r>
    </w:p>
    <w:p w:rsidR="004727E3" w:rsidRDefault="004727E3" w:rsidP="004727E3">
      <w:pPr>
        <w:pStyle w:val="ListParagraph"/>
        <w:numPr>
          <w:ilvl w:val="0"/>
          <w:numId w:val="21"/>
        </w:numPr>
        <w:spacing w:after="0"/>
        <w:contextualSpacing/>
      </w:pPr>
      <w:r>
        <w:t>There is no R&amp;D tax credit, but Government policy is to introduce one.</w:t>
      </w:r>
    </w:p>
    <w:p w:rsidR="004727E3" w:rsidRPr="006C08CB" w:rsidRDefault="004727E3" w:rsidP="004727E3">
      <w:pPr>
        <w:pStyle w:val="ListParagraph"/>
        <w:numPr>
          <w:ilvl w:val="0"/>
          <w:numId w:val="21"/>
        </w:numPr>
        <w:spacing w:after="0"/>
        <w:contextualSpacing/>
      </w:pPr>
      <w:r w:rsidRPr="006C08CB">
        <w:t>As a general principle, losses are carried forward rather than being paid out. This non-symmetrical treatment of losses (compared to profits) is motivated by protection of the tax base.</w:t>
      </w:r>
    </w:p>
    <w:p w:rsidR="004727E3" w:rsidRDefault="004727E3" w:rsidP="004727E3">
      <w:pPr>
        <w:pStyle w:val="ListParagraph"/>
        <w:numPr>
          <w:ilvl w:val="0"/>
          <w:numId w:val="21"/>
        </w:numPr>
        <w:spacing w:after="0"/>
        <w:contextualSpacing/>
      </w:pPr>
      <w:r>
        <w:t>Where there is a breach of (ownership) continuity, losses cannot be carried forward. This too is motivated by protection of the tax base, but is an asymmetry that discourages taking risk.</w:t>
      </w:r>
    </w:p>
    <w:p w:rsidR="004727E3" w:rsidRDefault="004727E3" w:rsidP="004727E3"/>
    <w:p w:rsidR="004727E3" w:rsidRDefault="004727E3" w:rsidP="004727E3">
      <w:pPr>
        <w:pStyle w:val="ListParagraph"/>
      </w:pPr>
      <w:r>
        <w:t>Within the tax system, there are some factors that already provide more favourable treatment for firms undertaking R&amp;D:</w:t>
      </w:r>
    </w:p>
    <w:p w:rsidR="004727E3" w:rsidRDefault="004727E3" w:rsidP="004727E3">
      <w:pPr>
        <w:pStyle w:val="ListParagraph"/>
        <w:numPr>
          <w:ilvl w:val="0"/>
          <w:numId w:val="22"/>
        </w:numPr>
        <w:spacing w:after="0"/>
        <w:contextualSpacing/>
      </w:pPr>
      <w:r>
        <w:t>R&amp;D expenditure is deductible (can be expensed) even though it is often contributing to the creation of an asset</w:t>
      </w:r>
    </w:p>
    <w:p w:rsidR="004727E3" w:rsidRDefault="004727E3" w:rsidP="004727E3">
      <w:pPr>
        <w:pStyle w:val="ListParagraph"/>
        <w:numPr>
          <w:ilvl w:val="0"/>
          <w:numId w:val="22"/>
        </w:numPr>
        <w:spacing w:after="0"/>
        <w:contextualSpacing/>
      </w:pPr>
      <w:r>
        <w:t>For R&amp;D intensive firms, there is a (capped) cashing out of tax-losses</w:t>
      </w:r>
    </w:p>
    <w:p w:rsidR="004727E3" w:rsidRDefault="004727E3" w:rsidP="004727E3">
      <w:pPr>
        <w:pStyle w:val="ListParagraph"/>
        <w:numPr>
          <w:ilvl w:val="0"/>
          <w:numId w:val="22"/>
        </w:numPr>
        <w:spacing w:after="0"/>
        <w:contextualSpacing/>
      </w:pPr>
      <w:r>
        <w:t>R&amp;D expenditure can be allocated, in total or in part, to a later income year</w:t>
      </w:r>
      <w:r>
        <w:rPr>
          <w:rStyle w:val="FootnoteReference"/>
        </w:rPr>
        <w:footnoteReference w:id="1"/>
      </w:r>
      <w:r>
        <w:t>. This ensures deductions for R&amp;D are not lost under the shareholder continuity rules when a company is sold.</w:t>
      </w:r>
    </w:p>
    <w:p w:rsidR="004727E3" w:rsidRDefault="004727E3" w:rsidP="004727E3">
      <w:pPr>
        <w:pStyle w:val="ListParagraph"/>
        <w:numPr>
          <w:ilvl w:val="0"/>
          <w:numId w:val="22"/>
        </w:numPr>
        <w:spacing w:after="0"/>
        <w:contextualSpacing/>
      </w:pPr>
      <w:r>
        <w:t>Amendments were made in 2014 to allow deductions for certain black hole R&amp;D expenditure, such as expenses incurred for the purpose of applying for a patent.</w:t>
      </w:r>
    </w:p>
    <w:p w:rsidR="004727E3" w:rsidRDefault="004727E3" w:rsidP="004727E3"/>
    <w:p w:rsidR="004727E3" w:rsidRDefault="004727E3" w:rsidP="004727E3">
      <w:pPr>
        <w:pStyle w:val="ListParagraph"/>
      </w:pPr>
      <w:r>
        <w:t>A final point is that there is currently no capital gains tax, which is potentially advantageous to start-ups. This issue, however, is within the terms of reference of the Tax Working Group.</w:t>
      </w:r>
    </w:p>
    <w:p w:rsidR="004727E3" w:rsidRPr="00BE7D8F" w:rsidRDefault="004727E3" w:rsidP="00BE7D8F">
      <w:pPr>
        <w:pStyle w:val="Heading1"/>
      </w:pPr>
      <w:r w:rsidRPr="00BE7D8F">
        <w:t>Assessment of the current system</w:t>
      </w:r>
    </w:p>
    <w:p w:rsidR="004727E3" w:rsidRDefault="004727E3" w:rsidP="004727E3">
      <w:pPr>
        <w:pStyle w:val="ListParagraph"/>
      </w:pPr>
      <w:r>
        <w:t>Firms that have current profits (perhaps from some other line of business), are currently able to realise the full value of their deductions for R&amp;D. For firms that don’t have current profits, R&amp;D deductions must be deferred until the firm has profits. This non-symmetric treatment of firms in loss compared with firms in profit can be considered as treating the latter more favourably than the former. Given that the typical high-tech start-up company will be in loss, this could be argued as creating a disincentive for them, and of their undertaking R&amp;D.</w:t>
      </w:r>
    </w:p>
    <w:p w:rsidR="004727E3" w:rsidRDefault="004727E3" w:rsidP="004727E3">
      <w:pPr>
        <w:pStyle w:val="ListParagraph"/>
      </w:pPr>
      <w:r>
        <w:t>If the R&amp;D tax credit is not refundable (ie, is not paid out if a firm is in loss) – and IR argues strongly it should not be because of fiscal risks that arise when the tax credit is refundable – it will provide weaker incentives for start-ups to undertake more R&amp;D.</w:t>
      </w:r>
    </w:p>
    <w:p w:rsidR="004727E3" w:rsidRDefault="004727E3" w:rsidP="004727E3">
      <w:pPr>
        <w:pStyle w:val="ListParagraph"/>
      </w:pPr>
      <w:r>
        <w:t>At the same time, it can be noted that within the tax system there are already provisions which recognise the circumstances that might afflict firms undertaking R&amp;D and compensates for these.</w:t>
      </w:r>
    </w:p>
    <w:p w:rsidR="004727E3" w:rsidRDefault="004727E3" w:rsidP="004727E3">
      <w:pPr>
        <w:pStyle w:val="ListParagraph"/>
      </w:pPr>
      <w:r>
        <w:t>In addition, grants provided by Callaghan Innovation are a means for Government directly supporting firms at an early, pre-profit stage which are undertaking R&amp;D. The treatment of firms should be considered from a wider perspective than just the tax system.</w:t>
      </w:r>
    </w:p>
    <w:p w:rsidR="004727E3" w:rsidRDefault="004727E3" w:rsidP="004727E3">
      <w:pPr>
        <w:pStyle w:val="ListParagraph"/>
      </w:pPr>
      <w:r>
        <w:lastRenderedPageBreak/>
        <w:t>Nonetheless, it can be noted that the current system is not ideal. The concerns</w:t>
      </w:r>
      <w:r w:rsidR="00FA0D8E">
        <w:t xml:space="preserve"> are</w:t>
      </w:r>
      <w:r>
        <w:t>:</w:t>
      </w:r>
    </w:p>
    <w:p w:rsidR="004727E3" w:rsidRDefault="004727E3" w:rsidP="004727E3">
      <w:pPr>
        <w:pStyle w:val="ListParagraph"/>
        <w:numPr>
          <w:ilvl w:val="0"/>
          <w:numId w:val="26"/>
        </w:numPr>
        <w:spacing w:after="0"/>
        <w:contextualSpacing/>
      </w:pPr>
      <w:r>
        <w:t>There is a patchwork of provisions that have been put in place to assist or compensate firms undertaking R&amp;D. This creates complexity – complexity which is likely to be aggravated by the introduction of an R&amp;D tax credit.</w:t>
      </w:r>
    </w:p>
    <w:p w:rsidR="004727E3" w:rsidRDefault="004727E3" w:rsidP="004727E3">
      <w:pPr>
        <w:pStyle w:val="ListParagraph"/>
        <w:numPr>
          <w:ilvl w:val="0"/>
          <w:numId w:val="26"/>
        </w:numPr>
        <w:spacing w:after="0"/>
        <w:contextualSpacing/>
      </w:pPr>
      <w:r>
        <w:t>The patchwork creates fiscal risk if rationalisation of the rules is not undertaken at the same time any R&amp;D tax credit is introduced.</w:t>
      </w:r>
    </w:p>
    <w:p w:rsidR="004727E3" w:rsidRDefault="004727E3" w:rsidP="004727E3">
      <w:pPr>
        <w:pStyle w:val="ListParagraph"/>
        <w:numPr>
          <w:ilvl w:val="0"/>
          <w:numId w:val="26"/>
        </w:numPr>
        <w:spacing w:after="0"/>
        <w:contextualSpacing/>
      </w:pPr>
      <w:r>
        <w:t>Where these compensations have been put in place, they are tightly tied to R&amp;D because this is a relatively tangible concept to define. However, there are innovative firms that are equally worthy of Government support, in terms of contributing to economic growth and the goals of a diverse, sustainable low-carbon economy, and these firms are not receiving special consideration.</w:t>
      </w:r>
    </w:p>
    <w:p w:rsidR="004727E3" w:rsidRDefault="004727E3" w:rsidP="004727E3"/>
    <w:p w:rsidR="00BE7D8F" w:rsidRPr="00BE7D8F" w:rsidRDefault="00BE7D8F" w:rsidP="00BE7D8F">
      <w:pPr>
        <w:pStyle w:val="Heading1"/>
      </w:pPr>
      <w:r w:rsidRPr="00BE7D8F">
        <w:t>Where IR would like to head</w:t>
      </w:r>
    </w:p>
    <w:p w:rsidR="00BE7D8F" w:rsidRDefault="00BE7D8F" w:rsidP="00BE7D8F">
      <w:pPr>
        <w:pStyle w:val="ListParagraph"/>
      </w:pPr>
      <w:r>
        <w:t xml:space="preserve">Pulling together these factors, Inland Revenue considers the tax system should </w:t>
      </w:r>
      <w:r w:rsidR="00FA0D8E">
        <w:t xml:space="preserve">ideally </w:t>
      </w:r>
      <w:r>
        <w:t>move in the following directions</w:t>
      </w:r>
      <w:r w:rsidR="00FA0D8E">
        <w:t xml:space="preserve"> (though noting that some of these concepts do not currently have funding committed for them)</w:t>
      </w:r>
      <w:r>
        <w:t>:</w:t>
      </w:r>
    </w:p>
    <w:p w:rsidR="00BE7D8F" w:rsidRDefault="00BE7D8F" w:rsidP="00BE7D8F">
      <w:pPr>
        <w:pStyle w:val="ListParagraph"/>
        <w:numPr>
          <w:ilvl w:val="0"/>
          <w:numId w:val="29"/>
        </w:numPr>
        <w:spacing w:after="0"/>
        <w:contextualSpacing/>
      </w:pPr>
      <w:r>
        <w:t>Introduce an R&amp;D tax credit to address the spillovers arising from firms undertaking R&amp;D</w:t>
      </w:r>
    </w:p>
    <w:p w:rsidR="00236916" w:rsidRDefault="00522352" w:rsidP="00236916">
      <w:pPr>
        <w:ind w:left="435"/>
        <w:contextualSpacing/>
      </w:pPr>
      <w:r w:rsidRPr="00236916">
        <w:rPr>
          <w:highlight w:val="black"/>
        </w:rPr>
        <w:t>.</w:t>
      </w:r>
      <w:r w:rsidR="00236916" w:rsidRPr="00236916">
        <w:rPr>
          <w:color w:val="FFFFFF" w:themeColor="background1"/>
          <w:sz w:val="16"/>
          <w:szCs w:val="16"/>
          <w:highlight w:val="black"/>
        </w:rPr>
        <w:t>Withheld under section 9(2)(f)(iv) of the Official Information</w:t>
      </w:r>
      <w:r w:rsidR="00236916" w:rsidRPr="00236916">
        <w:rPr>
          <w:sz w:val="16"/>
          <w:szCs w:val="16"/>
          <w:highlight w:val="black"/>
        </w:rPr>
        <w:t xml:space="preserve"> </w:t>
      </w:r>
      <w:r w:rsidR="00236916" w:rsidRPr="00236916">
        <w:rPr>
          <w:color w:val="FFFFFF" w:themeColor="background1"/>
          <w:sz w:val="16"/>
          <w:szCs w:val="16"/>
          <w:highlight w:val="black"/>
        </w:rPr>
        <w:t>Act 1982</w:t>
      </w:r>
      <w:r w:rsidR="00236916" w:rsidRPr="00236916">
        <w:rPr>
          <w:sz w:val="16"/>
          <w:szCs w:val="16"/>
          <w:highlight w:val="black"/>
        </w:rPr>
        <w:t xml:space="preserve"> </w:t>
      </w:r>
      <w:r w:rsidRPr="00236916">
        <w:rPr>
          <w:highlight w:val="black"/>
        </w:rPr>
        <w:t>............</w:t>
      </w:r>
      <w:r w:rsidR="00236916">
        <w:rPr>
          <w:highlight w:val="black"/>
        </w:rPr>
        <w:t>.</w:t>
      </w:r>
      <w:r w:rsidRPr="00236916">
        <w:rPr>
          <w:highlight w:val="black"/>
        </w:rPr>
        <w:t>........</w:t>
      </w:r>
      <w:r w:rsidR="00236916" w:rsidRPr="00236916">
        <w:rPr>
          <w:highlight w:val="black"/>
        </w:rPr>
        <w:t>................</w:t>
      </w:r>
      <w:r w:rsidR="00236916">
        <w:rPr>
          <w:highlight w:val="black"/>
        </w:rPr>
        <w:t>.</w:t>
      </w:r>
      <w:r w:rsidR="00236916" w:rsidRPr="00236916">
        <w:rPr>
          <w:highlight w:val="black"/>
        </w:rPr>
        <w:t>.</w:t>
      </w:r>
    </w:p>
    <w:p w:rsidR="00BE7D8F" w:rsidRDefault="00522352" w:rsidP="00236916">
      <w:pPr>
        <w:ind w:left="435"/>
        <w:contextualSpacing/>
      </w:pPr>
      <w:r w:rsidRPr="00236916">
        <w:rPr>
          <w:highlight w:val="blac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7D8F" w:rsidRDefault="00BE7D8F" w:rsidP="00BE7D8F"/>
    <w:p w:rsidR="00BE7D8F" w:rsidRDefault="00522352" w:rsidP="00BE7D8F">
      <w:pPr>
        <w:pStyle w:val="ListParagraph"/>
      </w:pPr>
      <w:r w:rsidRPr="00522352">
        <w:rPr>
          <w:highlight w:val="black"/>
        </w:rPr>
        <w:t>.....................................................................................................................................................</w:t>
      </w:r>
      <w:r w:rsidR="00F327CF">
        <w:rPr>
          <w:highlight w:val="black"/>
        </w:rPr>
        <w:t xml:space="preserve">                                                                     </w:t>
      </w:r>
      <w:r w:rsidRPr="00522352">
        <w:rPr>
          <w:highlight w:val="black"/>
        </w:rPr>
        <w:t>................</w:t>
      </w:r>
      <w:r w:rsidR="00BE7D8F" w:rsidRPr="00522352">
        <w:rPr>
          <w:highlight w:val="black"/>
        </w:rPr>
        <w:t>.</w:t>
      </w:r>
      <w:r>
        <w:t xml:space="preserve"> </w:t>
      </w:r>
    </w:p>
    <w:p w:rsidR="00BE7D8F" w:rsidRPr="00BE7D8F" w:rsidRDefault="00BE7D8F" w:rsidP="00BE7D8F">
      <w:pPr>
        <w:pStyle w:val="Heading1"/>
      </w:pPr>
      <w:r>
        <w:t>Implications for introduction date of an R&amp;D tax credit</w:t>
      </w:r>
    </w:p>
    <w:p w:rsidR="00BE7D8F" w:rsidRDefault="00BE7D8F" w:rsidP="00BE7D8F">
      <w:pPr>
        <w:pStyle w:val="ListParagraph"/>
      </w:pPr>
      <w:r>
        <w:t>In the cross-agency report on the introduction of an R&amp;D tax credit (IR2017/644), Ministers are asked to consider introducing the credit on 1 April of either 2019 or 2020.</w:t>
      </w:r>
    </w:p>
    <w:p w:rsidR="00BE7D8F" w:rsidRDefault="00BE7D8F" w:rsidP="00BE7D8F">
      <w:pPr>
        <w:pStyle w:val="ListParagraph"/>
      </w:pPr>
      <w:r>
        <w:t>Inland Revenue has not previously expressed a strong preference with respect to these dates.</w:t>
      </w:r>
    </w:p>
    <w:p w:rsidR="00BE7D8F" w:rsidRPr="00BD1EAA" w:rsidRDefault="00BE7D8F" w:rsidP="00BE7D8F">
      <w:pPr>
        <w:pStyle w:val="ListParagraph"/>
      </w:pPr>
      <w:r>
        <w:t>However, we now consider that ideally the R&amp;D tax credit will be developed in the context of the above issues – particularly regarding loss continuity</w:t>
      </w:r>
      <w:r w:rsidR="00FA0D8E">
        <w:t>, to allow for consistent treatment of losses</w:t>
      </w:r>
      <w:r>
        <w:t>. The complexity of these issues and the time that will be required to resolve them leads us to recommend a 1 April 2020 start date for the R&amp;D tax credit.</w:t>
      </w:r>
    </w:p>
    <w:p w:rsidR="00EF1120" w:rsidRDefault="00D3761E" w:rsidP="0067382E">
      <w:pPr>
        <w:pStyle w:val="Heading1"/>
      </w:pPr>
      <w:r>
        <w:t>Consultation with Treasury</w:t>
      </w:r>
    </w:p>
    <w:p w:rsidR="005B5EFE" w:rsidRDefault="0067382E" w:rsidP="00B57DBE">
      <w:pPr>
        <w:pStyle w:val="ListParagraph"/>
      </w:pPr>
      <w:r>
        <w:t>Treasury w</w:t>
      </w:r>
      <w:r w:rsidR="00D5208C">
        <w:t>as</w:t>
      </w:r>
      <w:r>
        <w:t xml:space="preserve"> </w:t>
      </w:r>
      <w:r w:rsidR="00B912E0">
        <w:t xml:space="preserve">informed </w:t>
      </w:r>
      <w:r>
        <w:t>about this bri</w:t>
      </w:r>
      <w:r w:rsidR="00F16437">
        <w:t>e</w:t>
      </w:r>
      <w:r>
        <w:t>fing note</w:t>
      </w:r>
      <w:r w:rsidR="00F16437">
        <w:t xml:space="preserve">.  </w:t>
      </w:r>
    </w:p>
    <w:p w:rsidR="00AE2CA5" w:rsidRDefault="00AE2CA5" w:rsidP="00B57DBE"/>
    <w:p w:rsidR="00AE2CA5" w:rsidRDefault="00AE2CA5" w:rsidP="00B57DBE"/>
    <w:p w:rsidR="0049309D" w:rsidRDefault="0049309D" w:rsidP="00B57DBE"/>
    <w:p w:rsidR="00E11061" w:rsidRDefault="00B912E0" w:rsidP="00983430">
      <w:r>
        <w:t>Richard Braae</w:t>
      </w:r>
    </w:p>
    <w:p w:rsidR="00902463" w:rsidRDefault="00B912E0" w:rsidP="00F16437">
      <w:pPr>
        <w:rPr>
          <w:b/>
        </w:rPr>
      </w:pPr>
      <w:r>
        <w:rPr>
          <w:b/>
        </w:rPr>
        <w:t>Senior Policy Advisor</w:t>
      </w:r>
    </w:p>
    <w:p w:rsidR="00B912E0" w:rsidRPr="00B912E0" w:rsidRDefault="00522352" w:rsidP="00F16437">
      <w:r w:rsidRPr="00522352">
        <w:rPr>
          <w:highlight w:val="black"/>
        </w:rPr>
        <w:t>.</w:t>
      </w:r>
      <w:r w:rsidRPr="00F327CF">
        <w:rPr>
          <w:color w:val="FFFFFF" w:themeColor="background1"/>
          <w:sz w:val="16"/>
          <w:szCs w:val="16"/>
          <w:highlight w:val="black"/>
        </w:rPr>
        <w:t>s 9(2)(a)</w:t>
      </w:r>
      <w:r w:rsidR="00F327CF">
        <w:rPr>
          <w:highlight w:val="black"/>
        </w:rPr>
        <w:t xml:space="preserve">   </w:t>
      </w:r>
      <w:r w:rsidRPr="00522352">
        <w:rPr>
          <w:highlight w:val="black"/>
        </w:rPr>
        <w:t>..</w:t>
      </w:r>
    </w:p>
    <w:sectPr w:rsidR="00B912E0" w:rsidRPr="00B912E0" w:rsidSect="00A24B35">
      <w:headerReference w:type="default" r:id="rId9"/>
      <w:footerReference w:type="default" r:id="rId10"/>
      <w:pgSz w:w="11906" w:h="16838" w:code="9"/>
      <w:pgMar w:top="1021" w:right="1418" w:bottom="102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E3" w:rsidRDefault="004727E3">
      <w:r>
        <w:separator/>
      </w:r>
    </w:p>
  </w:endnote>
  <w:endnote w:type="continuationSeparator" w:id="0">
    <w:p w:rsidR="004727E3" w:rsidRDefault="0047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B3" w:rsidRPr="00EA58A5" w:rsidRDefault="00C566EB" w:rsidP="00E37B7D">
    <w:pPr>
      <w:pStyle w:val="Footer"/>
      <w:tabs>
        <w:tab w:val="clear" w:pos="4153"/>
        <w:tab w:val="clear" w:pos="8306"/>
        <w:tab w:val="center" w:pos="4536"/>
        <w:tab w:val="right" w:pos="9072"/>
      </w:tabs>
    </w:pPr>
    <w:r>
      <w:rPr>
        <w:b/>
        <w:sz w:val="16"/>
        <w:szCs w:val="16"/>
      </w:rPr>
      <w:tab/>
    </w:r>
    <w:sdt>
      <w:sdtPr>
        <w:rPr>
          <w:b/>
          <w:sz w:val="16"/>
          <w:szCs w:val="16"/>
        </w:rPr>
        <w:alias w:val="Classification"/>
        <w:tag w:val="Classification"/>
        <w:id w:val="-159162927"/>
        <w:dropDownList>
          <w:listItem w:value="Choose a classification"/>
          <w:listItem w:displayText="------------------" w:value=""/>
          <w:listItem w:displayText="UNCLASSIFIED" w:value="UNCLASSIFIED"/>
          <w:listItem w:displayText="IN CONFIDENCE" w:value="IN CONFIDENCE"/>
          <w:listItem w:displayText="SENSITIVE" w:value="SENSITIVE"/>
          <w:listItem w:displayText="----------------" w:value="----------------"/>
          <w:listItem w:displayText="IN CONFIDENCE - CABINET" w:value="IN CONFIDENCE - CABINET"/>
          <w:listItem w:displayText="IN CONFIDENCE - COMMERCIAL" w:value="IN CONFIDENCE - COMMERCIAL"/>
          <w:listItem w:displayText="IN CONFIDENCE - LEGAL PRIVILEGE" w:value="IN CONFIDENCE - LEGAL PRIVILEGE"/>
          <w:listItem w:displayText="IN CONFIDENCE - STAFF" w:value="IN CONFIDENCE - STAFF"/>
          <w:listItem w:displayText="---------------" w:value="---------------"/>
          <w:listItem w:displayText="SENSITIVE - BUDGET" w:value="SENSITIVE - BUDGET"/>
          <w:listItem w:displayText="SENSITIVE - CABINET" w:value="SENSITIVE - CABINET"/>
          <w:listItem w:displayText="SENSITIVE - COMMERCIAL" w:value="SENSITIVE - COMMERCIAL"/>
          <w:listItem w:displayText="SENSITIVE - LEGAL PRIVILEGE" w:value="SENSITIVE - LEGAL PRIVILEGE"/>
          <w:listItem w:displayText="SENSITIVE - STAFF" w:value="SENSITIVE - STAFF"/>
        </w:dropDownList>
      </w:sdtPr>
      <w:sdtEndPr/>
      <w:sdtContent>
        <w:r>
          <w:rPr>
            <w:b/>
            <w:sz w:val="16"/>
            <w:szCs w:val="16"/>
          </w:rPr>
          <w:t>IN CONFIDENCE</w:t>
        </w:r>
      </w:sdtContent>
    </w:sdt>
    <w:r w:rsidR="00A24B35">
      <w:rPr>
        <w:b/>
        <w:sz w:val="16"/>
        <w:szCs w:val="16"/>
      </w:rPr>
      <w:tab/>
    </w:r>
    <w:r w:rsidR="005D44C9" w:rsidRPr="005D44C9">
      <w:rPr>
        <w:noProof/>
        <w:sz w:val="16"/>
        <w:szCs w:val="16"/>
      </w:rPr>
      <w:t xml:space="preserve">Page </w:t>
    </w:r>
    <w:r w:rsidR="005D44C9" w:rsidRPr="005D44C9">
      <w:rPr>
        <w:noProof/>
        <w:sz w:val="16"/>
        <w:szCs w:val="16"/>
      </w:rPr>
      <w:fldChar w:fldCharType="begin"/>
    </w:r>
    <w:r w:rsidR="005D44C9" w:rsidRPr="005D44C9">
      <w:rPr>
        <w:noProof/>
        <w:sz w:val="16"/>
        <w:szCs w:val="16"/>
      </w:rPr>
      <w:instrText xml:space="preserve"> PAGE  \* Arabic  \* MERGEFORMAT </w:instrText>
    </w:r>
    <w:r w:rsidR="005D44C9" w:rsidRPr="005D44C9">
      <w:rPr>
        <w:noProof/>
        <w:sz w:val="16"/>
        <w:szCs w:val="16"/>
      </w:rPr>
      <w:fldChar w:fldCharType="separate"/>
    </w:r>
    <w:r w:rsidR="0038166A">
      <w:rPr>
        <w:noProof/>
        <w:sz w:val="16"/>
        <w:szCs w:val="16"/>
      </w:rPr>
      <w:t>1</w:t>
    </w:r>
    <w:r w:rsidR="005D44C9" w:rsidRPr="005D44C9">
      <w:rPr>
        <w:noProof/>
        <w:sz w:val="16"/>
        <w:szCs w:val="16"/>
      </w:rPr>
      <w:fldChar w:fldCharType="end"/>
    </w:r>
    <w:r w:rsidR="005D44C9" w:rsidRPr="005D44C9">
      <w:rPr>
        <w:noProof/>
        <w:sz w:val="16"/>
        <w:szCs w:val="16"/>
      </w:rPr>
      <w:t xml:space="preserve"> of </w:t>
    </w:r>
    <w:r w:rsidR="005D44C9" w:rsidRPr="005D44C9">
      <w:rPr>
        <w:noProof/>
        <w:sz w:val="16"/>
        <w:szCs w:val="16"/>
      </w:rPr>
      <w:fldChar w:fldCharType="begin"/>
    </w:r>
    <w:r w:rsidR="005D44C9" w:rsidRPr="005D44C9">
      <w:rPr>
        <w:noProof/>
        <w:sz w:val="16"/>
        <w:szCs w:val="16"/>
      </w:rPr>
      <w:instrText xml:space="preserve"> NUMPAGES  \* Arabic  \* MERGEFORMAT </w:instrText>
    </w:r>
    <w:r w:rsidR="005D44C9" w:rsidRPr="005D44C9">
      <w:rPr>
        <w:noProof/>
        <w:sz w:val="16"/>
        <w:szCs w:val="16"/>
      </w:rPr>
      <w:fldChar w:fldCharType="separate"/>
    </w:r>
    <w:r w:rsidR="0038166A">
      <w:rPr>
        <w:noProof/>
        <w:sz w:val="16"/>
        <w:szCs w:val="16"/>
      </w:rPr>
      <w:t>3</w:t>
    </w:r>
    <w:r w:rsidR="005D44C9" w:rsidRPr="005D44C9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E3" w:rsidRDefault="004727E3">
      <w:r>
        <w:separator/>
      </w:r>
    </w:p>
  </w:footnote>
  <w:footnote w:type="continuationSeparator" w:id="0">
    <w:p w:rsidR="004727E3" w:rsidRDefault="004727E3">
      <w:r>
        <w:continuationSeparator/>
      </w:r>
    </w:p>
  </w:footnote>
  <w:footnote w:id="1">
    <w:p w:rsidR="004727E3" w:rsidRDefault="004727E3" w:rsidP="004727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A0D8E">
        <w:t xml:space="preserve">This provision will need to be considered in </w:t>
      </w:r>
      <w:r>
        <w:t>develop</w:t>
      </w:r>
      <w:r w:rsidR="00FA0D8E">
        <w:t xml:space="preserve">ment of </w:t>
      </w:r>
      <w:r>
        <w:t>the R&amp;D tax credit</w:t>
      </w:r>
      <w:r w:rsidR="00FA0D8E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B3" w:rsidRPr="00E37B7D" w:rsidRDefault="007E05B3" w:rsidP="008C5B22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8291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E82C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86E6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C20A7C"/>
    <w:lvl w:ilvl="0">
      <w:start w:val="1"/>
      <w:numFmt w:val="lowerRoman"/>
      <w:pStyle w:val="ListNumber2"/>
      <w:lvlText w:val="%1."/>
      <w:lvlJc w:val="left"/>
      <w:pPr>
        <w:ind w:left="1494" w:hanging="360"/>
      </w:pPr>
      <w:rPr>
        <w:rFonts w:hint="default"/>
      </w:rPr>
    </w:lvl>
  </w:abstractNum>
  <w:abstractNum w:abstractNumId="4">
    <w:nsid w:val="FFFFFF80"/>
    <w:multiLevelType w:val="singleLevel"/>
    <w:tmpl w:val="4C1C3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346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6B9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AACA44"/>
    <w:lvl w:ilvl="0">
      <w:start w:val="1"/>
      <w:numFmt w:val="bullet"/>
      <w:lvlText w:val="–"/>
      <w:lvlJc w:val="left"/>
      <w:pPr>
        <w:ind w:left="643" w:hanging="360"/>
      </w:pPr>
      <w:rPr>
        <w:rFonts w:ascii="Times New Roman" w:hAnsi="Times New Roman" w:cs="Times New Roman" w:hint="default"/>
      </w:rPr>
    </w:lvl>
  </w:abstractNum>
  <w:abstractNum w:abstractNumId="8">
    <w:nsid w:val="FFFFFF88"/>
    <w:multiLevelType w:val="singleLevel"/>
    <w:tmpl w:val="0C160056"/>
    <w:lvl w:ilvl="0">
      <w:start w:val="1"/>
      <w:numFmt w:val="lowerLetter"/>
      <w:pStyle w:val="ListNumber"/>
      <w:lvlText w:val="%1."/>
      <w:lvlJc w:val="left"/>
      <w:pPr>
        <w:ind w:left="927" w:hanging="360"/>
      </w:pPr>
      <w:rPr>
        <w:rFonts w:hint="default"/>
      </w:rPr>
    </w:lvl>
  </w:abstractNum>
  <w:abstractNum w:abstractNumId="9">
    <w:nsid w:val="06D5513E"/>
    <w:multiLevelType w:val="hybridMultilevel"/>
    <w:tmpl w:val="FCFAB168"/>
    <w:lvl w:ilvl="0" w:tplc="39FA8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228C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3E86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C0EE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CA15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AF41E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4A2F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668F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3A4CC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13E3C2C"/>
    <w:multiLevelType w:val="hybridMultilevel"/>
    <w:tmpl w:val="FB5E0C2A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166D7C7E"/>
    <w:multiLevelType w:val="multilevel"/>
    <w:tmpl w:val="F4668442"/>
    <w:lvl w:ilvl="0">
      <w:start w:val="1"/>
      <w:numFmt w:val="decimal"/>
      <w:pStyle w:val="List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</w:rPr>
    </w:lvl>
    <w:lvl w:ilvl="2">
      <w:start w:val="1"/>
      <w:numFmt w:val="bullet"/>
      <w:pStyle w:val="ListBullet2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987"/>
        </w:tabs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39"/>
        </w:tabs>
        <w:ind w:left="2839" w:hanging="567"/>
      </w:pPr>
      <w:rPr>
        <w:rFonts w:hint="default"/>
      </w:rPr>
    </w:lvl>
  </w:abstractNum>
  <w:abstractNum w:abstractNumId="12">
    <w:nsid w:val="18CE5645"/>
    <w:multiLevelType w:val="multilevel"/>
    <w:tmpl w:val="77906A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987"/>
        </w:tabs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39"/>
        </w:tabs>
        <w:ind w:left="2839" w:hanging="567"/>
      </w:pPr>
      <w:rPr>
        <w:rFonts w:hint="default"/>
      </w:rPr>
    </w:lvl>
  </w:abstractNum>
  <w:abstractNum w:abstractNumId="13">
    <w:nsid w:val="18F40D1D"/>
    <w:multiLevelType w:val="hybridMultilevel"/>
    <w:tmpl w:val="8FAE8D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F0820"/>
    <w:multiLevelType w:val="hybridMultilevel"/>
    <w:tmpl w:val="CF5EC78C"/>
    <w:lvl w:ilvl="0" w:tplc="7F9CE24E">
      <w:start w:val="1"/>
      <w:numFmt w:val="decimal"/>
      <w:lvlText w:val="%1."/>
      <w:lvlJc w:val="left"/>
      <w:pPr>
        <w:ind w:left="360" w:hanging="360"/>
      </w:pPr>
    </w:lvl>
    <w:lvl w:ilvl="1" w:tplc="6818D584" w:tentative="1">
      <w:start w:val="1"/>
      <w:numFmt w:val="lowerLetter"/>
      <w:lvlText w:val="%2."/>
      <w:lvlJc w:val="left"/>
      <w:pPr>
        <w:ind w:left="1080" w:hanging="360"/>
      </w:pPr>
    </w:lvl>
    <w:lvl w:ilvl="2" w:tplc="C4707D2E" w:tentative="1">
      <w:start w:val="1"/>
      <w:numFmt w:val="lowerRoman"/>
      <w:lvlText w:val="%3."/>
      <w:lvlJc w:val="right"/>
      <w:pPr>
        <w:ind w:left="1800" w:hanging="180"/>
      </w:pPr>
    </w:lvl>
    <w:lvl w:ilvl="3" w:tplc="D62272C2" w:tentative="1">
      <w:start w:val="1"/>
      <w:numFmt w:val="decimal"/>
      <w:lvlText w:val="%4."/>
      <w:lvlJc w:val="left"/>
      <w:pPr>
        <w:ind w:left="2520" w:hanging="360"/>
      </w:pPr>
    </w:lvl>
    <w:lvl w:ilvl="4" w:tplc="E26C0F6C" w:tentative="1">
      <w:start w:val="1"/>
      <w:numFmt w:val="lowerLetter"/>
      <w:lvlText w:val="%5."/>
      <w:lvlJc w:val="left"/>
      <w:pPr>
        <w:ind w:left="3240" w:hanging="360"/>
      </w:pPr>
    </w:lvl>
    <w:lvl w:ilvl="5" w:tplc="E2044890" w:tentative="1">
      <w:start w:val="1"/>
      <w:numFmt w:val="lowerRoman"/>
      <w:lvlText w:val="%6."/>
      <w:lvlJc w:val="right"/>
      <w:pPr>
        <w:ind w:left="3960" w:hanging="180"/>
      </w:pPr>
    </w:lvl>
    <w:lvl w:ilvl="6" w:tplc="1646B95C" w:tentative="1">
      <w:start w:val="1"/>
      <w:numFmt w:val="decimal"/>
      <w:lvlText w:val="%7."/>
      <w:lvlJc w:val="left"/>
      <w:pPr>
        <w:ind w:left="4680" w:hanging="360"/>
      </w:pPr>
    </w:lvl>
    <w:lvl w:ilvl="7" w:tplc="9D7C0844" w:tentative="1">
      <w:start w:val="1"/>
      <w:numFmt w:val="lowerLetter"/>
      <w:lvlText w:val="%8."/>
      <w:lvlJc w:val="left"/>
      <w:pPr>
        <w:ind w:left="5400" w:hanging="360"/>
      </w:pPr>
    </w:lvl>
    <w:lvl w:ilvl="8" w:tplc="83FE2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621899"/>
    <w:multiLevelType w:val="hybridMultilevel"/>
    <w:tmpl w:val="92FC54C2"/>
    <w:lvl w:ilvl="0" w:tplc="E00480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0F661E"/>
    <w:multiLevelType w:val="multilevel"/>
    <w:tmpl w:val="D9960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987"/>
        </w:tabs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39"/>
        </w:tabs>
        <w:ind w:left="2839" w:hanging="567"/>
      </w:pPr>
      <w:rPr>
        <w:rFonts w:hint="default"/>
      </w:rPr>
    </w:lvl>
  </w:abstractNum>
  <w:abstractNum w:abstractNumId="17">
    <w:nsid w:val="4DD80E06"/>
    <w:multiLevelType w:val="hybridMultilevel"/>
    <w:tmpl w:val="569AA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C08D7"/>
    <w:multiLevelType w:val="hybridMultilevel"/>
    <w:tmpl w:val="87C6589E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688B71FE"/>
    <w:multiLevelType w:val="hybridMultilevel"/>
    <w:tmpl w:val="C01EF05E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24A509F"/>
    <w:multiLevelType w:val="hybridMultilevel"/>
    <w:tmpl w:val="706680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729ED"/>
    <w:multiLevelType w:val="hybridMultilevel"/>
    <w:tmpl w:val="3788AFFC"/>
    <w:lvl w:ilvl="0" w:tplc="0C09000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9"/>
  </w:num>
  <w:num w:numId="5">
    <w:abstractNumId w:val="15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</w:num>
  <w:num w:numId="20">
    <w:abstractNumId w:val="16"/>
  </w:num>
  <w:num w:numId="21">
    <w:abstractNumId w:val="17"/>
  </w:num>
  <w:num w:numId="22">
    <w:abstractNumId w:val="20"/>
  </w:num>
  <w:num w:numId="23">
    <w:abstractNumId w:val="11"/>
  </w:num>
  <w:num w:numId="24">
    <w:abstractNumId w:val="11"/>
  </w:num>
  <w:num w:numId="25">
    <w:abstractNumId w:val="11"/>
  </w:num>
  <w:num w:numId="26">
    <w:abstractNumId w:val="13"/>
  </w:num>
  <w:num w:numId="27">
    <w:abstractNumId w:val="11"/>
  </w:num>
  <w:num w:numId="28">
    <w:abstractNumId w:val="11"/>
  </w:num>
  <w:num w:numId="29">
    <w:abstractNumId w:val="19"/>
  </w:num>
  <w:num w:numId="30">
    <w:abstractNumId w:val="1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E3"/>
    <w:rsid w:val="00005E9B"/>
    <w:rsid w:val="00007506"/>
    <w:rsid w:val="00007F7D"/>
    <w:rsid w:val="00013702"/>
    <w:rsid w:val="00013D9E"/>
    <w:rsid w:val="00066181"/>
    <w:rsid w:val="00076DF0"/>
    <w:rsid w:val="00076FCE"/>
    <w:rsid w:val="00081214"/>
    <w:rsid w:val="00083862"/>
    <w:rsid w:val="00093564"/>
    <w:rsid w:val="00093F83"/>
    <w:rsid w:val="000949CF"/>
    <w:rsid w:val="000976FE"/>
    <w:rsid w:val="000A21EC"/>
    <w:rsid w:val="000C12A2"/>
    <w:rsid w:val="000C2879"/>
    <w:rsid w:val="000E7783"/>
    <w:rsid w:val="00112C5C"/>
    <w:rsid w:val="00146E8F"/>
    <w:rsid w:val="001611FB"/>
    <w:rsid w:val="001733AC"/>
    <w:rsid w:val="00192A5A"/>
    <w:rsid w:val="001A7577"/>
    <w:rsid w:val="001A7B81"/>
    <w:rsid w:val="001B68F1"/>
    <w:rsid w:val="001C6201"/>
    <w:rsid w:val="001D210C"/>
    <w:rsid w:val="001F1383"/>
    <w:rsid w:val="00207672"/>
    <w:rsid w:val="00216067"/>
    <w:rsid w:val="00236916"/>
    <w:rsid w:val="00250C36"/>
    <w:rsid w:val="00265947"/>
    <w:rsid w:val="0028558F"/>
    <w:rsid w:val="00293602"/>
    <w:rsid w:val="002C61D6"/>
    <w:rsid w:val="002D13A9"/>
    <w:rsid w:val="002E7773"/>
    <w:rsid w:val="002F12E6"/>
    <w:rsid w:val="003249A4"/>
    <w:rsid w:val="00353315"/>
    <w:rsid w:val="00361386"/>
    <w:rsid w:val="0036202E"/>
    <w:rsid w:val="0038166A"/>
    <w:rsid w:val="003A1E12"/>
    <w:rsid w:val="003B2183"/>
    <w:rsid w:val="003E107A"/>
    <w:rsid w:val="003E67FB"/>
    <w:rsid w:val="00422EC1"/>
    <w:rsid w:val="0042594D"/>
    <w:rsid w:val="00455893"/>
    <w:rsid w:val="0046162F"/>
    <w:rsid w:val="00462DFF"/>
    <w:rsid w:val="00462F58"/>
    <w:rsid w:val="004727E3"/>
    <w:rsid w:val="004817D7"/>
    <w:rsid w:val="0049309D"/>
    <w:rsid w:val="00496241"/>
    <w:rsid w:val="004A1B72"/>
    <w:rsid w:val="004D2742"/>
    <w:rsid w:val="004E0B1F"/>
    <w:rsid w:val="004F4AAA"/>
    <w:rsid w:val="004F5903"/>
    <w:rsid w:val="005123C4"/>
    <w:rsid w:val="00522352"/>
    <w:rsid w:val="00522632"/>
    <w:rsid w:val="00543C03"/>
    <w:rsid w:val="005836C9"/>
    <w:rsid w:val="00596F61"/>
    <w:rsid w:val="005B5EFE"/>
    <w:rsid w:val="005D44C9"/>
    <w:rsid w:val="005F62F0"/>
    <w:rsid w:val="00605039"/>
    <w:rsid w:val="00645997"/>
    <w:rsid w:val="0064753A"/>
    <w:rsid w:val="00670530"/>
    <w:rsid w:val="00671066"/>
    <w:rsid w:val="0067382E"/>
    <w:rsid w:val="006748B0"/>
    <w:rsid w:val="00683C8B"/>
    <w:rsid w:val="006842E0"/>
    <w:rsid w:val="006A6E78"/>
    <w:rsid w:val="006A70C1"/>
    <w:rsid w:val="006C23EF"/>
    <w:rsid w:val="006C3749"/>
    <w:rsid w:val="006C6494"/>
    <w:rsid w:val="006D6083"/>
    <w:rsid w:val="006F7C8C"/>
    <w:rsid w:val="0070122D"/>
    <w:rsid w:val="007051FE"/>
    <w:rsid w:val="00741EEF"/>
    <w:rsid w:val="007745CA"/>
    <w:rsid w:val="007758EB"/>
    <w:rsid w:val="0077635A"/>
    <w:rsid w:val="007A5400"/>
    <w:rsid w:val="007B4097"/>
    <w:rsid w:val="007C2EA6"/>
    <w:rsid w:val="007C57F6"/>
    <w:rsid w:val="007D35D2"/>
    <w:rsid w:val="007E05B3"/>
    <w:rsid w:val="007F24F8"/>
    <w:rsid w:val="00813316"/>
    <w:rsid w:val="00814EB7"/>
    <w:rsid w:val="00823D95"/>
    <w:rsid w:val="008446F2"/>
    <w:rsid w:val="008A6446"/>
    <w:rsid w:val="008C5B22"/>
    <w:rsid w:val="008E36A7"/>
    <w:rsid w:val="00902463"/>
    <w:rsid w:val="009077FA"/>
    <w:rsid w:val="00944BA6"/>
    <w:rsid w:val="0097473F"/>
    <w:rsid w:val="00974E77"/>
    <w:rsid w:val="009802F1"/>
    <w:rsid w:val="00983430"/>
    <w:rsid w:val="009A48B5"/>
    <w:rsid w:val="009D390E"/>
    <w:rsid w:val="009D42C4"/>
    <w:rsid w:val="009D5EA5"/>
    <w:rsid w:val="009E277F"/>
    <w:rsid w:val="009E6CAA"/>
    <w:rsid w:val="00A047C4"/>
    <w:rsid w:val="00A12E12"/>
    <w:rsid w:val="00A15A05"/>
    <w:rsid w:val="00A24B35"/>
    <w:rsid w:val="00A31BF1"/>
    <w:rsid w:val="00A44C19"/>
    <w:rsid w:val="00AD0AED"/>
    <w:rsid w:val="00AE2CA5"/>
    <w:rsid w:val="00AF24FA"/>
    <w:rsid w:val="00B13C64"/>
    <w:rsid w:val="00B16BCB"/>
    <w:rsid w:val="00B34B0E"/>
    <w:rsid w:val="00B57DBE"/>
    <w:rsid w:val="00B72EC9"/>
    <w:rsid w:val="00B76BC8"/>
    <w:rsid w:val="00B855FD"/>
    <w:rsid w:val="00B912E0"/>
    <w:rsid w:val="00BA2B39"/>
    <w:rsid w:val="00BA3B36"/>
    <w:rsid w:val="00BA5AC4"/>
    <w:rsid w:val="00BC0857"/>
    <w:rsid w:val="00BC1D81"/>
    <w:rsid w:val="00BC37E7"/>
    <w:rsid w:val="00BD10A1"/>
    <w:rsid w:val="00BE13BD"/>
    <w:rsid w:val="00BE7D8F"/>
    <w:rsid w:val="00BF66C6"/>
    <w:rsid w:val="00C24260"/>
    <w:rsid w:val="00C55528"/>
    <w:rsid w:val="00C56066"/>
    <w:rsid w:val="00C566EB"/>
    <w:rsid w:val="00C76334"/>
    <w:rsid w:val="00C93CDB"/>
    <w:rsid w:val="00CA052F"/>
    <w:rsid w:val="00CA05A5"/>
    <w:rsid w:val="00CA0630"/>
    <w:rsid w:val="00CA331D"/>
    <w:rsid w:val="00CB3041"/>
    <w:rsid w:val="00CB65DD"/>
    <w:rsid w:val="00CD62DB"/>
    <w:rsid w:val="00CD6D35"/>
    <w:rsid w:val="00CD7302"/>
    <w:rsid w:val="00CF3BCC"/>
    <w:rsid w:val="00D01A4D"/>
    <w:rsid w:val="00D17C66"/>
    <w:rsid w:val="00D231EF"/>
    <w:rsid w:val="00D323EF"/>
    <w:rsid w:val="00D33A43"/>
    <w:rsid w:val="00D34CA7"/>
    <w:rsid w:val="00D34D8A"/>
    <w:rsid w:val="00D3761E"/>
    <w:rsid w:val="00D472D9"/>
    <w:rsid w:val="00D5208C"/>
    <w:rsid w:val="00D6134E"/>
    <w:rsid w:val="00DC03F8"/>
    <w:rsid w:val="00DC514E"/>
    <w:rsid w:val="00DE68C3"/>
    <w:rsid w:val="00E077AF"/>
    <w:rsid w:val="00E11061"/>
    <w:rsid w:val="00E311CF"/>
    <w:rsid w:val="00E31CCE"/>
    <w:rsid w:val="00E3653A"/>
    <w:rsid w:val="00E37B7D"/>
    <w:rsid w:val="00E37E0C"/>
    <w:rsid w:val="00E63EAA"/>
    <w:rsid w:val="00EA30D5"/>
    <w:rsid w:val="00EA58A5"/>
    <w:rsid w:val="00EA5FDC"/>
    <w:rsid w:val="00ED22F6"/>
    <w:rsid w:val="00EF1120"/>
    <w:rsid w:val="00F16437"/>
    <w:rsid w:val="00F232DE"/>
    <w:rsid w:val="00F30850"/>
    <w:rsid w:val="00F327CF"/>
    <w:rsid w:val="00F42134"/>
    <w:rsid w:val="00F511F9"/>
    <w:rsid w:val="00F5272C"/>
    <w:rsid w:val="00F60650"/>
    <w:rsid w:val="00F650CC"/>
    <w:rsid w:val="00F72F06"/>
    <w:rsid w:val="00F752E2"/>
    <w:rsid w:val="00F969C8"/>
    <w:rsid w:val="00FA0D8E"/>
    <w:rsid w:val="00FA1FC3"/>
    <w:rsid w:val="00FB4B3C"/>
    <w:rsid w:val="00FD33D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qFormat="1"/>
    <w:lsdException w:name="List Number" w:qFormat="1"/>
    <w:lsdException w:name="List Bullet 2" w:qFormat="1"/>
    <w:lsdException w:name="List Number 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A4D"/>
    <w:rPr>
      <w:rFonts w:ascii="Verdana" w:hAnsi="Verdana" w:cs="Arial"/>
      <w:lang w:eastAsia="en-AU"/>
    </w:rPr>
  </w:style>
  <w:style w:type="paragraph" w:styleId="Heading1">
    <w:name w:val="heading 1"/>
    <w:basedOn w:val="Normal"/>
    <w:next w:val="Normal"/>
    <w:qFormat/>
    <w:rsid w:val="00B57DBE"/>
    <w:pPr>
      <w:keepNext/>
      <w:spacing w:before="240" w:after="24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57DBE"/>
    <w:pPr>
      <w:keepNext/>
      <w:spacing w:before="240" w:after="24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57DBE"/>
    <w:pPr>
      <w:keepNext/>
      <w:spacing w:before="240" w:after="240"/>
      <w:outlineLvl w:val="2"/>
    </w:pPr>
    <w:rPr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C6201"/>
  </w:style>
  <w:style w:type="paragraph" w:styleId="BodyText">
    <w:name w:val="Body Text"/>
    <w:basedOn w:val="Normal"/>
    <w:link w:val="BodyTextChar"/>
    <w:rsid w:val="001C6201"/>
    <w:pPr>
      <w:spacing w:after="120"/>
    </w:pPr>
  </w:style>
  <w:style w:type="paragraph" w:styleId="Closing">
    <w:name w:val="Closing"/>
    <w:basedOn w:val="Normal"/>
    <w:rsid w:val="001C6201"/>
  </w:style>
  <w:style w:type="paragraph" w:styleId="Signature">
    <w:name w:val="Signature"/>
    <w:basedOn w:val="Normal"/>
    <w:rsid w:val="001C6201"/>
  </w:style>
  <w:style w:type="table" w:styleId="TableGrid">
    <w:name w:val="Table Grid"/>
    <w:basedOn w:val="TableNormal"/>
    <w:rsid w:val="0020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-Text">
    <w:name w:val="Summary - Text"/>
    <w:rsid w:val="001A7577"/>
    <w:rPr>
      <w:rFonts w:ascii="Verdana" w:hAnsi="Verdana" w:cs="Arial"/>
      <w:lang w:eastAsia="en-AU"/>
    </w:rPr>
  </w:style>
  <w:style w:type="paragraph" w:styleId="Header">
    <w:name w:val="header"/>
    <w:basedOn w:val="Normal"/>
    <w:rsid w:val="00E37B7D"/>
    <w:pP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rsid w:val="00BA2B3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72EC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66181"/>
  </w:style>
  <w:style w:type="character" w:styleId="Hyperlink">
    <w:name w:val="Hyperlink"/>
    <w:basedOn w:val="DefaultParagraphFont"/>
    <w:rsid w:val="006C23EF"/>
    <w:rPr>
      <w:color w:val="0000FF"/>
      <w:u w:val="single"/>
    </w:rPr>
  </w:style>
  <w:style w:type="paragraph" w:customStyle="1" w:styleId="Classification">
    <w:name w:val="Classification"/>
    <w:basedOn w:val="Normal"/>
    <w:rsid w:val="00C55528"/>
  </w:style>
  <w:style w:type="paragraph" w:styleId="ListParagraph">
    <w:name w:val="List Paragraph"/>
    <w:basedOn w:val="Normal"/>
    <w:uiPriority w:val="34"/>
    <w:qFormat/>
    <w:rsid w:val="00B57DBE"/>
    <w:pPr>
      <w:numPr>
        <w:numId w:val="19"/>
      </w:numPr>
      <w:spacing w:after="240"/>
    </w:pPr>
  </w:style>
  <w:style w:type="character" w:customStyle="1" w:styleId="BodyTextChar">
    <w:name w:val="Body Text Char"/>
    <w:basedOn w:val="DefaultParagraphFont"/>
    <w:link w:val="BodyText"/>
    <w:rsid w:val="00A12E12"/>
    <w:rPr>
      <w:rFonts w:ascii="Verdana" w:hAnsi="Verdana" w:cs="Arial"/>
      <w:lang w:eastAsia="en-AU"/>
    </w:rPr>
  </w:style>
  <w:style w:type="paragraph" w:styleId="ListBullet">
    <w:name w:val="List Bullet"/>
    <w:basedOn w:val="Normal"/>
    <w:qFormat/>
    <w:rsid w:val="00007F7D"/>
    <w:pPr>
      <w:numPr>
        <w:ilvl w:val="1"/>
        <w:numId w:val="19"/>
      </w:numPr>
      <w:spacing w:after="60"/>
    </w:pPr>
  </w:style>
  <w:style w:type="paragraph" w:styleId="ListBullet2">
    <w:name w:val="List Bullet 2"/>
    <w:basedOn w:val="Normal"/>
    <w:qFormat/>
    <w:rsid w:val="00007F7D"/>
    <w:pPr>
      <w:numPr>
        <w:ilvl w:val="2"/>
        <w:numId w:val="19"/>
      </w:numPr>
      <w:tabs>
        <w:tab w:val="left" w:pos="1418"/>
      </w:tabs>
      <w:spacing w:after="60"/>
    </w:pPr>
  </w:style>
  <w:style w:type="paragraph" w:customStyle="1" w:styleId="Documenttype">
    <w:name w:val="Document type"/>
    <w:basedOn w:val="Normal"/>
    <w:rsid w:val="00902463"/>
    <w:pPr>
      <w:jc w:val="center"/>
    </w:pPr>
    <w:rPr>
      <w:rFonts w:cs="Times New Roman"/>
      <w:b/>
      <w:bCs/>
      <w:sz w:val="32"/>
    </w:rPr>
  </w:style>
  <w:style w:type="paragraph" w:customStyle="1" w:styleId="Seperatorline">
    <w:name w:val="Seperator line"/>
    <w:basedOn w:val="Normal"/>
    <w:next w:val="Normal"/>
    <w:rsid w:val="00902463"/>
    <w:pPr>
      <w:pBdr>
        <w:top w:val="single" w:sz="4" w:space="1" w:color="auto"/>
      </w:pBdr>
    </w:pPr>
    <w:rPr>
      <w:rFonts w:cs="Times New Roman"/>
    </w:rPr>
  </w:style>
  <w:style w:type="character" w:customStyle="1" w:styleId="Address-Groupname">
    <w:name w:val="Address - Group name"/>
    <w:basedOn w:val="DefaultParagraphFont"/>
    <w:rsid w:val="00F511F9"/>
    <w:rPr>
      <w:b/>
      <w:sz w:val="15"/>
    </w:rPr>
  </w:style>
  <w:style w:type="paragraph" w:customStyle="1" w:styleId="Address">
    <w:name w:val="Address"/>
    <w:basedOn w:val="Normal"/>
    <w:rsid w:val="00F511F9"/>
    <w:pPr>
      <w:spacing w:after="20"/>
    </w:pPr>
    <w:rPr>
      <w:rFonts w:cs="Times New Roman"/>
      <w:sz w:val="15"/>
    </w:rPr>
  </w:style>
  <w:style w:type="paragraph" w:customStyle="1" w:styleId="Address-Moriname">
    <w:name w:val="Address - Māori name"/>
    <w:basedOn w:val="Normal"/>
    <w:rsid w:val="00F511F9"/>
    <w:pPr>
      <w:spacing w:after="40"/>
    </w:pPr>
    <w:rPr>
      <w:rFonts w:cs="Times New Roman"/>
      <w:b/>
      <w:bCs/>
      <w:i/>
      <w:iCs/>
      <w:sz w:val="15"/>
    </w:rPr>
  </w:style>
  <w:style w:type="paragraph" w:styleId="ListNumber">
    <w:name w:val="List Number"/>
    <w:basedOn w:val="Normal"/>
    <w:qFormat/>
    <w:rsid w:val="000E7783"/>
    <w:pPr>
      <w:numPr>
        <w:numId w:val="12"/>
      </w:numPr>
      <w:spacing w:after="60"/>
      <w:ind w:left="1134" w:hanging="567"/>
    </w:pPr>
  </w:style>
  <w:style w:type="paragraph" w:styleId="ListNumber2">
    <w:name w:val="List Number 2"/>
    <w:basedOn w:val="Normal"/>
    <w:qFormat/>
    <w:rsid w:val="000E7783"/>
    <w:pPr>
      <w:numPr>
        <w:numId w:val="13"/>
      </w:numPr>
      <w:spacing w:after="60"/>
      <w:ind w:left="1701" w:hanging="567"/>
    </w:pPr>
  </w:style>
  <w:style w:type="paragraph" w:styleId="ListNumber3">
    <w:name w:val="List Number 3"/>
    <w:basedOn w:val="Normal"/>
    <w:rsid w:val="00093F83"/>
    <w:pPr>
      <w:numPr>
        <w:numId w:val="14"/>
      </w:numPr>
      <w:contextualSpacing/>
    </w:pPr>
  </w:style>
  <w:style w:type="paragraph" w:styleId="ListNumber4">
    <w:name w:val="List Number 4"/>
    <w:basedOn w:val="Normal"/>
    <w:rsid w:val="00093F83"/>
    <w:pPr>
      <w:numPr>
        <w:numId w:val="15"/>
      </w:numPr>
      <w:contextualSpacing/>
    </w:pPr>
  </w:style>
  <w:style w:type="paragraph" w:styleId="ListNumber5">
    <w:name w:val="List Number 5"/>
    <w:basedOn w:val="Normal"/>
    <w:rsid w:val="00093F83"/>
    <w:pPr>
      <w:numPr>
        <w:numId w:val="16"/>
      </w:numPr>
      <w:contextualSpacing/>
    </w:pPr>
  </w:style>
  <w:style w:type="paragraph" w:styleId="ListBullet3">
    <w:name w:val="List Bullet 3"/>
    <w:basedOn w:val="Normal"/>
    <w:rsid w:val="00007F7D"/>
    <w:pPr>
      <w:numPr>
        <w:numId w:val="9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727E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7E3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727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qFormat="1"/>
    <w:lsdException w:name="List Number" w:qFormat="1"/>
    <w:lsdException w:name="List Bullet 2" w:qFormat="1"/>
    <w:lsdException w:name="List Number 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A4D"/>
    <w:rPr>
      <w:rFonts w:ascii="Verdana" w:hAnsi="Verdana" w:cs="Arial"/>
      <w:lang w:eastAsia="en-AU"/>
    </w:rPr>
  </w:style>
  <w:style w:type="paragraph" w:styleId="Heading1">
    <w:name w:val="heading 1"/>
    <w:basedOn w:val="Normal"/>
    <w:next w:val="Normal"/>
    <w:qFormat/>
    <w:rsid w:val="00B57DBE"/>
    <w:pPr>
      <w:keepNext/>
      <w:spacing w:before="240" w:after="24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57DBE"/>
    <w:pPr>
      <w:keepNext/>
      <w:spacing w:before="240" w:after="24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57DBE"/>
    <w:pPr>
      <w:keepNext/>
      <w:spacing w:before="240" w:after="240"/>
      <w:outlineLvl w:val="2"/>
    </w:pPr>
    <w:rPr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C6201"/>
  </w:style>
  <w:style w:type="paragraph" w:styleId="BodyText">
    <w:name w:val="Body Text"/>
    <w:basedOn w:val="Normal"/>
    <w:link w:val="BodyTextChar"/>
    <w:rsid w:val="001C6201"/>
    <w:pPr>
      <w:spacing w:after="120"/>
    </w:pPr>
  </w:style>
  <w:style w:type="paragraph" w:styleId="Closing">
    <w:name w:val="Closing"/>
    <w:basedOn w:val="Normal"/>
    <w:rsid w:val="001C6201"/>
  </w:style>
  <w:style w:type="paragraph" w:styleId="Signature">
    <w:name w:val="Signature"/>
    <w:basedOn w:val="Normal"/>
    <w:rsid w:val="001C6201"/>
  </w:style>
  <w:style w:type="table" w:styleId="TableGrid">
    <w:name w:val="Table Grid"/>
    <w:basedOn w:val="TableNormal"/>
    <w:rsid w:val="0020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-Text">
    <w:name w:val="Summary - Text"/>
    <w:rsid w:val="001A7577"/>
    <w:rPr>
      <w:rFonts w:ascii="Verdana" w:hAnsi="Verdana" w:cs="Arial"/>
      <w:lang w:eastAsia="en-AU"/>
    </w:rPr>
  </w:style>
  <w:style w:type="paragraph" w:styleId="Header">
    <w:name w:val="header"/>
    <w:basedOn w:val="Normal"/>
    <w:rsid w:val="00E37B7D"/>
    <w:pP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rsid w:val="00BA2B3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72EC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66181"/>
  </w:style>
  <w:style w:type="character" w:styleId="Hyperlink">
    <w:name w:val="Hyperlink"/>
    <w:basedOn w:val="DefaultParagraphFont"/>
    <w:rsid w:val="006C23EF"/>
    <w:rPr>
      <w:color w:val="0000FF"/>
      <w:u w:val="single"/>
    </w:rPr>
  </w:style>
  <w:style w:type="paragraph" w:customStyle="1" w:styleId="Classification">
    <w:name w:val="Classification"/>
    <w:basedOn w:val="Normal"/>
    <w:rsid w:val="00C55528"/>
  </w:style>
  <w:style w:type="paragraph" w:styleId="ListParagraph">
    <w:name w:val="List Paragraph"/>
    <w:basedOn w:val="Normal"/>
    <w:uiPriority w:val="34"/>
    <w:qFormat/>
    <w:rsid w:val="00B57DBE"/>
    <w:pPr>
      <w:numPr>
        <w:numId w:val="19"/>
      </w:numPr>
      <w:spacing w:after="240"/>
    </w:pPr>
  </w:style>
  <w:style w:type="character" w:customStyle="1" w:styleId="BodyTextChar">
    <w:name w:val="Body Text Char"/>
    <w:basedOn w:val="DefaultParagraphFont"/>
    <w:link w:val="BodyText"/>
    <w:rsid w:val="00A12E12"/>
    <w:rPr>
      <w:rFonts w:ascii="Verdana" w:hAnsi="Verdana" w:cs="Arial"/>
      <w:lang w:eastAsia="en-AU"/>
    </w:rPr>
  </w:style>
  <w:style w:type="paragraph" w:styleId="ListBullet">
    <w:name w:val="List Bullet"/>
    <w:basedOn w:val="Normal"/>
    <w:qFormat/>
    <w:rsid w:val="00007F7D"/>
    <w:pPr>
      <w:numPr>
        <w:ilvl w:val="1"/>
        <w:numId w:val="19"/>
      </w:numPr>
      <w:spacing w:after="60"/>
    </w:pPr>
  </w:style>
  <w:style w:type="paragraph" w:styleId="ListBullet2">
    <w:name w:val="List Bullet 2"/>
    <w:basedOn w:val="Normal"/>
    <w:qFormat/>
    <w:rsid w:val="00007F7D"/>
    <w:pPr>
      <w:numPr>
        <w:ilvl w:val="2"/>
        <w:numId w:val="19"/>
      </w:numPr>
      <w:tabs>
        <w:tab w:val="left" w:pos="1418"/>
      </w:tabs>
      <w:spacing w:after="60"/>
    </w:pPr>
  </w:style>
  <w:style w:type="paragraph" w:customStyle="1" w:styleId="Documenttype">
    <w:name w:val="Document type"/>
    <w:basedOn w:val="Normal"/>
    <w:rsid w:val="00902463"/>
    <w:pPr>
      <w:jc w:val="center"/>
    </w:pPr>
    <w:rPr>
      <w:rFonts w:cs="Times New Roman"/>
      <w:b/>
      <w:bCs/>
      <w:sz w:val="32"/>
    </w:rPr>
  </w:style>
  <w:style w:type="paragraph" w:customStyle="1" w:styleId="Seperatorline">
    <w:name w:val="Seperator line"/>
    <w:basedOn w:val="Normal"/>
    <w:next w:val="Normal"/>
    <w:rsid w:val="00902463"/>
    <w:pPr>
      <w:pBdr>
        <w:top w:val="single" w:sz="4" w:space="1" w:color="auto"/>
      </w:pBdr>
    </w:pPr>
    <w:rPr>
      <w:rFonts w:cs="Times New Roman"/>
    </w:rPr>
  </w:style>
  <w:style w:type="character" w:customStyle="1" w:styleId="Address-Groupname">
    <w:name w:val="Address - Group name"/>
    <w:basedOn w:val="DefaultParagraphFont"/>
    <w:rsid w:val="00F511F9"/>
    <w:rPr>
      <w:b/>
      <w:sz w:val="15"/>
    </w:rPr>
  </w:style>
  <w:style w:type="paragraph" w:customStyle="1" w:styleId="Address">
    <w:name w:val="Address"/>
    <w:basedOn w:val="Normal"/>
    <w:rsid w:val="00F511F9"/>
    <w:pPr>
      <w:spacing w:after="20"/>
    </w:pPr>
    <w:rPr>
      <w:rFonts w:cs="Times New Roman"/>
      <w:sz w:val="15"/>
    </w:rPr>
  </w:style>
  <w:style w:type="paragraph" w:customStyle="1" w:styleId="Address-Moriname">
    <w:name w:val="Address - Māori name"/>
    <w:basedOn w:val="Normal"/>
    <w:rsid w:val="00F511F9"/>
    <w:pPr>
      <w:spacing w:after="40"/>
    </w:pPr>
    <w:rPr>
      <w:rFonts w:cs="Times New Roman"/>
      <w:b/>
      <w:bCs/>
      <w:i/>
      <w:iCs/>
      <w:sz w:val="15"/>
    </w:rPr>
  </w:style>
  <w:style w:type="paragraph" w:styleId="ListNumber">
    <w:name w:val="List Number"/>
    <w:basedOn w:val="Normal"/>
    <w:qFormat/>
    <w:rsid w:val="000E7783"/>
    <w:pPr>
      <w:numPr>
        <w:numId w:val="12"/>
      </w:numPr>
      <w:spacing w:after="60"/>
      <w:ind w:left="1134" w:hanging="567"/>
    </w:pPr>
  </w:style>
  <w:style w:type="paragraph" w:styleId="ListNumber2">
    <w:name w:val="List Number 2"/>
    <w:basedOn w:val="Normal"/>
    <w:qFormat/>
    <w:rsid w:val="000E7783"/>
    <w:pPr>
      <w:numPr>
        <w:numId w:val="13"/>
      </w:numPr>
      <w:spacing w:after="60"/>
      <w:ind w:left="1701" w:hanging="567"/>
    </w:pPr>
  </w:style>
  <w:style w:type="paragraph" w:styleId="ListNumber3">
    <w:name w:val="List Number 3"/>
    <w:basedOn w:val="Normal"/>
    <w:rsid w:val="00093F83"/>
    <w:pPr>
      <w:numPr>
        <w:numId w:val="14"/>
      </w:numPr>
      <w:contextualSpacing/>
    </w:pPr>
  </w:style>
  <w:style w:type="paragraph" w:styleId="ListNumber4">
    <w:name w:val="List Number 4"/>
    <w:basedOn w:val="Normal"/>
    <w:rsid w:val="00093F83"/>
    <w:pPr>
      <w:numPr>
        <w:numId w:val="15"/>
      </w:numPr>
      <w:contextualSpacing/>
    </w:pPr>
  </w:style>
  <w:style w:type="paragraph" w:styleId="ListNumber5">
    <w:name w:val="List Number 5"/>
    <w:basedOn w:val="Normal"/>
    <w:rsid w:val="00093F83"/>
    <w:pPr>
      <w:numPr>
        <w:numId w:val="16"/>
      </w:numPr>
      <w:contextualSpacing/>
    </w:pPr>
  </w:style>
  <w:style w:type="paragraph" w:styleId="ListBullet3">
    <w:name w:val="List Bullet 3"/>
    <w:basedOn w:val="Normal"/>
    <w:rsid w:val="00007F7D"/>
    <w:pPr>
      <w:numPr>
        <w:numId w:val="9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727E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7E3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72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7106</Characters>
  <Application>Microsoft Office Word</Application>
  <DocSecurity>0</DocSecurity>
  <Lines>151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note - BN2017/675: Consideration of the start date for an R&amp;D tax credit (Inland Revenue) (19 December 2017 -  released September 2018)</vt:lpstr>
    </vt:vector>
  </TitlesOfParts>
  <Company>Inland Revenue</Company>
  <LinksUpToDate>false</LinksUpToDate>
  <CharactersWithSpaces>8196</CharactersWithSpaces>
  <SharedDoc>false</SharedDoc>
  <HLinks>
    <vt:vector size="6" baseType="variant">
      <vt:variant>
        <vt:i4>8257662</vt:i4>
      </vt:variant>
      <vt:variant>
        <vt:i4>15</vt:i4>
      </vt:variant>
      <vt:variant>
        <vt:i4>0</vt:i4>
      </vt:variant>
      <vt:variant>
        <vt:i4>5</vt:i4>
      </vt:variant>
      <vt:variant>
        <vt:lpwstr>http://imsprod02/policy-toolkit/resources/guideline-briefing-notes.php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note - BN2017/675: Consideration of the start date for an R&amp;D tax credit (Inland Revenue) (19 December 2017 -  released September 2018)</dc:title>
  <dc:creator>Policy and Strategy</dc:creator>
  <cp:lastModifiedBy>Policy and Strategy, Inland Revenue</cp:lastModifiedBy>
  <cp:revision>2</cp:revision>
  <dcterms:created xsi:type="dcterms:W3CDTF">2018-09-04T02:57:00Z</dcterms:created>
  <dcterms:modified xsi:type="dcterms:W3CDTF">2018-09-04T02:57:00Z</dcterms:modified>
</cp:coreProperties>
</file>