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DD" w:rsidRPr="00625ADD" w:rsidRDefault="000C5519" w:rsidP="00625ADD">
      <w:pPr>
        <w:autoSpaceDE w:val="0"/>
        <w:autoSpaceDN w:val="0"/>
        <w:adjustRightInd w:val="0"/>
        <w:jc w:val="left"/>
        <w:rPr>
          <w:szCs w:val="24"/>
          <w:lang w:val="en-NZ" w:eastAsia="en-NZ"/>
        </w:rPr>
      </w:pPr>
      <w:bookmarkStart w:id="0" w:name="_Toc5777780"/>
      <w:r w:rsidRPr="00872CE7">
        <w:rPr>
          <w:szCs w:val="24"/>
          <w:lang w:val="en-NZ" w:eastAsia="en-NZ"/>
        </w:rPr>
        <w:t>April</w:t>
      </w:r>
      <w:r w:rsidR="00625ADD" w:rsidRPr="00872CE7">
        <w:rPr>
          <w:szCs w:val="24"/>
          <w:lang w:val="en-NZ" w:eastAsia="en-NZ"/>
        </w:rPr>
        <w:t xml:space="preserve"> 2017</w:t>
      </w:r>
      <w:r w:rsidR="00CC4BE7">
        <w:rPr>
          <w:szCs w:val="24"/>
          <w:lang w:val="en-NZ" w:eastAsia="en-NZ"/>
        </w:rPr>
        <w:t xml:space="preserve"> </w:t>
      </w:r>
      <w:r w:rsidR="00CC4BE7" w:rsidRPr="00CC4BE7">
        <w:rPr>
          <w:sz w:val="20"/>
          <w:lang w:val="en-NZ" w:eastAsia="en-NZ"/>
        </w:rPr>
        <w:t>(updated 16 April 2017)</w:t>
      </w:r>
    </w:p>
    <w:p w:rsidR="00625ADD" w:rsidRPr="00960A24" w:rsidRDefault="00625ADD" w:rsidP="00625ADD">
      <w:pPr>
        <w:autoSpaceDE w:val="0"/>
        <w:autoSpaceDN w:val="0"/>
        <w:adjustRightInd w:val="0"/>
        <w:rPr>
          <w:i/>
          <w:iCs/>
          <w:sz w:val="28"/>
          <w:szCs w:val="28"/>
          <w:lang w:val="en-NZ" w:eastAsia="en-NZ"/>
        </w:rPr>
      </w:pPr>
    </w:p>
    <w:p w:rsidR="00625ADD" w:rsidRPr="00960A24" w:rsidRDefault="00625ADD" w:rsidP="00625ADD">
      <w:pPr>
        <w:autoSpaceDE w:val="0"/>
        <w:autoSpaceDN w:val="0"/>
        <w:adjustRightInd w:val="0"/>
        <w:rPr>
          <w:i/>
          <w:iCs/>
          <w:sz w:val="28"/>
          <w:szCs w:val="28"/>
          <w:lang w:val="en-NZ" w:eastAsia="en-NZ"/>
        </w:rPr>
      </w:pPr>
      <w:r w:rsidRPr="00960A24">
        <w:rPr>
          <w:i/>
          <w:iCs/>
          <w:sz w:val="28"/>
          <w:szCs w:val="28"/>
          <w:lang w:val="en-NZ" w:eastAsia="en-NZ"/>
        </w:rPr>
        <w:t>A special report from</w:t>
      </w:r>
    </w:p>
    <w:p w:rsidR="00625ADD" w:rsidRPr="00960A24" w:rsidRDefault="00625ADD" w:rsidP="00625ADD">
      <w:pPr>
        <w:rPr>
          <w:sz w:val="28"/>
          <w:szCs w:val="28"/>
          <w:lang w:val="en-NZ" w:eastAsia="en-NZ"/>
        </w:rPr>
      </w:pPr>
      <w:r w:rsidRPr="00960A24">
        <w:rPr>
          <w:sz w:val="28"/>
          <w:szCs w:val="28"/>
          <w:lang w:val="en-NZ" w:eastAsia="en-NZ"/>
        </w:rPr>
        <w:t>Policy and Strategy, Inland Revenue</w:t>
      </w:r>
    </w:p>
    <w:p w:rsidR="00625ADD" w:rsidRPr="00960A24" w:rsidRDefault="00625ADD" w:rsidP="00625ADD">
      <w:pPr>
        <w:rPr>
          <w:sz w:val="28"/>
          <w:szCs w:val="28"/>
          <w:lang w:val="en-NZ" w:eastAsia="en-NZ"/>
        </w:rPr>
      </w:pPr>
    </w:p>
    <w:p w:rsidR="00625ADD" w:rsidRPr="00625ADD" w:rsidRDefault="00625ADD" w:rsidP="00625ADD">
      <w:pPr>
        <w:rPr>
          <w:szCs w:val="24"/>
          <w:lang w:val="en-NZ" w:eastAsia="en-NZ"/>
        </w:rPr>
      </w:pPr>
    </w:p>
    <w:p w:rsidR="00625ADD" w:rsidRPr="00625ADD" w:rsidRDefault="00625ADD" w:rsidP="00625ADD">
      <w:pPr>
        <w:pBdr>
          <w:top w:val="single" w:sz="18" w:space="10" w:color="auto"/>
          <w:bottom w:val="single" w:sz="8" w:space="10" w:color="auto"/>
        </w:pBdr>
        <w:spacing w:after="120"/>
        <w:rPr>
          <w:b/>
          <w:sz w:val="36"/>
          <w:szCs w:val="36"/>
          <w:lang w:val="en-NZ" w:eastAsia="en-NZ"/>
        </w:rPr>
      </w:pPr>
      <w:bookmarkStart w:id="1" w:name="_GoBack"/>
      <w:bookmarkEnd w:id="1"/>
      <w:r>
        <w:rPr>
          <w:b/>
          <w:sz w:val="36"/>
          <w:szCs w:val="36"/>
          <w:lang w:val="en-NZ" w:eastAsia="en-NZ"/>
        </w:rPr>
        <w:t>NRWT: Related party and branch lending</w:t>
      </w:r>
    </w:p>
    <w:p w:rsidR="00625ADD" w:rsidRPr="002B4ED7" w:rsidRDefault="00625ADD" w:rsidP="00625ADD">
      <w:pPr>
        <w:rPr>
          <w:sz w:val="20"/>
          <w:lang w:val="en-NZ" w:eastAsia="en-NZ"/>
        </w:rPr>
      </w:pPr>
    </w:p>
    <w:p w:rsidR="002B4ED7" w:rsidRPr="002B4ED7" w:rsidRDefault="002B4ED7" w:rsidP="00625ADD">
      <w:pPr>
        <w:rPr>
          <w:sz w:val="20"/>
          <w:lang w:val="en-NZ" w:eastAsia="en-NZ"/>
        </w:rPr>
      </w:pPr>
    </w:p>
    <w:p w:rsidR="00625ADD" w:rsidRPr="00625ADD" w:rsidRDefault="00625ADD" w:rsidP="00625ADD">
      <w:pPr>
        <w:rPr>
          <w:szCs w:val="24"/>
          <w:lang w:val="en-NZ" w:eastAsia="en-NZ"/>
        </w:rPr>
      </w:pPr>
      <w:r w:rsidRPr="00625ADD">
        <w:rPr>
          <w:szCs w:val="24"/>
          <w:lang w:val="en-NZ" w:eastAsia="en-NZ"/>
        </w:rPr>
        <w:t>The Taxation (</w:t>
      </w:r>
      <w:r>
        <w:rPr>
          <w:szCs w:val="24"/>
          <w:lang w:val="en-NZ" w:eastAsia="en-NZ"/>
        </w:rPr>
        <w:t>Annual Rates for 2016</w:t>
      </w:r>
      <w:r w:rsidR="00F41871">
        <w:rPr>
          <w:szCs w:val="24"/>
          <w:lang w:val="en-NZ" w:eastAsia="en-NZ"/>
        </w:rPr>
        <w:t>–</w:t>
      </w:r>
      <w:r>
        <w:rPr>
          <w:szCs w:val="24"/>
          <w:lang w:val="en-NZ" w:eastAsia="en-NZ"/>
        </w:rPr>
        <w:t>17, Closely Held Companies, and Remedial Matters</w:t>
      </w:r>
      <w:r w:rsidRPr="00625ADD">
        <w:rPr>
          <w:szCs w:val="24"/>
          <w:lang w:val="en-NZ" w:eastAsia="en-NZ"/>
        </w:rPr>
        <w:t xml:space="preserve">) Act </w:t>
      </w:r>
      <w:r w:rsidRPr="007669F9">
        <w:rPr>
          <w:szCs w:val="24"/>
          <w:lang w:val="en-NZ" w:eastAsia="en-NZ"/>
        </w:rPr>
        <w:t>2017</w:t>
      </w:r>
      <w:r w:rsidRPr="00625ADD">
        <w:rPr>
          <w:szCs w:val="24"/>
          <w:lang w:val="en-NZ" w:eastAsia="en-NZ"/>
        </w:rPr>
        <w:t xml:space="preserve"> introduced a </w:t>
      </w:r>
      <w:r>
        <w:rPr>
          <w:szCs w:val="24"/>
          <w:lang w:val="en-NZ" w:eastAsia="en-NZ"/>
        </w:rPr>
        <w:t>number of changes to the taxation of interest payments to non-residents</w:t>
      </w:r>
      <w:r w:rsidRPr="00625ADD">
        <w:rPr>
          <w:szCs w:val="24"/>
          <w:lang w:val="en-NZ" w:eastAsia="en-NZ"/>
        </w:rPr>
        <w:t>.</w:t>
      </w:r>
    </w:p>
    <w:p w:rsidR="00625ADD" w:rsidRPr="00960A24" w:rsidRDefault="00625ADD" w:rsidP="00625ADD">
      <w:pPr>
        <w:rPr>
          <w:sz w:val="22"/>
          <w:szCs w:val="22"/>
          <w:lang w:val="en-NZ" w:eastAsia="en-NZ"/>
        </w:rPr>
      </w:pPr>
    </w:p>
    <w:p w:rsidR="00625ADD" w:rsidRPr="00625ADD" w:rsidRDefault="00625ADD" w:rsidP="00625ADD">
      <w:pPr>
        <w:rPr>
          <w:szCs w:val="24"/>
          <w:lang w:val="en-NZ" w:eastAsia="en-NZ"/>
        </w:rPr>
      </w:pPr>
      <w:proofErr w:type="gramStart"/>
      <w:r w:rsidRPr="00625ADD">
        <w:rPr>
          <w:szCs w:val="24"/>
          <w:lang w:val="en-NZ" w:eastAsia="en-NZ"/>
        </w:rPr>
        <w:t xml:space="preserve">This special report provides early information on the new </w:t>
      </w:r>
      <w:r>
        <w:rPr>
          <w:szCs w:val="24"/>
          <w:lang w:val="en-NZ" w:eastAsia="en-NZ"/>
        </w:rPr>
        <w:t>NRWT and AIL</w:t>
      </w:r>
      <w:proofErr w:type="gramEnd"/>
      <w:r w:rsidRPr="00625ADD">
        <w:rPr>
          <w:szCs w:val="24"/>
          <w:lang w:val="en-NZ" w:eastAsia="en-NZ"/>
        </w:rPr>
        <w:t xml:space="preserve"> rules, and precedes full coverage of the new legislation in the </w:t>
      </w:r>
      <w:r w:rsidR="000C5519" w:rsidRPr="00872CE7">
        <w:rPr>
          <w:szCs w:val="24"/>
          <w:lang w:val="en-NZ" w:eastAsia="en-NZ"/>
        </w:rPr>
        <w:t>June</w:t>
      </w:r>
      <w:r w:rsidRPr="00625ADD">
        <w:rPr>
          <w:szCs w:val="24"/>
          <w:lang w:val="en-NZ" w:eastAsia="en-NZ"/>
        </w:rPr>
        <w:t xml:space="preserve"> edition of the </w:t>
      </w:r>
      <w:r w:rsidRPr="00625ADD">
        <w:rPr>
          <w:i/>
          <w:szCs w:val="24"/>
          <w:lang w:val="en-NZ" w:eastAsia="en-NZ"/>
        </w:rPr>
        <w:t>Tax Information Bulletin</w:t>
      </w:r>
      <w:r w:rsidRPr="00625ADD">
        <w:rPr>
          <w:szCs w:val="24"/>
          <w:lang w:val="en-NZ" w:eastAsia="en-NZ"/>
        </w:rPr>
        <w:t>.</w:t>
      </w:r>
    </w:p>
    <w:p w:rsidR="00625ADD" w:rsidRPr="00643520" w:rsidRDefault="00625ADD" w:rsidP="00643520">
      <w:pPr>
        <w:rPr>
          <w:sz w:val="22"/>
          <w:szCs w:val="22"/>
          <w:lang w:val="en-NZ" w:eastAsia="en-NZ"/>
        </w:rPr>
      </w:pPr>
    </w:p>
    <w:bookmarkEnd w:id="0"/>
    <w:p w:rsidR="00625ADD" w:rsidRPr="00960A24" w:rsidRDefault="00625ADD" w:rsidP="00643520">
      <w:pPr>
        <w:pStyle w:val="Heading2"/>
      </w:pPr>
      <w:r w:rsidRPr="00960A24">
        <w:t>Background</w:t>
      </w:r>
    </w:p>
    <w:p w:rsidR="00625ADD" w:rsidRPr="00260412" w:rsidRDefault="00625ADD" w:rsidP="00625ADD">
      <w:pPr>
        <w:rPr>
          <w:lang w:val="en-NZ"/>
        </w:rPr>
      </w:pPr>
    </w:p>
    <w:p w:rsidR="00625ADD" w:rsidRPr="00260412" w:rsidRDefault="00625ADD" w:rsidP="00625ADD">
      <w:r w:rsidRPr="00260412">
        <w:t xml:space="preserve">New Zealand imposes non-resident withholding tax (NRWT) on New Zealand-sourced interest paid to foreign lenders.  The rate is 15%, usually reduced to 10% if the lender is resident in a country with which New Zealand has a double tax agreement.  </w:t>
      </w:r>
      <w:r w:rsidR="00A430E6">
        <w:t>An</w:t>
      </w:r>
      <w:r w:rsidRPr="00260412">
        <w:t xml:space="preserve"> obligation to withhold falls on the New Zealand borrower.  NRWT is still</w:t>
      </w:r>
      <w:r>
        <w:t xml:space="preserve"> </w:t>
      </w:r>
      <w:r w:rsidRPr="00260412">
        <w:t>a tax on the foreign investor and they will usually get a credit for the New Zealand tax against the tax they pay on the interest in their home jurisdiction.</w:t>
      </w:r>
    </w:p>
    <w:p w:rsidR="00625ADD" w:rsidRPr="00960A24" w:rsidRDefault="00625ADD" w:rsidP="00625ADD">
      <w:pPr>
        <w:rPr>
          <w:sz w:val="22"/>
          <w:szCs w:val="22"/>
        </w:rPr>
      </w:pPr>
    </w:p>
    <w:p w:rsidR="00625ADD" w:rsidRPr="00260412" w:rsidRDefault="00625ADD" w:rsidP="00625ADD">
      <w:r w:rsidRPr="00260412">
        <w:t xml:space="preserve">A New Zealand borrower can elect to pay the 2% approved issuer levy (AIL) instead of withholding NRWT but only if they are borrowing from an unrelated lender – such as a foreign bank.  Foreign lenders cannot claim a credit for AIL against home jurisdiction tax.  This means it can be more </w:t>
      </w:r>
      <w:r w:rsidR="00A430E6">
        <w:t>tax-</w:t>
      </w:r>
      <w:r w:rsidRPr="00260412">
        <w:t>efficient for NRWT to be paid rather than AIL.</w:t>
      </w:r>
    </w:p>
    <w:p w:rsidR="00625ADD" w:rsidRPr="00960A24" w:rsidRDefault="00625ADD" w:rsidP="00625ADD">
      <w:pPr>
        <w:rPr>
          <w:sz w:val="22"/>
          <w:szCs w:val="22"/>
        </w:rPr>
      </w:pPr>
    </w:p>
    <w:p w:rsidR="00625ADD" w:rsidRDefault="00625ADD" w:rsidP="00625ADD">
      <w:pPr>
        <w:jc w:val="left"/>
      </w:pPr>
      <w:r w:rsidRPr="00260412">
        <w:t xml:space="preserve">Broadly speaking, there are </w:t>
      </w:r>
      <w:r w:rsidR="00483183">
        <w:t>two</w:t>
      </w:r>
      <w:r w:rsidRPr="00260412">
        <w:t xml:space="preserve"> parts to the reform package:</w:t>
      </w:r>
    </w:p>
    <w:p w:rsidR="00625ADD" w:rsidRPr="00960A24" w:rsidRDefault="00625ADD" w:rsidP="00625ADD">
      <w:pPr>
        <w:jc w:val="left"/>
        <w:rPr>
          <w:sz w:val="22"/>
          <w:szCs w:val="22"/>
        </w:rPr>
      </w:pPr>
    </w:p>
    <w:p w:rsidR="00625ADD" w:rsidRPr="00260412" w:rsidRDefault="00625ADD" w:rsidP="00571AE9">
      <w:pPr>
        <w:pStyle w:val="Bullets"/>
      </w:pPr>
      <w:r>
        <w:t>c</w:t>
      </w:r>
      <w:r w:rsidRPr="00260412">
        <w:t>hanges to the NRWT rules</w:t>
      </w:r>
      <w:r w:rsidR="004B3D18">
        <w:t xml:space="preserve"> generally to bring the rules dealing with timing and quantification of income subject to NRWT in line with the FA rules</w:t>
      </w:r>
      <w:r w:rsidR="00483183">
        <w:t xml:space="preserve">; </w:t>
      </w:r>
      <w:r w:rsidRPr="00260412">
        <w:t>and</w:t>
      </w:r>
    </w:p>
    <w:p w:rsidR="00625ADD" w:rsidRPr="00260412" w:rsidRDefault="00625ADD" w:rsidP="00625ADD">
      <w:pPr>
        <w:pStyle w:val="Bullets"/>
        <w:spacing w:after="0"/>
      </w:pPr>
      <w:proofErr w:type="gramStart"/>
      <w:r>
        <w:t>c</w:t>
      </w:r>
      <w:r w:rsidRPr="00260412">
        <w:t>hanges</w:t>
      </w:r>
      <w:proofErr w:type="gramEnd"/>
      <w:r w:rsidRPr="00260412">
        <w:t xml:space="preserve"> to the NRWT/AIL rules</w:t>
      </w:r>
      <w:r w:rsidR="00FE1D57">
        <w:t>,</w:t>
      </w:r>
      <w:r w:rsidRPr="00260412">
        <w:t xml:space="preserve"> which particularly affect branch structures.</w:t>
      </w:r>
    </w:p>
    <w:p w:rsidR="00625ADD" w:rsidRPr="00960A24" w:rsidRDefault="00625ADD" w:rsidP="00625ADD">
      <w:pPr>
        <w:rPr>
          <w:sz w:val="22"/>
          <w:szCs w:val="22"/>
        </w:rPr>
      </w:pPr>
    </w:p>
    <w:p w:rsidR="00625ADD" w:rsidRPr="00960A24" w:rsidRDefault="00483183" w:rsidP="00625ADD">
      <w:pPr>
        <w:rPr>
          <w:spacing w:val="-2"/>
        </w:rPr>
      </w:pPr>
      <w:r w:rsidRPr="00960A24">
        <w:rPr>
          <w:spacing w:val="-2"/>
        </w:rPr>
        <w:t>The</w:t>
      </w:r>
      <w:r w:rsidR="00625ADD" w:rsidRPr="00960A24">
        <w:rPr>
          <w:spacing w:val="-2"/>
        </w:rPr>
        <w:t xml:space="preserve"> NRWT reform is about correcting anomalies in the rules to level the playing field for taxpayers to whom the NRWT rules apply (or are intended to apply).  The changes focus on ensuring that an NRWT liability arises on interest on related party debt at approximately the same time that an income tax deduction is available to the borrower for that interest.  Under the </w:t>
      </w:r>
      <w:r w:rsidRPr="00960A24">
        <w:rPr>
          <w:spacing w:val="-2"/>
        </w:rPr>
        <w:t>previous</w:t>
      </w:r>
      <w:r w:rsidR="00625ADD" w:rsidRPr="00960A24">
        <w:rPr>
          <w:spacing w:val="-2"/>
        </w:rPr>
        <w:t xml:space="preserve"> rules a number of structures delay or remove the liability for NRWT or replace it with AIL.  Changes </w:t>
      </w:r>
      <w:r w:rsidRPr="00960A24">
        <w:rPr>
          <w:spacing w:val="-2"/>
        </w:rPr>
        <w:t xml:space="preserve">have also been introduced </w:t>
      </w:r>
      <w:r w:rsidR="00625ADD" w:rsidRPr="00960A24">
        <w:rPr>
          <w:spacing w:val="-2"/>
        </w:rPr>
        <w:t>for related party lending by New Zealand banks.</w:t>
      </w:r>
    </w:p>
    <w:p w:rsidR="00625ADD" w:rsidRPr="00960A24" w:rsidRDefault="00625ADD" w:rsidP="00625ADD">
      <w:pPr>
        <w:rPr>
          <w:sz w:val="22"/>
          <w:szCs w:val="22"/>
        </w:rPr>
      </w:pPr>
    </w:p>
    <w:p w:rsidR="00625ADD" w:rsidRPr="00960A24" w:rsidRDefault="00625ADD" w:rsidP="00625ADD">
      <w:pPr>
        <w:rPr>
          <w:spacing w:val="-2"/>
        </w:rPr>
      </w:pPr>
      <w:r w:rsidRPr="00960A24">
        <w:rPr>
          <w:spacing w:val="-2"/>
        </w:rPr>
        <w:t xml:space="preserve">The branch </w:t>
      </w:r>
      <w:r w:rsidR="00483183" w:rsidRPr="00960A24">
        <w:rPr>
          <w:spacing w:val="-2"/>
        </w:rPr>
        <w:t>changes level</w:t>
      </w:r>
      <w:r w:rsidRPr="00960A24">
        <w:rPr>
          <w:spacing w:val="-2"/>
        </w:rPr>
        <w:t xml:space="preserve"> the playing field between certain borrowers who can step around AIL and NRWT by operating an onshore or offshore branch, and other borrowers who cannot and are therefore subject to NRWT or AIL on interest paid to non-resident lenders.  Much of the interest on funding that flows through a branch structure is ultimately paid to unrelated parties and will become subject to AIL although NRWT will continue to be available.  One kind of structure involving related party lending and onshore branches </w:t>
      </w:r>
      <w:r w:rsidR="00483183" w:rsidRPr="00960A24">
        <w:rPr>
          <w:spacing w:val="-2"/>
        </w:rPr>
        <w:t>is now</w:t>
      </w:r>
      <w:r w:rsidRPr="00960A24">
        <w:rPr>
          <w:spacing w:val="-2"/>
        </w:rPr>
        <w:t xml:space="preserve"> subject to NRWT.</w:t>
      </w:r>
    </w:p>
    <w:p w:rsidR="00483183" w:rsidRDefault="00483183" w:rsidP="00625ADD">
      <w:r>
        <w:lastRenderedPageBreak/>
        <w:t>Proposals for these changes were consulted on in an officials</w:t>
      </w:r>
      <w:r w:rsidR="00CF7EDE">
        <w:t>’</w:t>
      </w:r>
      <w:r>
        <w:t xml:space="preserve"> issues paper, </w:t>
      </w:r>
      <w:r>
        <w:rPr>
          <w:i/>
        </w:rPr>
        <w:t>NRWT: Related party and branch lending</w:t>
      </w:r>
      <w:r>
        <w:t xml:space="preserve">, released in May 2015.  Twenty-two submissions were received.  </w:t>
      </w:r>
      <w:r w:rsidR="002A4FCD">
        <w:t xml:space="preserve">Separate targeted consultation was subsequently held with the banking sector on the onshore branch notional interest proposals.  </w:t>
      </w:r>
      <w:r>
        <w:t xml:space="preserve">Feedback from </w:t>
      </w:r>
      <w:r w:rsidR="002A4FCD">
        <w:t xml:space="preserve">both </w:t>
      </w:r>
      <w:r>
        <w:t>consultation</w:t>
      </w:r>
      <w:r w:rsidR="002A4FCD">
        <w:t>s</w:t>
      </w:r>
      <w:r>
        <w:t xml:space="preserve"> helped to shape</w:t>
      </w:r>
      <w:r w:rsidR="002A4FCD">
        <w:t xml:space="preserve"> the NRWT and AIL amendments in the new legislation</w:t>
      </w:r>
      <w:r w:rsidR="00FE1D57">
        <w:t>,</w:t>
      </w:r>
      <w:r w:rsidR="002A4FCD">
        <w:t xml:space="preserve"> which was introduced in the Taxation (Annual Rates for 2016</w:t>
      </w:r>
      <w:r w:rsidR="00FE1D57">
        <w:t>–</w:t>
      </w:r>
      <w:r w:rsidR="002A4FCD">
        <w:t>17, Closely Held Companies, and Remedial Matters) Bill on 3 May 2016.</w:t>
      </w:r>
    </w:p>
    <w:p w:rsidR="007D25F5" w:rsidRDefault="007D25F5" w:rsidP="00625ADD"/>
    <w:p w:rsidR="007D25F5" w:rsidRPr="00483183" w:rsidRDefault="007D25F5" w:rsidP="00625ADD">
      <w:r>
        <w:t>Further refinements to the proposals were recommended</w:t>
      </w:r>
      <w:r w:rsidR="00A430E6">
        <w:t xml:space="preserve"> by the Finance and Expenditure</w:t>
      </w:r>
      <w:r>
        <w:t xml:space="preserve"> Committee in response to submissions made at the select committee stage of the bill.  The main recommendations included:</w:t>
      </w:r>
    </w:p>
    <w:p w:rsidR="007D25F5" w:rsidRDefault="007D25F5" w:rsidP="00625ADD"/>
    <w:p w:rsidR="007D25F5" w:rsidRDefault="00FE1D57" w:rsidP="007D25F5">
      <w:pPr>
        <w:pStyle w:val="Bullets"/>
      </w:pPr>
      <w:r>
        <w:t>a</w:t>
      </w:r>
      <w:r w:rsidR="007D25F5">
        <w:t xml:space="preserve"> number of drafting changes to ensure the rules operate as intended and to assist </w:t>
      </w:r>
      <w:r w:rsidR="00D73EBA">
        <w:t>interpretation;</w:t>
      </w:r>
    </w:p>
    <w:p w:rsidR="007D25F5" w:rsidRDefault="00FE1D57" w:rsidP="007D25F5">
      <w:pPr>
        <w:pStyle w:val="Bullets"/>
      </w:pPr>
      <w:r>
        <w:t>r</w:t>
      </w:r>
      <w:r w:rsidR="007D25F5">
        <w:t>equiring the non-resident financial arrangement income (</w:t>
      </w:r>
      <w:proofErr w:type="spellStart"/>
      <w:r w:rsidR="007D25F5">
        <w:t>NRFAI</w:t>
      </w:r>
      <w:proofErr w:type="spellEnd"/>
      <w:r w:rsidR="007D25F5">
        <w:t>) amount to be calculated under another spreading method if the borrower uses the fair value method</w:t>
      </w:r>
      <w:r w:rsidR="00D73EBA">
        <w:t xml:space="preserve"> or the market valuation method;</w:t>
      </w:r>
    </w:p>
    <w:p w:rsidR="00D73EBA" w:rsidRDefault="00FE1D57" w:rsidP="007D25F5">
      <w:pPr>
        <w:pStyle w:val="Bullets"/>
      </w:pPr>
      <w:r>
        <w:t>r</w:t>
      </w:r>
      <w:r w:rsidR="007D25F5">
        <w:t xml:space="preserve">emoving amounts </w:t>
      </w:r>
      <w:r w:rsidR="00D73EBA">
        <w:t xml:space="preserve">from </w:t>
      </w:r>
      <w:proofErr w:type="spellStart"/>
      <w:r w:rsidR="00D73EBA">
        <w:t>NRFAI</w:t>
      </w:r>
      <w:proofErr w:type="spellEnd"/>
      <w:r w:rsidR="00D73EBA">
        <w:t xml:space="preserve"> </w:t>
      </w:r>
      <w:r w:rsidR="007D25F5">
        <w:t xml:space="preserve">that have not and will not be received </w:t>
      </w:r>
      <w:r w:rsidR="00D73EBA">
        <w:t>by the borrower;</w:t>
      </w:r>
    </w:p>
    <w:p w:rsidR="00D73EBA" w:rsidRDefault="00FE1D57" w:rsidP="007D25F5">
      <w:pPr>
        <w:pStyle w:val="Bullets"/>
      </w:pPr>
      <w:r>
        <w:t>r</w:t>
      </w:r>
      <w:r w:rsidR="00D73EBA">
        <w:t xml:space="preserve">emoving lending by a non-resident through their New Zealand branch from the scope of the </w:t>
      </w:r>
      <w:proofErr w:type="spellStart"/>
      <w:r w:rsidR="00D73EBA">
        <w:t>NRFAI</w:t>
      </w:r>
      <w:proofErr w:type="spellEnd"/>
      <w:r w:rsidR="00D73EBA">
        <w:t xml:space="preserve"> rules;</w:t>
      </w:r>
    </w:p>
    <w:p w:rsidR="00D73EBA" w:rsidRDefault="00FE1D57" w:rsidP="007D25F5">
      <w:pPr>
        <w:pStyle w:val="Bullets"/>
      </w:pPr>
      <w:r>
        <w:t>a</w:t>
      </w:r>
      <w:r w:rsidR="00D73EBA">
        <w:t>dding an intention test to the back-to-back loan provision;</w:t>
      </w:r>
    </w:p>
    <w:p w:rsidR="00D73EBA" w:rsidRDefault="00FE1D57" w:rsidP="007D25F5">
      <w:pPr>
        <w:pStyle w:val="Bullets"/>
      </w:pPr>
      <w:r>
        <w:t>c</w:t>
      </w:r>
      <w:r w:rsidR="00392751">
        <w:t>larifying and reducing the obligations of a direct lender that is party to a back-to-back loan;</w:t>
      </w:r>
    </w:p>
    <w:p w:rsidR="00392751" w:rsidRDefault="00FE1D57" w:rsidP="007D25F5">
      <w:pPr>
        <w:pStyle w:val="Bullets"/>
      </w:pPr>
      <w:r>
        <w:t>c</w:t>
      </w:r>
      <w:r w:rsidR="00392751">
        <w:t>larifying that the back-to-back loan provisions apply only when the debt is not already between related parties;</w:t>
      </w:r>
    </w:p>
    <w:p w:rsidR="00392751" w:rsidRDefault="00FE1D57" w:rsidP="007D25F5">
      <w:pPr>
        <w:pStyle w:val="Bullets"/>
      </w:pPr>
      <w:r>
        <w:t>r</w:t>
      </w:r>
      <w:r w:rsidR="00392751">
        <w:t>emoving interest amounts that are already subject to AIL from the notional loan rules;</w:t>
      </w:r>
    </w:p>
    <w:p w:rsidR="00392751" w:rsidRDefault="00FE1D57" w:rsidP="007D25F5">
      <w:pPr>
        <w:pStyle w:val="Bullets"/>
      </w:pPr>
      <w:r>
        <w:t>m</w:t>
      </w:r>
      <w:r w:rsidR="00A21937">
        <w:t>ov</w:t>
      </w:r>
      <w:r w:rsidR="00392751">
        <w:t xml:space="preserve">ing the </w:t>
      </w:r>
      <w:r w:rsidR="00A21937">
        <w:t>date of</w:t>
      </w:r>
      <w:r w:rsidR="00392751">
        <w:t xml:space="preserve"> the notional interest payment from the end of the income year to the end of the third month following the income year;</w:t>
      </w:r>
    </w:p>
    <w:p w:rsidR="00392751" w:rsidRDefault="00FE1D57" w:rsidP="007D25F5">
      <w:pPr>
        <w:pStyle w:val="Bullets"/>
      </w:pPr>
      <w:r>
        <w:t>e</w:t>
      </w:r>
      <w:r w:rsidR="00392751">
        <w:t xml:space="preserve">xtending the </w:t>
      </w:r>
      <w:r>
        <w:t>five-</w:t>
      </w:r>
      <w:r w:rsidR="00392751">
        <w:t>year grandparenting of the onshore branch changes to certain securitisation vehicles that raise funding from third parties to provide to other third parties; and</w:t>
      </w:r>
    </w:p>
    <w:p w:rsidR="00392751" w:rsidRDefault="0080457E" w:rsidP="007D25F5">
      <w:pPr>
        <w:pStyle w:val="Bullets"/>
      </w:pPr>
      <w:proofErr w:type="gramStart"/>
      <w:r>
        <w:t>r</w:t>
      </w:r>
      <w:r w:rsidR="00392751">
        <w:t>emoving</w:t>
      </w:r>
      <w:proofErr w:type="gramEnd"/>
      <w:r w:rsidR="00392751">
        <w:t xml:space="preserve"> the AIL registration proposals.</w:t>
      </w:r>
    </w:p>
    <w:p w:rsidR="00923A1F" w:rsidRDefault="00923A1F" w:rsidP="00923A1F">
      <w:pPr>
        <w:pStyle w:val="Bullets"/>
        <w:numPr>
          <w:ilvl w:val="0"/>
          <w:numId w:val="0"/>
        </w:numPr>
      </w:pPr>
    </w:p>
    <w:p w:rsidR="00625ADD" w:rsidRPr="00260412" w:rsidRDefault="00625ADD" w:rsidP="007D25F5">
      <w:pPr>
        <w:pStyle w:val="Bullets"/>
      </w:pPr>
      <w:r w:rsidRPr="00260412">
        <w:br w:type="page"/>
      </w:r>
    </w:p>
    <w:p w:rsidR="00625ADD" w:rsidRPr="00260412" w:rsidRDefault="00625ADD" w:rsidP="00625ADD">
      <w:pPr>
        <w:pStyle w:val="Heading1"/>
      </w:pPr>
      <w:bookmarkStart w:id="2" w:name="_Toc449606447"/>
      <w:r w:rsidRPr="00260412">
        <w:lastRenderedPageBreak/>
        <w:t>Interest on related party lending</w:t>
      </w:r>
      <w:bookmarkEnd w:id="2"/>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In broad terms, the </w:t>
      </w:r>
      <w:r w:rsidR="00E73907">
        <w:rPr>
          <w:lang w:val="en-NZ"/>
        </w:rPr>
        <w:t>amendments address</w:t>
      </w:r>
      <w:r w:rsidRPr="00260412">
        <w:rPr>
          <w:lang w:val="en-NZ"/>
        </w:rPr>
        <w:t xml:space="preserve"> </w:t>
      </w:r>
      <w:r w:rsidR="00CF7EDE">
        <w:rPr>
          <w:lang w:val="en-NZ"/>
        </w:rPr>
        <w:t>“</w:t>
      </w:r>
      <w:r w:rsidRPr="00260412">
        <w:rPr>
          <w:lang w:val="en-NZ"/>
        </w:rPr>
        <w:t>holes</w:t>
      </w:r>
      <w:r w:rsidR="00CF7EDE">
        <w:rPr>
          <w:lang w:val="en-NZ"/>
        </w:rPr>
        <w:t>”</w:t>
      </w:r>
      <w:r w:rsidRPr="00260412">
        <w:rPr>
          <w:lang w:val="en-NZ"/>
        </w:rPr>
        <w:t xml:space="preserve"> in the NRWT base to ensure that the tax applies evenly to economically similar and easily substitutable transactions</w:t>
      </w:r>
      <w:r>
        <w:rPr>
          <w:lang w:val="en-NZ"/>
        </w:rPr>
        <w:t xml:space="preserve">.  </w:t>
      </w:r>
      <w:r w:rsidR="00D418D1">
        <w:rPr>
          <w:lang w:val="en-NZ"/>
        </w:rPr>
        <w:t>They</w:t>
      </w:r>
      <w:r w:rsidRPr="00260412">
        <w:rPr>
          <w:lang w:val="en-NZ"/>
        </w:rPr>
        <w:t xml:space="preserve"> d</w:t>
      </w:r>
      <w:r w:rsidR="00A430E6">
        <w:rPr>
          <w:lang w:val="en-NZ"/>
        </w:rPr>
        <w:t>o</w:t>
      </w:r>
      <w:r w:rsidRPr="00260412">
        <w:rPr>
          <w:lang w:val="en-NZ"/>
        </w:rPr>
        <w:t xml:space="preserve"> not attempt to expand the NRWT base beyond its target of associated party interest, or </w:t>
      </w:r>
      <w:r w:rsidR="00A430E6">
        <w:rPr>
          <w:lang w:val="en-NZ"/>
        </w:rPr>
        <w:t>interest</w:t>
      </w:r>
      <w:r w:rsidRPr="00260412">
        <w:rPr>
          <w:lang w:val="en-NZ"/>
        </w:rPr>
        <w:t xml:space="preserve"> which is logically indistinguishable from associated party interest.</w:t>
      </w:r>
    </w:p>
    <w:p w:rsidR="00625ADD" w:rsidRPr="00260412" w:rsidRDefault="00625ADD" w:rsidP="00625ADD">
      <w:pPr>
        <w:rPr>
          <w:lang w:val="en-NZ"/>
        </w:rPr>
      </w:pPr>
    </w:p>
    <w:p w:rsidR="00625ADD" w:rsidRPr="00260412" w:rsidRDefault="00E73907" w:rsidP="00625ADD">
      <w:pPr>
        <w:rPr>
          <w:lang w:val="en-NZ"/>
        </w:rPr>
      </w:pPr>
      <w:r>
        <w:rPr>
          <w:lang w:val="en-NZ"/>
        </w:rPr>
        <w:t>Previously</w:t>
      </w:r>
      <w:r w:rsidR="00625ADD" w:rsidRPr="00260412">
        <w:rPr>
          <w:lang w:val="en-NZ"/>
        </w:rPr>
        <w:t xml:space="preserve">, differences in the </w:t>
      </w:r>
      <w:r w:rsidR="00A430E6">
        <w:rPr>
          <w:lang w:val="en-NZ"/>
        </w:rPr>
        <w:t xml:space="preserve">timing of payments made under </w:t>
      </w:r>
      <w:r w:rsidR="00625ADD" w:rsidRPr="00260412">
        <w:rPr>
          <w:lang w:val="en-NZ"/>
        </w:rPr>
        <w:t xml:space="preserve">a loan from a non-resident parent company to its </w:t>
      </w:r>
      <w:r w:rsidR="00625ADD">
        <w:rPr>
          <w:lang w:val="en-NZ"/>
        </w:rPr>
        <w:t>New Zealand</w:t>
      </w:r>
      <w:r w:rsidR="00625ADD" w:rsidRPr="00260412">
        <w:rPr>
          <w:lang w:val="en-NZ"/>
        </w:rPr>
        <w:t xml:space="preserve"> subsidiary result</w:t>
      </w:r>
      <w:r>
        <w:rPr>
          <w:lang w:val="en-NZ"/>
        </w:rPr>
        <w:t>ed</w:t>
      </w:r>
      <w:r w:rsidR="00625ADD" w:rsidRPr="00260412">
        <w:rPr>
          <w:lang w:val="en-NZ"/>
        </w:rPr>
        <w:t xml:space="preserve"> in very different NRWT outcomes.  For example, on an ordinary interest-paying loan</w:t>
      </w:r>
      <w:r w:rsidR="00625ADD">
        <w:rPr>
          <w:lang w:val="en-NZ"/>
        </w:rPr>
        <w:t>,</w:t>
      </w:r>
      <w:r w:rsidR="00625ADD" w:rsidRPr="00260412">
        <w:rPr>
          <w:lang w:val="en-NZ"/>
        </w:rPr>
        <w:t xml:space="preserve"> NRWT is payable every time interest is paid.  However, for a zero-coupon bond</w:t>
      </w:r>
      <w:r w:rsidR="00625ADD">
        <w:rPr>
          <w:lang w:val="en-NZ"/>
        </w:rPr>
        <w:t>,</w:t>
      </w:r>
      <w:r w:rsidR="00625ADD" w:rsidRPr="00260412">
        <w:rPr>
          <w:lang w:val="en-NZ"/>
        </w:rPr>
        <w:t xml:space="preserve"> NRWT </w:t>
      </w:r>
      <w:r w:rsidR="00D418D1">
        <w:rPr>
          <w:lang w:val="en-NZ"/>
        </w:rPr>
        <w:t>wa</w:t>
      </w:r>
      <w:r w:rsidR="00625ADD" w:rsidRPr="00260412">
        <w:rPr>
          <w:lang w:val="en-NZ"/>
        </w:rPr>
        <w:t>s not payable until the bond mature</w:t>
      </w:r>
      <w:r w:rsidR="00D418D1">
        <w:rPr>
          <w:lang w:val="en-NZ"/>
        </w:rPr>
        <w:t>d</w:t>
      </w:r>
      <w:r w:rsidR="00625ADD" w:rsidRPr="00260412">
        <w:rPr>
          <w:lang w:val="en-NZ"/>
        </w:rPr>
        <w:t xml:space="preserve">.  This difference in the NRWT treatment </w:t>
      </w:r>
      <w:r w:rsidR="00D418D1">
        <w:rPr>
          <w:lang w:val="en-NZ"/>
        </w:rPr>
        <w:t>wa</w:t>
      </w:r>
      <w:r w:rsidR="00625ADD" w:rsidRPr="00260412">
        <w:rPr>
          <w:lang w:val="en-NZ"/>
        </w:rPr>
        <w:t xml:space="preserve">s not mirrored in the income tax treatment for the borrower.  The deduction for the borrower in an interest-bearing loan is similar to the deduction for the borrower in a zero-coupon bond.  The deferral of the NRWT impost compared </w:t>
      </w:r>
      <w:r w:rsidR="00625ADD">
        <w:rPr>
          <w:lang w:val="en-NZ"/>
        </w:rPr>
        <w:t>with</w:t>
      </w:r>
      <w:r>
        <w:rPr>
          <w:lang w:val="en-NZ"/>
        </w:rPr>
        <w:t xml:space="preserve"> the income tax benefit provided</w:t>
      </w:r>
      <w:r w:rsidR="00625ADD">
        <w:rPr>
          <w:lang w:val="en-NZ"/>
        </w:rPr>
        <w:t xml:space="preserve"> a significant timing benefit.</w:t>
      </w:r>
    </w:p>
    <w:p w:rsidR="00625ADD" w:rsidRPr="00260412" w:rsidRDefault="00625ADD" w:rsidP="00625ADD">
      <w:pPr>
        <w:rPr>
          <w:lang w:val="en-NZ"/>
        </w:rPr>
      </w:pPr>
    </w:p>
    <w:p w:rsidR="00625ADD" w:rsidRPr="00260412" w:rsidRDefault="00625ADD" w:rsidP="00625ADD">
      <w:pPr>
        <w:rPr>
          <w:lang w:val="en-NZ"/>
        </w:rPr>
      </w:pPr>
      <w:r w:rsidRPr="00260412">
        <w:rPr>
          <w:lang w:val="en-NZ"/>
        </w:rPr>
        <w:t>Another issue ar</w:t>
      </w:r>
      <w:r w:rsidR="00E73907">
        <w:rPr>
          <w:lang w:val="en-NZ"/>
        </w:rPr>
        <w:t>o</w:t>
      </w:r>
      <w:r w:rsidRPr="00260412">
        <w:rPr>
          <w:lang w:val="en-NZ"/>
        </w:rPr>
        <w:t xml:space="preserve">se with the boundary between NRWT and AIL.  While AIL is unavailable when the </w:t>
      </w:r>
      <w:r>
        <w:rPr>
          <w:lang w:val="en-NZ"/>
        </w:rPr>
        <w:t>New Zealand</w:t>
      </w:r>
      <w:r w:rsidRPr="00260412">
        <w:rPr>
          <w:lang w:val="en-NZ"/>
        </w:rPr>
        <w:t xml:space="preserve"> borrower is controlled </w:t>
      </w:r>
      <w:r w:rsidR="00E73907">
        <w:rPr>
          <w:lang w:val="en-NZ"/>
        </w:rPr>
        <w:t>by the non-resident lender, it wa</w:t>
      </w:r>
      <w:r w:rsidRPr="00260412">
        <w:rPr>
          <w:lang w:val="en-NZ"/>
        </w:rPr>
        <w:t xml:space="preserve">s available when a group of lenders </w:t>
      </w:r>
      <w:r w:rsidR="00F51BEE">
        <w:rPr>
          <w:lang w:val="en-NZ"/>
        </w:rPr>
        <w:t>we</w:t>
      </w:r>
      <w:r w:rsidRPr="00260412">
        <w:rPr>
          <w:lang w:val="en-NZ"/>
        </w:rPr>
        <w:t>re acting together and contro</w:t>
      </w:r>
      <w:r w:rsidR="00D418D1">
        <w:rPr>
          <w:lang w:val="en-NZ"/>
        </w:rPr>
        <w:t>l</w:t>
      </w:r>
      <w:r w:rsidRPr="00260412">
        <w:rPr>
          <w:lang w:val="en-NZ"/>
        </w:rPr>
        <w:t>l</w:t>
      </w:r>
      <w:r w:rsidR="00F51BEE">
        <w:rPr>
          <w:lang w:val="en-NZ"/>
        </w:rPr>
        <w:t>ed</w:t>
      </w:r>
      <w:r w:rsidRPr="00260412">
        <w:rPr>
          <w:lang w:val="en-NZ"/>
        </w:rPr>
        <w:t xml:space="preserve"> the </w:t>
      </w:r>
      <w:r>
        <w:rPr>
          <w:lang w:val="en-NZ"/>
        </w:rPr>
        <w:t>New Zealand</w:t>
      </w:r>
      <w:r w:rsidRPr="00260412">
        <w:rPr>
          <w:lang w:val="en-NZ"/>
        </w:rPr>
        <w:t xml:space="preserve"> borrower (typically a joint venture or private equity situations).  This situation is difficult to distinguish economically from the case of a single non-resident controller – the group of shareholders are able to act as if they were a single controlling shareholder – yet the availability of AIL differ</w:t>
      </w:r>
      <w:r w:rsidR="00E73907">
        <w:rPr>
          <w:lang w:val="en-NZ"/>
        </w:rPr>
        <w:t>ed</w:t>
      </w:r>
      <w:r w:rsidRPr="00260412">
        <w:rPr>
          <w:lang w:val="en-NZ"/>
        </w:rPr>
        <w:t>.</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The effect of these (and certain other) issues </w:t>
      </w:r>
      <w:r w:rsidR="0030575B">
        <w:rPr>
          <w:lang w:val="en-NZ"/>
        </w:rPr>
        <w:t>wa</w:t>
      </w:r>
      <w:r w:rsidRPr="00260412">
        <w:rPr>
          <w:lang w:val="en-NZ"/>
        </w:rPr>
        <w:t xml:space="preserve">s that non-resident investors who </w:t>
      </w:r>
      <w:r w:rsidR="0030575B">
        <w:rPr>
          <w:lang w:val="en-NZ"/>
        </w:rPr>
        <w:t>we</w:t>
      </w:r>
      <w:r w:rsidRPr="00260412">
        <w:rPr>
          <w:lang w:val="en-NZ"/>
        </w:rPr>
        <w:t>re able to take advantage of them face</w:t>
      </w:r>
      <w:r w:rsidR="0030575B">
        <w:rPr>
          <w:lang w:val="en-NZ"/>
        </w:rPr>
        <w:t>d</w:t>
      </w:r>
      <w:r w:rsidRPr="00260412">
        <w:rPr>
          <w:lang w:val="en-NZ"/>
        </w:rPr>
        <w:t xml:space="preserve"> a lower effective tax rate in </w:t>
      </w:r>
      <w:r>
        <w:rPr>
          <w:lang w:val="en-NZ"/>
        </w:rPr>
        <w:t>New Zealand</w:t>
      </w:r>
      <w:r w:rsidRPr="00260412">
        <w:rPr>
          <w:lang w:val="en-NZ"/>
        </w:rPr>
        <w:t xml:space="preserve"> than other invest</w:t>
      </w:r>
      <w:r>
        <w:rPr>
          <w:lang w:val="en-NZ"/>
        </w:rPr>
        <w:t xml:space="preserve">ors.  This </w:t>
      </w:r>
      <w:r w:rsidR="0030575B">
        <w:rPr>
          <w:lang w:val="en-NZ"/>
        </w:rPr>
        <w:t>wa</w:t>
      </w:r>
      <w:r>
        <w:rPr>
          <w:lang w:val="en-NZ"/>
        </w:rPr>
        <w:t>s not appropriate.</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To address these issues </w:t>
      </w:r>
      <w:r>
        <w:rPr>
          <w:lang w:val="en-NZ"/>
        </w:rPr>
        <w:t>the following</w:t>
      </w:r>
      <w:r w:rsidR="0030575B">
        <w:rPr>
          <w:lang w:val="en-NZ"/>
        </w:rPr>
        <w:t xml:space="preserve"> changes have been introduced</w:t>
      </w:r>
      <w:r w:rsidRPr="00260412">
        <w:rPr>
          <w:lang w:val="en-NZ"/>
        </w:rPr>
        <w:t>:</w:t>
      </w:r>
    </w:p>
    <w:p w:rsidR="00625ADD" w:rsidRPr="00260412" w:rsidRDefault="00625ADD" w:rsidP="00625ADD">
      <w:pPr>
        <w:rPr>
          <w:lang w:val="en-NZ"/>
        </w:rPr>
      </w:pPr>
    </w:p>
    <w:p w:rsidR="00625ADD" w:rsidRPr="00260412" w:rsidRDefault="00625ADD" w:rsidP="00625ADD">
      <w:pPr>
        <w:pStyle w:val="Bullets"/>
      </w:pPr>
      <w:r w:rsidRPr="00260412">
        <w:t xml:space="preserve">NRWT </w:t>
      </w:r>
      <w:r w:rsidR="003D2864">
        <w:t>must</w:t>
      </w:r>
      <w:r w:rsidRPr="00260412">
        <w:t xml:space="preserve"> be paid at approximately the same time as interest is deducted by the </w:t>
      </w:r>
      <w:r>
        <w:t>New Zealand</w:t>
      </w:r>
      <w:r w:rsidRPr="00260412">
        <w:t xml:space="preserve"> borrower, if the borrower and lender are associated.  This mean</w:t>
      </w:r>
      <w:r w:rsidR="0030575B">
        <w:t>s</w:t>
      </w:r>
      <w:r w:rsidRPr="00260412">
        <w:t xml:space="preserve"> that the NRWT consequence of economically similar loan structures </w:t>
      </w:r>
      <w:r w:rsidR="00D418D1">
        <w:t>is</w:t>
      </w:r>
      <w:r w:rsidRPr="00260412">
        <w:t xml:space="preserve"> similar; and</w:t>
      </w:r>
    </w:p>
    <w:p w:rsidR="00625ADD" w:rsidRPr="00260412" w:rsidRDefault="00625ADD" w:rsidP="00625ADD">
      <w:pPr>
        <w:pStyle w:val="Bullets"/>
        <w:spacing w:after="0"/>
      </w:pPr>
      <w:r w:rsidRPr="00260412">
        <w:t>the boundary between NRWT and AIL</w:t>
      </w:r>
      <w:r w:rsidR="00D418D1">
        <w:t xml:space="preserve"> has been adjusted</w:t>
      </w:r>
      <w:r w:rsidRPr="00260412">
        <w:t>, so AIL is no longer available when a third party is interposed into what would otherwise be a related party loan or where a group of shareholders are acting together as one to con</w:t>
      </w:r>
      <w:r>
        <w:t>trol and fund the New Zealand borrower.</w:t>
      </w:r>
    </w:p>
    <w:p w:rsidR="00625ADD" w:rsidRPr="00260412" w:rsidRDefault="00625ADD" w:rsidP="00625ADD">
      <w:pPr>
        <w:rPr>
          <w:lang w:val="en-NZ"/>
        </w:rPr>
      </w:pPr>
    </w:p>
    <w:p w:rsidR="00625ADD" w:rsidRPr="00260412" w:rsidRDefault="00625ADD" w:rsidP="00625ADD">
      <w:pPr>
        <w:rPr>
          <w:lang w:val="en-NZ"/>
        </w:rPr>
      </w:pPr>
      <w:r w:rsidRPr="00260412">
        <w:rPr>
          <w:lang w:val="en-NZ"/>
        </w:rPr>
        <w:t>These changes bring the NRWT treatment of substantially similar transactions into line.</w:t>
      </w:r>
    </w:p>
    <w:p w:rsidR="00625ADD" w:rsidRDefault="00625ADD" w:rsidP="00625ADD">
      <w:pPr>
        <w:rPr>
          <w:lang w:val="en-NZ"/>
        </w:rPr>
      </w:pPr>
    </w:p>
    <w:p w:rsidR="00134FC1" w:rsidRDefault="00134FC1" w:rsidP="00625ADD">
      <w:pPr>
        <w:rPr>
          <w:lang w:val="en-NZ"/>
        </w:rPr>
      </w:pPr>
    </w:p>
    <w:p w:rsidR="00625ADD" w:rsidRPr="00260412" w:rsidRDefault="00625ADD" w:rsidP="00960A24">
      <w:pPr>
        <w:pStyle w:val="Heading2"/>
        <w:rPr>
          <w:lang w:val="en-NZ"/>
        </w:rPr>
      </w:pPr>
      <w:r w:rsidRPr="00260412">
        <w:rPr>
          <w:lang w:val="en-NZ"/>
        </w:rPr>
        <w:t>Application date</w:t>
      </w:r>
    </w:p>
    <w:p w:rsidR="00625ADD" w:rsidRPr="00260412" w:rsidRDefault="00625ADD" w:rsidP="00625ADD">
      <w:pPr>
        <w:rPr>
          <w:lang w:val="en-NZ"/>
        </w:rPr>
      </w:pPr>
    </w:p>
    <w:p w:rsidR="00537A3B" w:rsidRDefault="00625ADD" w:rsidP="00625ADD">
      <w:pPr>
        <w:rPr>
          <w:lang w:val="en-NZ"/>
        </w:rPr>
      </w:pPr>
      <w:r w:rsidRPr="00260412">
        <w:rPr>
          <w:lang w:val="en-NZ"/>
        </w:rPr>
        <w:t>The amendments apply to existing arrangements on and after the first day of the borrower</w:t>
      </w:r>
      <w:r w:rsidR="00CF7EDE">
        <w:rPr>
          <w:lang w:val="en-NZ"/>
        </w:rPr>
        <w:t>’</w:t>
      </w:r>
      <w:r w:rsidRPr="00260412">
        <w:rPr>
          <w:lang w:val="en-NZ"/>
        </w:rPr>
        <w:t xml:space="preserve">s income year that starts after </w:t>
      </w:r>
      <w:r w:rsidRPr="00004304">
        <w:rPr>
          <w:lang w:val="en-NZ"/>
        </w:rPr>
        <w:t>the date of enactment</w:t>
      </w:r>
      <w:r w:rsidR="00537A3B">
        <w:rPr>
          <w:lang w:val="en-NZ"/>
        </w:rPr>
        <w:t xml:space="preserve">, being </w:t>
      </w:r>
      <w:r w:rsidR="00872CE7">
        <w:rPr>
          <w:lang w:val="en-NZ"/>
        </w:rPr>
        <w:t xml:space="preserve">30 </w:t>
      </w:r>
      <w:r w:rsidR="00537A3B">
        <w:rPr>
          <w:lang w:val="en-NZ"/>
        </w:rPr>
        <w:t>March 2017</w:t>
      </w:r>
      <w:r w:rsidRPr="00260412">
        <w:rPr>
          <w:lang w:val="en-NZ"/>
        </w:rPr>
        <w:t>.</w:t>
      </w:r>
    </w:p>
    <w:p w:rsidR="00537A3B" w:rsidRDefault="00537A3B" w:rsidP="00625ADD">
      <w:pPr>
        <w:rPr>
          <w:lang w:val="en-NZ"/>
        </w:rPr>
      </w:pPr>
    </w:p>
    <w:p w:rsidR="00625ADD" w:rsidRDefault="00625ADD" w:rsidP="00625ADD">
      <w:pPr>
        <w:rPr>
          <w:lang w:val="en-NZ"/>
        </w:rPr>
      </w:pPr>
      <w:r w:rsidRPr="00260412">
        <w:rPr>
          <w:lang w:val="en-NZ"/>
        </w:rPr>
        <w:t xml:space="preserve">For all other arrangements the amendments </w:t>
      </w:r>
      <w:r>
        <w:rPr>
          <w:lang w:val="en-NZ"/>
        </w:rPr>
        <w:t>c</w:t>
      </w:r>
      <w:r w:rsidR="0030575B">
        <w:rPr>
          <w:lang w:val="en-NZ"/>
        </w:rPr>
        <w:t>a</w:t>
      </w:r>
      <w:r>
        <w:rPr>
          <w:lang w:val="en-NZ"/>
        </w:rPr>
        <w:t xml:space="preserve">me into force on </w:t>
      </w:r>
      <w:r w:rsidRPr="00004304">
        <w:rPr>
          <w:lang w:val="en-NZ"/>
        </w:rPr>
        <w:t>the date of enactment</w:t>
      </w:r>
      <w:r w:rsidRPr="00260412">
        <w:rPr>
          <w:lang w:val="en-NZ"/>
        </w:rPr>
        <w:t>.</w:t>
      </w:r>
    </w:p>
    <w:p w:rsidR="00FA750D" w:rsidRDefault="00FA750D" w:rsidP="00625ADD">
      <w:pPr>
        <w:rPr>
          <w:lang w:val="en-NZ"/>
        </w:rPr>
      </w:pPr>
    </w:p>
    <w:p w:rsidR="00C009B4" w:rsidRDefault="00FA750D" w:rsidP="00625ADD">
      <w:pPr>
        <w:rPr>
          <w:lang w:val="en-NZ"/>
        </w:rPr>
      </w:pPr>
      <w:r>
        <w:rPr>
          <w:lang w:val="en-NZ"/>
        </w:rPr>
        <w:t xml:space="preserve">As the bill was enacted on </w:t>
      </w:r>
      <w:r w:rsidR="00872CE7">
        <w:rPr>
          <w:lang w:val="en-NZ"/>
        </w:rPr>
        <w:t>30 March 2017</w:t>
      </w:r>
      <w:r>
        <w:rPr>
          <w:lang w:val="en-NZ"/>
        </w:rPr>
        <w:t xml:space="preserve"> the rules will apply to </w:t>
      </w:r>
      <w:r w:rsidR="006549FC">
        <w:rPr>
          <w:lang w:val="en-NZ"/>
        </w:rPr>
        <w:t xml:space="preserve">arrangements entered into after that date.  For a taxpayer with a balance date between </w:t>
      </w:r>
      <w:r w:rsidR="00872CE7" w:rsidRPr="004B3D18">
        <w:rPr>
          <w:lang w:val="en-NZ"/>
        </w:rPr>
        <w:t>3</w:t>
      </w:r>
      <w:r w:rsidR="005A2408" w:rsidRPr="004B3D18">
        <w:rPr>
          <w:lang w:val="en-NZ"/>
        </w:rPr>
        <w:t>0</w:t>
      </w:r>
      <w:r w:rsidR="006549FC" w:rsidRPr="004B3D18">
        <w:rPr>
          <w:lang w:val="en-NZ"/>
        </w:rPr>
        <w:t xml:space="preserve"> March</w:t>
      </w:r>
      <w:r w:rsidR="006549FC">
        <w:rPr>
          <w:lang w:val="en-NZ"/>
        </w:rPr>
        <w:t xml:space="preserve"> 2017 and 30 September 2017</w:t>
      </w:r>
      <w:r w:rsidR="00537A3B">
        <w:rPr>
          <w:lang w:val="en-NZ"/>
        </w:rPr>
        <w:t>,</w:t>
      </w:r>
      <w:r w:rsidR="006549FC">
        <w:rPr>
          <w:lang w:val="en-NZ"/>
        </w:rPr>
        <w:t xml:space="preserve"> the rules will apply to existing arrangements from the start of the 2017</w:t>
      </w:r>
      <w:r w:rsidR="00537A3B">
        <w:rPr>
          <w:lang w:val="en-NZ"/>
        </w:rPr>
        <w:t>–</w:t>
      </w:r>
      <w:r w:rsidR="00C85F50">
        <w:rPr>
          <w:lang w:val="en-NZ"/>
        </w:rPr>
        <w:t>18 year.</w:t>
      </w:r>
    </w:p>
    <w:p w:rsidR="00FA750D" w:rsidRPr="00260412" w:rsidRDefault="006549FC" w:rsidP="00625ADD">
      <w:pPr>
        <w:rPr>
          <w:lang w:val="en-NZ"/>
        </w:rPr>
      </w:pPr>
      <w:r>
        <w:rPr>
          <w:lang w:val="en-NZ"/>
        </w:rPr>
        <w:t xml:space="preserve">For taxpayers with a balance date between 1 October 2017 </w:t>
      </w:r>
      <w:r w:rsidRPr="004B3D18">
        <w:rPr>
          <w:lang w:val="en-NZ"/>
        </w:rPr>
        <w:t xml:space="preserve">and </w:t>
      </w:r>
      <w:r w:rsidR="005A2408" w:rsidRPr="004B3D18">
        <w:rPr>
          <w:lang w:val="en-NZ"/>
        </w:rPr>
        <w:t>29</w:t>
      </w:r>
      <w:r w:rsidRPr="004B3D18">
        <w:rPr>
          <w:lang w:val="en-NZ"/>
        </w:rPr>
        <w:t xml:space="preserve"> March</w:t>
      </w:r>
      <w:r>
        <w:rPr>
          <w:lang w:val="en-NZ"/>
        </w:rPr>
        <w:t xml:space="preserve"> 2018</w:t>
      </w:r>
      <w:r w:rsidR="00537A3B">
        <w:rPr>
          <w:lang w:val="en-NZ"/>
        </w:rPr>
        <w:t>,</w:t>
      </w:r>
      <w:r>
        <w:rPr>
          <w:lang w:val="en-NZ"/>
        </w:rPr>
        <w:t xml:space="preserve"> the rules will apply to existing arrangements from the start of the 2018</w:t>
      </w:r>
      <w:r w:rsidR="00C009B4">
        <w:rPr>
          <w:lang w:val="en-NZ"/>
        </w:rPr>
        <w:t>–</w:t>
      </w:r>
      <w:r>
        <w:rPr>
          <w:lang w:val="en-NZ"/>
        </w:rPr>
        <w:t>19 year.</w:t>
      </w:r>
    </w:p>
    <w:p w:rsidR="00625ADD" w:rsidRDefault="00625ADD" w:rsidP="00625ADD">
      <w:pPr>
        <w:rPr>
          <w:lang w:val="en-NZ"/>
        </w:rPr>
      </w:pPr>
    </w:p>
    <w:p w:rsidR="00004304" w:rsidRPr="00260412" w:rsidRDefault="00004304" w:rsidP="00625ADD">
      <w:pPr>
        <w:rPr>
          <w:lang w:val="en-NZ"/>
        </w:rPr>
      </w:pPr>
      <w:r>
        <w:rPr>
          <w:lang w:val="en-NZ"/>
        </w:rPr>
        <w:t>The changes to allow registered banks to pay AIL on associated party funding applied from the date of enactment.</w:t>
      </w:r>
    </w:p>
    <w:p w:rsidR="00625ADD" w:rsidRDefault="00625ADD" w:rsidP="00625ADD">
      <w:pPr>
        <w:rPr>
          <w:lang w:val="en-NZ"/>
        </w:rPr>
      </w:pPr>
    </w:p>
    <w:p w:rsidR="00134FC1" w:rsidRPr="00260412" w:rsidRDefault="00134FC1" w:rsidP="00625ADD">
      <w:pPr>
        <w:rPr>
          <w:lang w:val="en-NZ"/>
        </w:rPr>
      </w:pPr>
    </w:p>
    <w:p w:rsidR="00625ADD" w:rsidRPr="00260412" w:rsidRDefault="00625ADD" w:rsidP="00960A24">
      <w:pPr>
        <w:pStyle w:val="Heading2"/>
        <w:rPr>
          <w:i/>
          <w:lang w:val="en-NZ"/>
        </w:rPr>
      </w:pPr>
      <w:r w:rsidRPr="00260412">
        <w:rPr>
          <w:lang w:val="en-NZ"/>
        </w:rPr>
        <w:t>Key features</w:t>
      </w:r>
    </w:p>
    <w:p w:rsidR="00625ADD" w:rsidRPr="00260412" w:rsidRDefault="00625ADD" w:rsidP="00625ADD">
      <w:pPr>
        <w:rPr>
          <w:lang w:val="en-NZ"/>
        </w:rPr>
      </w:pPr>
    </w:p>
    <w:p w:rsidR="00625ADD" w:rsidRPr="00260412" w:rsidRDefault="00625ADD" w:rsidP="00960A24">
      <w:pPr>
        <w:pStyle w:val="Heading3"/>
        <w:rPr>
          <w:lang w:val="en-NZ"/>
        </w:rPr>
      </w:pPr>
      <w:r w:rsidRPr="00260412">
        <w:rPr>
          <w:lang w:val="en-NZ"/>
        </w:rPr>
        <w:t xml:space="preserve">Broadening arrangements giving rise to </w:t>
      </w:r>
      <w:r>
        <w:rPr>
          <w:lang w:val="en-NZ"/>
        </w:rPr>
        <w:t>non-resident passive income</w:t>
      </w:r>
    </w:p>
    <w:p w:rsidR="00625ADD" w:rsidRPr="00260412" w:rsidRDefault="00625ADD" w:rsidP="00625ADD">
      <w:pPr>
        <w:rPr>
          <w:lang w:val="en-NZ"/>
        </w:rPr>
      </w:pPr>
    </w:p>
    <w:p w:rsidR="00625ADD" w:rsidRPr="00260412" w:rsidRDefault="00625ADD" w:rsidP="00625ADD">
      <w:pPr>
        <w:rPr>
          <w:lang w:val="en-NZ"/>
        </w:rPr>
      </w:pPr>
      <w:r>
        <w:rPr>
          <w:lang w:val="en-NZ"/>
        </w:rPr>
        <w:t>Non-resident passive income (</w:t>
      </w:r>
      <w:proofErr w:type="spellStart"/>
      <w:r>
        <w:rPr>
          <w:lang w:val="en-NZ"/>
        </w:rPr>
        <w:t>NRPI</w:t>
      </w:r>
      <w:proofErr w:type="spellEnd"/>
      <w:r>
        <w:rPr>
          <w:lang w:val="en-NZ"/>
        </w:rPr>
        <w:t>)</w:t>
      </w:r>
      <w:r w:rsidRPr="00260412">
        <w:rPr>
          <w:lang w:val="en-NZ"/>
        </w:rPr>
        <w:t xml:space="preserve"> only arises </w:t>
      </w:r>
      <w:r>
        <w:rPr>
          <w:lang w:val="en-NZ"/>
        </w:rPr>
        <w:t>when</w:t>
      </w:r>
      <w:r w:rsidRPr="00260412">
        <w:rPr>
          <w:lang w:val="en-NZ"/>
        </w:rPr>
        <w:t xml:space="preserve"> there is </w:t>
      </w:r>
      <w:r w:rsidR="00CF7EDE">
        <w:rPr>
          <w:lang w:val="en-NZ"/>
        </w:rPr>
        <w:t>“</w:t>
      </w:r>
      <w:r w:rsidRPr="00260412">
        <w:rPr>
          <w:lang w:val="en-NZ"/>
        </w:rPr>
        <w:t>money lent</w:t>
      </w:r>
      <w:r w:rsidR="00CF7EDE">
        <w:rPr>
          <w:lang w:val="en-NZ"/>
        </w:rPr>
        <w:t>”</w:t>
      </w:r>
      <w:r w:rsidR="003D2864">
        <w:rPr>
          <w:lang w:val="en-NZ"/>
        </w:rPr>
        <w:t xml:space="preserve"> (leaving aside dividends and royalties)</w:t>
      </w:r>
      <w:r w:rsidRPr="00260412">
        <w:rPr>
          <w:lang w:val="en-NZ"/>
        </w:rPr>
        <w:t xml:space="preserve">.  Although the definition of </w:t>
      </w:r>
      <w:r w:rsidR="00CF7EDE">
        <w:rPr>
          <w:lang w:val="en-NZ"/>
        </w:rPr>
        <w:t>“</w:t>
      </w:r>
      <w:r w:rsidRPr="00260412">
        <w:rPr>
          <w:lang w:val="en-NZ"/>
        </w:rPr>
        <w:t>money lent</w:t>
      </w:r>
      <w:r w:rsidR="00CF7EDE">
        <w:rPr>
          <w:lang w:val="en-NZ"/>
        </w:rPr>
        <w:t>”</w:t>
      </w:r>
      <w:r w:rsidRPr="00260412">
        <w:rPr>
          <w:lang w:val="en-NZ"/>
        </w:rPr>
        <w:t xml:space="preserve"> is broad</w:t>
      </w:r>
      <w:r w:rsidR="000F4310">
        <w:rPr>
          <w:lang w:val="en-NZ"/>
        </w:rPr>
        <w:t>,</w:t>
      </w:r>
      <w:r w:rsidRPr="00260412">
        <w:rPr>
          <w:lang w:val="en-NZ"/>
        </w:rPr>
        <w:t xml:space="preserve"> it d</w:t>
      </w:r>
      <w:r w:rsidR="0030575B">
        <w:rPr>
          <w:lang w:val="en-NZ"/>
        </w:rPr>
        <w:t>id</w:t>
      </w:r>
      <w:r w:rsidRPr="00260412">
        <w:rPr>
          <w:lang w:val="en-NZ"/>
        </w:rPr>
        <w:t xml:space="preserve"> not apply in all situations </w:t>
      </w:r>
      <w:r>
        <w:rPr>
          <w:lang w:val="en-NZ"/>
        </w:rPr>
        <w:t>when</w:t>
      </w:r>
      <w:r w:rsidR="0030575B">
        <w:rPr>
          <w:lang w:val="en-NZ"/>
        </w:rPr>
        <w:t xml:space="preserve"> there wa</w:t>
      </w:r>
      <w:r w:rsidRPr="00260412">
        <w:rPr>
          <w:lang w:val="en-NZ"/>
        </w:rPr>
        <w:t xml:space="preserve">s funding provided under a financial arrangement.  This </w:t>
      </w:r>
      <w:r w:rsidR="003D2864">
        <w:rPr>
          <w:lang w:val="en-NZ"/>
        </w:rPr>
        <w:t xml:space="preserve">could </w:t>
      </w:r>
      <w:r w:rsidRPr="00260412">
        <w:rPr>
          <w:lang w:val="en-NZ"/>
        </w:rPr>
        <w:t xml:space="preserve">result in a </w:t>
      </w:r>
      <w:r>
        <w:rPr>
          <w:lang w:val="en-NZ"/>
        </w:rPr>
        <w:t>New Zealand</w:t>
      </w:r>
      <w:r w:rsidRPr="00260412">
        <w:rPr>
          <w:lang w:val="en-NZ"/>
        </w:rPr>
        <w:t xml:space="preserve"> borrower incurring financial arrangement expenditure </w:t>
      </w:r>
      <w:r>
        <w:rPr>
          <w:lang w:val="en-NZ"/>
        </w:rPr>
        <w:t>when</w:t>
      </w:r>
      <w:r w:rsidR="0030575B">
        <w:rPr>
          <w:lang w:val="en-NZ"/>
        </w:rPr>
        <w:t xml:space="preserve"> the non-resident lender had</w:t>
      </w:r>
      <w:r w:rsidRPr="00260412">
        <w:rPr>
          <w:lang w:val="en-NZ"/>
        </w:rPr>
        <w:t xml:space="preserve"> no </w:t>
      </w:r>
      <w:proofErr w:type="spellStart"/>
      <w:r w:rsidRPr="00260412">
        <w:rPr>
          <w:lang w:val="en-NZ"/>
        </w:rPr>
        <w:t>NRPI</w:t>
      </w:r>
      <w:proofErr w:type="spellEnd"/>
      <w:r w:rsidRPr="00260412">
        <w:rPr>
          <w:lang w:val="en-NZ"/>
        </w:rPr>
        <w:t>.</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The definition of </w:t>
      </w:r>
      <w:r w:rsidR="00CF7EDE">
        <w:rPr>
          <w:lang w:val="en-NZ"/>
        </w:rPr>
        <w:t>“</w:t>
      </w:r>
      <w:r w:rsidRPr="00260412">
        <w:rPr>
          <w:lang w:val="en-NZ"/>
        </w:rPr>
        <w:t>money lent</w:t>
      </w:r>
      <w:r w:rsidR="00CF7EDE">
        <w:rPr>
          <w:lang w:val="en-NZ"/>
        </w:rPr>
        <w:t>”</w:t>
      </w:r>
      <w:r w:rsidRPr="00260412">
        <w:rPr>
          <w:lang w:val="en-NZ"/>
        </w:rPr>
        <w:t xml:space="preserve"> </w:t>
      </w:r>
      <w:r w:rsidR="0030575B">
        <w:rPr>
          <w:lang w:val="en-NZ"/>
        </w:rPr>
        <w:t xml:space="preserve">has been extended </w:t>
      </w:r>
      <w:r w:rsidRPr="00260412">
        <w:rPr>
          <w:lang w:val="en-NZ"/>
        </w:rPr>
        <w:t xml:space="preserve">to include any amount provided to a </w:t>
      </w:r>
      <w:r>
        <w:rPr>
          <w:lang w:val="en-NZ"/>
        </w:rPr>
        <w:t>New Zealand</w:t>
      </w:r>
      <w:r w:rsidRPr="00260412">
        <w:rPr>
          <w:lang w:val="en-NZ"/>
        </w:rPr>
        <w:t xml:space="preserve"> resident (or </w:t>
      </w:r>
      <w:r>
        <w:rPr>
          <w:lang w:val="en-NZ"/>
        </w:rPr>
        <w:t>New Zealand</w:t>
      </w:r>
      <w:r w:rsidRPr="00260412">
        <w:rPr>
          <w:lang w:val="en-NZ"/>
        </w:rPr>
        <w:t xml:space="preserve"> branch of a non-resident) by an associated non-resident under a financial arrangement </w:t>
      </w:r>
      <w:r>
        <w:rPr>
          <w:lang w:val="en-NZ"/>
        </w:rPr>
        <w:t>that</w:t>
      </w:r>
      <w:r w:rsidRPr="00260412">
        <w:rPr>
          <w:lang w:val="en-NZ"/>
        </w:rPr>
        <w:t xml:space="preserve"> provides funding to the resident, and under which the </w:t>
      </w:r>
      <w:r w:rsidR="003D2864">
        <w:rPr>
          <w:lang w:val="en-NZ"/>
        </w:rPr>
        <w:t xml:space="preserve">resident </w:t>
      </w:r>
      <w:r w:rsidRPr="00260412">
        <w:rPr>
          <w:lang w:val="en-NZ"/>
        </w:rPr>
        <w:t xml:space="preserve">incurs financial arrangement expenditure.  As </w:t>
      </w:r>
      <w:r w:rsidR="00CF7EDE">
        <w:rPr>
          <w:lang w:val="en-NZ"/>
        </w:rPr>
        <w:t>“</w:t>
      </w:r>
      <w:r w:rsidRPr="00260412">
        <w:rPr>
          <w:lang w:val="en-NZ"/>
        </w:rPr>
        <w:t>money lent</w:t>
      </w:r>
      <w:r w:rsidR="00CF7EDE">
        <w:rPr>
          <w:lang w:val="en-NZ"/>
        </w:rPr>
        <w:t>”</w:t>
      </w:r>
      <w:r w:rsidRPr="00260412">
        <w:rPr>
          <w:lang w:val="en-NZ"/>
        </w:rPr>
        <w:t xml:space="preserve"> is a term used in other places in the Income Tax Act 2007</w:t>
      </w:r>
      <w:r>
        <w:rPr>
          <w:lang w:val="en-NZ"/>
        </w:rPr>
        <w:t>,</w:t>
      </w:r>
      <w:r w:rsidRPr="00260412">
        <w:rPr>
          <w:lang w:val="en-NZ"/>
        </w:rPr>
        <w:t xml:space="preserve"> this change is limited to the NRWT rules.</w:t>
      </w:r>
    </w:p>
    <w:p w:rsidR="00625ADD" w:rsidRPr="00260412" w:rsidRDefault="00625ADD" w:rsidP="00625ADD">
      <w:pPr>
        <w:rPr>
          <w:lang w:val="en-NZ"/>
        </w:rPr>
      </w:pPr>
    </w:p>
    <w:p w:rsidR="00625ADD" w:rsidRPr="00260412" w:rsidRDefault="00625ADD" w:rsidP="00960A24">
      <w:pPr>
        <w:pStyle w:val="Heading3"/>
        <w:rPr>
          <w:lang w:val="en-NZ"/>
        </w:rPr>
      </w:pPr>
      <w:r w:rsidRPr="00260412">
        <w:rPr>
          <w:lang w:val="en-NZ"/>
        </w:rPr>
        <w:t xml:space="preserve">Reducing quantum mismatches between </w:t>
      </w:r>
      <w:proofErr w:type="spellStart"/>
      <w:r w:rsidRPr="00260412">
        <w:rPr>
          <w:lang w:val="en-NZ"/>
        </w:rPr>
        <w:t>NRPI</w:t>
      </w:r>
      <w:proofErr w:type="spellEnd"/>
      <w:r w:rsidRPr="00260412">
        <w:rPr>
          <w:lang w:val="en-NZ"/>
        </w:rPr>
        <w:t xml:space="preserve"> and financial arrangement expenditure</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To reduce mismatches between the NRWT and financial arrangement rules, the definition of </w:t>
      </w:r>
      <w:r w:rsidR="00CF7EDE">
        <w:rPr>
          <w:lang w:val="en-NZ"/>
        </w:rPr>
        <w:t>“</w:t>
      </w:r>
      <w:r w:rsidRPr="00260412">
        <w:rPr>
          <w:lang w:val="en-NZ"/>
        </w:rPr>
        <w:t>interest</w:t>
      </w:r>
      <w:r w:rsidR="00CF7EDE">
        <w:rPr>
          <w:lang w:val="en-NZ"/>
        </w:rPr>
        <w:t>”</w:t>
      </w:r>
      <w:r w:rsidRPr="00260412">
        <w:rPr>
          <w:lang w:val="en-NZ"/>
        </w:rPr>
        <w:t xml:space="preserve"> </w:t>
      </w:r>
      <w:r w:rsidR="00F51BEE">
        <w:rPr>
          <w:lang w:val="en-NZ"/>
        </w:rPr>
        <w:t>has been extended to</w:t>
      </w:r>
      <w:r w:rsidRPr="00260412">
        <w:rPr>
          <w:lang w:val="en-NZ"/>
        </w:rPr>
        <w:t xml:space="preserve"> include a payment (whether of money or money</w:t>
      </w:r>
      <w:r w:rsidR="00CF7EDE">
        <w:rPr>
          <w:lang w:val="en-NZ"/>
        </w:rPr>
        <w:t>’</w:t>
      </w:r>
      <w:r w:rsidRPr="00260412">
        <w:rPr>
          <w:lang w:val="en-NZ"/>
        </w:rPr>
        <w:t xml:space="preserve">s worth) received by a non-resident from an associated </w:t>
      </w:r>
      <w:r>
        <w:rPr>
          <w:lang w:val="en-NZ"/>
        </w:rPr>
        <w:t>New Zealand</w:t>
      </w:r>
      <w:r w:rsidRPr="00260412">
        <w:rPr>
          <w:lang w:val="en-NZ"/>
        </w:rPr>
        <w:t xml:space="preserve"> resident (or </w:t>
      </w:r>
      <w:r>
        <w:rPr>
          <w:lang w:val="en-NZ"/>
        </w:rPr>
        <w:t>New Zealand</w:t>
      </w:r>
      <w:r w:rsidRPr="00260412">
        <w:rPr>
          <w:lang w:val="en-NZ"/>
        </w:rPr>
        <w:t xml:space="preserve"> branch of a non-resident), to the extent that the payment gives rise to expenditure to the borrower under the financial arrangement rules.</w:t>
      </w:r>
    </w:p>
    <w:p w:rsidR="00625ADD" w:rsidRPr="00260412" w:rsidRDefault="00625ADD" w:rsidP="00625ADD">
      <w:pPr>
        <w:rPr>
          <w:lang w:val="en-NZ"/>
        </w:rPr>
      </w:pPr>
    </w:p>
    <w:p w:rsidR="00625ADD" w:rsidRPr="00260412" w:rsidRDefault="00625ADD" w:rsidP="00960A24">
      <w:pPr>
        <w:pStyle w:val="Heading3"/>
        <w:rPr>
          <w:lang w:val="en-NZ"/>
        </w:rPr>
      </w:pPr>
      <w:r w:rsidRPr="00260412">
        <w:rPr>
          <w:lang w:val="en-NZ"/>
        </w:rPr>
        <w:t>Related party debt</w:t>
      </w:r>
    </w:p>
    <w:p w:rsidR="00625ADD" w:rsidRPr="00260412" w:rsidRDefault="00625ADD" w:rsidP="00625ADD">
      <w:pPr>
        <w:rPr>
          <w:lang w:val="en-NZ"/>
        </w:rPr>
      </w:pPr>
    </w:p>
    <w:p w:rsidR="00625ADD" w:rsidRPr="00260412" w:rsidRDefault="00CF7EDE" w:rsidP="00625ADD">
      <w:pPr>
        <w:rPr>
          <w:lang w:val="en-NZ"/>
        </w:rPr>
      </w:pPr>
      <w:r>
        <w:rPr>
          <w:lang w:val="en-NZ"/>
        </w:rPr>
        <w:t>“</w:t>
      </w:r>
      <w:r w:rsidR="00625ADD" w:rsidRPr="00260412">
        <w:rPr>
          <w:lang w:val="en-NZ"/>
        </w:rPr>
        <w:t>Related party debt</w:t>
      </w:r>
      <w:r>
        <w:rPr>
          <w:lang w:val="en-NZ"/>
        </w:rPr>
        <w:t>”</w:t>
      </w:r>
      <w:r w:rsidR="00625ADD" w:rsidRPr="00260412">
        <w:rPr>
          <w:lang w:val="en-NZ"/>
        </w:rPr>
        <w:t xml:space="preserve"> is a new defined term.  It </w:t>
      </w:r>
      <w:r w:rsidR="00DC76FF">
        <w:rPr>
          <w:lang w:val="en-NZ"/>
        </w:rPr>
        <w:t xml:space="preserve">covers </w:t>
      </w:r>
      <w:r w:rsidR="00625ADD" w:rsidRPr="00260412">
        <w:rPr>
          <w:lang w:val="en-NZ"/>
        </w:rPr>
        <w:t xml:space="preserve">all financial arrangements where a non-resident provides funds to an associated </w:t>
      </w:r>
      <w:r w:rsidR="00625ADD">
        <w:rPr>
          <w:lang w:val="en-NZ"/>
        </w:rPr>
        <w:t>New Zealand</w:t>
      </w:r>
      <w:r w:rsidR="00625ADD" w:rsidRPr="00260412">
        <w:rPr>
          <w:lang w:val="en-NZ"/>
        </w:rPr>
        <w:t xml:space="preserve"> resident (or </w:t>
      </w:r>
      <w:r w:rsidR="00625ADD">
        <w:rPr>
          <w:lang w:val="en-NZ"/>
        </w:rPr>
        <w:t>New Zealand</w:t>
      </w:r>
      <w:r w:rsidR="00625ADD" w:rsidRPr="00260412">
        <w:rPr>
          <w:lang w:val="en-NZ"/>
        </w:rPr>
        <w:t xml:space="preserve"> branch of an associated non-resident) </w:t>
      </w:r>
      <w:r w:rsidR="00625ADD">
        <w:rPr>
          <w:lang w:val="en-NZ"/>
        </w:rPr>
        <w:t>and</w:t>
      </w:r>
      <w:r w:rsidR="00625ADD" w:rsidRPr="00260412">
        <w:rPr>
          <w:lang w:val="en-NZ"/>
        </w:rPr>
        <w:t xml:space="preserve"> the borrower is allowed a deduction under the financial arrangement rules.  To prevent this being structured around, it also includes funding provided through an indirect associated funding arrangement or by a member of a non-resident owning body – these terms are explained below.</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A consequence of this definition is that money lent to exempt borrowers (such as charities) </w:t>
      </w:r>
      <w:r w:rsidR="00DC76FF">
        <w:rPr>
          <w:lang w:val="en-NZ"/>
        </w:rPr>
        <w:t>does</w:t>
      </w:r>
      <w:r w:rsidRPr="00260412">
        <w:rPr>
          <w:lang w:val="en-NZ"/>
        </w:rPr>
        <w:t xml:space="preserve"> not meet the </w:t>
      </w:r>
      <w:r w:rsidR="00CF7EDE">
        <w:rPr>
          <w:lang w:val="en-NZ"/>
        </w:rPr>
        <w:t>“</w:t>
      </w:r>
      <w:r w:rsidRPr="00260412">
        <w:rPr>
          <w:lang w:val="en-NZ"/>
        </w:rPr>
        <w:t>related party debt</w:t>
      </w:r>
      <w:r w:rsidR="00CF7EDE">
        <w:rPr>
          <w:lang w:val="en-NZ"/>
        </w:rPr>
        <w:t>”</w:t>
      </w:r>
      <w:r w:rsidRPr="00260412">
        <w:rPr>
          <w:lang w:val="en-NZ"/>
        </w:rPr>
        <w:t xml:space="preserve"> definition.  This is appropriate as no asymmetry can arise between income tax deductions and a lack of NRWT when there is no income tax deduction.  Exempt borrowers continue to be required to withhold NRWT under payment rules</w:t>
      </w:r>
      <w:r w:rsidR="0094580D">
        <w:rPr>
          <w:lang w:val="en-NZ"/>
        </w:rPr>
        <w:t xml:space="preserve"> that existed before the amendments</w:t>
      </w:r>
      <w:r>
        <w:rPr>
          <w:lang w:val="en-NZ"/>
        </w:rPr>
        <w:t>,</w:t>
      </w:r>
      <w:r w:rsidRPr="00260412">
        <w:rPr>
          <w:lang w:val="en-NZ"/>
        </w:rPr>
        <w:t xml:space="preserve"> provided the other requirements are met.</w:t>
      </w:r>
    </w:p>
    <w:p w:rsidR="00625ADD" w:rsidRPr="00260412" w:rsidRDefault="00625ADD" w:rsidP="00625ADD">
      <w:pPr>
        <w:rPr>
          <w:lang w:val="en-NZ"/>
        </w:rPr>
      </w:pPr>
    </w:p>
    <w:p w:rsidR="00625ADD" w:rsidRPr="00260412" w:rsidRDefault="00625ADD" w:rsidP="00625ADD">
      <w:pPr>
        <w:rPr>
          <w:lang w:val="en-NZ"/>
        </w:rPr>
      </w:pPr>
      <w:r w:rsidRPr="00260412">
        <w:rPr>
          <w:lang w:val="en-NZ"/>
        </w:rPr>
        <w:t>Members of a banking group that are registered by the Reserve Bank are also carved out of having related party debt</w:t>
      </w:r>
      <w:r w:rsidR="007E6918">
        <w:rPr>
          <w:lang w:val="en-NZ"/>
        </w:rPr>
        <w:t xml:space="preserve"> by section </w:t>
      </w:r>
      <w:proofErr w:type="spellStart"/>
      <w:r w:rsidR="007E6918">
        <w:rPr>
          <w:lang w:val="en-NZ"/>
        </w:rPr>
        <w:t>RF</w:t>
      </w:r>
      <w:proofErr w:type="spellEnd"/>
      <w:r w:rsidR="007E6918">
        <w:rPr>
          <w:lang w:val="en-NZ"/>
        </w:rPr>
        <w:t xml:space="preserve"> </w:t>
      </w:r>
      <w:proofErr w:type="gramStart"/>
      <w:r w:rsidR="007E6918">
        <w:rPr>
          <w:lang w:val="en-NZ"/>
        </w:rPr>
        <w:t>12H(</w:t>
      </w:r>
      <w:proofErr w:type="gramEnd"/>
      <w:r w:rsidR="007E6918">
        <w:rPr>
          <w:lang w:val="en-NZ"/>
        </w:rPr>
        <w:t>2)</w:t>
      </w:r>
      <w:r w:rsidRPr="00260412">
        <w:rPr>
          <w:lang w:val="en-NZ"/>
        </w:rPr>
        <w:t xml:space="preserve">.  This is because amendments to section </w:t>
      </w:r>
      <w:proofErr w:type="spellStart"/>
      <w:r w:rsidRPr="00260412">
        <w:rPr>
          <w:lang w:val="en-NZ"/>
        </w:rPr>
        <w:t>RF</w:t>
      </w:r>
      <w:proofErr w:type="spellEnd"/>
      <w:r w:rsidRPr="00260412">
        <w:rPr>
          <w:lang w:val="en-NZ"/>
        </w:rPr>
        <w:t xml:space="preserve"> 12(1</w:t>
      </w:r>
      <w:proofErr w:type="gramStart"/>
      <w:r w:rsidRPr="00260412">
        <w:rPr>
          <w:lang w:val="en-NZ"/>
        </w:rPr>
        <w:t>)(</w:t>
      </w:r>
      <w:proofErr w:type="gramEnd"/>
      <w:r w:rsidRPr="00260412">
        <w:rPr>
          <w:lang w:val="en-NZ"/>
        </w:rPr>
        <w:t>a)(ii) recognise that interest payments by New Zealand banks are directly or indirectly equivalent to third</w:t>
      </w:r>
      <w:r>
        <w:rPr>
          <w:lang w:val="en-NZ"/>
        </w:rPr>
        <w:t>-</w:t>
      </w:r>
      <w:r w:rsidRPr="00260412">
        <w:rPr>
          <w:lang w:val="en-NZ"/>
        </w:rPr>
        <w:t xml:space="preserve">party debt on which AIL can be paid.  Although NRWT will continue to be available on interest payments by banks this can be eliminated by paying AIL instead and AIL </w:t>
      </w:r>
      <w:r w:rsidR="0094580D">
        <w:rPr>
          <w:lang w:val="en-NZ"/>
        </w:rPr>
        <w:t xml:space="preserve">does not apply </w:t>
      </w:r>
      <w:r w:rsidRPr="00260412">
        <w:rPr>
          <w:lang w:val="en-NZ"/>
        </w:rPr>
        <w:t>on an accrual basis.</w:t>
      </w:r>
    </w:p>
    <w:p w:rsidR="00A87C86" w:rsidRDefault="00A87C86" w:rsidP="00960A24">
      <w:pPr>
        <w:pStyle w:val="Heading3"/>
        <w:rPr>
          <w:lang w:val="en-NZ"/>
        </w:rPr>
      </w:pPr>
      <w:r>
        <w:rPr>
          <w:lang w:val="en-NZ"/>
        </w:rPr>
        <w:t>Arrangements that provide funds</w:t>
      </w:r>
    </w:p>
    <w:p w:rsidR="00A87C86" w:rsidRPr="00643520" w:rsidRDefault="00A87C86" w:rsidP="00643520">
      <w:pPr>
        <w:rPr>
          <w:lang w:val="en-NZ"/>
        </w:rPr>
      </w:pPr>
    </w:p>
    <w:p w:rsidR="00A87C86" w:rsidRDefault="00A87C86" w:rsidP="00A87C86">
      <w:pPr>
        <w:rPr>
          <w:lang w:val="en-NZ"/>
        </w:rPr>
      </w:pPr>
      <w:r>
        <w:rPr>
          <w:lang w:val="en-NZ"/>
        </w:rPr>
        <w:t xml:space="preserve">For an arrangement to meet the definition of </w:t>
      </w:r>
      <w:r w:rsidR="00CF7EDE">
        <w:rPr>
          <w:lang w:val="en-NZ"/>
        </w:rPr>
        <w:t>“</w:t>
      </w:r>
      <w:r>
        <w:rPr>
          <w:lang w:val="en-NZ"/>
        </w:rPr>
        <w:t>related-party debt</w:t>
      </w:r>
      <w:r w:rsidR="00CF7EDE">
        <w:rPr>
          <w:lang w:val="en-NZ"/>
        </w:rPr>
        <w:t>”</w:t>
      </w:r>
      <w:r>
        <w:rPr>
          <w:lang w:val="en-NZ"/>
        </w:rPr>
        <w:t xml:space="preserve"> one of the criteria it must satisfy, in section </w:t>
      </w:r>
      <w:proofErr w:type="spellStart"/>
      <w:r>
        <w:rPr>
          <w:lang w:val="en-NZ"/>
        </w:rPr>
        <w:t>RF</w:t>
      </w:r>
      <w:proofErr w:type="spellEnd"/>
      <w:r>
        <w:rPr>
          <w:lang w:val="en-NZ"/>
        </w:rPr>
        <w:t xml:space="preserve"> </w:t>
      </w:r>
      <w:proofErr w:type="gramStart"/>
      <w:r>
        <w:rPr>
          <w:lang w:val="en-NZ"/>
        </w:rPr>
        <w:t>12H(</w:t>
      </w:r>
      <w:proofErr w:type="gramEnd"/>
      <w:r>
        <w:rPr>
          <w:lang w:val="en-NZ"/>
        </w:rPr>
        <w:t>1)(a), is that the arrangement provides funds to another person.  The purpose of this criteri</w:t>
      </w:r>
      <w:r w:rsidR="0097176A">
        <w:rPr>
          <w:lang w:val="en-NZ"/>
        </w:rPr>
        <w:t>on</w:t>
      </w:r>
      <w:r>
        <w:rPr>
          <w:lang w:val="en-NZ"/>
        </w:rPr>
        <w:t xml:space="preserve"> is that NRWT on interest has historically applied to debt instruments and the amendments are intended to cover arrangements that are economically similar to debt.</w:t>
      </w:r>
      <w:r w:rsidR="00947AD0">
        <w:rPr>
          <w:lang w:val="en-NZ"/>
        </w:rPr>
        <w:t xml:space="preserve">  An arrangement that provides funds is intended to be narrower in scope than a financial arrangement.</w:t>
      </w:r>
    </w:p>
    <w:p w:rsidR="00A87C86" w:rsidRDefault="00A87C86" w:rsidP="00A87C86">
      <w:pPr>
        <w:rPr>
          <w:lang w:val="en-NZ"/>
        </w:rPr>
      </w:pPr>
    </w:p>
    <w:p w:rsidR="00A87C86" w:rsidRDefault="00A87C86" w:rsidP="00A87C86">
      <w:pPr>
        <w:rPr>
          <w:lang w:val="en-NZ"/>
        </w:rPr>
      </w:pPr>
      <w:proofErr w:type="gramStart"/>
      <w:r>
        <w:rPr>
          <w:lang w:val="en-NZ"/>
        </w:rPr>
        <w:t>The concept of</w:t>
      </w:r>
      <w:r w:rsidR="009D50A8">
        <w:rPr>
          <w:lang w:val="en-NZ"/>
        </w:rPr>
        <w:t xml:space="preserve"> a financial arrangement that</w:t>
      </w:r>
      <w:r>
        <w:rPr>
          <w:lang w:val="en-NZ"/>
        </w:rPr>
        <w:t xml:space="preserve"> </w:t>
      </w:r>
      <w:r w:rsidR="00CF7EDE">
        <w:rPr>
          <w:lang w:val="en-NZ"/>
        </w:rPr>
        <w:t>“</w:t>
      </w:r>
      <w:r>
        <w:rPr>
          <w:lang w:val="en-NZ"/>
        </w:rPr>
        <w:t>provid</w:t>
      </w:r>
      <w:r w:rsidR="009D50A8">
        <w:rPr>
          <w:lang w:val="en-NZ"/>
        </w:rPr>
        <w:t xml:space="preserve">es </w:t>
      </w:r>
      <w:r>
        <w:rPr>
          <w:lang w:val="en-NZ"/>
        </w:rPr>
        <w:t>funds</w:t>
      </w:r>
      <w:r w:rsidR="00CF7EDE">
        <w:rPr>
          <w:lang w:val="en-NZ"/>
        </w:rPr>
        <w:t>”</w:t>
      </w:r>
      <w:r>
        <w:rPr>
          <w:lang w:val="en-NZ"/>
        </w:rPr>
        <w:t xml:space="preserve"> </w:t>
      </w:r>
      <w:r w:rsidR="009D50A8">
        <w:rPr>
          <w:lang w:val="en-NZ"/>
        </w:rPr>
        <w:t>already exists in a number of places in the Income Tax Act 2007</w:t>
      </w:r>
      <w:r w:rsidR="008A5F18">
        <w:rPr>
          <w:lang w:val="en-NZ"/>
        </w:rPr>
        <w:t>.</w:t>
      </w:r>
      <w:proofErr w:type="gramEnd"/>
      <w:r w:rsidR="009D50A8">
        <w:rPr>
          <w:rStyle w:val="FootnoteReference"/>
          <w:lang w:val="en-NZ"/>
        </w:rPr>
        <w:footnoteReference w:id="1"/>
      </w:r>
      <w:r w:rsidR="00B01C04">
        <w:rPr>
          <w:lang w:val="en-NZ"/>
        </w:rPr>
        <w:t xml:space="preserve">  Due to the wide variety of financial arrangements available it is not possible to provide an exhaustive list of particular arrangements that will or will not provide funding.  However, the inclusion of this term in the NRWT rules is not intended to alter its interpretation as it previously applied.</w:t>
      </w:r>
    </w:p>
    <w:p w:rsidR="00947AD0" w:rsidRDefault="00947AD0" w:rsidP="00A87C86">
      <w:pPr>
        <w:rPr>
          <w:lang w:val="en-NZ"/>
        </w:rPr>
      </w:pPr>
    </w:p>
    <w:p w:rsidR="00947AD0" w:rsidRDefault="00947AD0" w:rsidP="00A87C86">
      <w:pPr>
        <w:rPr>
          <w:lang w:val="en-NZ"/>
        </w:rPr>
      </w:pPr>
      <w:r>
        <w:rPr>
          <w:lang w:val="en-NZ"/>
        </w:rPr>
        <w:t>When the thin capitalisation rules were introduced in 1995</w:t>
      </w:r>
      <w:r w:rsidR="00810E17">
        <w:rPr>
          <w:lang w:val="en-NZ"/>
        </w:rPr>
        <w:t>,</w:t>
      </w:r>
      <w:r>
        <w:rPr>
          <w:lang w:val="en-NZ"/>
        </w:rPr>
        <w:t xml:space="preserve"> commentary was provided on what the term </w:t>
      </w:r>
      <w:r w:rsidR="00CF7EDE">
        <w:rPr>
          <w:lang w:val="en-NZ"/>
        </w:rPr>
        <w:t>“</w:t>
      </w:r>
      <w:r>
        <w:rPr>
          <w:lang w:val="en-NZ"/>
        </w:rPr>
        <w:t>providing funds</w:t>
      </w:r>
      <w:r w:rsidR="00CF7EDE">
        <w:rPr>
          <w:lang w:val="en-NZ"/>
        </w:rPr>
        <w:t>”</w:t>
      </w:r>
      <w:r>
        <w:rPr>
          <w:lang w:val="en-NZ"/>
        </w:rPr>
        <w:t xml:space="preserve"> meant.  For reference these are included below:</w:t>
      </w:r>
    </w:p>
    <w:p w:rsidR="00B92B40" w:rsidRDefault="00B92B40" w:rsidP="00A87C86">
      <w:pPr>
        <w:rPr>
          <w:lang w:val="en-NZ"/>
        </w:rPr>
      </w:pPr>
    </w:p>
    <w:p w:rsidR="00B92B40" w:rsidRDefault="00B92B40" w:rsidP="00A87C86">
      <w:pPr>
        <w:rPr>
          <w:lang w:val="en-NZ"/>
        </w:rPr>
      </w:pPr>
      <w:r>
        <w:rPr>
          <w:i/>
          <w:lang w:val="en-NZ"/>
        </w:rPr>
        <w:t xml:space="preserve">Tax Information Bulletin </w:t>
      </w:r>
      <w:r w:rsidRPr="00B92B40">
        <w:rPr>
          <w:lang w:val="en-NZ"/>
        </w:rPr>
        <w:t xml:space="preserve">Volume 7, </w:t>
      </w:r>
      <w:r>
        <w:rPr>
          <w:lang w:val="en-NZ"/>
        </w:rPr>
        <w:t>N</w:t>
      </w:r>
      <w:r w:rsidRPr="00B92B40">
        <w:rPr>
          <w:lang w:val="en-NZ"/>
        </w:rPr>
        <w:t>umber 11, March 1996</w:t>
      </w:r>
      <w:r>
        <w:rPr>
          <w:lang w:val="en-NZ"/>
        </w:rPr>
        <w:t>:</w:t>
      </w:r>
    </w:p>
    <w:p w:rsidR="00810E17" w:rsidRDefault="00810E17" w:rsidP="00A87C86">
      <w:pPr>
        <w:rPr>
          <w:lang w:val="en-NZ"/>
        </w:rPr>
      </w:pPr>
    </w:p>
    <w:p w:rsidR="00B92B40" w:rsidRPr="00B92B40" w:rsidRDefault="00B92B40" w:rsidP="00960A24">
      <w:pPr>
        <w:ind w:left="567" w:right="565"/>
        <w:rPr>
          <w:lang w:val="en-NZ"/>
        </w:rPr>
      </w:pPr>
      <w:r>
        <w:t xml:space="preserve">The term </w:t>
      </w:r>
      <w:r w:rsidR="00CF7EDE">
        <w:t>“</w:t>
      </w:r>
      <w:r>
        <w:rPr>
          <w:rStyle w:val="docsearchterm"/>
        </w:rPr>
        <w:t>provides funds</w:t>
      </w:r>
      <w:r w:rsidR="00CF7EDE">
        <w:t>”</w:t>
      </w:r>
      <w:r>
        <w:t xml:space="preserve"> is not defined in the Act.</w:t>
      </w:r>
      <w:r w:rsidR="00810E17">
        <w:t xml:space="preserve"> </w:t>
      </w:r>
      <w:r>
        <w:t xml:space="preserve"> It is intended to convey the broad concept that only arrangements that provide capital to the issuer should be included in the thin capitalisation regime.</w:t>
      </w:r>
    </w:p>
    <w:p w:rsidR="00A87C86" w:rsidRPr="00643520" w:rsidRDefault="00A87C86" w:rsidP="00643520">
      <w:pPr>
        <w:rPr>
          <w:lang w:val="en-NZ"/>
        </w:rPr>
      </w:pPr>
    </w:p>
    <w:p w:rsidR="00112E8A" w:rsidRDefault="00947AD0" w:rsidP="00112E8A">
      <w:pPr>
        <w:rPr>
          <w:lang w:val="en-NZ"/>
        </w:rPr>
      </w:pPr>
      <w:r>
        <w:rPr>
          <w:lang w:val="en-NZ"/>
        </w:rPr>
        <w:t>Comment from officials in t</w:t>
      </w:r>
      <w:r w:rsidR="00112E8A">
        <w:rPr>
          <w:lang w:val="en-NZ"/>
        </w:rPr>
        <w:t>he Officials</w:t>
      </w:r>
      <w:r w:rsidR="00CF7EDE">
        <w:rPr>
          <w:lang w:val="en-NZ"/>
        </w:rPr>
        <w:t>’</w:t>
      </w:r>
      <w:r w:rsidR="00112E8A">
        <w:rPr>
          <w:lang w:val="en-NZ"/>
        </w:rPr>
        <w:t xml:space="preserve"> report on the Taxation (International Tax) Bill </w:t>
      </w:r>
      <w:r w:rsidR="006F2ED3">
        <w:rPr>
          <w:lang w:val="en-NZ"/>
        </w:rPr>
        <w:t>1995</w:t>
      </w:r>
      <w:r w:rsidR="00112E8A">
        <w:rPr>
          <w:lang w:val="en-NZ"/>
        </w:rPr>
        <w:t>:</w:t>
      </w:r>
    </w:p>
    <w:p w:rsidR="00810E17" w:rsidRDefault="00810E17" w:rsidP="00112E8A">
      <w:pPr>
        <w:rPr>
          <w:lang w:val="en-NZ"/>
        </w:rPr>
      </w:pPr>
    </w:p>
    <w:p w:rsidR="00112E8A" w:rsidRDefault="00112E8A" w:rsidP="00CF7EDE">
      <w:pPr>
        <w:ind w:left="567" w:right="565"/>
        <w:rPr>
          <w:lang w:val="en-NZ"/>
        </w:rPr>
      </w:pPr>
      <w:r w:rsidRPr="00112E8A">
        <w:rPr>
          <w:lang w:val="en-NZ"/>
        </w:rPr>
        <w:t xml:space="preserve">However, it is recognised that certain financial instruments covered by the financial arrangement definition do not give rise to capital being made available to the New Zealand entity. </w:t>
      </w:r>
      <w:r w:rsidR="00810E17">
        <w:rPr>
          <w:lang w:val="en-NZ"/>
        </w:rPr>
        <w:t xml:space="preserve"> </w:t>
      </w:r>
      <w:r w:rsidRPr="00112E8A">
        <w:rPr>
          <w:lang w:val="en-NZ"/>
        </w:rPr>
        <w:t>These include certain hedging or speculative instruments, such as some foreign exchange transactions and certain swaps.</w:t>
      </w:r>
    </w:p>
    <w:p w:rsidR="00112E8A" w:rsidRDefault="00112E8A" w:rsidP="00112E8A">
      <w:pPr>
        <w:rPr>
          <w:lang w:val="en-NZ"/>
        </w:rPr>
      </w:pPr>
    </w:p>
    <w:p w:rsidR="00947AD0" w:rsidRDefault="00947AD0" w:rsidP="00112E8A">
      <w:pPr>
        <w:rPr>
          <w:lang w:val="en-NZ"/>
        </w:rPr>
      </w:pPr>
      <w:r w:rsidRPr="002E7D2A">
        <w:rPr>
          <w:i/>
          <w:lang w:val="en-NZ"/>
        </w:rPr>
        <w:t>Tax Education Office</w:t>
      </w:r>
      <w:r>
        <w:rPr>
          <w:lang w:val="en-NZ"/>
        </w:rPr>
        <w:t xml:space="preserve"> Newsletter No 121, July 1996</w:t>
      </w:r>
      <w:r w:rsidR="00810E17">
        <w:rPr>
          <w:lang w:val="en-NZ"/>
        </w:rPr>
        <w:t>:</w:t>
      </w:r>
    </w:p>
    <w:p w:rsidR="00810E17" w:rsidRDefault="00810E17" w:rsidP="00112E8A">
      <w:pPr>
        <w:rPr>
          <w:lang w:val="en-NZ"/>
        </w:rPr>
      </w:pPr>
    </w:p>
    <w:p w:rsidR="00947AD0" w:rsidRPr="00947AD0" w:rsidRDefault="00947AD0" w:rsidP="00CF7EDE">
      <w:pPr>
        <w:ind w:left="567" w:right="565"/>
        <w:rPr>
          <w:lang w:val="en-NZ"/>
        </w:rPr>
      </w:pPr>
      <w:r w:rsidRPr="00947AD0">
        <w:rPr>
          <w:lang w:val="en-NZ"/>
        </w:rPr>
        <w:t xml:space="preserve">Linking the concept of debt to the </w:t>
      </w:r>
      <w:r w:rsidR="00CF7EDE">
        <w:rPr>
          <w:lang w:val="en-NZ"/>
        </w:rPr>
        <w:t>“</w:t>
      </w:r>
      <w:r w:rsidRPr="00947AD0">
        <w:rPr>
          <w:lang w:val="en-NZ"/>
        </w:rPr>
        <w:t>financial arrangement</w:t>
      </w:r>
      <w:r w:rsidR="00CF7EDE">
        <w:rPr>
          <w:lang w:val="en-NZ"/>
        </w:rPr>
        <w:t>”</w:t>
      </w:r>
      <w:r w:rsidRPr="00947AD0">
        <w:rPr>
          <w:lang w:val="en-NZ"/>
        </w:rPr>
        <w:t xml:space="preserve"> definition potentially encompasses instruments</w:t>
      </w:r>
      <w:r>
        <w:rPr>
          <w:lang w:val="en-NZ"/>
        </w:rPr>
        <w:t xml:space="preserve"> </w:t>
      </w:r>
      <w:r w:rsidRPr="00947AD0">
        <w:rPr>
          <w:lang w:val="en-NZ"/>
        </w:rPr>
        <w:t xml:space="preserve">and arrangements which may have no resemblance to standard interest bearing debt, </w:t>
      </w:r>
      <w:proofErr w:type="spellStart"/>
      <w:r w:rsidRPr="00947AD0">
        <w:rPr>
          <w:lang w:val="en-NZ"/>
        </w:rPr>
        <w:t>eg</w:t>
      </w:r>
      <w:proofErr w:type="spellEnd"/>
      <w:r w:rsidRPr="00947AD0">
        <w:rPr>
          <w:lang w:val="en-NZ"/>
        </w:rPr>
        <w:t xml:space="preserve"> futures contracts,</w:t>
      </w:r>
      <w:r>
        <w:rPr>
          <w:lang w:val="en-NZ"/>
        </w:rPr>
        <w:t xml:space="preserve"> </w:t>
      </w:r>
      <w:r w:rsidRPr="00947AD0">
        <w:rPr>
          <w:lang w:val="en-NZ"/>
        </w:rPr>
        <w:t xml:space="preserve">swaps and options. </w:t>
      </w:r>
      <w:r w:rsidR="00810E17">
        <w:rPr>
          <w:lang w:val="en-NZ"/>
        </w:rPr>
        <w:t xml:space="preserve"> </w:t>
      </w:r>
      <w:r w:rsidRPr="00947AD0">
        <w:rPr>
          <w:lang w:val="en-NZ"/>
        </w:rPr>
        <w:t xml:space="preserve">However, section </w:t>
      </w:r>
      <w:proofErr w:type="spellStart"/>
      <w:r w:rsidRPr="00947AD0">
        <w:rPr>
          <w:lang w:val="en-NZ"/>
        </w:rPr>
        <w:t>FG</w:t>
      </w:r>
      <w:proofErr w:type="spellEnd"/>
      <w:r w:rsidRPr="00947AD0">
        <w:rPr>
          <w:lang w:val="en-NZ"/>
        </w:rPr>
        <w:t xml:space="preserve"> 4(2) </w:t>
      </w:r>
      <w:r>
        <w:rPr>
          <w:lang w:val="en-NZ"/>
        </w:rPr>
        <w:t xml:space="preserve">[of the Income Tax Act 1994] </w:t>
      </w:r>
      <w:r w:rsidRPr="00947AD0">
        <w:rPr>
          <w:lang w:val="en-NZ"/>
        </w:rPr>
        <w:t>specifies that the financial arrangement must provide funds to</w:t>
      </w:r>
      <w:r>
        <w:rPr>
          <w:lang w:val="en-NZ"/>
        </w:rPr>
        <w:t xml:space="preserve"> </w:t>
      </w:r>
      <w:r w:rsidRPr="00947AD0">
        <w:rPr>
          <w:lang w:val="en-NZ"/>
        </w:rPr>
        <w:t xml:space="preserve">the issuer in order to be categorised as debt under the regime. </w:t>
      </w:r>
      <w:r w:rsidR="00810E17">
        <w:rPr>
          <w:lang w:val="en-NZ"/>
        </w:rPr>
        <w:t xml:space="preserve"> </w:t>
      </w:r>
      <w:r w:rsidRPr="00947AD0">
        <w:rPr>
          <w:lang w:val="en-NZ"/>
        </w:rPr>
        <w:t>This requirement is intended to ensure that</w:t>
      </w:r>
      <w:r>
        <w:rPr>
          <w:lang w:val="en-NZ"/>
        </w:rPr>
        <w:t xml:space="preserve"> </w:t>
      </w:r>
      <w:r w:rsidRPr="00947AD0">
        <w:rPr>
          <w:lang w:val="en-NZ"/>
        </w:rPr>
        <w:t>only arrangements which provide capital to the borrower should be included as debt.</w:t>
      </w:r>
    </w:p>
    <w:p w:rsidR="00960A24" w:rsidRDefault="00960A24" w:rsidP="00CF7EDE">
      <w:pPr>
        <w:ind w:left="567" w:right="565"/>
        <w:rPr>
          <w:lang w:val="en-NZ"/>
        </w:rPr>
      </w:pPr>
    </w:p>
    <w:p w:rsidR="00947AD0" w:rsidRDefault="00947AD0" w:rsidP="00CF7EDE">
      <w:pPr>
        <w:ind w:left="567" w:right="565"/>
        <w:rPr>
          <w:lang w:val="en-NZ"/>
        </w:rPr>
      </w:pPr>
      <w:r w:rsidRPr="00947AD0">
        <w:rPr>
          <w:lang w:val="en-NZ"/>
        </w:rPr>
        <w:t>For example, swaps should be excluded from the definition of total debt, unless there is a real borrowing</w:t>
      </w:r>
      <w:r>
        <w:rPr>
          <w:lang w:val="en-NZ"/>
        </w:rPr>
        <w:t xml:space="preserve"> </w:t>
      </w:r>
      <w:r w:rsidRPr="00947AD0">
        <w:rPr>
          <w:lang w:val="en-NZ"/>
        </w:rPr>
        <w:t xml:space="preserve">rather than simply a swap of interest or currency obligations. </w:t>
      </w:r>
      <w:r w:rsidR="00810E17">
        <w:rPr>
          <w:lang w:val="en-NZ"/>
        </w:rPr>
        <w:t xml:space="preserve"> </w:t>
      </w:r>
      <w:r w:rsidRPr="00947AD0">
        <w:rPr>
          <w:lang w:val="en-NZ"/>
        </w:rPr>
        <w:t>In the case of other financial derivatives,</w:t>
      </w:r>
      <w:r>
        <w:rPr>
          <w:lang w:val="en-NZ"/>
        </w:rPr>
        <w:t xml:space="preserve"> </w:t>
      </w:r>
      <w:r w:rsidRPr="00947AD0">
        <w:rPr>
          <w:lang w:val="en-NZ"/>
        </w:rPr>
        <w:t>such as options and futures contracts, it is unlikely that such arrangements would fulfil the requirement of</w:t>
      </w:r>
      <w:r>
        <w:rPr>
          <w:lang w:val="en-NZ"/>
        </w:rPr>
        <w:t xml:space="preserve"> </w:t>
      </w:r>
      <w:r w:rsidRPr="00947AD0">
        <w:rPr>
          <w:lang w:val="en-NZ"/>
        </w:rPr>
        <w:t>providing funds to the issuer.</w:t>
      </w:r>
    </w:p>
    <w:p w:rsidR="00947AD0" w:rsidRDefault="00947AD0" w:rsidP="00112E8A">
      <w:pPr>
        <w:rPr>
          <w:lang w:val="en-NZ"/>
        </w:rPr>
      </w:pPr>
    </w:p>
    <w:p w:rsidR="00CF7EDE" w:rsidRDefault="00CF7EDE">
      <w:pPr>
        <w:jc w:val="left"/>
        <w:rPr>
          <w:lang w:val="en-NZ"/>
        </w:rPr>
      </w:pPr>
      <w:r>
        <w:rPr>
          <w:lang w:val="en-NZ"/>
        </w:rPr>
        <w:br w:type="page"/>
      </w:r>
    </w:p>
    <w:p w:rsidR="002E7D2A" w:rsidRDefault="002E7D2A" w:rsidP="00112E8A">
      <w:pPr>
        <w:rPr>
          <w:lang w:val="en-NZ"/>
        </w:rPr>
      </w:pPr>
      <w:r>
        <w:rPr>
          <w:lang w:val="en-NZ"/>
        </w:rPr>
        <w:t>Further to the examples provided above officials expect that a finance lease</w:t>
      </w:r>
      <w:r w:rsidR="00CC1B80">
        <w:rPr>
          <w:lang w:val="en-NZ"/>
        </w:rPr>
        <w:t>, which in substance is a loan,</w:t>
      </w:r>
      <w:r>
        <w:rPr>
          <w:lang w:val="en-NZ"/>
        </w:rPr>
        <w:t xml:space="preserve"> would generally provide funding whereas an operating lease would not.  The examples above provide that a swap would not provide funds and this will generally be the case.  One exception to this may be where the swap exchanges collateral which is available to the New Zealand resident; however, this would be very fact specific and would </w:t>
      </w:r>
      <w:r w:rsidR="00321C4F">
        <w:rPr>
          <w:lang w:val="en-NZ"/>
        </w:rPr>
        <w:t>need to be considered on a case-by-</w:t>
      </w:r>
      <w:r>
        <w:rPr>
          <w:lang w:val="en-NZ"/>
        </w:rPr>
        <w:t>case basis.</w:t>
      </w:r>
    </w:p>
    <w:p w:rsidR="00112E8A" w:rsidRPr="00112E8A" w:rsidRDefault="00112E8A" w:rsidP="00112E8A">
      <w:pPr>
        <w:rPr>
          <w:lang w:val="en-NZ"/>
        </w:rPr>
      </w:pPr>
    </w:p>
    <w:p w:rsidR="00625ADD" w:rsidRPr="00260412" w:rsidRDefault="00625ADD" w:rsidP="00625ADD">
      <w:pPr>
        <w:pStyle w:val="Heading3"/>
        <w:rPr>
          <w:lang w:val="en-NZ"/>
        </w:rPr>
      </w:pPr>
      <w:r w:rsidRPr="00260412">
        <w:rPr>
          <w:lang w:val="en-NZ"/>
        </w:rPr>
        <w:t xml:space="preserve">Calculating whether </w:t>
      </w:r>
      <w:r>
        <w:rPr>
          <w:lang w:val="en-NZ"/>
        </w:rPr>
        <w:t>non-</w:t>
      </w:r>
      <w:r w:rsidR="007E6918">
        <w:rPr>
          <w:lang w:val="en-NZ"/>
        </w:rPr>
        <w:t xml:space="preserve">resident </w:t>
      </w:r>
      <w:r>
        <w:rPr>
          <w:lang w:val="en-NZ"/>
        </w:rPr>
        <w:t>financial arrangement income</w:t>
      </w:r>
      <w:r w:rsidRPr="00260412">
        <w:rPr>
          <w:lang w:val="en-NZ"/>
        </w:rPr>
        <w:t xml:space="preserve"> arises</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One of the principal concerns </w:t>
      </w:r>
      <w:r w:rsidR="0094580D">
        <w:rPr>
          <w:lang w:val="en-NZ"/>
        </w:rPr>
        <w:t>the amendments address</w:t>
      </w:r>
      <w:r w:rsidR="007E6918">
        <w:rPr>
          <w:lang w:val="en-NZ"/>
        </w:rPr>
        <w:t>ed</w:t>
      </w:r>
      <w:r w:rsidRPr="00260412">
        <w:rPr>
          <w:lang w:val="en-NZ"/>
        </w:rPr>
        <w:t xml:space="preserve"> is where interest payments (and therefore NRWT) significantly lag</w:t>
      </w:r>
      <w:r w:rsidR="007E6918">
        <w:rPr>
          <w:lang w:val="en-NZ"/>
        </w:rPr>
        <w:t>ged</w:t>
      </w:r>
      <w:r w:rsidRPr="00260412">
        <w:rPr>
          <w:lang w:val="en-NZ"/>
        </w:rPr>
        <w:t xml:space="preserve"> accrued deductions.  Although deductions can be accrued on a daily basis, interest is usually paid in arrears</w:t>
      </w:r>
      <w:r>
        <w:rPr>
          <w:lang w:val="en-NZ"/>
        </w:rPr>
        <w:t>,</w:t>
      </w:r>
      <w:r w:rsidRPr="00260412">
        <w:rPr>
          <w:lang w:val="en-NZ"/>
        </w:rPr>
        <w:t xml:space="preserve"> frequently up to 12 months after the start of the interest period.  These rules </w:t>
      </w:r>
      <w:r w:rsidR="007E6918">
        <w:rPr>
          <w:lang w:val="en-NZ"/>
        </w:rPr>
        <w:t>do</w:t>
      </w:r>
      <w:r w:rsidRPr="00260412">
        <w:rPr>
          <w:lang w:val="en-NZ"/>
        </w:rPr>
        <w:t xml:space="preserve"> not apply to arrangements </w:t>
      </w:r>
      <w:r>
        <w:rPr>
          <w:lang w:val="en-NZ"/>
        </w:rPr>
        <w:t>when</w:t>
      </w:r>
      <w:r w:rsidRPr="00260412">
        <w:rPr>
          <w:lang w:val="en-NZ"/>
        </w:rPr>
        <w:t xml:space="preserve"> interest is accrued up to balance date but paid shortly thereafter</w:t>
      </w:r>
      <w:r>
        <w:rPr>
          <w:lang w:val="en-NZ"/>
        </w:rPr>
        <w:t>;</w:t>
      </w:r>
      <w:r w:rsidRPr="00260412">
        <w:rPr>
          <w:lang w:val="en-NZ"/>
        </w:rPr>
        <w:t xml:space="preserve"> </w:t>
      </w:r>
      <w:r>
        <w:rPr>
          <w:lang w:val="en-NZ"/>
        </w:rPr>
        <w:t xml:space="preserve">they </w:t>
      </w:r>
      <w:r w:rsidRPr="00260412">
        <w:rPr>
          <w:lang w:val="en-NZ"/>
        </w:rPr>
        <w:t>are instead intended to cover more substantial deferrals.</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To achieve this, taxpayers, for each related party debt </w:t>
      </w:r>
      <w:r w:rsidR="00A8674B">
        <w:rPr>
          <w:lang w:val="en-NZ"/>
        </w:rPr>
        <w:t>are</w:t>
      </w:r>
      <w:r w:rsidRPr="00260412">
        <w:rPr>
          <w:lang w:val="en-NZ"/>
        </w:rPr>
        <w:t xml:space="preserve"> required to complete a deferral calculation, at the end of the second and subsequent years following issue of a financial arrangement, to determine whether non-resident financial arrangement income </w:t>
      </w:r>
      <w:r>
        <w:rPr>
          <w:lang w:val="en-NZ"/>
        </w:rPr>
        <w:t>(</w:t>
      </w:r>
      <w:proofErr w:type="spellStart"/>
      <w:r w:rsidRPr="00260412">
        <w:rPr>
          <w:lang w:val="en-NZ"/>
        </w:rPr>
        <w:t>NRFAI</w:t>
      </w:r>
      <w:proofErr w:type="spellEnd"/>
      <w:r>
        <w:rPr>
          <w:lang w:val="en-NZ"/>
        </w:rPr>
        <w:t>)</w:t>
      </w:r>
      <w:r w:rsidRPr="00260412">
        <w:rPr>
          <w:lang w:val="en-NZ"/>
        </w:rPr>
        <w:t xml:space="preserve"> arises.</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Where the deferral calculation </w:t>
      </w:r>
      <w:r w:rsidR="00082E93">
        <w:rPr>
          <w:lang w:val="en-NZ"/>
        </w:rPr>
        <w:t xml:space="preserve">in section </w:t>
      </w:r>
      <w:proofErr w:type="spellStart"/>
      <w:r w:rsidR="00082E93">
        <w:rPr>
          <w:lang w:val="en-NZ"/>
        </w:rPr>
        <w:t>RF</w:t>
      </w:r>
      <w:proofErr w:type="spellEnd"/>
      <w:r w:rsidR="00082E93">
        <w:rPr>
          <w:lang w:val="en-NZ"/>
        </w:rPr>
        <w:t xml:space="preserve"> </w:t>
      </w:r>
      <w:proofErr w:type="gramStart"/>
      <w:r w:rsidR="00082E93">
        <w:rPr>
          <w:lang w:val="en-NZ"/>
        </w:rPr>
        <w:t>2</w:t>
      </w:r>
      <w:r w:rsidR="00C159D4">
        <w:rPr>
          <w:lang w:val="en-NZ"/>
        </w:rPr>
        <w:t>C</w:t>
      </w:r>
      <w:r w:rsidR="00082E93">
        <w:rPr>
          <w:lang w:val="en-NZ"/>
        </w:rPr>
        <w:t>(</w:t>
      </w:r>
      <w:proofErr w:type="gramEnd"/>
      <w:r w:rsidR="00082E93">
        <w:rPr>
          <w:lang w:val="en-NZ"/>
        </w:rPr>
        <w:t xml:space="preserve">4) </w:t>
      </w:r>
      <w:r w:rsidRPr="00260412">
        <w:rPr>
          <w:lang w:val="en-NZ"/>
        </w:rPr>
        <w:t>is satisfied</w:t>
      </w:r>
      <w:r>
        <w:rPr>
          <w:lang w:val="en-NZ"/>
        </w:rPr>
        <w:t>,</w:t>
      </w:r>
      <w:r w:rsidRPr="00260412">
        <w:rPr>
          <w:lang w:val="en-NZ"/>
        </w:rPr>
        <w:t xml:space="preserve"> </w:t>
      </w:r>
      <w:proofErr w:type="spellStart"/>
      <w:r w:rsidRPr="00260412">
        <w:rPr>
          <w:lang w:val="en-NZ"/>
        </w:rPr>
        <w:t>NRFAI</w:t>
      </w:r>
      <w:proofErr w:type="spellEnd"/>
      <w:r w:rsidRPr="00260412">
        <w:rPr>
          <w:lang w:val="en-NZ"/>
        </w:rPr>
        <w:t xml:space="preserve"> does not arise and the related party debt continues to be taxed under the NRWT rules</w:t>
      </w:r>
      <w:r w:rsidR="00A8674B">
        <w:rPr>
          <w:lang w:val="en-NZ"/>
        </w:rPr>
        <w:t xml:space="preserve"> as they applied before the current amendments</w:t>
      </w:r>
      <w:r w:rsidRPr="00260412">
        <w:rPr>
          <w:lang w:val="en-NZ"/>
        </w:rPr>
        <w:t xml:space="preserve">.  The calculation </w:t>
      </w:r>
      <w:r w:rsidR="007E6918">
        <w:rPr>
          <w:lang w:val="en-NZ"/>
        </w:rPr>
        <w:t xml:space="preserve">that must be </w:t>
      </w:r>
      <w:r w:rsidRPr="00260412">
        <w:rPr>
          <w:lang w:val="en-NZ"/>
        </w:rPr>
        <w:t>undertaken separately for each related party debt</w:t>
      </w:r>
      <w:r w:rsidR="007E6918">
        <w:rPr>
          <w:lang w:val="en-NZ"/>
        </w:rPr>
        <w:t xml:space="preserve"> </w:t>
      </w:r>
      <w:r w:rsidRPr="00260412">
        <w:rPr>
          <w:lang w:val="en-NZ"/>
        </w:rPr>
        <w:t>at the end of each income year is:</w:t>
      </w:r>
    </w:p>
    <w:p w:rsidR="00625ADD" w:rsidRPr="00260412" w:rsidRDefault="00625ADD" w:rsidP="00625ADD">
      <w:pPr>
        <w:rPr>
          <w:lang w:val="en-NZ"/>
        </w:rPr>
      </w:pPr>
    </w:p>
    <w:p w:rsidR="00625ADD" w:rsidRPr="000A53A2" w:rsidRDefault="00625ADD" w:rsidP="00625ADD">
      <w:pPr>
        <w:jc w:val="center"/>
        <w:rPr>
          <w:i/>
          <w:lang w:val="en-NZ"/>
        </w:rPr>
      </w:pPr>
      <w:proofErr w:type="gramStart"/>
      <w:r w:rsidRPr="000A53A2">
        <w:rPr>
          <w:i/>
          <w:lang w:val="en-NZ"/>
        </w:rPr>
        <w:t>accumulated</w:t>
      </w:r>
      <w:proofErr w:type="gramEnd"/>
      <w:r w:rsidRPr="000A53A2">
        <w:rPr>
          <w:i/>
          <w:lang w:val="en-NZ"/>
        </w:rPr>
        <w:t xml:space="preserve"> payments ÷ accumulated accruals ≥ 90%</w:t>
      </w:r>
    </w:p>
    <w:p w:rsidR="00625ADD" w:rsidRPr="00260412" w:rsidRDefault="00625ADD" w:rsidP="00625ADD">
      <w:pPr>
        <w:jc w:val="left"/>
        <w:rPr>
          <w:lang w:val="en-NZ"/>
        </w:rPr>
      </w:pPr>
    </w:p>
    <w:p w:rsidR="00625ADD" w:rsidRDefault="00082E93" w:rsidP="00625ADD">
      <w:pPr>
        <w:rPr>
          <w:lang w:val="en-NZ"/>
        </w:rPr>
      </w:pPr>
      <w:r>
        <w:rPr>
          <w:lang w:val="en-NZ"/>
        </w:rPr>
        <w:t xml:space="preserve">These terms are defined in section </w:t>
      </w:r>
      <w:proofErr w:type="spellStart"/>
      <w:r>
        <w:rPr>
          <w:lang w:val="en-NZ"/>
        </w:rPr>
        <w:t>RF</w:t>
      </w:r>
      <w:proofErr w:type="spellEnd"/>
      <w:r>
        <w:rPr>
          <w:lang w:val="en-NZ"/>
        </w:rPr>
        <w:t xml:space="preserve"> </w:t>
      </w:r>
      <w:proofErr w:type="gramStart"/>
      <w:r>
        <w:rPr>
          <w:lang w:val="en-NZ"/>
        </w:rPr>
        <w:t>2</w:t>
      </w:r>
      <w:r w:rsidR="00C159D4">
        <w:rPr>
          <w:lang w:val="en-NZ"/>
        </w:rPr>
        <w:t>C</w:t>
      </w:r>
      <w:r>
        <w:rPr>
          <w:lang w:val="en-NZ"/>
        </w:rPr>
        <w:t>(</w:t>
      </w:r>
      <w:proofErr w:type="gramEnd"/>
      <w:r>
        <w:rPr>
          <w:lang w:val="en-NZ"/>
        </w:rPr>
        <w:t>5) as</w:t>
      </w:r>
      <w:r w:rsidR="00625ADD" w:rsidRPr="00260412">
        <w:rPr>
          <w:lang w:val="en-NZ"/>
        </w:rPr>
        <w:t>:</w:t>
      </w:r>
    </w:p>
    <w:p w:rsidR="00625ADD" w:rsidRPr="00260412" w:rsidRDefault="00625ADD" w:rsidP="00625ADD">
      <w:pPr>
        <w:rPr>
          <w:lang w:val="en-NZ"/>
        </w:rPr>
      </w:pPr>
    </w:p>
    <w:p w:rsidR="00625ADD" w:rsidRPr="00260412" w:rsidRDefault="00625ADD" w:rsidP="00625ADD">
      <w:pPr>
        <w:ind w:left="567"/>
        <w:rPr>
          <w:lang w:val="en-NZ"/>
        </w:rPr>
      </w:pPr>
      <w:r w:rsidRPr="002A46B3">
        <w:rPr>
          <w:i/>
          <w:lang w:val="en-NZ"/>
        </w:rPr>
        <w:t>accumulated payments</w:t>
      </w:r>
      <w:r w:rsidRPr="00260412">
        <w:rPr>
          <w:lang w:val="en-NZ"/>
        </w:rPr>
        <w:t xml:space="preserve"> is the total interest paid since the financial arrangement became a related party debt until the due date for filing the NRWT return for the second month after the end of the income year.</w:t>
      </w:r>
      <w:r w:rsidRPr="00260412">
        <w:rPr>
          <w:lang w:val="en-NZ"/>
        </w:rPr>
        <w:cr/>
      </w:r>
    </w:p>
    <w:p w:rsidR="00625ADD" w:rsidRPr="00260412" w:rsidRDefault="00625ADD" w:rsidP="00625ADD">
      <w:pPr>
        <w:ind w:left="567"/>
        <w:rPr>
          <w:lang w:val="en-NZ"/>
        </w:rPr>
      </w:pPr>
      <w:proofErr w:type="gramStart"/>
      <w:r w:rsidRPr="002A46B3">
        <w:rPr>
          <w:i/>
          <w:lang w:val="en-NZ"/>
        </w:rPr>
        <w:t>accumulated</w:t>
      </w:r>
      <w:proofErr w:type="gramEnd"/>
      <w:r w:rsidRPr="002A46B3">
        <w:rPr>
          <w:i/>
          <w:lang w:val="en-NZ"/>
        </w:rPr>
        <w:t xml:space="preserve"> accruals</w:t>
      </w:r>
      <w:r w:rsidRPr="00260412">
        <w:rPr>
          <w:lang w:val="en-NZ"/>
        </w:rPr>
        <w:t xml:space="preserve"> is the total expenditure the borrower incurs (excluding the effect of foreign exchange</w:t>
      </w:r>
      <w:r w:rsidR="003D2864">
        <w:rPr>
          <w:lang w:val="en-NZ"/>
        </w:rPr>
        <w:t xml:space="preserve"> fluctuations</w:t>
      </w:r>
      <w:r w:rsidRPr="00260412">
        <w:rPr>
          <w:lang w:val="en-NZ"/>
        </w:rPr>
        <w:t>) while the arrangement is a related party debt until the end of the year preceding the income year.</w:t>
      </w:r>
    </w:p>
    <w:p w:rsidR="00625ADD" w:rsidRPr="00260412" w:rsidRDefault="00625ADD" w:rsidP="00625ADD">
      <w:pPr>
        <w:rPr>
          <w:lang w:val="en-NZ"/>
        </w:rPr>
      </w:pPr>
    </w:p>
    <w:p w:rsidR="00625ADD" w:rsidRDefault="00625ADD" w:rsidP="00625ADD">
      <w:pPr>
        <w:rPr>
          <w:lang w:val="en-NZ"/>
        </w:rPr>
      </w:pPr>
      <w:r w:rsidRPr="00260412">
        <w:rPr>
          <w:lang w:val="en-NZ"/>
        </w:rPr>
        <w:t xml:space="preserve">The period for the two variables is different, with </w:t>
      </w:r>
      <w:r w:rsidR="00CF7EDE">
        <w:rPr>
          <w:lang w:val="en-NZ"/>
        </w:rPr>
        <w:t>“</w:t>
      </w:r>
      <w:r w:rsidRPr="00260412">
        <w:rPr>
          <w:lang w:val="en-NZ"/>
        </w:rPr>
        <w:t>accumulated payments</w:t>
      </w:r>
      <w:r w:rsidR="00CF7EDE">
        <w:rPr>
          <w:lang w:val="en-NZ"/>
        </w:rPr>
        <w:t>”</w:t>
      </w:r>
      <w:r w:rsidRPr="00260412">
        <w:rPr>
          <w:lang w:val="en-NZ"/>
        </w:rPr>
        <w:t xml:space="preserve"> covering payments made up to and somewhat beyond the end of the most recent completed income year while </w:t>
      </w:r>
      <w:r w:rsidR="00CF7EDE">
        <w:rPr>
          <w:lang w:val="en-NZ"/>
        </w:rPr>
        <w:t>“</w:t>
      </w:r>
      <w:r w:rsidRPr="00260412">
        <w:rPr>
          <w:lang w:val="en-NZ"/>
        </w:rPr>
        <w:t>accumulated accruals</w:t>
      </w:r>
      <w:r w:rsidR="00CF7EDE">
        <w:rPr>
          <w:lang w:val="en-NZ"/>
        </w:rPr>
        <w:t>”</w:t>
      </w:r>
      <w:r w:rsidRPr="00260412">
        <w:rPr>
          <w:lang w:val="en-NZ"/>
        </w:rPr>
        <w:t xml:space="preserve"> excludes the most recently completed year.  There are two reasons for this difference:</w:t>
      </w:r>
    </w:p>
    <w:p w:rsidR="00625ADD" w:rsidRPr="00260412" w:rsidRDefault="00625ADD" w:rsidP="00625ADD">
      <w:pPr>
        <w:rPr>
          <w:lang w:val="en-NZ"/>
        </w:rPr>
      </w:pPr>
    </w:p>
    <w:p w:rsidR="00625ADD" w:rsidRPr="00260412" w:rsidRDefault="00625ADD" w:rsidP="00625ADD">
      <w:pPr>
        <w:pStyle w:val="Bullets"/>
      </w:pPr>
      <w:r w:rsidRPr="00260412">
        <w:t xml:space="preserve">This approach ensures </w:t>
      </w:r>
      <w:proofErr w:type="spellStart"/>
      <w:r w:rsidRPr="00260412">
        <w:t>NRFAI</w:t>
      </w:r>
      <w:proofErr w:type="spellEnd"/>
      <w:r w:rsidRPr="00260412">
        <w:t xml:space="preserve"> does not arise simply because interest is paid annually in arrears.</w:t>
      </w:r>
    </w:p>
    <w:p w:rsidR="00625ADD" w:rsidRPr="00260412" w:rsidRDefault="00CF7EDE" w:rsidP="00625ADD">
      <w:pPr>
        <w:pStyle w:val="Bullets"/>
        <w:spacing w:after="0"/>
      </w:pPr>
      <w:r>
        <w:t>“</w:t>
      </w:r>
      <w:r w:rsidR="00625ADD" w:rsidRPr="00260412">
        <w:t>Accumulated payments</w:t>
      </w:r>
      <w:r>
        <w:t>”</w:t>
      </w:r>
      <w:r w:rsidR="00625ADD" w:rsidRPr="00260412">
        <w:t xml:space="preserve"> only requires knowing what interest has been paid whereas </w:t>
      </w:r>
      <w:r>
        <w:t>“</w:t>
      </w:r>
      <w:r w:rsidR="00625ADD" w:rsidRPr="00260412">
        <w:t>accumulated accruals</w:t>
      </w:r>
      <w:r>
        <w:t>”</w:t>
      </w:r>
      <w:r w:rsidR="00625ADD" w:rsidRPr="00260412">
        <w:t xml:space="preserve"> requires a calculation under the financial arrangement rules</w:t>
      </w:r>
      <w:r w:rsidR="00625ADD">
        <w:t>,</w:t>
      </w:r>
      <w:r w:rsidR="00625ADD" w:rsidRPr="00260412">
        <w:t xml:space="preserve"> which might often not be </w:t>
      </w:r>
      <w:r w:rsidR="005D50E2">
        <w:t>made</w:t>
      </w:r>
      <w:r w:rsidR="00625ADD" w:rsidRPr="00260412">
        <w:t xml:space="preserve"> until shortly before the income tax return is filed.  Using </w:t>
      </w:r>
      <w:r>
        <w:t>“</w:t>
      </w:r>
      <w:r w:rsidR="00625ADD" w:rsidRPr="00260412">
        <w:t>accumulated accruals</w:t>
      </w:r>
      <w:r>
        <w:t>”</w:t>
      </w:r>
      <w:r w:rsidR="00625ADD">
        <w:t>,</w:t>
      </w:r>
      <w:r w:rsidR="00625ADD" w:rsidRPr="00260412">
        <w:t xml:space="preserve"> excluding the current year means the majority of the necessary calculations will have already been completed in the ordinary course </w:t>
      </w:r>
      <w:r w:rsidR="00625ADD">
        <w:t xml:space="preserve">of business </w:t>
      </w:r>
      <w:r w:rsidR="00625ADD" w:rsidRPr="00260412">
        <w:t>(</w:t>
      </w:r>
      <w:r w:rsidR="00625ADD">
        <w:t>that is, w</w:t>
      </w:r>
      <w:r w:rsidR="00625ADD" w:rsidRPr="00260412">
        <w:t>hether or not these rules were introduced).</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Applying a 90% threshold rather than a 100% threshold provides an additional buffer, so that the </w:t>
      </w:r>
      <w:r w:rsidR="007E6918">
        <w:rPr>
          <w:lang w:val="en-NZ"/>
        </w:rPr>
        <w:t xml:space="preserve">deferral calculation is not triggered </w:t>
      </w:r>
      <w:r>
        <w:rPr>
          <w:lang w:val="en-NZ"/>
        </w:rPr>
        <w:t>when</w:t>
      </w:r>
      <w:r w:rsidRPr="00260412">
        <w:rPr>
          <w:lang w:val="en-NZ"/>
        </w:rPr>
        <w:t xml:space="preserve"> the majority of interest payments are paid on a 12-month or less deferral </w:t>
      </w:r>
      <w:r>
        <w:rPr>
          <w:lang w:val="en-NZ"/>
        </w:rPr>
        <w:t xml:space="preserve">basis, </w:t>
      </w:r>
      <w:r w:rsidRPr="00260412">
        <w:rPr>
          <w:lang w:val="en-NZ"/>
        </w:rPr>
        <w:t>but there is a limited amount of accrued interest</w:t>
      </w:r>
      <w:r w:rsidR="00810E17">
        <w:rPr>
          <w:lang w:val="en-NZ"/>
        </w:rPr>
        <w:t xml:space="preserve"> –</w:t>
      </w:r>
      <w:r w:rsidRPr="00260412">
        <w:rPr>
          <w:lang w:val="en-NZ"/>
        </w:rPr>
        <w:t xml:space="preserve"> for example</w:t>
      </w:r>
      <w:r>
        <w:rPr>
          <w:lang w:val="en-NZ"/>
        </w:rPr>
        <w:t>,</w:t>
      </w:r>
      <w:r w:rsidRPr="00260412">
        <w:rPr>
          <w:lang w:val="en-NZ"/>
        </w:rPr>
        <w:t xml:space="preserve"> </w:t>
      </w:r>
      <w:r>
        <w:rPr>
          <w:lang w:val="en-NZ"/>
        </w:rPr>
        <w:t>when</w:t>
      </w:r>
      <w:r w:rsidRPr="00260412">
        <w:rPr>
          <w:lang w:val="en-NZ"/>
        </w:rPr>
        <w:t xml:space="preserve"> a bond is issued at a slight discount.  This 90% discount also partially equalises the effect on arrangements that are entered into at different points prior to a balance date and before the first interest payment is made.</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Once </w:t>
      </w:r>
      <w:proofErr w:type="spellStart"/>
      <w:r w:rsidRPr="00260412">
        <w:rPr>
          <w:lang w:val="en-NZ"/>
        </w:rPr>
        <w:t>NRFAI</w:t>
      </w:r>
      <w:proofErr w:type="spellEnd"/>
      <w:r w:rsidRPr="00260412">
        <w:rPr>
          <w:lang w:val="en-NZ"/>
        </w:rPr>
        <w:t xml:space="preserve"> arises in a year</w:t>
      </w:r>
      <w:r w:rsidR="00C31204">
        <w:rPr>
          <w:lang w:val="en-NZ"/>
        </w:rPr>
        <w:t>,</w:t>
      </w:r>
      <w:r w:rsidRPr="00260412">
        <w:rPr>
          <w:lang w:val="en-NZ"/>
        </w:rPr>
        <w:t xml:space="preserve"> </w:t>
      </w:r>
      <w:r w:rsidR="00082E93">
        <w:rPr>
          <w:lang w:val="en-NZ"/>
        </w:rPr>
        <w:t xml:space="preserve">section </w:t>
      </w:r>
      <w:proofErr w:type="spellStart"/>
      <w:r w:rsidR="00082E93">
        <w:rPr>
          <w:lang w:val="en-NZ"/>
        </w:rPr>
        <w:t>RF</w:t>
      </w:r>
      <w:proofErr w:type="spellEnd"/>
      <w:r w:rsidR="00082E93">
        <w:rPr>
          <w:lang w:val="en-NZ"/>
        </w:rPr>
        <w:t xml:space="preserve"> 2</w:t>
      </w:r>
      <w:r w:rsidR="00AE150D">
        <w:rPr>
          <w:lang w:val="en-NZ"/>
        </w:rPr>
        <w:t>C</w:t>
      </w:r>
      <w:r w:rsidR="00082E93">
        <w:rPr>
          <w:lang w:val="en-NZ"/>
        </w:rPr>
        <w:t xml:space="preserve"> (2</w:t>
      </w:r>
      <w:proofErr w:type="gramStart"/>
      <w:r w:rsidR="00082E93">
        <w:rPr>
          <w:lang w:val="en-NZ"/>
        </w:rPr>
        <w:t>)(</w:t>
      </w:r>
      <w:proofErr w:type="gramEnd"/>
      <w:r w:rsidR="00082E93">
        <w:rPr>
          <w:lang w:val="en-NZ"/>
        </w:rPr>
        <w:t xml:space="preserve">a) requires </w:t>
      </w:r>
      <w:r w:rsidRPr="00260412">
        <w:rPr>
          <w:lang w:val="en-NZ"/>
        </w:rPr>
        <w:t xml:space="preserve">NRWT </w:t>
      </w:r>
      <w:r w:rsidR="00082E93">
        <w:rPr>
          <w:lang w:val="en-NZ"/>
        </w:rPr>
        <w:t xml:space="preserve">to </w:t>
      </w:r>
      <w:r w:rsidRPr="00260412">
        <w:rPr>
          <w:lang w:val="en-NZ"/>
        </w:rPr>
        <w:t xml:space="preserve">continue </w:t>
      </w:r>
      <w:r w:rsidR="00082E93">
        <w:rPr>
          <w:lang w:val="en-NZ"/>
        </w:rPr>
        <w:t xml:space="preserve">to </w:t>
      </w:r>
      <w:r w:rsidRPr="00260412">
        <w:rPr>
          <w:lang w:val="en-NZ"/>
        </w:rPr>
        <w:t>apply on an accrual basis so long as the financial arrangement is related party debt.  This means it will not be necessary for a taxpayer to repeat the above deferral calculation once the 90% threshold has been breached.</w:t>
      </w:r>
    </w:p>
    <w:p w:rsidR="00625ADD" w:rsidRDefault="00625ADD" w:rsidP="00625ADD">
      <w:pPr>
        <w:rPr>
          <w:lang w:val="en-NZ"/>
        </w:rPr>
      </w:pPr>
    </w:p>
    <w:p w:rsidR="00A61290" w:rsidRDefault="00A61290" w:rsidP="00643520">
      <w:pPr>
        <w:pStyle w:val="Heading3"/>
        <w:rPr>
          <w:lang w:val="en-NZ"/>
        </w:rPr>
      </w:pPr>
      <w:r>
        <w:rPr>
          <w:lang w:val="en-NZ"/>
        </w:rPr>
        <w:t xml:space="preserve">Record keeping requirements for </w:t>
      </w:r>
      <w:proofErr w:type="spellStart"/>
      <w:r>
        <w:rPr>
          <w:lang w:val="en-NZ"/>
        </w:rPr>
        <w:t>NRFAI</w:t>
      </w:r>
      <w:proofErr w:type="spellEnd"/>
      <w:r>
        <w:rPr>
          <w:lang w:val="en-NZ"/>
        </w:rPr>
        <w:t xml:space="preserve"> calculations</w:t>
      </w:r>
    </w:p>
    <w:p w:rsidR="00A61290" w:rsidRDefault="00A61290" w:rsidP="00625ADD">
      <w:pPr>
        <w:rPr>
          <w:lang w:val="en-NZ"/>
        </w:rPr>
      </w:pPr>
    </w:p>
    <w:p w:rsidR="00A61290" w:rsidRPr="00A61290" w:rsidRDefault="00A0188B" w:rsidP="00625ADD">
      <w:pPr>
        <w:rPr>
          <w:lang w:val="en-NZ"/>
        </w:rPr>
      </w:pPr>
      <w:r>
        <w:rPr>
          <w:lang w:val="en-NZ"/>
        </w:rPr>
        <w:t>There is no prescribed form for the deferral calculation.  Taxpayers will, however, be expected to complete and retain sufficient records to support their tax position</w:t>
      </w:r>
      <w:r w:rsidR="00FA750D">
        <w:rPr>
          <w:lang w:val="en-NZ"/>
        </w:rPr>
        <w:t xml:space="preserve">.  As the deferral calculation is only important in determining whether </w:t>
      </w:r>
      <w:proofErr w:type="spellStart"/>
      <w:r w:rsidR="00FA750D">
        <w:rPr>
          <w:lang w:val="en-NZ"/>
        </w:rPr>
        <w:t>NRFAI</w:t>
      </w:r>
      <w:proofErr w:type="spellEnd"/>
      <w:r w:rsidR="00FA750D">
        <w:rPr>
          <w:lang w:val="en-NZ"/>
        </w:rPr>
        <w:t xml:space="preserve"> has been derived, rather than the specific value of that calculation, the record keeping requirements should be broadly proportional to the significance of the calculation.  For example, a related party debt that had regular interest payments equal to the interest accrued since the previous interest payment would not be expected to be near the 90% threshold so the records to support this would not need to be particularly detailed.  Likewise a related party debt that did not have any interest payments would be treated as over 90% at the first </w:t>
      </w:r>
      <w:proofErr w:type="spellStart"/>
      <w:r w:rsidR="00FA750D">
        <w:rPr>
          <w:lang w:val="en-NZ"/>
        </w:rPr>
        <w:t>NRFAI</w:t>
      </w:r>
      <w:proofErr w:type="spellEnd"/>
      <w:r w:rsidR="00FA750D">
        <w:rPr>
          <w:lang w:val="en-NZ"/>
        </w:rPr>
        <w:t xml:space="preserve"> due date but would be less than 90% at the second </w:t>
      </w:r>
      <w:proofErr w:type="spellStart"/>
      <w:r w:rsidR="00FA750D">
        <w:rPr>
          <w:lang w:val="en-NZ"/>
        </w:rPr>
        <w:t>NRFAI</w:t>
      </w:r>
      <w:proofErr w:type="spellEnd"/>
      <w:r w:rsidR="00FA750D">
        <w:rPr>
          <w:lang w:val="en-NZ"/>
        </w:rPr>
        <w:t xml:space="preserve"> due date so again minimal records would be required.  In contrast, a taxpayer that completed a deferral calculation showing that the result of the formula was 92% would need to maintain sufficient records to satisfy the Commissioner, if requested, that the 92% figure was accurate and should not instead be below 90%.</w:t>
      </w:r>
    </w:p>
    <w:p w:rsidR="00A61290" w:rsidRPr="00260412" w:rsidRDefault="00A61290" w:rsidP="00625ADD">
      <w:pPr>
        <w:rPr>
          <w:lang w:val="en-NZ"/>
        </w:rPr>
      </w:pPr>
    </w:p>
    <w:p w:rsidR="00625ADD" w:rsidRPr="00260412" w:rsidRDefault="00625ADD" w:rsidP="00625ADD">
      <w:pPr>
        <w:pStyle w:val="Heading3"/>
        <w:rPr>
          <w:lang w:val="en-NZ"/>
        </w:rPr>
      </w:pPr>
      <w:r w:rsidRPr="00260412">
        <w:rPr>
          <w:lang w:val="en-NZ"/>
        </w:rPr>
        <w:t>Related party de minimis</w:t>
      </w:r>
      <w:r>
        <w:rPr>
          <w:lang w:val="en-NZ"/>
        </w:rPr>
        <w:t xml:space="preserve"> threshold</w:t>
      </w:r>
    </w:p>
    <w:p w:rsidR="00625ADD" w:rsidRPr="00260412" w:rsidRDefault="00625ADD" w:rsidP="00625ADD">
      <w:pPr>
        <w:rPr>
          <w:lang w:val="en-NZ"/>
        </w:rPr>
      </w:pPr>
    </w:p>
    <w:p w:rsidR="00625ADD" w:rsidRPr="00260412" w:rsidRDefault="00625ADD" w:rsidP="00625ADD">
      <w:pPr>
        <w:rPr>
          <w:lang w:val="en-NZ"/>
        </w:rPr>
      </w:pPr>
      <w:r>
        <w:rPr>
          <w:lang w:val="en-NZ"/>
        </w:rPr>
        <w:t>If</w:t>
      </w:r>
      <w:r w:rsidRPr="00260412">
        <w:rPr>
          <w:lang w:val="en-NZ"/>
        </w:rPr>
        <w:t xml:space="preserve"> a New Zealand borrower has only a small amount of related party financial </w:t>
      </w:r>
      <w:r>
        <w:rPr>
          <w:lang w:val="en-NZ"/>
        </w:rPr>
        <w:t xml:space="preserve">arrangement expenditure, </w:t>
      </w:r>
      <w:r w:rsidRPr="00260412">
        <w:rPr>
          <w:lang w:val="en-NZ"/>
        </w:rPr>
        <w:t xml:space="preserve">the amount of the NRWT deferral, compared </w:t>
      </w:r>
      <w:r>
        <w:rPr>
          <w:lang w:val="en-NZ"/>
        </w:rPr>
        <w:t>with</w:t>
      </w:r>
      <w:r w:rsidRPr="00260412">
        <w:rPr>
          <w:lang w:val="en-NZ"/>
        </w:rPr>
        <w:t xml:space="preserve"> income tax deductions, may not be sufficiently large to justify the additional compliance costs of having to apply the </w:t>
      </w:r>
      <w:proofErr w:type="spellStart"/>
      <w:r w:rsidRPr="00260412">
        <w:rPr>
          <w:lang w:val="en-NZ"/>
        </w:rPr>
        <w:t>NRFAI</w:t>
      </w:r>
      <w:proofErr w:type="spellEnd"/>
      <w:r w:rsidRPr="00260412">
        <w:rPr>
          <w:lang w:val="en-NZ"/>
        </w:rPr>
        <w:t xml:space="preserve"> rules.</w:t>
      </w:r>
    </w:p>
    <w:p w:rsidR="00625ADD" w:rsidRPr="00260412" w:rsidRDefault="00625ADD" w:rsidP="00625ADD">
      <w:pPr>
        <w:rPr>
          <w:lang w:val="en-NZ"/>
        </w:rPr>
      </w:pPr>
    </w:p>
    <w:p w:rsidR="00625ADD" w:rsidRPr="00260412" w:rsidRDefault="006F5D0C" w:rsidP="00625ADD">
      <w:pPr>
        <w:rPr>
          <w:lang w:val="en-NZ"/>
        </w:rPr>
      </w:pPr>
      <w:r>
        <w:rPr>
          <w:lang w:val="en-NZ"/>
        </w:rPr>
        <w:t xml:space="preserve">Sections </w:t>
      </w:r>
      <w:proofErr w:type="spellStart"/>
      <w:r>
        <w:rPr>
          <w:lang w:val="en-NZ"/>
        </w:rPr>
        <w:t>RF</w:t>
      </w:r>
      <w:proofErr w:type="spellEnd"/>
      <w:r>
        <w:rPr>
          <w:lang w:val="en-NZ"/>
        </w:rPr>
        <w:t xml:space="preserve"> 2</w:t>
      </w:r>
      <w:r w:rsidR="00AE150D">
        <w:rPr>
          <w:lang w:val="en-NZ"/>
        </w:rPr>
        <w:t>C</w:t>
      </w:r>
      <w:r>
        <w:rPr>
          <w:lang w:val="en-NZ"/>
        </w:rPr>
        <w:t>(2)(b</w:t>
      </w:r>
      <w:r w:rsidR="007E6918">
        <w:rPr>
          <w:lang w:val="en-NZ"/>
        </w:rPr>
        <w:t>)</w:t>
      </w:r>
      <w:r>
        <w:rPr>
          <w:lang w:val="en-NZ"/>
        </w:rPr>
        <w:t>(</w:t>
      </w:r>
      <w:proofErr w:type="spellStart"/>
      <w:r>
        <w:rPr>
          <w:lang w:val="en-NZ"/>
        </w:rPr>
        <w:t>i</w:t>
      </w:r>
      <w:proofErr w:type="spellEnd"/>
      <w:r>
        <w:rPr>
          <w:lang w:val="en-NZ"/>
        </w:rPr>
        <w:t xml:space="preserve">) and </w:t>
      </w:r>
      <w:proofErr w:type="spellStart"/>
      <w:r>
        <w:rPr>
          <w:lang w:val="en-NZ"/>
        </w:rPr>
        <w:t>RF</w:t>
      </w:r>
      <w:proofErr w:type="spellEnd"/>
      <w:r>
        <w:rPr>
          <w:lang w:val="en-NZ"/>
        </w:rPr>
        <w:t xml:space="preserve"> 2</w:t>
      </w:r>
      <w:r w:rsidR="00AE150D">
        <w:rPr>
          <w:lang w:val="en-NZ"/>
        </w:rPr>
        <w:t>C</w:t>
      </w:r>
      <w:r>
        <w:rPr>
          <w:lang w:val="en-NZ"/>
        </w:rPr>
        <w:t xml:space="preserve"> (3) carve out a</w:t>
      </w:r>
      <w:r w:rsidR="00625ADD" w:rsidRPr="00260412">
        <w:rPr>
          <w:lang w:val="en-NZ"/>
        </w:rPr>
        <w:t xml:space="preserve"> borrower (and their related party lenders) </w:t>
      </w:r>
      <w:r>
        <w:rPr>
          <w:lang w:val="en-NZ"/>
        </w:rPr>
        <w:t>from</w:t>
      </w:r>
      <w:r w:rsidR="00625ADD" w:rsidRPr="00260412">
        <w:rPr>
          <w:lang w:val="en-NZ"/>
        </w:rPr>
        <w:t xml:space="preserve"> apply</w:t>
      </w:r>
      <w:r>
        <w:rPr>
          <w:lang w:val="en-NZ"/>
        </w:rPr>
        <w:t>ing</w:t>
      </w:r>
      <w:r w:rsidR="00625ADD" w:rsidRPr="00260412">
        <w:rPr>
          <w:lang w:val="en-NZ"/>
        </w:rPr>
        <w:t xml:space="preserve"> the </w:t>
      </w:r>
      <w:proofErr w:type="spellStart"/>
      <w:r w:rsidR="00625ADD" w:rsidRPr="00260412">
        <w:rPr>
          <w:lang w:val="en-NZ"/>
        </w:rPr>
        <w:t>NRFAI</w:t>
      </w:r>
      <w:proofErr w:type="spellEnd"/>
      <w:r w:rsidR="00625ADD" w:rsidRPr="00260412">
        <w:rPr>
          <w:lang w:val="en-NZ"/>
        </w:rPr>
        <w:t xml:space="preserve"> rules</w:t>
      </w:r>
      <w:r w:rsidR="00625ADD">
        <w:rPr>
          <w:lang w:val="en-NZ"/>
        </w:rPr>
        <w:t xml:space="preserve">, except in relation to arrangements already subject to </w:t>
      </w:r>
      <w:proofErr w:type="spellStart"/>
      <w:r w:rsidR="00625ADD">
        <w:rPr>
          <w:lang w:val="en-NZ"/>
        </w:rPr>
        <w:t>NRFAI</w:t>
      </w:r>
      <w:proofErr w:type="spellEnd"/>
      <w:r w:rsidR="00625ADD">
        <w:rPr>
          <w:lang w:val="en-NZ"/>
        </w:rPr>
        <w:t>,</w:t>
      </w:r>
      <w:r w:rsidR="00625ADD" w:rsidRPr="00260412">
        <w:rPr>
          <w:lang w:val="en-NZ"/>
        </w:rPr>
        <w:t xml:space="preserve"> if their expenditure on related party </w:t>
      </w:r>
      <w:r w:rsidR="00625ADD">
        <w:rPr>
          <w:lang w:val="en-NZ"/>
        </w:rPr>
        <w:t>debt</w:t>
      </w:r>
      <w:r w:rsidR="00625ADD" w:rsidRPr="00260412">
        <w:rPr>
          <w:lang w:val="en-NZ"/>
        </w:rPr>
        <w:t xml:space="preserve"> in the previous year is less than $40,000.  Unlike the rest of the </w:t>
      </w:r>
      <w:proofErr w:type="spellStart"/>
      <w:r w:rsidR="00625ADD" w:rsidRPr="00260412">
        <w:rPr>
          <w:lang w:val="en-NZ"/>
        </w:rPr>
        <w:t>NRFAI</w:t>
      </w:r>
      <w:proofErr w:type="spellEnd"/>
      <w:r w:rsidR="00625ADD" w:rsidRPr="00260412">
        <w:rPr>
          <w:lang w:val="en-NZ"/>
        </w:rPr>
        <w:t xml:space="preserve"> rules, to minimise compliance costs, this threshold includes foreign exchange movements on those financial arrangements so that a separate calculation is not required to be undertaken.  The threshold also includes expenditure incurred by entities with a common ownership (66</w:t>
      </w:r>
      <w:r w:rsidR="00625ADD">
        <w:rPr>
          <w:lang w:val="en-NZ"/>
        </w:rPr>
        <w:t>%</w:t>
      </w:r>
      <w:r w:rsidR="00625ADD" w:rsidRPr="00260412">
        <w:rPr>
          <w:lang w:val="en-NZ"/>
        </w:rPr>
        <w:t>) of the borrower</w:t>
      </w:r>
      <w:r w:rsidR="00625ADD">
        <w:rPr>
          <w:lang w:val="en-NZ"/>
        </w:rPr>
        <w:t>,</w:t>
      </w:r>
      <w:r w:rsidR="00625ADD" w:rsidRPr="00260412">
        <w:rPr>
          <w:lang w:val="en-NZ"/>
        </w:rPr>
        <w:t xml:space="preserve"> to prevent taxpayers avoiding the </w:t>
      </w:r>
      <w:proofErr w:type="spellStart"/>
      <w:r w:rsidR="00625ADD" w:rsidRPr="00260412">
        <w:rPr>
          <w:lang w:val="en-NZ"/>
        </w:rPr>
        <w:t>NRFAI</w:t>
      </w:r>
      <w:proofErr w:type="spellEnd"/>
      <w:r w:rsidR="00625ADD" w:rsidRPr="00260412">
        <w:rPr>
          <w:lang w:val="en-NZ"/>
        </w:rPr>
        <w:t xml:space="preserve"> rules by borrowing through multiple entities.</w:t>
      </w:r>
    </w:p>
    <w:p w:rsidR="00625ADD" w:rsidRDefault="00625ADD" w:rsidP="00625ADD">
      <w:pPr>
        <w:rPr>
          <w:lang w:val="en-NZ"/>
        </w:rPr>
      </w:pPr>
    </w:p>
    <w:p w:rsidR="00625ADD" w:rsidRPr="00260412" w:rsidRDefault="00625ADD" w:rsidP="00625ADD">
      <w:pPr>
        <w:pStyle w:val="Heading3"/>
        <w:rPr>
          <w:lang w:val="en-NZ"/>
        </w:rPr>
      </w:pPr>
      <w:r w:rsidRPr="00260412">
        <w:rPr>
          <w:lang w:val="en-NZ"/>
        </w:rPr>
        <w:t>Timing of calculations and payment</w:t>
      </w:r>
    </w:p>
    <w:p w:rsidR="00625ADD" w:rsidRPr="00260412" w:rsidRDefault="00625ADD" w:rsidP="00625ADD">
      <w:pPr>
        <w:rPr>
          <w:lang w:val="en-NZ"/>
        </w:rPr>
      </w:pPr>
    </w:p>
    <w:p w:rsidR="00625ADD" w:rsidRPr="00260412" w:rsidRDefault="00625ADD" w:rsidP="00625ADD">
      <w:pPr>
        <w:rPr>
          <w:lang w:val="en-NZ"/>
        </w:rPr>
      </w:pPr>
      <w:r w:rsidRPr="00260412">
        <w:rPr>
          <w:lang w:val="en-NZ"/>
        </w:rPr>
        <w:t>The above deferral calculation should be completed as part of the preparation of the NRWT return for the second month after the borrower</w:t>
      </w:r>
      <w:r w:rsidR="00CF7EDE">
        <w:rPr>
          <w:lang w:val="en-NZ"/>
        </w:rPr>
        <w:t>’</w:t>
      </w:r>
      <w:r w:rsidRPr="00260412">
        <w:rPr>
          <w:lang w:val="en-NZ"/>
        </w:rPr>
        <w:t xml:space="preserve">s balance date.  This NRWT return is due on the 20th of the third month after balance date.  This date is defined </w:t>
      </w:r>
      <w:r w:rsidR="00ED6C74">
        <w:rPr>
          <w:lang w:val="en-NZ"/>
        </w:rPr>
        <w:t xml:space="preserve">in section </w:t>
      </w:r>
      <w:proofErr w:type="spellStart"/>
      <w:r w:rsidR="00ED6C74" w:rsidRPr="005A2408">
        <w:rPr>
          <w:lang w:val="en-NZ"/>
        </w:rPr>
        <w:t>RF</w:t>
      </w:r>
      <w:proofErr w:type="spellEnd"/>
      <w:r w:rsidR="00ED6C74" w:rsidRPr="005A2408">
        <w:rPr>
          <w:lang w:val="en-NZ"/>
        </w:rPr>
        <w:t xml:space="preserve"> </w:t>
      </w:r>
      <w:proofErr w:type="gramStart"/>
      <w:r w:rsidR="00ED6C74" w:rsidRPr="005A2408">
        <w:rPr>
          <w:lang w:val="en-NZ"/>
        </w:rPr>
        <w:t>2</w:t>
      </w:r>
      <w:r w:rsidR="005A2408" w:rsidRPr="005A2408">
        <w:rPr>
          <w:lang w:val="en-NZ"/>
        </w:rPr>
        <w:t>C</w:t>
      </w:r>
      <w:r w:rsidR="00ED6C74" w:rsidRPr="005A2408">
        <w:rPr>
          <w:lang w:val="en-NZ"/>
        </w:rPr>
        <w:t>(</w:t>
      </w:r>
      <w:proofErr w:type="gramEnd"/>
      <w:r w:rsidR="00ED6C74" w:rsidRPr="005A2408">
        <w:rPr>
          <w:lang w:val="en-NZ"/>
        </w:rPr>
        <w:t>7)</w:t>
      </w:r>
      <w:r w:rsidR="00ED6C74">
        <w:rPr>
          <w:lang w:val="en-NZ"/>
        </w:rPr>
        <w:t xml:space="preserve"> </w:t>
      </w:r>
      <w:r w:rsidRPr="00260412">
        <w:rPr>
          <w:lang w:val="en-NZ"/>
        </w:rPr>
        <w:t xml:space="preserve">as the </w:t>
      </w:r>
      <w:r w:rsidR="00CF7EDE">
        <w:rPr>
          <w:lang w:val="en-NZ"/>
        </w:rPr>
        <w:t>“</w:t>
      </w:r>
      <w:proofErr w:type="spellStart"/>
      <w:r w:rsidRPr="00260412">
        <w:rPr>
          <w:lang w:val="en-NZ"/>
        </w:rPr>
        <w:t>NRFAI</w:t>
      </w:r>
      <w:proofErr w:type="spellEnd"/>
      <w:r w:rsidRPr="00260412">
        <w:rPr>
          <w:lang w:val="en-NZ"/>
        </w:rPr>
        <w:t xml:space="preserve"> due date</w:t>
      </w:r>
      <w:r w:rsidR="00CF7EDE">
        <w:rPr>
          <w:lang w:val="en-NZ"/>
        </w:rPr>
        <w:t>”</w:t>
      </w:r>
      <w:r w:rsidRPr="00260412">
        <w:rPr>
          <w:lang w:val="en-NZ"/>
        </w:rPr>
        <w:t xml:space="preserve">.  Once </w:t>
      </w:r>
      <w:proofErr w:type="spellStart"/>
      <w:r w:rsidRPr="00260412">
        <w:rPr>
          <w:lang w:val="en-NZ"/>
        </w:rPr>
        <w:t>NRFAI</w:t>
      </w:r>
      <w:proofErr w:type="spellEnd"/>
      <w:r w:rsidRPr="00260412">
        <w:rPr>
          <w:lang w:val="en-NZ"/>
        </w:rPr>
        <w:t xml:space="preserve"> arises for a year</w:t>
      </w:r>
      <w:r>
        <w:rPr>
          <w:lang w:val="en-NZ"/>
        </w:rPr>
        <w:t>,</w:t>
      </w:r>
      <w:r w:rsidRPr="00260412">
        <w:rPr>
          <w:lang w:val="en-NZ"/>
        </w:rPr>
        <w:t xml:space="preserve"> </w:t>
      </w:r>
      <w:r w:rsidR="00ED6C74">
        <w:rPr>
          <w:lang w:val="en-NZ"/>
        </w:rPr>
        <w:t xml:space="preserve">section </w:t>
      </w:r>
      <w:proofErr w:type="spellStart"/>
      <w:r w:rsidR="00ED6C74">
        <w:rPr>
          <w:lang w:val="en-NZ"/>
        </w:rPr>
        <w:t>RF</w:t>
      </w:r>
      <w:proofErr w:type="spellEnd"/>
      <w:r w:rsidR="00ED6C74">
        <w:rPr>
          <w:lang w:val="en-NZ"/>
        </w:rPr>
        <w:t xml:space="preserve"> </w:t>
      </w:r>
      <w:proofErr w:type="gramStart"/>
      <w:r w:rsidR="00ED6C74">
        <w:rPr>
          <w:lang w:val="en-NZ"/>
        </w:rPr>
        <w:t>12E(</w:t>
      </w:r>
      <w:proofErr w:type="gramEnd"/>
      <w:r w:rsidR="00ED6C74">
        <w:rPr>
          <w:lang w:val="en-NZ"/>
        </w:rPr>
        <w:t>1) deems it</w:t>
      </w:r>
      <w:r w:rsidRPr="00260412">
        <w:rPr>
          <w:lang w:val="en-NZ"/>
        </w:rPr>
        <w:t xml:space="preserve"> to be paid to the non-resident recipient on the final day of that second month.</w:t>
      </w:r>
      <w:r w:rsidR="005D50E2">
        <w:rPr>
          <w:lang w:val="en-NZ"/>
        </w:rPr>
        <w:t xml:space="preserve">  This determines the dates when the </w:t>
      </w:r>
      <w:proofErr w:type="spellStart"/>
      <w:r w:rsidR="005D50E2">
        <w:rPr>
          <w:lang w:val="en-NZ"/>
        </w:rPr>
        <w:t>NRFAI</w:t>
      </w:r>
      <w:proofErr w:type="spellEnd"/>
      <w:r w:rsidR="005D50E2">
        <w:rPr>
          <w:lang w:val="en-NZ"/>
        </w:rPr>
        <w:t xml:space="preserve"> must be included in a return and paid.</w:t>
      </w:r>
    </w:p>
    <w:p w:rsidR="00625ADD" w:rsidRPr="00260412" w:rsidRDefault="00625ADD" w:rsidP="00625ADD">
      <w:pPr>
        <w:rPr>
          <w:lang w:val="en-NZ"/>
        </w:rPr>
      </w:pPr>
      <w:r w:rsidRPr="00260412">
        <w:rPr>
          <w:lang w:val="en-NZ"/>
        </w:rPr>
        <w:t xml:space="preserve">The exception to this timing is when a related party debt ceases during a year (the cessation date) in which case the income arising from the start of that year until the cessation date is treated </w:t>
      </w:r>
      <w:r w:rsidR="00ED6C74">
        <w:rPr>
          <w:lang w:val="en-NZ"/>
        </w:rPr>
        <w:t xml:space="preserve">by section </w:t>
      </w:r>
      <w:proofErr w:type="spellStart"/>
      <w:r w:rsidR="00ED6C74">
        <w:rPr>
          <w:lang w:val="en-NZ"/>
        </w:rPr>
        <w:t>RF</w:t>
      </w:r>
      <w:proofErr w:type="spellEnd"/>
      <w:r w:rsidR="00ED6C74">
        <w:rPr>
          <w:lang w:val="en-NZ"/>
        </w:rPr>
        <w:t xml:space="preserve"> 12E(2) </w:t>
      </w:r>
      <w:r w:rsidRPr="00260412">
        <w:rPr>
          <w:lang w:val="en-NZ"/>
        </w:rPr>
        <w:t>as paid on the final day of the second month following the cessation date.</w:t>
      </w:r>
    </w:p>
    <w:p w:rsidR="00625ADD" w:rsidRPr="00643520" w:rsidRDefault="00625ADD" w:rsidP="00643520">
      <w:pPr>
        <w:rPr>
          <w:lang w:val="en-NZ"/>
        </w:rPr>
      </w:pPr>
    </w:p>
    <w:p w:rsidR="007E2C6A" w:rsidRDefault="007E2C6A" w:rsidP="00625ADD">
      <w:pPr>
        <w:pStyle w:val="Heading3"/>
        <w:rPr>
          <w:lang w:val="en-NZ"/>
        </w:rPr>
      </w:pPr>
      <w:r>
        <w:rPr>
          <w:lang w:val="en-NZ"/>
        </w:rPr>
        <w:t>Foreign currency conversions</w:t>
      </w:r>
    </w:p>
    <w:p w:rsidR="007E2C6A" w:rsidRPr="007E2C6A" w:rsidRDefault="007E2C6A" w:rsidP="007E2C6A">
      <w:pPr>
        <w:rPr>
          <w:lang w:val="en-NZ"/>
        </w:rPr>
      </w:pPr>
    </w:p>
    <w:p w:rsidR="00B132E6" w:rsidRDefault="00B132E6" w:rsidP="00B132E6">
      <w:pPr>
        <w:rPr>
          <w:lang w:val="en-NZ"/>
        </w:rPr>
      </w:pPr>
      <w:r>
        <w:rPr>
          <w:lang w:val="en-NZ"/>
        </w:rPr>
        <w:t xml:space="preserve">For arrangements denominated in foreign currency the </w:t>
      </w:r>
      <w:r w:rsidR="00A21937">
        <w:rPr>
          <w:lang w:val="en-NZ"/>
        </w:rPr>
        <w:t xml:space="preserve">income </w:t>
      </w:r>
      <w:r>
        <w:rPr>
          <w:lang w:val="en-NZ"/>
        </w:rPr>
        <w:t xml:space="preserve">calculations are completed in that currency before </w:t>
      </w:r>
      <w:r w:rsidR="00A21937">
        <w:rPr>
          <w:lang w:val="en-NZ"/>
        </w:rPr>
        <w:t xml:space="preserve">any income subject to NRWT is </w:t>
      </w:r>
      <w:r>
        <w:rPr>
          <w:lang w:val="en-NZ"/>
        </w:rPr>
        <w:t>converted into New Zealand dollars</w:t>
      </w:r>
      <w:r w:rsidR="00A21937">
        <w:rPr>
          <w:lang w:val="en-NZ"/>
        </w:rPr>
        <w:t xml:space="preserve"> for the purpose of calculating the tax payable</w:t>
      </w:r>
      <w:r>
        <w:rPr>
          <w:lang w:val="en-NZ"/>
        </w:rPr>
        <w:t>.  The effect of this order is that foreign exchange movements are generally excluded</w:t>
      </w:r>
      <w:r>
        <w:rPr>
          <w:rStyle w:val="FootnoteReference"/>
          <w:lang w:val="en-NZ"/>
        </w:rPr>
        <w:footnoteReference w:id="2"/>
      </w:r>
      <w:r>
        <w:rPr>
          <w:lang w:val="en-NZ"/>
        </w:rPr>
        <w:t xml:space="preserve"> from </w:t>
      </w:r>
      <w:proofErr w:type="spellStart"/>
      <w:r>
        <w:rPr>
          <w:lang w:val="en-NZ"/>
        </w:rPr>
        <w:t>NRFAI</w:t>
      </w:r>
      <w:proofErr w:type="spellEnd"/>
      <w:r>
        <w:rPr>
          <w:lang w:val="en-NZ"/>
        </w:rPr>
        <w:t xml:space="preserve"> calculations.</w:t>
      </w:r>
    </w:p>
    <w:p w:rsidR="00B132E6" w:rsidRDefault="00B132E6" w:rsidP="00B132E6">
      <w:pPr>
        <w:rPr>
          <w:lang w:val="en-NZ"/>
        </w:rPr>
      </w:pPr>
    </w:p>
    <w:p w:rsidR="007E2C6A" w:rsidRDefault="007E2C6A" w:rsidP="007E2C6A">
      <w:pPr>
        <w:rPr>
          <w:lang w:val="en-NZ"/>
        </w:rPr>
      </w:pPr>
      <w:r>
        <w:rPr>
          <w:lang w:val="en-NZ"/>
        </w:rPr>
        <w:t xml:space="preserve">The general rules for currency conversions in subpart </w:t>
      </w:r>
      <w:proofErr w:type="spellStart"/>
      <w:r>
        <w:rPr>
          <w:lang w:val="en-NZ"/>
        </w:rPr>
        <w:t>YF</w:t>
      </w:r>
      <w:proofErr w:type="spellEnd"/>
      <w:r>
        <w:rPr>
          <w:lang w:val="en-NZ"/>
        </w:rPr>
        <w:t xml:space="preserve"> apply for the NRWT rules.  Section </w:t>
      </w:r>
      <w:proofErr w:type="spellStart"/>
      <w:r>
        <w:rPr>
          <w:lang w:val="en-NZ"/>
        </w:rPr>
        <w:t>YF</w:t>
      </w:r>
      <w:proofErr w:type="spellEnd"/>
      <w:r>
        <w:rPr>
          <w:lang w:val="en-NZ"/>
        </w:rPr>
        <w:t xml:space="preserve"> 1(2) converts foreign currency into New Zealand dollars by applying the close of trading spot exchange rate on the date at which the amount is required to be measured or calculated.</w:t>
      </w:r>
    </w:p>
    <w:p w:rsidR="007E2C6A" w:rsidRDefault="007E2C6A" w:rsidP="007E2C6A">
      <w:pPr>
        <w:rPr>
          <w:lang w:val="en-NZ"/>
        </w:rPr>
      </w:pPr>
    </w:p>
    <w:p w:rsidR="007E2C6A" w:rsidRPr="007E2C6A" w:rsidRDefault="007E2C6A" w:rsidP="007E2C6A">
      <w:pPr>
        <w:rPr>
          <w:lang w:val="en-NZ"/>
        </w:rPr>
      </w:pPr>
      <w:r>
        <w:rPr>
          <w:lang w:val="en-NZ"/>
        </w:rPr>
        <w:t xml:space="preserve">Section </w:t>
      </w:r>
      <w:proofErr w:type="spellStart"/>
      <w:r>
        <w:rPr>
          <w:lang w:val="en-NZ"/>
        </w:rPr>
        <w:t>RF</w:t>
      </w:r>
      <w:proofErr w:type="spellEnd"/>
      <w:r>
        <w:rPr>
          <w:lang w:val="en-NZ"/>
        </w:rPr>
        <w:t xml:space="preserve"> 12E provides that </w:t>
      </w:r>
      <w:proofErr w:type="spellStart"/>
      <w:r>
        <w:rPr>
          <w:lang w:val="en-NZ"/>
        </w:rPr>
        <w:t>NRFAI</w:t>
      </w:r>
      <w:proofErr w:type="spellEnd"/>
      <w:r>
        <w:rPr>
          <w:lang w:val="en-NZ"/>
        </w:rPr>
        <w:t xml:space="preserve"> is paid on the last day of the second month after a terminating event or the last day of the second month following the New Zealand borrower</w:t>
      </w:r>
      <w:r w:rsidR="00CF7EDE">
        <w:rPr>
          <w:lang w:val="en-NZ"/>
        </w:rPr>
        <w:t>’</w:t>
      </w:r>
      <w:r>
        <w:rPr>
          <w:lang w:val="en-NZ"/>
        </w:rPr>
        <w:t xml:space="preserve">s balance date.  This is the date that </w:t>
      </w:r>
      <w:r w:rsidR="00282E63">
        <w:rPr>
          <w:lang w:val="en-NZ"/>
        </w:rPr>
        <w:t xml:space="preserve">section </w:t>
      </w:r>
      <w:proofErr w:type="spellStart"/>
      <w:r w:rsidR="00DC1CBD">
        <w:rPr>
          <w:lang w:val="en-NZ"/>
        </w:rPr>
        <w:t>YF</w:t>
      </w:r>
      <w:proofErr w:type="spellEnd"/>
      <w:r w:rsidR="00DC1CBD">
        <w:rPr>
          <w:lang w:val="en-NZ"/>
        </w:rPr>
        <w:t xml:space="preserve"> 1(2) </w:t>
      </w:r>
      <w:r w:rsidR="00A21937">
        <w:rPr>
          <w:lang w:val="en-NZ"/>
        </w:rPr>
        <w:t>requires</w:t>
      </w:r>
      <w:r w:rsidR="00DC1CBD">
        <w:rPr>
          <w:lang w:val="en-NZ"/>
        </w:rPr>
        <w:t xml:space="preserve"> the </w:t>
      </w:r>
      <w:proofErr w:type="spellStart"/>
      <w:r w:rsidR="00DC1CBD">
        <w:rPr>
          <w:lang w:val="en-NZ"/>
        </w:rPr>
        <w:t>NRFAI</w:t>
      </w:r>
      <w:proofErr w:type="spellEnd"/>
      <w:r w:rsidR="00DC1CBD">
        <w:rPr>
          <w:lang w:val="en-NZ"/>
        </w:rPr>
        <w:t xml:space="preserve"> amount to </w:t>
      </w:r>
      <w:r w:rsidR="00A21937">
        <w:rPr>
          <w:lang w:val="en-NZ"/>
        </w:rPr>
        <w:t xml:space="preserve">be converted into </w:t>
      </w:r>
      <w:r w:rsidR="00DC1CBD">
        <w:rPr>
          <w:lang w:val="en-NZ"/>
        </w:rPr>
        <w:t>New Zealand dollars.</w:t>
      </w:r>
    </w:p>
    <w:p w:rsidR="007E2C6A" w:rsidRPr="007E2C6A" w:rsidRDefault="007E2C6A" w:rsidP="007E2C6A">
      <w:pPr>
        <w:rPr>
          <w:lang w:val="en-NZ"/>
        </w:rPr>
      </w:pPr>
    </w:p>
    <w:p w:rsidR="00625ADD" w:rsidRPr="00260412" w:rsidRDefault="00625ADD" w:rsidP="00625ADD">
      <w:pPr>
        <w:pStyle w:val="Heading3"/>
        <w:rPr>
          <w:lang w:val="en-NZ"/>
        </w:rPr>
      </w:pPr>
      <w:r w:rsidRPr="00260412">
        <w:rPr>
          <w:lang w:val="en-NZ"/>
        </w:rPr>
        <w:t xml:space="preserve">Voluntary election into </w:t>
      </w:r>
      <w:proofErr w:type="spellStart"/>
      <w:r w:rsidRPr="00260412">
        <w:rPr>
          <w:lang w:val="en-NZ"/>
        </w:rPr>
        <w:t>NRFAI</w:t>
      </w:r>
      <w:proofErr w:type="spellEnd"/>
    </w:p>
    <w:p w:rsidR="00625ADD" w:rsidRPr="00260412" w:rsidRDefault="00625ADD" w:rsidP="00625ADD">
      <w:pPr>
        <w:rPr>
          <w:lang w:val="en-NZ"/>
        </w:rPr>
      </w:pPr>
    </w:p>
    <w:p w:rsidR="00625ADD" w:rsidRPr="00260412" w:rsidRDefault="00625ADD" w:rsidP="00625ADD">
      <w:pPr>
        <w:rPr>
          <w:lang w:val="en-NZ"/>
        </w:rPr>
      </w:pPr>
      <w:r w:rsidRPr="00260412">
        <w:rPr>
          <w:lang w:val="en-NZ"/>
        </w:rPr>
        <w:t>The one</w:t>
      </w:r>
      <w:r w:rsidR="00282E63">
        <w:rPr>
          <w:lang w:val="en-NZ"/>
        </w:rPr>
        <w:t>-</w:t>
      </w:r>
      <w:r w:rsidRPr="00260412">
        <w:rPr>
          <w:lang w:val="en-NZ"/>
        </w:rPr>
        <w:t xml:space="preserve">year deferral test above means that </w:t>
      </w:r>
      <w:proofErr w:type="spellStart"/>
      <w:r w:rsidRPr="00260412">
        <w:rPr>
          <w:lang w:val="en-NZ"/>
        </w:rPr>
        <w:t>NRFAI</w:t>
      </w:r>
      <w:proofErr w:type="spellEnd"/>
      <w:r w:rsidRPr="00260412">
        <w:rPr>
          <w:lang w:val="en-NZ"/>
        </w:rPr>
        <w:t xml:space="preserve"> cannot arise for an arrangement, including one with no regular interest payments, before the end of the second year of the arrangement.  However, in some cases (</w:t>
      </w:r>
      <w:r>
        <w:rPr>
          <w:lang w:val="en-NZ"/>
        </w:rPr>
        <w:t xml:space="preserve">for example, </w:t>
      </w:r>
      <w:r w:rsidRPr="00260412">
        <w:rPr>
          <w:lang w:val="en-NZ"/>
        </w:rPr>
        <w:t xml:space="preserve">a zero coupon bond) it is self-evident that the instrument will give rise to </w:t>
      </w:r>
      <w:proofErr w:type="spellStart"/>
      <w:r w:rsidRPr="00260412">
        <w:rPr>
          <w:lang w:val="en-NZ"/>
        </w:rPr>
        <w:t>NRFAI</w:t>
      </w:r>
      <w:proofErr w:type="spellEnd"/>
      <w:r w:rsidRPr="00260412">
        <w:rPr>
          <w:lang w:val="en-NZ"/>
        </w:rPr>
        <w:t xml:space="preserve"> and a borrower may find it easier to apply </w:t>
      </w:r>
      <w:proofErr w:type="spellStart"/>
      <w:r w:rsidRPr="00260412">
        <w:rPr>
          <w:lang w:val="en-NZ"/>
        </w:rPr>
        <w:t>NRFAI</w:t>
      </w:r>
      <w:proofErr w:type="spellEnd"/>
      <w:r w:rsidRPr="00260412">
        <w:rPr>
          <w:lang w:val="en-NZ"/>
        </w:rPr>
        <w:t xml:space="preserve"> treatment from the inception of the arrangement.  </w:t>
      </w:r>
      <w:r w:rsidR="00000840">
        <w:rPr>
          <w:lang w:val="en-NZ"/>
        </w:rPr>
        <w:t xml:space="preserve">Section </w:t>
      </w:r>
      <w:proofErr w:type="spellStart"/>
      <w:r w:rsidR="00000840">
        <w:rPr>
          <w:lang w:val="en-NZ"/>
        </w:rPr>
        <w:t>RF</w:t>
      </w:r>
      <w:proofErr w:type="spellEnd"/>
      <w:r w:rsidR="00000840">
        <w:rPr>
          <w:lang w:val="en-NZ"/>
        </w:rPr>
        <w:t xml:space="preserve"> 12G allows t</w:t>
      </w:r>
      <w:r w:rsidRPr="00260412">
        <w:rPr>
          <w:lang w:val="en-NZ"/>
        </w:rPr>
        <w:t xml:space="preserve">axpayers </w:t>
      </w:r>
      <w:r w:rsidR="00000840">
        <w:rPr>
          <w:lang w:val="en-NZ"/>
        </w:rPr>
        <w:t xml:space="preserve">to </w:t>
      </w:r>
      <w:r w:rsidRPr="00260412">
        <w:rPr>
          <w:lang w:val="en-NZ"/>
        </w:rPr>
        <w:t xml:space="preserve">elect to apply </w:t>
      </w:r>
      <w:proofErr w:type="spellStart"/>
      <w:r w:rsidRPr="00260412">
        <w:rPr>
          <w:lang w:val="en-NZ"/>
        </w:rPr>
        <w:t>NRFAI</w:t>
      </w:r>
      <w:proofErr w:type="spellEnd"/>
      <w:r w:rsidRPr="00260412">
        <w:rPr>
          <w:lang w:val="en-NZ"/>
        </w:rPr>
        <w:t xml:space="preserve"> from the first year the arrangement becomes a related party debt.</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Taxpayers </w:t>
      </w:r>
      <w:r>
        <w:rPr>
          <w:lang w:val="en-NZ"/>
        </w:rPr>
        <w:t xml:space="preserve">can </w:t>
      </w:r>
      <w:r w:rsidRPr="00260412">
        <w:rPr>
          <w:lang w:val="en-NZ"/>
        </w:rPr>
        <w:t>also elect to disregard the application of the related party de minimis</w:t>
      </w:r>
      <w:r>
        <w:rPr>
          <w:lang w:val="en-NZ"/>
        </w:rPr>
        <w:t xml:space="preserve"> threshold</w:t>
      </w:r>
      <w:r w:rsidRPr="00260412">
        <w:rPr>
          <w:lang w:val="en-NZ"/>
        </w:rPr>
        <w:t xml:space="preserve">.  One reason they may choose to do this is </w:t>
      </w:r>
      <w:r>
        <w:rPr>
          <w:lang w:val="en-NZ"/>
        </w:rPr>
        <w:t>when</w:t>
      </w:r>
      <w:r w:rsidRPr="00260412">
        <w:rPr>
          <w:lang w:val="en-NZ"/>
        </w:rPr>
        <w:t xml:space="preserve"> they expect </w:t>
      </w:r>
      <w:r>
        <w:rPr>
          <w:lang w:val="en-NZ"/>
        </w:rPr>
        <w:t>to</w:t>
      </w:r>
      <w:r w:rsidRPr="00260412">
        <w:rPr>
          <w:lang w:val="en-NZ"/>
        </w:rPr>
        <w:t xml:space="preserve"> be above the de minimis </w:t>
      </w:r>
      <w:r>
        <w:rPr>
          <w:lang w:val="en-NZ"/>
        </w:rPr>
        <w:t xml:space="preserve">threshold </w:t>
      </w:r>
      <w:r w:rsidRPr="00260412">
        <w:rPr>
          <w:lang w:val="en-NZ"/>
        </w:rPr>
        <w:t>in future years.</w:t>
      </w:r>
    </w:p>
    <w:p w:rsidR="00625ADD" w:rsidRPr="00260412" w:rsidRDefault="00625ADD" w:rsidP="00625ADD">
      <w:pPr>
        <w:rPr>
          <w:lang w:val="en-NZ"/>
        </w:rPr>
      </w:pPr>
    </w:p>
    <w:p w:rsidR="00625ADD" w:rsidRPr="00260412" w:rsidRDefault="00625ADD" w:rsidP="00625ADD">
      <w:pPr>
        <w:pStyle w:val="Heading3"/>
        <w:rPr>
          <w:lang w:val="en-NZ"/>
        </w:rPr>
      </w:pPr>
      <w:r w:rsidRPr="00260412">
        <w:rPr>
          <w:lang w:val="en-NZ"/>
        </w:rPr>
        <w:t>First</w:t>
      </w:r>
      <w:r>
        <w:rPr>
          <w:lang w:val="en-NZ"/>
        </w:rPr>
        <w:t>-</w:t>
      </w:r>
      <w:r w:rsidRPr="00260412">
        <w:rPr>
          <w:lang w:val="en-NZ"/>
        </w:rPr>
        <w:t>year adjustment</w:t>
      </w:r>
    </w:p>
    <w:p w:rsidR="00625ADD" w:rsidRPr="00260412" w:rsidRDefault="00625ADD" w:rsidP="00625ADD">
      <w:pPr>
        <w:rPr>
          <w:lang w:val="en-NZ"/>
        </w:rPr>
      </w:pPr>
    </w:p>
    <w:p w:rsidR="00625ADD" w:rsidRPr="00F26141" w:rsidRDefault="00625ADD" w:rsidP="00625ADD">
      <w:pPr>
        <w:rPr>
          <w:lang w:val="en-NZ"/>
        </w:rPr>
      </w:pPr>
      <w:r w:rsidRPr="00260412">
        <w:rPr>
          <w:lang w:val="en-NZ"/>
        </w:rPr>
        <w:t xml:space="preserve">The first year that a non-resident derives </w:t>
      </w:r>
      <w:proofErr w:type="spellStart"/>
      <w:r w:rsidRPr="00260412">
        <w:rPr>
          <w:lang w:val="en-NZ"/>
        </w:rPr>
        <w:t>NRFAI</w:t>
      </w:r>
      <w:proofErr w:type="spellEnd"/>
      <w:r w:rsidRPr="00260412">
        <w:rPr>
          <w:lang w:val="en-NZ"/>
        </w:rPr>
        <w:t xml:space="preserve"> on a related party debt</w:t>
      </w:r>
      <w:r>
        <w:rPr>
          <w:lang w:val="en-NZ"/>
        </w:rPr>
        <w:t>,</w:t>
      </w:r>
      <w:r w:rsidRPr="00260412">
        <w:rPr>
          <w:lang w:val="en-NZ"/>
        </w:rPr>
        <w:t xml:space="preserve"> the </w:t>
      </w:r>
      <w:r>
        <w:rPr>
          <w:lang w:val="en-NZ"/>
        </w:rPr>
        <w:t>borrower will need to calculate the non-resident</w:t>
      </w:r>
      <w:r w:rsidR="00CF7EDE">
        <w:rPr>
          <w:lang w:val="en-NZ"/>
        </w:rPr>
        <w:t>’</w:t>
      </w:r>
      <w:r>
        <w:rPr>
          <w:lang w:val="en-NZ"/>
        </w:rPr>
        <w:t xml:space="preserve">s income from the debt for that year using the financial arrangement rules.  </w:t>
      </w:r>
      <w:r w:rsidR="00E301A9">
        <w:rPr>
          <w:lang w:val="en-NZ"/>
        </w:rPr>
        <w:t xml:space="preserve">The method will be the same as the borrower applies to calculate their income tax deductions unless they apply the fair value or market valuation methods in which case another method must be chosen.  </w:t>
      </w:r>
      <w:r>
        <w:rPr>
          <w:lang w:val="en-NZ"/>
        </w:rPr>
        <w:t>The non-resident is also treated as</w:t>
      </w:r>
      <w:r w:rsidRPr="00260412">
        <w:rPr>
          <w:lang w:val="en-NZ"/>
        </w:rPr>
        <w:t xml:space="preserve"> deriv</w:t>
      </w:r>
      <w:r>
        <w:rPr>
          <w:lang w:val="en-NZ"/>
        </w:rPr>
        <w:t>ing</w:t>
      </w:r>
      <w:r w:rsidRPr="00260412">
        <w:rPr>
          <w:lang w:val="en-NZ"/>
        </w:rPr>
        <w:t xml:space="preserve"> an additional amount of income</w:t>
      </w:r>
      <w:r w:rsidR="00000840">
        <w:rPr>
          <w:lang w:val="en-NZ"/>
        </w:rPr>
        <w:t>, under</w:t>
      </w:r>
      <w:r w:rsidR="00807FCD">
        <w:rPr>
          <w:lang w:val="en-NZ"/>
        </w:rPr>
        <w:t xml:space="preserve"> </w:t>
      </w:r>
      <w:r w:rsidR="00000840">
        <w:rPr>
          <w:lang w:val="en-NZ"/>
        </w:rPr>
        <w:t xml:space="preserve">section </w:t>
      </w:r>
      <w:proofErr w:type="spellStart"/>
      <w:r w:rsidR="00000840">
        <w:rPr>
          <w:lang w:val="en-NZ"/>
        </w:rPr>
        <w:t>RF</w:t>
      </w:r>
      <w:proofErr w:type="spellEnd"/>
      <w:r w:rsidR="00000840">
        <w:rPr>
          <w:lang w:val="en-NZ"/>
        </w:rPr>
        <w:t xml:space="preserve"> 12F</w:t>
      </w:r>
      <w:r>
        <w:rPr>
          <w:lang w:val="en-NZ"/>
        </w:rPr>
        <w:t>, which removes the income deferral from that debt for</w:t>
      </w:r>
      <w:r w:rsidRPr="00260412">
        <w:rPr>
          <w:lang w:val="en-NZ"/>
        </w:rPr>
        <w:t xml:space="preserve"> all prior years, </w:t>
      </w:r>
      <w:r>
        <w:rPr>
          <w:lang w:val="en-NZ"/>
        </w:rPr>
        <w:t xml:space="preserve">including any years the arrangement existed before enactment of the </w:t>
      </w:r>
      <w:r w:rsidR="00000840">
        <w:rPr>
          <w:lang w:val="en-NZ"/>
        </w:rPr>
        <w:t>amendments</w:t>
      </w:r>
      <w:r>
        <w:rPr>
          <w:lang w:val="en-NZ"/>
        </w:rPr>
        <w:t>.</w:t>
      </w:r>
    </w:p>
    <w:p w:rsidR="00625ADD" w:rsidRPr="00260412" w:rsidRDefault="00625ADD" w:rsidP="00625ADD">
      <w:pPr>
        <w:rPr>
          <w:lang w:val="en-NZ"/>
        </w:rPr>
      </w:pPr>
    </w:p>
    <w:p w:rsidR="009853B9" w:rsidRDefault="009853B9">
      <w:pPr>
        <w:jc w:val="left"/>
        <w:rPr>
          <w:lang w:val="en-NZ"/>
        </w:rPr>
      </w:pPr>
      <w:r>
        <w:rPr>
          <w:lang w:val="en-NZ"/>
        </w:rPr>
        <w:br w:type="page"/>
      </w:r>
    </w:p>
    <w:p w:rsidR="00625ADD" w:rsidRDefault="00625ADD" w:rsidP="00625ADD">
      <w:pPr>
        <w:rPr>
          <w:lang w:val="en-NZ"/>
        </w:rPr>
      </w:pPr>
      <w:r w:rsidRPr="00260412">
        <w:rPr>
          <w:lang w:val="en-NZ"/>
        </w:rPr>
        <w:t xml:space="preserve">Taxpayers who wish to avoid paying NRWT on pre-enactment deferral can prevent this by making sufficient interest payments after the enactment of the </w:t>
      </w:r>
      <w:r w:rsidR="00000840">
        <w:rPr>
          <w:lang w:val="en-NZ"/>
        </w:rPr>
        <w:t>amendments</w:t>
      </w:r>
      <w:r w:rsidRPr="00260412">
        <w:rPr>
          <w:lang w:val="en-NZ"/>
        </w:rPr>
        <w:t xml:space="preserve"> so that </w:t>
      </w:r>
      <w:proofErr w:type="spellStart"/>
      <w:r w:rsidRPr="00260412">
        <w:rPr>
          <w:lang w:val="en-NZ"/>
        </w:rPr>
        <w:t>NRFAI</w:t>
      </w:r>
      <w:proofErr w:type="spellEnd"/>
      <w:r w:rsidRPr="00260412">
        <w:rPr>
          <w:lang w:val="en-NZ"/>
        </w:rPr>
        <w:t xml:space="preserve"> does not arise.</w:t>
      </w:r>
      <w:r w:rsidR="009E0003">
        <w:rPr>
          <w:lang w:val="en-NZ"/>
        </w:rPr>
        <w:t xml:space="preserve">  This distinction arises as the deferral calculation </w:t>
      </w:r>
      <w:r w:rsidR="00E02861">
        <w:rPr>
          <w:lang w:val="en-NZ"/>
        </w:rPr>
        <w:t xml:space="preserve">covers </w:t>
      </w:r>
      <w:r w:rsidR="00A21937">
        <w:rPr>
          <w:lang w:val="en-NZ"/>
        </w:rPr>
        <w:t xml:space="preserve">only </w:t>
      </w:r>
      <w:r w:rsidR="00E02861">
        <w:rPr>
          <w:lang w:val="en-NZ"/>
        </w:rPr>
        <w:t>the period</w:t>
      </w:r>
      <w:r w:rsidR="009E0003">
        <w:rPr>
          <w:lang w:val="en-NZ"/>
        </w:rPr>
        <w:t xml:space="preserve"> back to the day the arrangement became related party debt</w:t>
      </w:r>
      <w:r w:rsidR="00C3378F">
        <w:rPr>
          <w:lang w:val="en-NZ"/>
        </w:rPr>
        <w:t>.  A</w:t>
      </w:r>
      <w:r w:rsidR="009E0003">
        <w:rPr>
          <w:lang w:val="en-NZ"/>
        </w:rPr>
        <w:t xml:space="preserve">rrangements entered into before application of the new rules </w:t>
      </w:r>
      <w:r w:rsidR="00C3378F">
        <w:rPr>
          <w:lang w:val="en-NZ"/>
        </w:rPr>
        <w:t xml:space="preserve">can only be related party debt </w:t>
      </w:r>
      <w:r w:rsidR="009E0003">
        <w:rPr>
          <w:lang w:val="en-NZ"/>
        </w:rPr>
        <w:t xml:space="preserve">from the first day of the first income year after that application date.  Whereas the </w:t>
      </w:r>
      <w:proofErr w:type="spellStart"/>
      <w:r w:rsidR="009E0003">
        <w:rPr>
          <w:lang w:val="en-NZ"/>
        </w:rPr>
        <w:t>NRFAI</w:t>
      </w:r>
      <w:proofErr w:type="spellEnd"/>
      <w:r w:rsidR="009E0003">
        <w:rPr>
          <w:lang w:val="en-NZ"/>
        </w:rPr>
        <w:t xml:space="preserve"> calculation formula goes back to the date the person became party to the arrangement</w:t>
      </w:r>
      <w:r w:rsidR="00E02861">
        <w:rPr>
          <w:lang w:val="en-NZ"/>
        </w:rPr>
        <w:t>.</w:t>
      </w:r>
    </w:p>
    <w:p w:rsidR="009501FC" w:rsidRDefault="009501FC" w:rsidP="00625ADD">
      <w:pPr>
        <w:rPr>
          <w:lang w:val="en-NZ"/>
        </w:rPr>
      </w:pPr>
    </w:p>
    <w:p w:rsidR="009501FC" w:rsidRDefault="009501FC" w:rsidP="00643520">
      <w:pPr>
        <w:pStyle w:val="Heading3"/>
        <w:rPr>
          <w:lang w:val="en-NZ"/>
        </w:rPr>
      </w:pPr>
      <w:r>
        <w:rPr>
          <w:lang w:val="en-NZ"/>
        </w:rPr>
        <w:t>Amounts not received by the lender</w:t>
      </w:r>
    </w:p>
    <w:p w:rsidR="009501FC" w:rsidRDefault="009501FC" w:rsidP="00625ADD">
      <w:pPr>
        <w:rPr>
          <w:lang w:val="en-NZ"/>
        </w:rPr>
      </w:pPr>
    </w:p>
    <w:p w:rsidR="009501FC" w:rsidRPr="009501FC" w:rsidRDefault="009501FC" w:rsidP="00625ADD">
      <w:pPr>
        <w:rPr>
          <w:lang w:val="en-NZ"/>
        </w:rPr>
      </w:pPr>
      <w:r>
        <w:rPr>
          <w:lang w:val="en-NZ"/>
        </w:rPr>
        <w:t xml:space="preserve">The financial arrangement rules are intended to be sufficiently comprehensive that they include expenditure that will never be </w:t>
      </w:r>
      <w:r w:rsidR="00AC38D8">
        <w:rPr>
          <w:lang w:val="en-NZ"/>
        </w:rPr>
        <w:t>received by the lender</w:t>
      </w:r>
      <w:r w:rsidR="00381AC6">
        <w:rPr>
          <w:lang w:val="en-NZ"/>
        </w:rPr>
        <w:t xml:space="preserve"> –</w:t>
      </w:r>
      <w:r w:rsidR="00AC38D8">
        <w:rPr>
          <w:lang w:val="en-NZ"/>
        </w:rPr>
        <w:t xml:space="preserve"> for example</w:t>
      </w:r>
      <w:r w:rsidR="00381AC6">
        <w:rPr>
          <w:lang w:val="en-NZ"/>
        </w:rPr>
        <w:t>,</w:t>
      </w:r>
      <w:r w:rsidR="00AC38D8">
        <w:rPr>
          <w:lang w:val="en-NZ"/>
        </w:rPr>
        <w:t xml:space="preserve"> when a borrower pays fees to a third party.  As the </w:t>
      </w:r>
      <w:proofErr w:type="spellStart"/>
      <w:r w:rsidR="00AC38D8">
        <w:rPr>
          <w:lang w:val="en-NZ"/>
        </w:rPr>
        <w:t>NRFAI</w:t>
      </w:r>
      <w:proofErr w:type="spellEnd"/>
      <w:r w:rsidR="00AC38D8">
        <w:rPr>
          <w:lang w:val="en-NZ"/>
        </w:rPr>
        <w:t xml:space="preserve"> rules are designed to tax the lender on income they will receive, any amounts that will not be paid to them are excluded.  This exclusion does not include amounts that are not received for other reasons, such as default by the borrower.</w:t>
      </w:r>
    </w:p>
    <w:p w:rsidR="00625ADD" w:rsidRPr="00260412" w:rsidRDefault="00625ADD" w:rsidP="00625ADD">
      <w:pPr>
        <w:rPr>
          <w:lang w:val="en-NZ"/>
        </w:rPr>
      </w:pPr>
    </w:p>
    <w:p w:rsidR="007669F9" w:rsidRPr="00643520" w:rsidRDefault="00625ADD" w:rsidP="00643520">
      <w:pPr>
        <w:jc w:val="center"/>
        <w:rPr>
          <w:b/>
          <w:lang w:val="en-NZ"/>
        </w:rPr>
      </w:pPr>
      <w:r w:rsidRPr="00643520">
        <w:rPr>
          <w:lang w:val="en-NZ"/>
        </w:rPr>
        <w:br w:type="page"/>
      </w:r>
      <w:r w:rsidR="007669F9" w:rsidRPr="00643520">
        <w:rPr>
          <w:b/>
          <w:lang w:val="en-NZ"/>
        </w:rPr>
        <w:t xml:space="preserve">Figure 1:  Do I need to pay NRWT on </w:t>
      </w:r>
      <w:proofErr w:type="spellStart"/>
      <w:r w:rsidR="007669F9" w:rsidRPr="00643520">
        <w:rPr>
          <w:b/>
          <w:lang w:val="en-NZ"/>
        </w:rPr>
        <w:t>NRFAI</w:t>
      </w:r>
      <w:proofErr w:type="spellEnd"/>
      <w:r w:rsidR="007669F9" w:rsidRPr="00643520">
        <w:rPr>
          <w:b/>
          <w:lang w:val="en-NZ"/>
        </w:rPr>
        <w:t>?</w:t>
      </w:r>
    </w:p>
    <w:p w:rsidR="00625ADD" w:rsidRPr="00643520" w:rsidRDefault="00625ADD" w:rsidP="00643520">
      <w:pPr>
        <w:rPr>
          <w:lang w:val="en-NZ"/>
        </w:rPr>
      </w:pPr>
    </w:p>
    <w:p w:rsidR="006A68C9" w:rsidRDefault="008641E0" w:rsidP="006A68C9">
      <w:pPr>
        <w:jc w:val="center"/>
        <w:rPr>
          <w:b/>
          <w:i/>
          <w:lang w:val="en-NZ"/>
        </w:rPr>
      </w:pPr>
      <w:r>
        <w:object w:dxaOrig="11086" w:dyaOrig="16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for working out whether you need to pay NRWT on NRFAI" style="width:453.75pt;height:656.25pt" o:ole="">
            <v:imagedata r:id="rId8" o:title=""/>
          </v:shape>
          <o:OLEObject Type="Embed" ProgID="Visio.Drawing.15" ShapeID="_x0000_i1025" DrawAspect="Content" ObjectID="_1553878720" r:id="rId9"/>
        </w:object>
      </w:r>
      <w:r w:rsidR="006A68C9">
        <w:rPr>
          <w:lang w:val="en-NZ"/>
        </w:rPr>
        <w:br w:type="page"/>
      </w:r>
    </w:p>
    <w:p w:rsidR="00625ADD" w:rsidRPr="009853B9" w:rsidRDefault="00625ADD" w:rsidP="00625ADD">
      <w:pPr>
        <w:pStyle w:val="Heading3"/>
        <w:rPr>
          <w:i w:val="0"/>
          <w:lang w:val="en-NZ"/>
        </w:rPr>
      </w:pPr>
      <w:r w:rsidRPr="009853B9">
        <w:rPr>
          <w:i w:val="0"/>
          <w:lang w:val="en-NZ"/>
        </w:rPr>
        <w:t>Examples</w:t>
      </w:r>
    </w:p>
    <w:p w:rsidR="00625ADD" w:rsidRPr="00260412" w:rsidRDefault="00625ADD" w:rsidP="00625ADD">
      <w:pPr>
        <w:rPr>
          <w:lang w:val="en-NZ"/>
        </w:rPr>
      </w:pPr>
    </w:p>
    <w:p w:rsidR="00625ADD" w:rsidRPr="00260412" w:rsidRDefault="00625ADD" w:rsidP="00CA1FA8">
      <w:pPr>
        <w:rPr>
          <w:lang w:val="en-NZ"/>
        </w:rPr>
      </w:pPr>
      <w:r w:rsidRPr="00260412">
        <w:rPr>
          <w:lang w:val="en-NZ"/>
        </w:rPr>
        <w:t xml:space="preserve">The following examples illustrate the main features of the </w:t>
      </w:r>
      <w:r>
        <w:rPr>
          <w:lang w:val="en-NZ"/>
        </w:rPr>
        <w:t>new rules</w:t>
      </w:r>
      <w:r w:rsidRPr="00260412">
        <w:rPr>
          <w:lang w:val="en-NZ"/>
        </w:rPr>
        <w:t>.</w:t>
      </w:r>
    </w:p>
    <w:p w:rsidR="00625ADD" w:rsidRDefault="009853B9" w:rsidP="00625ADD">
      <w:pPr>
        <w:pStyle w:val="Bullets"/>
        <w:numPr>
          <w:ilvl w:val="0"/>
          <w:numId w:val="0"/>
        </w:numPr>
        <w:spacing w:after="0"/>
        <w:rPr>
          <w:rFonts w:eastAsiaTheme="minorHAnsi"/>
          <w:sz w:val="20"/>
          <w:lang w:eastAsia="en-US"/>
        </w:rPr>
      </w:pPr>
      <w:r>
        <w:rPr>
          <w:noProof/>
          <w:lang w:eastAsia="en-NZ"/>
        </w:rPr>
        <mc:AlternateContent>
          <mc:Choice Requires="wps">
            <w:drawing>
              <wp:anchor distT="0" distB="0" distL="114300" distR="114300" simplePos="0" relativeHeight="251660288" behindDoc="0" locked="0" layoutInCell="1" allowOverlap="1" wp14:anchorId="6EAE71CC" wp14:editId="3550878F">
                <wp:simplePos x="0" y="0"/>
                <wp:positionH relativeFrom="column">
                  <wp:posOffset>-168910</wp:posOffset>
                </wp:positionH>
                <wp:positionV relativeFrom="paragraph">
                  <wp:posOffset>169545</wp:posOffset>
                </wp:positionV>
                <wp:extent cx="6064250" cy="7658735"/>
                <wp:effectExtent l="0" t="0" r="12700" b="18415"/>
                <wp:wrapSquare wrapText="bothSides"/>
                <wp:docPr id="16" name="Text Box 16"/>
                <wp:cNvGraphicFramePr/>
                <a:graphic xmlns:a="http://schemas.openxmlformats.org/drawingml/2006/main">
                  <a:graphicData uri="http://schemas.microsoft.com/office/word/2010/wordprocessingShape">
                    <wps:wsp>
                      <wps:cNvSpPr txBox="1"/>
                      <wps:spPr>
                        <a:xfrm>
                          <a:off x="0" y="0"/>
                          <a:ext cx="6064250" cy="7658735"/>
                        </a:xfrm>
                        <a:prstGeom prst="rect">
                          <a:avLst/>
                        </a:prstGeom>
                        <a:noFill/>
                        <a:ln w="6350">
                          <a:solidFill>
                            <a:prstClr val="black"/>
                          </a:solidFill>
                        </a:ln>
                        <a:effectLst/>
                      </wps:spPr>
                      <wps:txbx>
                        <w:txbxContent>
                          <w:p w:rsidR="00643520" w:rsidRPr="004A07BA" w:rsidRDefault="00643520" w:rsidP="00CA1FA8">
                            <w:pPr>
                              <w:spacing w:before="200"/>
                              <w:jc w:val="left"/>
                              <w:rPr>
                                <w:rFonts w:eastAsiaTheme="minorHAnsi"/>
                                <w:b/>
                                <w:sz w:val="20"/>
                                <w:lang w:val="en-NZ" w:eastAsia="en-US"/>
                              </w:rPr>
                            </w:pPr>
                            <w:r w:rsidRPr="004A07BA">
                              <w:rPr>
                                <w:rFonts w:eastAsiaTheme="minorHAnsi"/>
                                <w:b/>
                                <w:sz w:val="20"/>
                                <w:lang w:val="en-NZ" w:eastAsia="en-US"/>
                              </w:rPr>
                              <w:t>Example 1: Zero coupon bond</w:t>
                            </w:r>
                          </w:p>
                          <w:p w:rsidR="00643520" w:rsidRPr="004A07BA" w:rsidRDefault="00643520" w:rsidP="00625ADD">
                            <w:pPr>
                              <w:jc w:val="left"/>
                              <w:rPr>
                                <w:rFonts w:eastAsiaTheme="minorHAnsi"/>
                                <w:sz w:val="20"/>
                                <w:lang w:val="en-NZ" w:eastAsia="en-US"/>
                              </w:rPr>
                            </w:pPr>
                          </w:p>
                          <w:p w:rsidR="00643520" w:rsidRPr="004A07BA" w:rsidRDefault="00643520" w:rsidP="009853B9">
                            <w:pPr>
                              <w:rPr>
                                <w:rFonts w:eastAsiaTheme="minorHAnsi"/>
                                <w:sz w:val="20"/>
                                <w:lang w:val="en-NZ" w:eastAsia="en-US"/>
                              </w:rPr>
                            </w:pPr>
                            <w:r w:rsidRPr="004A07BA">
                              <w:rPr>
                                <w:rFonts w:eastAsiaTheme="minorHAnsi"/>
                                <w:sz w:val="20"/>
                                <w:lang w:val="en-NZ" w:eastAsia="en-US"/>
                              </w:rPr>
                              <w:t xml:space="preserve">A </w:t>
                            </w:r>
                            <w:r>
                              <w:rPr>
                                <w:rFonts w:eastAsiaTheme="minorHAnsi"/>
                                <w:sz w:val="20"/>
                                <w:lang w:val="en-NZ" w:eastAsia="en-US"/>
                              </w:rPr>
                              <w:t xml:space="preserve">Co </w:t>
                            </w:r>
                            <w:r w:rsidRPr="004A07BA">
                              <w:rPr>
                                <w:rFonts w:eastAsiaTheme="minorHAnsi"/>
                                <w:sz w:val="20"/>
                                <w:lang w:val="en-NZ" w:eastAsia="en-US"/>
                              </w:rPr>
                              <w:t xml:space="preserve">has a 31 March balance date and issues a zero-coupon five-year bond </w:t>
                            </w:r>
                            <w:r>
                              <w:rPr>
                                <w:rFonts w:eastAsiaTheme="minorHAnsi"/>
                                <w:sz w:val="20"/>
                                <w:lang w:val="en-NZ" w:eastAsia="en-US"/>
                              </w:rPr>
                              <w:t xml:space="preserve">with a face value of $1,000 </w:t>
                            </w:r>
                            <w:r w:rsidRPr="004A07BA">
                              <w:rPr>
                                <w:rFonts w:eastAsiaTheme="minorHAnsi"/>
                                <w:sz w:val="20"/>
                                <w:lang w:val="en-NZ" w:eastAsia="en-US"/>
                              </w:rPr>
                              <w:t xml:space="preserve">to an associated non-resident on 1 August 2017.  </w:t>
                            </w:r>
                            <w:r>
                              <w:rPr>
                                <w:rFonts w:eastAsiaTheme="minorHAnsi"/>
                                <w:sz w:val="20"/>
                                <w:lang w:val="en-NZ" w:eastAsia="en-US"/>
                              </w:rPr>
                              <w:t xml:space="preserve">The bond is issued for $700.  </w:t>
                            </w:r>
                            <w:r w:rsidRPr="004A07BA">
                              <w:rPr>
                                <w:rFonts w:eastAsiaTheme="minorHAnsi"/>
                                <w:sz w:val="20"/>
                                <w:lang w:val="en-NZ" w:eastAsia="en-US"/>
                              </w:rPr>
                              <w:t xml:space="preserve">Deductions are calculated on </w:t>
                            </w:r>
                            <w:proofErr w:type="gramStart"/>
                            <w:r w:rsidRPr="004A07BA">
                              <w:rPr>
                                <w:rFonts w:eastAsiaTheme="minorHAnsi"/>
                                <w:sz w:val="20"/>
                                <w:lang w:val="en-NZ" w:eastAsia="en-US"/>
                              </w:rPr>
                              <w:t>a</w:t>
                            </w:r>
                            <w:proofErr w:type="gramEnd"/>
                            <w:r w:rsidRPr="004A07BA">
                              <w:rPr>
                                <w:rFonts w:eastAsiaTheme="minorHAnsi"/>
                                <w:sz w:val="20"/>
                                <w:lang w:val="en-NZ" w:eastAsia="en-US"/>
                              </w:rPr>
                              <w:t xml:space="preserve"> </w:t>
                            </w:r>
                            <w:proofErr w:type="spellStart"/>
                            <w:r w:rsidRPr="004A07BA">
                              <w:rPr>
                                <w:rFonts w:eastAsiaTheme="minorHAnsi"/>
                                <w:sz w:val="20"/>
                                <w:lang w:val="en-NZ" w:eastAsia="en-US"/>
                              </w:rPr>
                              <w:t>YTM</w:t>
                            </w:r>
                            <w:proofErr w:type="spellEnd"/>
                            <w:r w:rsidRPr="004A07BA">
                              <w:rPr>
                                <w:rFonts w:eastAsiaTheme="minorHAnsi"/>
                                <w:sz w:val="20"/>
                                <w:lang w:val="en-NZ" w:eastAsia="en-US"/>
                              </w:rPr>
                              <w:t xml:space="preserve"> basis with a 243/365</w:t>
                            </w:r>
                            <w:r w:rsidRPr="004A07BA">
                              <w:rPr>
                                <w:rFonts w:eastAsiaTheme="minorHAnsi"/>
                                <w:sz w:val="20"/>
                                <w:vertAlign w:val="superscript"/>
                                <w:lang w:val="en-NZ" w:eastAsia="en-US"/>
                              </w:rPr>
                              <w:t>ths</w:t>
                            </w:r>
                            <w:r w:rsidRPr="004A07BA">
                              <w:rPr>
                                <w:rFonts w:eastAsiaTheme="minorHAnsi"/>
                                <w:sz w:val="20"/>
                                <w:lang w:val="en-NZ" w:eastAsia="en-US"/>
                              </w:rPr>
                              <w:t xml:space="preserve"> apportionment between years.</w:t>
                            </w:r>
                          </w:p>
                          <w:p w:rsidR="00643520" w:rsidRPr="004A07BA" w:rsidRDefault="00643520" w:rsidP="00625ADD">
                            <w:pPr>
                              <w:jc w:val="left"/>
                              <w:rPr>
                                <w:rFonts w:eastAsiaTheme="minorHAnsi"/>
                                <w:sz w:val="20"/>
                                <w:lang w:val="en-NZ" w:eastAsia="en-US"/>
                              </w:rPr>
                            </w:pPr>
                          </w:p>
                          <w:tbl>
                            <w:tblPr>
                              <w:tblStyle w:val="TableGrid"/>
                              <w:tblW w:w="8755" w:type="dxa"/>
                              <w:jc w:val="center"/>
                              <w:tblLayout w:type="fixed"/>
                              <w:tblCellMar>
                                <w:top w:w="57" w:type="dxa"/>
                                <w:left w:w="57" w:type="dxa"/>
                                <w:bottom w:w="57" w:type="dxa"/>
                                <w:right w:w="57" w:type="dxa"/>
                              </w:tblCellMar>
                              <w:tblLook w:val="04A0" w:firstRow="1" w:lastRow="0" w:firstColumn="1" w:lastColumn="0" w:noHBand="0" w:noVBand="1"/>
                            </w:tblPr>
                            <w:tblGrid>
                              <w:gridCol w:w="419"/>
                              <w:gridCol w:w="1344"/>
                              <w:gridCol w:w="1559"/>
                              <w:gridCol w:w="911"/>
                              <w:gridCol w:w="992"/>
                              <w:gridCol w:w="1417"/>
                              <w:gridCol w:w="709"/>
                              <w:gridCol w:w="1404"/>
                            </w:tblGrid>
                            <w:tr w:rsidR="00643520" w:rsidRPr="00CA1FA8" w:rsidTr="008641E0">
                              <w:trPr>
                                <w:tblHeader/>
                                <w:jc w:val="center"/>
                              </w:trPr>
                              <w:tc>
                                <w:tcPr>
                                  <w:tcW w:w="419" w:type="dxa"/>
                                </w:tcPr>
                                <w:p w:rsidR="00643520" w:rsidRPr="00CA1FA8" w:rsidRDefault="00643520" w:rsidP="00625ADD">
                                  <w:pPr>
                                    <w:jc w:val="left"/>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w:t>
                                  </w:r>
                                </w:p>
                              </w:tc>
                              <w:tc>
                                <w:tcPr>
                                  <w:tcW w:w="1344" w:type="dxa"/>
                                </w:tcPr>
                                <w:p w:rsidR="00643520" w:rsidRPr="00CA1FA8" w:rsidRDefault="00643520" w:rsidP="00CA1FA8">
                                  <w:pPr>
                                    <w:jc w:val="left"/>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Date</w:t>
                                  </w:r>
                                </w:p>
                              </w:tc>
                              <w:tc>
                                <w:tcPr>
                                  <w:tcW w:w="1559" w:type="dxa"/>
                                </w:tcPr>
                                <w:p w:rsidR="00643520" w:rsidRPr="00CA1FA8" w:rsidRDefault="00643520" w:rsidP="00625ADD">
                                  <w:pPr>
                                    <w:jc w:val="left"/>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Event</w:t>
                                  </w:r>
                                </w:p>
                              </w:tc>
                              <w:tc>
                                <w:tcPr>
                                  <w:tcW w:w="911" w:type="dxa"/>
                                </w:tcPr>
                                <w:p w:rsidR="00643520" w:rsidRPr="00CA1FA8" w:rsidRDefault="00643520" w:rsidP="00625ADD">
                                  <w:pPr>
                                    <w:jc w:val="left"/>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Payments</w:t>
                                  </w:r>
                                </w:p>
                              </w:tc>
                              <w:tc>
                                <w:tcPr>
                                  <w:tcW w:w="992" w:type="dxa"/>
                                </w:tcPr>
                                <w:p w:rsidR="00643520" w:rsidRPr="00CA1FA8" w:rsidRDefault="00643520" w:rsidP="00625ADD">
                                  <w:pPr>
                                    <w:jc w:val="left"/>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Deductions</w:t>
                                  </w:r>
                                </w:p>
                              </w:tc>
                              <w:tc>
                                <w:tcPr>
                                  <w:tcW w:w="1417" w:type="dxa"/>
                                </w:tcPr>
                                <w:p w:rsidR="00643520" w:rsidRPr="00CA1FA8" w:rsidRDefault="00643520" w:rsidP="00625ADD">
                                  <w:pPr>
                                    <w:ind w:left="-80"/>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Deduction &gt; payment</w:t>
                                  </w:r>
                                </w:p>
                              </w:tc>
                              <w:tc>
                                <w:tcPr>
                                  <w:tcW w:w="709" w:type="dxa"/>
                                </w:tcPr>
                                <w:p w:rsidR="00643520" w:rsidRPr="00CA1FA8" w:rsidRDefault="00643520" w:rsidP="00625ADD">
                                  <w:pPr>
                                    <w:jc w:val="left"/>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Cash NRWT</w:t>
                                  </w:r>
                                </w:p>
                              </w:tc>
                              <w:tc>
                                <w:tcPr>
                                  <w:tcW w:w="1404" w:type="dxa"/>
                                </w:tcPr>
                                <w:p w:rsidR="00643520" w:rsidRPr="00CA1FA8" w:rsidRDefault="00643520" w:rsidP="00625ADD">
                                  <w:pPr>
                                    <w:ind w:left="-44"/>
                                    <w:jc w:val="left"/>
                                    <w:rPr>
                                      <w:rFonts w:ascii="Times New Roman" w:hAnsi="Times New Roman" w:cs="Times New Roman"/>
                                      <w:b/>
                                      <w:sz w:val="18"/>
                                      <w:szCs w:val="18"/>
                                      <w:lang w:val="en-NZ" w:eastAsia="en-US"/>
                                    </w:rPr>
                                  </w:pPr>
                                  <w:proofErr w:type="spellStart"/>
                                  <w:r w:rsidRPr="00CA1FA8">
                                    <w:rPr>
                                      <w:rFonts w:ascii="Times New Roman" w:hAnsi="Times New Roman" w:cs="Times New Roman"/>
                                      <w:b/>
                                      <w:sz w:val="18"/>
                                      <w:szCs w:val="18"/>
                                      <w:lang w:val="en-NZ" w:eastAsia="en-US"/>
                                    </w:rPr>
                                    <w:t>NRFAI</w:t>
                                  </w:r>
                                  <w:proofErr w:type="spellEnd"/>
                                  <w:r w:rsidRPr="00CA1FA8">
                                    <w:rPr>
                                      <w:rFonts w:ascii="Times New Roman" w:hAnsi="Times New Roman" w:cs="Times New Roman"/>
                                      <w:b/>
                                      <w:sz w:val="18"/>
                                      <w:szCs w:val="18"/>
                                      <w:lang w:val="en-NZ" w:eastAsia="en-US"/>
                                    </w:rPr>
                                    <w:t xml:space="preserve"> NRWT</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 Aug 2017</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Arrangement commences</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-700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2018</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34.46</w:t>
                                  </w: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2018</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N/A – First year</w:t>
                                  </w: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4</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2019</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54.31</w:t>
                                  </w: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5</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2019</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8A5F18" w:rsidRDefault="00643520" w:rsidP="00625ADD">
                                  <w:pPr>
                                    <w:ind w:left="-80"/>
                                    <w:jc w:val="right"/>
                                    <w:rPr>
                                      <w:rFonts w:ascii="Times New Roman" w:hAnsi="Times New Roman" w:cs="Times New Roman"/>
                                      <w:color w:val="FF0000"/>
                                      <w:sz w:val="18"/>
                                      <w:szCs w:val="18"/>
                                      <w:lang w:val="en-NZ" w:eastAsia="en-US"/>
                                    </w:rPr>
                                  </w:pPr>
                                  <w:r w:rsidRPr="00CA1FA8">
                                    <w:rPr>
                                      <w:rFonts w:ascii="Times New Roman" w:hAnsi="Times New Roman" w:cs="Times New Roman"/>
                                      <w:sz w:val="18"/>
                                      <w:szCs w:val="18"/>
                                      <w:lang w:val="en-NZ" w:eastAsia="en-US"/>
                                    </w:rPr>
                                    <w:t xml:space="preserve">0 ÷ 34.46 = </w:t>
                                  </w:r>
                                  <w:r w:rsidRPr="008A5F18">
                                    <w:rPr>
                                      <w:rFonts w:ascii="Times New Roman" w:hAnsi="Times New Roman" w:cs="Times New Roman"/>
                                      <w:color w:val="FF0000"/>
                                      <w:sz w:val="18"/>
                                      <w:szCs w:val="18"/>
                                      <w:lang w:val="en-NZ" w:eastAsia="en-US"/>
                                    </w:rPr>
                                    <w:t xml:space="preserve">0% = </w:t>
                                  </w:r>
                                </w:p>
                                <w:p w:rsidR="00643520" w:rsidRPr="00CA1FA8" w:rsidRDefault="00643520" w:rsidP="00625ADD">
                                  <w:pPr>
                                    <w:ind w:left="-80"/>
                                    <w:jc w:val="right"/>
                                    <w:rPr>
                                      <w:rFonts w:ascii="Times New Roman" w:hAnsi="Times New Roman" w:cs="Times New Roman"/>
                                      <w:sz w:val="18"/>
                                      <w:szCs w:val="18"/>
                                      <w:lang w:val="en-NZ" w:eastAsia="en-US"/>
                                    </w:rPr>
                                  </w:pPr>
                                  <w:proofErr w:type="spellStart"/>
                                  <w:r w:rsidRPr="008A5F18">
                                    <w:rPr>
                                      <w:rFonts w:ascii="Times New Roman" w:hAnsi="Times New Roman" w:cs="Times New Roman"/>
                                      <w:color w:val="FF0000"/>
                                      <w:sz w:val="18"/>
                                      <w:szCs w:val="18"/>
                                      <w:lang w:val="en-NZ" w:eastAsia="en-US"/>
                                    </w:rPr>
                                    <w:t>NRFAI</w:t>
                                  </w:r>
                                  <w:proofErr w:type="spellEnd"/>
                                  <w:r w:rsidRPr="008A5F18">
                                    <w:rPr>
                                      <w:rFonts w:ascii="Times New Roman" w:hAnsi="Times New Roman" w:cs="Times New Roman"/>
                                      <w:color w:val="FF0000"/>
                                      <w:sz w:val="18"/>
                                      <w:szCs w:val="18"/>
                                      <w:lang w:val="en-NZ" w:eastAsia="en-US"/>
                                    </w:rPr>
                                    <w:t xml:space="preserve"> triggered</w:t>
                                  </w: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(34.36 + 54.31) x </w:t>
                                  </w:r>
                                </w:p>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10% - 0 = </w:t>
                                  </w:r>
                                </w:p>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8.87</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2020</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58.32</w:t>
                                  </w: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7</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2020</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Not required</w:t>
                                  </w: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5.83</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8</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2021</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62.63</w:t>
                                  </w: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9</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2021</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Not required</w:t>
                                  </w: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6.26</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10</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2022</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67.27</w:t>
                                  </w: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11</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2022</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Not required</w:t>
                                  </w: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6.72</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12</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30 Sep 2022</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Maturity</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1,000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0</w:t>
                                  </w: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13</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Dec 2022</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Maturity </w:t>
                                  </w: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2.30</w:t>
                                  </w:r>
                                </w:p>
                              </w:tc>
                            </w:tr>
                            <w:tr w:rsidR="00643520" w:rsidRPr="00CA1FA8" w:rsidTr="00CA1FA8">
                              <w:trPr>
                                <w:jc w:val="center"/>
                              </w:trPr>
                              <w:tc>
                                <w:tcPr>
                                  <w:tcW w:w="419" w:type="dxa"/>
                                  <w:tcBorders>
                                    <w:bottom w:val="single" w:sz="4" w:space="0" w:color="auto"/>
                                  </w:tcBorders>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14</w:t>
                                  </w:r>
                                </w:p>
                              </w:tc>
                              <w:tc>
                                <w:tcPr>
                                  <w:tcW w:w="1344" w:type="dxa"/>
                                  <w:tcBorders>
                                    <w:bottom w:val="double" w:sz="4" w:space="0" w:color="auto"/>
                                  </w:tcBorders>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2023</w:t>
                                  </w:r>
                                </w:p>
                              </w:tc>
                              <w:tc>
                                <w:tcPr>
                                  <w:tcW w:w="1559" w:type="dxa"/>
                                  <w:tcBorders>
                                    <w:bottom w:val="double" w:sz="4" w:space="0" w:color="auto"/>
                                  </w:tcBorders>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11" w:type="dxa"/>
                                  <w:tcBorders>
                                    <w:bottom w:val="double" w:sz="4" w:space="0" w:color="auto"/>
                                  </w:tcBorders>
                                </w:tcPr>
                                <w:p w:rsidR="00643520" w:rsidRPr="00CA1FA8" w:rsidRDefault="00643520" w:rsidP="00625ADD">
                                  <w:pPr>
                                    <w:jc w:val="right"/>
                                    <w:rPr>
                                      <w:rFonts w:ascii="Times New Roman" w:hAnsi="Times New Roman" w:cs="Times New Roman"/>
                                      <w:sz w:val="18"/>
                                      <w:szCs w:val="18"/>
                                      <w:lang w:val="en-NZ" w:eastAsia="en-US"/>
                                    </w:rPr>
                                  </w:pPr>
                                </w:p>
                              </w:tc>
                              <w:tc>
                                <w:tcPr>
                                  <w:tcW w:w="992" w:type="dxa"/>
                                  <w:tcBorders>
                                    <w:bottom w:val="double" w:sz="4" w:space="0" w:color="auto"/>
                                  </w:tcBorders>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23.01</w:t>
                                  </w:r>
                                </w:p>
                              </w:tc>
                              <w:tc>
                                <w:tcPr>
                                  <w:tcW w:w="1417" w:type="dxa"/>
                                  <w:tcBorders>
                                    <w:bottom w:val="double" w:sz="4" w:space="0" w:color="auto"/>
                                  </w:tcBorders>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Borders>
                                    <w:bottom w:val="double" w:sz="4" w:space="0" w:color="auto"/>
                                  </w:tcBorders>
                                </w:tcPr>
                                <w:p w:rsidR="00643520" w:rsidRPr="00CA1FA8" w:rsidRDefault="00643520" w:rsidP="00625ADD">
                                  <w:pPr>
                                    <w:jc w:val="right"/>
                                    <w:rPr>
                                      <w:rFonts w:ascii="Times New Roman" w:hAnsi="Times New Roman" w:cs="Times New Roman"/>
                                      <w:sz w:val="18"/>
                                      <w:szCs w:val="18"/>
                                      <w:lang w:val="en-NZ" w:eastAsia="en-US"/>
                                    </w:rPr>
                                  </w:pPr>
                                </w:p>
                              </w:tc>
                              <w:tc>
                                <w:tcPr>
                                  <w:tcW w:w="1404" w:type="dxa"/>
                                  <w:tcBorders>
                                    <w:bottom w:val="double" w:sz="4" w:space="0" w:color="auto"/>
                                  </w:tcBorders>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Borders>
                                    <w:left w:val="nil"/>
                                    <w:bottom w:val="nil"/>
                                  </w:tcBorders>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 </w:t>
                                  </w:r>
                                </w:p>
                              </w:tc>
                              <w:tc>
                                <w:tcPr>
                                  <w:tcW w:w="2903" w:type="dxa"/>
                                  <w:gridSpan w:val="2"/>
                                  <w:tcBorders>
                                    <w:top w:val="double" w:sz="4" w:space="0" w:color="auto"/>
                                  </w:tcBorders>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Total</w:t>
                                  </w:r>
                                </w:p>
                              </w:tc>
                              <w:tc>
                                <w:tcPr>
                                  <w:tcW w:w="911" w:type="dxa"/>
                                  <w:tcBorders>
                                    <w:top w:val="double" w:sz="4" w:space="0" w:color="auto"/>
                                  </w:tcBorders>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300</w:t>
                                  </w:r>
                                </w:p>
                              </w:tc>
                              <w:tc>
                                <w:tcPr>
                                  <w:tcW w:w="992" w:type="dxa"/>
                                  <w:tcBorders>
                                    <w:top w:val="double" w:sz="4" w:space="0" w:color="auto"/>
                                  </w:tcBorders>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300</w:t>
                                  </w:r>
                                </w:p>
                              </w:tc>
                              <w:tc>
                                <w:tcPr>
                                  <w:tcW w:w="1417" w:type="dxa"/>
                                  <w:tcBorders>
                                    <w:top w:val="double" w:sz="4" w:space="0" w:color="auto"/>
                                  </w:tcBorders>
                                </w:tcPr>
                                <w:p w:rsidR="00643520" w:rsidRPr="00CA1FA8" w:rsidRDefault="00643520" w:rsidP="00625ADD">
                                  <w:pPr>
                                    <w:ind w:left="-80"/>
                                    <w:jc w:val="right"/>
                                    <w:rPr>
                                      <w:rFonts w:ascii="Times New Roman" w:hAnsi="Times New Roman" w:cs="Times New Roman"/>
                                      <w:sz w:val="18"/>
                                      <w:szCs w:val="18"/>
                                      <w:lang w:val="en-NZ" w:eastAsia="en-US"/>
                                    </w:rPr>
                                  </w:pPr>
                                </w:p>
                              </w:tc>
                              <w:tc>
                                <w:tcPr>
                                  <w:tcW w:w="2113" w:type="dxa"/>
                                  <w:gridSpan w:val="2"/>
                                  <w:tcBorders>
                                    <w:top w:val="double" w:sz="4" w:space="0" w:color="auto"/>
                                  </w:tcBorders>
                                </w:tcPr>
                                <w:p w:rsidR="00643520" w:rsidRPr="00CA1FA8" w:rsidRDefault="00643520" w:rsidP="00625ADD">
                                  <w:pPr>
                                    <w:ind w:left="-160"/>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30</w:t>
                                  </w:r>
                                </w:p>
                              </w:tc>
                            </w:tr>
                          </w:tbl>
                          <w:p w:rsidR="00643520" w:rsidRDefault="00643520" w:rsidP="00625ADD">
                            <w:pPr>
                              <w:pStyle w:val="Bullets"/>
                              <w:numPr>
                                <w:ilvl w:val="0"/>
                                <w:numId w:val="0"/>
                              </w:numPr>
                              <w:rPr>
                                <w:rFonts w:eastAsiaTheme="minorHAnsi"/>
                                <w:sz w:val="20"/>
                                <w:lang w:eastAsia="en-US"/>
                              </w:rPr>
                            </w:pPr>
                          </w:p>
                          <w:p w:rsidR="00643520" w:rsidRPr="00260412" w:rsidRDefault="00643520" w:rsidP="00625ADD">
                            <w:pPr>
                              <w:pStyle w:val="Bullets"/>
                              <w:numPr>
                                <w:ilvl w:val="0"/>
                                <w:numId w:val="0"/>
                              </w:numPr>
                              <w:rPr>
                                <w:rFonts w:eastAsiaTheme="minorHAnsi"/>
                                <w:sz w:val="20"/>
                                <w:lang w:eastAsia="en-US"/>
                              </w:rPr>
                            </w:pPr>
                            <w:r w:rsidRPr="00260412">
                              <w:rPr>
                                <w:rFonts w:eastAsiaTheme="minorHAnsi"/>
                                <w:sz w:val="20"/>
                                <w:lang w:eastAsia="en-US"/>
                              </w:rPr>
                              <w:t>The balance date entries in #2, 4, 6, 8, 10 and 14 represent income tax deductions available for the return period ending on that date.  These may not be calculated until after this date, though the requirement to calculate and pay provisional tax may mean that the company does in fact calculate them earlier than the balance date.  The same also applies for the later examples.</w:t>
                            </w:r>
                          </w:p>
                          <w:p w:rsidR="00643520" w:rsidRPr="00260412" w:rsidRDefault="00643520" w:rsidP="00625ADD">
                            <w:pPr>
                              <w:pStyle w:val="Bullets"/>
                              <w:numPr>
                                <w:ilvl w:val="0"/>
                                <w:numId w:val="0"/>
                              </w:numPr>
                              <w:rPr>
                                <w:rFonts w:eastAsiaTheme="minorHAnsi"/>
                                <w:sz w:val="20"/>
                                <w:lang w:eastAsia="en-US"/>
                              </w:rPr>
                            </w:pPr>
                            <w:r w:rsidRPr="00260412">
                              <w:rPr>
                                <w:rFonts w:eastAsiaTheme="minorHAnsi"/>
                                <w:sz w:val="20"/>
                                <w:lang w:eastAsia="en-US"/>
                              </w:rPr>
                              <w:t xml:space="preserve">The maturity </w:t>
                            </w:r>
                            <w:proofErr w:type="spellStart"/>
                            <w:r w:rsidRPr="00260412">
                              <w:rPr>
                                <w:rFonts w:eastAsiaTheme="minorHAnsi"/>
                                <w:sz w:val="20"/>
                                <w:lang w:eastAsia="en-US"/>
                              </w:rPr>
                              <w:t>NRFAI</w:t>
                            </w:r>
                            <w:proofErr w:type="spellEnd"/>
                            <w:r w:rsidRPr="00260412">
                              <w:rPr>
                                <w:rFonts w:eastAsiaTheme="minorHAnsi"/>
                                <w:sz w:val="20"/>
                                <w:lang w:eastAsia="en-US"/>
                              </w:rPr>
                              <w:t xml:space="preserve"> calculation in #13 is due on the due date for the NRWT return for the period two months after maturity even though the income tax deduction may not be calculated unti</w:t>
                            </w:r>
                            <w:r>
                              <w:rPr>
                                <w:rFonts w:eastAsiaTheme="minorHAnsi"/>
                                <w:sz w:val="20"/>
                                <w:lang w:eastAsia="en-US"/>
                              </w:rPr>
                              <w:t>l sometime after balance date.</w:t>
                            </w:r>
                          </w:p>
                          <w:p w:rsidR="00643520" w:rsidRPr="004A07BA" w:rsidRDefault="00643520" w:rsidP="00625ADD">
                            <w:pPr>
                              <w:pStyle w:val="Bullets"/>
                              <w:numPr>
                                <w:ilvl w:val="0"/>
                                <w:numId w:val="0"/>
                              </w:numPr>
                              <w:spacing w:after="0"/>
                              <w:rPr>
                                <w:rFonts w:eastAsiaTheme="minorHAnsi"/>
                                <w:sz w:val="16"/>
                                <w:szCs w:val="16"/>
                                <w:lang w:eastAsia="en-US"/>
                              </w:rPr>
                            </w:pPr>
                            <w:r w:rsidRPr="00260412">
                              <w:rPr>
                                <w:rFonts w:eastAsiaTheme="minorHAnsi"/>
                                <w:sz w:val="20"/>
                                <w:lang w:eastAsia="en-US"/>
                              </w:rPr>
                              <w:t>As this arrangement has no regular interest payments</w:t>
                            </w:r>
                            <w:r>
                              <w:rPr>
                                <w:rFonts w:eastAsiaTheme="minorHAnsi"/>
                                <w:sz w:val="20"/>
                                <w:lang w:eastAsia="en-US"/>
                              </w:rPr>
                              <w:t>,</w:t>
                            </w:r>
                            <w:r w:rsidRPr="00260412">
                              <w:rPr>
                                <w:rFonts w:eastAsiaTheme="minorHAnsi"/>
                                <w:sz w:val="20"/>
                                <w:lang w:eastAsia="en-US"/>
                              </w:rPr>
                              <w:t xml:space="preserve"> A </w:t>
                            </w:r>
                            <w:r>
                              <w:rPr>
                                <w:rFonts w:eastAsiaTheme="minorHAnsi"/>
                                <w:sz w:val="20"/>
                                <w:lang w:eastAsia="en-US"/>
                              </w:rPr>
                              <w:t xml:space="preserve">Co </w:t>
                            </w:r>
                            <w:r w:rsidRPr="00260412">
                              <w:rPr>
                                <w:rFonts w:eastAsiaTheme="minorHAnsi"/>
                                <w:sz w:val="20"/>
                                <w:lang w:eastAsia="en-US"/>
                              </w:rPr>
                              <w:t xml:space="preserve">would be aware from the outset that </w:t>
                            </w:r>
                            <w:proofErr w:type="spellStart"/>
                            <w:r w:rsidRPr="00260412">
                              <w:rPr>
                                <w:rFonts w:eastAsiaTheme="minorHAnsi"/>
                                <w:sz w:val="20"/>
                                <w:lang w:eastAsia="en-US"/>
                              </w:rPr>
                              <w:t>NRFAI</w:t>
                            </w:r>
                            <w:proofErr w:type="spellEnd"/>
                            <w:r w:rsidRPr="00260412">
                              <w:rPr>
                                <w:rFonts w:eastAsiaTheme="minorHAnsi"/>
                                <w:sz w:val="20"/>
                                <w:lang w:eastAsia="en-US"/>
                              </w:rPr>
                              <w:t xml:space="preserve"> would eventually arise.  Therefore, </w:t>
                            </w:r>
                            <w:r>
                              <w:rPr>
                                <w:rFonts w:eastAsiaTheme="minorHAnsi"/>
                                <w:sz w:val="20"/>
                                <w:lang w:eastAsia="en-US"/>
                              </w:rPr>
                              <w:t>it</w:t>
                            </w:r>
                            <w:r w:rsidRPr="00260412">
                              <w:rPr>
                                <w:rFonts w:eastAsiaTheme="minorHAnsi"/>
                                <w:sz w:val="20"/>
                                <w:lang w:eastAsia="en-US"/>
                              </w:rPr>
                              <w:t xml:space="preserve"> may elect to apply </w:t>
                            </w:r>
                            <w:proofErr w:type="spellStart"/>
                            <w:r w:rsidRPr="00260412">
                              <w:rPr>
                                <w:rFonts w:eastAsiaTheme="minorHAnsi"/>
                                <w:sz w:val="20"/>
                                <w:lang w:eastAsia="en-US"/>
                              </w:rPr>
                              <w:t>NRFAI</w:t>
                            </w:r>
                            <w:proofErr w:type="spellEnd"/>
                            <w:r w:rsidRPr="00260412">
                              <w:rPr>
                                <w:rFonts w:eastAsiaTheme="minorHAnsi"/>
                                <w:sz w:val="20"/>
                                <w:lang w:eastAsia="en-US"/>
                              </w:rPr>
                              <w:t xml:space="preserve"> from the commencement </w:t>
                            </w:r>
                            <w:r>
                              <w:rPr>
                                <w:rFonts w:eastAsiaTheme="minorHAnsi"/>
                                <w:sz w:val="20"/>
                                <w:lang w:eastAsia="en-US"/>
                              </w:rPr>
                              <w:t xml:space="preserve">date </w:t>
                            </w:r>
                            <w:r w:rsidRPr="00260412">
                              <w:rPr>
                                <w:rFonts w:eastAsiaTheme="minorHAnsi"/>
                                <w:sz w:val="20"/>
                                <w:lang w:eastAsia="en-US"/>
                              </w:rPr>
                              <w:t>which would result in an NRWT payment of $3.45 at #3 and the NRWT payment at #5 reducing to $5.43.  Although this would be cashflow negative it may reduce compliance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3.3pt;margin-top:13.35pt;width:477.5pt;height:60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" filled="f" strokeweight=".5pt">
                <v:textbox>
                  <w:txbxContent>
                    <w:p w:rsidR="00643520" w:rsidRPr="004A07BA" w:rsidRDefault="00643520" w:rsidP="00CA1FA8">
                      <w:pPr>
                        <w:spacing w:before="200"/>
                        <w:jc w:val="left"/>
                        <w:rPr>
                          <w:rFonts w:eastAsiaTheme="minorHAnsi"/>
                          <w:b/>
                          <w:sz w:val="20"/>
                          <w:lang w:val="en-NZ" w:eastAsia="en-US"/>
                        </w:rPr>
                      </w:pPr>
                      <w:r w:rsidRPr="004A07BA">
                        <w:rPr>
                          <w:rFonts w:eastAsiaTheme="minorHAnsi"/>
                          <w:b/>
                          <w:sz w:val="20"/>
                          <w:lang w:val="en-NZ" w:eastAsia="en-US"/>
                        </w:rPr>
                        <w:t>Example 1: Zero coupon bond</w:t>
                      </w:r>
                    </w:p>
                    <w:p w:rsidR="00643520" w:rsidRPr="004A07BA" w:rsidRDefault="00643520" w:rsidP="00625ADD">
                      <w:pPr>
                        <w:jc w:val="left"/>
                        <w:rPr>
                          <w:rFonts w:eastAsiaTheme="minorHAnsi"/>
                          <w:sz w:val="20"/>
                          <w:lang w:val="en-NZ" w:eastAsia="en-US"/>
                        </w:rPr>
                      </w:pPr>
                    </w:p>
                    <w:p w:rsidR="00643520" w:rsidRPr="004A07BA" w:rsidRDefault="00643520" w:rsidP="009853B9">
                      <w:pPr>
                        <w:rPr>
                          <w:rFonts w:eastAsiaTheme="minorHAnsi"/>
                          <w:sz w:val="20"/>
                          <w:lang w:val="en-NZ" w:eastAsia="en-US"/>
                        </w:rPr>
                      </w:pPr>
                      <w:r w:rsidRPr="004A07BA">
                        <w:rPr>
                          <w:rFonts w:eastAsiaTheme="minorHAnsi"/>
                          <w:sz w:val="20"/>
                          <w:lang w:val="en-NZ" w:eastAsia="en-US"/>
                        </w:rPr>
                        <w:t xml:space="preserve">A </w:t>
                      </w:r>
                      <w:r>
                        <w:rPr>
                          <w:rFonts w:eastAsiaTheme="minorHAnsi"/>
                          <w:sz w:val="20"/>
                          <w:lang w:val="en-NZ" w:eastAsia="en-US"/>
                        </w:rPr>
                        <w:t xml:space="preserve">Co </w:t>
                      </w:r>
                      <w:r w:rsidRPr="004A07BA">
                        <w:rPr>
                          <w:rFonts w:eastAsiaTheme="minorHAnsi"/>
                          <w:sz w:val="20"/>
                          <w:lang w:val="en-NZ" w:eastAsia="en-US"/>
                        </w:rPr>
                        <w:t xml:space="preserve">has a 31 March balance date and issues a zero-coupon five-year bond </w:t>
                      </w:r>
                      <w:r>
                        <w:rPr>
                          <w:rFonts w:eastAsiaTheme="minorHAnsi"/>
                          <w:sz w:val="20"/>
                          <w:lang w:val="en-NZ" w:eastAsia="en-US"/>
                        </w:rPr>
                        <w:t xml:space="preserve">with a face value of $1,000 </w:t>
                      </w:r>
                      <w:r w:rsidRPr="004A07BA">
                        <w:rPr>
                          <w:rFonts w:eastAsiaTheme="minorHAnsi"/>
                          <w:sz w:val="20"/>
                          <w:lang w:val="en-NZ" w:eastAsia="en-US"/>
                        </w:rPr>
                        <w:t xml:space="preserve">to an associated non-resident on 1 August 2017.  </w:t>
                      </w:r>
                      <w:r>
                        <w:rPr>
                          <w:rFonts w:eastAsiaTheme="minorHAnsi"/>
                          <w:sz w:val="20"/>
                          <w:lang w:val="en-NZ" w:eastAsia="en-US"/>
                        </w:rPr>
                        <w:t xml:space="preserve">The bond is issued for $700.  </w:t>
                      </w:r>
                      <w:r w:rsidRPr="004A07BA">
                        <w:rPr>
                          <w:rFonts w:eastAsiaTheme="minorHAnsi"/>
                          <w:sz w:val="20"/>
                          <w:lang w:val="en-NZ" w:eastAsia="en-US"/>
                        </w:rPr>
                        <w:t xml:space="preserve">Deductions are calculated on </w:t>
                      </w:r>
                      <w:proofErr w:type="gramStart"/>
                      <w:r w:rsidRPr="004A07BA">
                        <w:rPr>
                          <w:rFonts w:eastAsiaTheme="minorHAnsi"/>
                          <w:sz w:val="20"/>
                          <w:lang w:val="en-NZ" w:eastAsia="en-US"/>
                        </w:rPr>
                        <w:t>a</w:t>
                      </w:r>
                      <w:proofErr w:type="gramEnd"/>
                      <w:r w:rsidRPr="004A07BA">
                        <w:rPr>
                          <w:rFonts w:eastAsiaTheme="minorHAnsi"/>
                          <w:sz w:val="20"/>
                          <w:lang w:val="en-NZ" w:eastAsia="en-US"/>
                        </w:rPr>
                        <w:t xml:space="preserve"> </w:t>
                      </w:r>
                      <w:proofErr w:type="spellStart"/>
                      <w:r w:rsidRPr="004A07BA">
                        <w:rPr>
                          <w:rFonts w:eastAsiaTheme="minorHAnsi"/>
                          <w:sz w:val="20"/>
                          <w:lang w:val="en-NZ" w:eastAsia="en-US"/>
                        </w:rPr>
                        <w:t>YTM</w:t>
                      </w:r>
                      <w:proofErr w:type="spellEnd"/>
                      <w:r w:rsidRPr="004A07BA">
                        <w:rPr>
                          <w:rFonts w:eastAsiaTheme="minorHAnsi"/>
                          <w:sz w:val="20"/>
                          <w:lang w:val="en-NZ" w:eastAsia="en-US"/>
                        </w:rPr>
                        <w:t xml:space="preserve"> basis with a 243/365</w:t>
                      </w:r>
                      <w:r w:rsidRPr="004A07BA">
                        <w:rPr>
                          <w:rFonts w:eastAsiaTheme="minorHAnsi"/>
                          <w:sz w:val="20"/>
                          <w:vertAlign w:val="superscript"/>
                          <w:lang w:val="en-NZ" w:eastAsia="en-US"/>
                        </w:rPr>
                        <w:t>ths</w:t>
                      </w:r>
                      <w:r w:rsidRPr="004A07BA">
                        <w:rPr>
                          <w:rFonts w:eastAsiaTheme="minorHAnsi"/>
                          <w:sz w:val="20"/>
                          <w:lang w:val="en-NZ" w:eastAsia="en-US"/>
                        </w:rPr>
                        <w:t xml:space="preserve"> apportionment between years.</w:t>
                      </w:r>
                    </w:p>
                    <w:p w:rsidR="00643520" w:rsidRPr="004A07BA" w:rsidRDefault="00643520" w:rsidP="00625ADD">
                      <w:pPr>
                        <w:jc w:val="left"/>
                        <w:rPr>
                          <w:rFonts w:eastAsiaTheme="minorHAnsi"/>
                          <w:sz w:val="20"/>
                          <w:lang w:val="en-NZ" w:eastAsia="en-US"/>
                        </w:rPr>
                      </w:pPr>
                    </w:p>
                    <w:tbl>
                      <w:tblPr>
                        <w:tblStyle w:val="TableGrid"/>
                        <w:tblW w:w="8755" w:type="dxa"/>
                        <w:jc w:val="center"/>
                        <w:tblLayout w:type="fixed"/>
                        <w:tblCellMar>
                          <w:top w:w="57" w:type="dxa"/>
                          <w:left w:w="57" w:type="dxa"/>
                          <w:bottom w:w="57" w:type="dxa"/>
                          <w:right w:w="57" w:type="dxa"/>
                        </w:tblCellMar>
                        <w:tblLook w:val="04A0" w:firstRow="1" w:lastRow="0" w:firstColumn="1" w:lastColumn="0" w:noHBand="0" w:noVBand="1"/>
                      </w:tblPr>
                      <w:tblGrid>
                        <w:gridCol w:w="419"/>
                        <w:gridCol w:w="1344"/>
                        <w:gridCol w:w="1559"/>
                        <w:gridCol w:w="911"/>
                        <w:gridCol w:w="992"/>
                        <w:gridCol w:w="1417"/>
                        <w:gridCol w:w="709"/>
                        <w:gridCol w:w="1404"/>
                      </w:tblGrid>
                      <w:tr w:rsidR="00643520" w:rsidRPr="00CA1FA8" w:rsidTr="008641E0">
                        <w:trPr>
                          <w:tblHeader/>
                          <w:jc w:val="center"/>
                        </w:trPr>
                        <w:tc>
                          <w:tcPr>
                            <w:tcW w:w="419" w:type="dxa"/>
                          </w:tcPr>
                          <w:p w:rsidR="00643520" w:rsidRPr="00CA1FA8" w:rsidRDefault="00643520" w:rsidP="00625ADD">
                            <w:pPr>
                              <w:jc w:val="left"/>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w:t>
                            </w:r>
                          </w:p>
                        </w:tc>
                        <w:tc>
                          <w:tcPr>
                            <w:tcW w:w="1344" w:type="dxa"/>
                          </w:tcPr>
                          <w:p w:rsidR="00643520" w:rsidRPr="00CA1FA8" w:rsidRDefault="00643520" w:rsidP="00CA1FA8">
                            <w:pPr>
                              <w:jc w:val="left"/>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Date</w:t>
                            </w:r>
                          </w:p>
                        </w:tc>
                        <w:tc>
                          <w:tcPr>
                            <w:tcW w:w="1559" w:type="dxa"/>
                          </w:tcPr>
                          <w:p w:rsidR="00643520" w:rsidRPr="00CA1FA8" w:rsidRDefault="00643520" w:rsidP="00625ADD">
                            <w:pPr>
                              <w:jc w:val="left"/>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Event</w:t>
                            </w:r>
                          </w:p>
                        </w:tc>
                        <w:tc>
                          <w:tcPr>
                            <w:tcW w:w="911" w:type="dxa"/>
                          </w:tcPr>
                          <w:p w:rsidR="00643520" w:rsidRPr="00CA1FA8" w:rsidRDefault="00643520" w:rsidP="00625ADD">
                            <w:pPr>
                              <w:jc w:val="left"/>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Payments</w:t>
                            </w:r>
                          </w:p>
                        </w:tc>
                        <w:tc>
                          <w:tcPr>
                            <w:tcW w:w="992" w:type="dxa"/>
                          </w:tcPr>
                          <w:p w:rsidR="00643520" w:rsidRPr="00CA1FA8" w:rsidRDefault="00643520" w:rsidP="00625ADD">
                            <w:pPr>
                              <w:jc w:val="left"/>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Deductions</w:t>
                            </w:r>
                          </w:p>
                        </w:tc>
                        <w:tc>
                          <w:tcPr>
                            <w:tcW w:w="1417" w:type="dxa"/>
                          </w:tcPr>
                          <w:p w:rsidR="00643520" w:rsidRPr="00CA1FA8" w:rsidRDefault="00643520" w:rsidP="00625ADD">
                            <w:pPr>
                              <w:ind w:left="-80"/>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Deduction &gt; payment</w:t>
                            </w:r>
                          </w:p>
                        </w:tc>
                        <w:tc>
                          <w:tcPr>
                            <w:tcW w:w="709" w:type="dxa"/>
                          </w:tcPr>
                          <w:p w:rsidR="00643520" w:rsidRPr="00CA1FA8" w:rsidRDefault="00643520" w:rsidP="00625ADD">
                            <w:pPr>
                              <w:jc w:val="left"/>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Cash NRWT</w:t>
                            </w:r>
                          </w:p>
                        </w:tc>
                        <w:tc>
                          <w:tcPr>
                            <w:tcW w:w="1404" w:type="dxa"/>
                          </w:tcPr>
                          <w:p w:rsidR="00643520" w:rsidRPr="00CA1FA8" w:rsidRDefault="00643520" w:rsidP="00625ADD">
                            <w:pPr>
                              <w:ind w:left="-44"/>
                              <w:jc w:val="left"/>
                              <w:rPr>
                                <w:rFonts w:ascii="Times New Roman" w:hAnsi="Times New Roman" w:cs="Times New Roman"/>
                                <w:b/>
                                <w:sz w:val="18"/>
                                <w:szCs w:val="18"/>
                                <w:lang w:val="en-NZ" w:eastAsia="en-US"/>
                              </w:rPr>
                            </w:pPr>
                            <w:proofErr w:type="spellStart"/>
                            <w:r w:rsidRPr="00CA1FA8">
                              <w:rPr>
                                <w:rFonts w:ascii="Times New Roman" w:hAnsi="Times New Roman" w:cs="Times New Roman"/>
                                <w:b/>
                                <w:sz w:val="18"/>
                                <w:szCs w:val="18"/>
                                <w:lang w:val="en-NZ" w:eastAsia="en-US"/>
                              </w:rPr>
                              <w:t>NRFAI</w:t>
                            </w:r>
                            <w:proofErr w:type="spellEnd"/>
                            <w:r w:rsidRPr="00CA1FA8">
                              <w:rPr>
                                <w:rFonts w:ascii="Times New Roman" w:hAnsi="Times New Roman" w:cs="Times New Roman"/>
                                <w:b/>
                                <w:sz w:val="18"/>
                                <w:szCs w:val="18"/>
                                <w:lang w:val="en-NZ" w:eastAsia="en-US"/>
                              </w:rPr>
                              <w:t xml:space="preserve"> NRWT</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 Aug 2017</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Arrangement commences</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-700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2018</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34.46</w:t>
                            </w: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2018</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N/A – First year</w:t>
                            </w: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4</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2019</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54.31</w:t>
                            </w: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5</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2019</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8A5F18" w:rsidRDefault="00643520" w:rsidP="00625ADD">
                            <w:pPr>
                              <w:ind w:left="-80"/>
                              <w:jc w:val="right"/>
                              <w:rPr>
                                <w:rFonts w:ascii="Times New Roman" w:hAnsi="Times New Roman" w:cs="Times New Roman"/>
                                <w:color w:val="FF0000"/>
                                <w:sz w:val="18"/>
                                <w:szCs w:val="18"/>
                                <w:lang w:val="en-NZ" w:eastAsia="en-US"/>
                              </w:rPr>
                            </w:pPr>
                            <w:r w:rsidRPr="00CA1FA8">
                              <w:rPr>
                                <w:rFonts w:ascii="Times New Roman" w:hAnsi="Times New Roman" w:cs="Times New Roman"/>
                                <w:sz w:val="18"/>
                                <w:szCs w:val="18"/>
                                <w:lang w:val="en-NZ" w:eastAsia="en-US"/>
                              </w:rPr>
                              <w:t xml:space="preserve">0 ÷ 34.46 = </w:t>
                            </w:r>
                            <w:r w:rsidRPr="008A5F18">
                              <w:rPr>
                                <w:rFonts w:ascii="Times New Roman" w:hAnsi="Times New Roman" w:cs="Times New Roman"/>
                                <w:color w:val="FF0000"/>
                                <w:sz w:val="18"/>
                                <w:szCs w:val="18"/>
                                <w:lang w:val="en-NZ" w:eastAsia="en-US"/>
                              </w:rPr>
                              <w:t xml:space="preserve">0% = </w:t>
                            </w:r>
                          </w:p>
                          <w:p w:rsidR="00643520" w:rsidRPr="00CA1FA8" w:rsidRDefault="00643520" w:rsidP="00625ADD">
                            <w:pPr>
                              <w:ind w:left="-80"/>
                              <w:jc w:val="right"/>
                              <w:rPr>
                                <w:rFonts w:ascii="Times New Roman" w:hAnsi="Times New Roman" w:cs="Times New Roman"/>
                                <w:sz w:val="18"/>
                                <w:szCs w:val="18"/>
                                <w:lang w:val="en-NZ" w:eastAsia="en-US"/>
                              </w:rPr>
                            </w:pPr>
                            <w:proofErr w:type="spellStart"/>
                            <w:r w:rsidRPr="008A5F18">
                              <w:rPr>
                                <w:rFonts w:ascii="Times New Roman" w:hAnsi="Times New Roman" w:cs="Times New Roman"/>
                                <w:color w:val="FF0000"/>
                                <w:sz w:val="18"/>
                                <w:szCs w:val="18"/>
                                <w:lang w:val="en-NZ" w:eastAsia="en-US"/>
                              </w:rPr>
                              <w:t>NRFAI</w:t>
                            </w:r>
                            <w:proofErr w:type="spellEnd"/>
                            <w:r w:rsidRPr="008A5F18">
                              <w:rPr>
                                <w:rFonts w:ascii="Times New Roman" w:hAnsi="Times New Roman" w:cs="Times New Roman"/>
                                <w:color w:val="FF0000"/>
                                <w:sz w:val="18"/>
                                <w:szCs w:val="18"/>
                                <w:lang w:val="en-NZ" w:eastAsia="en-US"/>
                              </w:rPr>
                              <w:t xml:space="preserve"> triggered</w:t>
                            </w: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(34.36 + 54.31) x </w:t>
                            </w:r>
                          </w:p>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10% - 0 = </w:t>
                            </w:r>
                          </w:p>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8.87</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2020</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58.32</w:t>
                            </w: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7</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2020</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Not required</w:t>
                            </w: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5.83</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8</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2021</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62.63</w:t>
                            </w: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9</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2021</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Not required</w:t>
                            </w: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6.26</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10</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2022</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67.27</w:t>
                            </w: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11</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2022</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Not required</w:t>
                            </w: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6.72</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12</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30 Sep 2022</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Maturity</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1,000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0</w:t>
                            </w: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13</w:t>
                            </w:r>
                          </w:p>
                        </w:tc>
                        <w:tc>
                          <w:tcPr>
                            <w:tcW w:w="1344"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Dec 2022</w:t>
                            </w:r>
                          </w:p>
                        </w:tc>
                        <w:tc>
                          <w:tcPr>
                            <w:tcW w:w="1559"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Maturity </w:t>
                            </w: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w:t>
                            </w:r>
                          </w:p>
                        </w:tc>
                        <w:tc>
                          <w:tcPr>
                            <w:tcW w:w="911"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7"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Pr>
                          <w:p w:rsidR="00643520" w:rsidRPr="00CA1FA8" w:rsidRDefault="00643520" w:rsidP="00625ADD">
                            <w:pPr>
                              <w:jc w:val="right"/>
                              <w:rPr>
                                <w:rFonts w:ascii="Times New Roman" w:hAnsi="Times New Roman" w:cs="Times New Roman"/>
                                <w:sz w:val="18"/>
                                <w:szCs w:val="18"/>
                                <w:lang w:val="en-NZ" w:eastAsia="en-US"/>
                              </w:rPr>
                            </w:pPr>
                          </w:p>
                        </w:tc>
                        <w:tc>
                          <w:tcPr>
                            <w:tcW w:w="1404"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2.30</w:t>
                            </w:r>
                          </w:p>
                        </w:tc>
                      </w:tr>
                      <w:tr w:rsidR="00643520" w:rsidRPr="00CA1FA8" w:rsidTr="00CA1FA8">
                        <w:trPr>
                          <w:jc w:val="center"/>
                        </w:trPr>
                        <w:tc>
                          <w:tcPr>
                            <w:tcW w:w="419" w:type="dxa"/>
                            <w:tcBorders>
                              <w:bottom w:val="single" w:sz="4" w:space="0" w:color="auto"/>
                            </w:tcBorders>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14</w:t>
                            </w:r>
                          </w:p>
                        </w:tc>
                        <w:tc>
                          <w:tcPr>
                            <w:tcW w:w="1344" w:type="dxa"/>
                            <w:tcBorders>
                              <w:bottom w:val="double" w:sz="4" w:space="0" w:color="auto"/>
                            </w:tcBorders>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2023</w:t>
                            </w:r>
                          </w:p>
                        </w:tc>
                        <w:tc>
                          <w:tcPr>
                            <w:tcW w:w="1559" w:type="dxa"/>
                            <w:tcBorders>
                              <w:bottom w:val="double" w:sz="4" w:space="0" w:color="auto"/>
                            </w:tcBorders>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11" w:type="dxa"/>
                            <w:tcBorders>
                              <w:bottom w:val="double" w:sz="4" w:space="0" w:color="auto"/>
                            </w:tcBorders>
                          </w:tcPr>
                          <w:p w:rsidR="00643520" w:rsidRPr="00CA1FA8" w:rsidRDefault="00643520" w:rsidP="00625ADD">
                            <w:pPr>
                              <w:jc w:val="right"/>
                              <w:rPr>
                                <w:rFonts w:ascii="Times New Roman" w:hAnsi="Times New Roman" w:cs="Times New Roman"/>
                                <w:sz w:val="18"/>
                                <w:szCs w:val="18"/>
                                <w:lang w:val="en-NZ" w:eastAsia="en-US"/>
                              </w:rPr>
                            </w:pPr>
                          </w:p>
                        </w:tc>
                        <w:tc>
                          <w:tcPr>
                            <w:tcW w:w="992" w:type="dxa"/>
                            <w:tcBorders>
                              <w:bottom w:val="double" w:sz="4" w:space="0" w:color="auto"/>
                            </w:tcBorders>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23.01</w:t>
                            </w:r>
                          </w:p>
                        </w:tc>
                        <w:tc>
                          <w:tcPr>
                            <w:tcW w:w="1417" w:type="dxa"/>
                            <w:tcBorders>
                              <w:bottom w:val="double" w:sz="4" w:space="0" w:color="auto"/>
                            </w:tcBorders>
                          </w:tcPr>
                          <w:p w:rsidR="00643520" w:rsidRPr="00CA1FA8" w:rsidRDefault="00643520" w:rsidP="00625ADD">
                            <w:pPr>
                              <w:ind w:left="-80"/>
                              <w:jc w:val="right"/>
                              <w:rPr>
                                <w:rFonts w:ascii="Times New Roman" w:hAnsi="Times New Roman" w:cs="Times New Roman"/>
                                <w:sz w:val="18"/>
                                <w:szCs w:val="18"/>
                                <w:lang w:val="en-NZ" w:eastAsia="en-US"/>
                              </w:rPr>
                            </w:pPr>
                          </w:p>
                        </w:tc>
                        <w:tc>
                          <w:tcPr>
                            <w:tcW w:w="709" w:type="dxa"/>
                            <w:tcBorders>
                              <w:bottom w:val="double" w:sz="4" w:space="0" w:color="auto"/>
                            </w:tcBorders>
                          </w:tcPr>
                          <w:p w:rsidR="00643520" w:rsidRPr="00CA1FA8" w:rsidRDefault="00643520" w:rsidP="00625ADD">
                            <w:pPr>
                              <w:jc w:val="right"/>
                              <w:rPr>
                                <w:rFonts w:ascii="Times New Roman" w:hAnsi="Times New Roman" w:cs="Times New Roman"/>
                                <w:sz w:val="18"/>
                                <w:szCs w:val="18"/>
                                <w:lang w:val="en-NZ" w:eastAsia="en-US"/>
                              </w:rPr>
                            </w:pPr>
                          </w:p>
                        </w:tc>
                        <w:tc>
                          <w:tcPr>
                            <w:tcW w:w="1404" w:type="dxa"/>
                            <w:tcBorders>
                              <w:bottom w:val="double" w:sz="4" w:space="0" w:color="auto"/>
                            </w:tcBorders>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Borders>
                              <w:left w:val="nil"/>
                              <w:bottom w:val="nil"/>
                            </w:tcBorders>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 </w:t>
                            </w:r>
                          </w:p>
                        </w:tc>
                        <w:tc>
                          <w:tcPr>
                            <w:tcW w:w="2903" w:type="dxa"/>
                            <w:gridSpan w:val="2"/>
                            <w:tcBorders>
                              <w:top w:val="double" w:sz="4" w:space="0" w:color="auto"/>
                            </w:tcBorders>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Total</w:t>
                            </w:r>
                          </w:p>
                        </w:tc>
                        <w:tc>
                          <w:tcPr>
                            <w:tcW w:w="911" w:type="dxa"/>
                            <w:tcBorders>
                              <w:top w:val="double" w:sz="4" w:space="0" w:color="auto"/>
                            </w:tcBorders>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300</w:t>
                            </w:r>
                          </w:p>
                        </w:tc>
                        <w:tc>
                          <w:tcPr>
                            <w:tcW w:w="992" w:type="dxa"/>
                            <w:tcBorders>
                              <w:top w:val="double" w:sz="4" w:space="0" w:color="auto"/>
                            </w:tcBorders>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300</w:t>
                            </w:r>
                          </w:p>
                        </w:tc>
                        <w:tc>
                          <w:tcPr>
                            <w:tcW w:w="1417" w:type="dxa"/>
                            <w:tcBorders>
                              <w:top w:val="double" w:sz="4" w:space="0" w:color="auto"/>
                            </w:tcBorders>
                          </w:tcPr>
                          <w:p w:rsidR="00643520" w:rsidRPr="00CA1FA8" w:rsidRDefault="00643520" w:rsidP="00625ADD">
                            <w:pPr>
                              <w:ind w:left="-80"/>
                              <w:jc w:val="right"/>
                              <w:rPr>
                                <w:rFonts w:ascii="Times New Roman" w:hAnsi="Times New Roman" w:cs="Times New Roman"/>
                                <w:sz w:val="18"/>
                                <w:szCs w:val="18"/>
                                <w:lang w:val="en-NZ" w:eastAsia="en-US"/>
                              </w:rPr>
                            </w:pPr>
                          </w:p>
                        </w:tc>
                        <w:tc>
                          <w:tcPr>
                            <w:tcW w:w="2113" w:type="dxa"/>
                            <w:gridSpan w:val="2"/>
                            <w:tcBorders>
                              <w:top w:val="double" w:sz="4" w:space="0" w:color="auto"/>
                            </w:tcBorders>
                          </w:tcPr>
                          <w:p w:rsidR="00643520" w:rsidRPr="00CA1FA8" w:rsidRDefault="00643520" w:rsidP="00625ADD">
                            <w:pPr>
                              <w:ind w:left="-160"/>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30</w:t>
                            </w:r>
                          </w:p>
                        </w:tc>
                      </w:tr>
                    </w:tbl>
                    <w:p w:rsidR="00643520" w:rsidRDefault="00643520" w:rsidP="00625ADD">
                      <w:pPr>
                        <w:pStyle w:val="Bullets"/>
                        <w:numPr>
                          <w:ilvl w:val="0"/>
                          <w:numId w:val="0"/>
                        </w:numPr>
                        <w:rPr>
                          <w:rFonts w:eastAsiaTheme="minorHAnsi"/>
                          <w:sz w:val="20"/>
                          <w:lang w:eastAsia="en-US"/>
                        </w:rPr>
                      </w:pPr>
                    </w:p>
                    <w:p w:rsidR="00643520" w:rsidRPr="00260412" w:rsidRDefault="00643520" w:rsidP="00625ADD">
                      <w:pPr>
                        <w:pStyle w:val="Bullets"/>
                        <w:numPr>
                          <w:ilvl w:val="0"/>
                          <w:numId w:val="0"/>
                        </w:numPr>
                        <w:rPr>
                          <w:rFonts w:eastAsiaTheme="minorHAnsi"/>
                          <w:sz w:val="20"/>
                          <w:lang w:eastAsia="en-US"/>
                        </w:rPr>
                      </w:pPr>
                      <w:r w:rsidRPr="00260412">
                        <w:rPr>
                          <w:rFonts w:eastAsiaTheme="minorHAnsi"/>
                          <w:sz w:val="20"/>
                          <w:lang w:eastAsia="en-US"/>
                        </w:rPr>
                        <w:t>The balance date entries in #2, 4, 6, 8, 10 and 14 represent income tax deductions available for the return period ending on that date.  These may not be calculated until after this date, though the requirement to calculate and pay provisional tax may mean that the company does in fact calculate them earlier than the balance date.  The same also applies for the later examples.</w:t>
                      </w:r>
                    </w:p>
                    <w:p w:rsidR="00643520" w:rsidRPr="00260412" w:rsidRDefault="00643520" w:rsidP="00625ADD">
                      <w:pPr>
                        <w:pStyle w:val="Bullets"/>
                        <w:numPr>
                          <w:ilvl w:val="0"/>
                          <w:numId w:val="0"/>
                        </w:numPr>
                        <w:rPr>
                          <w:rFonts w:eastAsiaTheme="minorHAnsi"/>
                          <w:sz w:val="20"/>
                          <w:lang w:eastAsia="en-US"/>
                        </w:rPr>
                      </w:pPr>
                      <w:r w:rsidRPr="00260412">
                        <w:rPr>
                          <w:rFonts w:eastAsiaTheme="minorHAnsi"/>
                          <w:sz w:val="20"/>
                          <w:lang w:eastAsia="en-US"/>
                        </w:rPr>
                        <w:t xml:space="preserve">The maturity </w:t>
                      </w:r>
                      <w:proofErr w:type="spellStart"/>
                      <w:r w:rsidRPr="00260412">
                        <w:rPr>
                          <w:rFonts w:eastAsiaTheme="minorHAnsi"/>
                          <w:sz w:val="20"/>
                          <w:lang w:eastAsia="en-US"/>
                        </w:rPr>
                        <w:t>NRFAI</w:t>
                      </w:r>
                      <w:proofErr w:type="spellEnd"/>
                      <w:r w:rsidRPr="00260412">
                        <w:rPr>
                          <w:rFonts w:eastAsiaTheme="minorHAnsi"/>
                          <w:sz w:val="20"/>
                          <w:lang w:eastAsia="en-US"/>
                        </w:rPr>
                        <w:t xml:space="preserve"> calculation in #13 is due on the due date for the NRWT return for the period two months after maturity even though the income tax deduction may not be calculated unti</w:t>
                      </w:r>
                      <w:r>
                        <w:rPr>
                          <w:rFonts w:eastAsiaTheme="minorHAnsi"/>
                          <w:sz w:val="20"/>
                          <w:lang w:eastAsia="en-US"/>
                        </w:rPr>
                        <w:t>l sometime after balance date.</w:t>
                      </w:r>
                    </w:p>
                    <w:p w:rsidR="00643520" w:rsidRPr="004A07BA" w:rsidRDefault="00643520" w:rsidP="00625ADD">
                      <w:pPr>
                        <w:pStyle w:val="Bullets"/>
                        <w:numPr>
                          <w:ilvl w:val="0"/>
                          <w:numId w:val="0"/>
                        </w:numPr>
                        <w:spacing w:after="0"/>
                        <w:rPr>
                          <w:rFonts w:eastAsiaTheme="minorHAnsi"/>
                          <w:sz w:val="16"/>
                          <w:szCs w:val="16"/>
                          <w:lang w:eastAsia="en-US"/>
                        </w:rPr>
                      </w:pPr>
                      <w:r w:rsidRPr="00260412">
                        <w:rPr>
                          <w:rFonts w:eastAsiaTheme="minorHAnsi"/>
                          <w:sz w:val="20"/>
                          <w:lang w:eastAsia="en-US"/>
                        </w:rPr>
                        <w:t>As this arrangement has no regular interest payments</w:t>
                      </w:r>
                      <w:r>
                        <w:rPr>
                          <w:rFonts w:eastAsiaTheme="minorHAnsi"/>
                          <w:sz w:val="20"/>
                          <w:lang w:eastAsia="en-US"/>
                        </w:rPr>
                        <w:t>,</w:t>
                      </w:r>
                      <w:r w:rsidRPr="00260412">
                        <w:rPr>
                          <w:rFonts w:eastAsiaTheme="minorHAnsi"/>
                          <w:sz w:val="20"/>
                          <w:lang w:eastAsia="en-US"/>
                        </w:rPr>
                        <w:t xml:space="preserve"> A </w:t>
                      </w:r>
                      <w:r>
                        <w:rPr>
                          <w:rFonts w:eastAsiaTheme="minorHAnsi"/>
                          <w:sz w:val="20"/>
                          <w:lang w:eastAsia="en-US"/>
                        </w:rPr>
                        <w:t xml:space="preserve">Co </w:t>
                      </w:r>
                      <w:r w:rsidRPr="00260412">
                        <w:rPr>
                          <w:rFonts w:eastAsiaTheme="minorHAnsi"/>
                          <w:sz w:val="20"/>
                          <w:lang w:eastAsia="en-US"/>
                        </w:rPr>
                        <w:t xml:space="preserve">would be aware from the outset that </w:t>
                      </w:r>
                      <w:proofErr w:type="spellStart"/>
                      <w:r w:rsidRPr="00260412">
                        <w:rPr>
                          <w:rFonts w:eastAsiaTheme="minorHAnsi"/>
                          <w:sz w:val="20"/>
                          <w:lang w:eastAsia="en-US"/>
                        </w:rPr>
                        <w:t>NRFAI</w:t>
                      </w:r>
                      <w:proofErr w:type="spellEnd"/>
                      <w:r w:rsidRPr="00260412">
                        <w:rPr>
                          <w:rFonts w:eastAsiaTheme="minorHAnsi"/>
                          <w:sz w:val="20"/>
                          <w:lang w:eastAsia="en-US"/>
                        </w:rPr>
                        <w:t xml:space="preserve"> would eventually arise.  Therefore, </w:t>
                      </w:r>
                      <w:r>
                        <w:rPr>
                          <w:rFonts w:eastAsiaTheme="minorHAnsi"/>
                          <w:sz w:val="20"/>
                          <w:lang w:eastAsia="en-US"/>
                        </w:rPr>
                        <w:t>it</w:t>
                      </w:r>
                      <w:r w:rsidRPr="00260412">
                        <w:rPr>
                          <w:rFonts w:eastAsiaTheme="minorHAnsi"/>
                          <w:sz w:val="20"/>
                          <w:lang w:eastAsia="en-US"/>
                        </w:rPr>
                        <w:t xml:space="preserve"> may elect to apply </w:t>
                      </w:r>
                      <w:proofErr w:type="spellStart"/>
                      <w:r w:rsidRPr="00260412">
                        <w:rPr>
                          <w:rFonts w:eastAsiaTheme="minorHAnsi"/>
                          <w:sz w:val="20"/>
                          <w:lang w:eastAsia="en-US"/>
                        </w:rPr>
                        <w:t>NRFAI</w:t>
                      </w:r>
                      <w:proofErr w:type="spellEnd"/>
                      <w:r w:rsidRPr="00260412">
                        <w:rPr>
                          <w:rFonts w:eastAsiaTheme="minorHAnsi"/>
                          <w:sz w:val="20"/>
                          <w:lang w:eastAsia="en-US"/>
                        </w:rPr>
                        <w:t xml:space="preserve"> from the commencement </w:t>
                      </w:r>
                      <w:r>
                        <w:rPr>
                          <w:rFonts w:eastAsiaTheme="minorHAnsi"/>
                          <w:sz w:val="20"/>
                          <w:lang w:eastAsia="en-US"/>
                        </w:rPr>
                        <w:t xml:space="preserve">date </w:t>
                      </w:r>
                      <w:r w:rsidRPr="00260412">
                        <w:rPr>
                          <w:rFonts w:eastAsiaTheme="minorHAnsi"/>
                          <w:sz w:val="20"/>
                          <w:lang w:eastAsia="en-US"/>
                        </w:rPr>
                        <w:t>which would result in an NRWT payment of $3.45 at #3 and the NRWT payment at #5 reducing to $5.43.  Although this would be cashflow negative it may reduce compliance costs.</w:t>
                      </w:r>
                    </w:p>
                  </w:txbxContent>
                </v:textbox>
                <w10:wrap type="square"/>
              </v:shape>
            </w:pict>
          </mc:Fallback>
        </mc:AlternateContent>
      </w:r>
    </w:p>
    <w:p w:rsidR="00625ADD" w:rsidRDefault="00625ADD" w:rsidP="00625ADD">
      <w:pPr>
        <w:jc w:val="left"/>
        <w:rPr>
          <w:rFonts w:eastAsiaTheme="minorHAnsi"/>
          <w:sz w:val="20"/>
          <w:lang w:val="en-NZ" w:eastAsia="en-US"/>
        </w:rPr>
      </w:pPr>
    </w:p>
    <w:p w:rsidR="00CA1FA8" w:rsidRDefault="00CA1FA8">
      <w:pPr>
        <w:jc w:val="left"/>
        <w:rPr>
          <w:rFonts w:eastAsiaTheme="minorHAnsi"/>
          <w:sz w:val="20"/>
          <w:lang w:val="en-NZ" w:eastAsia="en-US"/>
        </w:rPr>
      </w:pPr>
      <w:r>
        <w:rPr>
          <w:rFonts w:eastAsiaTheme="minorHAnsi"/>
          <w:sz w:val="20"/>
          <w:lang w:val="en-NZ" w:eastAsia="en-US"/>
        </w:rPr>
        <w:br w:type="page"/>
      </w:r>
    </w:p>
    <w:p w:rsidR="00625ADD" w:rsidRDefault="00CA1FA8" w:rsidP="00CA1FA8">
      <w:pPr>
        <w:jc w:val="left"/>
        <w:rPr>
          <w:rFonts w:eastAsiaTheme="minorHAnsi"/>
          <w:sz w:val="20"/>
          <w:lang w:eastAsia="en-US"/>
        </w:rPr>
      </w:pPr>
      <w:r>
        <w:rPr>
          <w:noProof/>
          <w:lang w:val="en-NZ" w:eastAsia="en-NZ"/>
        </w:rPr>
        <mc:AlternateContent>
          <mc:Choice Requires="wps">
            <w:drawing>
              <wp:anchor distT="0" distB="0" distL="114300" distR="114300" simplePos="0" relativeHeight="251661312" behindDoc="0" locked="0" layoutInCell="1" allowOverlap="1" wp14:anchorId="5D681F97" wp14:editId="7E90C52F">
                <wp:simplePos x="0" y="0"/>
                <wp:positionH relativeFrom="column">
                  <wp:posOffset>-157480</wp:posOffset>
                </wp:positionH>
                <wp:positionV relativeFrom="paragraph">
                  <wp:posOffset>146685</wp:posOffset>
                </wp:positionV>
                <wp:extent cx="6056630" cy="8058150"/>
                <wp:effectExtent l="0" t="0" r="20320" b="19050"/>
                <wp:wrapSquare wrapText="bothSides"/>
                <wp:docPr id="24" name="Text Box 24"/>
                <wp:cNvGraphicFramePr/>
                <a:graphic xmlns:a="http://schemas.openxmlformats.org/drawingml/2006/main">
                  <a:graphicData uri="http://schemas.microsoft.com/office/word/2010/wordprocessingShape">
                    <wps:wsp>
                      <wps:cNvSpPr txBox="1"/>
                      <wps:spPr>
                        <a:xfrm>
                          <a:off x="0" y="0"/>
                          <a:ext cx="6056630" cy="8058150"/>
                        </a:xfrm>
                        <a:prstGeom prst="rect">
                          <a:avLst/>
                        </a:prstGeom>
                        <a:noFill/>
                        <a:ln w="6350">
                          <a:solidFill>
                            <a:prstClr val="black"/>
                          </a:solidFill>
                        </a:ln>
                        <a:effectLst/>
                      </wps:spPr>
                      <wps:txbx>
                        <w:txbxContent>
                          <w:p w:rsidR="00643520" w:rsidRPr="00260412" w:rsidRDefault="00643520" w:rsidP="00CA1FA8">
                            <w:pPr>
                              <w:spacing w:before="200"/>
                              <w:jc w:val="left"/>
                              <w:rPr>
                                <w:rFonts w:eastAsiaTheme="minorHAnsi"/>
                                <w:b/>
                                <w:sz w:val="20"/>
                                <w:lang w:val="en-NZ" w:eastAsia="en-US"/>
                              </w:rPr>
                            </w:pPr>
                            <w:r w:rsidRPr="00260412">
                              <w:rPr>
                                <w:rFonts w:eastAsiaTheme="minorHAnsi"/>
                                <w:b/>
                                <w:sz w:val="20"/>
                                <w:lang w:val="en-NZ" w:eastAsia="en-US"/>
                              </w:rPr>
                              <w:t xml:space="preserve">Example </w:t>
                            </w:r>
                            <w:r>
                              <w:rPr>
                                <w:rFonts w:eastAsiaTheme="minorHAnsi"/>
                                <w:b/>
                                <w:sz w:val="20"/>
                                <w:lang w:val="en-NZ" w:eastAsia="en-US"/>
                              </w:rPr>
                              <w:t xml:space="preserve">2: </w:t>
                            </w:r>
                            <w:r w:rsidRPr="00260412">
                              <w:rPr>
                                <w:rFonts w:eastAsiaTheme="minorHAnsi"/>
                                <w:b/>
                                <w:sz w:val="20"/>
                                <w:lang w:val="en-NZ" w:eastAsia="en-US"/>
                              </w:rPr>
                              <w:t>Interest paid less than interest accruing</w:t>
                            </w:r>
                          </w:p>
                          <w:p w:rsidR="00643520" w:rsidRDefault="00643520" w:rsidP="00625ADD">
                            <w:pPr>
                              <w:rPr>
                                <w:rFonts w:eastAsiaTheme="minorHAnsi"/>
                                <w:sz w:val="20"/>
                                <w:lang w:val="en-NZ" w:eastAsia="en-US"/>
                              </w:rPr>
                            </w:pPr>
                          </w:p>
                          <w:p w:rsidR="00643520" w:rsidRPr="00260412" w:rsidRDefault="00643520" w:rsidP="00625ADD">
                            <w:pPr>
                              <w:rPr>
                                <w:rFonts w:eastAsiaTheme="minorHAnsi"/>
                                <w:sz w:val="20"/>
                                <w:lang w:val="en-NZ" w:eastAsia="en-US"/>
                              </w:rPr>
                            </w:pPr>
                            <w:r w:rsidRPr="00260412">
                              <w:rPr>
                                <w:rFonts w:eastAsiaTheme="minorHAnsi"/>
                                <w:sz w:val="20"/>
                                <w:lang w:val="en-NZ" w:eastAsia="en-US"/>
                              </w:rPr>
                              <w:t>B</w:t>
                            </w:r>
                            <w:r>
                              <w:rPr>
                                <w:rFonts w:eastAsiaTheme="minorHAnsi"/>
                                <w:sz w:val="20"/>
                                <w:lang w:val="en-NZ" w:eastAsia="en-US"/>
                              </w:rPr>
                              <w:t xml:space="preserve"> Co</w:t>
                            </w:r>
                            <w:r w:rsidRPr="00260412">
                              <w:rPr>
                                <w:rFonts w:eastAsiaTheme="minorHAnsi"/>
                                <w:sz w:val="20"/>
                                <w:lang w:val="en-NZ" w:eastAsia="en-US"/>
                              </w:rPr>
                              <w:t xml:space="preserve"> has a 31 March balance date and borrows NZ$1,000 from an associated non-resident on 2 April 2017.  B</w:t>
                            </w:r>
                            <w:r>
                              <w:rPr>
                                <w:rFonts w:eastAsiaTheme="minorHAnsi"/>
                                <w:sz w:val="20"/>
                                <w:lang w:val="en-NZ" w:eastAsia="en-US"/>
                              </w:rPr>
                              <w:t xml:space="preserve"> Co</w:t>
                            </w:r>
                            <w:r w:rsidRPr="00260412">
                              <w:rPr>
                                <w:rFonts w:eastAsiaTheme="minorHAnsi"/>
                                <w:sz w:val="20"/>
                                <w:lang w:val="en-NZ" w:eastAsia="en-US"/>
                              </w:rPr>
                              <w:t xml:space="preserve"> will pay $60 of interest on 1 April each year and $1,300 upon maturity on 1 April 2022.  Deductions are calculated on </w:t>
                            </w:r>
                            <w:proofErr w:type="gramStart"/>
                            <w:r w:rsidRPr="00260412">
                              <w:rPr>
                                <w:rFonts w:eastAsiaTheme="minorHAnsi"/>
                                <w:sz w:val="20"/>
                                <w:lang w:val="en-NZ" w:eastAsia="en-US"/>
                              </w:rPr>
                              <w:t>a</w:t>
                            </w:r>
                            <w:proofErr w:type="gramEnd"/>
                            <w:r w:rsidRPr="00260412">
                              <w:rPr>
                                <w:rFonts w:eastAsiaTheme="minorHAnsi"/>
                                <w:sz w:val="20"/>
                                <w:lang w:val="en-NZ" w:eastAsia="en-US"/>
                              </w:rPr>
                              <w:t xml:space="preserve"> </w:t>
                            </w:r>
                            <w:proofErr w:type="spellStart"/>
                            <w:r w:rsidRPr="00260412">
                              <w:rPr>
                                <w:rFonts w:eastAsiaTheme="minorHAnsi"/>
                                <w:sz w:val="20"/>
                                <w:lang w:val="en-NZ" w:eastAsia="en-US"/>
                              </w:rPr>
                              <w:t>YTM</w:t>
                            </w:r>
                            <w:proofErr w:type="spellEnd"/>
                            <w:r w:rsidRPr="00260412">
                              <w:rPr>
                                <w:rFonts w:eastAsiaTheme="minorHAnsi"/>
                                <w:sz w:val="20"/>
                                <w:lang w:val="en-NZ" w:eastAsia="en-US"/>
                              </w:rPr>
                              <w:t xml:space="preserve"> basis with a 364/365</w:t>
                            </w:r>
                            <w:r w:rsidRPr="00260412">
                              <w:rPr>
                                <w:rFonts w:eastAsiaTheme="minorHAnsi"/>
                                <w:sz w:val="20"/>
                                <w:vertAlign w:val="superscript"/>
                                <w:lang w:val="en-NZ" w:eastAsia="en-US"/>
                              </w:rPr>
                              <w:t>ths</w:t>
                            </w:r>
                            <w:r w:rsidRPr="00260412">
                              <w:rPr>
                                <w:rFonts w:eastAsiaTheme="minorHAnsi"/>
                                <w:sz w:val="20"/>
                                <w:lang w:val="en-NZ" w:eastAsia="en-US"/>
                              </w:rPr>
                              <w:t xml:space="preserve"> apportionment between years.</w:t>
                            </w:r>
                          </w:p>
                          <w:p w:rsidR="00643520" w:rsidRDefault="00643520" w:rsidP="00625ADD">
                            <w:pPr>
                              <w:jc w:val="left"/>
                              <w:rPr>
                                <w:rFonts w:eastAsiaTheme="minorHAnsi"/>
                                <w:sz w:val="20"/>
                                <w:lang w:val="en-NZ" w:eastAsia="en-US"/>
                              </w:rPr>
                            </w:pPr>
                          </w:p>
                          <w:p w:rsidR="00643520" w:rsidRPr="00260412" w:rsidRDefault="00643520" w:rsidP="00625ADD">
                            <w:pPr>
                              <w:jc w:val="left"/>
                              <w:rPr>
                                <w:rFonts w:eastAsiaTheme="minorHAnsi"/>
                                <w:sz w:val="20"/>
                                <w:lang w:val="en-NZ" w:eastAsia="en-US"/>
                              </w:rPr>
                            </w:pPr>
                          </w:p>
                          <w:tbl>
                            <w:tblPr>
                              <w:tblStyle w:val="TableGrid"/>
                              <w:tblW w:w="8755" w:type="dxa"/>
                              <w:jc w:val="center"/>
                              <w:tblLayout w:type="fixed"/>
                              <w:tblCellMar>
                                <w:top w:w="57" w:type="dxa"/>
                                <w:left w:w="57" w:type="dxa"/>
                                <w:bottom w:w="57" w:type="dxa"/>
                                <w:right w:w="57" w:type="dxa"/>
                              </w:tblCellMar>
                              <w:tblLook w:val="04A0" w:firstRow="1" w:lastRow="0" w:firstColumn="1" w:lastColumn="0" w:noHBand="0" w:noVBand="1"/>
                            </w:tblPr>
                            <w:tblGrid>
                              <w:gridCol w:w="419"/>
                              <w:gridCol w:w="1129"/>
                              <w:gridCol w:w="1560"/>
                              <w:gridCol w:w="992"/>
                              <w:gridCol w:w="992"/>
                              <w:gridCol w:w="1418"/>
                              <w:gridCol w:w="850"/>
                              <w:gridCol w:w="1395"/>
                            </w:tblGrid>
                            <w:tr w:rsidR="00643520" w:rsidRPr="00CA1FA8" w:rsidTr="008641E0">
                              <w:trPr>
                                <w:tblHeader/>
                                <w:jc w:val="center"/>
                              </w:trPr>
                              <w:tc>
                                <w:tcPr>
                                  <w:tcW w:w="419" w:type="dxa"/>
                                  <w:vAlign w:val="center"/>
                                </w:tcPr>
                                <w:p w:rsidR="00643520" w:rsidRPr="00CA1FA8" w:rsidRDefault="00643520" w:rsidP="005A4B85">
                                  <w:pPr>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w:t>
                                  </w:r>
                                </w:p>
                              </w:tc>
                              <w:tc>
                                <w:tcPr>
                                  <w:tcW w:w="1129" w:type="dxa"/>
                                  <w:vAlign w:val="center"/>
                                </w:tcPr>
                                <w:p w:rsidR="00643520" w:rsidRPr="00CA1FA8" w:rsidRDefault="00643520" w:rsidP="005A4B85">
                                  <w:pPr>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Date</w:t>
                                  </w:r>
                                </w:p>
                              </w:tc>
                              <w:tc>
                                <w:tcPr>
                                  <w:tcW w:w="1560" w:type="dxa"/>
                                  <w:vAlign w:val="center"/>
                                </w:tcPr>
                                <w:p w:rsidR="00643520" w:rsidRPr="00CA1FA8" w:rsidRDefault="00643520" w:rsidP="005A4B85">
                                  <w:pPr>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Event</w:t>
                                  </w:r>
                                </w:p>
                              </w:tc>
                              <w:tc>
                                <w:tcPr>
                                  <w:tcW w:w="992" w:type="dxa"/>
                                  <w:vAlign w:val="center"/>
                                </w:tcPr>
                                <w:p w:rsidR="00643520" w:rsidRPr="00CA1FA8" w:rsidRDefault="00643520" w:rsidP="005A4B85">
                                  <w:pPr>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Payments</w:t>
                                  </w:r>
                                </w:p>
                              </w:tc>
                              <w:tc>
                                <w:tcPr>
                                  <w:tcW w:w="992" w:type="dxa"/>
                                  <w:vAlign w:val="center"/>
                                </w:tcPr>
                                <w:p w:rsidR="00643520" w:rsidRPr="00CA1FA8" w:rsidRDefault="00643520" w:rsidP="005A4B85">
                                  <w:pPr>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Deductions</w:t>
                                  </w:r>
                                </w:p>
                              </w:tc>
                              <w:tc>
                                <w:tcPr>
                                  <w:tcW w:w="1418" w:type="dxa"/>
                                  <w:vAlign w:val="center"/>
                                </w:tcPr>
                                <w:p w:rsidR="00643520" w:rsidRPr="00CA1FA8" w:rsidRDefault="00643520" w:rsidP="005A4B85">
                                  <w:pPr>
                                    <w:ind w:left="-80"/>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Deduction  &gt; payment</w:t>
                                  </w:r>
                                </w:p>
                              </w:tc>
                              <w:tc>
                                <w:tcPr>
                                  <w:tcW w:w="850" w:type="dxa"/>
                                  <w:vAlign w:val="center"/>
                                </w:tcPr>
                                <w:p w:rsidR="00643520" w:rsidRPr="00CA1FA8" w:rsidRDefault="00643520" w:rsidP="005A4B85">
                                  <w:pPr>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Cash NRWT</w:t>
                                  </w:r>
                                </w:p>
                              </w:tc>
                              <w:tc>
                                <w:tcPr>
                                  <w:tcW w:w="1395" w:type="dxa"/>
                                  <w:vAlign w:val="center"/>
                                </w:tcPr>
                                <w:p w:rsidR="00643520" w:rsidRPr="00CA1FA8" w:rsidRDefault="00643520" w:rsidP="005A4B85">
                                  <w:pPr>
                                    <w:ind w:left="-44"/>
                                    <w:jc w:val="center"/>
                                    <w:rPr>
                                      <w:rFonts w:ascii="Times New Roman" w:hAnsi="Times New Roman" w:cs="Times New Roman"/>
                                      <w:b/>
                                      <w:sz w:val="18"/>
                                      <w:szCs w:val="18"/>
                                      <w:lang w:val="en-NZ" w:eastAsia="en-US"/>
                                    </w:rPr>
                                  </w:pPr>
                                  <w:proofErr w:type="spellStart"/>
                                  <w:r w:rsidRPr="00CA1FA8">
                                    <w:rPr>
                                      <w:rFonts w:ascii="Times New Roman" w:hAnsi="Times New Roman" w:cs="Times New Roman"/>
                                      <w:b/>
                                      <w:sz w:val="18"/>
                                      <w:szCs w:val="18"/>
                                      <w:lang w:val="en-NZ" w:eastAsia="en-US"/>
                                    </w:rPr>
                                    <w:t>NRFAI</w:t>
                                  </w:r>
                                  <w:proofErr w:type="spellEnd"/>
                                </w:p>
                                <w:p w:rsidR="00643520" w:rsidRPr="00CA1FA8" w:rsidRDefault="00643520" w:rsidP="005A4B85">
                                  <w:pPr>
                                    <w:ind w:left="-44"/>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NRWT</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 Apr 2017</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Arrangement commences</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-1,000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2018</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108.03</w:t>
                                  </w: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 Apr 2018</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Coupon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w:t>
                                  </w: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4</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2018</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N/A – First year</w:t>
                                  </w: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5</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2019</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113.55</w:t>
                                  </w: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 Apr 2019</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Coupon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w:t>
                                  </w: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7</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2019</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120 ÷ 108.03 = 111.1%</w:t>
                                  </w: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8</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2020</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119.35</w:t>
                                  </w: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9</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 Apr 2020</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Coupon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w:t>
                                  </w: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10</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2020</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180 ÷ 221.58 = </w:t>
                                  </w:r>
                                  <w:r w:rsidRPr="008A5F18">
                                    <w:rPr>
                                      <w:rFonts w:ascii="Times New Roman" w:hAnsi="Times New Roman" w:cs="Times New Roman"/>
                                      <w:color w:val="FF0000"/>
                                      <w:sz w:val="18"/>
                                      <w:szCs w:val="18"/>
                                      <w:lang w:val="en-NZ" w:eastAsia="en-US"/>
                                    </w:rPr>
                                    <w:t xml:space="preserve">81.2% = </w:t>
                                  </w:r>
                                  <w:proofErr w:type="spellStart"/>
                                  <w:r w:rsidRPr="008A5F18">
                                    <w:rPr>
                                      <w:rFonts w:ascii="Times New Roman" w:hAnsi="Times New Roman" w:cs="Times New Roman"/>
                                      <w:color w:val="FF0000"/>
                                      <w:sz w:val="18"/>
                                      <w:szCs w:val="18"/>
                                      <w:lang w:val="en-NZ" w:eastAsia="en-US"/>
                                    </w:rPr>
                                    <w:t>NRFAI</w:t>
                                  </w:r>
                                  <w:proofErr w:type="spellEnd"/>
                                  <w:r w:rsidRPr="008A5F18">
                                    <w:rPr>
                                      <w:rFonts w:ascii="Times New Roman" w:hAnsi="Times New Roman" w:cs="Times New Roman"/>
                                      <w:color w:val="FF0000"/>
                                      <w:sz w:val="18"/>
                                      <w:szCs w:val="18"/>
                                      <w:lang w:val="en-NZ" w:eastAsia="en-US"/>
                                    </w:rPr>
                                    <w:t xml:space="preserve"> triggered</w:t>
                                  </w: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(108.03 + </w:t>
                                  </w:r>
                                </w:p>
                                <w:p w:rsidR="00643520"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113.55 +</w:t>
                                  </w:r>
                                </w:p>
                                <w:p w:rsidR="00643520"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 119.35) x</w:t>
                                  </w:r>
                                </w:p>
                                <w:p w:rsidR="00643520"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 10% - 18 </w:t>
                                  </w:r>
                                </w:p>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16.09</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11</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2020</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125.78</w:t>
                                  </w: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12</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 Apr 2021</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Coupon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Not required</w:t>
                                  </w: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13</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2021</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Not required</w:t>
                                  </w: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12.58</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14</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2022</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132.91</w:t>
                                  </w: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15</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 Apr 2022</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Maturity</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1,360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Not required</w:t>
                                  </w: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16</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2022</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Not required</w:t>
                                  </w: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13.29</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17</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Jul 2022</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Maturity </w:t>
                                  </w: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0.04</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18</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2023</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0.36</w:t>
                                  </w: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Borders>
                                    <w:left w:val="nil"/>
                                    <w:bottom w:val="nil"/>
                                  </w:tcBorders>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 </w:t>
                                  </w:r>
                                </w:p>
                              </w:tc>
                              <w:tc>
                                <w:tcPr>
                                  <w:tcW w:w="2689" w:type="dxa"/>
                                  <w:gridSpan w:val="2"/>
                                  <w:tcBorders>
                                    <w:top w:val="double" w:sz="4" w:space="0" w:color="auto"/>
                                  </w:tcBorders>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Total</w:t>
                                  </w:r>
                                </w:p>
                              </w:tc>
                              <w:tc>
                                <w:tcPr>
                                  <w:tcW w:w="992" w:type="dxa"/>
                                  <w:tcBorders>
                                    <w:top w:val="double" w:sz="4" w:space="0" w:color="auto"/>
                                  </w:tcBorders>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600</w:t>
                                  </w:r>
                                </w:p>
                              </w:tc>
                              <w:tc>
                                <w:tcPr>
                                  <w:tcW w:w="992" w:type="dxa"/>
                                  <w:tcBorders>
                                    <w:top w:val="double" w:sz="4" w:space="0" w:color="auto"/>
                                  </w:tcBorders>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600</w:t>
                                  </w:r>
                                </w:p>
                              </w:tc>
                              <w:tc>
                                <w:tcPr>
                                  <w:tcW w:w="1418" w:type="dxa"/>
                                  <w:tcBorders>
                                    <w:top w:val="double" w:sz="4" w:space="0" w:color="auto"/>
                                  </w:tcBorders>
                                </w:tcPr>
                                <w:p w:rsidR="00643520" w:rsidRPr="00CA1FA8" w:rsidRDefault="00643520" w:rsidP="00625ADD">
                                  <w:pPr>
                                    <w:ind w:left="-80"/>
                                    <w:jc w:val="right"/>
                                    <w:rPr>
                                      <w:rFonts w:ascii="Times New Roman" w:hAnsi="Times New Roman" w:cs="Times New Roman"/>
                                      <w:sz w:val="18"/>
                                      <w:szCs w:val="18"/>
                                      <w:lang w:val="en-NZ" w:eastAsia="en-US"/>
                                    </w:rPr>
                                  </w:pPr>
                                </w:p>
                              </w:tc>
                              <w:tc>
                                <w:tcPr>
                                  <w:tcW w:w="2245" w:type="dxa"/>
                                  <w:gridSpan w:val="2"/>
                                  <w:tcBorders>
                                    <w:top w:val="double" w:sz="4" w:space="0" w:color="auto"/>
                                  </w:tcBorders>
                                </w:tcPr>
                                <w:p w:rsidR="00643520" w:rsidRPr="00CA1FA8" w:rsidRDefault="00643520" w:rsidP="00625ADD">
                                  <w:pPr>
                                    <w:ind w:left="-160"/>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60</w:t>
                                  </w:r>
                                </w:p>
                              </w:tc>
                            </w:tr>
                          </w:tbl>
                          <w:p w:rsidR="00643520" w:rsidRDefault="00643520" w:rsidP="00625ADD">
                            <w:pPr>
                              <w:rPr>
                                <w:rFonts w:eastAsiaTheme="minorHAnsi"/>
                                <w:sz w:val="16"/>
                                <w:szCs w:val="16"/>
                                <w:lang w:eastAsia="en-US"/>
                              </w:rPr>
                            </w:pPr>
                          </w:p>
                          <w:p w:rsidR="00643520" w:rsidRDefault="00643520" w:rsidP="00625ADD">
                            <w:pPr>
                              <w:rPr>
                                <w:rFonts w:eastAsiaTheme="minorHAnsi"/>
                                <w:sz w:val="16"/>
                                <w:szCs w:val="16"/>
                                <w:lang w:eastAsia="en-US"/>
                              </w:rPr>
                            </w:pPr>
                          </w:p>
                          <w:p w:rsidR="00643520" w:rsidRPr="004C024D" w:rsidRDefault="00643520" w:rsidP="00625ADD">
                            <w:pPr>
                              <w:pStyle w:val="Bullets"/>
                              <w:numPr>
                                <w:ilvl w:val="0"/>
                                <w:numId w:val="0"/>
                              </w:numPr>
                              <w:spacing w:after="0"/>
                              <w:rPr>
                                <w:rFonts w:eastAsiaTheme="minorHAnsi"/>
                                <w:sz w:val="20"/>
                                <w:lang w:eastAsia="en-US"/>
                              </w:rPr>
                            </w:pPr>
                            <w:r w:rsidRPr="004C024D">
                              <w:rPr>
                                <w:rFonts w:eastAsiaTheme="minorHAnsi"/>
                                <w:sz w:val="20"/>
                                <w:lang w:eastAsia="en-US"/>
                              </w:rPr>
                              <w:t xml:space="preserve">Although the interest payment at #9 is paid after the end of the March 2020 </w:t>
                            </w:r>
                            <w:r>
                              <w:rPr>
                                <w:rFonts w:eastAsiaTheme="minorHAnsi"/>
                                <w:sz w:val="20"/>
                                <w:lang w:eastAsia="en-US"/>
                              </w:rPr>
                              <w:t xml:space="preserve">tax </w:t>
                            </w:r>
                            <w:r w:rsidRPr="004C024D">
                              <w:rPr>
                                <w:rFonts w:eastAsiaTheme="minorHAnsi"/>
                                <w:sz w:val="20"/>
                                <w:lang w:eastAsia="en-US"/>
                              </w:rPr>
                              <w:t>year</w:t>
                            </w:r>
                            <w:r>
                              <w:rPr>
                                <w:rFonts w:eastAsiaTheme="minorHAnsi"/>
                                <w:sz w:val="20"/>
                                <w:lang w:eastAsia="en-US"/>
                              </w:rPr>
                              <w:t>,</w:t>
                            </w:r>
                            <w:r w:rsidRPr="004C024D">
                              <w:rPr>
                                <w:rFonts w:eastAsiaTheme="minorHAnsi"/>
                                <w:sz w:val="20"/>
                                <w:lang w:eastAsia="en-US"/>
                              </w:rPr>
                              <w:t xml:space="preserve"> which is the first one </w:t>
                            </w:r>
                            <w:proofErr w:type="spellStart"/>
                            <w:r w:rsidRPr="004C024D">
                              <w:rPr>
                                <w:rFonts w:eastAsiaTheme="minorHAnsi"/>
                                <w:sz w:val="20"/>
                                <w:lang w:eastAsia="en-US"/>
                              </w:rPr>
                              <w:t>NRFAI</w:t>
                            </w:r>
                            <w:proofErr w:type="spellEnd"/>
                            <w:r w:rsidRPr="004C024D">
                              <w:rPr>
                                <w:rFonts w:eastAsiaTheme="minorHAnsi"/>
                                <w:sz w:val="20"/>
                                <w:lang w:eastAsia="en-US"/>
                              </w:rPr>
                              <w:t xml:space="preserve"> arises in, it is not expected the </w:t>
                            </w:r>
                            <w:proofErr w:type="spellStart"/>
                            <w:r w:rsidRPr="004C024D">
                              <w:rPr>
                                <w:rFonts w:eastAsiaTheme="minorHAnsi"/>
                                <w:sz w:val="20"/>
                                <w:lang w:eastAsia="en-US"/>
                              </w:rPr>
                              <w:t>NRFAI</w:t>
                            </w:r>
                            <w:proofErr w:type="spellEnd"/>
                            <w:r w:rsidRPr="004C024D">
                              <w:rPr>
                                <w:rFonts w:eastAsiaTheme="minorHAnsi"/>
                                <w:sz w:val="20"/>
                                <w:lang w:eastAsia="en-US"/>
                              </w:rPr>
                              <w:t xml:space="preserve"> 90% calculation will have been completed by this date as it is not yet due.  This is the reason NRWT on a payments basis is still required; however credit is given for this in the 90% calculation.</w:t>
                            </w:r>
                          </w:p>
                          <w:p w:rsidR="00643520" w:rsidRPr="004A07BA" w:rsidRDefault="00643520" w:rsidP="00625ADD">
                            <w:pPr>
                              <w:rPr>
                                <w:rFonts w:eastAsiaTheme="minorHAnsi"/>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12.4pt;margin-top:11.55pt;width:476.9pt;height: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" filled="f" strokeweight=".5pt">
                <v:textbox>
                  <w:txbxContent>
                    <w:p w:rsidR="00643520" w:rsidRPr="00260412" w:rsidRDefault="00643520" w:rsidP="00CA1FA8">
                      <w:pPr>
                        <w:spacing w:before="200"/>
                        <w:jc w:val="left"/>
                        <w:rPr>
                          <w:rFonts w:eastAsiaTheme="minorHAnsi"/>
                          <w:b/>
                          <w:sz w:val="20"/>
                          <w:lang w:val="en-NZ" w:eastAsia="en-US"/>
                        </w:rPr>
                      </w:pPr>
                      <w:r w:rsidRPr="00260412">
                        <w:rPr>
                          <w:rFonts w:eastAsiaTheme="minorHAnsi"/>
                          <w:b/>
                          <w:sz w:val="20"/>
                          <w:lang w:val="en-NZ" w:eastAsia="en-US"/>
                        </w:rPr>
                        <w:t xml:space="preserve">Example </w:t>
                      </w:r>
                      <w:r>
                        <w:rPr>
                          <w:rFonts w:eastAsiaTheme="minorHAnsi"/>
                          <w:b/>
                          <w:sz w:val="20"/>
                          <w:lang w:val="en-NZ" w:eastAsia="en-US"/>
                        </w:rPr>
                        <w:t xml:space="preserve">2: </w:t>
                      </w:r>
                      <w:r w:rsidRPr="00260412">
                        <w:rPr>
                          <w:rFonts w:eastAsiaTheme="minorHAnsi"/>
                          <w:b/>
                          <w:sz w:val="20"/>
                          <w:lang w:val="en-NZ" w:eastAsia="en-US"/>
                        </w:rPr>
                        <w:t>Interest paid less than interest accruing</w:t>
                      </w:r>
                    </w:p>
                    <w:p w:rsidR="00643520" w:rsidRDefault="00643520" w:rsidP="00625ADD">
                      <w:pPr>
                        <w:rPr>
                          <w:rFonts w:eastAsiaTheme="minorHAnsi"/>
                          <w:sz w:val="20"/>
                          <w:lang w:val="en-NZ" w:eastAsia="en-US"/>
                        </w:rPr>
                      </w:pPr>
                    </w:p>
                    <w:p w:rsidR="00643520" w:rsidRPr="00260412" w:rsidRDefault="00643520" w:rsidP="00625ADD">
                      <w:pPr>
                        <w:rPr>
                          <w:rFonts w:eastAsiaTheme="minorHAnsi"/>
                          <w:sz w:val="20"/>
                          <w:lang w:val="en-NZ" w:eastAsia="en-US"/>
                        </w:rPr>
                      </w:pPr>
                      <w:r w:rsidRPr="00260412">
                        <w:rPr>
                          <w:rFonts w:eastAsiaTheme="minorHAnsi"/>
                          <w:sz w:val="20"/>
                          <w:lang w:val="en-NZ" w:eastAsia="en-US"/>
                        </w:rPr>
                        <w:t>B</w:t>
                      </w:r>
                      <w:r>
                        <w:rPr>
                          <w:rFonts w:eastAsiaTheme="minorHAnsi"/>
                          <w:sz w:val="20"/>
                          <w:lang w:val="en-NZ" w:eastAsia="en-US"/>
                        </w:rPr>
                        <w:t xml:space="preserve"> Co</w:t>
                      </w:r>
                      <w:r w:rsidRPr="00260412">
                        <w:rPr>
                          <w:rFonts w:eastAsiaTheme="minorHAnsi"/>
                          <w:sz w:val="20"/>
                          <w:lang w:val="en-NZ" w:eastAsia="en-US"/>
                        </w:rPr>
                        <w:t xml:space="preserve"> has a 31 March balance date and borrows NZ$1,000 from an associated non-resident on 2 April 2017.  B</w:t>
                      </w:r>
                      <w:r>
                        <w:rPr>
                          <w:rFonts w:eastAsiaTheme="minorHAnsi"/>
                          <w:sz w:val="20"/>
                          <w:lang w:val="en-NZ" w:eastAsia="en-US"/>
                        </w:rPr>
                        <w:t xml:space="preserve"> Co</w:t>
                      </w:r>
                      <w:r w:rsidRPr="00260412">
                        <w:rPr>
                          <w:rFonts w:eastAsiaTheme="minorHAnsi"/>
                          <w:sz w:val="20"/>
                          <w:lang w:val="en-NZ" w:eastAsia="en-US"/>
                        </w:rPr>
                        <w:t xml:space="preserve"> will pay $60 of interest on 1 April each year and $1,300 upon maturity on 1 April 2022.  Deductions are calculated on </w:t>
                      </w:r>
                      <w:proofErr w:type="gramStart"/>
                      <w:r w:rsidRPr="00260412">
                        <w:rPr>
                          <w:rFonts w:eastAsiaTheme="minorHAnsi"/>
                          <w:sz w:val="20"/>
                          <w:lang w:val="en-NZ" w:eastAsia="en-US"/>
                        </w:rPr>
                        <w:t>a</w:t>
                      </w:r>
                      <w:proofErr w:type="gramEnd"/>
                      <w:r w:rsidRPr="00260412">
                        <w:rPr>
                          <w:rFonts w:eastAsiaTheme="minorHAnsi"/>
                          <w:sz w:val="20"/>
                          <w:lang w:val="en-NZ" w:eastAsia="en-US"/>
                        </w:rPr>
                        <w:t xml:space="preserve"> </w:t>
                      </w:r>
                      <w:proofErr w:type="spellStart"/>
                      <w:r w:rsidRPr="00260412">
                        <w:rPr>
                          <w:rFonts w:eastAsiaTheme="minorHAnsi"/>
                          <w:sz w:val="20"/>
                          <w:lang w:val="en-NZ" w:eastAsia="en-US"/>
                        </w:rPr>
                        <w:t>YTM</w:t>
                      </w:r>
                      <w:proofErr w:type="spellEnd"/>
                      <w:r w:rsidRPr="00260412">
                        <w:rPr>
                          <w:rFonts w:eastAsiaTheme="minorHAnsi"/>
                          <w:sz w:val="20"/>
                          <w:lang w:val="en-NZ" w:eastAsia="en-US"/>
                        </w:rPr>
                        <w:t xml:space="preserve"> basis with a 364/365</w:t>
                      </w:r>
                      <w:r w:rsidRPr="00260412">
                        <w:rPr>
                          <w:rFonts w:eastAsiaTheme="minorHAnsi"/>
                          <w:sz w:val="20"/>
                          <w:vertAlign w:val="superscript"/>
                          <w:lang w:val="en-NZ" w:eastAsia="en-US"/>
                        </w:rPr>
                        <w:t>ths</w:t>
                      </w:r>
                      <w:r w:rsidRPr="00260412">
                        <w:rPr>
                          <w:rFonts w:eastAsiaTheme="minorHAnsi"/>
                          <w:sz w:val="20"/>
                          <w:lang w:val="en-NZ" w:eastAsia="en-US"/>
                        </w:rPr>
                        <w:t xml:space="preserve"> apportionment between years.</w:t>
                      </w:r>
                    </w:p>
                    <w:p w:rsidR="00643520" w:rsidRDefault="00643520" w:rsidP="00625ADD">
                      <w:pPr>
                        <w:jc w:val="left"/>
                        <w:rPr>
                          <w:rFonts w:eastAsiaTheme="minorHAnsi"/>
                          <w:sz w:val="20"/>
                          <w:lang w:val="en-NZ" w:eastAsia="en-US"/>
                        </w:rPr>
                      </w:pPr>
                    </w:p>
                    <w:p w:rsidR="00643520" w:rsidRPr="00260412" w:rsidRDefault="00643520" w:rsidP="00625ADD">
                      <w:pPr>
                        <w:jc w:val="left"/>
                        <w:rPr>
                          <w:rFonts w:eastAsiaTheme="minorHAnsi"/>
                          <w:sz w:val="20"/>
                          <w:lang w:val="en-NZ" w:eastAsia="en-US"/>
                        </w:rPr>
                      </w:pPr>
                    </w:p>
                    <w:tbl>
                      <w:tblPr>
                        <w:tblStyle w:val="TableGrid"/>
                        <w:tblW w:w="8755" w:type="dxa"/>
                        <w:jc w:val="center"/>
                        <w:tblLayout w:type="fixed"/>
                        <w:tblCellMar>
                          <w:top w:w="57" w:type="dxa"/>
                          <w:left w:w="57" w:type="dxa"/>
                          <w:bottom w:w="57" w:type="dxa"/>
                          <w:right w:w="57" w:type="dxa"/>
                        </w:tblCellMar>
                        <w:tblLook w:val="04A0" w:firstRow="1" w:lastRow="0" w:firstColumn="1" w:lastColumn="0" w:noHBand="0" w:noVBand="1"/>
                      </w:tblPr>
                      <w:tblGrid>
                        <w:gridCol w:w="419"/>
                        <w:gridCol w:w="1129"/>
                        <w:gridCol w:w="1560"/>
                        <w:gridCol w:w="992"/>
                        <w:gridCol w:w="992"/>
                        <w:gridCol w:w="1418"/>
                        <w:gridCol w:w="850"/>
                        <w:gridCol w:w="1395"/>
                      </w:tblGrid>
                      <w:tr w:rsidR="00643520" w:rsidRPr="00CA1FA8" w:rsidTr="008641E0">
                        <w:trPr>
                          <w:tblHeader/>
                          <w:jc w:val="center"/>
                        </w:trPr>
                        <w:tc>
                          <w:tcPr>
                            <w:tcW w:w="419" w:type="dxa"/>
                            <w:vAlign w:val="center"/>
                          </w:tcPr>
                          <w:p w:rsidR="00643520" w:rsidRPr="00CA1FA8" w:rsidRDefault="00643520" w:rsidP="005A4B85">
                            <w:pPr>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w:t>
                            </w:r>
                          </w:p>
                        </w:tc>
                        <w:tc>
                          <w:tcPr>
                            <w:tcW w:w="1129" w:type="dxa"/>
                            <w:vAlign w:val="center"/>
                          </w:tcPr>
                          <w:p w:rsidR="00643520" w:rsidRPr="00CA1FA8" w:rsidRDefault="00643520" w:rsidP="005A4B85">
                            <w:pPr>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Date</w:t>
                            </w:r>
                          </w:p>
                        </w:tc>
                        <w:tc>
                          <w:tcPr>
                            <w:tcW w:w="1560" w:type="dxa"/>
                            <w:vAlign w:val="center"/>
                          </w:tcPr>
                          <w:p w:rsidR="00643520" w:rsidRPr="00CA1FA8" w:rsidRDefault="00643520" w:rsidP="005A4B85">
                            <w:pPr>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Event</w:t>
                            </w:r>
                          </w:p>
                        </w:tc>
                        <w:tc>
                          <w:tcPr>
                            <w:tcW w:w="992" w:type="dxa"/>
                            <w:vAlign w:val="center"/>
                          </w:tcPr>
                          <w:p w:rsidR="00643520" w:rsidRPr="00CA1FA8" w:rsidRDefault="00643520" w:rsidP="005A4B85">
                            <w:pPr>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Payments</w:t>
                            </w:r>
                          </w:p>
                        </w:tc>
                        <w:tc>
                          <w:tcPr>
                            <w:tcW w:w="992" w:type="dxa"/>
                            <w:vAlign w:val="center"/>
                          </w:tcPr>
                          <w:p w:rsidR="00643520" w:rsidRPr="00CA1FA8" w:rsidRDefault="00643520" w:rsidP="005A4B85">
                            <w:pPr>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Deductions</w:t>
                            </w:r>
                          </w:p>
                        </w:tc>
                        <w:tc>
                          <w:tcPr>
                            <w:tcW w:w="1418" w:type="dxa"/>
                            <w:vAlign w:val="center"/>
                          </w:tcPr>
                          <w:p w:rsidR="00643520" w:rsidRPr="00CA1FA8" w:rsidRDefault="00643520" w:rsidP="005A4B85">
                            <w:pPr>
                              <w:ind w:left="-80"/>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Deduction  &gt; payment</w:t>
                            </w:r>
                          </w:p>
                        </w:tc>
                        <w:tc>
                          <w:tcPr>
                            <w:tcW w:w="850" w:type="dxa"/>
                            <w:vAlign w:val="center"/>
                          </w:tcPr>
                          <w:p w:rsidR="00643520" w:rsidRPr="00CA1FA8" w:rsidRDefault="00643520" w:rsidP="005A4B85">
                            <w:pPr>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Cash NRWT</w:t>
                            </w:r>
                          </w:p>
                        </w:tc>
                        <w:tc>
                          <w:tcPr>
                            <w:tcW w:w="1395" w:type="dxa"/>
                            <w:vAlign w:val="center"/>
                          </w:tcPr>
                          <w:p w:rsidR="00643520" w:rsidRPr="00CA1FA8" w:rsidRDefault="00643520" w:rsidP="005A4B85">
                            <w:pPr>
                              <w:ind w:left="-44"/>
                              <w:jc w:val="center"/>
                              <w:rPr>
                                <w:rFonts w:ascii="Times New Roman" w:hAnsi="Times New Roman" w:cs="Times New Roman"/>
                                <w:b/>
                                <w:sz w:val="18"/>
                                <w:szCs w:val="18"/>
                                <w:lang w:val="en-NZ" w:eastAsia="en-US"/>
                              </w:rPr>
                            </w:pPr>
                            <w:proofErr w:type="spellStart"/>
                            <w:r w:rsidRPr="00CA1FA8">
                              <w:rPr>
                                <w:rFonts w:ascii="Times New Roman" w:hAnsi="Times New Roman" w:cs="Times New Roman"/>
                                <w:b/>
                                <w:sz w:val="18"/>
                                <w:szCs w:val="18"/>
                                <w:lang w:val="en-NZ" w:eastAsia="en-US"/>
                              </w:rPr>
                              <w:t>NRFAI</w:t>
                            </w:r>
                            <w:proofErr w:type="spellEnd"/>
                          </w:p>
                          <w:p w:rsidR="00643520" w:rsidRPr="00CA1FA8" w:rsidRDefault="00643520" w:rsidP="005A4B85">
                            <w:pPr>
                              <w:ind w:left="-44"/>
                              <w:jc w:val="center"/>
                              <w:rPr>
                                <w:rFonts w:ascii="Times New Roman" w:hAnsi="Times New Roman" w:cs="Times New Roman"/>
                                <w:b/>
                                <w:sz w:val="18"/>
                                <w:szCs w:val="18"/>
                                <w:lang w:val="en-NZ" w:eastAsia="en-US"/>
                              </w:rPr>
                            </w:pPr>
                            <w:r w:rsidRPr="00CA1FA8">
                              <w:rPr>
                                <w:rFonts w:ascii="Times New Roman" w:hAnsi="Times New Roman" w:cs="Times New Roman"/>
                                <w:b/>
                                <w:sz w:val="18"/>
                                <w:szCs w:val="18"/>
                                <w:lang w:val="en-NZ" w:eastAsia="en-US"/>
                              </w:rPr>
                              <w:t>NRWT</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 Apr 2017</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Arrangement commences</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-1,000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2018</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108.03</w:t>
                            </w: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 Apr 2018</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Coupon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w:t>
                            </w: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4</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2018</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N/A – First year</w:t>
                            </w: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5</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2019</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113.55</w:t>
                            </w: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 Apr 2019</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Coupon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w:t>
                            </w: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7</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2019</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120 ÷ 108.03 = 111.1%</w:t>
                            </w: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8</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2020</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119.35</w:t>
                            </w: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9</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 Apr 2020</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Coupon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w:t>
                            </w: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10</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2020</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180 ÷ 221.58 = </w:t>
                            </w:r>
                            <w:r w:rsidRPr="008A5F18">
                              <w:rPr>
                                <w:rFonts w:ascii="Times New Roman" w:hAnsi="Times New Roman" w:cs="Times New Roman"/>
                                <w:color w:val="FF0000"/>
                                <w:sz w:val="18"/>
                                <w:szCs w:val="18"/>
                                <w:lang w:val="en-NZ" w:eastAsia="en-US"/>
                              </w:rPr>
                              <w:t xml:space="preserve">81.2% = </w:t>
                            </w:r>
                            <w:proofErr w:type="spellStart"/>
                            <w:r w:rsidRPr="008A5F18">
                              <w:rPr>
                                <w:rFonts w:ascii="Times New Roman" w:hAnsi="Times New Roman" w:cs="Times New Roman"/>
                                <w:color w:val="FF0000"/>
                                <w:sz w:val="18"/>
                                <w:szCs w:val="18"/>
                                <w:lang w:val="en-NZ" w:eastAsia="en-US"/>
                              </w:rPr>
                              <w:t>NRFAI</w:t>
                            </w:r>
                            <w:proofErr w:type="spellEnd"/>
                            <w:r w:rsidRPr="008A5F18">
                              <w:rPr>
                                <w:rFonts w:ascii="Times New Roman" w:hAnsi="Times New Roman" w:cs="Times New Roman"/>
                                <w:color w:val="FF0000"/>
                                <w:sz w:val="18"/>
                                <w:szCs w:val="18"/>
                                <w:lang w:val="en-NZ" w:eastAsia="en-US"/>
                              </w:rPr>
                              <w:t xml:space="preserve"> triggered</w:t>
                            </w: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(108.03 + </w:t>
                            </w:r>
                          </w:p>
                          <w:p w:rsidR="00643520"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113.55 +</w:t>
                            </w:r>
                          </w:p>
                          <w:p w:rsidR="00643520"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 119.35) x</w:t>
                            </w:r>
                          </w:p>
                          <w:p w:rsidR="00643520"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 10% - 18 </w:t>
                            </w:r>
                          </w:p>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16.09</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11</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2020</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125.78</w:t>
                            </w: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12</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 Apr 2021</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Coupon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Not required</w:t>
                            </w: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13</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2021</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Not required</w:t>
                            </w: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12.58</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14</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2022</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132.91</w:t>
                            </w: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15</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 Apr 2022</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Maturity</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1,360</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Not required</w:t>
                            </w: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16</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Jun 2022</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Not required</w:t>
                            </w: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13.29</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17</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20 Jul 2022</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Maturity </w:t>
                            </w:r>
                            <w:proofErr w:type="spellStart"/>
                            <w:r w:rsidRPr="00CA1FA8">
                              <w:rPr>
                                <w:rFonts w:ascii="Times New Roman" w:hAnsi="Times New Roman" w:cs="Times New Roman"/>
                                <w:sz w:val="18"/>
                                <w:szCs w:val="18"/>
                                <w:lang w:val="en-NZ" w:eastAsia="en-US"/>
                              </w:rPr>
                              <w:t>NRFAI</w:t>
                            </w:r>
                            <w:proofErr w:type="spellEnd"/>
                            <w:r w:rsidRPr="00CA1FA8">
                              <w:rPr>
                                <w:rFonts w:ascii="Times New Roman" w:hAnsi="Times New Roman" w:cs="Times New Roman"/>
                                <w:sz w:val="18"/>
                                <w:szCs w:val="18"/>
                                <w:lang w:val="en-NZ" w:eastAsia="en-US"/>
                              </w:rPr>
                              <w:t xml:space="preserve"> calculation</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0.04</w:t>
                            </w:r>
                          </w:p>
                        </w:tc>
                      </w:tr>
                      <w:tr w:rsidR="00643520" w:rsidRPr="00CA1FA8" w:rsidTr="00CA1FA8">
                        <w:trPr>
                          <w:jc w:val="center"/>
                        </w:trPr>
                        <w:tc>
                          <w:tcPr>
                            <w:tcW w:w="419" w:type="dxa"/>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18</w:t>
                            </w:r>
                          </w:p>
                        </w:tc>
                        <w:tc>
                          <w:tcPr>
                            <w:tcW w:w="1129" w:type="dxa"/>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31 Mar 2023</w:t>
                            </w:r>
                          </w:p>
                        </w:tc>
                        <w:tc>
                          <w:tcPr>
                            <w:tcW w:w="1560" w:type="dxa"/>
                          </w:tcPr>
                          <w:p w:rsidR="00643520" w:rsidRPr="00CA1FA8" w:rsidRDefault="00643520" w:rsidP="00625ADD">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Balance date</w:t>
                            </w:r>
                          </w:p>
                        </w:tc>
                        <w:tc>
                          <w:tcPr>
                            <w:tcW w:w="992" w:type="dxa"/>
                          </w:tcPr>
                          <w:p w:rsidR="00643520" w:rsidRPr="00CA1FA8" w:rsidRDefault="00643520" w:rsidP="00625ADD">
                            <w:pPr>
                              <w:jc w:val="right"/>
                              <w:rPr>
                                <w:rFonts w:ascii="Times New Roman" w:hAnsi="Times New Roman" w:cs="Times New Roman"/>
                                <w:sz w:val="18"/>
                                <w:szCs w:val="18"/>
                                <w:lang w:val="en-NZ" w:eastAsia="en-US"/>
                              </w:rPr>
                            </w:pPr>
                          </w:p>
                        </w:tc>
                        <w:tc>
                          <w:tcPr>
                            <w:tcW w:w="992" w:type="dxa"/>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0.36</w:t>
                            </w:r>
                          </w:p>
                        </w:tc>
                        <w:tc>
                          <w:tcPr>
                            <w:tcW w:w="1418" w:type="dxa"/>
                          </w:tcPr>
                          <w:p w:rsidR="00643520" w:rsidRPr="00CA1FA8" w:rsidRDefault="00643520" w:rsidP="00625ADD">
                            <w:pPr>
                              <w:ind w:left="-80"/>
                              <w:jc w:val="right"/>
                              <w:rPr>
                                <w:rFonts w:ascii="Times New Roman" w:hAnsi="Times New Roman" w:cs="Times New Roman"/>
                                <w:sz w:val="18"/>
                                <w:szCs w:val="18"/>
                                <w:lang w:val="en-NZ" w:eastAsia="en-US"/>
                              </w:rPr>
                            </w:pPr>
                          </w:p>
                        </w:tc>
                        <w:tc>
                          <w:tcPr>
                            <w:tcW w:w="850" w:type="dxa"/>
                          </w:tcPr>
                          <w:p w:rsidR="00643520" w:rsidRPr="00CA1FA8" w:rsidRDefault="00643520" w:rsidP="00625ADD">
                            <w:pPr>
                              <w:jc w:val="right"/>
                              <w:rPr>
                                <w:rFonts w:ascii="Times New Roman" w:hAnsi="Times New Roman" w:cs="Times New Roman"/>
                                <w:sz w:val="18"/>
                                <w:szCs w:val="18"/>
                                <w:lang w:val="en-NZ" w:eastAsia="en-US"/>
                              </w:rPr>
                            </w:pPr>
                          </w:p>
                        </w:tc>
                        <w:tc>
                          <w:tcPr>
                            <w:tcW w:w="1395" w:type="dxa"/>
                          </w:tcPr>
                          <w:p w:rsidR="00643520" w:rsidRPr="00CA1FA8" w:rsidRDefault="00643520" w:rsidP="00625ADD">
                            <w:pPr>
                              <w:ind w:left="-160"/>
                              <w:jc w:val="right"/>
                              <w:rPr>
                                <w:rFonts w:ascii="Times New Roman" w:hAnsi="Times New Roman" w:cs="Times New Roman"/>
                                <w:sz w:val="18"/>
                                <w:szCs w:val="18"/>
                                <w:lang w:val="en-NZ" w:eastAsia="en-US"/>
                              </w:rPr>
                            </w:pPr>
                          </w:p>
                        </w:tc>
                      </w:tr>
                      <w:tr w:rsidR="00643520" w:rsidRPr="00CA1FA8" w:rsidTr="00CA1FA8">
                        <w:trPr>
                          <w:jc w:val="center"/>
                        </w:trPr>
                        <w:tc>
                          <w:tcPr>
                            <w:tcW w:w="419" w:type="dxa"/>
                            <w:tcBorders>
                              <w:left w:val="nil"/>
                              <w:bottom w:val="nil"/>
                            </w:tcBorders>
                          </w:tcPr>
                          <w:p w:rsidR="00643520" w:rsidRPr="00CA1FA8" w:rsidRDefault="00643520" w:rsidP="00625ADD">
                            <w:pPr>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 xml:space="preserve"> </w:t>
                            </w:r>
                          </w:p>
                        </w:tc>
                        <w:tc>
                          <w:tcPr>
                            <w:tcW w:w="2689" w:type="dxa"/>
                            <w:gridSpan w:val="2"/>
                            <w:tcBorders>
                              <w:top w:val="double" w:sz="4" w:space="0" w:color="auto"/>
                            </w:tcBorders>
                          </w:tcPr>
                          <w:p w:rsidR="00643520" w:rsidRPr="00CA1FA8" w:rsidRDefault="00643520" w:rsidP="00CA1FA8">
                            <w:pPr>
                              <w:jc w:val="lef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Total</w:t>
                            </w:r>
                          </w:p>
                        </w:tc>
                        <w:tc>
                          <w:tcPr>
                            <w:tcW w:w="992" w:type="dxa"/>
                            <w:tcBorders>
                              <w:top w:val="double" w:sz="4" w:space="0" w:color="auto"/>
                            </w:tcBorders>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600</w:t>
                            </w:r>
                          </w:p>
                        </w:tc>
                        <w:tc>
                          <w:tcPr>
                            <w:tcW w:w="992" w:type="dxa"/>
                            <w:tcBorders>
                              <w:top w:val="double" w:sz="4" w:space="0" w:color="auto"/>
                            </w:tcBorders>
                          </w:tcPr>
                          <w:p w:rsidR="00643520" w:rsidRPr="00CA1FA8" w:rsidRDefault="00643520" w:rsidP="00625ADD">
                            <w:pPr>
                              <w:jc w:val="right"/>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600</w:t>
                            </w:r>
                          </w:p>
                        </w:tc>
                        <w:tc>
                          <w:tcPr>
                            <w:tcW w:w="1418" w:type="dxa"/>
                            <w:tcBorders>
                              <w:top w:val="double" w:sz="4" w:space="0" w:color="auto"/>
                            </w:tcBorders>
                          </w:tcPr>
                          <w:p w:rsidR="00643520" w:rsidRPr="00CA1FA8" w:rsidRDefault="00643520" w:rsidP="00625ADD">
                            <w:pPr>
                              <w:ind w:left="-80"/>
                              <w:jc w:val="right"/>
                              <w:rPr>
                                <w:rFonts w:ascii="Times New Roman" w:hAnsi="Times New Roman" w:cs="Times New Roman"/>
                                <w:sz w:val="18"/>
                                <w:szCs w:val="18"/>
                                <w:lang w:val="en-NZ" w:eastAsia="en-US"/>
                              </w:rPr>
                            </w:pPr>
                          </w:p>
                        </w:tc>
                        <w:tc>
                          <w:tcPr>
                            <w:tcW w:w="2245" w:type="dxa"/>
                            <w:gridSpan w:val="2"/>
                            <w:tcBorders>
                              <w:top w:val="double" w:sz="4" w:space="0" w:color="auto"/>
                            </w:tcBorders>
                          </w:tcPr>
                          <w:p w:rsidR="00643520" w:rsidRPr="00CA1FA8" w:rsidRDefault="00643520" w:rsidP="00625ADD">
                            <w:pPr>
                              <w:ind w:left="-160"/>
                              <w:jc w:val="center"/>
                              <w:rPr>
                                <w:rFonts w:ascii="Times New Roman" w:hAnsi="Times New Roman" w:cs="Times New Roman"/>
                                <w:sz w:val="18"/>
                                <w:szCs w:val="18"/>
                                <w:lang w:val="en-NZ" w:eastAsia="en-US"/>
                              </w:rPr>
                            </w:pPr>
                            <w:r w:rsidRPr="00CA1FA8">
                              <w:rPr>
                                <w:rFonts w:ascii="Times New Roman" w:hAnsi="Times New Roman" w:cs="Times New Roman"/>
                                <w:sz w:val="18"/>
                                <w:szCs w:val="18"/>
                                <w:lang w:val="en-NZ" w:eastAsia="en-US"/>
                              </w:rPr>
                              <w:t>60</w:t>
                            </w:r>
                          </w:p>
                        </w:tc>
                      </w:tr>
                    </w:tbl>
                    <w:p w:rsidR="00643520" w:rsidRDefault="00643520" w:rsidP="00625ADD">
                      <w:pPr>
                        <w:rPr>
                          <w:rFonts w:eastAsiaTheme="minorHAnsi"/>
                          <w:sz w:val="16"/>
                          <w:szCs w:val="16"/>
                          <w:lang w:eastAsia="en-US"/>
                        </w:rPr>
                      </w:pPr>
                    </w:p>
                    <w:p w:rsidR="00643520" w:rsidRDefault="00643520" w:rsidP="00625ADD">
                      <w:pPr>
                        <w:rPr>
                          <w:rFonts w:eastAsiaTheme="minorHAnsi"/>
                          <w:sz w:val="16"/>
                          <w:szCs w:val="16"/>
                          <w:lang w:eastAsia="en-US"/>
                        </w:rPr>
                      </w:pPr>
                    </w:p>
                    <w:p w:rsidR="00643520" w:rsidRPr="004C024D" w:rsidRDefault="00643520" w:rsidP="00625ADD">
                      <w:pPr>
                        <w:pStyle w:val="Bullets"/>
                        <w:numPr>
                          <w:ilvl w:val="0"/>
                          <w:numId w:val="0"/>
                        </w:numPr>
                        <w:spacing w:after="0"/>
                        <w:rPr>
                          <w:rFonts w:eastAsiaTheme="minorHAnsi"/>
                          <w:sz w:val="20"/>
                          <w:lang w:eastAsia="en-US"/>
                        </w:rPr>
                      </w:pPr>
                      <w:r w:rsidRPr="004C024D">
                        <w:rPr>
                          <w:rFonts w:eastAsiaTheme="minorHAnsi"/>
                          <w:sz w:val="20"/>
                          <w:lang w:eastAsia="en-US"/>
                        </w:rPr>
                        <w:t xml:space="preserve">Although the interest payment at #9 is paid after the end of the March 2020 </w:t>
                      </w:r>
                      <w:r>
                        <w:rPr>
                          <w:rFonts w:eastAsiaTheme="minorHAnsi"/>
                          <w:sz w:val="20"/>
                          <w:lang w:eastAsia="en-US"/>
                        </w:rPr>
                        <w:t xml:space="preserve">tax </w:t>
                      </w:r>
                      <w:r w:rsidRPr="004C024D">
                        <w:rPr>
                          <w:rFonts w:eastAsiaTheme="minorHAnsi"/>
                          <w:sz w:val="20"/>
                          <w:lang w:eastAsia="en-US"/>
                        </w:rPr>
                        <w:t>year</w:t>
                      </w:r>
                      <w:r>
                        <w:rPr>
                          <w:rFonts w:eastAsiaTheme="minorHAnsi"/>
                          <w:sz w:val="20"/>
                          <w:lang w:eastAsia="en-US"/>
                        </w:rPr>
                        <w:t>,</w:t>
                      </w:r>
                      <w:r w:rsidRPr="004C024D">
                        <w:rPr>
                          <w:rFonts w:eastAsiaTheme="minorHAnsi"/>
                          <w:sz w:val="20"/>
                          <w:lang w:eastAsia="en-US"/>
                        </w:rPr>
                        <w:t xml:space="preserve"> which is the first one </w:t>
                      </w:r>
                      <w:proofErr w:type="spellStart"/>
                      <w:r w:rsidRPr="004C024D">
                        <w:rPr>
                          <w:rFonts w:eastAsiaTheme="minorHAnsi"/>
                          <w:sz w:val="20"/>
                          <w:lang w:eastAsia="en-US"/>
                        </w:rPr>
                        <w:t>NRFAI</w:t>
                      </w:r>
                      <w:proofErr w:type="spellEnd"/>
                      <w:r w:rsidRPr="004C024D">
                        <w:rPr>
                          <w:rFonts w:eastAsiaTheme="minorHAnsi"/>
                          <w:sz w:val="20"/>
                          <w:lang w:eastAsia="en-US"/>
                        </w:rPr>
                        <w:t xml:space="preserve"> arises in, it is not expected the </w:t>
                      </w:r>
                      <w:proofErr w:type="spellStart"/>
                      <w:r w:rsidRPr="004C024D">
                        <w:rPr>
                          <w:rFonts w:eastAsiaTheme="minorHAnsi"/>
                          <w:sz w:val="20"/>
                          <w:lang w:eastAsia="en-US"/>
                        </w:rPr>
                        <w:t>NRFAI</w:t>
                      </w:r>
                      <w:proofErr w:type="spellEnd"/>
                      <w:r w:rsidRPr="004C024D">
                        <w:rPr>
                          <w:rFonts w:eastAsiaTheme="minorHAnsi"/>
                          <w:sz w:val="20"/>
                          <w:lang w:eastAsia="en-US"/>
                        </w:rPr>
                        <w:t xml:space="preserve"> 90% calculation will have been completed by this date as it is not yet due.  This is the reason NRWT on a payments basis is still required; however credit is given for this in the 90% calculation.</w:t>
                      </w:r>
                    </w:p>
                    <w:p w:rsidR="00643520" w:rsidRPr="004A07BA" w:rsidRDefault="00643520" w:rsidP="00625ADD">
                      <w:pPr>
                        <w:rPr>
                          <w:rFonts w:eastAsiaTheme="minorHAnsi"/>
                          <w:sz w:val="16"/>
                          <w:szCs w:val="16"/>
                          <w:lang w:eastAsia="en-US"/>
                        </w:rPr>
                      </w:pPr>
                    </w:p>
                  </w:txbxContent>
                </v:textbox>
                <w10:wrap type="square"/>
              </v:shape>
            </w:pict>
          </mc:Fallback>
        </mc:AlternateContent>
      </w:r>
    </w:p>
    <w:p w:rsidR="00625ADD" w:rsidRPr="00260412" w:rsidRDefault="00625ADD" w:rsidP="00625ADD">
      <w:pPr>
        <w:spacing w:after="200" w:line="276" w:lineRule="auto"/>
        <w:contextualSpacing/>
        <w:jc w:val="left"/>
        <w:rPr>
          <w:rFonts w:eastAsiaTheme="minorHAnsi"/>
          <w:sz w:val="20"/>
          <w:lang w:val="en-NZ" w:eastAsia="en-US"/>
        </w:rPr>
      </w:pPr>
    </w:p>
    <w:p w:rsidR="00625ADD" w:rsidRDefault="00625ADD" w:rsidP="00625ADD">
      <w:pPr>
        <w:jc w:val="left"/>
        <w:rPr>
          <w:rFonts w:eastAsiaTheme="minorHAnsi"/>
          <w:b/>
          <w:sz w:val="20"/>
          <w:lang w:val="en-NZ" w:eastAsia="en-US"/>
        </w:rPr>
      </w:pPr>
      <w:r>
        <w:rPr>
          <w:rFonts w:eastAsiaTheme="minorHAnsi"/>
          <w:b/>
          <w:sz w:val="20"/>
          <w:lang w:val="en-NZ" w:eastAsia="en-US"/>
        </w:rPr>
        <w:br w:type="page"/>
      </w:r>
    </w:p>
    <w:p w:rsidR="005A4B85" w:rsidRDefault="004C3DB4" w:rsidP="00625ADD">
      <w:pPr>
        <w:pStyle w:val="Bullets"/>
        <w:numPr>
          <w:ilvl w:val="0"/>
          <w:numId w:val="0"/>
        </w:numPr>
        <w:spacing w:after="0"/>
        <w:rPr>
          <w:rFonts w:eastAsiaTheme="minorHAnsi"/>
          <w:sz w:val="20"/>
          <w:lang w:eastAsia="en-US"/>
        </w:rPr>
      </w:pPr>
      <w:r>
        <w:rPr>
          <w:noProof/>
          <w:lang w:eastAsia="en-NZ"/>
        </w:rPr>
        <mc:AlternateContent>
          <mc:Choice Requires="wps">
            <w:drawing>
              <wp:anchor distT="0" distB="0" distL="114300" distR="114300" simplePos="0" relativeHeight="251662336" behindDoc="0" locked="0" layoutInCell="1" allowOverlap="1" wp14:anchorId="17393D8F" wp14:editId="09FB616E">
                <wp:simplePos x="0" y="0"/>
                <wp:positionH relativeFrom="column">
                  <wp:posOffset>-161595</wp:posOffset>
                </wp:positionH>
                <wp:positionV relativeFrom="paragraph">
                  <wp:posOffset>69952</wp:posOffset>
                </wp:positionV>
                <wp:extent cx="6042355" cy="7600492"/>
                <wp:effectExtent l="0" t="0" r="15875" b="19685"/>
                <wp:wrapSquare wrapText="bothSides"/>
                <wp:docPr id="25" name="Text Box 25"/>
                <wp:cNvGraphicFramePr/>
                <a:graphic xmlns:a="http://schemas.openxmlformats.org/drawingml/2006/main">
                  <a:graphicData uri="http://schemas.microsoft.com/office/word/2010/wordprocessingShape">
                    <wps:wsp>
                      <wps:cNvSpPr txBox="1"/>
                      <wps:spPr>
                        <a:xfrm>
                          <a:off x="0" y="0"/>
                          <a:ext cx="6042355" cy="7600492"/>
                        </a:xfrm>
                        <a:prstGeom prst="rect">
                          <a:avLst/>
                        </a:prstGeom>
                        <a:noFill/>
                        <a:ln w="6350">
                          <a:solidFill>
                            <a:prstClr val="black"/>
                          </a:solidFill>
                        </a:ln>
                        <a:effectLst/>
                      </wps:spPr>
                      <wps:txbx>
                        <w:txbxContent>
                          <w:p w:rsidR="00643520" w:rsidRPr="00260412" w:rsidRDefault="00643520" w:rsidP="005A4B85">
                            <w:pPr>
                              <w:spacing w:before="200"/>
                              <w:jc w:val="left"/>
                              <w:rPr>
                                <w:rFonts w:eastAsiaTheme="minorHAnsi"/>
                                <w:b/>
                                <w:sz w:val="20"/>
                                <w:lang w:val="en-NZ" w:eastAsia="en-US"/>
                              </w:rPr>
                            </w:pPr>
                            <w:r w:rsidRPr="00260412">
                              <w:rPr>
                                <w:rFonts w:eastAsiaTheme="minorHAnsi"/>
                                <w:b/>
                                <w:sz w:val="20"/>
                                <w:lang w:val="en-NZ" w:eastAsia="en-US"/>
                              </w:rPr>
                              <w:t>Example 3</w:t>
                            </w:r>
                            <w:r>
                              <w:rPr>
                                <w:rFonts w:eastAsiaTheme="minorHAnsi"/>
                                <w:b/>
                                <w:sz w:val="20"/>
                                <w:lang w:val="en-NZ" w:eastAsia="en-US"/>
                              </w:rPr>
                              <w:t xml:space="preserve">: </w:t>
                            </w:r>
                            <w:r w:rsidRPr="00260412">
                              <w:rPr>
                                <w:rFonts w:eastAsiaTheme="minorHAnsi"/>
                                <w:b/>
                                <w:sz w:val="20"/>
                                <w:lang w:val="en-NZ" w:eastAsia="en-US"/>
                              </w:rPr>
                              <w:t>Interest accruing but not credited to account</w:t>
                            </w:r>
                          </w:p>
                          <w:p w:rsidR="00643520" w:rsidRDefault="00643520" w:rsidP="00625ADD">
                            <w:pPr>
                              <w:rPr>
                                <w:rFonts w:eastAsiaTheme="minorHAnsi"/>
                                <w:sz w:val="20"/>
                                <w:lang w:val="en-NZ" w:eastAsia="en-US"/>
                              </w:rPr>
                            </w:pPr>
                          </w:p>
                          <w:p w:rsidR="00643520" w:rsidRPr="00260412" w:rsidRDefault="00643520" w:rsidP="00625ADD">
                            <w:pPr>
                              <w:rPr>
                                <w:rFonts w:eastAsiaTheme="minorHAnsi"/>
                                <w:sz w:val="20"/>
                                <w:lang w:val="en-NZ" w:eastAsia="en-US"/>
                              </w:rPr>
                            </w:pPr>
                            <w:r w:rsidRPr="00260412">
                              <w:rPr>
                                <w:rFonts w:eastAsiaTheme="minorHAnsi"/>
                                <w:sz w:val="20"/>
                                <w:lang w:val="en-NZ" w:eastAsia="en-US"/>
                              </w:rPr>
                              <w:t>C</w:t>
                            </w:r>
                            <w:r>
                              <w:rPr>
                                <w:rFonts w:eastAsiaTheme="minorHAnsi"/>
                                <w:sz w:val="20"/>
                                <w:lang w:val="en-NZ" w:eastAsia="en-US"/>
                              </w:rPr>
                              <w:t xml:space="preserve"> Co</w:t>
                            </w:r>
                            <w:r w:rsidRPr="00260412">
                              <w:rPr>
                                <w:rFonts w:eastAsiaTheme="minorHAnsi"/>
                                <w:sz w:val="20"/>
                                <w:lang w:val="en-NZ" w:eastAsia="en-US"/>
                              </w:rPr>
                              <w:t xml:space="preserve"> has a 30 June balance date and a loan facility from an associated non-resident with an interest rate of 10% pa on the outstanding balance, payable at the demand of the lender.  C</w:t>
                            </w:r>
                            <w:r>
                              <w:rPr>
                                <w:rFonts w:eastAsiaTheme="minorHAnsi"/>
                                <w:sz w:val="20"/>
                                <w:lang w:val="en-NZ" w:eastAsia="en-US"/>
                              </w:rPr>
                              <w:t xml:space="preserve"> Co</w:t>
                            </w:r>
                            <w:r w:rsidRPr="00260412">
                              <w:rPr>
                                <w:rFonts w:eastAsiaTheme="minorHAnsi"/>
                                <w:sz w:val="20"/>
                                <w:lang w:val="en-NZ" w:eastAsia="en-US"/>
                              </w:rPr>
                              <w:t xml:space="preserve"> draws down $1,000 from this facility on 1 July 2017.  </w:t>
                            </w:r>
                            <w:r>
                              <w:rPr>
                                <w:rFonts w:eastAsiaTheme="minorHAnsi"/>
                                <w:sz w:val="20"/>
                                <w:lang w:val="en-NZ" w:eastAsia="en-US"/>
                              </w:rPr>
                              <w:t>The lender demands</w:t>
                            </w:r>
                            <w:r w:rsidRPr="00260412">
                              <w:rPr>
                                <w:rFonts w:eastAsiaTheme="minorHAnsi"/>
                                <w:sz w:val="20"/>
                                <w:lang w:val="en-NZ" w:eastAsia="en-US"/>
                              </w:rPr>
                              <w:t xml:space="preserve"> annual interest payments of $100 for the first four years.  </w:t>
                            </w:r>
                            <w:r>
                              <w:rPr>
                                <w:rFonts w:eastAsiaTheme="minorHAnsi"/>
                                <w:sz w:val="20"/>
                                <w:lang w:val="en-NZ" w:eastAsia="en-US"/>
                              </w:rPr>
                              <w:t xml:space="preserve">The lender then stops demanding </w:t>
                            </w:r>
                            <w:r w:rsidRPr="00260412">
                              <w:rPr>
                                <w:rFonts w:eastAsiaTheme="minorHAnsi"/>
                                <w:sz w:val="20"/>
                                <w:lang w:val="en-NZ" w:eastAsia="en-US"/>
                              </w:rPr>
                              <w:t xml:space="preserve">interest payments and </w:t>
                            </w:r>
                            <w:r>
                              <w:rPr>
                                <w:rFonts w:eastAsiaTheme="minorHAnsi"/>
                                <w:sz w:val="20"/>
                                <w:lang w:val="en-NZ" w:eastAsia="en-US"/>
                              </w:rPr>
                              <w:t xml:space="preserve">the borrower </w:t>
                            </w:r>
                            <w:r w:rsidRPr="00260412">
                              <w:rPr>
                                <w:rFonts w:eastAsiaTheme="minorHAnsi"/>
                                <w:sz w:val="20"/>
                                <w:lang w:val="en-NZ" w:eastAsia="en-US"/>
                              </w:rPr>
                              <w:t>does not credit them to the lender</w:t>
                            </w:r>
                            <w:r>
                              <w:rPr>
                                <w:rFonts w:eastAsiaTheme="minorHAnsi"/>
                                <w:sz w:val="20"/>
                                <w:lang w:val="en-NZ" w:eastAsia="en-US"/>
                              </w:rPr>
                              <w:t>’</w:t>
                            </w:r>
                            <w:r w:rsidRPr="00260412">
                              <w:rPr>
                                <w:rFonts w:eastAsiaTheme="minorHAnsi"/>
                                <w:sz w:val="20"/>
                                <w:lang w:val="en-NZ" w:eastAsia="en-US"/>
                              </w:rPr>
                              <w:t>s account, although interest continues to accrue on an annually compounding basis.  C</w:t>
                            </w:r>
                            <w:r>
                              <w:rPr>
                                <w:rFonts w:eastAsiaTheme="minorHAnsi"/>
                                <w:sz w:val="20"/>
                                <w:lang w:val="en-NZ" w:eastAsia="en-US"/>
                              </w:rPr>
                              <w:t xml:space="preserve"> Co</w:t>
                            </w:r>
                            <w:r w:rsidRPr="00260412">
                              <w:rPr>
                                <w:rFonts w:eastAsiaTheme="minorHAnsi"/>
                                <w:sz w:val="20"/>
                                <w:lang w:val="en-NZ" w:eastAsia="en-US"/>
                              </w:rPr>
                              <w:t xml:space="preserve"> calculates its expenditure from the facility under the IFRS financial reporting method.</w:t>
                            </w:r>
                          </w:p>
                          <w:p w:rsidR="00643520" w:rsidRDefault="00643520" w:rsidP="00625ADD">
                            <w:pPr>
                              <w:jc w:val="left"/>
                              <w:rPr>
                                <w:rFonts w:eastAsiaTheme="minorHAnsi"/>
                                <w:sz w:val="20"/>
                                <w:lang w:val="en-NZ" w:eastAsia="en-US"/>
                              </w:rPr>
                            </w:pPr>
                          </w:p>
                          <w:p w:rsidR="00643520" w:rsidRDefault="00643520" w:rsidP="00625ADD">
                            <w:pPr>
                              <w:jc w:val="left"/>
                              <w:rPr>
                                <w:rFonts w:eastAsiaTheme="minorHAnsi"/>
                                <w:sz w:val="20"/>
                                <w:lang w:val="en-NZ" w:eastAsia="en-US"/>
                              </w:rPr>
                            </w:pPr>
                          </w:p>
                          <w:tbl>
                            <w:tblPr>
                              <w:tblStyle w:val="TableGrid"/>
                              <w:tblW w:w="8731" w:type="dxa"/>
                              <w:jc w:val="center"/>
                              <w:tblLayout w:type="fixed"/>
                              <w:tblCellMar>
                                <w:top w:w="57" w:type="dxa"/>
                                <w:left w:w="57" w:type="dxa"/>
                                <w:bottom w:w="57" w:type="dxa"/>
                                <w:right w:w="57" w:type="dxa"/>
                              </w:tblCellMar>
                              <w:tblLook w:val="04A0" w:firstRow="1" w:lastRow="0" w:firstColumn="1" w:lastColumn="0" w:noHBand="0" w:noVBand="1"/>
                            </w:tblPr>
                            <w:tblGrid>
                              <w:gridCol w:w="419"/>
                              <w:gridCol w:w="1116"/>
                              <w:gridCol w:w="1554"/>
                              <w:gridCol w:w="1008"/>
                              <w:gridCol w:w="826"/>
                              <w:gridCol w:w="1049"/>
                              <w:gridCol w:w="1050"/>
                              <w:gridCol w:w="742"/>
                              <w:gridCol w:w="967"/>
                            </w:tblGrid>
                            <w:tr w:rsidR="00643520" w:rsidRPr="005A4B85" w:rsidTr="008641E0">
                              <w:trPr>
                                <w:tblHeader/>
                                <w:jc w:val="center"/>
                              </w:trPr>
                              <w:tc>
                                <w:tcPr>
                                  <w:tcW w:w="419" w:type="dxa"/>
                                  <w:vAlign w:val="center"/>
                                </w:tcPr>
                                <w:p w:rsidR="00643520" w:rsidRPr="005A4B85" w:rsidRDefault="00643520" w:rsidP="005A4B85">
                                  <w:pPr>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w:t>
                                  </w:r>
                                </w:p>
                              </w:tc>
                              <w:tc>
                                <w:tcPr>
                                  <w:tcW w:w="1116" w:type="dxa"/>
                                  <w:vAlign w:val="center"/>
                                </w:tcPr>
                                <w:p w:rsidR="00643520" w:rsidRPr="005A4B85" w:rsidRDefault="00643520" w:rsidP="005A4B85">
                                  <w:pPr>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Date</w:t>
                                  </w:r>
                                </w:p>
                              </w:tc>
                              <w:tc>
                                <w:tcPr>
                                  <w:tcW w:w="1554" w:type="dxa"/>
                                  <w:vAlign w:val="center"/>
                                </w:tcPr>
                                <w:p w:rsidR="00643520" w:rsidRPr="005A4B85" w:rsidRDefault="00643520" w:rsidP="005A4B85">
                                  <w:pPr>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Event</w:t>
                                  </w:r>
                                </w:p>
                              </w:tc>
                              <w:tc>
                                <w:tcPr>
                                  <w:tcW w:w="1008" w:type="dxa"/>
                                  <w:vAlign w:val="center"/>
                                </w:tcPr>
                                <w:p w:rsidR="00643520" w:rsidRPr="005A4B85" w:rsidRDefault="00643520" w:rsidP="005A4B85">
                                  <w:pPr>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Payments</w:t>
                                  </w:r>
                                </w:p>
                              </w:tc>
                              <w:tc>
                                <w:tcPr>
                                  <w:tcW w:w="826" w:type="dxa"/>
                                  <w:vAlign w:val="center"/>
                                </w:tcPr>
                                <w:p w:rsidR="00643520" w:rsidRPr="005A4B85" w:rsidRDefault="00643520" w:rsidP="005A4B85">
                                  <w:pPr>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Accrued interest</w:t>
                                  </w:r>
                                </w:p>
                              </w:tc>
                              <w:tc>
                                <w:tcPr>
                                  <w:tcW w:w="1049" w:type="dxa"/>
                                  <w:vAlign w:val="center"/>
                                </w:tcPr>
                                <w:p w:rsidR="00643520" w:rsidRPr="005A4B85" w:rsidRDefault="00643520" w:rsidP="005A4B85">
                                  <w:pPr>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Deductions</w:t>
                                  </w:r>
                                </w:p>
                              </w:tc>
                              <w:tc>
                                <w:tcPr>
                                  <w:tcW w:w="1050" w:type="dxa"/>
                                  <w:vAlign w:val="center"/>
                                </w:tcPr>
                                <w:p w:rsidR="00643520" w:rsidRPr="005A4B85" w:rsidRDefault="00643520" w:rsidP="005A4B85">
                                  <w:pPr>
                                    <w:ind w:left="-80"/>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Deduction &gt; payment</w:t>
                                  </w:r>
                                </w:p>
                              </w:tc>
                              <w:tc>
                                <w:tcPr>
                                  <w:tcW w:w="742" w:type="dxa"/>
                                  <w:vAlign w:val="center"/>
                                </w:tcPr>
                                <w:p w:rsidR="00643520" w:rsidRPr="005A4B85" w:rsidRDefault="00643520" w:rsidP="005A4B85">
                                  <w:pPr>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Cash NRWT</w:t>
                                  </w:r>
                                </w:p>
                              </w:tc>
                              <w:tc>
                                <w:tcPr>
                                  <w:tcW w:w="967" w:type="dxa"/>
                                  <w:vAlign w:val="center"/>
                                </w:tcPr>
                                <w:p w:rsidR="00643520" w:rsidRPr="005A4B85" w:rsidRDefault="00643520" w:rsidP="005A4B85">
                                  <w:pPr>
                                    <w:ind w:left="-44"/>
                                    <w:jc w:val="center"/>
                                    <w:rPr>
                                      <w:rFonts w:ascii="Times New Roman" w:hAnsi="Times New Roman" w:cs="Times New Roman"/>
                                      <w:b/>
                                      <w:sz w:val="18"/>
                                      <w:szCs w:val="18"/>
                                      <w:lang w:val="en-NZ" w:eastAsia="en-US"/>
                                    </w:rPr>
                                  </w:pPr>
                                  <w:proofErr w:type="spellStart"/>
                                  <w:r w:rsidRPr="005A4B85">
                                    <w:rPr>
                                      <w:rFonts w:ascii="Times New Roman" w:hAnsi="Times New Roman" w:cs="Times New Roman"/>
                                      <w:b/>
                                      <w:sz w:val="18"/>
                                      <w:szCs w:val="18"/>
                                      <w:lang w:val="en-NZ" w:eastAsia="en-US"/>
                                    </w:rPr>
                                    <w:t>NRFAI</w:t>
                                  </w:r>
                                  <w:proofErr w:type="spellEnd"/>
                                  <w:r w:rsidRPr="005A4B85">
                                    <w:rPr>
                                      <w:rFonts w:ascii="Times New Roman" w:hAnsi="Times New Roman" w:cs="Times New Roman"/>
                                      <w:b/>
                                      <w:sz w:val="18"/>
                                      <w:szCs w:val="18"/>
                                      <w:lang w:val="en-NZ" w:eastAsia="en-US"/>
                                    </w:rPr>
                                    <w:t xml:space="preserve"> NRWT</w:t>
                                  </w: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 Jul 2017</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Facility draw-down</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-1,000</w:t>
                                  </w: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 Jun 2018</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Balance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w:t>
                                  </w: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 Sep 2018</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proofErr w:type="spellStart"/>
                                  <w:r w:rsidRPr="005A4B85">
                                    <w:rPr>
                                      <w:rFonts w:ascii="Times New Roman" w:hAnsi="Times New Roman" w:cs="Times New Roman"/>
                                      <w:sz w:val="18"/>
                                      <w:szCs w:val="18"/>
                                      <w:lang w:val="en-NZ" w:eastAsia="en-US"/>
                                    </w:rPr>
                                    <w:t>NRFAI</w:t>
                                  </w:r>
                                  <w:proofErr w:type="spellEnd"/>
                                  <w:r w:rsidRPr="005A4B85">
                                    <w:rPr>
                                      <w:rFonts w:ascii="Times New Roman" w:hAnsi="Times New Roman" w:cs="Times New Roman"/>
                                      <w:sz w:val="18"/>
                                      <w:szCs w:val="18"/>
                                      <w:lang w:val="en-NZ" w:eastAsia="en-US"/>
                                    </w:rPr>
                                    <w:t xml:space="preserve"> calculation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N/A – First year</w:t>
                                  </w: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4</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 Jun 2019</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Balance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w:t>
                                  </w: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5</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 Sep 2019</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proofErr w:type="spellStart"/>
                                  <w:r w:rsidRPr="005A4B85">
                                    <w:rPr>
                                      <w:rFonts w:ascii="Times New Roman" w:hAnsi="Times New Roman" w:cs="Times New Roman"/>
                                      <w:sz w:val="18"/>
                                      <w:szCs w:val="18"/>
                                      <w:lang w:val="en-NZ" w:eastAsia="en-US"/>
                                    </w:rPr>
                                    <w:t>NRFAI</w:t>
                                  </w:r>
                                  <w:proofErr w:type="spellEnd"/>
                                  <w:r w:rsidRPr="005A4B85">
                                    <w:rPr>
                                      <w:rFonts w:ascii="Times New Roman" w:hAnsi="Times New Roman" w:cs="Times New Roman"/>
                                      <w:sz w:val="18"/>
                                      <w:szCs w:val="18"/>
                                      <w:lang w:val="en-NZ" w:eastAsia="en-US"/>
                                    </w:rPr>
                                    <w:t xml:space="preserve"> calculation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200 ÷ 100 = 200%</w:t>
                                  </w: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6</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 Jun 2020</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Balance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w:t>
                                  </w: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7</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 Sep 2020</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proofErr w:type="spellStart"/>
                                  <w:r w:rsidRPr="005A4B85">
                                    <w:rPr>
                                      <w:rFonts w:ascii="Times New Roman" w:hAnsi="Times New Roman" w:cs="Times New Roman"/>
                                      <w:sz w:val="18"/>
                                      <w:szCs w:val="18"/>
                                      <w:lang w:val="en-NZ" w:eastAsia="en-US"/>
                                    </w:rPr>
                                    <w:t>NRFAI</w:t>
                                  </w:r>
                                  <w:proofErr w:type="spellEnd"/>
                                  <w:r w:rsidRPr="005A4B85">
                                    <w:rPr>
                                      <w:rFonts w:ascii="Times New Roman" w:hAnsi="Times New Roman" w:cs="Times New Roman"/>
                                      <w:sz w:val="18"/>
                                      <w:szCs w:val="18"/>
                                      <w:lang w:val="en-NZ" w:eastAsia="en-US"/>
                                    </w:rPr>
                                    <w:t xml:space="preserve"> calculation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300 ÷ 200 = 150%</w:t>
                                  </w: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8</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 Jun 2021</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Balance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w:t>
                                  </w: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9</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 Sep 2021</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proofErr w:type="spellStart"/>
                                  <w:r w:rsidRPr="005A4B85">
                                    <w:rPr>
                                      <w:rFonts w:ascii="Times New Roman" w:hAnsi="Times New Roman" w:cs="Times New Roman"/>
                                      <w:sz w:val="18"/>
                                      <w:szCs w:val="18"/>
                                      <w:lang w:val="en-NZ" w:eastAsia="en-US"/>
                                    </w:rPr>
                                    <w:t>NRFAI</w:t>
                                  </w:r>
                                  <w:proofErr w:type="spellEnd"/>
                                  <w:r w:rsidRPr="005A4B85">
                                    <w:rPr>
                                      <w:rFonts w:ascii="Times New Roman" w:hAnsi="Times New Roman" w:cs="Times New Roman"/>
                                      <w:sz w:val="18"/>
                                      <w:szCs w:val="18"/>
                                      <w:lang w:val="en-NZ" w:eastAsia="en-US"/>
                                    </w:rPr>
                                    <w:t xml:space="preserve"> calculation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400 ÷ 300 = 133.3%</w:t>
                                  </w: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 Jun 2022</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Balance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1049"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0</w:t>
                                  </w: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11</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 Sep 2022</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proofErr w:type="spellStart"/>
                                  <w:r w:rsidRPr="005A4B85">
                                    <w:rPr>
                                      <w:rFonts w:ascii="Times New Roman" w:hAnsi="Times New Roman" w:cs="Times New Roman"/>
                                      <w:sz w:val="18"/>
                                      <w:szCs w:val="18"/>
                                      <w:lang w:val="en-NZ" w:eastAsia="en-US"/>
                                    </w:rPr>
                                    <w:t>NRFAI</w:t>
                                  </w:r>
                                  <w:proofErr w:type="spellEnd"/>
                                  <w:r w:rsidRPr="005A4B85">
                                    <w:rPr>
                                      <w:rFonts w:ascii="Times New Roman" w:hAnsi="Times New Roman" w:cs="Times New Roman"/>
                                      <w:sz w:val="18"/>
                                      <w:szCs w:val="18"/>
                                      <w:lang w:val="en-NZ" w:eastAsia="en-US"/>
                                    </w:rPr>
                                    <w:t xml:space="preserve"> calculation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400 ÷ 400 = 100%</w:t>
                                  </w: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12</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 Jun 2023</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Balance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110</w:t>
                                  </w:r>
                                </w:p>
                              </w:tc>
                              <w:tc>
                                <w:tcPr>
                                  <w:tcW w:w="1049"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110</w:t>
                                  </w: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0</w:t>
                                  </w: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13</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 Sep 2023</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proofErr w:type="spellStart"/>
                                  <w:r w:rsidRPr="005A4B85">
                                    <w:rPr>
                                      <w:rFonts w:ascii="Times New Roman" w:hAnsi="Times New Roman" w:cs="Times New Roman"/>
                                      <w:sz w:val="18"/>
                                      <w:szCs w:val="18"/>
                                      <w:lang w:val="en-NZ" w:eastAsia="en-US"/>
                                    </w:rPr>
                                    <w:t>NRFAI</w:t>
                                  </w:r>
                                  <w:proofErr w:type="spellEnd"/>
                                  <w:r w:rsidRPr="005A4B85">
                                    <w:rPr>
                                      <w:rFonts w:ascii="Times New Roman" w:hAnsi="Times New Roman" w:cs="Times New Roman"/>
                                      <w:sz w:val="18"/>
                                      <w:szCs w:val="18"/>
                                      <w:lang w:val="en-NZ" w:eastAsia="en-US"/>
                                    </w:rPr>
                                    <w:t xml:space="preserve"> calculation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 xml:space="preserve">400 ÷ 510 = </w:t>
                                  </w:r>
                                  <w:r w:rsidRPr="008A5F18">
                                    <w:rPr>
                                      <w:rFonts w:ascii="Times New Roman" w:hAnsi="Times New Roman" w:cs="Times New Roman"/>
                                      <w:color w:val="FF0000"/>
                                      <w:sz w:val="18"/>
                                      <w:szCs w:val="18"/>
                                      <w:lang w:val="en-NZ" w:eastAsia="en-US"/>
                                    </w:rPr>
                                    <w:t xml:space="preserve">78.4% = </w:t>
                                  </w:r>
                                  <w:proofErr w:type="spellStart"/>
                                  <w:r w:rsidRPr="008A5F18">
                                    <w:rPr>
                                      <w:rFonts w:ascii="Times New Roman" w:hAnsi="Times New Roman" w:cs="Times New Roman"/>
                                      <w:color w:val="FF0000"/>
                                      <w:sz w:val="18"/>
                                      <w:szCs w:val="18"/>
                                      <w:lang w:val="en-NZ" w:eastAsia="en-US"/>
                                    </w:rPr>
                                    <w:t>NRFAI</w:t>
                                  </w:r>
                                  <w:proofErr w:type="spellEnd"/>
                                  <w:r w:rsidRPr="008A5F18">
                                    <w:rPr>
                                      <w:rFonts w:ascii="Times New Roman" w:hAnsi="Times New Roman" w:cs="Times New Roman"/>
                                      <w:color w:val="FF0000"/>
                                      <w:sz w:val="18"/>
                                      <w:szCs w:val="18"/>
                                      <w:lang w:val="en-NZ" w:eastAsia="en-US"/>
                                    </w:rPr>
                                    <w:t xml:space="preserve"> triggered</w:t>
                                  </w: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Default="00643520" w:rsidP="003A6D01">
                                  <w:pPr>
                                    <w:ind w:left="-16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610 x 10%</w:t>
                                  </w:r>
                                </w:p>
                                <w:p w:rsidR="00643520" w:rsidRPr="005A4B85" w:rsidRDefault="00643520" w:rsidP="003A6D01">
                                  <w:pPr>
                                    <w:ind w:left="-16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 xml:space="preserve"> -</w:t>
                                  </w:r>
                                  <w:r>
                                    <w:rPr>
                                      <w:rFonts w:ascii="Times New Roman" w:hAnsi="Times New Roman" w:cs="Times New Roman"/>
                                      <w:sz w:val="18"/>
                                      <w:szCs w:val="18"/>
                                      <w:lang w:val="en-NZ" w:eastAsia="en-US"/>
                                    </w:rPr>
                                    <w:t xml:space="preserve"> </w:t>
                                  </w:r>
                                  <w:r w:rsidRPr="005A4B85">
                                    <w:rPr>
                                      <w:rFonts w:ascii="Times New Roman" w:hAnsi="Times New Roman" w:cs="Times New Roman"/>
                                      <w:sz w:val="18"/>
                                      <w:szCs w:val="18"/>
                                      <w:lang w:val="en-NZ" w:eastAsia="en-US"/>
                                    </w:rPr>
                                    <w:t>40</w:t>
                                  </w:r>
                                  <w:r>
                                    <w:rPr>
                                      <w:rFonts w:ascii="Times New Roman" w:hAnsi="Times New Roman" w:cs="Times New Roman"/>
                                      <w:sz w:val="18"/>
                                      <w:szCs w:val="18"/>
                                      <w:lang w:val="en-NZ" w:eastAsia="en-US"/>
                                    </w:rPr>
                                    <w:t xml:space="preserve"> </w:t>
                                  </w:r>
                                  <w:r w:rsidRPr="005A4B85">
                                    <w:rPr>
                                      <w:rFonts w:ascii="Times New Roman" w:hAnsi="Times New Roman" w:cs="Times New Roman"/>
                                      <w:sz w:val="18"/>
                                      <w:szCs w:val="18"/>
                                      <w:lang w:val="en-NZ" w:eastAsia="en-US"/>
                                    </w:rPr>
                                    <w:t>= 21</w:t>
                                  </w: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14</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 Jun 2024</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Balance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3D2864">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121</w:t>
                                  </w:r>
                                </w:p>
                              </w:tc>
                              <w:tc>
                                <w:tcPr>
                                  <w:tcW w:w="1049" w:type="dxa"/>
                                </w:tcPr>
                                <w:p w:rsidR="00643520" w:rsidRPr="005A4B85" w:rsidRDefault="00643520" w:rsidP="003D2864">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121</w:t>
                                  </w: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Not required</w:t>
                                  </w: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15</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 Sep 2024</w:t>
                                  </w:r>
                                </w:p>
                              </w:tc>
                              <w:tc>
                                <w:tcPr>
                                  <w:tcW w:w="1554" w:type="dxa"/>
                                </w:tcPr>
                                <w:p w:rsidR="00643520" w:rsidRPr="005A4B85" w:rsidRDefault="00643520" w:rsidP="000B2589">
                                  <w:pPr>
                                    <w:jc w:val="left"/>
                                    <w:rPr>
                                      <w:rFonts w:ascii="Times New Roman" w:hAnsi="Times New Roman" w:cs="Times New Roman"/>
                                      <w:sz w:val="18"/>
                                      <w:szCs w:val="18"/>
                                      <w:lang w:val="en-NZ" w:eastAsia="en-US"/>
                                    </w:rPr>
                                  </w:pPr>
                                  <w:proofErr w:type="spellStart"/>
                                  <w:r w:rsidRPr="005A4B85">
                                    <w:rPr>
                                      <w:rFonts w:ascii="Times New Roman" w:hAnsi="Times New Roman" w:cs="Times New Roman"/>
                                      <w:sz w:val="18"/>
                                      <w:szCs w:val="18"/>
                                      <w:lang w:val="en-NZ" w:eastAsia="en-US"/>
                                    </w:rPr>
                                    <w:t>NRFAI</w:t>
                                  </w:r>
                                  <w:proofErr w:type="spellEnd"/>
                                  <w:r w:rsidRPr="005A4B85">
                                    <w:rPr>
                                      <w:rFonts w:ascii="Times New Roman" w:hAnsi="Times New Roman" w:cs="Times New Roman"/>
                                      <w:sz w:val="18"/>
                                      <w:szCs w:val="18"/>
                                      <w:lang w:val="en-NZ" w:eastAsia="en-US"/>
                                    </w:rPr>
                                    <w:t xml:space="preserve"> calculation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Not required</w:t>
                                  </w: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Pr="005A4B85" w:rsidRDefault="00643520" w:rsidP="003D2864">
                                  <w:pPr>
                                    <w:ind w:left="-16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12.10</w:t>
                                  </w:r>
                                </w:p>
                              </w:tc>
                            </w:tr>
                            <w:tr w:rsidR="00643520" w:rsidRPr="005A4B85" w:rsidTr="005A4B85">
                              <w:trPr>
                                <w:jc w:val="center"/>
                              </w:trPr>
                              <w:tc>
                                <w:tcPr>
                                  <w:tcW w:w="419" w:type="dxa"/>
                                  <w:tcBorders>
                                    <w:left w:val="nil"/>
                                    <w:bottom w:val="nil"/>
                                  </w:tcBorders>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 xml:space="preserve"> </w:t>
                                  </w:r>
                                </w:p>
                              </w:tc>
                              <w:tc>
                                <w:tcPr>
                                  <w:tcW w:w="2670" w:type="dxa"/>
                                  <w:gridSpan w:val="2"/>
                                  <w:tcBorders>
                                    <w:top w:val="double" w:sz="4" w:space="0" w:color="auto"/>
                                  </w:tcBorders>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Total</w:t>
                                  </w:r>
                                </w:p>
                              </w:tc>
                              <w:tc>
                                <w:tcPr>
                                  <w:tcW w:w="1008" w:type="dxa"/>
                                  <w:tcBorders>
                                    <w:top w:val="double" w:sz="4" w:space="0" w:color="auto"/>
                                  </w:tcBorders>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400 (excluding principal)</w:t>
                                  </w:r>
                                </w:p>
                              </w:tc>
                              <w:tc>
                                <w:tcPr>
                                  <w:tcW w:w="826" w:type="dxa"/>
                                  <w:tcBorders>
                                    <w:top w:val="double" w:sz="4" w:space="0" w:color="auto"/>
                                  </w:tcBorders>
                                </w:tcPr>
                                <w:p w:rsidR="00643520" w:rsidRPr="005A4B85" w:rsidRDefault="00643520" w:rsidP="000B2589">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331</w:t>
                                  </w:r>
                                </w:p>
                              </w:tc>
                              <w:tc>
                                <w:tcPr>
                                  <w:tcW w:w="1049" w:type="dxa"/>
                                  <w:tcBorders>
                                    <w:top w:val="double" w:sz="4" w:space="0" w:color="auto"/>
                                  </w:tcBorders>
                                </w:tcPr>
                                <w:p w:rsidR="00643520" w:rsidRPr="005A4B85" w:rsidRDefault="00643520" w:rsidP="000B2589">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731</w:t>
                                  </w:r>
                                </w:p>
                              </w:tc>
                              <w:tc>
                                <w:tcPr>
                                  <w:tcW w:w="1050" w:type="dxa"/>
                                  <w:tcBorders>
                                    <w:top w:val="double" w:sz="4" w:space="0" w:color="auto"/>
                                  </w:tcBorders>
                                </w:tcPr>
                                <w:p w:rsidR="00643520" w:rsidRPr="005A4B85" w:rsidRDefault="00643520" w:rsidP="00625ADD">
                                  <w:pPr>
                                    <w:ind w:left="-80"/>
                                    <w:jc w:val="right"/>
                                    <w:rPr>
                                      <w:rFonts w:ascii="Times New Roman" w:hAnsi="Times New Roman" w:cs="Times New Roman"/>
                                      <w:sz w:val="18"/>
                                      <w:szCs w:val="18"/>
                                      <w:lang w:val="en-NZ" w:eastAsia="en-US"/>
                                    </w:rPr>
                                  </w:pPr>
                                </w:p>
                              </w:tc>
                              <w:tc>
                                <w:tcPr>
                                  <w:tcW w:w="1709" w:type="dxa"/>
                                  <w:gridSpan w:val="2"/>
                                  <w:tcBorders>
                                    <w:top w:val="double" w:sz="4" w:space="0" w:color="auto"/>
                                  </w:tcBorders>
                                </w:tcPr>
                                <w:p w:rsidR="00643520" w:rsidRPr="005A4B85" w:rsidRDefault="00643520" w:rsidP="000B2589">
                                  <w:pPr>
                                    <w:ind w:left="-160"/>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73.10</w:t>
                                  </w:r>
                                </w:p>
                              </w:tc>
                            </w:tr>
                          </w:tbl>
                          <w:p w:rsidR="00643520" w:rsidRDefault="00643520" w:rsidP="00625ADD">
                            <w:pPr>
                              <w:pStyle w:val="Bullets"/>
                              <w:numPr>
                                <w:ilvl w:val="0"/>
                                <w:numId w:val="0"/>
                              </w:numPr>
                              <w:spacing w:after="0"/>
                              <w:rPr>
                                <w:rFonts w:eastAsiaTheme="minorHAnsi"/>
                                <w:sz w:val="16"/>
                                <w:szCs w:val="16"/>
                                <w:lang w:eastAsia="en-US"/>
                              </w:rPr>
                            </w:pPr>
                          </w:p>
                          <w:p w:rsidR="00643520" w:rsidRDefault="00643520" w:rsidP="00625ADD">
                            <w:pPr>
                              <w:pStyle w:val="Bullets"/>
                              <w:numPr>
                                <w:ilvl w:val="0"/>
                                <w:numId w:val="0"/>
                              </w:numPr>
                              <w:spacing w:after="0"/>
                              <w:rPr>
                                <w:rFonts w:eastAsiaTheme="minorHAnsi"/>
                                <w:sz w:val="16"/>
                                <w:szCs w:val="16"/>
                                <w:lang w:eastAsia="en-US"/>
                              </w:rPr>
                            </w:pPr>
                          </w:p>
                          <w:p w:rsidR="00643520" w:rsidRPr="004C024D" w:rsidRDefault="00643520" w:rsidP="00625ADD">
                            <w:pPr>
                              <w:pStyle w:val="Bullets"/>
                              <w:numPr>
                                <w:ilvl w:val="0"/>
                                <w:numId w:val="0"/>
                              </w:numPr>
                              <w:spacing w:after="0"/>
                              <w:rPr>
                                <w:rFonts w:eastAsiaTheme="minorHAnsi"/>
                                <w:sz w:val="20"/>
                                <w:lang w:eastAsia="en-US"/>
                              </w:rPr>
                            </w:pPr>
                            <w:r>
                              <w:rPr>
                                <w:rFonts w:eastAsiaTheme="minorHAnsi"/>
                                <w:sz w:val="20"/>
                                <w:lang w:eastAsia="en-US"/>
                              </w:rPr>
                              <w:t xml:space="preserve">Even if </w:t>
                            </w:r>
                            <w:r w:rsidRPr="004C024D">
                              <w:rPr>
                                <w:rFonts w:eastAsiaTheme="minorHAnsi"/>
                                <w:sz w:val="20"/>
                                <w:lang w:eastAsia="en-US"/>
                              </w:rPr>
                              <w:t>C</w:t>
                            </w:r>
                            <w:r>
                              <w:rPr>
                                <w:rFonts w:eastAsiaTheme="minorHAnsi"/>
                                <w:sz w:val="20"/>
                                <w:lang w:eastAsia="en-US"/>
                              </w:rPr>
                              <w:t xml:space="preserve"> Co</w:t>
                            </w:r>
                            <w:r w:rsidRPr="004C024D">
                              <w:rPr>
                                <w:rFonts w:eastAsiaTheme="minorHAnsi"/>
                                <w:sz w:val="20"/>
                                <w:lang w:eastAsia="en-US"/>
                              </w:rPr>
                              <w:t xml:space="preserve"> started paying interest again</w:t>
                            </w:r>
                            <w:r>
                              <w:rPr>
                                <w:rFonts w:eastAsiaTheme="minorHAnsi"/>
                                <w:sz w:val="20"/>
                                <w:lang w:eastAsia="en-US"/>
                              </w:rPr>
                              <w:t>,</w:t>
                            </w:r>
                            <w:r w:rsidRPr="004C024D">
                              <w:rPr>
                                <w:rFonts w:eastAsiaTheme="minorHAnsi"/>
                                <w:sz w:val="20"/>
                                <w:lang w:eastAsia="en-US"/>
                              </w:rPr>
                              <w:t xml:space="preserve"> this arrangement would stay in </w:t>
                            </w:r>
                            <w:proofErr w:type="spellStart"/>
                            <w:r w:rsidRPr="004C024D">
                              <w:rPr>
                                <w:rFonts w:eastAsiaTheme="minorHAnsi"/>
                                <w:sz w:val="20"/>
                                <w:lang w:eastAsia="en-US"/>
                              </w:rPr>
                              <w:t>NRFAI</w:t>
                            </w:r>
                            <w:proofErr w:type="spellEnd"/>
                            <w:r w:rsidRPr="004C024D">
                              <w:rPr>
                                <w:rFonts w:eastAsiaTheme="minorHAnsi"/>
                                <w:sz w:val="20"/>
                                <w:lang w:eastAsia="en-US"/>
                              </w:rPr>
                              <w:t xml:space="preserve">.  If it wanted to eliminate </w:t>
                            </w:r>
                            <w:proofErr w:type="spellStart"/>
                            <w:r w:rsidRPr="004C024D">
                              <w:rPr>
                                <w:rFonts w:eastAsiaTheme="minorHAnsi"/>
                                <w:sz w:val="20"/>
                                <w:lang w:eastAsia="en-US"/>
                              </w:rPr>
                              <w:t>NRFAI</w:t>
                            </w:r>
                            <w:proofErr w:type="spellEnd"/>
                            <w:r w:rsidRPr="004C024D">
                              <w:rPr>
                                <w:rFonts w:eastAsiaTheme="minorHAnsi"/>
                                <w:sz w:val="20"/>
                                <w:lang w:eastAsia="en-US"/>
                              </w:rPr>
                              <w:t xml:space="preserve"> it would need to repay the loan and replace it with a new one.</w:t>
                            </w:r>
                          </w:p>
                          <w:p w:rsidR="00643520" w:rsidRPr="0051079B" w:rsidRDefault="00643520" w:rsidP="00625ADD">
                            <w:pPr>
                              <w:pStyle w:val="Bullets"/>
                              <w:numPr>
                                <w:ilvl w:val="0"/>
                                <w:numId w:val="0"/>
                              </w:numPr>
                              <w:spacing w:after="0"/>
                              <w:rPr>
                                <w:rFonts w:eastAsiaTheme="minorHAnsi"/>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12.7pt;margin-top:5.5pt;width:475.8pt;height:59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" filled="f" strokeweight=".5pt">
                <v:textbox>
                  <w:txbxContent>
                    <w:p w:rsidR="00643520" w:rsidRPr="00260412" w:rsidRDefault="00643520" w:rsidP="005A4B85">
                      <w:pPr>
                        <w:spacing w:before="200"/>
                        <w:jc w:val="left"/>
                        <w:rPr>
                          <w:rFonts w:eastAsiaTheme="minorHAnsi"/>
                          <w:b/>
                          <w:sz w:val="20"/>
                          <w:lang w:val="en-NZ" w:eastAsia="en-US"/>
                        </w:rPr>
                      </w:pPr>
                      <w:r w:rsidRPr="00260412">
                        <w:rPr>
                          <w:rFonts w:eastAsiaTheme="minorHAnsi"/>
                          <w:b/>
                          <w:sz w:val="20"/>
                          <w:lang w:val="en-NZ" w:eastAsia="en-US"/>
                        </w:rPr>
                        <w:t>Example 3</w:t>
                      </w:r>
                      <w:r>
                        <w:rPr>
                          <w:rFonts w:eastAsiaTheme="minorHAnsi"/>
                          <w:b/>
                          <w:sz w:val="20"/>
                          <w:lang w:val="en-NZ" w:eastAsia="en-US"/>
                        </w:rPr>
                        <w:t xml:space="preserve">: </w:t>
                      </w:r>
                      <w:r w:rsidRPr="00260412">
                        <w:rPr>
                          <w:rFonts w:eastAsiaTheme="minorHAnsi"/>
                          <w:b/>
                          <w:sz w:val="20"/>
                          <w:lang w:val="en-NZ" w:eastAsia="en-US"/>
                        </w:rPr>
                        <w:t>Interest accruing but not credited to account</w:t>
                      </w:r>
                    </w:p>
                    <w:p w:rsidR="00643520" w:rsidRDefault="00643520" w:rsidP="00625ADD">
                      <w:pPr>
                        <w:rPr>
                          <w:rFonts w:eastAsiaTheme="minorHAnsi"/>
                          <w:sz w:val="20"/>
                          <w:lang w:val="en-NZ" w:eastAsia="en-US"/>
                        </w:rPr>
                      </w:pPr>
                    </w:p>
                    <w:p w:rsidR="00643520" w:rsidRPr="00260412" w:rsidRDefault="00643520" w:rsidP="00625ADD">
                      <w:pPr>
                        <w:rPr>
                          <w:rFonts w:eastAsiaTheme="minorHAnsi"/>
                          <w:sz w:val="20"/>
                          <w:lang w:val="en-NZ" w:eastAsia="en-US"/>
                        </w:rPr>
                      </w:pPr>
                      <w:r w:rsidRPr="00260412">
                        <w:rPr>
                          <w:rFonts w:eastAsiaTheme="minorHAnsi"/>
                          <w:sz w:val="20"/>
                          <w:lang w:val="en-NZ" w:eastAsia="en-US"/>
                        </w:rPr>
                        <w:t>C</w:t>
                      </w:r>
                      <w:r>
                        <w:rPr>
                          <w:rFonts w:eastAsiaTheme="minorHAnsi"/>
                          <w:sz w:val="20"/>
                          <w:lang w:val="en-NZ" w:eastAsia="en-US"/>
                        </w:rPr>
                        <w:t xml:space="preserve"> Co</w:t>
                      </w:r>
                      <w:r w:rsidRPr="00260412">
                        <w:rPr>
                          <w:rFonts w:eastAsiaTheme="minorHAnsi"/>
                          <w:sz w:val="20"/>
                          <w:lang w:val="en-NZ" w:eastAsia="en-US"/>
                        </w:rPr>
                        <w:t xml:space="preserve"> has a 30 June balance date and a loan facility from an associated non-resident with an interest rate of 10% pa on the outstanding balance, payable at the demand of the lender.  C</w:t>
                      </w:r>
                      <w:r>
                        <w:rPr>
                          <w:rFonts w:eastAsiaTheme="minorHAnsi"/>
                          <w:sz w:val="20"/>
                          <w:lang w:val="en-NZ" w:eastAsia="en-US"/>
                        </w:rPr>
                        <w:t xml:space="preserve"> Co</w:t>
                      </w:r>
                      <w:r w:rsidRPr="00260412">
                        <w:rPr>
                          <w:rFonts w:eastAsiaTheme="minorHAnsi"/>
                          <w:sz w:val="20"/>
                          <w:lang w:val="en-NZ" w:eastAsia="en-US"/>
                        </w:rPr>
                        <w:t xml:space="preserve"> draws down $1,000 from this facility on 1 July 2017.  </w:t>
                      </w:r>
                      <w:r>
                        <w:rPr>
                          <w:rFonts w:eastAsiaTheme="minorHAnsi"/>
                          <w:sz w:val="20"/>
                          <w:lang w:val="en-NZ" w:eastAsia="en-US"/>
                        </w:rPr>
                        <w:t>The lender demands</w:t>
                      </w:r>
                      <w:r w:rsidRPr="00260412">
                        <w:rPr>
                          <w:rFonts w:eastAsiaTheme="minorHAnsi"/>
                          <w:sz w:val="20"/>
                          <w:lang w:val="en-NZ" w:eastAsia="en-US"/>
                        </w:rPr>
                        <w:t xml:space="preserve"> annual interest payments of $100 for the first four years.  </w:t>
                      </w:r>
                      <w:r>
                        <w:rPr>
                          <w:rFonts w:eastAsiaTheme="minorHAnsi"/>
                          <w:sz w:val="20"/>
                          <w:lang w:val="en-NZ" w:eastAsia="en-US"/>
                        </w:rPr>
                        <w:t xml:space="preserve">The lender then stops demanding </w:t>
                      </w:r>
                      <w:r w:rsidRPr="00260412">
                        <w:rPr>
                          <w:rFonts w:eastAsiaTheme="minorHAnsi"/>
                          <w:sz w:val="20"/>
                          <w:lang w:val="en-NZ" w:eastAsia="en-US"/>
                        </w:rPr>
                        <w:t xml:space="preserve">interest payments and </w:t>
                      </w:r>
                      <w:r>
                        <w:rPr>
                          <w:rFonts w:eastAsiaTheme="minorHAnsi"/>
                          <w:sz w:val="20"/>
                          <w:lang w:val="en-NZ" w:eastAsia="en-US"/>
                        </w:rPr>
                        <w:t xml:space="preserve">the borrower </w:t>
                      </w:r>
                      <w:r w:rsidRPr="00260412">
                        <w:rPr>
                          <w:rFonts w:eastAsiaTheme="minorHAnsi"/>
                          <w:sz w:val="20"/>
                          <w:lang w:val="en-NZ" w:eastAsia="en-US"/>
                        </w:rPr>
                        <w:t>does not credit them to the lender</w:t>
                      </w:r>
                      <w:r>
                        <w:rPr>
                          <w:rFonts w:eastAsiaTheme="minorHAnsi"/>
                          <w:sz w:val="20"/>
                          <w:lang w:val="en-NZ" w:eastAsia="en-US"/>
                        </w:rPr>
                        <w:t>’</w:t>
                      </w:r>
                      <w:r w:rsidRPr="00260412">
                        <w:rPr>
                          <w:rFonts w:eastAsiaTheme="minorHAnsi"/>
                          <w:sz w:val="20"/>
                          <w:lang w:val="en-NZ" w:eastAsia="en-US"/>
                        </w:rPr>
                        <w:t>s account, although interest continues to accrue on an annually compounding basis.  C</w:t>
                      </w:r>
                      <w:r>
                        <w:rPr>
                          <w:rFonts w:eastAsiaTheme="minorHAnsi"/>
                          <w:sz w:val="20"/>
                          <w:lang w:val="en-NZ" w:eastAsia="en-US"/>
                        </w:rPr>
                        <w:t xml:space="preserve"> Co</w:t>
                      </w:r>
                      <w:r w:rsidRPr="00260412">
                        <w:rPr>
                          <w:rFonts w:eastAsiaTheme="minorHAnsi"/>
                          <w:sz w:val="20"/>
                          <w:lang w:val="en-NZ" w:eastAsia="en-US"/>
                        </w:rPr>
                        <w:t xml:space="preserve"> calculates its expenditure from the facility under the IFRS financial reporting method.</w:t>
                      </w:r>
                    </w:p>
                    <w:p w:rsidR="00643520" w:rsidRDefault="00643520" w:rsidP="00625ADD">
                      <w:pPr>
                        <w:jc w:val="left"/>
                        <w:rPr>
                          <w:rFonts w:eastAsiaTheme="minorHAnsi"/>
                          <w:sz w:val="20"/>
                          <w:lang w:val="en-NZ" w:eastAsia="en-US"/>
                        </w:rPr>
                      </w:pPr>
                    </w:p>
                    <w:p w:rsidR="00643520" w:rsidRDefault="00643520" w:rsidP="00625ADD">
                      <w:pPr>
                        <w:jc w:val="left"/>
                        <w:rPr>
                          <w:rFonts w:eastAsiaTheme="minorHAnsi"/>
                          <w:sz w:val="20"/>
                          <w:lang w:val="en-NZ" w:eastAsia="en-US"/>
                        </w:rPr>
                      </w:pPr>
                    </w:p>
                    <w:tbl>
                      <w:tblPr>
                        <w:tblStyle w:val="TableGrid"/>
                        <w:tblW w:w="8731" w:type="dxa"/>
                        <w:jc w:val="center"/>
                        <w:tblLayout w:type="fixed"/>
                        <w:tblCellMar>
                          <w:top w:w="57" w:type="dxa"/>
                          <w:left w:w="57" w:type="dxa"/>
                          <w:bottom w:w="57" w:type="dxa"/>
                          <w:right w:w="57" w:type="dxa"/>
                        </w:tblCellMar>
                        <w:tblLook w:val="04A0" w:firstRow="1" w:lastRow="0" w:firstColumn="1" w:lastColumn="0" w:noHBand="0" w:noVBand="1"/>
                      </w:tblPr>
                      <w:tblGrid>
                        <w:gridCol w:w="419"/>
                        <w:gridCol w:w="1116"/>
                        <w:gridCol w:w="1554"/>
                        <w:gridCol w:w="1008"/>
                        <w:gridCol w:w="826"/>
                        <w:gridCol w:w="1049"/>
                        <w:gridCol w:w="1050"/>
                        <w:gridCol w:w="742"/>
                        <w:gridCol w:w="967"/>
                      </w:tblGrid>
                      <w:tr w:rsidR="00643520" w:rsidRPr="005A4B85" w:rsidTr="008641E0">
                        <w:trPr>
                          <w:tblHeader/>
                          <w:jc w:val="center"/>
                        </w:trPr>
                        <w:tc>
                          <w:tcPr>
                            <w:tcW w:w="419" w:type="dxa"/>
                            <w:vAlign w:val="center"/>
                          </w:tcPr>
                          <w:p w:rsidR="00643520" w:rsidRPr="005A4B85" w:rsidRDefault="00643520" w:rsidP="005A4B85">
                            <w:pPr>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w:t>
                            </w:r>
                          </w:p>
                        </w:tc>
                        <w:tc>
                          <w:tcPr>
                            <w:tcW w:w="1116" w:type="dxa"/>
                            <w:vAlign w:val="center"/>
                          </w:tcPr>
                          <w:p w:rsidR="00643520" w:rsidRPr="005A4B85" w:rsidRDefault="00643520" w:rsidP="005A4B85">
                            <w:pPr>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Date</w:t>
                            </w:r>
                          </w:p>
                        </w:tc>
                        <w:tc>
                          <w:tcPr>
                            <w:tcW w:w="1554" w:type="dxa"/>
                            <w:vAlign w:val="center"/>
                          </w:tcPr>
                          <w:p w:rsidR="00643520" w:rsidRPr="005A4B85" w:rsidRDefault="00643520" w:rsidP="005A4B85">
                            <w:pPr>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Event</w:t>
                            </w:r>
                          </w:p>
                        </w:tc>
                        <w:tc>
                          <w:tcPr>
                            <w:tcW w:w="1008" w:type="dxa"/>
                            <w:vAlign w:val="center"/>
                          </w:tcPr>
                          <w:p w:rsidR="00643520" w:rsidRPr="005A4B85" w:rsidRDefault="00643520" w:rsidP="005A4B85">
                            <w:pPr>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Payments</w:t>
                            </w:r>
                          </w:p>
                        </w:tc>
                        <w:tc>
                          <w:tcPr>
                            <w:tcW w:w="826" w:type="dxa"/>
                            <w:vAlign w:val="center"/>
                          </w:tcPr>
                          <w:p w:rsidR="00643520" w:rsidRPr="005A4B85" w:rsidRDefault="00643520" w:rsidP="005A4B85">
                            <w:pPr>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Accrued interest</w:t>
                            </w:r>
                          </w:p>
                        </w:tc>
                        <w:tc>
                          <w:tcPr>
                            <w:tcW w:w="1049" w:type="dxa"/>
                            <w:vAlign w:val="center"/>
                          </w:tcPr>
                          <w:p w:rsidR="00643520" w:rsidRPr="005A4B85" w:rsidRDefault="00643520" w:rsidP="005A4B85">
                            <w:pPr>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Deductions</w:t>
                            </w:r>
                          </w:p>
                        </w:tc>
                        <w:tc>
                          <w:tcPr>
                            <w:tcW w:w="1050" w:type="dxa"/>
                            <w:vAlign w:val="center"/>
                          </w:tcPr>
                          <w:p w:rsidR="00643520" w:rsidRPr="005A4B85" w:rsidRDefault="00643520" w:rsidP="005A4B85">
                            <w:pPr>
                              <w:ind w:left="-80"/>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Deduction &gt; payment</w:t>
                            </w:r>
                          </w:p>
                        </w:tc>
                        <w:tc>
                          <w:tcPr>
                            <w:tcW w:w="742" w:type="dxa"/>
                            <w:vAlign w:val="center"/>
                          </w:tcPr>
                          <w:p w:rsidR="00643520" w:rsidRPr="005A4B85" w:rsidRDefault="00643520" w:rsidP="005A4B85">
                            <w:pPr>
                              <w:jc w:val="center"/>
                              <w:rPr>
                                <w:rFonts w:ascii="Times New Roman" w:hAnsi="Times New Roman" w:cs="Times New Roman"/>
                                <w:b/>
                                <w:sz w:val="18"/>
                                <w:szCs w:val="18"/>
                                <w:lang w:val="en-NZ" w:eastAsia="en-US"/>
                              </w:rPr>
                            </w:pPr>
                            <w:r w:rsidRPr="005A4B85">
                              <w:rPr>
                                <w:rFonts w:ascii="Times New Roman" w:hAnsi="Times New Roman" w:cs="Times New Roman"/>
                                <w:b/>
                                <w:sz w:val="18"/>
                                <w:szCs w:val="18"/>
                                <w:lang w:val="en-NZ" w:eastAsia="en-US"/>
                              </w:rPr>
                              <w:t>Cash NRWT</w:t>
                            </w:r>
                          </w:p>
                        </w:tc>
                        <w:tc>
                          <w:tcPr>
                            <w:tcW w:w="967" w:type="dxa"/>
                            <w:vAlign w:val="center"/>
                          </w:tcPr>
                          <w:p w:rsidR="00643520" w:rsidRPr="005A4B85" w:rsidRDefault="00643520" w:rsidP="005A4B85">
                            <w:pPr>
                              <w:ind w:left="-44"/>
                              <w:jc w:val="center"/>
                              <w:rPr>
                                <w:rFonts w:ascii="Times New Roman" w:hAnsi="Times New Roman" w:cs="Times New Roman"/>
                                <w:b/>
                                <w:sz w:val="18"/>
                                <w:szCs w:val="18"/>
                                <w:lang w:val="en-NZ" w:eastAsia="en-US"/>
                              </w:rPr>
                            </w:pPr>
                            <w:proofErr w:type="spellStart"/>
                            <w:r w:rsidRPr="005A4B85">
                              <w:rPr>
                                <w:rFonts w:ascii="Times New Roman" w:hAnsi="Times New Roman" w:cs="Times New Roman"/>
                                <w:b/>
                                <w:sz w:val="18"/>
                                <w:szCs w:val="18"/>
                                <w:lang w:val="en-NZ" w:eastAsia="en-US"/>
                              </w:rPr>
                              <w:t>NRFAI</w:t>
                            </w:r>
                            <w:proofErr w:type="spellEnd"/>
                            <w:r w:rsidRPr="005A4B85">
                              <w:rPr>
                                <w:rFonts w:ascii="Times New Roman" w:hAnsi="Times New Roman" w:cs="Times New Roman"/>
                                <w:b/>
                                <w:sz w:val="18"/>
                                <w:szCs w:val="18"/>
                                <w:lang w:val="en-NZ" w:eastAsia="en-US"/>
                              </w:rPr>
                              <w:t xml:space="preserve"> NRWT</w:t>
                            </w: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 Jul 2017</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Facility draw-down</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-1,000</w:t>
                            </w: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 Jun 2018</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Balance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w:t>
                            </w: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 Sep 2018</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proofErr w:type="spellStart"/>
                            <w:r w:rsidRPr="005A4B85">
                              <w:rPr>
                                <w:rFonts w:ascii="Times New Roman" w:hAnsi="Times New Roman" w:cs="Times New Roman"/>
                                <w:sz w:val="18"/>
                                <w:szCs w:val="18"/>
                                <w:lang w:val="en-NZ" w:eastAsia="en-US"/>
                              </w:rPr>
                              <w:t>NRFAI</w:t>
                            </w:r>
                            <w:proofErr w:type="spellEnd"/>
                            <w:r w:rsidRPr="005A4B85">
                              <w:rPr>
                                <w:rFonts w:ascii="Times New Roman" w:hAnsi="Times New Roman" w:cs="Times New Roman"/>
                                <w:sz w:val="18"/>
                                <w:szCs w:val="18"/>
                                <w:lang w:val="en-NZ" w:eastAsia="en-US"/>
                              </w:rPr>
                              <w:t xml:space="preserve"> calculation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N/A – First year</w:t>
                            </w: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4</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 Jun 2019</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Balance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w:t>
                            </w: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5</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 Sep 2019</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proofErr w:type="spellStart"/>
                            <w:r w:rsidRPr="005A4B85">
                              <w:rPr>
                                <w:rFonts w:ascii="Times New Roman" w:hAnsi="Times New Roman" w:cs="Times New Roman"/>
                                <w:sz w:val="18"/>
                                <w:szCs w:val="18"/>
                                <w:lang w:val="en-NZ" w:eastAsia="en-US"/>
                              </w:rPr>
                              <w:t>NRFAI</w:t>
                            </w:r>
                            <w:proofErr w:type="spellEnd"/>
                            <w:r w:rsidRPr="005A4B85">
                              <w:rPr>
                                <w:rFonts w:ascii="Times New Roman" w:hAnsi="Times New Roman" w:cs="Times New Roman"/>
                                <w:sz w:val="18"/>
                                <w:szCs w:val="18"/>
                                <w:lang w:val="en-NZ" w:eastAsia="en-US"/>
                              </w:rPr>
                              <w:t xml:space="preserve"> calculation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200 ÷ 100 = 200%</w:t>
                            </w: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6</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 Jun 2020</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Balance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w:t>
                            </w: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7</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 Sep 2020</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proofErr w:type="spellStart"/>
                            <w:r w:rsidRPr="005A4B85">
                              <w:rPr>
                                <w:rFonts w:ascii="Times New Roman" w:hAnsi="Times New Roman" w:cs="Times New Roman"/>
                                <w:sz w:val="18"/>
                                <w:szCs w:val="18"/>
                                <w:lang w:val="en-NZ" w:eastAsia="en-US"/>
                              </w:rPr>
                              <w:t>NRFAI</w:t>
                            </w:r>
                            <w:proofErr w:type="spellEnd"/>
                            <w:r w:rsidRPr="005A4B85">
                              <w:rPr>
                                <w:rFonts w:ascii="Times New Roman" w:hAnsi="Times New Roman" w:cs="Times New Roman"/>
                                <w:sz w:val="18"/>
                                <w:szCs w:val="18"/>
                                <w:lang w:val="en-NZ" w:eastAsia="en-US"/>
                              </w:rPr>
                              <w:t xml:space="preserve"> calculation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300 ÷ 200 = 150%</w:t>
                            </w: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8</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 Jun 2021</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Balance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w:t>
                            </w: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9</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 Sep 2021</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proofErr w:type="spellStart"/>
                            <w:r w:rsidRPr="005A4B85">
                              <w:rPr>
                                <w:rFonts w:ascii="Times New Roman" w:hAnsi="Times New Roman" w:cs="Times New Roman"/>
                                <w:sz w:val="18"/>
                                <w:szCs w:val="18"/>
                                <w:lang w:val="en-NZ" w:eastAsia="en-US"/>
                              </w:rPr>
                              <w:t>NRFAI</w:t>
                            </w:r>
                            <w:proofErr w:type="spellEnd"/>
                            <w:r w:rsidRPr="005A4B85">
                              <w:rPr>
                                <w:rFonts w:ascii="Times New Roman" w:hAnsi="Times New Roman" w:cs="Times New Roman"/>
                                <w:sz w:val="18"/>
                                <w:szCs w:val="18"/>
                                <w:lang w:val="en-NZ" w:eastAsia="en-US"/>
                              </w:rPr>
                              <w:t xml:space="preserve"> calculation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400 ÷ 300 = 133.3%</w:t>
                            </w: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 Jun 2022</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Balance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1049"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100</w:t>
                            </w: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0</w:t>
                            </w: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11</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 Sep 2022</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proofErr w:type="spellStart"/>
                            <w:r w:rsidRPr="005A4B85">
                              <w:rPr>
                                <w:rFonts w:ascii="Times New Roman" w:hAnsi="Times New Roman" w:cs="Times New Roman"/>
                                <w:sz w:val="18"/>
                                <w:szCs w:val="18"/>
                                <w:lang w:val="en-NZ" w:eastAsia="en-US"/>
                              </w:rPr>
                              <w:t>NRFAI</w:t>
                            </w:r>
                            <w:proofErr w:type="spellEnd"/>
                            <w:r w:rsidRPr="005A4B85">
                              <w:rPr>
                                <w:rFonts w:ascii="Times New Roman" w:hAnsi="Times New Roman" w:cs="Times New Roman"/>
                                <w:sz w:val="18"/>
                                <w:szCs w:val="18"/>
                                <w:lang w:val="en-NZ" w:eastAsia="en-US"/>
                              </w:rPr>
                              <w:t xml:space="preserve"> calculation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400 ÷ 400 = 100%</w:t>
                            </w: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12</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 Jun 2023</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Balance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110</w:t>
                            </w:r>
                          </w:p>
                        </w:tc>
                        <w:tc>
                          <w:tcPr>
                            <w:tcW w:w="1049"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110</w:t>
                            </w: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0</w:t>
                            </w: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13</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 Sep 2023</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proofErr w:type="spellStart"/>
                            <w:r w:rsidRPr="005A4B85">
                              <w:rPr>
                                <w:rFonts w:ascii="Times New Roman" w:hAnsi="Times New Roman" w:cs="Times New Roman"/>
                                <w:sz w:val="18"/>
                                <w:szCs w:val="18"/>
                                <w:lang w:val="en-NZ" w:eastAsia="en-US"/>
                              </w:rPr>
                              <w:t>NRFAI</w:t>
                            </w:r>
                            <w:proofErr w:type="spellEnd"/>
                            <w:r w:rsidRPr="005A4B85">
                              <w:rPr>
                                <w:rFonts w:ascii="Times New Roman" w:hAnsi="Times New Roman" w:cs="Times New Roman"/>
                                <w:sz w:val="18"/>
                                <w:szCs w:val="18"/>
                                <w:lang w:val="en-NZ" w:eastAsia="en-US"/>
                              </w:rPr>
                              <w:t xml:space="preserve"> calculation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 xml:space="preserve">400 ÷ 510 = </w:t>
                            </w:r>
                            <w:r w:rsidRPr="008A5F18">
                              <w:rPr>
                                <w:rFonts w:ascii="Times New Roman" w:hAnsi="Times New Roman" w:cs="Times New Roman"/>
                                <w:color w:val="FF0000"/>
                                <w:sz w:val="18"/>
                                <w:szCs w:val="18"/>
                                <w:lang w:val="en-NZ" w:eastAsia="en-US"/>
                              </w:rPr>
                              <w:t xml:space="preserve">78.4% = </w:t>
                            </w:r>
                            <w:proofErr w:type="spellStart"/>
                            <w:r w:rsidRPr="008A5F18">
                              <w:rPr>
                                <w:rFonts w:ascii="Times New Roman" w:hAnsi="Times New Roman" w:cs="Times New Roman"/>
                                <w:color w:val="FF0000"/>
                                <w:sz w:val="18"/>
                                <w:szCs w:val="18"/>
                                <w:lang w:val="en-NZ" w:eastAsia="en-US"/>
                              </w:rPr>
                              <w:t>NRFAI</w:t>
                            </w:r>
                            <w:proofErr w:type="spellEnd"/>
                            <w:r w:rsidRPr="008A5F18">
                              <w:rPr>
                                <w:rFonts w:ascii="Times New Roman" w:hAnsi="Times New Roman" w:cs="Times New Roman"/>
                                <w:color w:val="FF0000"/>
                                <w:sz w:val="18"/>
                                <w:szCs w:val="18"/>
                                <w:lang w:val="en-NZ" w:eastAsia="en-US"/>
                              </w:rPr>
                              <w:t xml:space="preserve"> triggered</w:t>
                            </w: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Default="00643520" w:rsidP="003A6D01">
                            <w:pPr>
                              <w:ind w:left="-16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610 x 10%</w:t>
                            </w:r>
                          </w:p>
                          <w:p w:rsidR="00643520" w:rsidRPr="005A4B85" w:rsidRDefault="00643520" w:rsidP="003A6D01">
                            <w:pPr>
                              <w:ind w:left="-16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 xml:space="preserve"> -</w:t>
                            </w:r>
                            <w:r>
                              <w:rPr>
                                <w:rFonts w:ascii="Times New Roman" w:hAnsi="Times New Roman" w:cs="Times New Roman"/>
                                <w:sz w:val="18"/>
                                <w:szCs w:val="18"/>
                                <w:lang w:val="en-NZ" w:eastAsia="en-US"/>
                              </w:rPr>
                              <w:t xml:space="preserve"> </w:t>
                            </w:r>
                            <w:r w:rsidRPr="005A4B85">
                              <w:rPr>
                                <w:rFonts w:ascii="Times New Roman" w:hAnsi="Times New Roman" w:cs="Times New Roman"/>
                                <w:sz w:val="18"/>
                                <w:szCs w:val="18"/>
                                <w:lang w:val="en-NZ" w:eastAsia="en-US"/>
                              </w:rPr>
                              <w:t>40</w:t>
                            </w:r>
                            <w:r>
                              <w:rPr>
                                <w:rFonts w:ascii="Times New Roman" w:hAnsi="Times New Roman" w:cs="Times New Roman"/>
                                <w:sz w:val="18"/>
                                <w:szCs w:val="18"/>
                                <w:lang w:val="en-NZ" w:eastAsia="en-US"/>
                              </w:rPr>
                              <w:t xml:space="preserve"> </w:t>
                            </w:r>
                            <w:r w:rsidRPr="005A4B85">
                              <w:rPr>
                                <w:rFonts w:ascii="Times New Roman" w:hAnsi="Times New Roman" w:cs="Times New Roman"/>
                                <w:sz w:val="18"/>
                                <w:szCs w:val="18"/>
                                <w:lang w:val="en-NZ" w:eastAsia="en-US"/>
                              </w:rPr>
                              <w:t>= 21</w:t>
                            </w: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14</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30 Jun 2024</w:t>
                            </w:r>
                          </w:p>
                        </w:tc>
                        <w:tc>
                          <w:tcPr>
                            <w:tcW w:w="1554" w:type="dxa"/>
                          </w:tcPr>
                          <w:p w:rsidR="00643520" w:rsidRPr="005A4B85" w:rsidRDefault="00643520" w:rsidP="00625ADD">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Balance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3D2864">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121</w:t>
                            </w:r>
                          </w:p>
                        </w:tc>
                        <w:tc>
                          <w:tcPr>
                            <w:tcW w:w="1049" w:type="dxa"/>
                          </w:tcPr>
                          <w:p w:rsidR="00643520" w:rsidRPr="005A4B85" w:rsidRDefault="00643520" w:rsidP="003D2864">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121</w:t>
                            </w: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p>
                        </w:tc>
                        <w:tc>
                          <w:tcPr>
                            <w:tcW w:w="742" w:type="dxa"/>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Not required</w:t>
                            </w:r>
                          </w:p>
                        </w:tc>
                        <w:tc>
                          <w:tcPr>
                            <w:tcW w:w="967" w:type="dxa"/>
                          </w:tcPr>
                          <w:p w:rsidR="00643520" w:rsidRPr="005A4B85" w:rsidRDefault="00643520" w:rsidP="00625ADD">
                            <w:pPr>
                              <w:ind w:left="-160"/>
                              <w:jc w:val="right"/>
                              <w:rPr>
                                <w:rFonts w:ascii="Times New Roman" w:hAnsi="Times New Roman" w:cs="Times New Roman"/>
                                <w:sz w:val="18"/>
                                <w:szCs w:val="18"/>
                                <w:lang w:val="en-NZ" w:eastAsia="en-US"/>
                              </w:rPr>
                            </w:pPr>
                          </w:p>
                        </w:tc>
                      </w:tr>
                      <w:tr w:rsidR="00643520" w:rsidRPr="005A4B85" w:rsidTr="005A4B85">
                        <w:trPr>
                          <w:jc w:val="center"/>
                        </w:trPr>
                        <w:tc>
                          <w:tcPr>
                            <w:tcW w:w="419" w:type="dxa"/>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15</w:t>
                            </w:r>
                          </w:p>
                        </w:tc>
                        <w:tc>
                          <w:tcPr>
                            <w:tcW w:w="1116" w:type="dxa"/>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20 Sep 2024</w:t>
                            </w:r>
                          </w:p>
                        </w:tc>
                        <w:tc>
                          <w:tcPr>
                            <w:tcW w:w="1554" w:type="dxa"/>
                          </w:tcPr>
                          <w:p w:rsidR="00643520" w:rsidRPr="005A4B85" w:rsidRDefault="00643520" w:rsidP="000B2589">
                            <w:pPr>
                              <w:jc w:val="left"/>
                              <w:rPr>
                                <w:rFonts w:ascii="Times New Roman" w:hAnsi="Times New Roman" w:cs="Times New Roman"/>
                                <w:sz w:val="18"/>
                                <w:szCs w:val="18"/>
                                <w:lang w:val="en-NZ" w:eastAsia="en-US"/>
                              </w:rPr>
                            </w:pPr>
                            <w:proofErr w:type="spellStart"/>
                            <w:r w:rsidRPr="005A4B85">
                              <w:rPr>
                                <w:rFonts w:ascii="Times New Roman" w:hAnsi="Times New Roman" w:cs="Times New Roman"/>
                                <w:sz w:val="18"/>
                                <w:szCs w:val="18"/>
                                <w:lang w:val="en-NZ" w:eastAsia="en-US"/>
                              </w:rPr>
                              <w:t>NRFAI</w:t>
                            </w:r>
                            <w:proofErr w:type="spellEnd"/>
                            <w:r w:rsidRPr="005A4B85">
                              <w:rPr>
                                <w:rFonts w:ascii="Times New Roman" w:hAnsi="Times New Roman" w:cs="Times New Roman"/>
                                <w:sz w:val="18"/>
                                <w:szCs w:val="18"/>
                                <w:lang w:val="en-NZ" w:eastAsia="en-US"/>
                              </w:rPr>
                              <w:t xml:space="preserve"> calculation date</w:t>
                            </w:r>
                          </w:p>
                        </w:tc>
                        <w:tc>
                          <w:tcPr>
                            <w:tcW w:w="1008" w:type="dxa"/>
                          </w:tcPr>
                          <w:p w:rsidR="00643520" w:rsidRPr="005A4B85" w:rsidRDefault="00643520" w:rsidP="00625ADD">
                            <w:pPr>
                              <w:jc w:val="right"/>
                              <w:rPr>
                                <w:rFonts w:ascii="Times New Roman" w:hAnsi="Times New Roman" w:cs="Times New Roman"/>
                                <w:sz w:val="18"/>
                                <w:szCs w:val="18"/>
                                <w:lang w:val="en-NZ" w:eastAsia="en-US"/>
                              </w:rPr>
                            </w:pPr>
                          </w:p>
                        </w:tc>
                        <w:tc>
                          <w:tcPr>
                            <w:tcW w:w="826" w:type="dxa"/>
                          </w:tcPr>
                          <w:p w:rsidR="00643520" w:rsidRPr="005A4B85" w:rsidRDefault="00643520" w:rsidP="00625ADD">
                            <w:pPr>
                              <w:jc w:val="right"/>
                              <w:rPr>
                                <w:rFonts w:ascii="Times New Roman" w:hAnsi="Times New Roman" w:cs="Times New Roman"/>
                                <w:sz w:val="18"/>
                                <w:szCs w:val="18"/>
                                <w:lang w:val="en-NZ" w:eastAsia="en-US"/>
                              </w:rPr>
                            </w:pPr>
                          </w:p>
                        </w:tc>
                        <w:tc>
                          <w:tcPr>
                            <w:tcW w:w="1049" w:type="dxa"/>
                          </w:tcPr>
                          <w:p w:rsidR="00643520" w:rsidRPr="005A4B85" w:rsidRDefault="00643520" w:rsidP="00625ADD">
                            <w:pPr>
                              <w:jc w:val="right"/>
                              <w:rPr>
                                <w:rFonts w:ascii="Times New Roman" w:hAnsi="Times New Roman" w:cs="Times New Roman"/>
                                <w:sz w:val="18"/>
                                <w:szCs w:val="18"/>
                                <w:lang w:val="en-NZ" w:eastAsia="en-US"/>
                              </w:rPr>
                            </w:pPr>
                          </w:p>
                        </w:tc>
                        <w:tc>
                          <w:tcPr>
                            <w:tcW w:w="1050" w:type="dxa"/>
                          </w:tcPr>
                          <w:p w:rsidR="00643520" w:rsidRPr="005A4B85" w:rsidRDefault="00643520" w:rsidP="00625ADD">
                            <w:pPr>
                              <w:ind w:left="-8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Not required</w:t>
                            </w:r>
                          </w:p>
                        </w:tc>
                        <w:tc>
                          <w:tcPr>
                            <w:tcW w:w="742" w:type="dxa"/>
                          </w:tcPr>
                          <w:p w:rsidR="00643520" w:rsidRPr="005A4B85" w:rsidRDefault="00643520" w:rsidP="00625ADD">
                            <w:pPr>
                              <w:jc w:val="right"/>
                              <w:rPr>
                                <w:rFonts w:ascii="Times New Roman" w:hAnsi="Times New Roman" w:cs="Times New Roman"/>
                                <w:sz w:val="18"/>
                                <w:szCs w:val="18"/>
                                <w:lang w:val="en-NZ" w:eastAsia="en-US"/>
                              </w:rPr>
                            </w:pPr>
                          </w:p>
                        </w:tc>
                        <w:tc>
                          <w:tcPr>
                            <w:tcW w:w="967" w:type="dxa"/>
                          </w:tcPr>
                          <w:p w:rsidR="00643520" w:rsidRPr="005A4B85" w:rsidRDefault="00643520" w:rsidP="003D2864">
                            <w:pPr>
                              <w:ind w:left="-160"/>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12.10</w:t>
                            </w:r>
                          </w:p>
                        </w:tc>
                      </w:tr>
                      <w:tr w:rsidR="00643520" w:rsidRPr="005A4B85" w:rsidTr="005A4B85">
                        <w:trPr>
                          <w:jc w:val="center"/>
                        </w:trPr>
                        <w:tc>
                          <w:tcPr>
                            <w:tcW w:w="419" w:type="dxa"/>
                            <w:tcBorders>
                              <w:left w:val="nil"/>
                              <w:bottom w:val="nil"/>
                            </w:tcBorders>
                          </w:tcPr>
                          <w:p w:rsidR="00643520" w:rsidRPr="005A4B85" w:rsidRDefault="00643520" w:rsidP="00625ADD">
                            <w:pPr>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 xml:space="preserve"> </w:t>
                            </w:r>
                          </w:p>
                        </w:tc>
                        <w:tc>
                          <w:tcPr>
                            <w:tcW w:w="2670" w:type="dxa"/>
                            <w:gridSpan w:val="2"/>
                            <w:tcBorders>
                              <w:top w:val="double" w:sz="4" w:space="0" w:color="auto"/>
                            </w:tcBorders>
                          </w:tcPr>
                          <w:p w:rsidR="00643520" w:rsidRPr="005A4B85" w:rsidRDefault="00643520" w:rsidP="005A4B85">
                            <w:pPr>
                              <w:jc w:val="lef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Total</w:t>
                            </w:r>
                          </w:p>
                        </w:tc>
                        <w:tc>
                          <w:tcPr>
                            <w:tcW w:w="1008" w:type="dxa"/>
                            <w:tcBorders>
                              <w:top w:val="double" w:sz="4" w:space="0" w:color="auto"/>
                            </w:tcBorders>
                          </w:tcPr>
                          <w:p w:rsidR="00643520" w:rsidRPr="005A4B85" w:rsidRDefault="00643520" w:rsidP="00625ADD">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400 (excluding principal)</w:t>
                            </w:r>
                          </w:p>
                        </w:tc>
                        <w:tc>
                          <w:tcPr>
                            <w:tcW w:w="826" w:type="dxa"/>
                            <w:tcBorders>
                              <w:top w:val="double" w:sz="4" w:space="0" w:color="auto"/>
                            </w:tcBorders>
                          </w:tcPr>
                          <w:p w:rsidR="00643520" w:rsidRPr="005A4B85" w:rsidRDefault="00643520" w:rsidP="000B2589">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331</w:t>
                            </w:r>
                          </w:p>
                        </w:tc>
                        <w:tc>
                          <w:tcPr>
                            <w:tcW w:w="1049" w:type="dxa"/>
                            <w:tcBorders>
                              <w:top w:val="double" w:sz="4" w:space="0" w:color="auto"/>
                            </w:tcBorders>
                          </w:tcPr>
                          <w:p w:rsidR="00643520" w:rsidRPr="005A4B85" w:rsidRDefault="00643520" w:rsidP="000B2589">
                            <w:pPr>
                              <w:jc w:val="right"/>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731</w:t>
                            </w:r>
                          </w:p>
                        </w:tc>
                        <w:tc>
                          <w:tcPr>
                            <w:tcW w:w="1050" w:type="dxa"/>
                            <w:tcBorders>
                              <w:top w:val="double" w:sz="4" w:space="0" w:color="auto"/>
                            </w:tcBorders>
                          </w:tcPr>
                          <w:p w:rsidR="00643520" w:rsidRPr="005A4B85" w:rsidRDefault="00643520" w:rsidP="00625ADD">
                            <w:pPr>
                              <w:ind w:left="-80"/>
                              <w:jc w:val="right"/>
                              <w:rPr>
                                <w:rFonts w:ascii="Times New Roman" w:hAnsi="Times New Roman" w:cs="Times New Roman"/>
                                <w:sz w:val="18"/>
                                <w:szCs w:val="18"/>
                                <w:lang w:val="en-NZ" w:eastAsia="en-US"/>
                              </w:rPr>
                            </w:pPr>
                          </w:p>
                        </w:tc>
                        <w:tc>
                          <w:tcPr>
                            <w:tcW w:w="1709" w:type="dxa"/>
                            <w:gridSpan w:val="2"/>
                            <w:tcBorders>
                              <w:top w:val="double" w:sz="4" w:space="0" w:color="auto"/>
                            </w:tcBorders>
                          </w:tcPr>
                          <w:p w:rsidR="00643520" w:rsidRPr="005A4B85" w:rsidRDefault="00643520" w:rsidP="000B2589">
                            <w:pPr>
                              <w:ind w:left="-160"/>
                              <w:jc w:val="center"/>
                              <w:rPr>
                                <w:rFonts w:ascii="Times New Roman" w:hAnsi="Times New Roman" w:cs="Times New Roman"/>
                                <w:sz w:val="18"/>
                                <w:szCs w:val="18"/>
                                <w:lang w:val="en-NZ" w:eastAsia="en-US"/>
                              </w:rPr>
                            </w:pPr>
                            <w:r w:rsidRPr="005A4B85">
                              <w:rPr>
                                <w:rFonts w:ascii="Times New Roman" w:hAnsi="Times New Roman" w:cs="Times New Roman"/>
                                <w:sz w:val="18"/>
                                <w:szCs w:val="18"/>
                                <w:lang w:val="en-NZ" w:eastAsia="en-US"/>
                              </w:rPr>
                              <w:t>73.10</w:t>
                            </w:r>
                          </w:p>
                        </w:tc>
                      </w:tr>
                    </w:tbl>
                    <w:p w:rsidR="00643520" w:rsidRDefault="00643520" w:rsidP="00625ADD">
                      <w:pPr>
                        <w:pStyle w:val="Bullets"/>
                        <w:numPr>
                          <w:ilvl w:val="0"/>
                          <w:numId w:val="0"/>
                        </w:numPr>
                        <w:spacing w:after="0"/>
                        <w:rPr>
                          <w:rFonts w:eastAsiaTheme="minorHAnsi"/>
                          <w:sz w:val="16"/>
                          <w:szCs w:val="16"/>
                          <w:lang w:eastAsia="en-US"/>
                        </w:rPr>
                      </w:pPr>
                    </w:p>
                    <w:p w:rsidR="00643520" w:rsidRDefault="00643520" w:rsidP="00625ADD">
                      <w:pPr>
                        <w:pStyle w:val="Bullets"/>
                        <w:numPr>
                          <w:ilvl w:val="0"/>
                          <w:numId w:val="0"/>
                        </w:numPr>
                        <w:spacing w:after="0"/>
                        <w:rPr>
                          <w:rFonts w:eastAsiaTheme="minorHAnsi"/>
                          <w:sz w:val="16"/>
                          <w:szCs w:val="16"/>
                          <w:lang w:eastAsia="en-US"/>
                        </w:rPr>
                      </w:pPr>
                    </w:p>
                    <w:p w:rsidR="00643520" w:rsidRPr="004C024D" w:rsidRDefault="00643520" w:rsidP="00625ADD">
                      <w:pPr>
                        <w:pStyle w:val="Bullets"/>
                        <w:numPr>
                          <w:ilvl w:val="0"/>
                          <w:numId w:val="0"/>
                        </w:numPr>
                        <w:spacing w:after="0"/>
                        <w:rPr>
                          <w:rFonts w:eastAsiaTheme="minorHAnsi"/>
                          <w:sz w:val="20"/>
                          <w:lang w:eastAsia="en-US"/>
                        </w:rPr>
                      </w:pPr>
                      <w:r>
                        <w:rPr>
                          <w:rFonts w:eastAsiaTheme="minorHAnsi"/>
                          <w:sz w:val="20"/>
                          <w:lang w:eastAsia="en-US"/>
                        </w:rPr>
                        <w:t xml:space="preserve">Even if </w:t>
                      </w:r>
                      <w:r w:rsidRPr="004C024D">
                        <w:rPr>
                          <w:rFonts w:eastAsiaTheme="minorHAnsi"/>
                          <w:sz w:val="20"/>
                          <w:lang w:eastAsia="en-US"/>
                        </w:rPr>
                        <w:t>C</w:t>
                      </w:r>
                      <w:r>
                        <w:rPr>
                          <w:rFonts w:eastAsiaTheme="minorHAnsi"/>
                          <w:sz w:val="20"/>
                          <w:lang w:eastAsia="en-US"/>
                        </w:rPr>
                        <w:t xml:space="preserve"> Co</w:t>
                      </w:r>
                      <w:r w:rsidRPr="004C024D">
                        <w:rPr>
                          <w:rFonts w:eastAsiaTheme="minorHAnsi"/>
                          <w:sz w:val="20"/>
                          <w:lang w:eastAsia="en-US"/>
                        </w:rPr>
                        <w:t xml:space="preserve"> started paying interest again</w:t>
                      </w:r>
                      <w:r>
                        <w:rPr>
                          <w:rFonts w:eastAsiaTheme="minorHAnsi"/>
                          <w:sz w:val="20"/>
                          <w:lang w:eastAsia="en-US"/>
                        </w:rPr>
                        <w:t>,</w:t>
                      </w:r>
                      <w:r w:rsidRPr="004C024D">
                        <w:rPr>
                          <w:rFonts w:eastAsiaTheme="minorHAnsi"/>
                          <w:sz w:val="20"/>
                          <w:lang w:eastAsia="en-US"/>
                        </w:rPr>
                        <w:t xml:space="preserve"> this arrangement would stay in </w:t>
                      </w:r>
                      <w:proofErr w:type="spellStart"/>
                      <w:r w:rsidRPr="004C024D">
                        <w:rPr>
                          <w:rFonts w:eastAsiaTheme="minorHAnsi"/>
                          <w:sz w:val="20"/>
                          <w:lang w:eastAsia="en-US"/>
                        </w:rPr>
                        <w:t>NRFAI</w:t>
                      </w:r>
                      <w:proofErr w:type="spellEnd"/>
                      <w:r w:rsidRPr="004C024D">
                        <w:rPr>
                          <w:rFonts w:eastAsiaTheme="minorHAnsi"/>
                          <w:sz w:val="20"/>
                          <w:lang w:eastAsia="en-US"/>
                        </w:rPr>
                        <w:t xml:space="preserve">.  If it wanted to eliminate </w:t>
                      </w:r>
                      <w:proofErr w:type="spellStart"/>
                      <w:r w:rsidRPr="004C024D">
                        <w:rPr>
                          <w:rFonts w:eastAsiaTheme="minorHAnsi"/>
                          <w:sz w:val="20"/>
                          <w:lang w:eastAsia="en-US"/>
                        </w:rPr>
                        <w:t>NRFAI</w:t>
                      </w:r>
                      <w:proofErr w:type="spellEnd"/>
                      <w:r w:rsidRPr="004C024D">
                        <w:rPr>
                          <w:rFonts w:eastAsiaTheme="minorHAnsi"/>
                          <w:sz w:val="20"/>
                          <w:lang w:eastAsia="en-US"/>
                        </w:rPr>
                        <w:t xml:space="preserve"> it would need to repay the loan and replace it with a new one.</w:t>
                      </w:r>
                    </w:p>
                    <w:p w:rsidR="00643520" w:rsidRPr="0051079B" w:rsidRDefault="00643520" w:rsidP="00625ADD">
                      <w:pPr>
                        <w:pStyle w:val="Bullets"/>
                        <w:numPr>
                          <w:ilvl w:val="0"/>
                          <w:numId w:val="0"/>
                        </w:numPr>
                        <w:spacing w:after="0"/>
                        <w:rPr>
                          <w:rFonts w:eastAsiaTheme="minorHAnsi"/>
                          <w:sz w:val="16"/>
                          <w:szCs w:val="16"/>
                          <w:lang w:eastAsia="en-US"/>
                        </w:rPr>
                      </w:pPr>
                    </w:p>
                  </w:txbxContent>
                </v:textbox>
                <w10:wrap type="square"/>
              </v:shape>
            </w:pict>
          </mc:Fallback>
        </mc:AlternateContent>
      </w:r>
    </w:p>
    <w:p w:rsidR="00625ADD" w:rsidRDefault="003A6D01" w:rsidP="00625ADD">
      <w:pPr>
        <w:pStyle w:val="Bullets"/>
        <w:numPr>
          <w:ilvl w:val="0"/>
          <w:numId w:val="0"/>
        </w:numPr>
        <w:spacing w:after="0"/>
        <w:rPr>
          <w:rFonts w:eastAsiaTheme="minorHAnsi"/>
          <w:sz w:val="20"/>
          <w:lang w:eastAsia="en-US"/>
        </w:rPr>
      </w:pPr>
      <w:r>
        <w:rPr>
          <w:noProof/>
          <w:lang w:eastAsia="en-NZ"/>
        </w:rPr>
        <mc:AlternateContent>
          <mc:Choice Requires="wps">
            <w:drawing>
              <wp:anchor distT="0" distB="0" distL="114300" distR="114300" simplePos="0" relativeHeight="251669504" behindDoc="0" locked="0" layoutInCell="1" allowOverlap="1" wp14:anchorId="6349C2BA" wp14:editId="1FC040C0">
                <wp:simplePos x="0" y="0"/>
                <wp:positionH relativeFrom="column">
                  <wp:posOffset>13970</wp:posOffset>
                </wp:positionH>
                <wp:positionV relativeFrom="paragraph">
                  <wp:posOffset>334010</wp:posOffset>
                </wp:positionV>
                <wp:extent cx="6042025" cy="5892800"/>
                <wp:effectExtent l="0" t="0" r="15875" b="12700"/>
                <wp:wrapSquare wrapText="bothSides"/>
                <wp:docPr id="26" name="Text Box 26"/>
                <wp:cNvGraphicFramePr/>
                <a:graphic xmlns:a="http://schemas.openxmlformats.org/drawingml/2006/main">
                  <a:graphicData uri="http://schemas.microsoft.com/office/word/2010/wordprocessingShape">
                    <wps:wsp>
                      <wps:cNvSpPr txBox="1"/>
                      <wps:spPr>
                        <a:xfrm>
                          <a:off x="0" y="0"/>
                          <a:ext cx="6042025" cy="5892800"/>
                        </a:xfrm>
                        <a:prstGeom prst="rect">
                          <a:avLst/>
                        </a:prstGeom>
                        <a:noFill/>
                        <a:ln w="6350">
                          <a:solidFill>
                            <a:prstClr val="black"/>
                          </a:solidFill>
                        </a:ln>
                        <a:effectLst/>
                      </wps:spPr>
                      <wps:txbx>
                        <w:txbxContent>
                          <w:p w:rsidR="00643520" w:rsidRPr="00260412" w:rsidRDefault="00643520" w:rsidP="003A6D01">
                            <w:pPr>
                              <w:spacing w:before="200"/>
                              <w:jc w:val="left"/>
                              <w:rPr>
                                <w:b/>
                                <w:sz w:val="20"/>
                                <w:lang w:val="en-NZ"/>
                              </w:rPr>
                            </w:pPr>
                            <w:r w:rsidRPr="00260412">
                              <w:rPr>
                                <w:b/>
                                <w:sz w:val="20"/>
                                <w:lang w:val="en-NZ"/>
                              </w:rPr>
                              <w:t>Example 4</w:t>
                            </w:r>
                            <w:r>
                              <w:rPr>
                                <w:b/>
                                <w:sz w:val="20"/>
                                <w:lang w:val="en-NZ"/>
                              </w:rPr>
                              <w:t xml:space="preserve">: </w:t>
                            </w:r>
                            <w:r w:rsidRPr="00260412">
                              <w:rPr>
                                <w:b/>
                                <w:sz w:val="20"/>
                                <w:lang w:val="en-NZ"/>
                              </w:rPr>
                              <w:t>Arrangements entered into before application date</w:t>
                            </w:r>
                          </w:p>
                          <w:p w:rsidR="00643520" w:rsidRPr="00E639D9" w:rsidRDefault="00643520" w:rsidP="003A6D01">
                            <w:pPr>
                              <w:rPr>
                                <w:sz w:val="20"/>
                                <w:lang w:val="en-NZ"/>
                              </w:rPr>
                            </w:pPr>
                          </w:p>
                          <w:p w:rsidR="00643520" w:rsidRPr="00260412" w:rsidRDefault="00643520" w:rsidP="003A6D01">
                            <w:pPr>
                              <w:rPr>
                                <w:sz w:val="20"/>
                                <w:lang w:val="en-NZ"/>
                              </w:rPr>
                            </w:pPr>
                            <w:r w:rsidRPr="00260412">
                              <w:rPr>
                                <w:sz w:val="20"/>
                                <w:lang w:val="en-NZ"/>
                              </w:rPr>
                              <w:t>D</w:t>
                            </w:r>
                            <w:r>
                              <w:rPr>
                                <w:sz w:val="20"/>
                                <w:lang w:val="en-NZ"/>
                              </w:rPr>
                              <w:t xml:space="preserve"> Co</w:t>
                            </w:r>
                            <w:r w:rsidRPr="00260412">
                              <w:rPr>
                                <w:sz w:val="20"/>
                                <w:lang w:val="en-NZ"/>
                              </w:rPr>
                              <w:t xml:space="preserve"> has three separate loans from its non-resident parent.  All three loans were for $2,000 and were drawn down on 1 April 2015 with no periodic interest payments and a single repayment amount of $2,500 on 31 March 2020.  Due to </w:t>
                            </w:r>
                            <w:r>
                              <w:rPr>
                                <w:sz w:val="20"/>
                                <w:lang w:val="en-NZ"/>
                              </w:rPr>
                              <w:t>its</w:t>
                            </w:r>
                            <w:r w:rsidRPr="00260412">
                              <w:rPr>
                                <w:sz w:val="20"/>
                                <w:lang w:val="en-NZ"/>
                              </w:rPr>
                              <w:t xml:space="preserve"> 31 March balance date</w:t>
                            </w:r>
                            <w:r>
                              <w:rPr>
                                <w:sz w:val="20"/>
                                <w:lang w:val="en-NZ"/>
                              </w:rPr>
                              <w:t>,</w:t>
                            </w:r>
                            <w:r w:rsidRPr="00260412">
                              <w:rPr>
                                <w:sz w:val="20"/>
                                <w:lang w:val="en-NZ"/>
                              </w:rPr>
                              <w:t xml:space="preserve"> the </w:t>
                            </w:r>
                            <w:proofErr w:type="spellStart"/>
                            <w:r w:rsidRPr="00260412">
                              <w:rPr>
                                <w:sz w:val="20"/>
                                <w:lang w:val="en-NZ"/>
                              </w:rPr>
                              <w:t>NRFAI</w:t>
                            </w:r>
                            <w:proofErr w:type="spellEnd"/>
                            <w:r w:rsidRPr="00260412">
                              <w:rPr>
                                <w:sz w:val="20"/>
                                <w:lang w:val="en-NZ"/>
                              </w:rPr>
                              <w:t xml:space="preserve"> rules apply to D</w:t>
                            </w:r>
                            <w:r>
                              <w:rPr>
                                <w:sz w:val="20"/>
                                <w:lang w:val="en-NZ"/>
                              </w:rPr>
                              <w:t xml:space="preserve"> Co</w:t>
                            </w:r>
                            <w:r w:rsidRPr="00260412">
                              <w:rPr>
                                <w:sz w:val="20"/>
                                <w:lang w:val="en-NZ"/>
                              </w:rPr>
                              <w:t xml:space="preserve"> from 1 April 2017.  On 1 April 2017 Loan 1 continues as originally intended, Loan 2 is repaid at the amount accrued on that date and replaced by a new loan that has annual interest payments and is repaid on 31 March 2020 and Loan 3 is restructured to have annual interest payments on 31 March each year for interest accrued after 1 April 2017 with the balance repaid upon maturity.</w:t>
                            </w:r>
                          </w:p>
                          <w:p w:rsidR="00643520" w:rsidRPr="00E639D9" w:rsidRDefault="00643520" w:rsidP="003A6D01">
                            <w:pPr>
                              <w:jc w:val="left"/>
                              <w:rPr>
                                <w:sz w:val="20"/>
                                <w:lang w:val="en-NZ"/>
                              </w:rPr>
                            </w:pPr>
                          </w:p>
                          <w:p w:rsidR="00643520" w:rsidRDefault="00643520" w:rsidP="003A6D01">
                            <w:pPr>
                              <w:jc w:val="center"/>
                              <w:rPr>
                                <w:b/>
                                <w:i/>
                                <w:sz w:val="20"/>
                                <w:lang w:val="en-NZ"/>
                              </w:rPr>
                            </w:pPr>
                            <w:r w:rsidRPr="00784297">
                              <w:rPr>
                                <w:b/>
                                <w:i/>
                                <w:sz w:val="20"/>
                                <w:lang w:val="en-NZ"/>
                              </w:rPr>
                              <w:t>Loan 1:</w:t>
                            </w:r>
                          </w:p>
                          <w:p w:rsidR="00643520" w:rsidRDefault="00643520" w:rsidP="003A6D01">
                            <w:pPr>
                              <w:jc w:val="center"/>
                              <w:rPr>
                                <w:b/>
                                <w:i/>
                                <w:sz w:val="20"/>
                                <w:lang w:val="en-NZ"/>
                              </w:rPr>
                            </w:pPr>
                          </w:p>
                          <w:tbl>
                            <w:tblPr>
                              <w:tblStyle w:val="TableGrid"/>
                              <w:tblW w:w="8755" w:type="dxa"/>
                              <w:jc w:val="center"/>
                              <w:tblLayout w:type="fixed"/>
                              <w:tblCellMar>
                                <w:top w:w="57" w:type="dxa"/>
                                <w:left w:w="57" w:type="dxa"/>
                                <w:bottom w:w="57" w:type="dxa"/>
                                <w:right w:w="57" w:type="dxa"/>
                              </w:tblCellMar>
                              <w:tblLook w:val="04A0" w:firstRow="1" w:lastRow="0" w:firstColumn="1" w:lastColumn="0" w:noHBand="0" w:noVBand="1"/>
                            </w:tblPr>
                            <w:tblGrid>
                              <w:gridCol w:w="419"/>
                              <w:gridCol w:w="1344"/>
                              <w:gridCol w:w="1559"/>
                              <w:gridCol w:w="1039"/>
                              <w:gridCol w:w="1276"/>
                              <w:gridCol w:w="1134"/>
                              <w:gridCol w:w="946"/>
                              <w:gridCol w:w="1038"/>
                            </w:tblGrid>
                            <w:tr w:rsidR="00643520" w:rsidRPr="004C3DB4" w:rsidTr="008641E0">
                              <w:trPr>
                                <w:tblHeader/>
                                <w:jc w:val="center"/>
                              </w:trPr>
                              <w:tc>
                                <w:tcPr>
                                  <w:tcW w:w="41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w:t>
                                  </w:r>
                                </w:p>
                              </w:tc>
                              <w:tc>
                                <w:tcPr>
                                  <w:tcW w:w="1344"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Date</w:t>
                                  </w:r>
                                </w:p>
                              </w:tc>
                              <w:tc>
                                <w:tcPr>
                                  <w:tcW w:w="155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Event</w:t>
                                  </w:r>
                                </w:p>
                              </w:tc>
                              <w:tc>
                                <w:tcPr>
                                  <w:tcW w:w="103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Payments</w:t>
                                  </w:r>
                                </w:p>
                              </w:tc>
                              <w:tc>
                                <w:tcPr>
                                  <w:tcW w:w="1276"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Deductions</w:t>
                                  </w:r>
                                </w:p>
                              </w:tc>
                              <w:tc>
                                <w:tcPr>
                                  <w:tcW w:w="1134" w:type="dxa"/>
                                  <w:vAlign w:val="center"/>
                                </w:tcPr>
                                <w:p w:rsidR="00643520" w:rsidRPr="004C3DB4" w:rsidRDefault="00643520" w:rsidP="004C3DB4">
                                  <w:pPr>
                                    <w:ind w:left="-80"/>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Deduction &gt; payment</w:t>
                                  </w:r>
                                </w:p>
                              </w:tc>
                              <w:tc>
                                <w:tcPr>
                                  <w:tcW w:w="946"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Cash NRWT</w:t>
                                  </w:r>
                                </w:p>
                              </w:tc>
                              <w:tc>
                                <w:tcPr>
                                  <w:tcW w:w="1038" w:type="dxa"/>
                                  <w:vAlign w:val="center"/>
                                </w:tcPr>
                                <w:p w:rsidR="00643520" w:rsidRPr="004C3DB4" w:rsidRDefault="00643520" w:rsidP="004C3DB4">
                                  <w:pPr>
                                    <w:ind w:left="-44"/>
                                    <w:jc w:val="center"/>
                                    <w:rPr>
                                      <w:rFonts w:ascii="Times New Roman" w:eastAsia="Times New Roman" w:hAnsi="Times New Roman" w:cs="Times New Roman"/>
                                      <w:b/>
                                      <w:sz w:val="18"/>
                                      <w:szCs w:val="18"/>
                                      <w:lang w:val="en-NZ" w:eastAsia="en-US"/>
                                    </w:rPr>
                                  </w:pPr>
                                  <w:proofErr w:type="spellStart"/>
                                  <w:r w:rsidRPr="004C3DB4">
                                    <w:rPr>
                                      <w:rFonts w:ascii="Times New Roman" w:hAnsi="Times New Roman" w:cs="Times New Roman"/>
                                      <w:b/>
                                      <w:sz w:val="18"/>
                                      <w:szCs w:val="18"/>
                                      <w:lang w:val="en-NZ" w:eastAsia="en-US"/>
                                    </w:rPr>
                                    <w:t>NRFAI</w:t>
                                  </w:r>
                                  <w:proofErr w:type="spellEnd"/>
                                  <w:r w:rsidRPr="004C3DB4">
                                    <w:rPr>
                                      <w:rFonts w:ascii="Times New Roman" w:hAnsi="Times New Roman" w:cs="Times New Roman"/>
                                      <w:b/>
                                      <w:sz w:val="18"/>
                                      <w:szCs w:val="18"/>
                                      <w:lang w:val="en-NZ" w:eastAsia="en-US"/>
                                    </w:rPr>
                                    <w:t xml:space="preserve"> NRWT</w:t>
                                  </w: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2015</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Arrangement commences</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-2,000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2016</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91.28</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2017</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95.45</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2017</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rules apply</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5</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2018</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2018</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N/A – First year</w:t>
                                  </w: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7</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2019</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104.36</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8</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2019</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Default="00643520" w:rsidP="008A5F18">
                                  <w:pPr>
                                    <w:ind w:left="-80"/>
                                    <w:jc w:val="right"/>
                                    <w:rPr>
                                      <w:rFonts w:ascii="Times New Roman" w:hAnsi="Times New Roman" w:cs="Times New Roman"/>
                                      <w:color w:val="FF0000"/>
                                      <w:sz w:val="18"/>
                                      <w:szCs w:val="18"/>
                                      <w:lang w:val="en-NZ" w:eastAsia="en-US"/>
                                    </w:rPr>
                                  </w:pPr>
                                  <w:r w:rsidRPr="004C3DB4">
                                    <w:rPr>
                                      <w:rFonts w:ascii="Times New Roman" w:hAnsi="Times New Roman" w:cs="Times New Roman"/>
                                      <w:sz w:val="18"/>
                                      <w:szCs w:val="18"/>
                                      <w:lang w:val="en-NZ" w:eastAsia="en-US"/>
                                    </w:rPr>
                                    <w:t>0 ÷ 99.80</w:t>
                                  </w:r>
                                  <w:r>
                                    <w:rPr>
                                      <w:rFonts w:ascii="Times New Roman" w:hAnsi="Times New Roman" w:cs="Times New Roman"/>
                                      <w:sz w:val="18"/>
                                      <w:szCs w:val="18"/>
                                      <w:lang w:val="en-NZ" w:eastAsia="en-US"/>
                                    </w:rPr>
                                    <w:t xml:space="preserve"> </w:t>
                                  </w:r>
                                  <w:r w:rsidRPr="004C3DB4">
                                    <w:rPr>
                                      <w:rFonts w:ascii="Times New Roman" w:hAnsi="Times New Roman" w:cs="Times New Roman"/>
                                      <w:sz w:val="18"/>
                                      <w:szCs w:val="18"/>
                                      <w:lang w:val="en-NZ" w:eastAsia="en-US"/>
                                    </w:rPr>
                                    <w:t xml:space="preserve">= </w:t>
                                  </w:r>
                                  <w:r>
                                    <w:rPr>
                                      <w:rFonts w:ascii="Times New Roman" w:hAnsi="Times New Roman" w:cs="Times New Roman"/>
                                      <w:color w:val="FF0000"/>
                                      <w:sz w:val="18"/>
                                      <w:szCs w:val="18"/>
                                      <w:lang w:val="en-NZ" w:eastAsia="en-US"/>
                                    </w:rPr>
                                    <w:t xml:space="preserve">0% </w:t>
                                  </w:r>
                                  <w:r w:rsidRPr="008A5F18">
                                    <w:rPr>
                                      <w:rFonts w:ascii="Times New Roman" w:hAnsi="Times New Roman" w:cs="Times New Roman"/>
                                      <w:color w:val="FF0000"/>
                                      <w:sz w:val="18"/>
                                      <w:szCs w:val="18"/>
                                      <w:lang w:val="en-NZ" w:eastAsia="en-US"/>
                                    </w:rPr>
                                    <w:t>=</w:t>
                                  </w:r>
                                </w:p>
                                <w:p w:rsidR="00643520" w:rsidRPr="008A5F18" w:rsidRDefault="00643520" w:rsidP="008A5F18">
                                  <w:pPr>
                                    <w:ind w:left="-80"/>
                                    <w:jc w:val="right"/>
                                    <w:rPr>
                                      <w:rFonts w:ascii="Times New Roman" w:hAnsi="Times New Roman" w:cs="Times New Roman"/>
                                      <w:color w:val="FF0000"/>
                                      <w:sz w:val="18"/>
                                      <w:szCs w:val="18"/>
                                      <w:lang w:val="en-NZ" w:eastAsia="en-US"/>
                                    </w:rPr>
                                  </w:pPr>
                                  <w:proofErr w:type="spellStart"/>
                                  <w:r w:rsidRPr="008A5F18">
                                    <w:rPr>
                                      <w:rFonts w:ascii="Times New Roman" w:hAnsi="Times New Roman" w:cs="Times New Roman"/>
                                      <w:color w:val="FF0000"/>
                                      <w:sz w:val="18"/>
                                      <w:szCs w:val="18"/>
                                      <w:lang w:val="en-NZ" w:eastAsia="en-US"/>
                                    </w:rPr>
                                    <w:t>NRFAI</w:t>
                                  </w:r>
                                  <w:proofErr w:type="spellEnd"/>
                                  <w:r w:rsidRPr="008A5F18">
                                    <w:rPr>
                                      <w:rFonts w:ascii="Times New Roman" w:hAnsi="Times New Roman" w:cs="Times New Roman"/>
                                      <w:color w:val="FF0000"/>
                                      <w:sz w:val="18"/>
                                      <w:szCs w:val="18"/>
                                      <w:lang w:val="en-NZ" w:eastAsia="en-US"/>
                                    </w:rPr>
                                    <w:t xml:space="preserve"> triggered</w:t>
                                  </w: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Default="00643520" w:rsidP="00625ADD">
                                  <w:pPr>
                                    <w:ind w:left="-16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(91.28 + </w:t>
                                  </w:r>
                                </w:p>
                                <w:p w:rsidR="00643520" w:rsidRDefault="00643520" w:rsidP="00625ADD">
                                  <w:pPr>
                                    <w:ind w:left="-16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95.45 + </w:t>
                                  </w:r>
                                </w:p>
                                <w:p w:rsidR="00643520" w:rsidRDefault="00643520" w:rsidP="00625ADD">
                                  <w:pPr>
                                    <w:ind w:left="-16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99.80 + 104.36) x </w:t>
                                  </w:r>
                                </w:p>
                                <w:p w:rsidR="00643520" w:rsidRDefault="00643520" w:rsidP="00625ADD">
                                  <w:pPr>
                                    <w:ind w:left="-16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10% </w:t>
                                  </w:r>
                                </w:p>
                                <w:p w:rsidR="00643520" w:rsidRPr="004C3DB4" w:rsidRDefault="00643520" w:rsidP="00625ADD">
                                  <w:pPr>
                                    <w:ind w:left="-16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39.09</w:t>
                                  </w: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2020</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Maturity</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2,500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109.12</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5660DF">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Not required</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2020</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Maturity </w:t>
                                  </w: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Not required</w:t>
                                  </w: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10.91</w:t>
                                  </w:r>
                                </w:p>
                              </w:tc>
                            </w:tr>
                            <w:tr w:rsidR="00643520" w:rsidRPr="004C3DB4" w:rsidTr="005A4B85">
                              <w:trPr>
                                <w:jc w:val="center"/>
                              </w:trPr>
                              <w:tc>
                                <w:tcPr>
                                  <w:tcW w:w="419" w:type="dxa"/>
                                  <w:tcBorders>
                                    <w:left w:val="nil"/>
                                    <w:bottom w:val="nil"/>
                                  </w:tcBorders>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 </w:t>
                                  </w:r>
                                </w:p>
                              </w:tc>
                              <w:tc>
                                <w:tcPr>
                                  <w:tcW w:w="2903" w:type="dxa"/>
                                  <w:gridSpan w:val="2"/>
                                  <w:tcBorders>
                                    <w:top w:val="double" w:sz="4" w:space="0" w:color="auto"/>
                                  </w:tcBorders>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Total</w:t>
                                  </w:r>
                                </w:p>
                              </w:tc>
                              <w:tc>
                                <w:tcPr>
                                  <w:tcW w:w="1039" w:type="dxa"/>
                                  <w:tcBorders>
                                    <w:top w:val="double" w:sz="4" w:space="0" w:color="auto"/>
                                  </w:tcBorders>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500</w:t>
                                  </w:r>
                                </w:p>
                              </w:tc>
                              <w:tc>
                                <w:tcPr>
                                  <w:tcW w:w="1276" w:type="dxa"/>
                                  <w:tcBorders>
                                    <w:top w:val="double" w:sz="4" w:space="0" w:color="auto"/>
                                  </w:tcBorders>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500</w:t>
                                  </w:r>
                                </w:p>
                              </w:tc>
                              <w:tc>
                                <w:tcPr>
                                  <w:tcW w:w="1134" w:type="dxa"/>
                                  <w:tcBorders>
                                    <w:top w:val="double" w:sz="4" w:space="0" w:color="auto"/>
                                  </w:tcBorders>
                                </w:tcPr>
                                <w:p w:rsidR="00643520" w:rsidRPr="004C3DB4" w:rsidRDefault="00643520" w:rsidP="00625ADD">
                                  <w:pPr>
                                    <w:ind w:left="-80"/>
                                    <w:jc w:val="right"/>
                                    <w:rPr>
                                      <w:rFonts w:ascii="Times New Roman" w:hAnsi="Times New Roman" w:cs="Times New Roman"/>
                                      <w:sz w:val="18"/>
                                      <w:szCs w:val="18"/>
                                      <w:lang w:val="en-NZ" w:eastAsia="en-US"/>
                                    </w:rPr>
                                  </w:pPr>
                                </w:p>
                              </w:tc>
                              <w:tc>
                                <w:tcPr>
                                  <w:tcW w:w="1984" w:type="dxa"/>
                                  <w:gridSpan w:val="2"/>
                                  <w:tcBorders>
                                    <w:top w:val="double" w:sz="4" w:space="0" w:color="auto"/>
                                  </w:tcBorders>
                                </w:tcPr>
                                <w:p w:rsidR="00643520" w:rsidRPr="004C3DB4" w:rsidRDefault="00643520" w:rsidP="00625ADD">
                                  <w:pPr>
                                    <w:ind w:left="-160"/>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50.00</w:t>
                                  </w:r>
                                </w:p>
                              </w:tc>
                            </w:tr>
                          </w:tbl>
                          <w:p w:rsidR="00643520" w:rsidRDefault="00643520" w:rsidP="003A6D01">
                            <w:pPr>
                              <w:rPr>
                                <w:rFonts w:eastAsiaTheme="minorHAnsi"/>
                                <w:sz w:val="16"/>
                                <w:szCs w:val="16"/>
                                <w:lang w:eastAsia="en-US"/>
                              </w:rPr>
                            </w:pPr>
                          </w:p>
                          <w:p w:rsidR="00643520" w:rsidRPr="00784297" w:rsidRDefault="00643520" w:rsidP="003A6D01">
                            <w:pPr>
                              <w:rPr>
                                <w:rFonts w:eastAsiaTheme="minorHAnsi"/>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left:0;text-align:left;margin-left:1.1pt;margin-top:26.3pt;width:475.75pt;height:4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" filled="f" strokeweight=".5pt">
                <v:textbox>
                  <w:txbxContent>
                    <w:p w:rsidR="00643520" w:rsidRPr="00260412" w:rsidRDefault="00643520" w:rsidP="003A6D01">
                      <w:pPr>
                        <w:spacing w:before="200"/>
                        <w:jc w:val="left"/>
                        <w:rPr>
                          <w:b/>
                          <w:sz w:val="20"/>
                          <w:lang w:val="en-NZ"/>
                        </w:rPr>
                      </w:pPr>
                      <w:r w:rsidRPr="00260412">
                        <w:rPr>
                          <w:b/>
                          <w:sz w:val="20"/>
                          <w:lang w:val="en-NZ"/>
                        </w:rPr>
                        <w:t>Example 4</w:t>
                      </w:r>
                      <w:r>
                        <w:rPr>
                          <w:b/>
                          <w:sz w:val="20"/>
                          <w:lang w:val="en-NZ"/>
                        </w:rPr>
                        <w:t xml:space="preserve">: </w:t>
                      </w:r>
                      <w:r w:rsidRPr="00260412">
                        <w:rPr>
                          <w:b/>
                          <w:sz w:val="20"/>
                          <w:lang w:val="en-NZ"/>
                        </w:rPr>
                        <w:t>Arrangements entered into before application date</w:t>
                      </w:r>
                    </w:p>
                    <w:p w:rsidR="00643520" w:rsidRPr="00E639D9" w:rsidRDefault="00643520" w:rsidP="003A6D01">
                      <w:pPr>
                        <w:rPr>
                          <w:sz w:val="20"/>
                          <w:lang w:val="en-NZ"/>
                        </w:rPr>
                      </w:pPr>
                    </w:p>
                    <w:p w:rsidR="00643520" w:rsidRPr="00260412" w:rsidRDefault="00643520" w:rsidP="003A6D01">
                      <w:pPr>
                        <w:rPr>
                          <w:sz w:val="20"/>
                          <w:lang w:val="en-NZ"/>
                        </w:rPr>
                      </w:pPr>
                      <w:r w:rsidRPr="00260412">
                        <w:rPr>
                          <w:sz w:val="20"/>
                          <w:lang w:val="en-NZ"/>
                        </w:rPr>
                        <w:t>D</w:t>
                      </w:r>
                      <w:r>
                        <w:rPr>
                          <w:sz w:val="20"/>
                          <w:lang w:val="en-NZ"/>
                        </w:rPr>
                        <w:t xml:space="preserve"> Co</w:t>
                      </w:r>
                      <w:r w:rsidRPr="00260412">
                        <w:rPr>
                          <w:sz w:val="20"/>
                          <w:lang w:val="en-NZ"/>
                        </w:rPr>
                        <w:t xml:space="preserve"> has three separate loans from its non-resident parent.  All three loans were for $2,000 and were drawn down on 1 April 2015 with no periodic interest payments and a single repayment amount of $2,500 on 31 March 2020.  Due to </w:t>
                      </w:r>
                      <w:r>
                        <w:rPr>
                          <w:sz w:val="20"/>
                          <w:lang w:val="en-NZ"/>
                        </w:rPr>
                        <w:t>its</w:t>
                      </w:r>
                      <w:r w:rsidRPr="00260412">
                        <w:rPr>
                          <w:sz w:val="20"/>
                          <w:lang w:val="en-NZ"/>
                        </w:rPr>
                        <w:t xml:space="preserve"> 31 March balance date</w:t>
                      </w:r>
                      <w:r>
                        <w:rPr>
                          <w:sz w:val="20"/>
                          <w:lang w:val="en-NZ"/>
                        </w:rPr>
                        <w:t>,</w:t>
                      </w:r>
                      <w:r w:rsidRPr="00260412">
                        <w:rPr>
                          <w:sz w:val="20"/>
                          <w:lang w:val="en-NZ"/>
                        </w:rPr>
                        <w:t xml:space="preserve"> the </w:t>
                      </w:r>
                      <w:proofErr w:type="spellStart"/>
                      <w:r w:rsidRPr="00260412">
                        <w:rPr>
                          <w:sz w:val="20"/>
                          <w:lang w:val="en-NZ"/>
                        </w:rPr>
                        <w:t>NRFAI</w:t>
                      </w:r>
                      <w:proofErr w:type="spellEnd"/>
                      <w:r w:rsidRPr="00260412">
                        <w:rPr>
                          <w:sz w:val="20"/>
                          <w:lang w:val="en-NZ"/>
                        </w:rPr>
                        <w:t xml:space="preserve"> rules apply to D</w:t>
                      </w:r>
                      <w:r>
                        <w:rPr>
                          <w:sz w:val="20"/>
                          <w:lang w:val="en-NZ"/>
                        </w:rPr>
                        <w:t xml:space="preserve"> Co</w:t>
                      </w:r>
                      <w:r w:rsidRPr="00260412">
                        <w:rPr>
                          <w:sz w:val="20"/>
                          <w:lang w:val="en-NZ"/>
                        </w:rPr>
                        <w:t xml:space="preserve"> from 1 April 2017.  On 1 April 2017 Loan 1 continues as originally intended, Loan 2 is repaid at the amount accrued on that date and replaced by a new loan that has annual interest payments and is repaid on 31 March 2020 and Loan 3 is restructured to have annual interest payments on 31 March each year for interest accrued after 1 April 2017 with the balance repaid upon maturity.</w:t>
                      </w:r>
                    </w:p>
                    <w:p w:rsidR="00643520" w:rsidRPr="00E639D9" w:rsidRDefault="00643520" w:rsidP="003A6D01">
                      <w:pPr>
                        <w:jc w:val="left"/>
                        <w:rPr>
                          <w:sz w:val="20"/>
                          <w:lang w:val="en-NZ"/>
                        </w:rPr>
                      </w:pPr>
                    </w:p>
                    <w:p w:rsidR="00643520" w:rsidRDefault="00643520" w:rsidP="003A6D01">
                      <w:pPr>
                        <w:jc w:val="center"/>
                        <w:rPr>
                          <w:b/>
                          <w:i/>
                          <w:sz w:val="20"/>
                          <w:lang w:val="en-NZ"/>
                        </w:rPr>
                      </w:pPr>
                      <w:r w:rsidRPr="00784297">
                        <w:rPr>
                          <w:b/>
                          <w:i/>
                          <w:sz w:val="20"/>
                          <w:lang w:val="en-NZ"/>
                        </w:rPr>
                        <w:t>Loan 1:</w:t>
                      </w:r>
                    </w:p>
                    <w:p w:rsidR="00643520" w:rsidRDefault="00643520" w:rsidP="003A6D01">
                      <w:pPr>
                        <w:jc w:val="center"/>
                        <w:rPr>
                          <w:b/>
                          <w:i/>
                          <w:sz w:val="20"/>
                          <w:lang w:val="en-NZ"/>
                        </w:rPr>
                      </w:pPr>
                    </w:p>
                    <w:tbl>
                      <w:tblPr>
                        <w:tblStyle w:val="TableGrid"/>
                        <w:tblW w:w="8755" w:type="dxa"/>
                        <w:jc w:val="center"/>
                        <w:tblLayout w:type="fixed"/>
                        <w:tblCellMar>
                          <w:top w:w="57" w:type="dxa"/>
                          <w:left w:w="57" w:type="dxa"/>
                          <w:bottom w:w="57" w:type="dxa"/>
                          <w:right w:w="57" w:type="dxa"/>
                        </w:tblCellMar>
                        <w:tblLook w:val="04A0" w:firstRow="1" w:lastRow="0" w:firstColumn="1" w:lastColumn="0" w:noHBand="0" w:noVBand="1"/>
                      </w:tblPr>
                      <w:tblGrid>
                        <w:gridCol w:w="419"/>
                        <w:gridCol w:w="1344"/>
                        <w:gridCol w:w="1559"/>
                        <w:gridCol w:w="1039"/>
                        <w:gridCol w:w="1276"/>
                        <w:gridCol w:w="1134"/>
                        <w:gridCol w:w="946"/>
                        <w:gridCol w:w="1038"/>
                      </w:tblGrid>
                      <w:tr w:rsidR="00643520" w:rsidRPr="004C3DB4" w:rsidTr="008641E0">
                        <w:trPr>
                          <w:tblHeader/>
                          <w:jc w:val="center"/>
                        </w:trPr>
                        <w:tc>
                          <w:tcPr>
                            <w:tcW w:w="41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w:t>
                            </w:r>
                          </w:p>
                        </w:tc>
                        <w:tc>
                          <w:tcPr>
                            <w:tcW w:w="1344"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Date</w:t>
                            </w:r>
                          </w:p>
                        </w:tc>
                        <w:tc>
                          <w:tcPr>
                            <w:tcW w:w="155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Event</w:t>
                            </w:r>
                          </w:p>
                        </w:tc>
                        <w:tc>
                          <w:tcPr>
                            <w:tcW w:w="103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Payments</w:t>
                            </w:r>
                          </w:p>
                        </w:tc>
                        <w:tc>
                          <w:tcPr>
                            <w:tcW w:w="1276"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Deductions</w:t>
                            </w:r>
                          </w:p>
                        </w:tc>
                        <w:tc>
                          <w:tcPr>
                            <w:tcW w:w="1134" w:type="dxa"/>
                            <w:vAlign w:val="center"/>
                          </w:tcPr>
                          <w:p w:rsidR="00643520" w:rsidRPr="004C3DB4" w:rsidRDefault="00643520" w:rsidP="004C3DB4">
                            <w:pPr>
                              <w:ind w:left="-80"/>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Deduction &gt; payment</w:t>
                            </w:r>
                          </w:p>
                        </w:tc>
                        <w:tc>
                          <w:tcPr>
                            <w:tcW w:w="946"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Cash NRWT</w:t>
                            </w:r>
                          </w:p>
                        </w:tc>
                        <w:tc>
                          <w:tcPr>
                            <w:tcW w:w="1038" w:type="dxa"/>
                            <w:vAlign w:val="center"/>
                          </w:tcPr>
                          <w:p w:rsidR="00643520" w:rsidRPr="004C3DB4" w:rsidRDefault="00643520" w:rsidP="004C3DB4">
                            <w:pPr>
                              <w:ind w:left="-44"/>
                              <w:jc w:val="center"/>
                              <w:rPr>
                                <w:rFonts w:ascii="Times New Roman" w:eastAsia="Times New Roman" w:hAnsi="Times New Roman" w:cs="Times New Roman"/>
                                <w:b/>
                                <w:sz w:val="18"/>
                                <w:szCs w:val="18"/>
                                <w:lang w:val="en-NZ" w:eastAsia="en-US"/>
                              </w:rPr>
                            </w:pPr>
                            <w:proofErr w:type="spellStart"/>
                            <w:r w:rsidRPr="004C3DB4">
                              <w:rPr>
                                <w:rFonts w:ascii="Times New Roman" w:hAnsi="Times New Roman" w:cs="Times New Roman"/>
                                <w:b/>
                                <w:sz w:val="18"/>
                                <w:szCs w:val="18"/>
                                <w:lang w:val="en-NZ" w:eastAsia="en-US"/>
                              </w:rPr>
                              <w:t>NRFAI</w:t>
                            </w:r>
                            <w:proofErr w:type="spellEnd"/>
                            <w:r w:rsidRPr="004C3DB4">
                              <w:rPr>
                                <w:rFonts w:ascii="Times New Roman" w:hAnsi="Times New Roman" w:cs="Times New Roman"/>
                                <w:b/>
                                <w:sz w:val="18"/>
                                <w:szCs w:val="18"/>
                                <w:lang w:val="en-NZ" w:eastAsia="en-US"/>
                              </w:rPr>
                              <w:t xml:space="preserve"> NRWT</w:t>
                            </w: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2015</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Arrangement commences</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-2,000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2016</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91.28</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2017</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95.45</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2017</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rules apply</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5</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2018</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2018</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N/A – First year</w:t>
                            </w: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7</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2019</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104.36</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8</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2019</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Default="00643520" w:rsidP="008A5F18">
                            <w:pPr>
                              <w:ind w:left="-80"/>
                              <w:jc w:val="right"/>
                              <w:rPr>
                                <w:rFonts w:ascii="Times New Roman" w:hAnsi="Times New Roman" w:cs="Times New Roman"/>
                                <w:color w:val="FF0000"/>
                                <w:sz w:val="18"/>
                                <w:szCs w:val="18"/>
                                <w:lang w:val="en-NZ" w:eastAsia="en-US"/>
                              </w:rPr>
                            </w:pPr>
                            <w:r w:rsidRPr="004C3DB4">
                              <w:rPr>
                                <w:rFonts w:ascii="Times New Roman" w:hAnsi="Times New Roman" w:cs="Times New Roman"/>
                                <w:sz w:val="18"/>
                                <w:szCs w:val="18"/>
                                <w:lang w:val="en-NZ" w:eastAsia="en-US"/>
                              </w:rPr>
                              <w:t>0 ÷ 99.80</w:t>
                            </w:r>
                            <w:r>
                              <w:rPr>
                                <w:rFonts w:ascii="Times New Roman" w:hAnsi="Times New Roman" w:cs="Times New Roman"/>
                                <w:sz w:val="18"/>
                                <w:szCs w:val="18"/>
                                <w:lang w:val="en-NZ" w:eastAsia="en-US"/>
                              </w:rPr>
                              <w:t xml:space="preserve"> </w:t>
                            </w:r>
                            <w:r w:rsidRPr="004C3DB4">
                              <w:rPr>
                                <w:rFonts w:ascii="Times New Roman" w:hAnsi="Times New Roman" w:cs="Times New Roman"/>
                                <w:sz w:val="18"/>
                                <w:szCs w:val="18"/>
                                <w:lang w:val="en-NZ" w:eastAsia="en-US"/>
                              </w:rPr>
                              <w:t xml:space="preserve">= </w:t>
                            </w:r>
                            <w:r>
                              <w:rPr>
                                <w:rFonts w:ascii="Times New Roman" w:hAnsi="Times New Roman" w:cs="Times New Roman"/>
                                <w:color w:val="FF0000"/>
                                <w:sz w:val="18"/>
                                <w:szCs w:val="18"/>
                                <w:lang w:val="en-NZ" w:eastAsia="en-US"/>
                              </w:rPr>
                              <w:t xml:space="preserve">0% </w:t>
                            </w:r>
                            <w:r w:rsidRPr="008A5F18">
                              <w:rPr>
                                <w:rFonts w:ascii="Times New Roman" w:hAnsi="Times New Roman" w:cs="Times New Roman"/>
                                <w:color w:val="FF0000"/>
                                <w:sz w:val="18"/>
                                <w:szCs w:val="18"/>
                                <w:lang w:val="en-NZ" w:eastAsia="en-US"/>
                              </w:rPr>
                              <w:t>=</w:t>
                            </w:r>
                          </w:p>
                          <w:p w:rsidR="00643520" w:rsidRPr="008A5F18" w:rsidRDefault="00643520" w:rsidP="008A5F18">
                            <w:pPr>
                              <w:ind w:left="-80"/>
                              <w:jc w:val="right"/>
                              <w:rPr>
                                <w:rFonts w:ascii="Times New Roman" w:hAnsi="Times New Roman" w:cs="Times New Roman"/>
                                <w:color w:val="FF0000"/>
                                <w:sz w:val="18"/>
                                <w:szCs w:val="18"/>
                                <w:lang w:val="en-NZ" w:eastAsia="en-US"/>
                              </w:rPr>
                            </w:pPr>
                            <w:proofErr w:type="spellStart"/>
                            <w:r w:rsidRPr="008A5F18">
                              <w:rPr>
                                <w:rFonts w:ascii="Times New Roman" w:hAnsi="Times New Roman" w:cs="Times New Roman"/>
                                <w:color w:val="FF0000"/>
                                <w:sz w:val="18"/>
                                <w:szCs w:val="18"/>
                                <w:lang w:val="en-NZ" w:eastAsia="en-US"/>
                              </w:rPr>
                              <w:t>NRFAI</w:t>
                            </w:r>
                            <w:proofErr w:type="spellEnd"/>
                            <w:r w:rsidRPr="008A5F18">
                              <w:rPr>
                                <w:rFonts w:ascii="Times New Roman" w:hAnsi="Times New Roman" w:cs="Times New Roman"/>
                                <w:color w:val="FF0000"/>
                                <w:sz w:val="18"/>
                                <w:szCs w:val="18"/>
                                <w:lang w:val="en-NZ" w:eastAsia="en-US"/>
                              </w:rPr>
                              <w:t xml:space="preserve"> triggered</w:t>
                            </w: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Default="00643520" w:rsidP="00625ADD">
                            <w:pPr>
                              <w:ind w:left="-16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(91.28 + </w:t>
                            </w:r>
                          </w:p>
                          <w:p w:rsidR="00643520" w:rsidRDefault="00643520" w:rsidP="00625ADD">
                            <w:pPr>
                              <w:ind w:left="-16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95.45 + </w:t>
                            </w:r>
                          </w:p>
                          <w:p w:rsidR="00643520" w:rsidRDefault="00643520" w:rsidP="00625ADD">
                            <w:pPr>
                              <w:ind w:left="-16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99.80 + 104.36) x </w:t>
                            </w:r>
                          </w:p>
                          <w:p w:rsidR="00643520" w:rsidRDefault="00643520" w:rsidP="00625ADD">
                            <w:pPr>
                              <w:ind w:left="-16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10% </w:t>
                            </w:r>
                          </w:p>
                          <w:p w:rsidR="00643520" w:rsidRPr="004C3DB4" w:rsidRDefault="00643520" w:rsidP="00625ADD">
                            <w:pPr>
                              <w:ind w:left="-16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39.09</w:t>
                            </w: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2020</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Maturity</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2,500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109.12</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5660DF">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Not required</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5A4B85">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2020</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Maturity </w:t>
                            </w: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Not required</w:t>
                            </w: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10.91</w:t>
                            </w:r>
                          </w:p>
                        </w:tc>
                      </w:tr>
                      <w:tr w:rsidR="00643520" w:rsidRPr="004C3DB4" w:rsidTr="005A4B85">
                        <w:trPr>
                          <w:jc w:val="center"/>
                        </w:trPr>
                        <w:tc>
                          <w:tcPr>
                            <w:tcW w:w="419" w:type="dxa"/>
                            <w:tcBorders>
                              <w:left w:val="nil"/>
                              <w:bottom w:val="nil"/>
                            </w:tcBorders>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 </w:t>
                            </w:r>
                          </w:p>
                        </w:tc>
                        <w:tc>
                          <w:tcPr>
                            <w:tcW w:w="2903" w:type="dxa"/>
                            <w:gridSpan w:val="2"/>
                            <w:tcBorders>
                              <w:top w:val="double" w:sz="4" w:space="0" w:color="auto"/>
                            </w:tcBorders>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Total</w:t>
                            </w:r>
                          </w:p>
                        </w:tc>
                        <w:tc>
                          <w:tcPr>
                            <w:tcW w:w="1039" w:type="dxa"/>
                            <w:tcBorders>
                              <w:top w:val="double" w:sz="4" w:space="0" w:color="auto"/>
                            </w:tcBorders>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500</w:t>
                            </w:r>
                          </w:p>
                        </w:tc>
                        <w:tc>
                          <w:tcPr>
                            <w:tcW w:w="1276" w:type="dxa"/>
                            <w:tcBorders>
                              <w:top w:val="double" w:sz="4" w:space="0" w:color="auto"/>
                            </w:tcBorders>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500</w:t>
                            </w:r>
                          </w:p>
                        </w:tc>
                        <w:tc>
                          <w:tcPr>
                            <w:tcW w:w="1134" w:type="dxa"/>
                            <w:tcBorders>
                              <w:top w:val="double" w:sz="4" w:space="0" w:color="auto"/>
                            </w:tcBorders>
                          </w:tcPr>
                          <w:p w:rsidR="00643520" w:rsidRPr="004C3DB4" w:rsidRDefault="00643520" w:rsidP="00625ADD">
                            <w:pPr>
                              <w:ind w:left="-80"/>
                              <w:jc w:val="right"/>
                              <w:rPr>
                                <w:rFonts w:ascii="Times New Roman" w:hAnsi="Times New Roman" w:cs="Times New Roman"/>
                                <w:sz w:val="18"/>
                                <w:szCs w:val="18"/>
                                <w:lang w:val="en-NZ" w:eastAsia="en-US"/>
                              </w:rPr>
                            </w:pPr>
                          </w:p>
                        </w:tc>
                        <w:tc>
                          <w:tcPr>
                            <w:tcW w:w="1984" w:type="dxa"/>
                            <w:gridSpan w:val="2"/>
                            <w:tcBorders>
                              <w:top w:val="double" w:sz="4" w:space="0" w:color="auto"/>
                            </w:tcBorders>
                          </w:tcPr>
                          <w:p w:rsidR="00643520" w:rsidRPr="004C3DB4" w:rsidRDefault="00643520" w:rsidP="00625ADD">
                            <w:pPr>
                              <w:ind w:left="-160"/>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50.00</w:t>
                            </w:r>
                          </w:p>
                        </w:tc>
                      </w:tr>
                    </w:tbl>
                    <w:p w:rsidR="00643520" w:rsidRDefault="00643520" w:rsidP="003A6D01">
                      <w:pPr>
                        <w:rPr>
                          <w:rFonts w:eastAsiaTheme="minorHAnsi"/>
                          <w:sz w:val="16"/>
                          <w:szCs w:val="16"/>
                          <w:lang w:eastAsia="en-US"/>
                        </w:rPr>
                      </w:pPr>
                    </w:p>
                    <w:p w:rsidR="00643520" w:rsidRPr="00784297" w:rsidRDefault="00643520" w:rsidP="003A6D01">
                      <w:pPr>
                        <w:rPr>
                          <w:rFonts w:eastAsiaTheme="minorHAnsi"/>
                          <w:sz w:val="16"/>
                          <w:szCs w:val="16"/>
                          <w:lang w:eastAsia="en-US"/>
                        </w:rPr>
                      </w:pPr>
                    </w:p>
                  </w:txbxContent>
                </v:textbox>
                <w10:wrap type="square"/>
              </v:shape>
            </w:pict>
          </mc:Fallback>
        </mc:AlternateContent>
      </w:r>
    </w:p>
    <w:p w:rsidR="00625ADD" w:rsidRDefault="00625ADD" w:rsidP="00625ADD">
      <w:pPr>
        <w:jc w:val="left"/>
        <w:rPr>
          <w:rFonts w:eastAsiaTheme="minorHAnsi"/>
          <w:sz w:val="16"/>
          <w:szCs w:val="16"/>
          <w:lang w:val="en-NZ" w:eastAsia="en-US"/>
        </w:rPr>
      </w:pPr>
      <w:r>
        <w:rPr>
          <w:rFonts w:eastAsiaTheme="minorHAnsi"/>
          <w:sz w:val="16"/>
          <w:szCs w:val="16"/>
          <w:lang w:val="en-NZ" w:eastAsia="en-US"/>
        </w:rPr>
        <w:br w:type="page"/>
      </w:r>
    </w:p>
    <w:p w:rsidR="004C3DB4" w:rsidRDefault="004C3DB4" w:rsidP="004C3DB4">
      <w:pPr>
        <w:jc w:val="left"/>
        <w:rPr>
          <w:rFonts w:eastAsiaTheme="minorHAnsi"/>
          <w:sz w:val="16"/>
          <w:szCs w:val="16"/>
          <w:lang w:val="en-NZ" w:eastAsia="en-US"/>
        </w:rPr>
      </w:pPr>
      <w:r>
        <w:rPr>
          <w:noProof/>
          <w:lang w:val="en-NZ" w:eastAsia="en-NZ"/>
        </w:rPr>
        <mc:AlternateContent>
          <mc:Choice Requires="wps">
            <w:drawing>
              <wp:anchor distT="0" distB="0" distL="114300" distR="114300" simplePos="0" relativeHeight="251663360" behindDoc="0" locked="0" layoutInCell="1" allowOverlap="1" wp14:anchorId="5B5691F3" wp14:editId="2329EB6D">
                <wp:simplePos x="0" y="0"/>
                <wp:positionH relativeFrom="column">
                  <wp:posOffset>-144780</wp:posOffset>
                </wp:positionH>
                <wp:positionV relativeFrom="paragraph">
                  <wp:posOffset>67310</wp:posOffset>
                </wp:positionV>
                <wp:extent cx="6042025" cy="8604250"/>
                <wp:effectExtent l="0" t="0" r="15875" b="25400"/>
                <wp:wrapSquare wrapText="bothSides"/>
                <wp:docPr id="27" name="Text Box 27"/>
                <wp:cNvGraphicFramePr/>
                <a:graphic xmlns:a="http://schemas.openxmlformats.org/drawingml/2006/main">
                  <a:graphicData uri="http://schemas.microsoft.com/office/word/2010/wordprocessingShape">
                    <wps:wsp>
                      <wps:cNvSpPr txBox="1"/>
                      <wps:spPr>
                        <a:xfrm>
                          <a:off x="0" y="0"/>
                          <a:ext cx="6042025" cy="8604250"/>
                        </a:xfrm>
                        <a:prstGeom prst="rect">
                          <a:avLst/>
                        </a:prstGeom>
                        <a:noFill/>
                        <a:ln w="6350">
                          <a:solidFill>
                            <a:prstClr val="black"/>
                          </a:solidFill>
                        </a:ln>
                        <a:effectLst/>
                      </wps:spPr>
                      <wps:txbx>
                        <w:txbxContent>
                          <w:p w:rsidR="00643520" w:rsidRDefault="00643520" w:rsidP="004C3DB4">
                            <w:pPr>
                              <w:jc w:val="center"/>
                              <w:rPr>
                                <w:b/>
                                <w:i/>
                                <w:sz w:val="20"/>
                                <w:lang w:val="en-NZ"/>
                              </w:rPr>
                            </w:pPr>
                          </w:p>
                          <w:p w:rsidR="00643520" w:rsidRDefault="00643520" w:rsidP="004C3DB4">
                            <w:pPr>
                              <w:jc w:val="center"/>
                              <w:rPr>
                                <w:b/>
                                <w:i/>
                                <w:sz w:val="20"/>
                                <w:lang w:val="en-NZ"/>
                              </w:rPr>
                            </w:pPr>
                            <w:r w:rsidRPr="00B72FE6">
                              <w:rPr>
                                <w:b/>
                                <w:i/>
                                <w:sz w:val="20"/>
                                <w:lang w:val="en-NZ"/>
                              </w:rPr>
                              <w:t>Loan 2 &amp; new loan:</w:t>
                            </w:r>
                          </w:p>
                          <w:p w:rsidR="00643520" w:rsidRPr="004B3D18" w:rsidRDefault="00643520" w:rsidP="00625ADD">
                            <w:pPr>
                              <w:jc w:val="left"/>
                              <w:rPr>
                                <w:b/>
                                <w:sz w:val="20"/>
                                <w:lang w:val="en-NZ"/>
                              </w:rPr>
                            </w:pPr>
                          </w:p>
                          <w:tbl>
                            <w:tblPr>
                              <w:tblStyle w:val="TableGrid"/>
                              <w:tblW w:w="8755" w:type="dxa"/>
                              <w:jc w:val="center"/>
                              <w:tblLayout w:type="fixed"/>
                              <w:tblCellMar>
                                <w:top w:w="57" w:type="dxa"/>
                                <w:left w:w="57" w:type="dxa"/>
                                <w:bottom w:w="57" w:type="dxa"/>
                                <w:right w:w="57" w:type="dxa"/>
                              </w:tblCellMar>
                              <w:tblLook w:val="04A0" w:firstRow="1" w:lastRow="0" w:firstColumn="1" w:lastColumn="0" w:noHBand="0" w:noVBand="1"/>
                            </w:tblPr>
                            <w:tblGrid>
                              <w:gridCol w:w="419"/>
                              <w:gridCol w:w="1344"/>
                              <w:gridCol w:w="1559"/>
                              <w:gridCol w:w="1039"/>
                              <w:gridCol w:w="1276"/>
                              <w:gridCol w:w="1134"/>
                              <w:gridCol w:w="946"/>
                              <w:gridCol w:w="1038"/>
                            </w:tblGrid>
                            <w:tr w:rsidR="00643520" w:rsidRPr="004C3DB4" w:rsidTr="008641E0">
                              <w:trPr>
                                <w:tblHeader/>
                                <w:jc w:val="center"/>
                              </w:trPr>
                              <w:tc>
                                <w:tcPr>
                                  <w:tcW w:w="41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w:t>
                                  </w:r>
                                </w:p>
                              </w:tc>
                              <w:tc>
                                <w:tcPr>
                                  <w:tcW w:w="1344"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Date</w:t>
                                  </w:r>
                                </w:p>
                              </w:tc>
                              <w:tc>
                                <w:tcPr>
                                  <w:tcW w:w="155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Event</w:t>
                                  </w:r>
                                </w:p>
                              </w:tc>
                              <w:tc>
                                <w:tcPr>
                                  <w:tcW w:w="103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Payments</w:t>
                                  </w:r>
                                </w:p>
                              </w:tc>
                              <w:tc>
                                <w:tcPr>
                                  <w:tcW w:w="1276"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Deductions</w:t>
                                  </w:r>
                                </w:p>
                              </w:tc>
                              <w:tc>
                                <w:tcPr>
                                  <w:tcW w:w="1134" w:type="dxa"/>
                                  <w:vAlign w:val="center"/>
                                </w:tcPr>
                                <w:p w:rsidR="00643520" w:rsidRPr="004C3DB4" w:rsidRDefault="00643520" w:rsidP="004C3DB4">
                                  <w:pPr>
                                    <w:ind w:left="-80"/>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Deduction &gt; payment</w:t>
                                  </w:r>
                                </w:p>
                              </w:tc>
                              <w:tc>
                                <w:tcPr>
                                  <w:tcW w:w="946"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Cash NRWT</w:t>
                                  </w:r>
                                </w:p>
                              </w:tc>
                              <w:tc>
                                <w:tcPr>
                                  <w:tcW w:w="1038" w:type="dxa"/>
                                  <w:vAlign w:val="center"/>
                                </w:tcPr>
                                <w:p w:rsidR="00643520" w:rsidRPr="004C3DB4" w:rsidRDefault="00643520" w:rsidP="004C3DB4">
                                  <w:pPr>
                                    <w:ind w:left="-44"/>
                                    <w:jc w:val="center"/>
                                    <w:rPr>
                                      <w:rFonts w:ascii="Times New Roman" w:eastAsia="Times New Roman" w:hAnsi="Times New Roman" w:cs="Times New Roman"/>
                                      <w:b/>
                                      <w:sz w:val="18"/>
                                      <w:szCs w:val="18"/>
                                      <w:lang w:val="en-NZ" w:eastAsia="en-US"/>
                                    </w:rPr>
                                  </w:pPr>
                                  <w:proofErr w:type="spellStart"/>
                                  <w:r w:rsidRPr="004C3DB4">
                                    <w:rPr>
                                      <w:rFonts w:ascii="Times New Roman" w:hAnsi="Times New Roman" w:cs="Times New Roman"/>
                                      <w:b/>
                                      <w:sz w:val="18"/>
                                      <w:szCs w:val="18"/>
                                      <w:lang w:val="en-NZ" w:eastAsia="en-US"/>
                                    </w:rPr>
                                    <w:t>NRFAI</w:t>
                                  </w:r>
                                  <w:proofErr w:type="spellEnd"/>
                                  <w:r w:rsidRPr="004C3DB4">
                                    <w:rPr>
                                      <w:rFonts w:ascii="Times New Roman" w:hAnsi="Times New Roman" w:cs="Times New Roman"/>
                                      <w:b/>
                                      <w:sz w:val="18"/>
                                      <w:szCs w:val="18"/>
                                      <w:lang w:val="en-NZ" w:eastAsia="en-US"/>
                                    </w:rPr>
                                    <w:t xml:space="preserve"> NRWT</w:t>
                                  </w: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2015</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Arrangement commences</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-2,000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2016</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91.28</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2017</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95.45</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4a</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2017</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rules apply – loan 2 repaid</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2,186.72</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18.67</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4b</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2017</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rules apply – new loan drawn</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-2,186.72</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5</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2018</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2018</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N/A – First year</w:t>
                                  </w: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7</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2019</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8</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2019</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(99.80 + 99.80) ÷ </w:t>
                                  </w:r>
                                </w:p>
                                <w:p w:rsidR="00643520"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99.80 </w:t>
                                  </w:r>
                                </w:p>
                                <w:p w:rsidR="00643520" w:rsidRPr="004C3DB4"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200%</w:t>
                                  </w: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2020</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Maturity new loan</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2,286.52</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2020</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Maturity </w:t>
                                  </w: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Borders>
                                    <w:left w:val="nil"/>
                                    <w:bottom w:val="nil"/>
                                  </w:tcBorders>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 </w:t>
                                  </w:r>
                                </w:p>
                              </w:tc>
                              <w:tc>
                                <w:tcPr>
                                  <w:tcW w:w="2903" w:type="dxa"/>
                                  <w:gridSpan w:val="2"/>
                                  <w:tcBorders>
                                    <w:top w:val="double" w:sz="4" w:space="0" w:color="auto"/>
                                  </w:tcBorders>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Total</w:t>
                                  </w:r>
                                </w:p>
                              </w:tc>
                              <w:tc>
                                <w:tcPr>
                                  <w:tcW w:w="1039" w:type="dxa"/>
                                  <w:tcBorders>
                                    <w:top w:val="double" w:sz="4" w:space="0" w:color="auto"/>
                                  </w:tcBorders>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486.13</w:t>
                                  </w:r>
                                </w:p>
                              </w:tc>
                              <w:tc>
                                <w:tcPr>
                                  <w:tcW w:w="1276" w:type="dxa"/>
                                  <w:tcBorders>
                                    <w:top w:val="double" w:sz="4" w:space="0" w:color="auto"/>
                                  </w:tcBorders>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486.13</w:t>
                                  </w:r>
                                </w:p>
                              </w:tc>
                              <w:tc>
                                <w:tcPr>
                                  <w:tcW w:w="1134" w:type="dxa"/>
                                  <w:tcBorders>
                                    <w:top w:val="double" w:sz="4" w:space="0" w:color="auto"/>
                                  </w:tcBorders>
                                </w:tcPr>
                                <w:p w:rsidR="00643520" w:rsidRPr="004C3DB4" w:rsidRDefault="00643520" w:rsidP="00625ADD">
                                  <w:pPr>
                                    <w:ind w:left="-80"/>
                                    <w:jc w:val="right"/>
                                    <w:rPr>
                                      <w:rFonts w:ascii="Times New Roman" w:hAnsi="Times New Roman" w:cs="Times New Roman"/>
                                      <w:sz w:val="18"/>
                                      <w:szCs w:val="18"/>
                                      <w:lang w:val="en-NZ" w:eastAsia="en-US"/>
                                    </w:rPr>
                                  </w:pPr>
                                </w:p>
                              </w:tc>
                              <w:tc>
                                <w:tcPr>
                                  <w:tcW w:w="1984" w:type="dxa"/>
                                  <w:gridSpan w:val="2"/>
                                  <w:tcBorders>
                                    <w:top w:val="double" w:sz="4" w:space="0" w:color="auto"/>
                                  </w:tcBorders>
                                </w:tcPr>
                                <w:p w:rsidR="00643520" w:rsidRPr="004C3DB4" w:rsidRDefault="00643520" w:rsidP="00625ADD">
                                  <w:pPr>
                                    <w:ind w:left="-160"/>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48.61</w:t>
                                  </w:r>
                                </w:p>
                              </w:tc>
                            </w:tr>
                          </w:tbl>
                          <w:p w:rsidR="00643520" w:rsidRPr="0051079B" w:rsidRDefault="00643520" w:rsidP="00625ADD">
                            <w:pPr>
                              <w:spacing w:line="276" w:lineRule="auto"/>
                              <w:jc w:val="left"/>
                              <w:rPr>
                                <w:rFonts w:eastAsiaTheme="minorHAnsi"/>
                                <w:sz w:val="16"/>
                                <w:szCs w:val="16"/>
                                <w:lang w:val="en-NZ" w:eastAsia="en-US"/>
                              </w:rPr>
                            </w:pPr>
                          </w:p>
                          <w:p w:rsidR="00643520" w:rsidRPr="0051079B" w:rsidRDefault="00643520" w:rsidP="00625ADD">
                            <w:pPr>
                              <w:jc w:val="left"/>
                              <w:rPr>
                                <w:sz w:val="16"/>
                                <w:szCs w:val="16"/>
                                <w:lang w:val="en-NZ"/>
                              </w:rPr>
                            </w:pPr>
                          </w:p>
                          <w:p w:rsidR="00643520" w:rsidRDefault="00643520" w:rsidP="004C3DB4">
                            <w:pPr>
                              <w:jc w:val="center"/>
                              <w:rPr>
                                <w:b/>
                                <w:i/>
                                <w:sz w:val="20"/>
                                <w:lang w:val="en-NZ"/>
                              </w:rPr>
                            </w:pPr>
                            <w:r w:rsidRPr="00B72FE6">
                              <w:rPr>
                                <w:b/>
                                <w:i/>
                                <w:sz w:val="20"/>
                                <w:lang w:val="en-NZ"/>
                              </w:rPr>
                              <w:t>Loan 3:</w:t>
                            </w:r>
                          </w:p>
                          <w:p w:rsidR="00643520" w:rsidRDefault="00643520" w:rsidP="00625ADD">
                            <w:pPr>
                              <w:jc w:val="left"/>
                              <w:rPr>
                                <w:b/>
                                <w:i/>
                                <w:sz w:val="20"/>
                                <w:lang w:val="en-NZ"/>
                              </w:rPr>
                            </w:pPr>
                          </w:p>
                          <w:tbl>
                            <w:tblPr>
                              <w:tblStyle w:val="TableGrid"/>
                              <w:tblW w:w="8755" w:type="dxa"/>
                              <w:jc w:val="center"/>
                              <w:tblLayout w:type="fixed"/>
                              <w:tblCellMar>
                                <w:top w:w="57" w:type="dxa"/>
                                <w:left w:w="57" w:type="dxa"/>
                                <w:bottom w:w="57" w:type="dxa"/>
                                <w:right w:w="57" w:type="dxa"/>
                              </w:tblCellMar>
                              <w:tblLook w:val="04A0" w:firstRow="1" w:lastRow="0" w:firstColumn="1" w:lastColumn="0" w:noHBand="0" w:noVBand="1"/>
                            </w:tblPr>
                            <w:tblGrid>
                              <w:gridCol w:w="419"/>
                              <w:gridCol w:w="1344"/>
                              <w:gridCol w:w="1559"/>
                              <w:gridCol w:w="1039"/>
                              <w:gridCol w:w="1276"/>
                              <w:gridCol w:w="1134"/>
                              <w:gridCol w:w="946"/>
                              <w:gridCol w:w="1038"/>
                            </w:tblGrid>
                            <w:tr w:rsidR="00643520" w:rsidRPr="004C3DB4" w:rsidTr="008641E0">
                              <w:trPr>
                                <w:tblHeader/>
                                <w:jc w:val="center"/>
                              </w:trPr>
                              <w:tc>
                                <w:tcPr>
                                  <w:tcW w:w="41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w:t>
                                  </w:r>
                                </w:p>
                              </w:tc>
                              <w:tc>
                                <w:tcPr>
                                  <w:tcW w:w="1344"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Date</w:t>
                                  </w:r>
                                </w:p>
                              </w:tc>
                              <w:tc>
                                <w:tcPr>
                                  <w:tcW w:w="155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Event</w:t>
                                  </w:r>
                                </w:p>
                              </w:tc>
                              <w:tc>
                                <w:tcPr>
                                  <w:tcW w:w="103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Payments</w:t>
                                  </w:r>
                                </w:p>
                              </w:tc>
                              <w:tc>
                                <w:tcPr>
                                  <w:tcW w:w="1276"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Deductions</w:t>
                                  </w:r>
                                </w:p>
                              </w:tc>
                              <w:tc>
                                <w:tcPr>
                                  <w:tcW w:w="1134" w:type="dxa"/>
                                  <w:vAlign w:val="center"/>
                                </w:tcPr>
                                <w:p w:rsidR="00643520" w:rsidRPr="004C3DB4" w:rsidRDefault="00643520" w:rsidP="004C3DB4">
                                  <w:pPr>
                                    <w:ind w:left="-80"/>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Deduction &gt; payment</w:t>
                                  </w:r>
                                </w:p>
                              </w:tc>
                              <w:tc>
                                <w:tcPr>
                                  <w:tcW w:w="946"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Cash NRWT</w:t>
                                  </w:r>
                                </w:p>
                              </w:tc>
                              <w:tc>
                                <w:tcPr>
                                  <w:tcW w:w="1038" w:type="dxa"/>
                                  <w:vAlign w:val="center"/>
                                </w:tcPr>
                                <w:p w:rsidR="00643520" w:rsidRPr="004C3DB4" w:rsidRDefault="00643520" w:rsidP="004C3DB4">
                                  <w:pPr>
                                    <w:ind w:left="-44"/>
                                    <w:jc w:val="center"/>
                                    <w:rPr>
                                      <w:rFonts w:ascii="Times New Roman" w:eastAsia="Times New Roman" w:hAnsi="Times New Roman" w:cs="Times New Roman"/>
                                      <w:b/>
                                      <w:sz w:val="18"/>
                                      <w:szCs w:val="18"/>
                                      <w:lang w:val="en-NZ" w:eastAsia="en-US"/>
                                    </w:rPr>
                                  </w:pPr>
                                  <w:proofErr w:type="spellStart"/>
                                  <w:r w:rsidRPr="004C3DB4">
                                    <w:rPr>
                                      <w:rFonts w:ascii="Times New Roman" w:hAnsi="Times New Roman" w:cs="Times New Roman"/>
                                      <w:b/>
                                      <w:sz w:val="18"/>
                                      <w:szCs w:val="18"/>
                                      <w:lang w:val="en-NZ" w:eastAsia="en-US"/>
                                    </w:rPr>
                                    <w:t>NRFAI</w:t>
                                  </w:r>
                                  <w:proofErr w:type="spellEnd"/>
                                  <w:r w:rsidRPr="004C3DB4">
                                    <w:rPr>
                                      <w:rFonts w:ascii="Times New Roman" w:hAnsi="Times New Roman" w:cs="Times New Roman"/>
                                      <w:b/>
                                      <w:sz w:val="18"/>
                                      <w:szCs w:val="18"/>
                                      <w:lang w:val="en-NZ" w:eastAsia="en-US"/>
                                    </w:rPr>
                                    <w:t xml:space="preserve"> NRWT</w:t>
                                  </w: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2015</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Arrangement commences</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-2,000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2016</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91.28</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2017</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95.45</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2017</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rules apply</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5</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2018</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2018</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N/A – First year</w:t>
                                  </w: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7</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2019</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8</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2019</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(99.80 + 99.80) ÷ </w:t>
                                  </w:r>
                                </w:p>
                                <w:p w:rsidR="00643520"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99.80 </w:t>
                                  </w:r>
                                </w:p>
                                <w:p w:rsidR="00643520" w:rsidRPr="004C3DB4"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200%</w:t>
                                  </w: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w:t>
                                  </w:r>
                                </w:p>
                              </w:tc>
                              <w:tc>
                                <w:tcPr>
                                  <w:tcW w:w="1344" w:type="dxa"/>
                                  <w:tcBorders>
                                    <w:bottom w:val="single" w:sz="4" w:space="0" w:color="auto"/>
                                  </w:tcBorders>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2020</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Maturity</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2,286.52</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28.65</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w:t>
                                  </w:r>
                                </w:p>
                              </w:tc>
                              <w:tc>
                                <w:tcPr>
                                  <w:tcW w:w="1344" w:type="dxa"/>
                                  <w:tcBorders>
                                    <w:top w:val="single" w:sz="4" w:space="0" w:color="auto"/>
                                  </w:tcBorders>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2020</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Maturity </w:t>
                                  </w: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Borders>
                                    <w:left w:val="nil"/>
                                    <w:bottom w:val="nil"/>
                                  </w:tcBorders>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 </w:t>
                                  </w:r>
                                </w:p>
                              </w:tc>
                              <w:tc>
                                <w:tcPr>
                                  <w:tcW w:w="2903" w:type="dxa"/>
                                  <w:gridSpan w:val="2"/>
                                  <w:tcBorders>
                                    <w:top w:val="double" w:sz="4" w:space="0" w:color="auto"/>
                                  </w:tcBorders>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Total</w:t>
                                  </w:r>
                                </w:p>
                              </w:tc>
                              <w:tc>
                                <w:tcPr>
                                  <w:tcW w:w="1039" w:type="dxa"/>
                                  <w:tcBorders>
                                    <w:top w:val="double" w:sz="4" w:space="0" w:color="auto"/>
                                  </w:tcBorders>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486.13</w:t>
                                  </w:r>
                                </w:p>
                              </w:tc>
                              <w:tc>
                                <w:tcPr>
                                  <w:tcW w:w="1276" w:type="dxa"/>
                                  <w:tcBorders>
                                    <w:top w:val="double" w:sz="4" w:space="0" w:color="auto"/>
                                  </w:tcBorders>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486.13</w:t>
                                  </w:r>
                                </w:p>
                              </w:tc>
                              <w:tc>
                                <w:tcPr>
                                  <w:tcW w:w="1134" w:type="dxa"/>
                                  <w:tcBorders>
                                    <w:top w:val="double" w:sz="4" w:space="0" w:color="auto"/>
                                  </w:tcBorders>
                                </w:tcPr>
                                <w:p w:rsidR="00643520" w:rsidRPr="004C3DB4" w:rsidRDefault="00643520" w:rsidP="00625ADD">
                                  <w:pPr>
                                    <w:ind w:left="-80"/>
                                    <w:jc w:val="right"/>
                                    <w:rPr>
                                      <w:rFonts w:ascii="Times New Roman" w:hAnsi="Times New Roman" w:cs="Times New Roman"/>
                                      <w:sz w:val="18"/>
                                      <w:szCs w:val="18"/>
                                      <w:lang w:val="en-NZ" w:eastAsia="en-US"/>
                                    </w:rPr>
                                  </w:pPr>
                                </w:p>
                              </w:tc>
                              <w:tc>
                                <w:tcPr>
                                  <w:tcW w:w="1984" w:type="dxa"/>
                                  <w:gridSpan w:val="2"/>
                                  <w:tcBorders>
                                    <w:top w:val="double" w:sz="4" w:space="0" w:color="auto"/>
                                  </w:tcBorders>
                                </w:tcPr>
                                <w:p w:rsidR="00643520" w:rsidRPr="004C3DB4" w:rsidRDefault="00643520" w:rsidP="00625ADD">
                                  <w:pPr>
                                    <w:ind w:left="-160"/>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48.61</w:t>
                                  </w:r>
                                </w:p>
                              </w:tc>
                            </w:tr>
                          </w:tbl>
                          <w:p w:rsidR="00643520" w:rsidRPr="00B72FE6" w:rsidRDefault="00643520" w:rsidP="00625ADD">
                            <w:pPr>
                              <w:rPr>
                                <w:rFonts w:eastAsiaTheme="minorHAnsi"/>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11.4pt;margin-top:5.3pt;width:475.75pt;height:6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" filled="f" strokeweight=".5pt">
                <v:textbox>
                  <w:txbxContent>
                    <w:p w:rsidR="00643520" w:rsidRDefault="00643520" w:rsidP="004C3DB4">
                      <w:pPr>
                        <w:jc w:val="center"/>
                        <w:rPr>
                          <w:b/>
                          <w:i/>
                          <w:sz w:val="20"/>
                          <w:lang w:val="en-NZ"/>
                        </w:rPr>
                      </w:pPr>
                    </w:p>
                    <w:p w:rsidR="00643520" w:rsidRDefault="00643520" w:rsidP="004C3DB4">
                      <w:pPr>
                        <w:jc w:val="center"/>
                        <w:rPr>
                          <w:b/>
                          <w:i/>
                          <w:sz w:val="20"/>
                          <w:lang w:val="en-NZ"/>
                        </w:rPr>
                      </w:pPr>
                      <w:r w:rsidRPr="00B72FE6">
                        <w:rPr>
                          <w:b/>
                          <w:i/>
                          <w:sz w:val="20"/>
                          <w:lang w:val="en-NZ"/>
                        </w:rPr>
                        <w:t>Loan 2 &amp; new loan:</w:t>
                      </w:r>
                    </w:p>
                    <w:p w:rsidR="00643520" w:rsidRPr="004B3D18" w:rsidRDefault="00643520" w:rsidP="00625ADD">
                      <w:pPr>
                        <w:jc w:val="left"/>
                        <w:rPr>
                          <w:b/>
                          <w:sz w:val="20"/>
                          <w:lang w:val="en-NZ"/>
                        </w:rPr>
                      </w:pPr>
                    </w:p>
                    <w:tbl>
                      <w:tblPr>
                        <w:tblStyle w:val="TableGrid"/>
                        <w:tblW w:w="8755" w:type="dxa"/>
                        <w:jc w:val="center"/>
                        <w:tblLayout w:type="fixed"/>
                        <w:tblCellMar>
                          <w:top w:w="57" w:type="dxa"/>
                          <w:left w:w="57" w:type="dxa"/>
                          <w:bottom w:w="57" w:type="dxa"/>
                          <w:right w:w="57" w:type="dxa"/>
                        </w:tblCellMar>
                        <w:tblLook w:val="04A0" w:firstRow="1" w:lastRow="0" w:firstColumn="1" w:lastColumn="0" w:noHBand="0" w:noVBand="1"/>
                      </w:tblPr>
                      <w:tblGrid>
                        <w:gridCol w:w="419"/>
                        <w:gridCol w:w="1344"/>
                        <w:gridCol w:w="1559"/>
                        <w:gridCol w:w="1039"/>
                        <w:gridCol w:w="1276"/>
                        <w:gridCol w:w="1134"/>
                        <w:gridCol w:w="946"/>
                        <w:gridCol w:w="1038"/>
                      </w:tblGrid>
                      <w:tr w:rsidR="00643520" w:rsidRPr="004C3DB4" w:rsidTr="008641E0">
                        <w:trPr>
                          <w:tblHeader/>
                          <w:jc w:val="center"/>
                        </w:trPr>
                        <w:tc>
                          <w:tcPr>
                            <w:tcW w:w="41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w:t>
                            </w:r>
                          </w:p>
                        </w:tc>
                        <w:tc>
                          <w:tcPr>
                            <w:tcW w:w="1344"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Date</w:t>
                            </w:r>
                          </w:p>
                        </w:tc>
                        <w:tc>
                          <w:tcPr>
                            <w:tcW w:w="155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Event</w:t>
                            </w:r>
                          </w:p>
                        </w:tc>
                        <w:tc>
                          <w:tcPr>
                            <w:tcW w:w="103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Payments</w:t>
                            </w:r>
                          </w:p>
                        </w:tc>
                        <w:tc>
                          <w:tcPr>
                            <w:tcW w:w="1276"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Deductions</w:t>
                            </w:r>
                          </w:p>
                        </w:tc>
                        <w:tc>
                          <w:tcPr>
                            <w:tcW w:w="1134" w:type="dxa"/>
                            <w:vAlign w:val="center"/>
                          </w:tcPr>
                          <w:p w:rsidR="00643520" w:rsidRPr="004C3DB4" w:rsidRDefault="00643520" w:rsidP="004C3DB4">
                            <w:pPr>
                              <w:ind w:left="-80"/>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Deduction &gt; payment</w:t>
                            </w:r>
                          </w:p>
                        </w:tc>
                        <w:tc>
                          <w:tcPr>
                            <w:tcW w:w="946"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Cash NRWT</w:t>
                            </w:r>
                          </w:p>
                        </w:tc>
                        <w:tc>
                          <w:tcPr>
                            <w:tcW w:w="1038" w:type="dxa"/>
                            <w:vAlign w:val="center"/>
                          </w:tcPr>
                          <w:p w:rsidR="00643520" w:rsidRPr="004C3DB4" w:rsidRDefault="00643520" w:rsidP="004C3DB4">
                            <w:pPr>
                              <w:ind w:left="-44"/>
                              <w:jc w:val="center"/>
                              <w:rPr>
                                <w:rFonts w:ascii="Times New Roman" w:eastAsia="Times New Roman" w:hAnsi="Times New Roman" w:cs="Times New Roman"/>
                                <w:b/>
                                <w:sz w:val="18"/>
                                <w:szCs w:val="18"/>
                                <w:lang w:val="en-NZ" w:eastAsia="en-US"/>
                              </w:rPr>
                            </w:pPr>
                            <w:proofErr w:type="spellStart"/>
                            <w:r w:rsidRPr="004C3DB4">
                              <w:rPr>
                                <w:rFonts w:ascii="Times New Roman" w:hAnsi="Times New Roman" w:cs="Times New Roman"/>
                                <w:b/>
                                <w:sz w:val="18"/>
                                <w:szCs w:val="18"/>
                                <w:lang w:val="en-NZ" w:eastAsia="en-US"/>
                              </w:rPr>
                              <w:t>NRFAI</w:t>
                            </w:r>
                            <w:proofErr w:type="spellEnd"/>
                            <w:r w:rsidRPr="004C3DB4">
                              <w:rPr>
                                <w:rFonts w:ascii="Times New Roman" w:hAnsi="Times New Roman" w:cs="Times New Roman"/>
                                <w:b/>
                                <w:sz w:val="18"/>
                                <w:szCs w:val="18"/>
                                <w:lang w:val="en-NZ" w:eastAsia="en-US"/>
                              </w:rPr>
                              <w:t xml:space="preserve"> NRWT</w:t>
                            </w: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2015</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Arrangement commences</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-2,000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2016</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91.28</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2017</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95.45</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4a</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2017</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rules apply – loan 2 repaid</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2,186.72</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18.67</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4b</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2017</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rules apply – new loan drawn</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-2,186.72</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5</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2018</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2018</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N/A – First year</w:t>
                            </w: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7</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2019</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8</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2019</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(99.80 + 99.80) ÷ </w:t>
                            </w:r>
                          </w:p>
                          <w:p w:rsidR="00643520"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99.80 </w:t>
                            </w:r>
                          </w:p>
                          <w:p w:rsidR="00643520" w:rsidRPr="004C3DB4"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200%</w:t>
                            </w: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2020</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Maturity new loan</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2,286.52</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2020</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Maturity </w:t>
                            </w: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Borders>
                              <w:left w:val="nil"/>
                              <w:bottom w:val="nil"/>
                            </w:tcBorders>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 </w:t>
                            </w:r>
                          </w:p>
                        </w:tc>
                        <w:tc>
                          <w:tcPr>
                            <w:tcW w:w="2903" w:type="dxa"/>
                            <w:gridSpan w:val="2"/>
                            <w:tcBorders>
                              <w:top w:val="double" w:sz="4" w:space="0" w:color="auto"/>
                            </w:tcBorders>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Total</w:t>
                            </w:r>
                          </w:p>
                        </w:tc>
                        <w:tc>
                          <w:tcPr>
                            <w:tcW w:w="1039" w:type="dxa"/>
                            <w:tcBorders>
                              <w:top w:val="double" w:sz="4" w:space="0" w:color="auto"/>
                            </w:tcBorders>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486.13</w:t>
                            </w:r>
                          </w:p>
                        </w:tc>
                        <w:tc>
                          <w:tcPr>
                            <w:tcW w:w="1276" w:type="dxa"/>
                            <w:tcBorders>
                              <w:top w:val="double" w:sz="4" w:space="0" w:color="auto"/>
                            </w:tcBorders>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486.13</w:t>
                            </w:r>
                          </w:p>
                        </w:tc>
                        <w:tc>
                          <w:tcPr>
                            <w:tcW w:w="1134" w:type="dxa"/>
                            <w:tcBorders>
                              <w:top w:val="double" w:sz="4" w:space="0" w:color="auto"/>
                            </w:tcBorders>
                          </w:tcPr>
                          <w:p w:rsidR="00643520" w:rsidRPr="004C3DB4" w:rsidRDefault="00643520" w:rsidP="00625ADD">
                            <w:pPr>
                              <w:ind w:left="-80"/>
                              <w:jc w:val="right"/>
                              <w:rPr>
                                <w:rFonts w:ascii="Times New Roman" w:hAnsi="Times New Roman" w:cs="Times New Roman"/>
                                <w:sz w:val="18"/>
                                <w:szCs w:val="18"/>
                                <w:lang w:val="en-NZ" w:eastAsia="en-US"/>
                              </w:rPr>
                            </w:pPr>
                          </w:p>
                        </w:tc>
                        <w:tc>
                          <w:tcPr>
                            <w:tcW w:w="1984" w:type="dxa"/>
                            <w:gridSpan w:val="2"/>
                            <w:tcBorders>
                              <w:top w:val="double" w:sz="4" w:space="0" w:color="auto"/>
                            </w:tcBorders>
                          </w:tcPr>
                          <w:p w:rsidR="00643520" w:rsidRPr="004C3DB4" w:rsidRDefault="00643520" w:rsidP="00625ADD">
                            <w:pPr>
                              <w:ind w:left="-160"/>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48.61</w:t>
                            </w:r>
                          </w:p>
                        </w:tc>
                      </w:tr>
                    </w:tbl>
                    <w:p w:rsidR="00643520" w:rsidRPr="0051079B" w:rsidRDefault="00643520" w:rsidP="00625ADD">
                      <w:pPr>
                        <w:spacing w:line="276" w:lineRule="auto"/>
                        <w:jc w:val="left"/>
                        <w:rPr>
                          <w:rFonts w:eastAsiaTheme="minorHAnsi"/>
                          <w:sz w:val="16"/>
                          <w:szCs w:val="16"/>
                          <w:lang w:val="en-NZ" w:eastAsia="en-US"/>
                        </w:rPr>
                      </w:pPr>
                    </w:p>
                    <w:p w:rsidR="00643520" w:rsidRPr="0051079B" w:rsidRDefault="00643520" w:rsidP="00625ADD">
                      <w:pPr>
                        <w:jc w:val="left"/>
                        <w:rPr>
                          <w:sz w:val="16"/>
                          <w:szCs w:val="16"/>
                          <w:lang w:val="en-NZ"/>
                        </w:rPr>
                      </w:pPr>
                    </w:p>
                    <w:p w:rsidR="00643520" w:rsidRDefault="00643520" w:rsidP="004C3DB4">
                      <w:pPr>
                        <w:jc w:val="center"/>
                        <w:rPr>
                          <w:b/>
                          <w:i/>
                          <w:sz w:val="20"/>
                          <w:lang w:val="en-NZ"/>
                        </w:rPr>
                      </w:pPr>
                      <w:r w:rsidRPr="00B72FE6">
                        <w:rPr>
                          <w:b/>
                          <w:i/>
                          <w:sz w:val="20"/>
                          <w:lang w:val="en-NZ"/>
                        </w:rPr>
                        <w:t>Loan 3:</w:t>
                      </w:r>
                    </w:p>
                    <w:p w:rsidR="00643520" w:rsidRDefault="00643520" w:rsidP="00625ADD">
                      <w:pPr>
                        <w:jc w:val="left"/>
                        <w:rPr>
                          <w:b/>
                          <w:i/>
                          <w:sz w:val="20"/>
                          <w:lang w:val="en-NZ"/>
                        </w:rPr>
                      </w:pPr>
                    </w:p>
                    <w:tbl>
                      <w:tblPr>
                        <w:tblStyle w:val="TableGrid"/>
                        <w:tblW w:w="8755" w:type="dxa"/>
                        <w:jc w:val="center"/>
                        <w:tblLayout w:type="fixed"/>
                        <w:tblCellMar>
                          <w:top w:w="57" w:type="dxa"/>
                          <w:left w:w="57" w:type="dxa"/>
                          <w:bottom w:w="57" w:type="dxa"/>
                          <w:right w:w="57" w:type="dxa"/>
                        </w:tblCellMar>
                        <w:tblLook w:val="04A0" w:firstRow="1" w:lastRow="0" w:firstColumn="1" w:lastColumn="0" w:noHBand="0" w:noVBand="1"/>
                      </w:tblPr>
                      <w:tblGrid>
                        <w:gridCol w:w="419"/>
                        <w:gridCol w:w="1344"/>
                        <w:gridCol w:w="1559"/>
                        <w:gridCol w:w="1039"/>
                        <w:gridCol w:w="1276"/>
                        <w:gridCol w:w="1134"/>
                        <w:gridCol w:w="946"/>
                        <w:gridCol w:w="1038"/>
                      </w:tblGrid>
                      <w:tr w:rsidR="00643520" w:rsidRPr="004C3DB4" w:rsidTr="008641E0">
                        <w:trPr>
                          <w:tblHeader/>
                          <w:jc w:val="center"/>
                        </w:trPr>
                        <w:tc>
                          <w:tcPr>
                            <w:tcW w:w="41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w:t>
                            </w:r>
                          </w:p>
                        </w:tc>
                        <w:tc>
                          <w:tcPr>
                            <w:tcW w:w="1344"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Date</w:t>
                            </w:r>
                          </w:p>
                        </w:tc>
                        <w:tc>
                          <w:tcPr>
                            <w:tcW w:w="155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Event</w:t>
                            </w:r>
                          </w:p>
                        </w:tc>
                        <w:tc>
                          <w:tcPr>
                            <w:tcW w:w="1039"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Payments</w:t>
                            </w:r>
                          </w:p>
                        </w:tc>
                        <w:tc>
                          <w:tcPr>
                            <w:tcW w:w="1276"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Deductions</w:t>
                            </w:r>
                          </w:p>
                        </w:tc>
                        <w:tc>
                          <w:tcPr>
                            <w:tcW w:w="1134" w:type="dxa"/>
                            <w:vAlign w:val="center"/>
                          </w:tcPr>
                          <w:p w:rsidR="00643520" w:rsidRPr="004C3DB4" w:rsidRDefault="00643520" w:rsidP="004C3DB4">
                            <w:pPr>
                              <w:ind w:left="-80"/>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Deduction &gt; payment</w:t>
                            </w:r>
                          </w:p>
                        </w:tc>
                        <w:tc>
                          <w:tcPr>
                            <w:tcW w:w="946" w:type="dxa"/>
                            <w:vAlign w:val="center"/>
                          </w:tcPr>
                          <w:p w:rsidR="00643520" w:rsidRPr="004C3DB4" w:rsidRDefault="00643520" w:rsidP="004C3DB4">
                            <w:pPr>
                              <w:jc w:val="center"/>
                              <w:rPr>
                                <w:rFonts w:ascii="Times New Roman" w:eastAsia="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Cash NRWT</w:t>
                            </w:r>
                          </w:p>
                        </w:tc>
                        <w:tc>
                          <w:tcPr>
                            <w:tcW w:w="1038" w:type="dxa"/>
                            <w:vAlign w:val="center"/>
                          </w:tcPr>
                          <w:p w:rsidR="00643520" w:rsidRPr="004C3DB4" w:rsidRDefault="00643520" w:rsidP="004C3DB4">
                            <w:pPr>
                              <w:ind w:left="-44"/>
                              <w:jc w:val="center"/>
                              <w:rPr>
                                <w:rFonts w:ascii="Times New Roman" w:eastAsia="Times New Roman" w:hAnsi="Times New Roman" w:cs="Times New Roman"/>
                                <w:b/>
                                <w:sz w:val="18"/>
                                <w:szCs w:val="18"/>
                                <w:lang w:val="en-NZ" w:eastAsia="en-US"/>
                              </w:rPr>
                            </w:pPr>
                            <w:proofErr w:type="spellStart"/>
                            <w:r w:rsidRPr="004C3DB4">
                              <w:rPr>
                                <w:rFonts w:ascii="Times New Roman" w:hAnsi="Times New Roman" w:cs="Times New Roman"/>
                                <w:b/>
                                <w:sz w:val="18"/>
                                <w:szCs w:val="18"/>
                                <w:lang w:val="en-NZ" w:eastAsia="en-US"/>
                              </w:rPr>
                              <w:t>NRFAI</w:t>
                            </w:r>
                            <w:proofErr w:type="spellEnd"/>
                            <w:r w:rsidRPr="004C3DB4">
                              <w:rPr>
                                <w:rFonts w:ascii="Times New Roman" w:hAnsi="Times New Roman" w:cs="Times New Roman"/>
                                <w:b/>
                                <w:sz w:val="18"/>
                                <w:szCs w:val="18"/>
                                <w:lang w:val="en-NZ" w:eastAsia="en-US"/>
                              </w:rPr>
                              <w:t xml:space="preserve"> NRWT</w:t>
                            </w: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2015</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Arrangement commences</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-2,000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2016</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91.28</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2017</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95.45</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2017</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rules apply</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5</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2018</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2018</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N/A – First year</w:t>
                            </w: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7</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2019</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8</w:t>
                            </w:r>
                          </w:p>
                        </w:tc>
                        <w:tc>
                          <w:tcPr>
                            <w:tcW w:w="1344" w:type="dxa"/>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2019</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(99.80 + 99.80) ÷ </w:t>
                            </w:r>
                          </w:p>
                          <w:p w:rsidR="00643520"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99.80 </w:t>
                            </w:r>
                          </w:p>
                          <w:p w:rsidR="00643520" w:rsidRPr="004C3DB4" w:rsidRDefault="00643520" w:rsidP="00625ADD">
                            <w:pPr>
                              <w:ind w:left="-80"/>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200%</w:t>
                            </w: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w:t>
                            </w:r>
                          </w:p>
                        </w:tc>
                        <w:tc>
                          <w:tcPr>
                            <w:tcW w:w="1344" w:type="dxa"/>
                            <w:tcBorders>
                              <w:bottom w:val="single" w:sz="4" w:space="0" w:color="auto"/>
                            </w:tcBorders>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2020</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Maturity</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2,286.52</w:t>
                            </w:r>
                          </w:p>
                        </w:tc>
                        <w:tc>
                          <w:tcPr>
                            <w:tcW w:w="127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99.80</w:t>
                            </w: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28.65</w:t>
                            </w: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w:t>
                            </w:r>
                          </w:p>
                        </w:tc>
                        <w:tc>
                          <w:tcPr>
                            <w:tcW w:w="1344" w:type="dxa"/>
                            <w:tcBorders>
                              <w:top w:val="single" w:sz="4" w:space="0" w:color="auto"/>
                            </w:tcBorders>
                          </w:tcPr>
                          <w:p w:rsidR="00643520" w:rsidRPr="004C3DB4" w:rsidRDefault="00643520" w:rsidP="004C3DB4">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2020</w:t>
                            </w:r>
                          </w:p>
                        </w:tc>
                        <w:tc>
                          <w:tcPr>
                            <w:tcW w:w="1559" w:type="dxa"/>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Maturity </w:t>
                            </w:r>
                            <w:proofErr w:type="spellStart"/>
                            <w:r w:rsidRPr="004C3DB4">
                              <w:rPr>
                                <w:rFonts w:ascii="Times New Roman" w:hAnsi="Times New Roman" w:cs="Times New Roman"/>
                                <w:sz w:val="18"/>
                                <w:szCs w:val="18"/>
                                <w:lang w:val="en-NZ" w:eastAsia="en-US"/>
                              </w:rPr>
                              <w:t>NRFAI</w:t>
                            </w:r>
                            <w:proofErr w:type="spellEnd"/>
                            <w:r w:rsidRPr="004C3DB4">
                              <w:rPr>
                                <w:rFonts w:ascii="Times New Roman" w:hAnsi="Times New Roman" w:cs="Times New Roman"/>
                                <w:sz w:val="18"/>
                                <w:szCs w:val="18"/>
                                <w:lang w:val="en-NZ" w:eastAsia="en-US"/>
                              </w:rPr>
                              <w:t xml:space="preserve"> calculation date</w:t>
                            </w:r>
                          </w:p>
                        </w:tc>
                        <w:tc>
                          <w:tcPr>
                            <w:tcW w:w="1039" w:type="dxa"/>
                          </w:tcPr>
                          <w:p w:rsidR="00643520" w:rsidRPr="004C3DB4" w:rsidRDefault="00643520" w:rsidP="00625ADD">
                            <w:pPr>
                              <w:jc w:val="right"/>
                              <w:rPr>
                                <w:rFonts w:ascii="Times New Roman" w:hAnsi="Times New Roman" w:cs="Times New Roman"/>
                                <w:sz w:val="18"/>
                                <w:szCs w:val="18"/>
                                <w:lang w:val="en-NZ" w:eastAsia="en-US"/>
                              </w:rPr>
                            </w:pPr>
                          </w:p>
                        </w:tc>
                        <w:tc>
                          <w:tcPr>
                            <w:tcW w:w="1276" w:type="dxa"/>
                          </w:tcPr>
                          <w:p w:rsidR="00643520" w:rsidRPr="004C3DB4" w:rsidRDefault="00643520" w:rsidP="00625ADD">
                            <w:pPr>
                              <w:jc w:val="right"/>
                              <w:rPr>
                                <w:rFonts w:ascii="Times New Roman" w:hAnsi="Times New Roman" w:cs="Times New Roman"/>
                                <w:sz w:val="18"/>
                                <w:szCs w:val="18"/>
                                <w:lang w:val="en-NZ" w:eastAsia="en-US"/>
                              </w:rPr>
                            </w:pPr>
                          </w:p>
                        </w:tc>
                        <w:tc>
                          <w:tcPr>
                            <w:tcW w:w="1134" w:type="dxa"/>
                          </w:tcPr>
                          <w:p w:rsidR="00643520" w:rsidRPr="004C3DB4" w:rsidRDefault="00643520" w:rsidP="00625ADD">
                            <w:pPr>
                              <w:ind w:left="-80"/>
                              <w:jc w:val="right"/>
                              <w:rPr>
                                <w:rFonts w:ascii="Times New Roman" w:hAnsi="Times New Roman" w:cs="Times New Roman"/>
                                <w:sz w:val="18"/>
                                <w:szCs w:val="18"/>
                                <w:lang w:val="en-NZ" w:eastAsia="en-US"/>
                              </w:rPr>
                            </w:pPr>
                          </w:p>
                        </w:tc>
                        <w:tc>
                          <w:tcPr>
                            <w:tcW w:w="946" w:type="dxa"/>
                          </w:tcPr>
                          <w:p w:rsidR="00643520" w:rsidRPr="004C3DB4" w:rsidRDefault="00643520" w:rsidP="00625ADD">
                            <w:pPr>
                              <w:jc w:val="right"/>
                              <w:rPr>
                                <w:rFonts w:ascii="Times New Roman" w:hAnsi="Times New Roman" w:cs="Times New Roman"/>
                                <w:sz w:val="18"/>
                                <w:szCs w:val="18"/>
                                <w:lang w:val="en-NZ" w:eastAsia="en-US"/>
                              </w:rPr>
                            </w:pPr>
                          </w:p>
                        </w:tc>
                        <w:tc>
                          <w:tcPr>
                            <w:tcW w:w="1038" w:type="dxa"/>
                          </w:tcPr>
                          <w:p w:rsidR="00643520" w:rsidRPr="004C3DB4" w:rsidRDefault="00643520" w:rsidP="00625ADD">
                            <w:pPr>
                              <w:ind w:left="-160"/>
                              <w:jc w:val="right"/>
                              <w:rPr>
                                <w:rFonts w:ascii="Times New Roman" w:hAnsi="Times New Roman" w:cs="Times New Roman"/>
                                <w:sz w:val="18"/>
                                <w:szCs w:val="18"/>
                                <w:lang w:val="en-NZ" w:eastAsia="en-US"/>
                              </w:rPr>
                            </w:pPr>
                          </w:p>
                        </w:tc>
                      </w:tr>
                      <w:tr w:rsidR="00643520" w:rsidRPr="004C3DB4" w:rsidTr="004C3DB4">
                        <w:trPr>
                          <w:jc w:val="center"/>
                        </w:trPr>
                        <w:tc>
                          <w:tcPr>
                            <w:tcW w:w="419" w:type="dxa"/>
                            <w:tcBorders>
                              <w:left w:val="nil"/>
                              <w:bottom w:val="nil"/>
                            </w:tcBorders>
                          </w:tcPr>
                          <w:p w:rsidR="00643520" w:rsidRPr="004C3DB4" w:rsidRDefault="00643520" w:rsidP="00625ADD">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 </w:t>
                            </w:r>
                          </w:p>
                        </w:tc>
                        <w:tc>
                          <w:tcPr>
                            <w:tcW w:w="2903" w:type="dxa"/>
                            <w:gridSpan w:val="2"/>
                            <w:tcBorders>
                              <w:top w:val="double" w:sz="4" w:space="0" w:color="auto"/>
                            </w:tcBorders>
                          </w:tcPr>
                          <w:p w:rsidR="00643520" w:rsidRPr="004C3DB4" w:rsidRDefault="00643520" w:rsidP="00625ADD">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Total</w:t>
                            </w:r>
                          </w:p>
                        </w:tc>
                        <w:tc>
                          <w:tcPr>
                            <w:tcW w:w="1039" w:type="dxa"/>
                            <w:tcBorders>
                              <w:top w:val="double" w:sz="4" w:space="0" w:color="auto"/>
                            </w:tcBorders>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486.13</w:t>
                            </w:r>
                          </w:p>
                        </w:tc>
                        <w:tc>
                          <w:tcPr>
                            <w:tcW w:w="1276" w:type="dxa"/>
                            <w:tcBorders>
                              <w:top w:val="double" w:sz="4" w:space="0" w:color="auto"/>
                            </w:tcBorders>
                          </w:tcPr>
                          <w:p w:rsidR="00643520" w:rsidRPr="004C3DB4" w:rsidRDefault="00643520" w:rsidP="00625ADD">
                            <w:pPr>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486.13</w:t>
                            </w:r>
                          </w:p>
                        </w:tc>
                        <w:tc>
                          <w:tcPr>
                            <w:tcW w:w="1134" w:type="dxa"/>
                            <w:tcBorders>
                              <w:top w:val="double" w:sz="4" w:space="0" w:color="auto"/>
                            </w:tcBorders>
                          </w:tcPr>
                          <w:p w:rsidR="00643520" w:rsidRPr="004C3DB4" w:rsidRDefault="00643520" w:rsidP="00625ADD">
                            <w:pPr>
                              <w:ind w:left="-80"/>
                              <w:jc w:val="right"/>
                              <w:rPr>
                                <w:rFonts w:ascii="Times New Roman" w:hAnsi="Times New Roman" w:cs="Times New Roman"/>
                                <w:sz w:val="18"/>
                                <w:szCs w:val="18"/>
                                <w:lang w:val="en-NZ" w:eastAsia="en-US"/>
                              </w:rPr>
                            </w:pPr>
                          </w:p>
                        </w:tc>
                        <w:tc>
                          <w:tcPr>
                            <w:tcW w:w="1984" w:type="dxa"/>
                            <w:gridSpan w:val="2"/>
                            <w:tcBorders>
                              <w:top w:val="double" w:sz="4" w:space="0" w:color="auto"/>
                            </w:tcBorders>
                          </w:tcPr>
                          <w:p w:rsidR="00643520" w:rsidRPr="004C3DB4" w:rsidRDefault="00643520" w:rsidP="00625ADD">
                            <w:pPr>
                              <w:ind w:left="-160"/>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48.61</w:t>
                            </w:r>
                          </w:p>
                        </w:tc>
                      </w:tr>
                    </w:tbl>
                    <w:p w:rsidR="00643520" w:rsidRPr="00B72FE6" w:rsidRDefault="00643520" w:rsidP="00625ADD">
                      <w:pPr>
                        <w:rPr>
                          <w:rFonts w:eastAsiaTheme="minorHAnsi"/>
                          <w:sz w:val="16"/>
                          <w:szCs w:val="16"/>
                          <w:lang w:eastAsia="en-US"/>
                        </w:rPr>
                      </w:pPr>
                    </w:p>
                  </w:txbxContent>
                </v:textbox>
                <w10:wrap type="square"/>
              </v:shape>
            </w:pict>
          </mc:Fallback>
        </mc:AlternateContent>
      </w:r>
    </w:p>
    <w:p w:rsidR="004C3DB4" w:rsidRDefault="004C3DB4" w:rsidP="00625ADD">
      <w:pPr>
        <w:jc w:val="left"/>
        <w:rPr>
          <w:rFonts w:eastAsiaTheme="minorHAnsi"/>
          <w:sz w:val="16"/>
          <w:szCs w:val="16"/>
          <w:lang w:val="en-NZ" w:eastAsia="en-US"/>
        </w:rPr>
      </w:pPr>
    </w:p>
    <w:p w:rsidR="00625ADD" w:rsidRPr="0051079B" w:rsidRDefault="00625ADD" w:rsidP="00625ADD">
      <w:pPr>
        <w:jc w:val="left"/>
        <w:rPr>
          <w:sz w:val="20"/>
          <w:lang w:val="en-NZ"/>
        </w:rPr>
      </w:pPr>
    </w:p>
    <w:p w:rsidR="00C02599" w:rsidRDefault="00C02599">
      <w:pPr>
        <w:jc w:val="left"/>
        <w:rPr>
          <w:lang w:val="en-NZ"/>
        </w:rPr>
      </w:pPr>
      <w:r>
        <w:rPr>
          <w:lang w:val="en-NZ"/>
        </w:rPr>
        <w:br w:type="page"/>
      </w:r>
    </w:p>
    <w:p w:rsidR="004B3D18" w:rsidRDefault="004B3D18" w:rsidP="00C02599">
      <w:pPr>
        <w:jc w:val="left"/>
        <w:rPr>
          <w:rFonts w:eastAsiaTheme="minorHAnsi"/>
          <w:b/>
          <w:sz w:val="20"/>
          <w:lang w:val="en-NZ" w:eastAsia="en-US"/>
        </w:rPr>
      </w:pPr>
      <w:r w:rsidRPr="00BD1DDB">
        <w:rPr>
          <w:b/>
          <w:i/>
          <w:noProof/>
          <w:lang w:val="en-NZ" w:eastAsia="en-NZ"/>
        </w:rPr>
        <mc:AlternateContent>
          <mc:Choice Requires="wps">
            <w:drawing>
              <wp:anchor distT="0" distB="0" distL="114300" distR="114300" simplePos="0" relativeHeight="251667456" behindDoc="0" locked="0" layoutInCell="1" allowOverlap="1" wp14:anchorId="50C75E48" wp14:editId="0B78BF95">
                <wp:simplePos x="0" y="0"/>
                <wp:positionH relativeFrom="column">
                  <wp:posOffset>-373380</wp:posOffset>
                </wp:positionH>
                <wp:positionV relativeFrom="paragraph">
                  <wp:posOffset>22860</wp:posOffset>
                </wp:positionV>
                <wp:extent cx="6470650" cy="85153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470650" cy="851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9.4pt;margin-top:1.8pt;width:509.5pt;height:6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" filled="f" strokecolor="windowText" strokeweight=".5pt"/>
            </w:pict>
          </mc:Fallback>
        </mc:AlternateContent>
      </w:r>
    </w:p>
    <w:p w:rsidR="00C02599" w:rsidRDefault="004B3D18" w:rsidP="00015CDF">
      <w:pPr>
        <w:jc w:val="left"/>
        <w:rPr>
          <w:rFonts w:eastAsiaTheme="minorHAnsi"/>
          <w:b/>
          <w:sz w:val="20"/>
          <w:lang w:val="en-NZ" w:eastAsia="en-US"/>
        </w:rPr>
      </w:pPr>
      <w:r>
        <w:rPr>
          <w:rFonts w:eastAsiaTheme="minorHAnsi"/>
          <w:b/>
          <w:sz w:val="20"/>
          <w:lang w:val="en-NZ" w:eastAsia="en-US"/>
        </w:rPr>
        <w:t>E</w:t>
      </w:r>
      <w:r w:rsidR="00C02599" w:rsidRPr="00C02599">
        <w:rPr>
          <w:rFonts w:eastAsiaTheme="minorHAnsi"/>
          <w:b/>
          <w:sz w:val="20"/>
          <w:lang w:val="en-NZ" w:eastAsia="en-US"/>
        </w:rPr>
        <w:t xml:space="preserve">xample </w:t>
      </w:r>
      <w:r w:rsidR="008F2327">
        <w:rPr>
          <w:rFonts w:eastAsiaTheme="minorHAnsi"/>
          <w:b/>
          <w:sz w:val="20"/>
          <w:lang w:val="en-NZ" w:eastAsia="en-US"/>
        </w:rPr>
        <w:t>5</w:t>
      </w:r>
      <w:r w:rsidR="003A6D01">
        <w:rPr>
          <w:rFonts w:eastAsiaTheme="minorHAnsi"/>
          <w:b/>
          <w:sz w:val="20"/>
          <w:lang w:val="en-NZ" w:eastAsia="en-US"/>
        </w:rPr>
        <w:t>:</w:t>
      </w:r>
      <w:r w:rsidR="00C02599" w:rsidRPr="00C02599">
        <w:rPr>
          <w:rFonts w:eastAsiaTheme="minorHAnsi"/>
          <w:b/>
          <w:sz w:val="20"/>
          <w:lang w:val="en-NZ" w:eastAsia="en-US"/>
        </w:rPr>
        <w:t xml:space="preserve"> Foreign currency borrowing:</w:t>
      </w:r>
    </w:p>
    <w:p w:rsidR="00015CDF" w:rsidRDefault="00015CDF" w:rsidP="00015CDF">
      <w:pPr>
        <w:jc w:val="left"/>
        <w:rPr>
          <w:rFonts w:eastAsiaTheme="minorHAnsi"/>
          <w:sz w:val="20"/>
          <w:lang w:val="en-NZ" w:eastAsia="en-US"/>
        </w:rPr>
      </w:pPr>
    </w:p>
    <w:p w:rsidR="00C02599" w:rsidRPr="00C02599" w:rsidRDefault="00C02599" w:rsidP="00015CDF">
      <w:pPr>
        <w:jc w:val="left"/>
        <w:rPr>
          <w:rFonts w:eastAsiaTheme="minorHAnsi"/>
          <w:sz w:val="20"/>
          <w:lang w:val="en-NZ" w:eastAsia="en-US"/>
        </w:rPr>
      </w:pPr>
      <w:r w:rsidRPr="00C02599">
        <w:rPr>
          <w:rFonts w:eastAsiaTheme="minorHAnsi"/>
          <w:sz w:val="20"/>
          <w:lang w:val="en-NZ" w:eastAsia="en-US"/>
        </w:rPr>
        <w:t>E</w:t>
      </w:r>
      <w:r w:rsidR="00D84E8A">
        <w:rPr>
          <w:rFonts w:eastAsiaTheme="minorHAnsi"/>
          <w:sz w:val="20"/>
          <w:lang w:val="en-NZ" w:eastAsia="en-US"/>
        </w:rPr>
        <w:t xml:space="preserve"> Co</w:t>
      </w:r>
      <w:r w:rsidRPr="00C02599">
        <w:rPr>
          <w:rFonts w:eastAsiaTheme="minorHAnsi"/>
          <w:sz w:val="20"/>
          <w:lang w:val="en-NZ" w:eastAsia="en-US"/>
        </w:rPr>
        <w:t xml:space="preserve"> has a 31 March balance date and borrows US$1,000 from an associated non-resident on 2 April 2017.  E</w:t>
      </w:r>
      <w:r w:rsidR="00015CDF">
        <w:rPr>
          <w:rFonts w:eastAsiaTheme="minorHAnsi"/>
          <w:sz w:val="20"/>
          <w:lang w:val="en-NZ" w:eastAsia="en-US"/>
        </w:rPr>
        <w:t xml:space="preserve"> </w:t>
      </w:r>
      <w:r w:rsidR="00D84E8A">
        <w:rPr>
          <w:rFonts w:eastAsiaTheme="minorHAnsi"/>
          <w:sz w:val="20"/>
          <w:lang w:val="en-NZ" w:eastAsia="en-US"/>
        </w:rPr>
        <w:t>Co</w:t>
      </w:r>
      <w:r w:rsidRPr="00C02599">
        <w:rPr>
          <w:rFonts w:eastAsiaTheme="minorHAnsi"/>
          <w:sz w:val="20"/>
          <w:lang w:val="en-NZ" w:eastAsia="en-US"/>
        </w:rPr>
        <w:t xml:space="preserve"> will pay US$60 of interest on 1 April each year and US$1,300 upon maturity on 1 April 2022.  Deductions are calculated on a YTM basis with a 364/365</w:t>
      </w:r>
      <w:r w:rsidRPr="00C02599">
        <w:rPr>
          <w:rFonts w:eastAsiaTheme="minorHAnsi"/>
          <w:sz w:val="20"/>
          <w:vertAlign w:val="superscript"/>
          <w:lang w:val="en-NZ" w:eastAsia="en-US"/>
        </w:rPr>
        <w:t>ths</w:t>
      </w:r>
      <w:r w:rsidRPr="00C02599">
        <w:rPr>
          <w:rFonts w:eastAsiaTheme="minorHAnsi"/>
          <w:sz w:val="20"/>
          <w:lang w:val="en-NZ" w:eastAsia="en-US"/>
        </w:rPr>
        <w:t xml:space="preserve"> apportionment between years.</w:t>
      </w:r>
    </w:p>
    <w:p w:rsidR="00015CDF" w:rsidRDefault="00015CDF" w:rsidP="00C02599">
      <w:pPr>
        <w:jc w:val="left"/>
        <w:rPr>
          <w:rFonts w:eastAsiaTheme="minorHAnsi"/>
          <w:sz w:val="20"/>
          <w:lang w:val="en-NZ" w:eastAsia="en-US"/>
        </w:rPr>
      </w:pPr>
    </w:p>
    <w:p w:rsidR="00C02599" w:rsidRPr="00C02599" w:rsidRDefault="00C02599" w:rsidP="00C02599">
      <w:pPr>
        <w:jc w:val="left"/>
        <w:rPr>
          <w:rFonts w:eastAsiaTheme="minorHAnsi"/>
          <w:sz w:val="20"/>
          <w:lang w:val="en-NZ" w:eastAsia="en-US"/>
        </w:rPr>
      </w:pPr>
      <w:r w:rsidRPr="00C02599">
        <w:rPr>
          <w:rFonts w:eastAsiaTheme="minorHAnsi"/>
          <w:sz w:val="20"/>
          <w:lang w:val="en-NZ" w:eastAsia="en-US"/>
        </w:rPr>
        <w:t>Assume the exchange rates shown in the table below:</w:t>
      </w:r>
    </w:p>
    <w:p w:rsidR="00C02599" w:rsidRDefault="00C02599" w:rsidP="00C02599">
      <w:pPr>
        <w:jc w:val="left"/>
        <w:rPr>
          <w:rFonts w:eastAsiaTheme="minorHAnsi"/>
          <w:sz w:val="20"/>
          <w:lang w:val="en-NZ" w:eastAsia="en-US"/>
        </w:rPr>
      </w:pPr>
    </w:p>
    <w:p w:rsidR="00015CDF" w:rsidRPr="00C02599" w:rsidRDefault="00015CDF" w:rsidP="00C02599">
      <w:pPr>
        <w:jc w:val="left"/>
        <w:rPr>
          <w:rFonts w:eastAsiaTheme="minorHAnsi"/>
          <w:sz w:val="20"/>
          <w:lang w:val="en-NZ" w:eastAsia="en-US"/>
        </w:rPr>
      </w:pPr>
    </w:p>
    <w:tbl>
      <w:tblPr>
        <w:tblStyle w:val="TableGrid"/>
        <w:tblW w:w="9782" w:type="dxa"/>
        <w:jc w:val="center"/>
        <w:tblLayout w:type="fixed"/>
        <w:tblCellMar>
          <w:left w:w="0" w:type="dxa"/>
          <w:right w:w="0" w:type="dxa"/>
        </w:tblCellMar>
        <w:tblLook w:val="04A0" w:firstRow="1" w:lastRow="0" w:firstColumn="1" w:lastColumn="0" w:noHBand="0" w:noVBand="1"/>
      </w:tblPr>
      <w:tblGrid>
        <w:gridCol w:w="426"/>
        <w:gridCol w:w="993"/>
        <w:gridCol w:w="1276"/>
        <w:gridCol w:w="708"/>
        <w:gridCol w:w="850"/>
        <w:gridCol w:w="850"/>
        <w:gridCol w:w="849"/>
        <w:gridCol w:w="851"/>
        <w:gridCol w:w="708"/>
        <w:gridCol w:w="852"/>
        <w:gridCol w:w="709"/>
        <w:gridCol w:w="710"/>
      </w:tblGrid>
      <w:tr w:rsidR="0018473D" w:rsidRPr="004C3DB4" w:rsidTr="008641E0">
        <w:trPr>
          <w:cantSplit/>
          <w:trHeight w:val="267"/>
          <w:tblHeader/>
          <w:jc w:val="center"/>
        </w:trPr>
        <w:tc>
          <w:tcPr>
            <w:tcW w:w="426" w:type="dxa"/>
            <w:vAlign w:val="center"/>
          </w:tcPr>
          <w:p w:rsidR="0018473D" w:rsidRPr="004C3DB4" w:rsidRDefault="0018473D" w:rsidP="0018473D">
            <w:pPr>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1</w:t>
            </w:r>
          </w:p>
        </w:tc>
        <w:tc>
          <w:tcPr>
            <w:tcW w:w="993" w:type="dxa"/>
            <w:vAlign w:val="center"/>
          </w:tcPr>
          <w:p w:rsidR="0018473D" w:rsidRPr="004C3DB4" w:rsidRDefault="0018473D" w:rsidP="0018473D">
            <w:pPr>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2</w:t>
            </w:r>
          </w:p>
        </w:tc>
        <w:tc>
          <w:tcPr>
            <w:tcW w:w="1276" w:type="dxa"/>
            <w:vAlign w:val="center"/>
          </w:tcPr>
          <w:p w:rsidR="0018473D" w:rsidRPr="004C3DB4" w:rsidRDefault="0018473D" w:rsidP="0018473D">
            <w:pPr>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3</w:t>
            </w:r>
          </w:p>
        </w:tc>
        <w:tc>
          <w:tcPr>
            <w:tcW w:w="708" w:type="dxa"/>
            <w:tcBorders>
              <w:bottom w:val="single" w:sz="12" w:space="0" w:color="auto"/>
            </w:tcBorders>
            <w:vAlign w:val="center"/>
          </w:tcPr>
          <w:p w:rsidR="0018473D" w:rsidRPr="004C3DB4" w:rsidRDefault="0018473D" w:rsidP="0018473D">
            <w:pPr>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4</w:t>
            </w:r>
          </w:p>
        </w:tc>
        <w:tc>
          <w:tcPr>
            <w:tcW w:w="850" w:type="dxa"/>
            <w:tcBorders>
              <w:bottom w:val="single" w:sz="12" w:space="0" w:color="auto"/>
            </w:tcBorders>
            <w:vAlign w:val="center"/>
          </w:tcPr>
          <w:p w:rsidR="0018473D" w:rsidRPr="004C3DB4" w:rsidRDefault="0018473D" w:rsidP="0018473D">
            <w:pPr>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5</w:t>
            </w:r>
          </w:p>
        </w:tc>
        <w:tc>
          <w:tcPr>
            <w:tcW w:w="850" w:type="dxa"/>
            <w:tcBorders>
              <w:bottom w:val="single" w:sz="12" w:space="0" w:color="auto"/>
            </w:tcBorders>
            <w:vAlign w:val="center"/>
          </w:tcPr>
          <w:p w:rsidR="0018473D" w:rsidRPr="004C3DB4" w:rsidRDefault="0018473D" w:rsidP="0018473D">
            <w:pPr>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6</w:t>
            </w:r>
          </w:p>
        </w:tc>
        <w:tc>
          <w:tcPr>
            <w:tcW w:w="849" w:type="dxa"/>
            <w:tcBorders>
              <w:bottom w:val="single" w:sz="12" w:space="0" w:color="auto"/>
            </w:tcBorders>
            <w:vAlign w:val="center"/>
          </w:tcPr>
          <w:p w:rsidR="0018473D" w:rsidRPr="004C3DB4" w:rsidRDefault="0018473D" w:rsidP="0018473D">
            <w:pPr>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7</w:t>
            </w:r>
          </w:p>
        </w:tc>
        <w:tc>
          <w:tcPr>
            <w:tcW w:w="851" w:type="dxa"/>
            <w:tcBorders>
              <w:bottom w:val="single" w:sz="12" w:space="0" w:color="auto"/>
            </w:tcBorders>
            <w:vAlign w:val="center"/>
          </w:tcPr>
          <w:p w:rsidR="0018473D" w:rsidRPr="004C3DB4" w:rsidRDefault="0018473D" w:rsidP="0018473D">
            <w:pPr>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8</w:t>
            </w:r>
          </w:p>
        </w:tc>
        <w:tc>
          <w:tcPr>
            <w:tcW w:w="708" w:type="dxa"/>
            <w:tcBorders>
              <w:bottom w:val="single" w:sz="12" w:space="0" w:color="auto"/>
            </w:tcBorders>
            <w:vAlign w:val="center"/>
          </w:tcPr>
          <w:p w:rsidR="0018473D" w:rsidRPr="004C3DB4" w:rsidRDefault="0018473D" w:rsidP="0018473D">
            <w:pPr>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9</w:t>
            </w:r>
          </w:p>
        </w:tc>
        <w:tc>
          <w:tcPr>
            <w:tcW w:w="852" w:type="dxa"/>
            <w:tcBorders>
              <w:bottom w:val="single" w:sz="12" w:space="0" w:color="auto"/>
            </w:tcBorders>
            <w:vAlign w:val="center"/>
          </w:tcPr>
          <w:p w:rsidR="0018473D" w:rsidRPr="004C3DB4" w:rsidRDefault="0018473D" w:rsidP="0018473D">
            <w:pPr>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10</w:t>
            </w:r>
          </w:p>
        </w:tc>
        <w:tc>
          <w:tcPr>
            <w:tcW w:w="709" w:type="dxa"/>
            <w:tcBorders>
              <w:bottom w:val="single" w:sz="12" w:space="0" w:color="auto"/>
            </w:tcBorders>
            <w:vAlign w:val="center"/>
          </w:tcPr>
          <w:p w:rsidR="0018473D" w:rsidRPr="004C3DB4" w:rsidRDefault="0018473D" w:rsidP="0018473D">
            <w:pPr>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11</w:t>
            </w:r>
          </w:p>
        </w:tc>
        <w:tc>
          <w:tcPr>
            <w:tcW w:w="710" w:type="dxa"/>
            <w:tcBorders>
              <w:bottom w:val="single" w:sz="12" w:space="0" w:color="auto"/>
            </w:tcBorders>
            <w:vAlign w:val="center"/>
          </w:tcPr>
          <w:p w:rsidR="0018473D" w:rsidRPr="004C3DB4" w:rsidRDefault="0018473D" w:rsidP="0018473D">
            <w:pPr>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12</w:t>
            </w:r>
          </w:p>
        </w:tc>
      </w:tr>
      <w:tr w:rsidR="00B85B78" w:rsidRPr="004C3DB4" w:rsidTr="00CE7BFA">
        <w:trPr>
          <w:cantSplit/>
          <w:trHeight w:val="267"/>
          <w:jc w:val="center"/>
        </w:trPr>
        <w:tc>
          <w:tcPr>
            <w:tcW w:w="426" w:type="dxa"/>
            <w:vAlign w:val="center"/>
          </w:tcPr>
          <w:p w:rsidR="00B85B78" w:rsidRPr="004C3DB4" w:rsidRDefault="00B85B78" w:rsidP="0018473D">
            <w:pPr>
              <w:jc w:val="center"/>
              <w:rPr>
                <w:rFonts w:ascii="Times New Roman" w:hAnsi="Times New Roman" w:cs="Times New Roman"/>
                <w:b/>
                <w:sz w:val="18"/>
                <w:szCs w:val="18"/>
                <w:lang w:val="en-NZ" w:eastAsia="en-US"/>
              </w:rPr>
            </w:pPr>
          </w:p>
        </w:tc>
        <w:tc>
          <w:tcPr>
            <w:tcW w:w="993" w:type="dxa"/>
            <w:vAlign w:val="center"/>
          </w:tcPr>
          <w:p w:rsidR="00B85B78" w:rsidRPr="004C3DB4" w:rsidRDefault="00B85B78" w:rsidP="0018473D">
            <w:pPr>
              <w:jc w:val="center"/>
              <w:rPr>
                <w:rFonts w:ascii="Times New Roman" w:hAnsi="Times New Roman" w:cs="Times New Roman"/>
                <w:b/>
                <w:sz w:val="18"/>
                <w:szCs w:val="18"/>
                <w:lang w:val="en-NZ" w:eastAsia="en-US"/>
              </w:rPr>
            </w:pPr>
          </w:p>
        </w:tc>
        <w:tc>
          <w:tcPr>
            <w:tcW w:w="1276" w:type="dxa"/>
            <w:tcBorders>
              <w:right w:val="single" w:sz="12" w:space="0" w:color="auto"/>
            </w:tcBorders>
            <w:vAlign w:val="center"/>
          </w:tcPr>
          <w:p w:rsidR="00B85B78" w:rsidRPr="004C3DB4" w:rsidRDefault="00B85B78" w:rsidP="0018473D">
            <w:pPr>
              <w:jc w:val="center"/>
              <w:rPr>
                <w:rFonts w:ascii="Times New Roman" w:hAnsi="Times New Roman" w:cs="Times New Roman"/>
                <w:b/>
                <w:sz w:val="18"/>
                <w:szCs w:val="18"/>
                <w:lang w:val="en-NZ" w:eastAsia="en-US"/>
              </w:rPr>
            </w:pPr>
          </w:p>
        </w:tc>
        <w:tc>
          <w:tcPr>
            <w:tcW w:w="2408" w:type="dxa"/>
            <w:gridSpan w:val="3"/>
            <w:tcBorders>
              <w:top w:val="single" w:sz="12" w:space="0" w:color="auto"/>
              <w:left w:val="single" w:sz="12" w:space="0" w:color="auto"/>
              <w:right w:val="single" w:sz="12" w:space="0" w:color="auto"/>
            </w:tcBorders>
            <w:vAlign w:val="center"/>
          </w:tcPr>
          <w:p w:rsidR="00B85B78" w:rsidRPr="004C3DB4" w:rsidRDefault="00B85B78" w:rsidP="0018473D">
            <w:pPr>
              <w:jc w:val="center"/>
              <w:rPr>
                <w:rFonts w:ascii="Times New Roman" w:hAnsi="Times New Roman" w:cs="Times New Roman"/>
                <w:b/>
                <w:i/>
                <w:sz w:val="18"/>
                <w:szCs w:val="18"/>
                <w:lang w:val="en-NZ" w:eastAsia="en-US"/>
              </w:rPr>
            </w:pPr>
            <w:r w:rsidRPr="004C3DB4">
              <w:rPr>
                <w:rFonts w:ascii="Times New Roman" w:hAnsi="Times New Roman" w:cs="Times New Roman"/>
                <w:b/>
                <w:i/>
                <w:sz w:val="18"/>
                <w:szCs w:val="18"/>
                <w:lang w:val="en-NZ" w:eastAsia="en-US"/>
              </w:rPr>
              <w:t xml:space="preserve">Calculating whether </w:t>
            </w:r>
            <w:r w:rsidR="003A6D01">
              <w:rPr>
                <w:rFonts w:ascii="Times New Roman" w:hAnsi="Times New Roman" w:cs="Times New Roman"/>
                <w:b/>
                <w:i/>
                <w:sz w:val="18"/>
                <w:szCs w:val="18"/>
                <w:lang w:val="en-NZ" w:eastAsia="en-US"/>
              </w:rPr>
              <w:br/>
            </w:r>
            <w:r w:rsidRPr="004C3DB4">
              <w:rPr>
                <w:rFonts w:ascii="Times New Roman" w:hAnsi="Times New Roman" w:cs="Times New Roman"/>
                <w:b/>
                <w:i/>
                <w:sz w:val="18"/>
                <w:szCs w:val="18"/>
                <w:lang w:val="en-NZ" w:eastAsia="en-US"/>
              </w:rPr>
              <w:t>NRFAI arises</w:t>
            </w:r>
          </w:p>
        </w:tc>
        <w:tc>
          <w:tcPr>
            <w:tcW w:w="1700" w:type="dxa"/>
            <w:gridSpan w:val="2"/>
            <w:tcBorders>
              <w:top w:val="single" w:sz="12" w:space="0" w:color="auto"/>
              <w:left w:val="single" w:sz="12" w:space="0" w:color="auto"/>
              <w:right w:val="single" w:sz="12" w:space="0" w:color="auto"/>
            </w:tcBorders>
            <w:vAlign w:val="center"/>
          </w:tcPr>
          <w:p w:rsidR="00B85B78" w:rsidRPr="004C3DB4" w:rsidRDefault="00B85B78" w:rsidP="0018473D">
            <w:pPr>
              <w:jc w:val="center"/>
              <w:rPr>
                <w:rFonts w:ascii="Times New Roman" w:hAnsi="Times New Roman" w:cs="Times New Roman"/>
                <w:b/>
                <w:i/>
                <w:sz w:val="18"/>
                <w:szCs w:val="18"/>
                <w:lang w:val="en-NZ" w:eastAsia="en-US"/>
              </w:rPr>
            </w:pPr>
            <w:r w:rsidRPr="004C3DB4">
              <w:rPr>
                <w:rFonts w:ascii="Times New Roman" w:hAnsi="Times New Roman" w:cs="Times New Roman"/>
                <w:b/>
                <w:i/>
                <w:sz w:val="18"/>
                <w:szCs w:val="18"/>
                <w:lang w:val="en-NZ" w:eastAsia="en-US"/>
              </w:rPr>
              <w:t xml:space="preserve">Calculating US$ </w:t>
            </w:r>
            <w:r w:rsidR="003A6D01">
              <w:rPr>
                <w:rFonts w:ascii="Times New Roman" w:hAnsi="Times New Roman" w:cs="Times New Roman"/>
                <w:b/>
                <w:i/>
                <w:sz w:val="18"/>
                <w:szCs w:val="18"/>
                <w:lang w:val="en-NZ" w:eastAsia="en-US"/>
              </w:rPr>
              <w:br/>
            </w:r>
            <w:r w:rsidRPr="004C3DB4">
              <w:rPr>
                <w:rFonts w:ascii="Times New Roman" w:hAnsi="Times New Roman" w:cs="Times New Roman"/>
                <w:b/>
                <w:i/>
                <w:sz w:val="18"/>
                <w:szCs w:val="18"/>
                <w:lang w:val="en-NZ" w:eastAsia="en-US"/>
              </w:rPr>
              <w:t>tax liability</w:t>
            </w:r>
          </w:p>
        </w:tc>
        <w:tc>
          <w:tcPr>
            <w:tcW w:w="2979" w:type="dxa"/>
            <w:gridSpan w:val="4"/>
            <w:tcBorders>
              <w:top w:val="single" w:sz="12" w:space="0" w:color="auto"/>
              <w:left w:val="single" w:sz="12" w:space="0" w:color="auto"/>
              <w:right w:val="single" w:sz="12" w:space="0" w:color="auto"/>
            </w:tcBorders>
            <w:vAlign w:val="center"/>
          </w:tcPr>
          <w:p w:rsidR="00B85B78" w:rsidRPr="004C3DB4" w:rsidRDefault="00B85B78" w:rsidP="0018473D">
            <w:pPr>
              <w:jc w:val="center"/>
              <w:rPr>
                <w:rFonts w:ascii="Times New Roman" w:hAnsi="Times New Roman" w:cs="Times New Roman"/>
                <w:b/>
                <w:i/>
                <w:sz w:val="18"/>
                <w:szCs w:val="18"/>
                <w:lang w:val="en-NZ" w:eastAsia="en-US"/>
              </w:rPr>
            </w:pPr>
            <w:r w:rsidRPr="004C3DB4">
              <w:rPr>
                <w:rFonts w:ascii="Times New Roman" w:hAnsi="Times New Roman" w:cs="Times New Roman"/>
                <w:b/>
                <w:i/>
                <w:sz w:val="18"/>
                <w:szCs w:val="18"/>
                <w:lang w:val="en-NZ" w:eastAsia="en-US"/>
              </w:rPr>
              <w:t xml:space="preserve">Converting </w:t>
            </w:r>
            <w:r w:rsidR="00B176B8" w:rsidRPr="004C3DB4">
              <w:rPr>
                <w:rFonts w:ascii="Times New Roman" w:hAnsi="Times New Roman" w:cs="Times New Roman"/>
                <w:b/>
                <w:i/>
                <w:sz w:val="18"/>
                <w:szCs w:val="18"/>
                <w:lang w:val="en-NZ" w:eastAsia="en-US"/>
              </w:rPr>
              <w:t xml:space="preserve">tax liability </w:t>
            </w:r>
            <w:r w:rsidRPr="004C3DB4">
              <w:rPr>
                <w:rFonts w:ascii="Times New Roman" w:hAnsi="Times New Roman" w:cs="Times New Roman"/>
                <w:b/>
                <w:i/>
                <w:sz w:val="18"/>
                <w:szCs w:val="18"/>
                <w:lang w:val="en-NZ" w:eastAsia="en-US"/>
              </w:rPr>
              <w:t>to NZ$</w:t>
            </w:r>
          </w:p>
        </w:tc>
      </w:tr>
      <w:tr w:rsidR="00C02599" w:rsidRPr="004C3DB4" w:rsidTr="00CE7BFA">
        <w:trPr>
          <w:cantSplit/>
          <w:trHeight w:val="1172"/>
          <w:jc w:val="center"/>
        </w:trPr>
        <w:tc>
          <w:tcPr>
            <w:tcW w:w="426" w:type="dxa"/>
            <w:textDirection w:val="btLr"/>
            <w:vAlign w:val="center"/>
          </w:tcPr>
          <w:p w:rsidR="00C02599" w:rsidRPr="004C3DB4" w:rsidRDefault="00C02599" w:rsidP="00C02599">
            <w:pPr>
              <w:ind w:left="113" w:right="113"/>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w:t>
            </w:r>
          </w:p>
        </w:tc>
        <w:tc>
          <w:tcPr>
            <w:tcW w:w="993" w:type="dxa"/>
            <w:textDirection w:val="btLr"/>
            <w:vAlign w:val="center"/>
          </w:tcPr>
          <w:p w:rsidR="00C02599" w:rsidRPr="004C3DB4" w:rsidRDefault="00C02599" w:rsidP="00C02599">
            <w:pPr>
              <w:ind w:left="113" w:right="113"/>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Date</w:t>
            </w:r>
          </w:p>
        </w:tc>
        <w:tc>
          <w:tcPr>
            <w:tcW w:w="1276" w:type="dxa"/>
            <w:tcBorders>
              <w:right w:val="single" w:sz="12" w:space="0" w:color="auto"/>
            </w:tcBorders>
            <w:textDirection w:val="btLr"/>
            <w:vAlign w:val="center"/>
          </w:tcPr>
          <w:p w:rsidR="00C02599" w:rsidRPr="004C3DB4" w:rsidRDefault="00C02599" w:rsidP="00C02599">
            <w:pPr>
              <w:ind w:left="113" w:right="113"/>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Event</w:t>
            </w:r>
          </w:p>
        </w:tc>
        <w:tc>
          <w:tcPr>
            <w:tcW w:w="708" w:type="dxa"/>
            <w:tcBorders>
              <w:left w:val="single" w:sz="12" w:space="0" w:color="auto"/>
            </w:tcBorders>
            <w:textDirection w:val="btLr"/>
            <w:vAlign w:val="center"/>
          </w:tcPr>
          <w:p w:rsidR="00C02599" w:rsidRPr="004C3DB4" w:rsidRDefault="00C02599" w:rsidP="00CE7BFA">
            <w:pPr>
              <w:ind w:left="113" w:right="113"/>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Payments (US$)</w:t>
            </w:r>
          </w:p>
        </w:tc>
        <w:tc>
          <w:tcPr>
            <w:tcW w:w="850" w:type="dxa"/>
            <w:textDirection w:val="btLr"/>
            <w:vAlign w:val="center"/>
          </w:tcPr>
          <w:p w:rsidR="00C02599" w:rsidRPr="004C3DB4" w:rsidRDefault="00C02599" w:rsidP="00CE7BFA">
            <w:pPr>
              <w:tabs>
                <w:tab w:val="right" w:pos="761"/>
              </w:tabs>
              <w:ind w:left="113" w:right="113"/>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Deductions (US$)</w:t>
            </w:r>
          </w:p>
        </w:tc>
        <w:tc>
          <w:tcPr>
            <w:tcW w:w="850" w:type="dxa"/>
            <w:tcBorders>
              <w:right w:val="single" w:sz="12" w:space="0" w:color="auto"/>
            </w:tcBorders>
            <w:textDirection w:val="btLr"/>
            <w:vAlign w:val="center"/>
          </w:tcPr>
          <w:p w:rsidR="00C02599" w:rsidRPr="004C3DB4" w:rsidRDefault="00C02599" w:rsidP="00CE7BFA">
            <w:pPr>
              <w:ind w:left="113" w:right="113"/>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 xml:space="preserve">Deduction &gt; </w:t>
            </w:r>
            <w:r w:rsidR="00B62867" w:rsidRPr="004C3DB4">
              <w:rPr>
                <w:rFonts w:ascii="Times New Roman" w:hAnsi="Times New Roman" w:cs="Times New Roman"/>
                <w:b/>
                <w:sz w:val="18"/>
                <w:szCs w:val="18"/>
                <w:lang w:val="en-NZ" w:eastAsia="en-US"/>
              </w:rPr>
              <w:t>p</w:t>
            </w:r>
            <w:r w:rsidRPr="004C3DB4">
              <w:rPr>
                <w:rFonts w:ascii="Times New Roman" w:hAnsi="Times New Roman" w:cs="Times New Roman"/>
                <w:b/>
                <w:sz w:val="18"/>
                <w:szCs w:val="18"/>
                <w:lang w:val="en-NZ" w:eastAsia="en-US"/>
              </w:rPr>
              <w:t>ayment</w:t>
            </w:r>
          </w:p>
        </w:tc>
        <w:tc>
          <w:tcPr>
            <w:tcW w:w="849" w:type="dxa"/>
            <w:tcBorders>
              <w:left w:val="single" w:sz="12" w:space="0" w:color="auto"/>
            </w:tcBorders>
            <w:textDirection w:val="btLr"/>
            <w:vAlign w:val="center"/>
          </w:tcPr>
          <w:p w:rsidR="00C02599" w:rsidRPr="004C3DB4" w:rsidRDefault="00C02599" w:rsidP="00CE7BFA">
            <w:pPr>
              <w:ind w:left="113" w:right="113"/>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Cash NRWT (US$)</w:t>
            </w:r>
          </w:p>
        </w:tc>
        <w:tc>
          <w:tcPr>
            <w:tcW w:w="851" w:type="dxa"/>
            <w:tcBorders>
              <w:right w:val="single" w:sz="12" w:space="0" w:color="auto"/>
            </w:tcBorders>
            <w:textDirection w:val="btLr"/>
            <w:vAlign w:val="center"/>
          </w:tcPr>
          <w:p w:rsidR="00C02599" w:rsidRPr="004C3DB4" w:rsidRDefault="00C02599" w:rsidP="00CE7BFA">
            <w:pPr>
              <w:ind w:left="113" w:right="113"/>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NRFAI NRWT (US$)</w:t>
            </w:r>
          </w:p>
        </w:tc>
        <w:tc>
          <w:tcPr>
            <w:tcW w:w="708" w:type="dxa"/>
            <w:tcBorders>
              <w:left w:val="single" w:sz="12" w:space="0" w:color="auto"/>
            </w:tcBorders>
            <w:textDirection w:val="btLr"/>
            <w:vAlign w:val="center"/>
          </w:tcPr>
          <w:p w:rsidR="00C02599" w:rsidRPr="004C3DB4" w:rsidRDefault="00C02599" w:rsidP="00CE7BFA">
            <w:pPr>
              <w:ind w:left="113" w:right="113"/>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Exchange rate</w:t>
            </w:r>
          </w:p>
        </w:tc>
        <w:tc>
          <w:tcPr>
            <w:tcW w:w="852" w:type="dxa"/>
            <w:textDirection w:val="btLr"/>
            <w:vAlign w:val="center"/>
          </w:tcPr>
          <w:p w:rsidR="00C02599" w:rsidRPr="004C3DB4" w:rsidRDefault="00C02599" w:rsidP="00CE7BFA">
            <w:pPr>
              <w:ind w:left="113" w:right="89"/>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Payments (NZ$)</w:t>
            </w:r>
          </w:p>
        </w:tc>
        <w:tc>
          <w:tcPr>
            <w:tcW w:w="709" w:type="dxa"/>
            <w:textDirection w:val="btLr"/>
            <w:vAlign w:val="center"/>
          </w:tcPr>
          <w:p w:rsidR="00C02599" w:rsidRPr="004C3DB4" w:rsidRDefault="00C02599" w:rsidP="00C02599">
            <w:pPr>
              <w:ind w:left="113" w:right="113"/>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Cash NRWT (NZ$)</w:t>
            </w:r>
          </w:p>
        </w:tc>
        <w:tc>
          <w:tcPr>
            <w:tcW w:w="710" w:type="dxa"/>
            <w:tcBorders>
              <w:right w:val="single" w:sz="12" w:space="0" w:color="auto"/>
            </w:tcBorders>
            <w:textDirection w:val="btLr"/>
            <w:vAlign w:val="center"/>
          </w:tcPr>
          <w:p w:rsidR="00C02599" w:rsidRPr="004C3DB4" w:rsidRDefault="00C02599" w:rsidP="00CE7BFA">
            <w:pPr>
              <w:ind w:left="113" w:right="113"/>
              <w:jc w:val="center"/>
              <w:rPr>
                <w:rFonts w:ascii="Times New Roman" w:hAnsi="Times New Roman" w:cs="Times New Roman"/>
                <w:b/>
                <w:sz w:val="18"/>
                <w:szCs w:val="18"/>
                <w:lang w:val="en-NZ" w:eastAsia="en-US"/>
              </w:rPr>
            </w:pPr>
            <w:r w:rsidRPr="004C3DB4">
              <w:rPr>
                <w:rFonts w:ascii="Times New Roman" w:hAnsi="Times New Roman" w:cs="Times New Roman"/>
                <w:b/>
                <w:sz w:val="18"/>
                <w:szCs w:val="18"/>
                <w:lang w:val="en-NZ" w:eastAsia="en-US"/>
              </w:rPr>
              <w:t>NRFAI NRWT (NZ$)</w:t>
            </w: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 Apr 17</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Arrangement commences</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-1,000</w:t>
            </w: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708" w:type="dxa"/>
            <w:tcBorders>
              <w:left w:val="single" w:sz="12" w:space="0" w:color="auto"/>
            </w:tcBorders>
          </w:tcPr>
          <w:p w:rsidR="00C02599" w:rsidRPr="004C3DB4" w:rsidRDefault="00481F04"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0.80</w:t>
            </w:r>
          </w:p>
        </w:tc>
        <w:tc>
          <w:tcPr>
            <w:tcW w:w="852" w:type="dxa"/>
          </w:tcPr>
          <w:p w:rsidR="00C02599" w:rsidRPr="004C3DB4" w:rsidRDefault="00481F04" w:rsidP="00CE7BFA">
            <w:pPr>
              <w:ind w:left="-160" w:right="89"/>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-1,250</w:t>
            </w:r>
          </w:p>
        </w:tc>
        <w:tc>
          <w:tcPr>
            <w:tcW w:w="709" w:type="dxa"/>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18</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108.03</w:t>
            </w: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708" w:type="dxa"/>
            <w:tcBorders>
              <w:lef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0.79</w:t>
            </w:r>
          </w:p>
        </w:tc>
        <w:tc>
          <w:tcPr>
            <w:tcW w:w="852" w:type="dxa"/>
          </w:tcPr>
          <w:p w:rsidR="00C02599" w:rsidRPr="004C3DB4" w:rsidRDefault="00C02599" w:rsidP="00CE7BFA">
            <w:pPr>
              <w:ind w:left="-160" w:right="89"/>
              <w:jc w:val="right"/>
              <w:rPr>
                <w:rFonts w:ascii="Times New Roman" w:hAnsi="Times New Roman" w:cs="Times New Roman"/>
                <w:sz w:val="18"/>
                <w:szCs w:val="18"/>
                <w:lang w:val="en-NZ" w:eastAsia="en-US"/>
              </w:rPr>
            </w:pPr>
          </w:p>
        </w:tc>
        <w:tc>
          <w:tcPr>
            <w:tcW w:w="709" w:type="dxa"/>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18</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Coupon date</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60</w:t>
            </w: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w:t>
            </w: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708" w:type="dxa"/>
            <w:tcBorders>
              <w:lef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0.79</w:t>
            </w:r>
          </w:p>
        </w:tc>
        <w:tc>
          <w:tcPr>
            <w:tcW w:w="852" w:type="dxa"/>
          </w:tcPr>
          <w:p w:rsidR="00C02599" w:rsidRPr="004C3DB4" w:rsidRDefault="00481F04" w:rsidP="00CE7BFA">
            <w:pPr>
              <w:ind w:left="-160" w:right="89"/>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75.95</w:t>
            </w:r>
          </w:p>
        </w:tc>
        <w:tc>
          <w:tcPr>
            <w:tcW w:w="709" w:type="dxa"/>
          </w:tcPr>
          <w:p w:rsidR="00C02599" w:rsidRPr="004C3DB4" w:rsidRDefault="00481F04" w:rsidP="00CE7BFA">
            <w:pPr>
              <w:tabs>
                <w:tab w:val="right" w:pos="563"/>
              </w:tabs>
              <w:ind w:left="-160" w:right="49"/>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7.60</w:t>
            </w:r>
          </w:p>
        </w:tc>
        <w:tc>
          <w:tcPr>
            <w:tcW w:w="710"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4</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18</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NRFAI calculation date</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N/A – First year</w:t>
            </w: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708" w:type="dxa"/>
            <w:tcBorders>
              <w:lef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0.76</w:t>
            </w:r>
          </w:p>
        </w:tc>
        <w:tc>
          <w:tcPr>
            <w:tcW w:w="852" w:type="dxa"/>
          </w:tcPr>
          <w:p w:rsidR="00C02599" w:rsidRPr="004C3DB4" w:rsidRDefault="00C02599" w:rsidP="00CE7BFA">
            <w:pPr>
              <w:ind w:left="-160" w:right="89"/>
              <w:jc w:val="right"/>
              <w:rPr>
                <w:rFonts w:ascii="Times New Roman" w:hAnsi="Times New Roman" w:cs="Times New Roman"/>
                <w:sz w:val="18"/>
                <w:szCs w:val="18"/>
                <w:lang w:val="en-NZ" w:eastAsia="en-US"/>
              </w:rPr>
            </w:pPr>
          </w:p>
        </w:tc>
        <w:tc>
          <w:tcPr>
            <w:tcW w:w="709" w:type="dxa"/>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5</w:t>
            </w:r>
          </w:p>
        </w:tc>
        <w:tc>
          <w:tcPr>
            <w:tcW w:w="993" w:type="dxa"/>
          </w:tcPr>
          <w:p w:rsidR="00C02599" w:rsidRPr="004C3DB4" w:rsidRDefault="00C02599" w:rsidP="00807FCD">
            <w:pPr>
              <w:ind w:left="-108" w:right="-108"/>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19</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113.55</w:t>
            </w: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708" w:type="dxa"/>
            <w:tcBorders>
              <w:lef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0.56</w:t>
            </w:r>
          </w:p>
        </w:tc>
        <w:tc>
          <w:tcPr>
            <w:tcW w:w="852" w:type="dxa"/>
          </w:tcPr>
          <w:p w:rsidR="00C02599" w:rsidRPr="004C3DB4" w:rsidRDefault="00C02599" w:rsidP="00CE7BFA">
            <w:pPr>
              <w:ind w:left="-160" w:right="89"/>
              <w:jc w:val="right"/>
              <w:rPr>
                <w:rFonts w:ascii="Times New Roman" w:hAnsi="Times New Roman" w:cs="Times New Roman"/>
                <w:sz w:val="18"/>
                <w:szCs w:val="18"/>
                <w:lang w:val="en-NZ" w:eastAsia="en-US"/>
              </w:rPr>
            </w:pPr>
          </w:p>
        </w:tc>
        <w:tc>
          <w:tcPr>
            <w:tcW w:w="709" w:type="dxa"/>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19</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Coupon date</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60</w:t>
            </w: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w:t>
            </w: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708" w:type="dxa"/>
            <w:tcBorders>
              <w:lef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0.56</w:t>
            </w:r>
          </w:p>
        </w:tc>
        <w:tc>
          <w:tcPr>
            <w:tcW w:w="852" w:type="dxa"/>
          </w:tcPr>
          <w:p w:rsidR="00C02599" w:rsidRPr="004C3DB4" w:rsidRDefault="00481F04" w:rsidP="00CE7BFA">
            <w:pPr>
              <w:ind w:left="-160" w:right="89"/>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107.14</w:t>
            </w:r>
          </w:p>
        </w:tc>
        <w:tc>
          <w:tcPr>
            <w:tcW w:w="709" w:type="dxa"/>
          </w:tcPr>
          <w:p w:rsidR="00C02599" w:rsidRPr="004C3DB4" w:rsidRDefault="00481F04" w:rsidP="00CE7BFA">
            <w:pPr>
              <w:tabs>
                <w:tab w:val="right" w:pos="563"/>
              </w:tabs>
              <w:ind w:left="-160" w:right="49"/>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10.71</w:t>
            </w:r>
          </w:p>
        </w:tc>
        <w:tc>
          <w:tcPr>
            <w:tcW w:w="710"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7</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19</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NRFAI calculation date</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120 ÷ 108.03 = 111.1%  </w:t>
            </w: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708" w:type="dxa"/>
            <w:tcBorders>
              <w:lef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0.64</w:t>
            </w:r>
          </w:p>
        </w:tc>
        <w:tc>
          <w:tcPr>
            <w:tcW w:w="852" w:type="dxa"/>
          </w:tcPr>
          <w:p w:rsidR="00C02599" w:rsidRPr="004C3DB4" w:rsidRDefault="00C02599" w:rsidP="00CE7BFA">
            <w:pPr>
              <w:ind w:left="-160" w:right="89"/>
              <w:jc w:val="right"/>
              <w:rPr>
                <w:rFonts w:ascii="Times New Roman" w:hAnsi="Times New Roman" w:cs="Times New Roman"/>
                <w:sz w:val="18"/>
                <w:szCs w:val="18"/>
                <w:lang w:val="en-NZ" w:eastAsia="en-US"/>
              </w:rPr>
            </w:pPr>
          </w:p>
        </w:tc>
        <w:tc>
          <w:tcPr>
            <w:tcW w:w="709" w:type="dxa"/>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8</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20</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119.35</w:t>
            </w: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708" w:type="dxa"/>
            <w:tcBorders>
              <w:lef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0.71</w:t>
            </w:r>
          </w:p>
        </w:tc>
        <w:tc>
          <w:tcPr>
            <w:tcW w:w="852" w:type="dxa"/>
          </w:tcPr>
          <w:p w:rsidR="00C02599" w:rsidRPr="004C3DB4" w:rsidRDefault="00C02599" w:rsidP="00CE7BFA">
            <w:pPr>
              <w:ind w:left="-160" w:right="89"/>
              <w:jc w:val="right"/>
              <w:rPr>
                <w:rFonts w:ascii="Times New Roman" w:hAnsi="Times New Roman" w:cs="Times New Roman"/>
                <w:sz w:val="18"/>
                <w:szCs w:val="18"/>
                <w:lang w:val="en-NZ" w:eastAsia="en-US"/>
              </w:rPr>
            </w:pPr>
          </w:p>
        </w:tc>
        <w:tc>
          <w:tcPr>
            <w:tcW w:w="709" w:type="dxa"/>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9</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20</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Coupon date</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60</w:t>
            </w: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w:t>
            </w: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708" w:type="dxa"/>
            <w:tcBorders>
              <w:lef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0.71</w:t>
            </w:r>
          </w:p>
        </w:tc>
        <w:tc>
          <w:tcPr>
            <w:tcW w:w="852" w:type="dxa"/>
          </w:tcPr>
          <w:p w:rsidR="00C02599" w:rsidRPr="004C3DB4" w:rsidRDefault="00A857DB" w:rsidP="00CE7BFA">
            <w:pPr>
              <w:ind w:left="-160" w:right="89"/>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84.51</w:t>
            </w:r>
          </w:p>
        </w:tc>
        <w:tc>
          <w:tcPr>
            <w:tcW w:w="709" w:type="dxa"/>
          </w:tcPr>
          <w:p w:rsidR="00C02599" w:rsidRPr="004C3DB4" w:rsidRDefault="00A857DB" w:rsidP="00CE7BFA">
            <w:pPr>
              <w:tabs>
                <w:tab w:val="right" w:pos="563"/>
              </w:tabs>
              <w:ind w:left="-160" w:right="49"/>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8.45</w:t>
            </w:r>
          </w:p>
        </w:tc>
        <w:tc>
          <w:tcPr>
            <w:tcW w:w="710"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10</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20</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NRFAI calculation date</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180 ÷ 221.58 = </w:t>
            </w:r>
            <w:r w:rsidRPr="004C3DB4">
              <w:rPr>
                <w:rFonts w:ascii="Times New Roman" w:hAnsi="Times New Roman" w:cs="Times New Roman"/>
                <w:color w:val="FF0000"/>
                <w:sz w:val="18"/>
                <w:szCs w:val="18"/>
                <w:lang w:val="en-NZ" w:eastAsia="en-US"/>
              </w:rPr>
              <w:t xml:space="preserve">81.2% = NRFAI triggered </w:t>
            </w: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 xml:space="preserve">(108.03 + 113.55 + 119.35) x 10% - 18 =16.09 </w:t>
            </w:r>
          </w:p>
        </w:tc>
        <w:tc>
          <w:tcPr>
            <w:tcW w:w="708" w:type="dxa"/>
            <w:tcBorders>
              <w:lef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0.71</w:t>
            </w:r>
          </w:p>
        </w:tc>
        <w:tc>
          <w:tcPr>
            <w:tcW w:w="852" w:type="dxa"/>
          </w:tcPr>
          <w:p w:rsidR="00C02599" w:rsidRPr="004C3DB4" w:rsidRDefault="00C02599" w:rsidP="00CE7BFA">
            <w:pPr>
              <w:ind w:left="-160" w:right="89"/>
              <w:jc w:val="right"/>
              <w:rPr>
                <w:rFonts w:ascii="Times New Roman" w:hAnsi="Times New Roman" w:cs="Times New Roman"/>
                <w:sz w:val="18"/>
                <w:szCs w:val="18"/>
                <w:lang w:val="en-NZ" w:eastAsia="en-US"/>
              </w:rPr>
            </w:pPr>
          </w:p>
        </w:tc>
        <w:tc>
          <w:tcPr>
            <w:tcW w:w="709" w:type="dxa"/>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right w:val="single" w:sz="12" w:space="0" w:color="auto"/>
            </w:tcBorders>
          </w:tcPr>
          <w:p w:rsidR="00C02599" w:rsidRPr="004C3DB4" w:rsidRDefault="00A857DB"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22.66</w:t>
            </w: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11</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21</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125.78</w:t>
            </w: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708" w:type="dxa"/>
            <w:tcBorders>
              <w:left w:val="single" w:sz="12" w:space="0" w:color="auto"/>
            </w:tcBorders>
          </w:tcPr>
          <w:p w:rsidR="00C02599" w:rsidRPr="004C3DB4" w:rsidRDefault="00481F04"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0.76</w:t>
            </w:r>
          </w:p>
        </w:tc>
        <w:tc>
          <w:tcPr>
            <w:tcW w:w="852" w:type="dxa"/>
          </w:tcPr>
          <w:p w:rsidR="00C02599" w:rsidRPr="004C3DB4" w:rsidRDefault="00C02599" w:rsidP="00CE7BFA">
            <w:pPr>
              <w:ind w:left="-160" w:right="89"/>
              <w:jc w:val="right"/>
              <w:rPr>
                <w:rFonts w:ascii="Times New Roman" w:hAnsi="Times New Roman" w:cs="Times New Roman"/>
                <w:sz w:val="18"/>
                <w:szCs w:val="18"/>
                <w:lang w:val="en-NZ" w:eastAsia="en-US"/>
              </w:rPr>
            </w:pPr>
          </w:p>
        </w:tc>
        <w:tc>
          <w:tcPr>
            <w:tcW w:w="709" w:type="dxa"/>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12</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21</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Coupon date</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60</w:t>
            </w: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Not required</w:t>
            </w: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708" w:type="dxa"/>
            <w:tcBorders>
              <w:left w:val="single" w:sz="12" w:space="0" w:color="auto"/>
            </w:tcBorders>
          </w:tcPr>
          <w:p w:rsidR="00C02599" w:rsidRPr="004C3DB4" w:rsidRDefault="00481F04"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0.76</w:t>
            </w:r>
          </w:p>
        </w:tc>
        <w:tc>
          <w:tcPr>
            <w:tcW w:w="852" w:type="dxa"/>
          </w:tcPr>
          <w:p w:rsidR="00C02599" w:rsidRPr="004C3DB4" w:rsidRDefault="0018473D" w:rsidP="00CE7BFA">
            <w:pPr>
              <w:ind w:left="-160" w:right="89"/>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78.95</w:t>
            </w:r>
          </w:p>
        </w:tc>
        <w:tc>
          <w:tcPr>
            <w:tcW w:w="709" w:type="dxa"/>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13</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21</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NRFAI calculation date</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Not required</w:t>
            </w: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12.58</w:t>
            </w:r>
          </w:p>
        </w:tc>
        <w:tc>
          <w:tcPr>
            <w:tcW w:w="708" w:type="dxa"/>
            <w:tcBorders>
              <w:left w:val="single" w:sz="12" w:space="0" w:color="auto"/>
            </w:tcBorders>
          </w:tcPr>
          <w:p w:rsidR="00C02599" w:rsidRPr="004C3DB4" w:rsidRDefault="00481F04"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0.81</w:t>
            </w:r>
          </w:p>
        </w:tc>
        <w:tc>
          <w:tcPr>
            <w:tcW w:w="852" w:type="dxa"/>
          </w:tcPr>
          <w:p w:rsidR="00C02599" w:rsidRPr="004C3DB4" w:rsidRDefault="00C02599" w:rsidP="00CE7BFA">
            <w:pPr>
              <w:ind w:left="-160" w:right="89"/>
              <w:jc w:val="right"/>
              <w:rPr>
                <w:rFonts w:ascii="Times New Roman" w:hAnsi="Times New Roman" w:cs="Times New Roman"/>
                <w:sz w:val="18"/>
                <w:szCs w:val="18"/>
                <w:lang w:val="en-NZ" w:eastAsia="en-US"/>
              </w:rPr>
            </w:pPr>
          </w:p>
        </w:tc>
        <w:tc>
          <w:tcPr>
            <w:tcW w:w="709" w:type="dxa"/>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right w:val="single" w:sz="12" w:space="0" w:color="auto"/>
            </w:tcBorders>
          </w:tcPr>
          <w:p w:rsidR="00C02599" w:rsidRPr="004C3DB4" w:rsidRDefault="0018473D"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15.53</w:t>
            </w: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14</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22</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132.91</w:t>
            </w: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708" w:type="dxa"/>
            <w:tcBorders>
              <w:left w:val="single" w:sz="12" w:space="0" w:color="auto"/>
            </w:tcBorders>
          </w:tcPr>
          <w:p w:rsidR="00C02599" w:rsidRPr="004C3DB4" w:rsidRDefault="00481F04"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0.82</w:t>
            </w:r>
          </w:p>
        </w:tc>
        <w:tc>
          <w:tcPr>
            <w:tcW w:w="852" w:type="dxa"/>
          </w:tcPr>
          <w:p w:rsidR="00C02599" w:rsidRPr="004C3DB4" w:rsidRDefault="00C02599" w:rsidP="00CE7BFA">
            <w:pPr>
              <w:ind w:left="-160" w:right="89"/>
              <w:jc w:val="right"/>
              <w:rPr>
                <w:rFonts w:ascii="Times New Roman" w:hAnsi="Times New Roman" w:cs="Times New Roman"/>
                <w:sz w:val="18"/>
                <w:szCs w:val="18"/>
                <w:lang w:val="en-NZ" w:eastAsia="en-US"/>
              </w:rPr>
            </w:pPr>
          </w:p>
        </w:tc>
        <w:tc>
          <w:tcPr>
            <w:tcW w:w="709" w:type="dxa"/>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15</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 Apr 22</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Maturity</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1,360</w:t>
            </w: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Not required</w:t>
            </w: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708" w:type="dxa"/>
            <w:tcBorders>
              <w:left w:val="single" w:sz="12" w:space="0" w:color="auto"/>
            </w:tcBorders>
          </w:tcPr>
          <w:p w:rsidR="00C02599" w:rsidRPr="004C3DB4" w:rsidRDefault="00481F04"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0.82</w:t>
            </w:r>
          </w:p>
        </w:tc>
        <w:tc>
          <w:tcPr>
            <w:tcW w:w="852" w:type="dxa"/>
          </w:tcPr>
          <w:p w:rsidR="00C02599" w:rsidRPr="004C3DB4" w:rsidRDefault="0018473D" w:rsidP="00CE7BFA">
            <w:pPr>
              <w:ind w:left="-160" w:right="89"/>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1,658.54</w:t>
            </w:r>
          </w:p>
        </w:tc>
        <w:tc>
          <w:tcPr>
            <w:tcW w:w="709" w:type="dxa"/>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16</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Jun 22</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NRFAI calculation date</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Not required</w:t>
            </w: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13.29</w:t>
            </w:r>
          </w:p>
        </w:tc>
        <w:tc>
          <w:tcPr>
            <w:tcW w:w="708" w:type="dxa"/>
            <w:tcBorders>
              <w:left w:val="single" w:sz="12" w:space="0" w:color="auto"/>
            </w:tcBorders>
          </w:tcPr>
          <w:p w:rsidR="00C02599" w:rsidRPr="004C3DB4" w:rsidRDefault="00481F04"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0.80</w:t>
            </w:r>
          </w:p>
        </w:tc>
        <w:tc>
          <w:tcPr>
            <w:tcW w:w="852" w:type="dxa"/>
          </w:tcPr>
          <w:p w:rsidR="00C02599" w:rsidRPr="004C3DB4" w:rsidRDefault="00C02599" w:rsidP="00CE7BFA">
            <w:pPr>
              <w:ind w:left="-160" w:right="89"/>
              <w:jc w:val="right"/>
              <w:rPr>
                <w:rFonts w:ascii="Times New Roman" w:hAnsi="Times New Roman" w:cs="Times New Roman"/>
                <w:sz w:val="18"/>
                <w:szCs w:val="18"/>
                <w:lang w:val="en-NZ" w:eastAsia="en-US"/>
              </w:rPr>
            </w:pPr>
          </w:p>
        </w:tc>
        <w:tc>
          <w:tcPr>
            <w:tcW w:w="709" w:type="dxa"/>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right w:val="single" w:sz="12" w:space="0" w:color="auto"/>
            </w:tcBorders>
          </w:tcPr>
          <w:p w:rsidR="00C02599" w:rsidRPr="004C3DB4" w:rsidRDefault="0018473D"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16.61</w:t>
            </w:r>
          </w:p>
        </w:tc>
      </w:tr>
      <w:tr w:rsidR="00C02599" w:rsidRPr="004C3DB4" w:rsidTr="00CE7BFA">
        <w:trPr>
          <w:jc w:val="center"/>
        </w:trPr>
        <w:tc>
          <w:tcPr>
            <w:tcW w:w="426" w:type="dxa"/>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17</w:t>
            </w:r>
          </w:p>
        </w:tc>
        <w:tc>
          <w:tcPr>
            <w:tcW w:w="993" w:type="dxa"/>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20 Jul 22</w:t>
            </w:r>
          </w:p>
        </w:tc>
        <w:tc>
          <w:tcPr>
            <w:tcW w:w="1276" w:type="dxa"/>
            <w:tcBorders>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Maturity NRFAI calculation</w:t>
            </w:r>
          </w:p>
        </w:tc>
        <w:tc>
          <w:tcPr>
            <w:tcW w:w="708"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0" w:type="dxa"/>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p>
        </w:tc>
        <w:tc>
          <w:tcPr>
            <w:tcW w:w="850" w:type="dxa"/>
            <w:tcBorders>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p>
        </w:tc>
        <w:tc>
          <w:tcPr>
            <w:tcW w:w="849" w:type="dxa"/>
            <w:tcBorders>
              <w:left w:val="single" w:sz="12"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1" w:type="dxa"/>
            <w:tcBorders>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0.04</w:t>
            </w:r>
          </w:p>
        </w:tc>
        <w:tc>
          <w:tcPr>
            <w:tcW w:w="708" w:type="dxa"/>
            <w:tcBorders>
              <w:left w:val="single" w:sz="12" w:space="0" w:color="auto"/>
            </w:tcBorders>
          </w:tcPr>
          <w:p w:rsidR="00C02599" w:rsidRPr="004C3DB4" w:rsidRDefault="00481F04"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0.80</w:t>
            </w:r>
          </w:p>
        </w:tc>
        <w:tc>
          <w:tcPr>
            <w:tcW w:w="852" w:type="dxa"/>
          </w:tcPr>
          <w:p w:rsidR="00C02599" w:rsidRPr="004C3DB4" w:rsidRDefault="00C02599" w:rsidP="00CE7BFA">
            <w:pPr>
              <w:ind w:left="-160" w:right="89"/>
              <w:jc w:val="right"/>
              <w:rPr>
                <w:rFonts w:ascii="Times New Roman" w:hAnsi="Times New Roman" w:cs="Times New Roman"/>
                <w:sz w:val="18"/>
                <w:szCs w:val="18"/>
                <w:lang w:val="en-NZ" w:eastAsia="en-US"/>
              </w:rPr>
            </w:pPr>
          </w:p>
        </w:tc>
        <w:tc>
          <w:tcPr>
            <w:tcW w:w="709" w:type="dxa"/>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right w:val="single" w:sz="12" w:space="0" w:color="auto"/>
            </w:tcBorders>
          </w:tcPr>
          <w:p w:rsidR="00C02599" w:rsidRPr="004C3DB4" w:rsidRDefault="0018473D"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0.05</w:t>
            </w:r>
          </w:p>
        </w:tc>
      </w:tr>
      <w:tr w:rsidR="00C02599" w:rsidRPr="004C3DB4" w:rsidTr="00CE7BFA">
        <w:trPr>
          <w:jc w:val="center"/>
        </w:trPr>
        <w:tc>
          <w:tcPr>
            <w:tcW w:w="426" w:type="dxa"/>
            <w:tcBorders>
              <w:bottom w:val="single" w:sz="4" w:space="0" w:color="auto"/>
            </w:tcBorders>
          </w:tcPr>
          <w:p w:rsidR="00C02599" w:rsidRPr="004C3DB4" w:rsidRDefault="00C02599" w:rsidP="003A6D01">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18</w:t>
            </w:r>
          </w:p>
        </w:tc>
        <w:tc>
          <w:tcPr>
            <w:tcW w:w="993" w:type="dxa"/>
            <w:tcBorders>
              <w:bottom w:val="double" w:sz="4"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31 Mar 23</w:t>
            </w:r>
          </w:p>
        </w:tc>
        <w:tc>
          <w:tcPr>
            <w:tcW w:w="1276" w:type="dxa"/>
            <w:tcBorders>
              <w:bottom w:val="double" w:sz="4" w:space="0" w:color="auto"/>
              <w:right w:val="single" w:sz="12" w:space="0" w:color="auto"/>
            </w:tcBorders>
          </w:tcPr>
          <w:p w:rsidR="00C02599" w:rsidRPr="004C3DB4" w:rsidRDefault="00C02599" w:rsidP="00CE7BFA">
            <w:pPr>
              <w:jc w:val="lef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Balance date</w:t>
            </w:r>
          </w:p>
        </w:tc>
        <w:tc>
          <w:tcPr>
            <w:tcW w:w="708" w:type="dxa"/>
            <w:tcBorders>
              <w:left w:val="single" w:sz="12" w:space="0" w:color="auto"/>
              <w:bottom w:val="double" w:sz="4"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0" w:type="dxa"/>
            <w:tcBorders>
              <w:bottom w:val="double" w:sz="4" w:space="0" w:color="auto"/>
            </w:tcBorders>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0.36</w:t>
            </w:r>
          </w:p>
        </w:tc>
        <w:tc>
          <w:tcPr>
            <w:tcW w:w="850" w:type="dxa"/>
            <w:tcBorders>
              <w:bottom w:val="double" w:sz="4" w:space="0" w:color="auto"/>
              <w:right w:val="single" w:sz="12" w:space="0" w:color="auto"/>
            </w:tcBorders>
          </w:tcPr>
          <w:p w:rsidR="00C02599" w:rsidRPr="004C3DB4" w:rsidRDefault="00C02599" w:rsidP="00CE7BFA">
            <w:pPr>
              <w:ind w:left="-84" w:right="113"/>
              <w:jc w:val="right"/>
              <w:rPr>
                <w:rFonts w:ascii="Times New Roman" w:hAnsi="Times New Roman" w:cs="Times New Roman"/>
                <w:sz w:val="18"/>
                <w:szCs w:val="18"/>
                <w:lang w:val="en-NZ" w:eastAsia="en-US"/>
              </w:rPr>
            </w:pPr>
          </w:p>
        </w:tc>
        <w:tc>
          <w:tcPr>
            <w:tcW w:w="849" w:type="dxa"/>
            <w:tcBorders>
              <w:left w:val="single" w:sz="12" w:space="0" w:color="auto"/>
              <w:bottom w:val="double" w:sz="4" w:space="0" w:color="auto"/>
            </w:tcBorders>
          </w:tcPr>
          <w:p w:rsidR="00C02599" w:rsidRPr="004C3DB4" w:rsidRDefault="00C02599" w:rsidP="00CE7BFA">
            <w:pPr>
              <w:ind w:right="113"/>
              <w:jc w:val="right"/>
              <w:rPr>
                <w:rFonts w:ascii="Times New Roman" w:hAnsi="Times New Roman" w:cs="Times New Roman"/>
                <w:sz w:val="18"/>
                <w:szCs w:val="18"/>
                <w:lang w:val="en-NZ" w:eastAsia="en-US"/>
              </w:rPr>
            </w:pPr>
          </w:p>
        </w:tc>
        <w:tc>
          <w:tcPr>
            <w:tcW w:w="851" w:type="dxa"/>
            <w:tcBorders>
              <w:bottom w:val="double" w:sz="4" w:space="0" w:color="auto"/>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708" w:type="dxa"/>
            <w:tcBorders>
              <w:left w:val="single" w:sz="12" w:space="0" w:color="auto"/>
              <w:bottom w:val="double" w:sz="4" w:space="0" w:color="auto"/>
            </w:tcBorders>
          </w:tcPr>
          <w:p w:rsidR="00C02599" w:rsidRPr="004C3DB4" w:rsidRDefault="00481F04" w:rsidP="00CE7BFA">
            <w:pPr>
              <w:ind w:left="-160"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0.84</w:t>
            </w:r>
          </w:p>
        </w:tc>
        <w:tc>
          <w:tcPr>
            <w:tcW w:w="852" w:type="dxa"/>
            <w:tcBorders>
              <w:bottom w:val="double" w:sz="4" w:space="0" w:color="auto"/>
            </w:tcBorders>
          </w:tcPr>
          <w:p w:rsidR="00C02599" w:rsidRPr="004C3DB4" w:rsidRDefault="00C02599" w:rsidP="00CE7BFA">
            <w:pPr>
              <w:ind w:left="-160" w:right="89"/>
              <w:jc w:val="right"/>
              <w:rPr>
                <w:rFonts w:ascii="Times New Roman" w:hAnsi="Times New Roman" w:cs="Times New Roman"/>
                <w:sz w:val="18"/>
                <w:szCs w:val="18"/>
                <w:lang w:val="en-NZ" w:eastAsia="en-US"/>
              </w:rPr>
            </w:pPr>
          </w:p>
        </w:tc>
        <w:tc>
          <w:tcPr>
            <w:tcW w:w="709" w:type="dxa"/>
            <w:tcBorders>
              <w:bottom w:val="double" w:sz="4" w:space="0" w:color="auto"/>
            </w:tcBorders>
          </w:tcPr>
          <w:p w:rsidR="00C02599" w:rsidRPr="004C3DB4" w:rsidRDefault="00C02599" w:rsidP="00CE7BFA">
            <w:pPr>
              <w:tabs>
                <w:tab w:val="right" w:pos="563"/>
              </w:tabs>
              <w:ind w:left="-160" w:right="49"/>
              <w:jc w:val="right"/>
              <w:rPr>
                <w:rFonts w:ascii="Times New Roman" w:hAnsi="Times New Roman" w:cs="Times New Roman"/>
                <w:sz w:val="18"/>
                <w:szCs w:val="18"/>
                <w:lang w:val="en-NZ" w:eastAsia="en-US"/>
              </w:rPr>
            </w:pPr>
          </w:p>
        </w:tc>
        <w:tc>
          <w:tcPr>
            <w:tcW w:w="710" w:type="dxa"/>
            <w:tcBorders>
              <w:bottom w:val="double" w:sz="4" w:space="0" w:color="auto"/>
              <w:right w:val="single" w:sz="12" w:space="0" w:color="auto"/>
            </w:tcBorders>
          </w:tcPr>
          <w:p w:rsidR="00C02599" w:rsidRPr="004C3DB4" w:rsidRDefault="00C02599" w:rsidP="00CE7BFA">
            <w:pPr>
              <w:ind w:left="-160" w:right="113"/>
              <w:jc w:val="right"/>
              <w:rPr>
                <w:rFonts w:ascii="Times New Roman" w:hAnsi="Times New Roman" w:cs="Times New Roman"/>
                <w:sz w:val="18"/>
                <w:szCs w:val="18"/>
                <w:lang w:val="en-NZ" w:eastAsia="en-US"/>
              </w:rPr>
            </w:pPr>
          </w:p>
        </w:tc>
      </w:tr>
      <w:tr w:rsidR="00C02599" w:rsidRPr="004C3DB4" w:rsidTr="00CE7BFA">
        <w:trPr>
          <w:jc w:val="center"/>
        </w:trPr>
        <w:tc>
          <w:tcPr>
            <w:tcW w:w="426" w:type="dxa"/>
            <w:tcBorders>
              <w:left w:val="nil"/>
              <w:bottom w:val="nil"/>
            </w:tcBorders>
            <w:vAlign w:val="center"/>
          </w:tcPr>
          <w:p w:rsidR="00C02599" w:rsidRPr="004C3DB4" w:rsidRDefault="00C02599" w:rsidP="00B176B8">
            <w:pPr>
              <w:jc w:val="center"/>
              <w:rPr>
                <w:rFonts w:ascii="Times New Roman" w:hAnsi="Times New Roman" w:cs="Times New Roman"/>
                <w:sz w:val="18"/>
                <w:szCs w:val="18"/>
                <w:lang w:val="en-NZ" w:eastAsia="en-US"/>
              </w:rPr>
            </w:pPr>
          </w:p>
        </w:tc>
        <w:tc>
          <w:tcPr>
            <w:tcW w:w="993" w:type="dxa"/>
            <w:tcBorders>
              <w:top w:val="double" w:sz="4" w:space="0" w:color="auto"/>
            </w:tcBorders>
            <w:vAlign w:val="center"/>
          </w:tcPr>
          <w:p w:rsidR="00C02599" w:rsidRPr="004C3DB4" w:rsidRDefault="00C02599" w:rsidP="00B176B8">
            <w:pPr>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Total</w:t>
            </w:r>
          </w:p>
        </w:tc>
        <w:tc>
          <w:tcPr>
            <w:tcW w:w="1276" w:type="dxa"/>
            <w:tcBorders>
              <w:top w:val="double" w:sz="4" w:space="0" w:color="auto"/>
              <w:right w:val="single" w:sz="12" w:space="0" w:color="auto"/>
            </w:tcBorders>
          </w:tcPr>
          <w:p w:rsidR="00C02599" w:rsidRPr="004C3DB4" w:rsidRDefault="00C02599" w:rsidP="00C02599">
            <w:pPr>
              <w:jc w:val="left"/>
              <w:rPr>
                <w:rFonts w:ascii="Times New Roman" w:hAnsi="Times New Roman" w:cs="Times New Roman"/>
                <w:sz w:val="18"/>
                <w:szCs w:val="18"/>
                <w:lang w:val="en-NZ" w:eastAsia="en-US"/>
              </w:rPr>
            </w:pPr>
          </w:p>
        </w:tc>
        <w:tc>
          <w:tcPr>
            <w:tcW w:w="708" w:type="dxa"/>
            <w:tcBorders>
              <w:top w:val="double" w:sz="4" w:space="0" w:color="auto"/>
              <w:left w:val="single" w:sz="12" w:space="0" w:color="auto"/>
            </w:tcBorders>
            <w:vAlign w:val="center"/>
          </w:tcPr>
          <w:p w:rsidR="00C02599" w:rsidRPr="004C3DB4" w:rsidRDefault="00C02599" w:rsidP="00CE7BFA">
            <w:pPr>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600</w:t>
            </w:r>
          </w:p>
        </w:tc>
        <w:tc>
          <w:tcPr>
            <w:tcW w:w="850" w:type="dxa"/>
            <w:tcBorders>
              <w:top w:val="double" w:sz="4" w:space="0" w:color="auto"/>
            </w:tcBorders>
            <w:vAlign w:val="center"/>
          </w:tcPr>
          <w:p w:rsidR="00C02599" w:rsidRPr="004C3DB4" w:rsidRDefault="00C02599" w:rsidP="00CE7BFA">
            <w:pPr>
              <w:tabs>
                <w:tab w:val="right" w:pos="761"/>
              </w:tabs>
              <w:ind w:right="113"/>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600</w:t>
            </w:r>
          </w:p>
        </w:tc>
        <w:tc>
          <w:tcPr>
            <w:tcW w:w="850" w:type="dxa"/>
            <w:tcBorders>
              <w:top w:val="double" w:sz="4" w:space="0" w:color="auto"/>
              <w:right w:val="single" w:sz="12" w:space="0" w:color="auto"/>
            </w:tcBorders>
            <w:vAlign w:val="center"/>
          </w:tcPr>
          <w:p w:rsidR="00C02599" w:rsidRPr="004C3DB4" w:rsidRDefault="00C02599" w:rsidP="00CE7BFA">
            <w:pPr>
              <w:ind w:left="-84" w:right="113"/>
              <w:jc w:val="right"/>
              <w:rPr>
                <w:rFonts w:ascii="Times New Roman" w:hAnsi="Times New Roman" w:cs="Times New Roman"/>
                <w:sz w:val="18"/>
                <w:szCs w:val="18"/>
                <w:lang w:val="en-NZ" w:eastAsia="en-US"/>
              </w:rPr>
            </w:pPr>
          </w:p>
        </w:tc>
        <w:tc>
          <w:tcPr>
            <w:tcW w:w="1700" w:type="dxa"/>
            <w:gridSpan w:val="2"/>
            <w:tcBorders>
              <w:top w:val="double" w:sz="4" w:space="0" w:color="auto"/>
              <w:left w:val="single" w:sz="12" w:space="0" w:color="auto"/>
              <w:right w:val="single" w:sz="12" w:space="0" w:color="auto"/>
            </w:tcBorders>
            <w:vAlign w:val="center"/>
          </w:tcPr>
          <w:p w:rsidR="00C02599" w:rsidRPr="004C3DB4" w:rsidRDefault="00C02599" w:rsidP="00B176B8">
            <w:pPr>
              <w:ind w:left="-160"/>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60</w:t>
            </w:r>
          </w:p>
        </w:tc>
        <w:tc>
          <w:tcPr>
            <w:tcW w:w="708" w:type="dxa"/>
            <w:tcBorders>
              <w:top w:val="double" w:sz="4" w:space="0" w:color="auto"/>
              <w:left w:val="single" w:sz="12" w:space="0" w:color="auto"/>
            </w:tcBorders>
            <w:vAlign w:val="center"/>
          </w:tcPr>
          <w:p w:rsidR="00C02599" w:rsidRPr="004C3DB4" w:rsidRDefault="00C02599" w:rsidP="00CE7BFA">
            <w:pPr>
              <w:ind w:left="-160" w:right="113"/>
              <w:jc w:val="right"/>
              <w:rPr>
                <w:rFonts w:ascii="Times New Roman" w:hAnsi="Times New Roman" w:cs="Times New Roman"/>
                <w:sz w:val="18"/>
                <w:szCs w:val="18"/>
                <w:lang w:val="en-NZ" w:eastAsia="en-US"/>
              </w:rPr>
            </w:pPr>
          </w:p>
        </w:tc>
        <w:tc>
          <w:tcPr>
            <w:tcW w:w="852" w:type="dxa"/>
            <w:tcBorders>
              <w:top w:val="double" w:sz="4" w:space="0" w:color="auto"/>
            </w:tcBorders>
            <w:vAlign w:val="center"/>
          </w:tcPr>
          <w:p w:rsidR="00C02599" w:rsidRPr="004C3DB4" w:rsidRDefault="0018473D" w:rsidP="00CE7BFA">
            <w:pPr>
              <w:ind w:left="-160" w:right="89"/>
              <w:jc w:val="right"/>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755.09</w:t>
            </w:r>
          </w:p>
        </w:tc>
        <w:tc>
          <w:tcPr>
            <w:tcW w:w="1419" w:type="dxa"/>
            <w:gridSpan w:val="2"/>
            <w:tcBorders>
              <w:top w:val="double" w:sz="4" w:space="0" w:color="auto"/>
              <w:right w:val="single" w:sz="12" w:space="0" w:color="auto"/>
            </w:tcBorders>
            <w:vAlign w:val="center"/>
          </w:tcPr>
          <w:p w:rsidR="00C02599" w:rsidRPr="004C3DB4" w:rsidRDefault="0018473D" w:rsidP="00B176B8">
            <w:pPr>
              <w:ind w:left="-160"/>
              <w:jc w:val="center"/>
              <w:rPr>
                <w:rFonts w:ascii="Times New Roman" w:hAnsi="Times New Roman" w:cs="Times New Roman"/>
                <w:sz w:val="18"/>
                <w:szCs w:val="18"/>
                <w:lang w:val="en-NZ" w:eastAsia="en-US"/>
              </w:rPr>
            </w:pPr>
            <w:r w:rsidRPr="004C3DB4">
              <w:rPr>
                <w:rFonts w:ascii="Times New Roman" w:hAnsi="Times New Roman" w:cs="Times New Roman"/>
                <w:sz w:val="18"/>
                <w:szCs w:val="18"/>
                <w:lang w:val="en-NZ" w:eastAsia="en-US"/>
              </w:rPr>
              <w:t>81.61</w:t>
            </w:r>
          </w:p>
        </w:tc>
      </w:tr>
    </w:tbl>
    <w:p w:rsidR="00C02599" w:rsidRDefault="00C02599" w:rsidP="00C02599">
      <w:pPr>
        <w:jc w:val="left"/>
        <w:rPr>
          <w:rFonts w:eastAsiaTheme="minorHAnsi"/>
          <w:sz w:val="20"/>
          <w:lang w:val="en-NZ" w:eastAsia="en-US"/>
        </w:rPr>
      </w:pPr>
    </w:p>
    <w:p w:rsidR="00015CDF" w:rsidRPr="00C02599" w:rsidRDefault="00015CDF" w:rsidP="00C02599">
      <w:pPr>
        <w:jc w:val="left"/>
        <w:rPr>
          <w:rFonts w:eastAsiaTheme="minorHAnsi"/>
          <w:sz w:val="20"/>
          <w:lang w:val="en-NZ" w:eastAsia="en-US"/>
        </w:rPr>
      </w:pPr>
    </w:p>
    <w:p w:rsidR="00C02599" w:rsidRPr="00CE7BFA" w:rsidRDefault="00C02599" w:rsidP="00CE7BFA">
      <w:pPr>
        <w:jc w:val="left"/>
        <w:rPr>
          <w:rFonts w:eastAsiaTheme="minorHAnsi"/>
          <w:sz w:val="18"/>
          <w:lang w:val="en-NZ" w:eastAsia="en-US"/>
        </w:rPr>
      </w:pPr>
      <w:r w:rsidRPr="00CE7BFA">
        <w:rPr>
          <w:rFonts w:eastAsiaTheme="minorHAnsi"/>
          <w:sz w:val="18"/>
          <w:lang w:val="en-NZ" w:eastAsia="en-US"/>
        </w:rPr>
        <w:t>Notes:</w:t>
      </w:r>
    </w:p>
    <w:p w:rsidR="00C02599" w:rsidRPr="00CE7BFA" w:rsidRDefault="00C02599" w:rsidP="00CE7BFA">
      <w:pPr>
        <w:numPr>
          <w:ilvl w:val="0"/>
          <w:numId w:val="3"/>
        </w:numPr>
        <w:rPr>
          <w:rFonts w:eastAsiaTheme="minorHAnsi"/>
          <w:sz w:val="18"/>
          <w:lang w:val="en-NZ" w:eastAsia="en-US"/>
        </w:rPr>
      </w:pPr>
      <w:r w:rsidRPr="00CE7BFA">
        <w:rPr>
          <w:rFonts w:eastAsiaTheme="minorHAnsi"/>
          <w:sz w:val="18"/>
          <w:lang w:val="en-NZ" w:eastAsia="en-US"/>
        </w:rPr>
        <w:t>These US$ calculations are identical to the NZ$ borrowing in example 2 except the NRWT amount needs to be converted to NZ$ as shown in the four rightmost columns.</w:t>
      </w:r>
    </w:p>
    <w:p w:rsidR="0018473D" w:rsidRPr="00CE7BFA" w:rsidRDefault="0018473D" w:rsidP="00CE7BFA">
      <w:pPr>
        <w:numPr>
          <w:ilvl w:val="0"/>
          <w:numId w:val="3"/>
        </w:numPr>
        <w:rPr>
          <w:rFonts w:eastAsiaTheme="minorHAnsi"/>
          <w:sz w:val="18"/>
          <w:lang w:val="en-NZ" w:eastAsia="en-US"/>
        </w:rPr>
      </w:pPr>
      <w:r w:rsidRPr="00CE7BFA">
        <w:rPr>
          <w:rFonts w:eastAsiaTheme="minorHAnsi"/>
          <w:sz w:val="18"/>
          <w:lang w:val="en-NZ" w:eastAsia="en-US"/>
        </w:rPr>
        <w:t>The income tax deduction shown in column 5 is calculated in US$ before being converted into NZ$.  This conversion is not shown in the table above.</w:t>
      </w:r>
    </w:p>
    <w:p w:rsidR="00C02599" w:rsidRPr="00CE7BFA" w:rsidRDefault="00C02599" w:rsidP="00CE7BFA">
      <w:pPr>
        <w:numPr>
          <w:ilvl w:val="0"/>
          <w:numId w:val="3"/>
        </w:numPr>
        <w:rPr>
          <w:rFonts w:eastAsiaTheme="minorHAnsi"/>
          <w:sz w:val="18"/>
          <w:lang w:val="en-NZ" w:eastAsia="en-US"/>
        </w:rPr>
      </w:pPr>
      <w:r w:rsidRPr="00CE7BFA">
        <w:rPr>
          <w:rFonts w:eastAsiaTheme="minorHAnsi"/>
          <w:sz w:val="18"/>
          <w:lang w:val="en-NZ" w:eastAsia="en-US"/>
        </w:rPr>
        <w:t>Following these rules NRWT of NZ$</w:t>
      </w:r>
      <w:r w:rsidR="0018473D" w:rsidRPr="00CE7BFA">
        <w:rPr>
          <w:rFonts w:eastAsiaTheme="minorHAnsi"/>
          <w:sz w:val="18"/>
          <w:lang w:val="en-NZ" w:eastAsia="en-US"/>
        </w:rPr>
        <w:t>81.61</w:t>
      </w:r>
      <w:r w:rsidRPr="00CE7BFA">
        <w:rPr>
          <w:rFonts w:eastAsiaTheme="minorHAnsi"/>
          <w:sz w:val="18"/>
          <w:lang w:val="en-NZ" w:eastAsia="en-US"/>
        </w:rPr>
        <w:t xml:space="preserve"> is paid.  This compares to NRWT under the existing </w:t>
      </w:r>
      <w:r w:rsidR="00E646E0" w:rsidRPr="00CE7BFA">
        <w:rPr>
          <w:rFonts w:eastAsiaTheme="minorHAnsi"/>
          <w:sz w:val="18"/>
          <w:lang w:val="en-NZ" w:eastAsia="en-US"/>
        </w:rPr>
        <w:t xml:space="preserve">payment basis NRWT </w:t>
      </w:r>
      <w:r w:rsidRPr="00CE7BFA">
        <w:rPr>
          <w:rFonts w:eastAsiaTheme="minorHAnsi"/>
          <w:sz w:val="18"/>
          <w:lang w:val="en-NZ" w:eastAsia="en-US"/>
        </w:rPr>
        <w:t>rul</w:t>
      </w:r>
      <w:r w:rsidR="00B85B78" w:rsidRPr="00CE7BFA">
        <w:rPr>
          <w:rFonts w:eastAsiaTheme="minorHAnsi"/>
          <w:sz w:val="18"/>
          <w:lang w:val="en-NZ" w:eastAsia="en-US"/>
        </w:rPr>
        <w:t>es of NZ$78.54</w:t>
      </w:r>
      <w:r w:rsidRPr="00CE7BFA">
        <w:rPr>
          <w:rFonts w:eastAsiaTheme="minorHAnsi"/>
          <w:sz w:val="18"/>
          <w:lang w:val="en-NZ" w:eastAsia="en-US"/>
        </w:rPr>
        <w:t>.  Whether the NRFAI rules result in higher or lower NZ$ NRWT will depend on how exchange rates move over</w:t>
      </w:r>
      <w:r w:rsidR="004D5BC5" w:rsidRPr="00CE7BFA">
        <w:rPr>
          <w:rFonts w:eastAsiaTheme="minorHAnsi"/>
          <w:sz w:val="18"/>
          <w:lang w:val="en-NZ" w:eastAsia="en-US"/>
        </w:rPr>
        <w:t xml:space="preserve"> the term of the arrangement</w:t>
      </w:r>
      <w:r w:rsidRPr="00CE7BFA">
        <w:rPr>
          <w:rFonts w:eastAsiaTheme="minorHAnsi"/>
          <w:sz w:val="18"/>
          <w:lang w:val="en-NZ" w:eastAsia="en-US"/>
        </w:rPr>
        <w:t>.</w:t>
      </w:r>
    </w:p>
    <w:p w:rsidR="00B62867" w:rsidRDefault="00B62867" w:rsidP="001779E9">
      <w:pPr>
        <w:pStyle w:val="ListParagraph"/>
        <w:ind w:left="0"/>
        <w:rPr>
          <w:lang w:val="en-NZ"/>
        </w:rPr>
      </w:pPr>
    </w:p>
    <w:p w:rsidR="00CE7BFA" w:rsidRDefault="00CE7BFA">
      <w:pPr>
        <w:jc w:val="left"/>
        <w:rPr>
          <w:lang w:val="en-NZ"/>
        </w:rPr>
      </w:pPr>
      <w:r>
        <w:rPr>
          <w:lang w:val="en-NZ"/>
        </w:rPr>
        <w:br w:type="page"/>
      </w:r>
    </w:p>
    <w:p w:rsidR="00BC7819" w:rsidRDefault="001779E9" w:rsidP="001779E9">
      <w:pPr>
        <w:pStyle w:val="ListParagraph"/>
        <w:ind w:left="0"/>
        <w:rPr>
          <w:lang w:val="en-NZ"/>
        </w:rPr>
      </w:pPr>
      <w:r>
        <w:rPr>
          <w:lang w:val="en-NZ"/>
        </w:rPr>
        <w:t>O</w:t>
      </w:r>
      <w:r w:rsidR="00465CFE">
        <w:rPr>
          <w:lang w:val="en-NZ"/>
        </w:rPr>
        <w:t>fficials agreed in the O</w:t>
      </w:r>
      <w:r>
        <w:rPr>
          <w:lang w:val="en-NZ"/>
        </w:rPr>
        <w:t>fficials</w:t>
      </w:r>
      <w:r w:rsidR="00CF7EDE">
        <w:rPr>
          <w:lang w:val="en-NZ"/>
        </w:rPr>
        <w:t>’</w:t>
      </w:r>
      <w:r>
        <w:rPr>
          <w:lang w:val="en-NZ"/>
        </w:rPr>
        <w:t xml:space="preserve"> report to the bill that introduced these rules to provide novation examples which are set out below.  Some of the facts in these examples appear non-commercial but are provided to illustrate how the NRFAI rules would apply.</w:t>
      </w:r>
    </w:p>
    <w:p w:rsidR="001779E9" w:rsidRDefault="001779E9" w:rsidP="001779E9">
      <w:pPr>
        <w:pStyle w:val="ListParagraph"/>
        <w:ind w:left="0"/>
        <w:rPr>
          <w:lang w:val="en-NZ"/>
        </w:rPr>
      </w:pPr>
    </w:p>
    <w:p w:rsidR="00015CDF" w:rsidRPr="00BC7819" w:rsidRDefault="00015CDF" w:rsidP="001779E9">
      <w:pPr>
        <w:pStyle w:val="ListParagraph"/>
        <w:ind w:left="0"/>
        <w:rPr>
          <w:lang w:val="en-NZ"/>
        </w:rPr>
      </w:pPr>
    </w:p>
    <w:p w:rsidR="00BC7819" w:rsidRPr="00BC7819" w:rsidRDefault="00BC7819" w:rsidP="001F211E">
      <w:pPr>
        <w:pBdr>
          <w:top w:val="single" w:sz="4" w:space="11" w:color="auto"/>
          <w:left w:val="single" w:sz="4" w:space="10" w:color="auto"/>
          <w:bottom w:val="single" w:sz="4" w:space="10" w:color="auto"/>
          <w:right w:val="single" w:sz="4" w:space="10" w:color="auto"/>
        </w:pBdr>
        <w:jc w:val="left"/>
        <w:rPr>
          <w:b/>
          <w:sz w:val="20"/>
          <w:lang w:val="en-NZ"/>
        </w:rPr>
      </w:pPr>
      <w:r w:rsidRPr="00BC7819">
        <w:rPr>
          <w:b/>
          <w:sz w:val="20"/>
          <w:lang w:val="en-NZ"/>
        </w:rPr>
        <w:t xml:space="preserve">Example </w:t>
      </w:r>
      <w:r w:rsidR="008F2327">
        <w:rPr>
          <w:b/>
          <w:sz w:val="20"/>
          <w:lang w:val="en-NZ"/>
        </w:rPr>
        <w:t>6</w:t>
      </w:r>
      <w:r w:rsidRPr="00BC7819">
        <w:rPr>
          <w:b/>
          <w:sz w:val="20"/>
          <w:lang w:val="en-NZ"/>
        </w:rPr>
        <w:t xml:space="preserve">: </w:t>
      </w:r>
      <w:r>
        <w:rPr>
          <w:b/>
          <w:sz w:val="20"/>
          <w:lang w:val="en-NZ"/>
        </w:rPr>
        <w:t>Novation</w:t>
      </w:r>
      <w:r w:rsidR="00196DAF">
        <w:rPr>
          <w:b/>
          <w:sz w:val="20"/>
          <w:lang w:val="en-NZ"/>
        </w:rPr>
        <w:t xml:space="preserve"> – borrower </w:t>
      </w:r>
      <w:r w:rsidR="004B3D18">
        <w:rPr>
          <w:b/>
          <w:sz w:val="20"/>
          <w:lang w:val="en-NZ"/>
        </w:rPr>
        <w:t xml:space="preserve">pays </w:t>
      </w:r>
      <w:r w:rsidR="00196DAF">
        <w:rPr>
          <w:b/>
          <w:sz w:val="20"/>
          <w:lang w:val="en-NZ"/>
        </w:rPr>
        <w:t>less than face value</w:t>
      </w:r>
    </w:p>
    <w:p w:rsidR="00BC7819" w:rsidRPr="00BC7819" w:rsidRDefault="00BC7819" w:rsidP="001F211E">
      <w:pPr>
        <w:pBdr>
          <w:top w:val="single" w:sz="4" w:space="11" w:color="auto"/>
          <w:left w:val="single" w:sz="4" w:space="10" w:color="auto"/>
          <w:bottom w:val="single" w:sz="4" w:space="10" w:color="auto"/>
          <w:right w:val="single" w:sz="4" w:space="10" w:color="auto"/>
        </w:pBdr>
        <w:jc w:val="left"/>
        <w:rPr>
          <w:sz w:val="20"/>
          <w:lang w:val="en-NZ"/>
        </w:rPr>
      </w:pPr>
    </w:p>
    <w:p w:rsidR="00BC7819" w:rsidRDefault="00BC7819" w:rsidP="001F211E">
      <w:pPr>
        <w:pBdr>
          <w:top w:val="single" w:sz="4" w:space="11" w:color="auto"/>
          <w:left w:val="single" w:sz="4" w:space="10" w:color="auto"/>
          <w:bottom w:val="single" w:sz="4" w:space="10" w:color="auto"/>
          <w:right w:val="single" w:sz="4" w:space="10" w:color="auto"/>
        </w:pBdr>
        <w:rPr>
          <w:sz w:val="20"/>
          <w:lang w:val="en-NZ"/>
        </w:rPr>
      </w:pPr>
      <w:r>
        <w:rPr>
          <w:sz w:val="20"/>
          <w:lang w:val="en-NZ"/>
        </w:rPr>
        <w:t>NZ Co borrows $1,000 from its non-resident parent US Co wit</w:t>
      </w:r>
      <w:r w:rsidR="00C7017B">
        <w:rPr>
          <w:sz w:val="20"/>
          <w:lang w:val="en-NZ"/>
        </w:rPr>
        <w:t>h annual interest payments of $5</w:t>
      </w:r>
      <w:r>
        <w:rPr>
          <w:sz w:val="20"/>
          <w:lang w:val="en-NZ"/>
        </w:rPr>
        <w:t>0 and the principal repaid upon maturity in 10 years.</w:t>
      </w:r>
    </w:p>
    <w:p w:rsidR="00BC7819" w:rsidRDefault="00BC7819" w:rsidP="001F211E">
      <w:pPr>
        <w:pBdr>
          <w:top w:val="single" w:sz="4" w:space="11" w:color="auto"/>
          <w:left w:val="single" w:sz="4" w:space="10" w:color="auto"/>
          <w:bottom w:val="single" w:sz="4" w:space="10" w:color="auto"/>
          <w:right w:val="single" w:sz="4" w:space="10" w:color="auto"/>
        </w:pBdr>
        <w:rPr>
          <w:sz w:val="20"/>
          <w:lang w:val="en-NZ"/>
        </w:rPr>
      </w:pPr>
    </w:p>
    <w:p w:rsidR="00BC7819" w:rsidRDefault="00BC7819" w:rsidP="001F211E">
      <w:pPr>
        <w:pBdr>
          <w:top w:val="single" w:sz="4" w:space="11" w:color="auto"/>
          <w:left w:val="single" w:sz="4" w:space="10" w:color="auto"/>
          <w:bottom w:val="single" w:sz="4" w:space="10" w:color="auto"/>
          <w:right w:val="single" w:sz="4" w:space="10" w:color="auto"/>
        </w:pBdr>
        <w:rPr>
          <w:sz w:val="20"/>
          <w:lang w:val="en-NZ"/>
        </w:rPr>
      </w:pPr>
      <w:r>
        <w:rPr>
          <w:sz w:val="20"/>
          <w:lang w:val="en-NZ"/>
        </w:rPr>
        <w:t>For each of the first three years</w:t>
      </w:r>
      <w:r w:rsidR="00C7017B">
        <w:rPr>
          <w:sz w:val="20"/>
          <w:lang w:val="en-NZ"/>
        </w:rPr>
        <w:t xml:space="preserve"> NZ Co pays $5</w:t>
      </w:r>
      <w:r>
        <w:rPr>
          <w:sz w:val="20"/>
          <w:lang w:val="en-NZ"/>
        </w:rPr>
        <w:t>0 interest and withholds $</w:t>
      </w:r>
      <w:r w:rsidR="00C7017B">
        <w:rPr>
          <w:sz w:val="20"/>
          <w:lang w:val="en-NZ"/>
        </w:rPr>
        <w:t>5</w:t>
      </w:r>
      <w:r>
        <w:rPr>
          <w:sz w:val="20"/>
          <w:lang w:val="en-NZ"/>
        </w:rPr>
        <w:t xml:space="preserve"> of NRWT.  As NZ Co</w:t>
      </w:r>
      <w:r w:rsidR="00CF7EDE">
        <w:rPr>
          <w:sz w:val="20"/>
          <w:lang w:val="en-NZ"/>
        </w:rPr>
        <w:t>’</w:t>
      </w:r>
      <w:r>
        <w:rPr>
          <w:sz w:val="20"/>
          <w:lang w:val="en-NZ"/>
        </w:rPr>
        <w:t>s interest deductions and payments match</w:t>
      </w:r>
      <w:r w:rsidR="00B62867">
        <w:rPr>
          <w:sz w:val="20"/>
          <w:lang w:val="en-NZ"/>
        </w:rPr>
        <w:t>,</w:t>
      </w:r>
      <w:r>
        <w:rPr>
          <w:sz w:val="20"/>
          <w:lang w:val="en-NZ"/>
        </w:rPr>
        <w:t xml:space="preserve"> the deferral calculation is not triggered so NRFAI does not arise.</w:t>
      </w:r>
    </w:p>
    <w:p w:rsidR="00BC7819" w:rsidRDefault="00BC7819" w:rsidP="001F211E">
      <w:pPr>
        <w:pBdr>
          <w:top w:val="single" w:sz="4" w:space="11" w:color="auto"/>
          <w:left w:val="single" w:sz="4" w:space="10" w:color="auto"/>
          <w:bottom w:val="single" w:sz="4" w:space="10" w:color="auto"/>
          <w:right w:val="single" w:sz="4" w:space="10" w:color="auto"/>
        </w:pBdr>
        <w:rPr>
          <w:sz w:val="20"/>
          <w:lang w:val="en-NZ"/>
        </w:rPr>
      </w:pPr>
    </w:p>
    <w:p w:rsidR="005732C0" w:rsidRDefault="00BC7819" w:rsidP="001F211E">
      <w:pPr>
        <w:pBdr>
          <w:top w:val="single" w:sz="4" w:space="11" w:color="auto"/>
          <w:left w:val="single" w:sz="4" w:space="10" w:color="auto"/>
          <w:bottom w:val="single" w:sz="4" w:space="10" w:color="auto"/>
          <w:right w:val="single" w:sz="4" w:space="10" w:color="auto"/>
        </w:pBdr>
        <w:rPr>
          <w:sz w:val="20"/>
          <w:lang w:val="en-NZ"/>
        </w:rPr>
      </w:pPr>
      <w:r>
        <w:rPr>
          <w:sz w:val="20"/>
          <w:lang w:val="en-NZ"/>
        </w:rPr>
        <w:t>At the start of year four NZ Co</w:t>
      </w:r>
      <w:r w:rsidR="005732C0">
        <w:rPr>
          <w:sz w:val="20"/>
          <w:lang w:val="en-NZ"/>
        </w:rPr>
        <w:t xml:space="preserve"> pays NZ Sub Co, a related party, $800 to </w:t>
      </w:r>
      <w:r w:rsidR="00C3378F">
        <w:rPr>
          <w:sz w:val="20"/>
          <w:lang w:val="en-NZ"/>
        </w:rPr>
        <w:t xml:space="preserve">take over its </w:t>
      </w:r>
      <w:r w:rsidR="005732C0">
        <w:rPr>
          <w:sz w:val="20"/>
          <w:lang w:val="en-NZ"/>
        </w:rPr>
        <w:t>obligation under the loan.  NZ Co</w:t>
      </w:r>
      <w:r>
        <w:rPr>
          <w:sz w:val="20"/>
          <w:lang w:val="en-NZ"/>
        </w:rPr>
        <w:t xml:space="preserve"> </w:t>
      </w:r>
      <w:r w:rsidR="005732C0">
        <w:rPr>
          <w:sz w:val="20"/>
          <w:lang w:val="en-NZ"/>
        </w:rPr>
        <w:t>is no longer party to the financial arrangement so completes a bas</w:t>
      </w:r>
      <w:r w:rsidR="00C7017B">
        <w:rPr>
          <w:sz w:val="20"/>
          <w:lang w:val="en-NZ"/>
        </w:rPr>
        <w:t>e price adjustment that shows $2</w:t>
      </w:r>
      <w:r w:rsidR="005732C0">
        <w:rPr>
          <w:sz w:val="20"/>
          <w:lang w:val="en-NZ"/>
        </w:rPr>
        <w:t xml:space="preserve">00 of income.  NZ Sub Co spreads the $200 difference between the amount </w:t>
      </w:r>
      <w:r w:rsidR="00751BAA">
        <w:rPr>
          <w:sz w:val="20"/>
          <w:lang w:val="en-NZ"/>
        </w:rPr>
        <w:t xml:space="preserve">it </w:t>
      </w:r>
      <w:r w:rsidR="005732C0">
        <w:rPr>
          <w:sz w:val="20"/>
          <w:lang w:val="en-NZ"/>
        </w:rPr>
        <w:t xml:space="preserve">received and the principal repayment over the remaining </w:t>
      </w:r>
      <w:r w:rsidR="00B62867">
        <w:rPr>
          <w:sz w:val="20"/>
          <w:lang w:val="en-NZ"/>
        </w:rPr>
        <w:t>six</w:t>
      </w:r>
      <w:r w:rsidR="005732C0">
        <w:rPr>
          <w:sz w:val="20"/>
          <w:lang w:val="en-NZ"/>
        </w:rPr>
        <w:t xml:space="preserve"> years of the arrangement.</w:t>
      </w:r>
    </w:p>
    <w:p w:rsidR="005732C0" w:rsidRDefault="005732C0" w:rsidP="001F211E">
      <w:pPr>
        <w:pBdr>
          <w:top w:val="single" w:sz="4" w:space="11" w:color="auto"/>
          <w:left w:val="single" w:sz="4" w:space="10" w:color="auto"/>
          <w:bottom w:val="single" w:sz="4" w:space="10" w:color="auto"/>
          <w:right w:val="single" w:sz="4" w:space="10" w:color="auto"/>
        </w:pBdr>
        <w:rPr>
          <w:sz w:val="20"/>
          <w:lang w:val="en-NZ"/>
        </w:rPr>
      </w:pPr>
    </w:p>
    <w:p w:rsidR="00BC7819" w:rsidRPr="00BC7819" w:rsidRDefault="005732C0" w:rsidP="001F211E">
      <w:pPr>
        <w:pBdr>
          <w:top w:val="single" w:sz="4" w:space="11" w:color="auto"/>
          <w:left w:val="single" w:sz="4" w:space="10" w:color="auto"/>
          <w:bottom w:val="single" w:sz="4" w:space="10" w:color="auto"/>
          <w:right w:val="single" w:sz="4" w:space="10" w:color="auto"/>
        </w:pBdr>
        <w:rPr>
          <w:sz w:val="20"/>
          <w:lang w:val="en-NZ"/>
        </w:rPr>
      </w:pPr>
      <w:r>
        <w:rPr>
          <w:sz w:val="20"/>
          <w:lang w:val="en-NZ"/>
        </w:rPr>
        <w:t>At the end of year four NZ Sub Co pays $</w:t>
      </w:r>
      <w:r w:rsidR="00C7017B">
        <w:rPr>
          <w:sz w:val="20"/>
          <w:lang w:val="en-NZ"/>
        </w:rPr>
        <w:t>5</w:t>
      </w:r>
      <w:r>
        <w:rPr>
          <w:sz w:val="20"/>
          <w:lang w:val="en-NZ"/>
        </w:rPr>
        <w:t xml:space="preserve">0 interest and withholds NRWT.  The deferral calculation </w:t>
      </w:r>
      <w:r w:rsidR="001F412E">
        <w:rPr>
          <w:sz w:val="20"/>
          <w:lang w:val="en-NZ"/>
        </w:rPr>
        <w:t>at the end of year four is treated as more than 90% under section RF 2</w:t>
      </w:r>
      <w:r w:rsidR="00CD776B">
        <w:rPr>
          <w:sz w:val="20"/>
          <w:lang w:val="en-NZ"/>
        </w:rPr>
        <w:t>C</w:t>
      </w:r>
      <w:r w:rsidR="001F412E">
        <w:rPr>
          <w:sz w:val="20"/>
          <w:lang w:val="en-NZ"/>
        </w:rPr>
        <w:t>(</w:t>
      </w:r>
      <w:r w:rsidR="00CD776B">
        <w:rPr>
          <w:sz w:val="20"/>
          <w:lang w:val="en-NZ"/>
        </w:rPr>
        <w:t>6</w:t>
      </w:r>
      <w:r w:rsidR="001F412E">
        <w:rPr>
          <w:sz w:val="20"/>
          <w:lang w:val="en-NZ"/>
        </w:rPr>
        <w:t xml:space="preserve">).  </w:t>
      </w:r>
      <w:r w:rsidR="0057202B">
        <w:rPr>
          <w:sz w:val="20"/>
          <w:lang w:val="en-NZ"/>
        </w:rPr>
        <w:t>The deferral calculation at the end of year five does not include any portion of the $200 deduction as this amount is expenditure that is not, and will not be, received by US Co so is excluded under section RF 12D(</w:t>
      </w:r>
      <w:r w:rsidR="00CD776B">
        <w:rPr>
          <w:sz w:val="20"/>
          <w:lang w:val="en-NZ"/>
        </w:rPr>
        <w:t>3</w:t>
      </w:r>
      <w:r w:rsidR="0057202B">
        <w:rPr>
          <w:sz w:val="20"/>
          <w:lang w:val="en-NZ"/>
        </w:rPr>
        <w:t>)</w:t>
      </w:r>
      <w:r w:rsidR="00BD36CE">
        <w:rPr>
          <w:sz w:val="20"/>
          <w:lang w:val="en-NZ"/>
        </w:rPr>
        <w:t>.</w:t>
      </w:r>
    </w:p>
    <w:p w:rsidR="00BC7819" w:rsidRPr="00BB4237" w:rsidRDefault="00BC7819" w:rsidP="00BB4237">
      <w:pPr>
        <w:pStyle w:val="ListParagraph"/>
        <w:ind w:left="0"/>
        <w:rPr>
          <w:lang w:val="en-NZ"/>
        </w:rPr>
      </w:pPr>
    </w:p>
    <w:p w:rsidR="00625ADD" w:rsidRPr="00BB4237" w:rsidRDefault="00625ADD" w:rsidP="00BB4237">
      <w:pPr>
        <w:pStyle w:val="ListParagraph"/>
        <w:ind w:left="0"/>
        <w:rPr>
          <w:lang w:val="en-NZ"/>
        </w:rPr>
      </w:pPr>
    </w:p>
    <w:p w:rsidR="00196DAF" w:rsidRPr="00BC7819" w:rsidRDefault="00196DAF" w:rsidP="00196DAF">
      <w:pPr>
        <w:pBdr>
          <w:top w:val="single" w:sz="4" w:space="10" w:color="auto"/>
          <w:left w:val="single" w:sz="4" w:space="10" w:color="auto"/>
          <w:bottom w:val="single" w:sz="4" w:space="10" w:color="auto"/>
          <w:right w:val="single" w:sz="4" w:space="10" w:color="auto"/>
        </w:pBdr>
        <w:jc w:val="left"/>
        <w:rPr>
          <w:b/>
          <w:sz w:val="20"/>
          <w:lang w:val="en-NZ"/>
        </w:rPr>
      </w:pPr>
      <w:r w:rsidRPr="00BC7819">
        <w:rPr>
          <w:b/>
          <w:sz w:val="20"/>
          <w:lang w:val="en-NZ"/>
        </w:rPr>
        <w:t xml:space="preserve">Example </w:t>
      </w:r>
      <w:r w:rsidR="008F2327">
        <w:rPr>
          <w:b/>
          <w:sz w:val="20"/>
          <w:lang w:val="en-NZ"/>
        </w:rPr>
        <w:t>7</w:t>
      </w:r>
      <w:r w:rsidRPr="00BC7819">
        <w:rPr>
          <w:b/>
          <w:sz w:val="20"/>
          <w:lang w:val="en-NZ"/>
        </w:rPr>
        <w:t xml:space="preserve">: </w:t>
      </w:r>
      <w:r>
        <w:rPr>
          <w:b/>
          <w:sz w:val="20"/>
          <w:lang w:val="en-NZ"/>
        </w:rPr>
        <w:t xml:space="preserve">Novation – borrower </w:t>
      </w:r>
      <w:r w:rsidR="005D50E2">
        <w:rPr>
          <w:b/>
          <w:sz w:val="20"/>
          <w:lang w:val="en-NZ"/>
        </w:rPr>
        <w:t xml:space="preserve">pays </w:t>
      </w:r>
      <w:r>
        <w:rPr>
          <w:b/>
          <w:sz w:val="20"/>
          <w:lang w:val="en-NZ"/>
        </w:rPr>
        <w:t>more than face value</w:t>
      </w:r>
    </w:p>
    <w:p w:rsidR="00196DAF" w:rsidRPr="00BC7819" w:rsidRDefault="00196DAF" w:rsidP="00196DAF">
      <w:pPr>
        <w:pBdr>
          <w:top w:val="single" w:sz="4" w:space="10" w:color="auto"/>
          <w:left w:val="single" w:sz="4" w:space="10" w:color="auto"/>
          <w:bottom w:val="single" w:sz="4" w:space="10" w:color="auto"/>
          <w:right w:val="single" w:sz="4" w:space="10" w:color="auto"/>
        </w:pBdr>
        <w:jc w:val="left"/>
        <w:rPr>
          <w:sz w:val="20"/>
          <w:lang w:val="en-NZ"/>
        </w:rPr>
      </w:pPr>
    </w:p>
    <w:p w:rsidR="00196DAF" w:rsidRDefault="00196DAF" w:rsidP="00196DAF">
      <w:pPr>
        <w:pBdr>
          <w:top w:val="single" w:sz="4" w:space="10" w:color="auto"/>
          <w:left w:val="single" w:sz="4" w:space="10" w:color="auto"/>
          <w:bottom w:val="single" w:sz="4" w:space="10" w:color="auto"/>
          <w:right w:val="single" w:sz="4" w:space="10" w:color="auto"/>
        </w:pBdr>
        <w:rPr>
          <w:sz w:val="20"/>
          <w:lang w:val="en-NZ"/>
        </w:rPr>
      </w:pPr>
      <w:r>
        <w:rPr>
          <w:sz w:val="20"/>
          <w:lang w:val="en-NZ"/>
        </w:rPr>
        <w:t>NZ Co borrows $1,000 from its non-resident parent US Co wit</w:t>
      </w:r>
      <w:r w:rsidR="00C7017B">
        <w:rPr>
          <w:sz w:val="20"/>
          <w:lang w:val="en-NZ"/>
        </w:rPr>
        <w:t>h annual interest payments of $5</w:t>
      </w:r>
      <w:r>
        <w:rPr>
          <w:sz w:val="20"/>
          <w:lang w:val="en-NZ"/>
        </w:rPr>
        <w:t>0 and the principal repaid upon maturity in 10 years.</w:t>
      </w:r>
    </w:p>
    <w:p w:rsidR="00196DAF" w:rsidRDefault="00196DAF" w:rsidP="00196DAF">
      <w:pPr>
        <w:pBdr>
          <w:top w:val="single" w:sz="4" w:space="10" w:color="auto"/>
          <w:left w:val="single" w:sz="4" w:space="10" w:color="auto"/>
          <w:bottom w:val="single" w:sz="4" w:space="10" w:color="auto"/>
          <w:right w:val="single" w:sz="4" w:space="10" w:color="auto"/>
        </w:pBdr>
        <w:rPr>
          <w:sz w:val="20"/>
          <w:lang w:val="en-NZ"/>
        </w:rPr>
      </w:pPr>
    </w:p>
    <w:p w:rsidR="00196DAF" w:rsidRDefault="00196DAF" w:rsidP="00196DAF">
      <w:pPr>
        <w:pBdr>
          <w:top w:val="single" w:sz="4" w:space="10" w:color="auto"/>
          <w:left w:val="single" w:sz="4" w:space="10" w:color="auto"/>
          <w:bottom w:val="single" w:sz="4" w:space="10" w:color="auto"/>
          <w:right w:val="single" w:sz="4" w:space="10" w:color="auto"/>
        </w:pBdr>
        <w:rPr>
          <w:sz w:val="20"/>
          <w:lang w:val="en-NZ"/>
        </w:rPr>
      </w:pPr>
      <w:r>
        <w:rPr>
          <w:sz w:val="20"/>
          <w:lang w:val="en-NZ"/>
        </w:rPr>
        <w:t>For each of the</w:t>
      </w:r>
      <w:r w:rsidR="00C7017B">
        <w:rPr>
          <w:sz w:val="20"/>
          <w:lang w:val="en-NZ"/>
        </w:rPr>
        <w:t xml:space="preserve"> first three years NZ Co pays $5</w:t>
      </w:r>
      <w:r>
        <w:rPr>
          <w:sz w:val="20"/>
          <w:lang w:val="en-NZ"/>
        </w:rPr>
        <w:t>0 interest and withholds $</w:t>
      </w:r>
      <w:r w:rsidR="00C7017B">
        <w:rPr>
          <w:sz w:val="20"/>
          <w:lang w:val="en-NZ"/>
        </w:rPr>
        <w:t>5</w:t>
      </w:r>
      <w:r>
        <w:rPr>
          <w:sz w:val="20"/>
          <w:lang w:val="en-NZ"/>
        </w:rPr>
        <w:t xml:space="preserve"> of NRWT.  As NZ Co</w:t>
      </w:r>
      <w:r w:rsidR="00CF7EDE">
        <w:rPr>
          <w:sz w:val="20"/>
          <w:lang w:val="en-NZ"/>
        </w:rPr>
        <w:t>’</w:t>
      </w:r>
      <w:r>
        <w:rPr>
          <w:sz w:val="20"/>
          <w:lang w:val="en-NZ"/>
        </w:rPr>
        <w:t>s interest deductions and payments match the deferral calculation is not triggered so NRFAI does not arise.</w:t>
      </w:r>
    </w:p>
    <w:p w:rsidR="00196DAF" w:rsidRDefault="00196DAF" w:rsidP="00196DAF">
      <w:pPr>
        <w:pBdr>
          <w:top w:val="single" w:sz="4" w:space="10" w:color="auto"/>
          <w:left w:val="single" w:sz="4" w:space="10" w:color="auto"/>
          <w:bottom w:val="single" w:sz="4" w:space="10" w:color="auto"/>
          <w:right w:val="single" w:sz="4" w:space="10" w:color="auto"/>
        </w:pBdr>
        <w:rPr>
          <w:sz w:val="20"/>
          <w:lang w:val="en-NZ"/>
        </w:rPr>
      </w:pPr>
    </w:p>
    <w:p w:rsidR="00196DAF" w:rsidRDefault="00196DAF" w:rsidP="00196DAF">
      <w:pPr>
        <w:pBdr>
          <w:top w:val="single" w:sz="4" w:space="10" w:color="auto"/>
          <w:left w:val="single" w:sz="4" w:space="10" w:color="auto"/>
          <w:bottom w:val="single" w:sz="4" w:space="10" w:color="auto"/>
          <w:right w:val="single" w:sz="4" w:space="10" w:color="auto"/>
        </w:pBdr>
        <w:rPr>
          <w:sz w:val="20"/>
          <w:lang w:val="en-NZ"/>
        </w:rPr>
      </w:pPr>
      <w:r>
        <w:rPr>
          <w:sz w:val="20"/>
          <w:lang w:val="en-NZ"/>
        </w:rPr>
        <w:t xml:space="preserve">At the start of year four NZ Co pays NZ Sub Co, a related party, $1,200 to </w:t>
      </w:r>
      <w:r w:rsidR="00C3378F">
        <w:rPr>
          <w:sz w:val="20"/>
          <w:lang w:val="en-NZ"/>
        </w:rPr>
        <w:t>take over</w:t>
      </w:r>
      <w:r>
        <w:rPr>
          <w:sz w:val="20"/>
          <w:lang w:val="en-NZ"/>
        </w:rPr>
        <w:t xml:space="preserve"> </w:t>
      </w:r>
      <w:r w:rsidR="00C3378F">
        <w:rPr>
          <w:sz w:val="20"/>
          <w:lang w:val="en-NZ"/>
        </w:rPr>
        <w:t>its</w:t>
      </w:r>
      <w:r>
        <w:rPr>
          <w:sz w:val="20"/>
          <w:lang w:val="en-NZ"/>
        </w:rPr>
        <w:t xml:space="preserve"> obligation under the loan.  NZ Co is no longer party to the financial arrangement so completes a base price adjustment that shows a $200 deduction.  NZ Sub Co spreads the $200 difference between the amount they received and the principal repayment over the remaining </w:t>
      </w:r>
      <w:r w:rsidR="00A50F01">
        <w:rPr>
          <w:sz w:val="20"/>
          <w:lang w:val="en-NZ"/>
        </w:rPr>
        <w:t>six</w:t>
      </w:r>
      <w:r>
        <w:rPr>
          <w:sz w:val="20"/>
          <w:lang w:val="en-NZ"/>
        </w:rPr>
        <w:t xml:space="preserve"> years of the arrangement.</w:t>
      </w:r>
    </w:p>
    <w:p w:rsidR="00196DAF" w:rsidRDefault="00196DAF" w:rsidP="00196DAF">
      <w:pPr>
        <w:pBdr>
          <w:top w:val="single" w:sz="4" w:space="10" w:color="auto"/>
          <w:left w:val="single" w:sz="4" w:space="10" w:color="auto"/>
          <w:bottom w:val="single" w:sz="4" w:space="10" w:color="auto"/>
          <w:right w:val="single" w:sz="4" w:space="10" w:color="auto"/>
        </w:pBdr>
        <w:rPr>
          <w:sz w:val="20"/>
          <w:lang w:val="en-NZ"/>
        </w:rPr>
      </w:pPr>
    </w:p>
    <w:p w:rsidR="00196DAF" w:rsidRPr="00BC7819" w:rsidRDefault="00196DAF" w:rsidP="00196DAF">
      <w:pPr>
        <w:pBdr>
          <w:top w:val="single" w:sz="4" w:space="10" w:color="auto"/>
          <w:left w:val="single" w:sz="4" w:space="10" w:color="auto"/>
          <w:bottom w:val="single" w:sz="4" w:space="10" w:color="auto"/>
          <w:right w:val="single" w:sz="4" w:space="10" w:color="auto"/>
        </w:pBdr>
        <w:rPr>
          <w:sz w:val="20"/>
          <w:lang w:val="en-NZ"/>
        </w:rPr>
      </w:pPr>
      <w:r>
        <w:rPr>
          <w:sz w:val="20"/>
          <w:lang w:val="en-NZ"/>
        </w:rPr>
        <w:t>At the en</w:t>
      </w:r>
      <w:r w:rsidR="00C7017B">
        <w:rPr>
          <w:sz w:val="20"/>
          <w:lang w:val="en-NZ"/>
        </w:rPr>
        <w:t>d of year four NZ Sub Co pays $5</w:t>
      </w:r>
      <w:r>
        <w:rPr>
          <w:sz w:val="20"/>
          <w:lang w:val="en-NZ"/>
        </w:rPr>
        <w:t>0 interest and withholds NRWT.  The deferral calculation at the end of year four is treated as more than 90% under section RF 2</w:t>
      </w:r>
      <w:r w:rsidR="00AE150D">
        <w:rPr>
          <w:sz w:val="20"/>
          <w:lang w:val="en-NZ"/>
        </w:rPr>
        <w:t>C</w:t>
      </w:r>
      <w:r>
        <w:rPr>
          <w:sz w:val="20"/>
          <w:lang w:val="en-NZ"/>
        </w:rPr>
        <w:t>(</w:t>
      </w:r>
      <w:r w:rsidR="00AE150D">
        <w:rPr>
          <w:sz w:val="20"/>
          <w:lang w:val="en-NZ"/>
        </w:rPr>
        <w:t>6</w:t>
      </w:r>
      <w:r>
        <w:rPr>
          <w:sz w:val="20"/>
          <w:lang w:val="en-NZ"/>
        </w:rPr>
        <w:t xml:space="preserve">).  The deferral calculation at the end of year five and each subsequent year shows </w:t>
      </w:r>
      <w:r w:rsidR="00C7017B">
        <w:rPr>
          <w:sz w:val="20"/>
          <w:lang w:val="en-NZ"/>
        </w:rPr>
        <w:t>cumulative payments exceed cumulative deductions so NRFAI is never triggered and NRWT remains on a payments basis</w:t>
      </w:r>
      <w:r>
        <w:rPr>
          <w:sz w:val="20"/>
          <w:lang w:val="en-NZ"/>
        </w:rPr>
        <w:t>.</w:t>
      </w:r>
    </w:p>
    <w:p w:rsidR="00196DAF" w:rsidRDefault="00196DAF" w:rsidP="00625ADD">
      <w:pPr>
        <w:jc w:val="left"/>
        <w:rPr>
          <w:lang w:val="en-NZ"/>
        </w:rPr>
      </w:pPr>
    </w:p>
    <w:p w:rsidR="00BB4237" w:rsidRDefault="00BB4237">
      <w:pPr>
        <w:jc w:val="left"/>
        <w:rPr>
          <w:b/>
          <w:sz w:val="20"/>
          <w:lang w:val="en-NZ"/>
        </w:rPr>
      </w:pPr>
      <w:r>
        <w:rPr>
          <w:b/>
          <w:sz w:val="20"/>
          <w:lang w:val="en-NZ"/>
        </w:rPr>
        <w:br w:type="page"/>
      </w:r>
    </w:p>
    <w:p w:rsidR="00BB4237" w:rsidRDefault="001B4C95" w:rsidP="00BB4237">
      <w:pPr>
        <w:jc w:val="left"/>
        <w:rPr>
          <w:b/>
          <w:sz w:val="20"/>
          <w:lang w:val="en-NZ"/>
        </w:rPr>
      </w:pPr>
      <w:r>
        <w:rPr>
          <w:b/>
          <w:i/>
          <w:noProof/>
          <w:lang w:val="en-NZ" w:eastAsia="en-NZ"/>
        </w:rPr>
        <mc:AlternateContent>
          <mc:Choice Requires="wps">
            <w:drawing>
              <wp:anchor distT="0" distB="0" distL="114300" distR="114300" simplePos="0" relativeHeight="251665408" behindDoc="0" locked="0" layoutInCell="1" allowOverlap="1" wp14:anchorId="1DC66AC3" wp14:editId="5FFA71D6">
                <wp:simplePos x="0" y="0"/>
                <wp:positionH relativeFrom="column">
                  <wp:posOffset>-151130</wp:posOffset>
                </wp:positionH>
                <wp:positionV relativeFrom="paragraph">
                  <wp:posOffset>60960</wp:posOffset>
                </wp:positionV>
                <wp:extent cx="6057900" cy="6019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57900" cy="6019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9pt;margin-top:4.8pt;width:477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" filled="f" strokecolor="black [3213]" strokeweight=".5pt"/>
            </w:pict>
          </mc:Fallback>
        </mc:AlternateContent>
      </w:r>
    </w:p>
    <w:p w:rsidR="00BB4237" w:rsidRDefault="00BB4237" w:rsidP="00BB4237">
      <w:pPr>
        <w:jc w:val="left"/>
        <w:rPr>
          <w:b/>
          <w:sz w:val="20"/>
          <w:lang w:val="en-NZ"/>
        </w:rPr>
      </w:pPr>
    </w:p>
    <w:p w:rsidR="00C7017B" w:rsidRPr="00BC7819" w:rsidRDefault="00C7017B" w:rsidP="00BB4237">
      <w:pPr>
        <w:jc w:val="left"/>
        <w:rPr>
          <w:b/>
          <w:sz w:val="20"/>
          <w:lang w:val="en-NZ"/>
        </w:rPr>
      </w:pPr>
      <w:r w:rsidRPr="00BC7819">
        <w:rPr>
          <w:b/>
          <w:sz w:val="20"/>
          <w:lang w:val="en-NZ"/>
        </w:rPr>
        <w:t xml:space="preserve">Example </w:t>
      </w:r>
      <w:r w:rsidR="008F2327">
        <w:rPr>
          <w:b/>
          <w:sz w:val="20"/>
          <w:lang w:val="en-NZ"/>
        </w:rPr>
        <w:t>8</w:t>
      </w:r>
      <w:r w:rsidRPr="00BC7819">
        <w:rPr>
          <w:b/>
          <w:sz w:val="20"/>
          <w:lang w:val="en-NZ"/>
        </w:rPr>
        <w:t xml:space="preserve">: </w:t>
      </w:r>
      <w:r w:rsidR="005D50E2">
        <w:rPr>
          <w:b/>
          <w:sz w:val="20"/>
          <w:lang w:val="en-NZ"/>
        </w:rPr>
        <w:t>Assignment</w:t>
      </w:r>
    </w:p>
    <w:p w:rsidR="00C7017B" w:rsidRPr="00BC7819" w:rsidRDefault="00C7017B" w:rsidP="001B4C95">
      <w:pPr>
        <w:jc w:val="left"/>
        <w:rPr>
          <w:sz w:val="20"/>
          <w:lang w:val="en-NZ"/>
        </w:rPr>
      </w:pPr>
    </w:p>
    <w:p w:rsidR="00C7017B" w:rsidRDefault="00C7017B" w:rsidP="001B4C95">
      <w:pPr>
        <w:rPr>
          <w:sz w:val="20"/>
          <w:lang w:val="en-NZ"/>
        </w:rPr>
      </w:pPr>
      <w:r>
        <w:rPr>
          <w:sz w:val="20"/>
          <w:lang w:val="en-NZ"/>
        </w:rPr>
        <w:t xml:space="preserve">NZ Co borrows $1,000 from its non-resident parent US Co with no annual interest payments and $2,000 repaid upon maturity in 10 years.  </w:t>
      </w:r>
      <w:r w:rsidR="003E5DEE">
        <w:rPr>
          <w:sz w:val="20"/>
          <w:lang w:val="en-NZ"/>
        </w:rPr>
        <w:t xml:space="preserve">The </w:t>
      </w:r>
      <w:r w:rsidR="007E731B">
        <w:rPr>
          <w:sz w:val="20"/>
          <w:lang w:val="en-NZ"/>
        </w:rPr>
        <w:t>YTM</w:t>
      </w:r>
      <w:r w:rsidR="003E5DEE">
        <w:rPr>
          <w:sz w:val="20"/>
          <w:lang w:val="en-NZ"/>
        </w:rPr>
        <w:t xml:space="preserve"> spread is:</w:t>
      </w:r>
    </w:p>
    <w:p w:rsidR="001B4C95" w:rsidRDefault="001B4C95" w:rsidP="001B4C95">
      <w:pPr>
        <w:rPr>
          <w:sz w:val="20"/>
          <w:lang w:val="en-NZ"/>
        </w:rPr>
      </w:pPr>
    </w:p>
    <w:p w:rsidR="002B4ED7" w:rsidRDefault="002B4ED7" w:rsidP="001B4C95">
      <w:pPr>
        <w:rPr>
          <w:sz w:val="20"/>
          <w:lang w:val="en-NZ"/>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941"/>
        <w:gridCol w:w="1410"/>
        <w:gridCol w:w="1410"/>
        <w:gridCol w:w="1410"/>
      </w:tblGrid>
      <w:tr w:rsidR="003E5DEE" w:rsidRPr="004E48F4" w:rsidTr="008641E0">
        <w:trPr>
          <w:tblHeader/>
          <w:jc w:val="center"/>
        </w:trPr>
        <w:tc>
          <w:tcPr>
            <w:tcW w:w="941" w:type="dxa"/>
            <w:vAlign w:val="center"/>
          </w:tcPr>
          <w:p w:rsidR="003E5DEE" w:rsidRPr="009236B7" w:rsidRDefault="004E48F4" w:rsidP="002768B9">
            <w:pPr>
              <w:jc w:val="center"/>
              <w:rPr>
                <w:rFonts w:ascii="Times New Roman" w:hAnsi="Times New Roman" w:cs="Times New Roman"/>
                <w:b/>
                <w:sz w:val="20"/>
                <w:szCs w:val="20"/>
                <w:lang w:val="en-NZ"/>
              </w:rPr>
            </w:pPr>
            <w:r w:rsidRPr="009236B7">
              <w:rPr>
                <w:rFonts w:ascii="Times New Roman" w:hAnsi="Times New Roman" w:cs="Times New Roman"/>
                <w:b/>
                <w:sz w:val="20"/>
                <w:szCs w:val="20"/>
                <w:lang w:val="en-NZ"/>
              </w:rPr>
              <w:t>Year</w:t>
            </w:r>
          </w:p>
        </w:tc>
        <w:tc>
          <w:tcPr>
            <w:tcW w:w="1410" w:type="dxa"/>
            <w:vAlign w:val="center"/>
          </w:tcPr>
          <w:p w:rsidR="003E5DEE" w:rsidRPr="009236B7" w:rsidRDefault="003E5DEE" w:rsidP="002768B9">
            <w:pPr>
              <w:jc w:val="center"/>
              <w:rPr>
                <w:rFonts w:ascii="Times New Roman" w:hAnsi="Times New Roman" w:cs="Times New Roman"/>
                <w:b/>
                <w:sz w:val="20"/>
                <w:szCs w:val="20"/>
                <w:lang w:val="en-NZ"/>
              </w:rPr>
            </w:pPr>
            <w:r w:rsidRPr="009236B7">
              <w:rPr>
                <w:rFonts w:ascii="Times New Roman" w:hAnsi="Times New Roman" w:cs="Times New Roman"/>
                <w:b/>
                <w:sz w:val="20"/>
                <w:szCs w:val="20"/>
                <w:lang w:val="en-NZ"/>
              </w:rPr>
              <w:t>Cashflow</w:t>
            </w:r>
          </w:p>
        </w:tc>
        <w:tc>
          <w:tcPr>
            <w:tcW w:w="1410" w:type="dxa"/>
            <w:vAlign w:val="center"/>
          </w:tcPr>
          <w:p w:rsidR="003E5DEE" w:rsidRPr="009236B7" w:rsidRDefault="003E5DEE" w:rsidP="002768B9">
            <w:pPr>
              <w:jc w:val="center"/>
              <w:rPr>
                <w:rFonts w:ascii="Times New Roman" w:hAnsi="Times New Roman" w:cs="Times New Roman"/>
                <w:b/>
                <w:sz w:val="20"/>
                <w:szCs w:val="20"/>
                <w:lang w:val="en-NZ"/>
              </w:rPr>
            </w:pPr>
            <w:r w:rsidRPr="009236B7">
              <w:rPr>
                <w:rFonts w:ascii="Times New Roman" w:hAnsi="Times New Roman" w:cs="Times New Roman"/>
                <w:b/>
                <w:sz w:val="20"/>
                <w:szCs w:val="20"/>
                <w:lang w:val="en-NZ"/>
              </w:rPr>
              <w:t>Deduction</w:t>
            </w:r>
          </w:p>
        </w:tc>
        <w:tc>
          <w:tcPr>
            <w:tcW w:w="1410" w:type="dxa"/>
            <w:vAlign w:val="center"/>
          </w:tcPr>
          <w:p w:rsidR="003E5DEE" w:rsidRPr="009236B7" w:rsidRDefault="003E5DEE" w:rsidP="002768B9">
            <w:pPr>
              <w:jc w:val="center"/>
              <w:rPr>
                <w:rFonts w:ascii="Times New Roman" w:hAnsi="Times New Roman" w:cs="Times New Roman"/>
                <w:b/>
                <w:sz w:val="20"/>
                <w:szCs w:val="20"/>
                <w:lang w:val="en-NZ"/>
              </w:rPr>
            </w:pPr>
            <w:r w:rsidRPr="009236B7">
              <w:rPr>
                <w:rFonts w:ascii="Times New Roman" w:hAnsi="Times New Roman" w:cs="Times New Roman"/>
                <w:b/>
                <w:sz w:val="20"/>
                <w:szCs w:val="20"/>
                <w:lang w:val="en-NZ"/>
              </w:rPr>
              <w:t>Accrued balance</w:t>
            </w:r>
          </w:p>
        </w:tc>
      </w:tr>
      <w:tr w:rsidR="003E5DEE" w:rsidRPr="004E48F4" w:rsidTr="002B4ED7">
        <w:trPr>
          <w:jc w:val="center"/>
        </w:trPr>
        <w:tc>
          <w:tcPr>
            <w:tcW w:w="941" w:type="dxa"/>
            <w:vAlign w:val="center"/>
          </w:tcPr>
          <w:p w:rsidR="003E5DEE" w:rsidRPr="009236B7" w:rsidRDefault="003E5DEE" w:rsidP="002768B9">
            <w:pPr>
              <w:jc w:val="center"/>
              <w:rPr>
                <w:rFonts w:ascii="Times New Roman" w:hAnsi="Times New Roman" w:cs="Times New Roman"/>
                <w:sz w:val="20"/>
                <w:szCs w:val="20"/>
                <w:lang w:val="en-NZ"/>
              </w:rPr>
            </w:pPr>
            <w:r w:rsidRPr="009236B7">
              <w:rPr>
                <w:rFonts w:ascii="Times New Roman" w:hAnsi="Times New Roman" w:cs="Times New Roman"/>
                <w:sz w:val="20"/>
                <w:lang w:val="en-NZ"/>
              </w:rPr>
              <w:t>0</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1,000</w:t>
            </w:r>
          </w:p>
        </w:tc>
        <w:tc>
          <w:tcPr>
            <w:tcW w:w="1410" w:type="dxa"/>
          </w:tcPr>
          <w:p w:rsidR="003E5DEE" w:rsidRPr="009236B7" w:rsidRDefault="003E5DEE" w:rsidP="002768B9">
            <w:pPr>
              <w:jc w:val="right"/>
              <w:rPr>
                <w:rFonts w:ascii="Times New Roman" w:hAnsi="Times New Roman" w:cs="Times New Roman"/>
                <w:sz w:val="20"/>
                <w:szCs w:val="20"/>
                <w:lang w:val="en-NZ"/>
              </w:rPr>
            </w:pP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1,000.00</w:t>
            </w:r>
          </w:p>
        </w:tc>
      </w:tr>
      <w:tr w:rsidR="003E5DEE" w:rsidRPr="004E48F4" w:rsidTr="002B4ED7">
        <w:trPr>
          <w:jc w:val="center"/>
        </w:trPr>
        <w:tc>
          <w:tcPr>
            <w:tcW w:w="941" w:type="dxa"/>
            <w:vAlign w:val="center"/>
          </w:tcPr>
          <w:p w:rsidR="003E5DEE" w:rsidRPr="009236B7" w:rsidRDefault="003E5DEE" w:rsidP="002768B9">
            <w:pPr>
              <w:jc w:val="center"/>
              <w:rPr>
                <w:rFonts w:ascii="Times New Roman" w:hAnsi="Times New Roman" w:cs="Times New Roman"/>
                <w:sz w:val="20"/>
                <w:szCs w:val="20"/>
                <w:lang w:val="en-NZ"/>
              </w:rPr>
            </w:pPr>
            <w:r w:rsidRPr="009236B7">
              <w:rPr>
                <w:rFonts w:ascii="Times New Roman" w:hAnsi="Times New Roman" w:cs="Times New Roman"/>
                <w:sz w:val="20"/>
                <w:lang w:val="en-NZ"/>
              </w:rPr>
              <w:t>1</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0</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71.77</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1,071.77</w:t>
            </w:r>
          </w:p>
        </w:tc>
      </w:tr>
      <w:tr w:rsidR="003E5DEE" w:rsidRPr="004E48F4" w:rsidTr="002B4ED7">
        <w:trPr>
          <w:jc w:val="center"/>
        </w:trPr>
        <w:tc>
          <w:tcPr>
            <w:tcW w:w="941" w:type="dxa"/>
            <w:vAlign w:val="center"/>
          </w:tcPr>
          <w:p w:rsidR="003E5DEE" w:rsidRPr="009236B7" w:rsidRDefault="003E5DEE" w:rsidP="002768B9">
            <w:pPr>
              <w:jc w:val="center"/>
              <w:rPr>
                <w:rFonts w:ascii="Times New Roman" w:hAnsi="Times New Roman" w:cs="Times New Roman"/>
                <w:sz w:val="20"/>
                <w:szCs w:val="20"/>
                <w:lang w:val="en-NZ"/>
              </w:rPr>
            </w:pPr>
            <w:r w:rsidRPr="009236B7">
              <w:rPr>
                <w:rFonts w:ascii="Times New Roman" w:hAnsi="Times New Roman" w:cs="Times New Roman"/>
                <w:sz w:val="20"/>
                <w:lang w:val="en-NZ"/>
              </w:rPr>
              <w:t>2</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0</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76.92</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1,148.70</w:t>
            </w:r>
          </w:p>
        </w:tc>
      </w:tr>
      <w:tr w:rsidR="003E5DEE" w:rsidRPr="004E48F4" w:rsidTr="002B4ED7">
        <w:trPr>
          <w:jc w:val="center"/>
        </w:trPr>
        <w:tc>
          <w:tcPr>
            <w:tcW w:w="941" w:type="dxa"/>
            <w:vAlign w:val="center"/>
          </w:tcPr>
          <w:p w:rsidR="003E5DEE" w:rsidRPr="009236B7" w:rsidRDefault="003E5DEE" w:rsidP="002768B9">
            <w:pPr>
              <w:jc w:val="center"/>
              <w:rPr>
                <w:rFonts w:ascii="Times New Roman" w:hAnsi="Times New Roman" w:cs="Times New Roman"/>
                <w:sz w:val="20"/>
                <w:szCs w:val="20"/>
                <w:lang w:val="en-NZ"/>
              </w:rPr>
            </w:pPr>
            <w:r w:rsidRPr="009236B7">
              <w:rPr>
                <w:rFonts w:ascii="Times New Roman" w:hAnsi="Times New Roman" w:cs="Times New Roman"/>
                <w:sz w:val="20"/>
                <w:lang w:val="en-NZ"/>
              </w:rPr>
              <w:t>3</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0</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82.45</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1,231.14</w:t>
            </w:r>
          </w:p>
        </w:tc>
      </w:tr>
      <w:tr w:rsidR="003E5DEE" w:rsidRPr="004E48F4" w:rsidTr="002B4ED7">
        <w:trPr>
          <w:jc w:val="center"/>
        </w:trPr>
        <w:tc>
          <w:tcPr>
            <w:tcW w:w="941" w:type="dxa"/>
            <w:vAlign w:val="center"/>
          </w:tcPr>
          <w:p w:rsidR="003E5DEE" w:rsidRPr="009236B7" w:rsidRDefault="003E5DEE" w:rsidP="002768B9">
            <w:pPr>
              <w:jc w:val="center"/>
              <w:rPr>
                <w:rFonts w:ascii="Times New Roman" w:hAnsi="Times New Roman" w:cs="Times New Roman"/>
                <w:sz w:val="20"/>
                <w:szCs w:val="20"/>
                <w:lang w:val="en-NZ"/>
              </w:rPr>
            </w:pPr>
            <w:r w:rsidRPr="009236B7">
              <w:rPr>
                <w:rFonts w:ascii="Times New Roman" w:hAnsi="Times New Roman" w:cs="Times New Roman"/>
                <w:sz w:val="20"/>
                <w:lang w:val="en-NZ"/>
              </w:rPr>
              <w:t>4</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0</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88.36</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1,319.51</w:t>
            </w:r>
          </w:p>
        </w:tc>
      </w:tr>
      <w:tr w:rsidR="003E5DEE" w:rsidRPr="004E48F4" w:rsidTr="002B4ED7">
        <w:trPr>
          <w:jc w:val="center"/>
        </w:trPr>
        <w:tc>
          <w:tcPr>
            <w:tcW w:w="941" w:type="dxa"/>
            <w:vAlign w:val="center"/>
          </w:tcPr>
          <w:p w:rsidR="003E5DEE" w:rsidRPr="009236B7" w:rsidRDefault="003E5DEE" w:rsidP="002768B9">
            <w:pPr>
              <w:jc w:val="center"/>
              <w:rPr>
                <w:rFonts w:ascii="Times New Roman" w:hAnsi="Times New Roman" w:cs="Times New Roman"/>
                <w:sz w:val="20"/>
                <w:szCs w:val="20"/>
                <w:lang w:val="en-NZ"/>
              </w:rPr>
            </w:pPr>
            <w:r w:rsidRPr="009236B7">
              <w:rPr>
                <w:rFonts w:ascii="Times New Roman" w:hAnsi="Times New Roman" w:cs="Times New Roman"/>
                <w:sz w:val="20"/>
                <w:lang w:val="en-NZ"/>
              </w:rPr>
              <w:t>5</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0</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94.71</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1,414.21</w:t>
            </w:r>
          </w:p>
        </w:tc>
      </w:tr>
      <w:tr w:rsidR="003E5DEE" w:rsidRPr="004E48F4" w:rsidTr="002B4ED7">
        <w:trPr>
          <w:jc w:val="center"/>
        </w:trPr>
        <w:tc>
          <w:tcPr>
            <w:tcW w:w="941" w:type="dxa"/>
            <w:vAlign w:val="center"/>
          </w:tcPr>
          <w:p w:rsidR="003E5DEE" w:rsidRPr="009236B7" w:rsidRDefault="003E5DEE" w:rsidP="002768B9">
            <w:pPr>
              <w:jc w:val="center"/>
              <w:rPr>
                <w:rFonts w:ascii="Times New Roman" w:hAnsi="Times New Roman" w:cs="Times New Roman"/>
                <w:sz w:val="20"/>
                <w:szCs w:val="20"/>
                <w:lang w:val="en-NZ"/>
              </w:rPr>
            </w:pPr>
            <w:r w:rsidRPr="009236B7">
              <w:rPr>
                <w:rFonts w:ascii="Times New Roman" w:hAnsi="Times New Roman" w:cs="Times New Roman"/>
                <w:sz w:val="20"/>
                <w:lang w:val="en-NZ"/>
              </w:rPr>
              <w:t>6</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0</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101.50</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1,515.72</w:t>
            </w:r>
          </w:p>
        </w:tc>
      </w:tr>
      <w:tr w:rsidR="003E5DEE" w:rsidRPr="004E48F4" w:rsidTr="002B4ED7">
        <w:trPr>
          <w:jc w:val="center"/>
        </w:trPr>
        <w:tc>
          <w:tcPr>
            <w:tcW w:w="941" w:type="dxa"/>
            <w:vAlign w:val="center"/>
          </w:tcPr>
          <w:p w:rsidR="003E5DEE" w:rsidRPr="009236B7" w:rsidRDefault="003E5DEE" w:rsidP="002768B9">
            <w:pPr>
              <w:jc w:val="center"/>
              <w:rPr>
                <w:rFonts w:ascii="Times New Roman" w:hAnsi="Times New Roman" w:cs="Times New Roman"/>
                <w:sz w:val="20"/>
                <w:szCs w:val="20"/>
                <w:lang w:val="en-NZ"/>
              </w:rPr>
            </w:pPr>
            <w:r w:rsidRPr="009236B7">
              <w:rPr>
                <w:rFonts w:ascii="Times New Roman" w:hAnsi="Times New Roman" w:cs="Times New Roman"/>
                <w:sz w:val="20"/>
                <w:lang w:val="en-NZ"/>
              </w:rPr>
              <w:t>7</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0</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108.79</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1,624.50</w:t>
            </w:r>
          </w:p>
        </w:tc>
      </w:tr>
      <w:tr w:rsidR="003E5DEE" w:rsidRPr="004E48F4" w:rsidTr="002B4ED7">
        <w:trPr>
          <w:jc w:val="center"/>
        </w:trPr>
        <w:tc>
          <w:tcPr>
            <w:tcW w:w="941" w:type="dxa"/>
            <w:vAlign w:val="center"/>
          </w:tcPr>
          <w:p w:rsidR="003E5DEE" w:rsidRPr="009236B7" w:rsidRDefault="003E5DEE" w:rsidP="002768B9">
            <w:pPr>
              <w:jc w:val="center"/>
              <w:rPr>
                <w:rFonts w:ascii="Times New Roman" w:hAnsi="Times New Roman" w:cs="Times New Roman"/>
                <w:sz w:val="20"/>
                <w:szCs w:val="20"/>
                <w:lang w:val="en-NZ"/>
              </w:rPr>
            </w:pPr>
            <w:r w:rsidRPr="009236B7">
              <w:rPr>
                <w:rFonts w:ascii="Times New Roman" w:hAnsi="Times New Roman" w:cs="Times New Roman"/>
                <w:sz w:val="20"/>
                <w:lang w:val="en-NZ"/>
              </w:rPr>
              <w:t>8</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0</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116.60</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1,741.10</w:t>
            </w:r>
          </w:p>
        </w:tc>
      </w:tr>
      <w:tr w:rsidR="003E5DEE" w:rsidRPr="004E48F4" w:rsidTr="002B4ED7">
        <w:trPr>
          <w:jc w:val="center"/>
        </w:trPr>
        <w:tc>
          <w:tcPr>
            <w:tcW w:w="941" w:type="dxa"/>
            <w:vAlign w:val="center"/>
          </w:tcPr>
          <w:p w:rsidR="003E5DEE" w:rsidRPr="009236B7" w:rsidRDefault="003E5DEE" w:rsidP="002768B9">
            <w:pPr>
              <w:jc w:val="center"/>
              <w:rPr>
                <w:rFonts w:ascii="Times New Roman" w:hAnsi="Times New Roman" w:cs="Times New Roman"/>
                <w:sz w:val="20"/>
                <w:szCs w:val="20"/>
                <w:lang w:val="en-NZ"/>
              </w:rPr>
            </w:pPr>
            <w:r w:rsidRPr="009236B7">
              <w:rPr>
                <w:rFonts w:ascii="Times New Roman" w:hAnsi="Times New Roman" w:cs="Times New Roman"/>
                <w:sz w:val="20"/>
                <w:lang w:val="en-NZ"/>
              </w:rPr>
              <w:t>9</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0</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124.96</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1,866.07</w:t>
            </w:r>
          </w:p>
        </w:tc>
      </w:tr>
      <w:tr w:rsidR="003E5DEE" w:rsidRPr="004E48F4" w:rsidTr="002B4ED7">
        <w:trPr>
          <w:jc w:val="center"/>
        </w:trPr>
        <w:tc>
          <w:tcPr>
            <w:tcW w:w="941" w:type="dxa"/>
            <w:vAlign w:val="center"/>
          </w:tcPr>
          <w:p w:rsidR="003E5DEE" w:rsidRPr="009236B7" w:rsidRDefault="003E5DEE" w:rsidP="002768B9">
            <w:pPr>
              <w:jc w:val="center"/>
              <w:rPr>
                <w:rFonts w:ascii="Times New Roman" w:hAnsi="Times New Roman" w:cs="Times New Roman"/>
                <w:sz w:val="20"/>
                <w:szCs w:val="20"/>
                <w:lang w:val="en-NZ"/>
              </w:rPr>
            </w:pPr>
            <w:r w:rsidRPr="009236B7">
              <w:rPr>
                <w:rFonts w:ascii="Times New Roman" w:hAnsi="Times New Roman" w:cs="Times New Roman"/>
                <w:sz w:val="20"/>
                <w:lang w:val="en-NZ"/>
              </w:rPr>
              <w:t>10</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-2,000</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133.93</w:t>
            </w:r>
          </w:p>
        </w:tc>
        <w:tc>
          <w:tcPr>
            <w:tcW w:w="1410" w:type="dxa"/>
          </w:tcPr>
          <w:p w:rsidR="003E5DEE" w:rsidRPr="009236B7" w:rsidRDefault="003E5DEE" w:rsidP="002768B9">
            <w:pPr>
              <w:jc w:val="right"/>
              <w:rPr>
                <w:rFonts w:ascii="Times New Roman" w:hAnsi="Times New Roman" w:cs="Times New Roman"/>
                <w:sz w:val="20"/>
                <w:szCs w:val="20"/>
                <w:lang w:val="en-NZ"/>
              </w:rPr>
            </w:pPr>
            <w:r w:rsidRPr="009236B7">
              <w:rPr>
                <w:rFonts w:ascii="Times New Roman" w:hAnsi="Times New Roman" w:cs="Times New Roman"/>
                <w:sz w:val="20"/>
                <w:lang w:val="en-NZ"/>
              </w:rPr>
              <w:t>0.00</w:t>
            </w:r>
          </w:p>
        </w:tc>
      </w:tr>
    </w:tbl>
    <w:p w:rsidR="001B4C95" w:rsidRDefault="001B4C95" w:rsidP="001B4C95">
      <w:pPr>
        <w:rPr>
          <w:sz w:val="20"/>
          <w:lang w:val="en-NZ"/>
        </w:rPr>
      </w:pPr>
    </w:p>
    <w:p w:rsidR="002B4ED7" w:rsidRDefault="002B4ED7" w:rsidP="001B4C95">
      <w:pPr>
        <w:rPr>
          <w:sz w:val="20"/>
          <w:lang w:val="en-NZ"/>
        </w:rPr>
      </w:pPr>
    </w:p>
    <w:p w:rsidR="00C7017B" w:rsidRDefault="00C7017B" w:rsidP="001B4C95">
      <w:pPr>
        <w:rPr>
          <w:sz w:val="20"/>
          <w:lang w:val="en-NZ"/>
        </w:rPr>
      </w:pPr>
      <w:r>
        <w:rPr>
          <w:sz w:val="20"/>
          <w:lang w:val="en-NZ"/>
        </w:rPr>
        <w:t xml:space="preserve">The deferral calculation at the end of year </w:t>
      </w:r>
      <w:r w:rsidR="004E48F4">
        <w:rPr>
          <w:sz w:val="20"/>
          <w:lang w:val="en-NZ"/>
        </w:rPr>
        <w:t xml:space="preserve">1 </w:t>
      </w:r>
      <w:r>
        <w:rPr>
          <w:sz w:val="20"/>
          <w:lang w:val="en-NZ"/>
        </w:rPr>
        <w:t xml:space="preserve">is treated as more than 90% but at the end of year </w:t>
      </w:r>
      <w:r w:rsidR="00B25B64">
        <w:rPr>
          <w:sz w:val="20"/>
          <w:lang w:val="en-NZ"/>
        </w:rPr>
        <w:t>two</w:t>
      </w:r>
      <w:r w:rsidR="004E48F4">
        <w:rPr>
          <w:sz w:val="20"/>
          <w:lang w:val="en-NZ"/>
        </w:rPr>
        <w:t xml:space="preserve"> </w:t>
      </w:r>
      <w:r>
        <w:rPr>
          <w:sz w:val="20"/>
          <w:lang w:val="en-NZ"/>
        </w:rPr>
        <w:t>is 0% so NRFAI is triggered.</w:t>
      </w:r>
      <w:r w:rsidR="004E48F4">
        <w:rPr>
          <w:sz w:val="20"/>
          <w:lang w:val="en-NZ"/>
        </w:rPr>
        <w:t xml:space="preserve">  NRFAI at year </w:t>
      </w:r>
      <w:r w:rsidR="00B25B64">
        <w:rPr>
          <w:sz w:val="20"/>
          <w:lang w:val="en-NZ"/>
        </w:rPr>
        <w:t>two</w:t>
      </w:r>
      <w:r w:rsidR="004E48F4">
        <w:rPr>
          <w:sz w:val="20"/>
          <w:lang w:val="en-NZ"/>
        </w:rPr>
        <w:t>, including the first year adjustment, is $</w:t>
      </w:r>
      <w:r w:rsidR="009C3566">
        <w:rPr>
          <w:sz w:val="20"/>
          <w:lang w:val="en-NZ"/>
        </w:rPr>
        <w:t>148.69</w:t>
      </w:r>
      <w:r w:rsidR="004E48F4">
        <w:rPr>
          <w:sz w:val="20"/>
          <w:lang w:val="en-NZ"/>
        </w:rPr>
        <w:t xml:space="preserve"> so NRWT of $1</w:t>
      </w:r>
      <w:r w:rsidR="009C3566">
        <w:rPr>
          <w:sz w:val="20"/>
          <w:lang w:val="en-NZ"/>
        </w:rPr>
        <w:t>4</w:t>
      </w:r>
      <w:r w:rsidR="004E48F4">
        <w:rPr>
          <w:sz w:val="20"/>
          <w:lang w:val="en-NZ"/>
        </w:rPr>
        <w:t>.</w:t>
      </w:r>
      <w:r w:rsidR="009C3566">
        <w:rPr>
          <w:sz w:val="20"/>
          <w:lang w:val="en-NZ"/>
        </w:rPr>
        <w:t>87</w:t>
      </w:r>
      <w:r w:rsidR="004E48F4">
        <w:rPr>
          <w:sz w:val="20"/>
          <w:lang w:val="en-NZ"/>
        </w:rPr>
        <w:t xml:space="preserve"> is paid.</w:t>
      </w:r>
    </w:p>
    <w:p w:rsidR="00C7017B" w:rsidRDefault="00C7017B" w:rsidP="001B4C95">
      <w:pPr>
        <w:rPr>
          <w:sz w:val="20"/>
          <w:lang w:val="en-NZ"/>
        </w:rPr>
      </w:pPr>
    </w:p>
    <w:p w:rsidR="00C7017B" w:rsidRDefault="004E48F4" w:rsidP="001B4C95">
      <w:pPr>
        <w:rPr>
          <w:sz w:val="20"/>
          <w:lang w:val="en-NZ"/>
        </w:rPr>
      </w:pPr>
      <w:r>
        <w:rPr>
          <w:sz w:val="20"/>
          <w:lang w:val="en-NZ"/>
        </w:rPr>
        <w:t xml:space="preserve">At the start of year </w:t>
      </w:r>
      <w:r w:rsidR="00B25B64">
        <w:rPr>
          <w:sz w:val="20"/>
          <w:lang w:val="en-NZ"/>
        </w:rPr>
        <w:t>three</w:t>
      </w:r>
      <w:r w:rsidR="00C7017B">
        <w:rPr>
          <w:sz w:val="20"/>
          <w:lang w:val="en-NZ"/>
        </w:rPr>
        <w:t xml:space="preserve"> US Sub </w:t>
      </w:r>
      <w:r w:rsidR="003E5DEE">
        <w:rPr>
          <w:sz w:val="20"/>
          <w:lang w:val="en-NZ"/>
        </w:rPr>
        <w:t xml:space="preserve">Co, a related party, </w:t>
      </w:r>
      <w:r w:rsidR="00C7017B">
        <w:rPr>
          <w:sz w:val="20"/>
          <w:lang w:val="en-NZ"/>
        </w:rPr>
        <w:t xml:space="preserve">pays US Co $1,100 to </w:t>
      </w:r>
      <w:r w:rsidR="00C3378F">
        <w:rPr>
          <w:sz w:val="20"/>
          <w:lang w:val="en-NZ"/>
        </w:rPr>
        <w:t>take over</w:t>
      </w:r>
      <w:r w:rsidR="00545910">
        <w:rPr>
          <w:sz w:val="20"/>
          <w:lang w:val="en-NZ"/>
        </w:rPr>
        <w:t xml:space="preserve"> </w:t>
      </w:r>
      <w:r w:rsidR="00C3378F">
        <w:rPr>
          <w:sz w:val="20"/>
          <w:lang w:val="en-NZ"/>
        </w:rPr>
        <w:t>its</w:t>
      </w:r>
      <w:r w:rsidR="00C7017B">
        <w:rPr>
          <w:sz w:val="20"/>
          <w:lang w:val="en-NZ"/>
        </w:rPr>
        <w:t xml:space="preserve"> rights in the loan.  </w:t>
      </w:r>
      <w:r>
        <w:rPr>
          <w:sz w:val="20"/>
          <w:lang w:val="en-NZ"/>
        </w:rPr>
        <w:t xml:space="preserve">At the end of year </w:t>
      </w:r>
      <w:r w:rsidR="00B25B64">
        <w:rPr>
          <w:sz w:val="20"/>
          <w:lang w:val="en-NZ"/>
        </w:rPr>
        <w:t>three</w:t>
      </w:r>
      <w:r>
        <w:rPr>
          <w:sz w:val="20"/>
          <w:lang w:val="en-NZ"/>
        </w:rPr>
        <w:t xml:space="preserve"> NZ Co is still party to the same arrangement and it is still a related party debt so they pay NRWT of $8.25 on </w:t>
      </w:r>
      <w:r w:rsidR="00B946B4">
        <w:rPr>
          <w:sz w:val="20"/>
          <w:lang w:val="en-NZ"/>
        </w:rPr>
        <w:t xml:space="preserve">the deemed income of $82.45 </w:t>
      </w:r>
      <w:r w:rsidR="00041AFC">
        <w:rPr>
          <w:sz w:val="20"/>
          <w:lang w:val="en-NZ"/>
        </w:rPr>
        <w:t>for the year.</w:t>
      </w:r>
    </w:p>
    <w:p w:rsidR="00041AFC" w:rsidRDefault="00041AFC" w:rsidP="001B4C95">
      <w:pPr>
        <w:rPr>
          <w:sz w:val="20"/>
          <w:lang w:val="en-NZ"/>
        </w:rPr>
      </w:pPr>
    </w:p>
    <w:p w:rsidR="00041AFC" w:rsidRDefault="00041AFC" w:rsidP="001B4C95">
      <w:pPr>
        <w:rPr>
          <w:sz w:val="20"/>
          <w:lang w:val="en-NZ"/>
        </w:rPr>
      </w:pPr>
      <w:r>
        <w:rPr>
          <w:sz w:val="20"/>
          <w:lang w:val="en-NZ"/>
        </w:rPr>
        <w:t>At the end of the arrangement US Co will have derived $100 profit with $15.39 of NRWT withheld while US Sub Co will have derived $900 profit with $84.61 of NRWT withheld.</w:t>
      </w:r>
      <w:r w:rsidR="002768B9">
        <w:rPr>
          <w:sz w:val="20"/>
          <w:lang w:val="en-NZ"/>
        </w:rPr>
        <w:t xml:space="preserve">  This difference arises as the amount paid by US Sub Co for the </w:t>
      </w:r>
      <w:r w:rsidR="005D50E2">
        <w:rPr>
          <w:sz w:val="20"/>
          <w:lang w:val="en-NZ"/>
        </w:rPr>
        <w:t>assignment</w:t>
      </w:r>
      <w:r w:rsidR="002768B9">
        <w:rPr>
          <w:sz w:val="20"/>
          <w:lang w:val="en-NZ"/>
        </w:rPr>
        <w:t xml:space="preserve"> is less than the accrued value at the time of the </w:t>
      </w:r>
      <w:r w:rsidR="00AF5B02">
        <w:rPr>
          <w:sz w:val="20"/>
          <w:lang w:val="en-NZ"/>
        </w:rPr>
        <w:t>assignment</w:t>
      </w:r>
      <w:r w:rsidR="002768B9">
        <w:rPr>
          <w:sz w:val="20"/>
          <w:lang w:val="en-NZ"/>
        </w:rPr>
        <w:t>.</w:t>
      </w:r>
    </w:p>
    <w:p w:rsidR="00C7017B" w:rsidRDefault="00C7017B" w:rsidP="00625ADD">
      <w:pPr>
        <w:jc w:val="left"/>
        <w:rPr>
          <w:lang w:val="en-NZ"/>
        </w:rPr>
      </w:pPr>
    </w:p>
    <w:p w:rsidR="00196DAF" w:rsidRPr="00BB4237" w:rsidRDefault="00196DAF" w:rsidP="00BB4237">
      <w:pPr>
        <w:rPr>
          <w:lang w:val="en-NZ"/>
        </w:rPr>
      </w:pPr>
    </w:p>
    <w:p w:rsidR="002B4ED7" w:rsidRPr="00BB4237" w:rsidRDefault="002B4ED7" w:rsidP="00BB4237">
      <w:pPr>
        <w:rPr>
          <w:lang w:val="en-NZ"/>
        </w:rPr>
      </w:pPr>
    </w:p>
    <w:p w:rsidR="00625ADD" w:rsidRPr="00260412" w:rsidRDefault="00625ADD" w:rsidP="00625ADD">
      <w:pPr>
        <w:pStyle w:val="Heading3"/>
        <w:rPr>
          <w:lang w:val="en-NZ"/>
        </w:rPr>
      </w:pPr>
      <w:r w:rsidRPr="00260412">
        <w:rPr>
          <w:lang w:val="en-NZ"/>
        </w:rPr>
        <w:t>Defining when payments are to a related person</w:t>
      </w:r>
    </w:p>
    <w:p w:rsidR="00625ADD" w:rsidRPr="00260412" w:rsidRDefault="00625ADD" w:rsidP="00625ADD">
      <w:pPr>
        <w:rPr>
          <w:lang w:val="en-NZ"/>
        </w:rPr>
      </w:pPr>
    </w:p>
    <w:p w:rsidR="00883294" w:rsidRPr="00260412" w:rsidRDefault="00625ADD" w:rsidP="002B4ED7">
      <w:pPr>
        <w:rPr>
          <w:lang w:val="en-NZ"/>
        </w:rPr>
      </w:pPr>
      <w:r w:rsidRPr="00260412">
        <w:rPr>
          <w:lang w:val="en-NZ"/>
        </w:rPr>
        <w:t>New Zealand borrowers that meet the requirements of section RF 12(1)(a) can pay AIL on a payment of interest that is NRPI.  When AIL is paid</w:t>
      </w:r>
      <w:r>
        <w:rPr>
          <w:lang w:val="en-NZ"/>
        </w:rPr>
        <w:t>,</w:t>
      </w:r>
      <w:r w:rsidRPr="00260412">
        <w:rPr>
          <w:lang w:val="en-NZ"/>
        </w:rPr>
        <w:t xml:space="preserve"> this NRPI qualifies for a zero-rate of NRWT.</w:t>
      </w:r>
      <w:r w:rsidR="00883294" w:rsidRPr="00883294">
        <w:rPr>
          <w:lang w:val="en-NZ"/>
        </w:rPr>
        <w:t xml:space="preserve"> </w:t>
      </w:r>
      <w:r w:rsidR="00883294">
        <w:rPr>
          <w:lang w:val="en-NZ"/>
        </w:rPr>
        <w:t xml:space="preserve"> </w:t>
      </w:r>
      <w:r w:rsidR="00883294" w:rsidRPr="00260412">
        <w:rPr>
          <w:lang w:val="en-NZ"/>
        </w:rPr>
        <w:t>The requirements of section RF 12(1)(a) include that the borrower is n</w:t>
      </w:r>
      <w:r w:rsidR="00883294">
        <w:rPr>
          <w:lang w:val="en-NZ"/>
        </w:rPr>
        <w:t>ot associated with the lender</w:t>
      </w:r>
      <w:r w:rsidR="00B946B4">
        <w:rPr>
          <w:lang w:val="en-NZ"/>
        </w:rPr>
        <w:t>,</w:t>
      </w:r>
      <w:r w:rsidR="00883294">
        <w:rPr>
          <w:lang w:val="en-NZ"/>
        </w:rPr>
        <w:t xml:space="preserve"> unless the borrower is a member of a New Zealand banking group.</w:t>
      </w:r>
    </w:p>
    <w:p w:rsidR="00625ADD" w:rsidRPr="00260412" w:rsidRDefault="00625ADD" w:rsidP="00625ADD">
      <w:pPr>
        <w:rPr>
          <w:lang w:val="en-NZ"/>
        </w:rPr>
      </w:pPr>
    </w:p>
    <w:p w:rsidR="00625ADD" w:rsidRPr="00260412" w:rsidRDefault="00625ADD" w:rsidP="00625ADD">
      <w:pPr>
        <w:pStyle w:val="Heading4"/>
        <w:rPr>
          <w:lang w:val="en-NZ"/>
        </w:rPr>
      </w:pPr>
      <w:r w:rsidRPr="00260412">
        <w:rPr>
          <w:lang w:val="en-NZ"/>
        </w:rPr>
        <w:t>Back-to-back loans and multi-party arrangements</w:t>
      </w:r>
    </w:p>
    <w:p w:rsidR="00625ADD" w:rsidRPr="00260412" w:rsidRDefault="00625ADD" w:rsidP="00625ADD">
      <w:pPr>
        <w:rPr>
          <w:lang w:val="en-NZ"/>
        </w:rPr>
      </w:pPr>
    </w:p>
    <w:p w:rsidR="00625ADD" w:rsidRPr="00260412" w:rsidRDefault="00B53D67" w:rsidP="00625ADD">
      <w:pPr>
        <w:rPr>
          <w:lang w:val="en-NZ"/>
        </w:rPr>
      </w:pPr>
      <w:r>
        <w:rPr>
          <w:lang w:val="en-NZ"/>
        </w:rPr>
        <w:t xml:space="preserve">Before the enactment of the new rules </w:t>
      </w:r>
      <w:r w:rsidR="00A62C16">
        <w:rPr>
          <w:lang w:val="en-NZ"/>
        </w:rPr>
        <w:t>t</w:t>
      </w:r>
      <w:r w:rsidR="00625ADD" w:rsidRPr="00260412">
        <w:rPr>
          <w:lang w:val="en-NZ"/>
        </w:rPr>
        <w:t xml:space="preserve">he </w:t>
      </w:r>
      <w:r>
        <w:rPr>
          <w:lang w:val="en-NZ"/>
        </w:rPr>
        <w:t xml:space="preserve">NRWT and </w:t>
      </w:r>
      <w:r w:rsidR="00625ADD" w:rsidRPr="00260412">
        <w:rPr>
          <w:lang w:val="en-NZ"/>
        </w:rPr>
        <w:t>AIL rules d</w:t>
      </w:r>
      <w:r>
        <w:rPr>
          <w:lang w:val="en-NZ"/>
        </w:rPr>
        <w:t>id</w:t>
      </w:r>
      <w:r w:rsidR="00625ADD" w:rsidRPr="00260412">
        <w:rPr>
          <w:lang w:val="en-NZ"/>
        </w:rPr>
        <w:t xml:space="preserve"> not </w:t>
      </w:r>
      <w:r w:rsidR="00CF7EDE">
        <w:rPr>
          <w:lang w:val="en-NZ"/>
        </w:rPr>
        <w:t>“</w:t>
      </w:r>
      <w:r w:rsidR="00625ADD" w:rsidRPr="00260412">
        <w:rPr>
          <w:lang w:val="en-NZ"/>
        </w:rPr>
        <w:t>look through</w:t>
      </w:r>
      <w:r w:rsidR="00CF7EDE">
        <w:rPr>
          <w:lang w:val="en-NZ"/>
        </w:rPr>
        <w:t>”</w:t>
      </w:r>
      <w:r w:rsidR="00625ADD" w:rsidRPr="00260412">
        <w:rPr>
          <w:lang w:val="en-NZ"/>
        </w:rPr>
        <w:t xml:space="preserve"> to the ultimate lender to a New Zealand borrower.  </w:t>
      </w:r>
      <w:r w:rsidR="00625ADD">
        <w:rPr>
          <w:lang w:val="en-NZ"/>
        </w:rPr>
        <w:t>Leaving aside the possible application of the general anti-avoidance provision, t</w:t>
      </w:r>
      <w:r w:rsidR="00625ADD" w:rsidRPr="00260412">
        <w:rPr>
          <w:lang w:val="en-NZ"/>
        </w:rPr>
        <w:t>his allow</w:t>
      </w:r>
      <w:r w:rsidR="00B176B8">
        <w:rPr>
          <w:lang w:val="en-NZ"/>
        </w:rPr>
        <w:t>ed</w:t>
      </w:r>
      <w:r w:rsidR="00625ADD" w:rsidRPr="00260412">
        <w:rPr>
          <w:lang w:val="en-NZ"/>
        </w:rPr>
        <w:t xml:space="preserve"> a New Zealand borrower to interpose one or more third parties into what would otherwise be a loan from an associated person.  An example of </w:t>
      </w:r>
      <w:r w:rsidR="00625ADD">
        <w:rPr>
          <w:lang w:val="en-NZ"/>
        </w:rPr>
        <w:t xml:space="preserve">this type of </w:t>
      </w:r>
      <w:r w:rsidR="00625ADD" w:rsidRPr="00260412">
        <w:rPr>
          <w:lang w:val="en-NZ"/>
        </w:rPr>
        <w:t>arrangement is a back-to-back loan.</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Arrangements have also been entered into </w:t>
      </w:r>
      <w:r>
        <w:rPr>
          <w:lang w:val="en-NZ"/>
        </w:rPr>
        <w:t>that</w:t>
      </w:r>
      <w:r w:rsidRPr="00260412">
        <w:rPr>
          <w:lang w:val="en-NZ"/>
        </w:rPr>
        <w:t xml:space="preserve"> are not back-to-back loans in the conventional sense but which also involve indirect funding by a non-resident lender to a resident associated borrower without the imposition of NRWT, while maintaining an income tax deduction calculated under the financial arrangement rules.</w:t>
      </w:r>
    </w:p>
    <w:p w:rsidR="00625ADD" w:rsidRPr="00260412" w:rsidRDefault="00625ADD" w:rsidP="00625ADD">
      <w:pPr>
        <w:rPr>
          <w:lang w:val="en-NZ"/>
        </w:rPr>
      </w:pPr>
    </w:p>
    <w:p w:rsidR="00625ADD" w:rsidRPr="00260412" w:rsidRDefault="005B01C2" w:rsidP="00625ADD">
      <w:pPr>
        <w:rPr>
          <w:lang w:val="en-NZ"/>
        </w:rPr>
      </w:pPr>
      <w:r>
        <w:rPr>
          <w:lang w:val="en-NZ"/>
        </w:rPr>
        <w:t>Amendments now define t</w:t>
      </w:r>
      <w:r w:rsidR="00625ADD" w:rsidRPr="00260412">
        <w:rPr>
          <w:lang w:val="en-NZ"/>
        </w:rPr>
        <w:t xml:space="preserve">hese back-to-back loans and multi-party arrangements as </w:t>
      </w:r>
      <w:r w:rsidR="00CF7EDE">
        <w:rPr>
          <w:lang w:val="en-NZ"/>
        </w:rPr>
        <w:t>“</w:t>
      </w:r>
      <w:r w:rsidR="00625ADD" w:rsidRPr="00260412">
        <w:rPr>
          <w:lang w:val="en-NZ"/>
        </w:rPr>
        <w:t>indirect associated funding</w:t>
      </w:r>
      <w:r w:rsidR="00CF7EDE">
        <w:rPr>
          <w:lang w:val="en-NZ"/>
        </w:rPr>
        <w:t>”</w:t>
      </w:r>
      <w:r>
        <w:rPr>
          <w:lang w:val="en-NZ"/>
        </w:rPr>
        <w:t xml:space="preserve"> if they are entered into with the purpose or effect that the borrower incurs financial arrangement expenditure and the associate does not derive non-resident passive income from the borrower</w:t>
      </w:r>
      <w:r w:rsidR="00625ADD" w:rsidRPr="00260412">
        <w:rPr>
          <w:lang w:val="en-NZ"/>
        </w:rPr>
        <w:t xml:space="preserve">.  Interest payments on indirect associated funding </w:t>
      </w:r>
      <w:r>
        <w:rPr>
          <w:lang w:val="en-NZ"/>
        </w:rPr>
        <w:t xml:space="preserve">are </w:t>
      </w:r>
      <w:r w:rsidR="00625ADD" w:rsidRPr="00260412">
        <w:rPr>
          <w:lang w:val="en-NZ"/>
        </w:rPr>
        <w:t xml:space="preserve">ineligible for AIL and </w:t>
      </w:r>
      <w:r>
        <w:rPr>
          <w:lang w:val="en-NZ"/>
        </w:rPr>
        <w:t xml:space="preserve">the </w:t>
      </w:r>
      <w:r w:rsidR="00625ADD" w:rsidRPr="00260412">
        <w:rPr>
          <w:lang w:val="en-NZ"/>
        </w:rPr>
        <w:t>New Zealand</w:t>
      </w:r>
      <w:r w:rsidR="00625ADD">
        <w:rPr>
          <w:lang w:val="en-NZ"/>
        </w:rPr>
        <w:t>-</w:t>
      </w:r>
      <w:r w:rsidR="00625ADD" w:rsidRPr="00260412">
        <w:rPr>
          <w:lang w:val="en-NZ"/>
        </w:rPr>
        <w:t xml:space="preserve">resident (or </w:t>
      </w:r>
      <w:r w:rsidR="00625ADD">
        <w:rPr>
          <w:lang w:val="en-NZ"/>
        </w:rPr>
        <w:t>New Zealand</w:t>
      </w:r>
      <w:r>
        <w:rPr>
          <w:lang w:val="en-NZ"/>
        </w:rPr>
        <w:t xml:space="preserve"> branch</w:t>
      </w:r>
      <w:r w:rsidR="00625ADD" w:rsidRPr="00260412">
        <w:rPr>
          <w:lang w:val="en-NZ"/>
        </w:rPr>
        <w:t xml:space="preserve"> of a non-resident) borrower will have to consider whether NRFAI arises if interest payments on indirect associated funding have an inappropriate amount of deferral compared with income tax deductions.</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Indirect associated funding arises when a non-resident associate of a New Zealand borrower provides funding, directly or indirectly, to a third party so it can be provided to the New Zealand borrower or to reimburse the third party for funds provided to the New Zealand borrower.  This also </w:t>
      </w:r>
      <w:r w:rsidR="005B01C2">
        <w:rPr>
          <w:lang w:val="en-NZ"/>
        </w:rPr>
        <w:t>applies</w:t>
      </w:r>
      <w:r w:rsidRPr="00260412">
        <w:rPr>
          <w:lang w:val="en-NZ"/>
        </w:rPr>
        <w:t xml:space="preserve"> to arrangements where part of the funding is provided by an associated non-resident and part is provided by the third party.  This is achieved by treating any amount lent by or repaid to the associate as being lent directly to the New Zealand borrower rather than the third party.  Any interest payments made by the New Zealand borrower to the third party are treated as being made by the New Zealand borrower to the third party as agent for the associate, to the extent they are attributable </w:t>
      </w:r>
      <w:r>
        <w:rPr>
          <w:lang w:val="en-NZ"/>
        </w:rPr>
        <w:t>to money lent by the associate.</w:t>
      </w:r>
    </w:p>
    <w:p w:rsidR="00625ADD" w:rsidRPr="00260412" w:rsidRDefault="00625ADD" w:rsidP="00625ADD">
      <w:pPr>
        <w:rPr>
          <w:lang w:val="en-NZ"/>
        </w:rPr>
      </w:pPr>
    </w:p>
    <w:p w:rsidR="00625ADD" w:rsidRDefault="00625ADD" w:rsidP="00625ADD">
      <w:pPr>
        <w:rPr>
          <w:lang w:val="en-NZ"/>
        </w:rPr>
      </w:pPr>
      <w:r>
        <w:rPr>
          <w:lang w:val="en-NZ"/>
        </w:rPr>
        <w:t>The</w:t>
      </w:r>
      <w:r w:rsidRPr="00260412">
        <w:rPr>
          <w:lang w:val="en-NZ"/>
        </w:rPr>
        <w:t xml:space="preserve"> </w:t>
      </w:r>
      <w:r w:rsidR="004B0354">
        <w:rPr>
          <w:lang w:val="en-NZ"/>
        </w:rPr>
        <w:t>amendments</w:t>
      </w:r>
      <w:r w:rsidRPr="00260412">
        <w:rPr>
          <w:lang w:val="en-NZ"/>
        </w:rPr>
        <w:t xml:space="preserve"> capture all arrangements involving a New Zealand borrower, third party and an associated non-resident </w:t>
      </w:r>
      <w:r>
        <w:rPr>
          <w:lang w:val="en-NZ"/>
        </w:rPr>
        <w:t>if</w:t>
      </w:r>
      <w:r w:rsidRPr="00260412">
        <w:rPr>
          <w:lang w:val="en-NZ"/>
        </w:rPr>
        <w:t xml:space="preserve"> there is some linkage between the two amounts of funding provided, but not arrangements where there is no linkage, other than the existence of a common third party.</w:t>
      </w:r>
    </w:p>
    <w:p w:rsidR="00870ACB" w:rsidRDefault="00870ACB" w:rsidP="00625ADD">
      <w:pPr>
        <w:rPr>
          <w:lang w:val="en-NZ"/>
        </w:rPr>
      </w:pPr>
    </w:p>
    <w:p w:rsidR="00870ACB" w:rsidRDefault="00870ACB" w:rsidP="00625ADD">
      <w:pPr>
        <w:rPr>
          <w:lang w:val="en-NZ"/>
        </w:rPr>
      </w:pPr>
      <w:r>
        <w:rPr>
          <w:lang w:val="en-NZ"/>
        </w:rPr>
        <w:t>If a borrower does not withhold NRWT on an indirect funding arrangement the direct lender will be required to do so (even if they are themselves a New Zealand resident).  This is consistent with the existing treatment of NRWT not being withheld by a payer, aside from the following points:</w:t>
      </w:r>
    </w:p>
    <w:p w:rsidR="0012328E" w:rsidRDefault="0012328E" w:rsidP="00625ADD">
      <w:pPr>
        <w:rPr>
          <w:lang w:val="en-NZ"/>
        </w:rPr>
      </w:pPr>
    </w:p>
    <w:p w:rsidR="00870ACB" w:rsidRDefault="00870ACB" w:rsidP="002B4ED7">
      <w:pPr>
        <w:pStyle w:val="ListParagraph"/>
        <w:numPr>
          <w:ilvl w:val="0"/>
          <w:numId w:val="3"/>
        </w:numPr>
        <w:spacing w:after="140"/>
        <w:ind w:left="567" w:hanging="567"/>
        <w:contextualSpacing w:val="0"/>
        <w:rPr>
          <w:lang w:val="en-NZ"/>
        </w:rPr>
      </w:pPr>
      <w:r>
        <w:rPr>
          <w:lang w:val="en-NZ"/>
        </w:rPr>
        <w:t xml:space="preserve">The direct lender will not have an obligation to deduct NRWT </w:t>
      </w:r>
      <w:r w:rsidR="003B7A48">
        <w:rPr>
          <w:lang w:val="en-NZ"/>
        </w:rPr>
        <w:t xml:space="preserve">from the payment received </w:t>
      </w:r>
      <w:r>
        <w:rPr>
          <w:lang w:val="en-NZ"/>
        </w:rPr>
        <w:t>if they have taken action</w:t>
      </w:r>
      <w:r w:rsidR="003B7A48">
        <w:rPr>
          <w:lang w:val="en-NZ"/>
        </w:rPr>
        <w:t>s</w:t>
      </w:r>
      <w:r>
        <w:rPr>
          <w:lang w:val="en-NZ"/>
        </w:rPr>
        <w:t xml:space="preserve"> to confirm this is not </w:t>
      </w:r>
      <w:r w:rsidR="003B7A48">
        <w:rPr>
          <w:lang w:val="en-NZ"/>
        </w:rPr>
        <w:t xml:space="preserve">a back-to-back loan </w:t>
      </w:r>
      <w:r>
        <w:rPr>
          <w:lang w:val="en-NZ"/>
        </w:rPr>
        <w:t>but have incorrect information</w:t>
      </w:r>
      <w:r w:rsidR="003B7A48">
        <w:rPr>
          <w:lang w:val="en-NZ"/>
        </w:rPr>
        <w:t xml:space="preserve">. </w:t>
      </w:r>
      <w:r>
        <w:rPr>
          <w:lang w:val="en-NZ"/>
        </w:rPr>
        <w:t xml:space="preserve"> </w:t>
      </w:r>
      <w:r w:rsidR="003B7A48">
        <w:rPr>
          <w:lang w:val="en-NZ"/>
        </w:rPr>
        <w:t>F</w:t>
      </w:r>
      <w:r>
        <w:rPr>
          <w:lang w:val="en-NZ"/>
        </w:rPr>
        <w:t>or example if the borrower incorrectly represents that this is not a back-to-back loan.</w:t>
      </w:r>
    </w:p>
    <w:p w:rsidR="003B7A48" w:rsidRDefault="003B7A48" w:rsidP="002B4ED7">
      <w:pPr>
        <w:pStyle w:val="ListParagraph"/>
        <w:numPr>
          <w:ilvl w:val="0"/>
          <w:numId w:val="3"/>
        </w:numPr>
        <w:spacing w:after="140"/>
        <w:ind w:left="567" w:hanging="567"/>
        <w:contextualSpacing w:val="0"/>
        <w:rPr>
          <w:lang w:val="en-NZ"/>
        </w:rPr>
      </w:pPr>
      <w:r>
        <w:rPr>
          <w:lang w:val="en-NZ"/>
        </w:rPr>
        <w:t>If the arrangement has insufficient interest payments that result in the NRFAI deferral calculation for the borrower being less than 90%, the borrower is required to pay NRWT on the NRFAI.  The direct lender cannot be expected to know that this arrangement is NRFAI or the amount of NRFAI calculated so will continue to have the same obligations as above on any interest payments received.  Any NRWT withheld by the direct lender on a payments basis will be available to the borrower and/or indirect lender to meet any NRWT liability arising on an NRFAI basis.</w:t>
      </w:r>
    </w:p>
    <w:p w:rsidR="003B7A48" w:rsidRPr="00870ACB" w:rsidRDefault="003B7A48" w:rsidP="002B4ED7">
      <w:pPr>
        <w:pStyle w:val="ListParagraph"/>
        <w:numPr>
          <w:ilvl w:val="0"/>
          <w:numId w:val="3"/>
        </w:numPr>
        <w:ind w:left="567" w:hanging="567"/>
        <w:rPr>
          <w:lang w:val="en-NZ"/>
        </w:rPr>
      </w:pPr>
      <w:r>
        <w:rPr>
          <w:lang w:val="en-NZ"/>
        </w:rPr>
        <w:t xml:space="preserve">In the event that the above NRWT was not withheld/paid by the relevant parties Inland Revenue would commence collection activity consistent with other debts.  Inland Revenue would generally </w:t>
      </w:r>
      <w:r w:rsidR="00AF5B02">
        <w:rPr>
          <w:lang w:val="en-NZ"/>
        </w:rPr>
        <w:t>seek</w:t>
      </w:r>
      <w:r>
        <w:rPr>
          <w:lang w:val="en-NZ"/>
        </w:rPr>
        <w:t xml:space="preserve"> to collect this tax from the borrower or the indirect lender in the first instance before </w:t>
      </w:r>
      <w:r w:rsidR="00AF5B02">
        <w:rPr>
          <w:lang w:val="en-NZ"/>
        </w:rPr>
        <w:t>seeking</w:t>
      </w:r>
      <w:r>
        <w:rPr>
          <w:lang w:val="en-NZ"/>
        </w:rPr>
        <w:t xml:space="preserve"> to collect from the direct lender and would not </w:t>
      </w:r>
      <w:r w:rsidR="00AF5B02">
        <w:rPr>
          <w:lang w:val="en-NZ"/>
        </w:rPr>
        <w:t>seek</w:t>
      </w:r>
      <w:r>
        <w:rPr>
          <w:lang w:val="en-NZ"/>
        </w:rPr>
        <w:t xml:space="preserve"> to recover this tax from the direct lender when they did not originally have an obligation to withhold under the principles above.</w:t>
      </w:r>
    </w:p>
    <w:p w:rsidR="00625ADD" w:rsidRPr="00260412" w:rsidRDefault="00625ADD" w:rsidP="002B4ED7">
      <w:pPr>
        <w:pBdr>
          <w:top w:val="single" w:sz="4" w:space="10" w:color="auto"/>
          <w:left w:val="single" w:sz="4" w:space="10" w:color="auto"/>
          <w:bottom w:val="single" w:sz="4" w:space="10" w:color="auto"/>
          <w:right w:val="single" w:sz="4" w:space="10" w:color="auto"/>
        </w:pBdr>
        <w:rPr>
          <w:b/>
          <w:sz w:val="20"/>
          <w:lang w:val="en-NZ"/>
        </w:rPr>
      </w:pPr>
      <w:r w:rsidRPr="00260412">
        <w:rPr>
          <w:b/>
          <w:sz w:val="20"/>
          <w:lang w:val="en-NZ"/>
        </w:rPr>
        <w:t>Example</w:t>
      </w:r>
      <w:r w:rsidR="00F23738">
        <w:rPr>
          <w:b/>
          <w:sz w:val="20"/>
          <w:lang w:val="en-NZ"/>
        </w:rPr>
        <w:t xml:space="preserve"> </w:t>
      </w:r>
      <w:r w:rsidR="004B3D18">
        <w:rPr>
          <w:b/>
          <w:sz w:val="20"/>
          <w:lang w:val="en-NZ"/>
        </w:rPr>
        <w:t>9</w:t>
      </w:r>
      <w:r>
        <w:rPr>
          <w:b/>
          <w:sz w:val="20"/>
          <w:lang w:val="en-NZ"/>
        </w:rPr>
        <w:t>: C</w:t>
      </w:r>
      <w:r w:rsidRPr="00260412">
        <w:rPr>
          <w:b/>
          <w:sz w:val="20"/>
          <w:lang w:val="en-NZ"/>
        </w:rPr>
        <w:t>ommercial arrangement</w:t>
      </w:r>
    </w:p>
    <w:p w:rsidR="00625ADD" w:rsidRPr="004C024D" w:rsidRDefault="00625ADD" w:rsidP="002B4ED7">
      <w:pPr>
        <w:pBdr>
          <w:top w:val="single" w:sz="4" w:space="10" w:color="auto"/>
          <w:left w:val="single" w:sz="4" w:space="10" w:color="auto"/>
          <w:bottom w:val="single" w:sz="4" w:space="10" w:color="auto"/>
          <w:right w:val="single" w:sz="4" w:space="10" w:color="auto"/>
        </w:pBdr>
        <w:rPr>
          <w:sz w:val="20"/>
          <w:lang w:val="en-NZ"/>
        </w:rPr>
      </w:pPr>
    </w:p>
    <w:p w:rsidR="00625ADD" w:rsidRPr="00260412" w:rsidRDefault="00625ADD" w:rsidP="002B4ED7">
      <w:pPr>
        <w:pBdr>
          <w:top w:val="single" w:sz="4" w:space="10" w:color="auto"/>
          <w:left w:val="single" w:sz="4" w:space="10" w:color="auto"/>
          <w:bottom w:val="single" w:sz="4" w:space="10" w:color="auto"/>
          <w:right w:val="single" w:sz="4" w:space="10" w:color="auto"/>
        </w:pBdr>
        <w:rPr>
          <w:sz w:val="20"/>
          <w:lang w:val="en-NZ"/>
        </w:rPr>
      </w:pPr>
      <w:r w:rsidRPr="00260412">
        <w:rPr>
          <w:sz w:val="20"/>
          <w:lang w:val="en-NZ"/>
        </w:rPr>
        <w:t xml:space="preserve">Foreign Parent has $1,000,000 on deposit with Australian Bank while </w:t>
      </w:r>
      <w:r>
        <w:rPr>
          <w:sz w:val="20"/>
          <w:lang w:val="en-NZ"/>
        </w:rPr>
        <w:t>its</w:t>
      </w:r>
      <w:r w:rsidRPr="00260412">
        <w:rPr>
          <w:sz w:val="20"/>
          <w:lang w:val="en-NZ"/>
        </w:rPr>
        <w:t xml:space="preserve"> subsidiary, NZ Sub, has a $500,000 loan from Australian Bank NZ Branch.  Both the deposit and loan are on </w:t>
      </w:r>
      <w:r w:rsidR="00366618">
        <w:rPr>
          <w:sz w:val="20"/>
          <w:lang w:val="en-NZ"/>
        </w:rPr>
        <w:t xml:space="preserve">independent </w:t>
      </w:r>
      <w:r w:rsidRPr="00260412">
        <w:rPr>
          <w:sz w:val="20"/>
          <w:lang w:val="en-NZ"/>
        </w:rPr>
        <w:t>arm</w:t>
      </w:r>
      <w:r w:rsidR="00CF7EDE">
        <w:rPr>
          <w:sz w:val="20"/>
          <w:lang w:val="en-NZ"/>
        </w:rPr>
        <w:t>’</w:t>
      </w:r>
      <w:r w:rsidRPr="00260412">
        <w:rPr>
          <w:sz w:val="20"/>
          <w:lang w:val="en-NZ"/>
        </w:rPr>
        <w:t>s length terms</w:t>
      </w:r>
      <w:r w:rsidR="00366618">
        <w:rPr>
          <w:sz w:val="20"/>
          <w:lang w:val="en-NZ"/>
        </w:rPr>
        <w:t>.  Withdrawal of the deposit will have no effect on the loan, and the deposit is not security for the loan</w:t>
      </w:r>
      <w:r w:rsidR="00CF7EDE">
        <w:rPr>
          <w:sz w:val="20"/>
          <w:lang w:val="en-NZ"/>
        </w:rPr>
        <w:t>’</w:t>
      </w:r>
      <w:r w:rsidR="00366618">
        <w:rPr>
          <w:sz w:val="20"/>
          <w:lang w:val="en-NZ"/>
        </w:rPr>
        <w:t>s repayment.  In this case,</w:t>
      </w:r>
      <w:r w:rsidRPr="00260412">
        <w:rPr>
          <w:sz w:val="20"/>
          <w:lang w:val="en-NZ"/>
        </w:rPr>
        <w:t xml:space="preserve"> Foreign Parent is not considered to have provided this deposit so that Australian Bank could lend it to NZ Sub.  Therefore, this is not indirect associated funding.</w:t>
      </w:r>
    </w:p>
    <w:p w:rsidR="00625ADD" w:rsidRDefault="00625ADD" w:rsidP="00BB4237">
      <w:pPr>
        <w:rPr>
          <w:lang w:val="en-NZ"/>
        </w:rPr>
      </w:pPr>
    </w:p>
    <w:p w:rsidR="002B4ED7" w:rsidRPr="00260412" w:rsidRDefault="002B4ED7" w:rsidP="00BB4237">
      <w:pPr>
        <w:rPr>
          <w:lang w:val="en-NZ"/>
        </w:rPr>
      </w:pPr>
    </w:p>
    <w:p w:rsidR="00625ADD" w:rsidRPr="00260412" w:rsidRDefault="00625ADD" w:rsidP="002B4ED7">
      <w:pPr>
        <w:pBdr>
          <w:top w:val="single" w:sz="4" w:space="10" w:color="auto"/>
          <w:left w:val="single" w:sz="4" w:space="10" w:color="auto"/>
          <w:bottom w:val="single" w:sz="4" w:space="10" w:color="auto"/>
          <w:right w:val="single" w:sz="4" w:space="10" w:color="auto"/>
        </w:pBdr>
        <w:rPr>
          <w:b/>
          <w:sz w:val="20"/>
          <w:lang w:val="en-NZ"/>
        </w:rPr>
      </w:pPr>
      <w:r w:rsidRPr="00260412">
        <w:rPr>
          <w:b/>
          <w:sz w:val="20"/>
          <w:lang w:val="en-NZ"/>
        </w:rPr>
        <w:t>Example</w:t>
      </w:r>
      <w:r w:rsidR="00F23738">
        <w:rPr>
          <w:b/>
          <w:sz w:val="20"/>
          <w:lang w:val="en-NZ"/>
        </w:rPr>
        <w:t xml:space="preserve"> </w:t>
      </w:r>
      <w:r w:rsidR="008F2327">
        <w:rPr>
          <w:b/>
          <w:sz w:val="20"/>
          <w:lang w:val="en-NZ"/>
        </w:rPr>
        <w:t>1</w:t>
      </w:r>
      <w:r w:rsidR="004B3D18">
        <w:rPr>
          <w:b/>
          <w:sz w:val="20"/>
          <w:lang w:val="en-NZ"/>
        </w:rPr>
        <w:t>0</w:t>
      </w:r>
      <w:r>
        <w:rPr>
          <w:b/>
          <w:sz w:val="20"/>
          <w:lang w:val="en-NZ"/>
        </w:rPr>
        <w:t>: B</w:t>
      </w:r>
      <w:r w:rsidRPr="00260412">
        <w:rPr>
          <w:b/>
          <w:sz w:val="20"/>
          <w:lang w:val="en-NZ"/>
        </w:rPr>
        <w:t>ack-to-back loan</w:t>
      </w:r>
    </w:p>
    <w:p w:rsidR="00625ADD" w:rsidRPr="00260412" w:rsidRDefault="00625ADD" w:rsidP="002B4ED7">
      <w:pPr>
        <w:pBdr>
          <w:top w:val="single" w:sz="4" w:space="10" w:color="auto"/>
          <w:left w:val="single" w:sz="4" w:space="10" w:color="auto"/>
          <w:bottom w:val="single" w:sz="4" w:space="10" w:color="auto"/>
          <w:right w:val="single" w:sz="4" w:space="10" w:color="auto"/>
        </w:pBdr>
        <w:rPr>
          <w:sz w:val="20"/>
          <w:lang w:val="en-NZ"/>
        </w:rPr>
      </w:pPr>
    </w:p>
    <w:p w:rsidR="00B5465F" w:rsidRDefault="00625ADD" w:rsidP="002B4ED7">
      <w:pPr>
        <w:pBdr>
          <w:top w:val="single" w:sz="4" w:space="10" w:color="auto"/>
          <w:left w:val="single" w:sz="4" w:space="10" w:color="auto"/>
          <w:bottom w:val="single" w:sz="4" w:space="10" w:color="auto"/>
          <w:right w:val="single" w:sz="4" w:space="10" w:color="auto"/>
        </w:pBdr>
        <w:rPr>
          <w:sz w:val="20"/>
          <w:lang w:val="en-NZ"/>
        </w:rPr>
      </w:pPr>
      <w:r w:rsidRPr="00260412">
        <w:rPr>
          <w:sz w:val="20"/>
          <w:lang w:val="en-NZ"/>
        </w:rPr>
        <w:t>NZ Co has a $1,000,000 loan from NZ Bank on which it pays 5% interest.  NZ Co</w:t>
      </w:r>
      <w:r w:rsidR="00CF7EDE">
        <w:rPr>
          <w:sz w:val="20"/>
          <w:lang w:val="en-NZ"/>
        </w:rPr>
        <w:t>’</w:t>
      </w:r>
      <w:r>
        <w:rPr>
          <w:sz w:val="20"/>
          <w:lang w:val="en-NZ"/>
        </w:rPr>
        <w:t>s</w:t>
      </w:r>
      <w:r w:rsidRPr="00260412">
        <w:rPr>
          <w:sz w:val="20"/>
          <w:lang w:val="en-NZ"/>
        </w:rPr>
        <w:t xml:space="preserve"> parent</w:t>
      </w:r>
      <w:r>
        <w:rPr>
          <w:sz w:val="20"/>
          <w:lang w:val="en-NZ"/>
        </w:rPr>
        <w:t>,</w:t>
      </w:r>
      <w:r w:rsidRPr="00260412">
        <w:rPr>
          <w:sz w:val="20"/>
          <w:lang w:val="en-NZ"/>
        </w:rPr>
        <w:t xml:space="preserve"> Aus Hold Co has a $700,000 deposit with </w:t>
      </w:r>
      <w:r w:rsidR="00366618">
        <w:rPr>
          <w:sz w:val="20"/>
          <w:lang w:val="en-NZ"/>
        </w:rPr>
        <w:t xml:space="preserve">Aus Bank, the Australian parent of </w:t>
      </w:r>
      <w:r w:rsidRPr="00260412">
        <w:rPr>
          <w:sz w:val="20"/>
          <w:lang w:val="en-NZ"/>
        </w:rPr>
        <w:t xml:space="preserve">NZ Bank on which it receives 4.9% interest.  Bank lending documents show NZ Co pays </w:t>
      </w:r>
      <w:r w:rsidR="00366618">
        <w:rPr>
          <w:sz w:val="20"/>
          <w:lang w:val="en-NZ"/>
        </w:rPr>
        <w:t>5%</w:t>
      </w:r>
      <w:r w:rsidRPr="00260412">
        <w:rPr>
          <w:sz w:val="20"/>
          <w:lang w:val="en-NZ"/>
        </w:rPr>
        <w:t>, instead of 6% charged to other borrowers, due to Aus Hold Co</w:t>
      </w:r>
      <w:r w:rsidR="00CF7EDE">
        <w:rPr>
          <w:sz w:val="20"/>
          <w:lang w:val="en-NZ"/>
        </w:rPr>
        <w:t>’</w:t>
      </w:r>
      <w:r w:rsidRPr="00260412">
        <w:rPr>
          <w:sz w:val="20"/>
          <w:lang w:val="en-NZ"/>
        </w:rPr>
        <w:t>s deposit</w:t>
      </w:r>
      <w:r w:rsidR="00366618">
        <w:rPr>
          <w:sz w:val="20"/>
          <w:lang w:val="en-NZ"/>
        </w:rPr>
        <w:t xml:space="preserve">, and withdrawal of the deposit triggers a right for the Bank to demand repayment </w:t>
      </w:r>
      <w:r w:rsidR="00AF5B02">
        <w:rPr>
          <w:sz w:val="20"/>
          <w:lang w:val="en-NZ"/>
        </w:rPr>
        <w:t xml:space="preserve">of, </w:t>
      </w:r>
      <w:r w:rsidR="00366618">
        <w:rPr>
          <w:sz w:val="20"/>
          <w:lang w:val="en-NZ"/>
        </w:rPr>
        <w:t>or to increase the interest rate</w:t>
      </w:r>
      <w:r w:rsidR="00AF5B02">
        <w:rPr>
          <w:sz w:val="20"/>
          <w:lang w:val="en-NZ"/>
        </w:rPr>
        <w:t xml:space="preserve"> on, the loan</w:t>
      </w:r>
      <w:r w:rsidRPr="00260412">
        <w:rPr>
          <w:sz w:val="20"/>
          <w:lang w:val="en-NZ"/>
        </w:rPr>
        <w:t xml:space="preserve">.  </w:t>
      </w:r>
      <w:r w:rsidR="009236B7">
        <w:rPr>
          <w:sz w:val="20"/>
          <w:lang w:val="en-NZ"/>
        </w:rPr>
        <w:t xml:space="preserve">The new provisions impose NRWT as follows.  This analysis would also apply if NZ Bank were instead a branch of </w:t>
      </w:r>
      <w:proofErr w:type="spellStart"/>
      <w:r w:rsidR="009236B7">
        <w:rPr>
          <w:sz w:val="20"/>
          <w:lang w:val="en-NZ"/>
        </w:rPr>
        <w:t>Aus</w:t>
      </w:r>
      <w:proofErr w:type="spellEnd"/>
      <w:r w:rsidR="009236B7">
        <w:rPr>
          <w:sz w:val="20"/>
          <w:lang w:val="en-NZ"/>
        </w:rPr>
        <w:t xml:space="preserve"> Bank.</w:t>
      </w:r>
    </w:p>
    <w:p w:rsidR="00B5465F" w:rsidRDefault="00B5465F" w:rsidP="002B4ED7">
      <w:pPr>
        <w:pBdr>
          <w:top w:val="single" w:sz="4" w:space="10" w:color="auto"/>
          <w:left w:val="single" w:sz="4" w:space="10" w:color="auto"/>
          <w:bottom w:val="single" w:sz="4" w:space="10" w:color="auto"/>
          <w:right w:val="single" w:sz="4" w:space="10" w:color="auto"/>
        </w:pBdr>
        <w:rPr>
          <w:sz w:val="20"/>
          <w:lang w:val="en-NZ"/>
        </w:rPr>
      </w:pPr>
    </w:p>
    <w:p w:rsidR="00625ADD" w:rsidRDefault="00625ADD" w:rsidP="002B4ED7">
      <w:pPr>
        <w:pBdr>
          <w:top w:val="single" w:sz="4" w:space="10" w:color="auto"/>
          <w:left w:val="single" w:sz="4" w:space="10" w:color="auto"/>
          <w:bottom w:val="single" w:sz="4" w:space="10" w:color="auto"/>
          <w:right w:val="single" w:sz="4" w:space="10" w:color="auto"/>
        </w:pBdr>
        <w:rPr>
          <w:sz w:val="20"/>
          <w:lang w:val="en-NZ"/>
        </w:rPr>
      </w:pPr>
      <w:r w:rsidRPr="00260412">
        <w:rPr>
          <w:sz w:val="20"/>
          <w:lang w:val="en-NZ"/>
        </w:rPr>
        <w:t>This arrangement is treated as a</w:t>
      </w:r>
      <w:r w:rsidR="00DB436D">
        <w:rPr>
          <w:sz w:val="20"/>
          <w:lang w:val="en-NZ"/>
        </w:rPr>
        <w:t>n</w:t>
      </w:r>
      <w:r w:rsidRPr="00260412">
        <w:rPr>
          <w:sz w:val="20"/>
          <w:lang w:val="en-NZ"/>
        </w:rPr>
        <w:t xml:space="preserve"> </w:t>
      </w:r>
      <w:r w:rsidR="00DB436D">
        <w:rPr>
          <w:sz w:val="20"/>
          <w:lang w:val="en-NZ"/>
        </w:rPr>
        <w:t xml:space="preserve">indirect funding arrangement with a </w:t>
      </w:r>
      <w:r w:rsidRPr="00260412">
        <w:rPr>
          <w:sz w:val="20"/>
          <w:lang w:val="en-NZ"/>
        </w:rPr>
        <w:t xml:space="preserve">$700,000 loan from Aus Hold Co </w:t>
      </w:r>
      <w:r w:rsidR="00DB436D">
        <w:rPr>
          <w:sz w:val="20"/>
          <w:lang w:val="en-NZ"/>
        </w:rPr>
        <w:t xml:space="preserve">(the indirect lender) </w:t>
      </w:r>
      <w:r w:rsidRPr="00260412">
        <w:rPr>
          <w:sz w:val="20"/>
          <w:lang w:val="en-NZ"/>
        </w:rPr>
        <w:t>to NZ Co</w:t>
      </w:r>
      <w:r>
        <w:rPr>
          <w:sz w:val="20"/>
          <w:lang w:val="en-NZ"/>
        </w:rPr>
        <w:t xml:space="preserve"> </w:t>
      </w:r>
      <w:r w:rsidR="00DB436D">
        <w:rPr>
          <w:sz w:val="20"/>
          <w:lang w:val="en-NZ"/>
        </w:rPr>
        <w:t xml:space="preserve">(the borrower) </w:t>
      </w:r>
      <w:r w:rsidRPr="00260412">
        <w:rPr>
          <w:sz w:val="20"/>
          <w:lang w:val="en-NZ"/>
        </w:rPr>
        <w:t xml:space="preserve">and a $300,000 loan from NZ Bank </w:t>
      </w:r>
      <w:r w:rsidR="00DB436D">
        <w:rPr>
          <w:sz w:val="20"/>
          <w:lang w:val="en-NZ"/>
        </w:rPr>
        <w:t>(the direct lender)</w:t>
      </w:r>
      <w:r>
        <w:rPr>
          <w:sz w:val="20"/>
          <w:lang w:val="en-NZ"/>
        </w:rPr>
        <w:t xml:space="preserve"> </w:t>
      </w:r>
      <w:r w:rsidRPr="00260412">
        <w:rPr>
          <w:sz w:val="20"/>
          <w:lang w:val="en-NZ"/>
        </w:rPr>
        <w:t xml:space="preserve">to </w:t>
      </w:r>
      <w:r w:rsidR="00EC7144">
        <w:rPr>
          <w:sz w:val="20"/>
          <w:lang w:val="en-NZ"/>
        </w:rPr>
        <w:t>NZ Co</w:t>
      </w:r>
      <w:r w:rsidRPr="00260412">
        <w:rPr>
          <w:sz w:val="20"/>
          <w:lang w:val="en-NZ"/>
        </w:rPr>
        <w:t>.  NZ Co</w:t>
      </w:r>
      <w:r>
        <w:rPr>
          <w:sz w:val="20"/>
          <w:lang w:val="en-NZ"/>
        </w:rPr>
        <w:t xml:space="preserve"> </w:t>
      </w:r>
      <w:r w:rsidRPr="00260412">
        <w:rPr>
          <w:sz w:val="20"/>
          <w:lang w:val="en-NZ"/>
        </w:rPr>
        <w:t xml:space="preserve">makes $50,000 annual interest payments </w:t>
      </w:r>
      <w:r w:rsidR="00463703">
        <w:rPr>
          <w:sz w:val="20"/>
          <w:lang w:val="en-NZ"/>
        </w:rPr>
        <w:t xml:space="preserve">(the first interest payment) </w:t>
      </w:r>
      <w:r w:rsidRPr="00260412">
        <w:rPr>
          <w:sz w:val="20"/>
          <w:lang w:val="en-NZ"/>
        </w:rPr>
        <w:t xml:space="preserve">to </w:t>
      </w:r>
      <w:r w:rsidR="00EC7144">
        <w:rPr>
          <w:sz w:val="20"/>
          <w:lang w:val="en-NZ"/>
        </w:rPr>
        <w:t>NZ Bank</w:t>
      </w:r>
      <w:r w:rsidR="00463703">
        <w:rPr>
          <w:sz w:val="20"/>
          <w:lang w:val="en-NZ"/>
        </w:rPr>
        <w:t xml:space="preserve"> </w:t>
      </w:r>
      <w:r w:rsidRPr="00260412">
        <w:rPr>
          <w:sz w:val="20"/>
          <w:lang w:val="en-NZ"/>
        </w:rPr>
        <w:t xml:space="preserve">and </w:t>
      </w:r>
      <w:r w:rsidR="009236B7">
        <w:rPr>
          <w:sz w:val="20"/>
          <w:lang w:val="en-NZ"/>
        </w:rPr>
        <w:t>Aus</w:t>
      </w:r>
      <w:r w:rsidRPr="00260412">
        <w:rPr>
          <w:sz w:val="20"/>
          <w:lang w:val="en-NZ"/>
        </w:rPr>
        <w:t xml:space="preserve"> Bank makes $34,300 annual interest payments </w:t>
      </w:r>
      <w:r w:rsidR="00463703">
        <w:rPr>
          <w:sz w:val="20"/>
          <w:lang w:val="en-NZ"/>
        </w:rPr>
        <w:t xml:space="preserve">(the second interest payment) </w:t>
      </w:r>
      <w:r w:rsidRPr="00260412">
        <w:rPr>
          <w:sz w:val="20"/>
          <w:lang w:val="en-NZ"/>
        </w:rPr>
        <w:t xml:space="preserve">to </w:t>
      </w:r>
      <w:r w:rsidR="00EC7144">
        <w:rPr>
          <w:sz w:val="20"/>
          <w:lang w:val="en-NZ"/>
        </w:rPr>
        <w:t>Aus Hold Co</w:t>
      </w:r>
      <w:r w:rsidRPr="00260412">
        <w:rPr>
          <w:sz w:val="20"/>
          <w:lang w:val="en-NZ"/>
        </w:rPr>
        <w:t xml:space="preserve">.  The first interest payment is treated as a $34,300 interest payment from </w:t>
      </w:r>
      <w:r w:rsidR="003A4C61">
        <w:rPr>
          <w:sz w:val="20"/>
          <w:lang w:val="en-NZ"/>
        </w:rPr>
        <w:t>NZ Co</w:t>
      </w:r>
      <w:r>
        <w:rPr>
          <w:sz w:val="20"/>
          <w:lang w:val="en-NZ"/>
        </w:rPr>
        <w:t xml:space="preserve"> </w:t>
      </w:r>
      <w:r w:rsidRPr="00260412">
        <w:rPr>
          <w:sz w:val="20"/>
          <w:lang w:val="en-NZ"/>
        </w:rPr>
        <w:t xml:space="preserve">to </w:t>
      </w:r>
      <w:r w:rsidR="00EC7144">
        <w:rPr>
          <w:sz w:val="20"/>
          <w:lang w:val="en-NZ"/>
        </w:rPr>
        <w:t>NZ Bank</w:t>
      </w:r>
      <w:r>
        <w:rPr>
          <w:sz w:val="20"/>
          <w:lang w:val="en-NZ"/>
        </w:rPr>
        <w:t xml:space="preserve"> </w:t>
      </w:r>
      <w:r w:rsidRPr="00260412">
        <w:rPr>
          <w:sz w:val="20"/>
          <w:lang w:val="en-NZ"/>
        </w:rPr>
        <w:t xml:space="preserve">as agent for </w:t>
      </w:r>
      <w:r w:rsidR="00EC7144">
        <w:rPr>
          <w:sz w:val="20"/>
          <w:lang w:val="en-NZ"/>
        </w:rPr>
        <w:t>Aus Hold Co</w:t>
      </w:r>
      <w:r w:rsidRPr="00260412">
        <w:rPr>
          <w:sz w:val="20"/>
          <w:lang w:val="en-NZ"/>
        </w:rPr>
        <w:t xml:space="preserve"> on which </w:t>
      </w:r>
      <w:r w:rsidR="00DB436D">
        <w:rPr>
          <w:sz w:val="20"/>
          <w:lang w:val="en-NZ"/>
        </w:rPr>
        <w:t>the borrower</w:t>
      </w:r>
      <w:r>
        <w:rPr>
          <w:sz w:val="20"/>
          <w:lang w:val="en-NZ"/>
        </w:rPr>
        <w:t xml:space="preserve"> </w:t>
      </w:r>
      <w:r w:rsidRPr="00260412">
        <w:rPr>
          <w:sz w:val="20"/>
          <w:lang w:val="en-NZ"/>
        </w:rPr>
        <w:t xml:space="preserve">must withhold NRWT and a $15,700 interest payment from </w:t>
      </w:r>
      <w:r w:rsidR="00EC7144">
        <w:rPr>
          <w:sz w:val="20"/>
          <w:lang w:val="en-NZ"/>
        </w:rPr>
        <w:t xml:space="preserve">NZ Co </w:t>
      </w:r>
      <w:r w:rsidRPr="00260412">
        <w:rPr>
          <w:sz w:val="20"/>
          <w:lang w:val="en-NZ"/>
        </w:rPr>
        <w:t xml:space="preserve">to </w:t>
      </w:r>
      <w:r w:rsidR="00EC7144">
        <w:rPr>
          <w:sz w:val="20"/>
          <w:lang w:val="en-NZ"/>
        </w:rPr>
        <w:t>NZ Bank</w:t>
      </w:r>
      <w:r>
        <w:rPr>
          <w:sz w:val="20"/>
          <w:lang w:val="en-NZ"/>
        </w:rPr>
        <w:t xml:space="preserve"> </w:t>
      </w:r>
      <w:r w:rsidRPr="00260412">
        <w:rPr>
          <w:sz w:val="20"/>
          <w:lang w:val="en-NZ"/>
        </w:rPr>
        <w:t>which is treated in the standard manner (NZ Bank</w:t>
      </w:r>
      <w:r>
        <w:rPr>
          <w:sz w:val="20"/>
          <w:lang w:val="en-NZ"/>
        </w:rPr>
        <w:t xml:space="preserve"> </w:t>
      </w:r>
      <w:r w:rsidRPr="00260412">
        <w:rPr>
          <w:sz w:val="20"/>
          <w:lang w:val="en-NZ"/>
        </w:rPr>
        <w:t xml:space="preserve">has an RWT exemption certificate so no RWT is withheld; however, this is assessable income to NZ Bank).  The second interest payment from </w:t>
      </w:r>
      <w:r w:rsidR="009236B7">
        <w:rPr>
          <w:sz w:val="20"/>
          <w:lang w:val="en-NZ"/>
        </w:rPr>
        <w:t>Aus</w:t>
      </w:r>
      <w:r w:rsidR="00EC7144">
        <w:rPr>
          <w:sz w:val="20"/>
          <w:lang w:val="en-NZ"/>
        </w:rPr>
        <w:t xml:space="preserve"> Bank</w:t>
      </w:r>
      <w:r>
        <w:rPr>
          <w:sz w:val="20"/>
          <w:lang w:val="en-NZ"/>
        </w:rPr>
        <w:t xml:space="preserve"> </w:t>
      </w:r>
      <w:r w:rsidRPr="00260412">
        <w:rPr>
          <w:sz w:val="20"/>
          <w:lang w:val="en-NZ"/>
        </w:rPr>
        <w:t xml:space="preserve">to </w:t>
      </w:r>
      <w:r w:rsidR="00EC7144">
        <w:rPr>
          <w:sz w:val="20"/>
          <w:lang w:val="en-NZ"/>
        </w:rPr>
        <w:t>Aus Hold Co</w:t>
      </w:r>
      <w:r w:rsidRPr="00260412">
        <w:rPr>
          <w:sz w:val="20"/>
          <w:lang w:val="en-NZ"/>
        </w:rPr>
        <w:t xml:space="preserve"> is treated as </w:t>
      </w:r>
      <w:r w:rsidR="00366618">
        <w:rPr>
          <w:sz w:val="20"/>
          <w:lang w:val="en-NZ"/>
        </w:rPr>
        <w:t xml:space="preserve">a payment of money held as an agent </w:t>
      </w:r>
      <w:r w:rsidRPr="00260412">
        <w:rPr>
          <w:sz w:val="20"/>
          <w:lang w:val="en-NZ"/>
        </w:rPr>
        <w:t>so no NRWT or AIL is requ</w:t>
      </w:r>
      <w:r>
        <w:rPr>
          <w:sz w:val="20"/>
          <w:lang w:val="en-NZ"/>
        </w:rPr>
        <w:t>ired.</w:t>
      </w:r>
    </w:p>
    <w:p w:rsidR="00213DB9" w:rsidRDefault="00213DB9" w:rsidP="002B4ED7">
      <w:pPr>
        <w:pBdr>
          <w:top w:val="single" w:sz="4" w:space="10" w:color="auto"/>
          <w:left w:val="single" w:sz="4" w:space="10" w:color="auto"/>
          <w:bottom w:val="single" w:sz="4" w:space="10" w:color="auto"/>
          <w:right w:val="single" w:sz="4" w:space="10" w:color="auto"/>
        </w:pBdr>
        <w:rPr>
          <w:sz w:val="20"/>
          <w:lang w:val="en-NZ"/>
        </w:rPr>
      </w:pPr>
    </w:p>
    <w:p w:rsidR="00213DB9" w:rsidRPr="00260412" w:rsidRDefault="00213DB9" w:rsidP="002B4ED7">
      <w:pPr>
        <w:pBdr>
          <w:top w:val="single" w:sz="4" w:space="10" w:color="auto"/>
          <w:left w:val="single" w:sz="4" w:space="10" w:color="auto"/>
          <w:bottom w:val="single" w:sz="4" w:space="10" w:color="auto"/>
          <w:right w:val="single" w:sz="4" w:space="10" w:color="auto"/>
        </w:pBdr>
        <w:rPr>
          <w:sz w:val="20"/>
          <w:lang w:val="en-NZ"/>
        </w:rPr>
      </w:pPr>
      <w:r>
        <w:rPr>
          <w:sz w:val="20"/>
          <w:lang w:val="en-NZ"/>
        </w:rPr>
        <w:t xml:space="preserve">If </w:t>
      </w:r>
      <w:r w:rsidR="00EC7144">
        <w:rPr>
          <w:sz w:val="20"/>
          <w:lang w:val="en-NZ"/>
        </w:rPr>
        <w:t>NZ C</w:t>
      </w:r>
      <w:r w:rsidR="00D200EF">
        <w:rPr>
          <w:sz w:val="20"/>
          <w:lang w:val="en-NZ"/>
        </w:rPr>
        <w:t>o</w:t>
      </w:r>
      <w:r>
        <w:rPr>
          <w:sz w:val="20"/>
          <w:lang w:val="en-NZ"/>
        </w:rPr>
        <w:t xml:space="preserve"> did not withhold NRWT </w:t>
      </w:r>
      <w:r w:rsidR="00EC7144">
        <w:rPr>
          <w:sz w:val="20"/>
          <w:lang w:val="en-NZ"/>
        </w:rPr>
        <w:t>NZ Bank</w:t>
      </w:r>
      <w:r>
        <w:rPr>
          <w:sz w:val="20"/>
          <w:lang w:val="en-NZ"/>
        </w:rPr>
        <w:t xml:space="preserve"> would be required to pay NRWT on $34,300 of the $50,000 interest payment it received from </w:t>
      </w:r>
      <w:r w:rsidR="00EC7144">
        <w:rPr>
          <w:sz w:val="20"/>
          <w:lang w:val="en-NZ"/>
        </w:rPr>
        <w:t>NZ Co</w:t>
      </w:r>
      <w:r>
        <w:rPr>
          <w:sz w:val="20"/>
          <w:lang w:val="en-NZ"/>
        </w:rPr>
        <w:t>.</w:t>
      </w:r>
    </w:p>
    <w:p w:rsidR="002B03E2" w:rsidRDefault="002B03E2" w:rsidP="00BB4237">
      <w:pPr>
        <w:rPr>
          <w:lang w:val="en-NZ"/>
        </w:rPr>
      </w:pPr>
    </w:p>
    <w:p w:rsidR="002B4ED7" w:rsidRPr="00F23738" w:rsidRDefault="002B4ED7" w:rsidP="00BB4237">
      <w:pPr>
        <w:rPr>
          <w:lang w:val="en-NZ"/>
        </w:rPr>
      </w:pPr>
    </w:p>
    <w:p w:rsidR="002B03E2" w:rsidRDefault="002B03E2" w:rsidP="002B4ED7">
      <w:pPr>
        <w:pBdr>
          <w:top w:val="single" w:sz="4" w:space="10" w:color="auto"/>
          <w:left w:val="single" w:sz="4" w:space="10" w:color="auto"/>
          <w:bottom w:val="single" w:sz="4" w:space="10" w:color="auto"/>
          <w:right w:val="single" w:sz="4" w:space="10" w:color="auto"/>
        </w:pBdr>
        <w:rPr>
          <w:b/>
          <w:sz w:val="20"/>
          <w:lang w:val="en-NZ"/>
        </w:rPr>
      </w:pPr>
      <w:r w:rsidRPr="00260412">
        <w:rPr>
          <w:b/>
          <w:sz w:val="20"/>
          <w:lang w:val="en-NZ"/>
        </w:rPr>
        <w:t>Example</w:t>
      </w:r>
      <w:r w:rsidR="00F23738">
        <w:rPr>
          <w:b/>
          <w:sz w:val="20"/>
          <w:lang w:val="en-NZ"/>
        </w:rPr>
        <w:t xml:space="preserve"> </w:t>
      </w:r>
      <w:r w:rsidR="008F2327">
        <w:rPr>
          <w:b/>
          <w:sz w:val="20"/>
          <w:lang w:val="en-NZ"/>
        </w:rPr>
        <w:t>1</w:t>
      </w:r>
      <w:r w:rsidR="004B3D18">
        <w:rPr>
          <w:b/>
          <w:sz w:val="20"/>
          <w:lang w:val="en-NZ"/>
        </w:rPr>
        <w:t>1</w:t>
      </w:r>
      <w:r>
        <w:rPr>
          <w:b/>
          <w:sz w:val="20"/>
          <w:lang w:val="en-NZ"/>
        </w:rPr>
        <w:t>: NRFAI and obligations on the direct lender</w:t>
      </w:r>
    </w:p>
    <w:p w:rsidR="004B3D18" w:rsidRPr="00BB4237" w:rsidRDefault="004B3D18" w:rsidP="002B4ED7">
      <w:pPr>
        <w:pBdr>
          <w:top w:val="single" w:sz="4" w:space="10" w:color="auto"/>
          <w:left w:val="single" w:sz="4" w:space="10" w:color="auto"/>
          <w:bottom w:val="single" w:sz="4" w:space="10" w:color="auto"/>
          <w:right w:val="single" w:sz="4" w:space="10" w:color="auto"/>
        </w:pBdr>
        <w:rPr>
          <w:sz w:val="20"/>
          <w:lang w:val="en-NZ"/>
        </w:rPr>
      </w:pPr>
    </w:p>
    <w:p w:rsidR="009929CC" w:rsidRDefault="00EC7144" w:rsidP="002B4ED7">
      <w:pPr>
        <w:pBdr>
          <w:top w:val="single" w:sz="4" w:space="10" w:color="auto"/>
          <w:left w:val="single" w:sz="4" w:space="10" w:color="auto"/>
          <w:bottom w:val="single" w:sz="4" w:space="10" w:color="auto"/>
          <w:right w:val="single" w:sz="4" w:space="10" w:color="auto"/>
        </w:pBdr>
        <w:rPr>
          <w:sz w:val="20"/>
          <w:lang w:val="en-NZ"/>
        </w:rPr>
      </w:pPr>
      <w:r>
        <w:rPr>
          <w:sz w:val="20"/>
          <w:lang w:val="en-NZ"/>
        </w:rPr>
        <w:t>NZ Co</w:t>
      </w:r>
      <w:r w:rsidR="009929CC" w:rsidRPr="009929CC">
        <w:rPr>
          <w:sz w:val="20"/>
          <w:lang w:val="en-NZ"/>
        </w:rPr>
        <w:t xml:space="preserve"> has a 31 March balance date and borrows NZ$1,000 from a</w:t>
      </w:r>
      <w:r w:rsidR="009929CC">
        <w:rPr>
          <w:sz w:val="20"/>
          <w:lang w:val="en-NZ"/>
        </w:rPr>
        <w:t xml:space="preserve"> third party finance company</w:t>
      </w:r>
      <w:r w:rsidR="009929CC" w:rsidRPr="009929CC">
        <w:rPr>
          <w:sz w:val="20"/>
          <w:lang w:val="en-NZ"/>
        </w:rPr>
        <w:t xml:space="preserve"> </w:t>
      </w:r>
      <w:r w:rsidR="009929CC">
        <w:rPr>
          <w:sz w:val="20"/>
          <w:lang w:val="en-NZ"/>
        </w:rPr>
        <w:t xml:space="preserve">(NZ Finance Co) </w:t>
      </w:r>
      <w:r w:rsidR="009929CC" w:rsidRPr="009929CC">
        <w:rPr>
          <w:sz w:val="20"/>
          <w:lang w:val="en-NZ"/>
        </w:rPr>
        <w:t xml:space="preserve">on 2 April 2017.  </w:t>
      </w:r>
      <w:r w:rsidR="00213DB9">
        <w:rPr>
          <w:sz w:val="20"/>
          <w:lang w:val="en-NZ"/>
        </w:rPr>
        <w:t xml:space="preserve">This example uses the same figures from </w:t>
      </w:r>
      <w:r w:rsidR="00213DB9" w:rsidRPr="00C159D4">
        <w:rPr>
          <w:sz w:val="20"/>
          <w:lang w:val="en-NZ"/>
        </w:rPr>
        <w:t>example 2</w:t>
      </w:r>
      <w:r w:rsidR="00213DB9">
        <w:rPr>
          <w:sz w:val="20"/>
          <w:lang w:val="en-NZ"/>
        </w:rPr>
        <w:t xml:space="preserve">.  </w:t>
      </w:r>
      <w:r>
        <w:rPr>
          <w:sz w:val="20"/>
          <w:lang w:val="en-NZ"/>
        </w:rPr>
        <w:t>NZ Co</w:t>
      </w:r>
      <w:r w:rsidR="009929CC" w:rsidRPr="009929CC">
        <w:rPr>
          <w:sz w:val="20"/>
          <w:lang w:val="en-NZ"/>
        </w:rPr>
        <w:t xml:space="preserve"> will pay $60 of interest on 1</w:t>
      </w:r>
      <w:r w:rsidR="002B4ED7">
        <w:rPr>
          <w:sz w:val="20"/>
          <w:lang w:val="en-NZ"/>
        </w:rPr>
        <w:t> </w:t>
      </w:r>
      <w:r w:rsidR="009929CC" w:rsidRPr="009929CC">
        <w:rPr>
          <w:sz w:val="20"/>
          <w:lang w:val="en-NZ"/>
        </w:rPr>
        <w:t>April each year and $1,300 upon maturity on 1 April 2022.  Deductions are calculated on a YTM basis with a 364/365</w:t>
      </w:r>
      <w:r w:rsidR="009929CC" w:rsidRPr="009929CC">
        <w:rPr>
          <w:sz w:val="20"/>
          <w:vertAlign w:val="superscript"/>
          <w:lang w:val="en-NZ"/>
        </w:rPr>
        <w:t>ths</w:t>
      </w:r>
      <w:r w:rsidR="009929CC" w:rsidRPr="009929CC">
        <w:rPr>
          <w:sz w:val="20"/>
          <w:lang w:val="en-NZ"/>
        </w:rPr>
        <w:t xml:space="preserve"> apportionment between years.</w:t>
      </w:r>
      <w:r w:rsidR="009929CC">
        <w:rPr>
          <w:sz w:val="20"/>
          <w:lang w:val="en-NZ"/>
        </w:rPr>
        <w:t xml:space="preserve">  On 2 April 2017 NZ Finance Co also </w:t>
      </w:r>
      <w:r w:rsidR="00B5263B">
        <w:rPr>
          <w:sz w:val="20"/>
          <w:lang w:val="en-NZ"/>
        </w:rPr>
        <w:t xml:space="preserve">borrows $1,000 from </w:t>
      </w:r>
      <w:r>
        <w:rPr>
          <w:sz w:val="20"/>
          <w:lang w:val="en-NZ"/>
        </w:rPr>
        <w:t>NZ Co</w:t>
      </w:r>
      <w:r w:rsidR="00CF7EDE">
        <w:rPr>
          <w:sz w:val="20"/>
          <w:lang w:val="en-NZ"/>
        </w:rPr>
        <w:t>’</w:t>
      </w:r>
      <w:r w:rsidR="00B5263B">
        <w:rPr>
          <w:sz w:val="20"/>
          <w:lang w:val="en-NZ"/>
        </w:rPr>
        <w:t>s non-resident parent with interest of $55 on 1 April each year and $1,300 upon maturity on 1 April 2022.  NZ Finance Co is a NZ resident with an RWT exemption certificate.</w:t>
      </w:r>
    </w:p>
    <w:p w:rsidR="00B5263B" w:rsidRDefault="00B5263B" w:rsidP="002B4ED7">
      <w:pPr>
        <w:pBdr>
          <w:top w:val="single" w:sz="4" w:space="10" w:color="auto"/>
          <w:left w:val="single" w:sz="4" w:space="10" w:color="auto"/>
          <w:bottom w:val="single" w:sz="4" w:space="10" w:color="auto"/>
          <w:right w:val="single" w:sz="4" w:space="10" w:color="auto"/>
        </w:pBdr>
        <w:rPr>
          <w:sz w:val="20"/>
          <w:lang w:val="en-NZ"/>
        </w:rPr>
      </w:pPr>
    </w:p>
    <w:p w:rsidR="002B03E2" w:rsidRPr="004C024D" w:rsidRDefault="00366618" w:rsidP="002B4ED7">
      <w:pPr>
        <w:pBdr>
          <w:top w:val="single" w:sz="4" w:space="10" w:color="auto"/>
          <w:left w:val="single" w:sz="4" w:space="10" w:color="auto"/>
          <w:bottom w:val="single" w:sz="4" w:space="10" w:color="auto"/>
          <w:right w:val="single" w:sz="4" w:space="10" w:color="auto"/>
        </w:pBdr>
        <w:rPr>
          <w:sz w:val="20"/>
          <w:lang w:val="en-NZ"/>
        </w:rPr>
      </w:pPr>
      <w:r>
        <w:rPr>
          <w:sz w:val="20"/>
          <w:lang w:val="en-NZ"/>
        </w:rPr>
        <w:t>As</w:t>
      </w:r>
      <w:r w:rsidR="008D17CA">
        <w:rPr>
          <w:sz w:val="20"/>
          <w:lang w:val="en-NZ"/>
        </w:rPr>
        <w:t>suming these</w:t>
      </w:r>
      <w:r>
        <w:rPr>
          <w:sz w:val="20"/>
          <w:lang w:val="en-NZ"/>
        </w:rPr>
        <w:t xml:space="preserve"> two loans are back-to-back loan</w:t>
      </w:r>
      <w:r w:rsidR="0023349E">
        <w:rPr>
          <w:sz w:val="20"/>
          <w:lang w:val="en-NZ"/>
        </w:rPr>
        <w:t>s</w:t>
      </w:r>
      <w:r w:rsidR="008D17CA">
        <w:rPr>
          <w:sz w:val="20"/>
          <w:lang w:val="en-NZ"/>
        </w:rPr>
        <w:t>, t</w:t>
      </w:r>
      <w:r w:rsidR="00B5263B">
        <w:rPr>
          <w:sz w:val="20"/>
          <w:lang w:val="en-NZ"/>
        </w:rPr>
        <w:t xml:space="preserve">his </w:t>
      </w:r>
      <w:r w:rsidR="008D17CA">
        <w:rPr>
          <w:sz w:val="20"/>
          <w:lang w:val="en-NZ"/>
        </w:rPr>
        <w:t>will be</w:t>
      </w:r>
      <w:r w:rsidR="00B5263B">
        <w:rPr>
          <w:sz w:val="20"/>
          <w:lang w:val="en-NZ"/>
        </w:rPr>
        <w:t xml:space="preserve"> an indirect associated funding arrangement</w:t>
      </w:r>
      <w:r w:rsidR="00F23738">
        <w:rPr>
          <w:sz w:val="20"/>
          <w:lang w:val="en-NZ"/>
        </w:rPr>
        <w:t xml:space="preserve"> so</w:t>
      </w:r>
      <w:r w:rsidR="00B5263B">
        <w:rPr>
          <w:sz w:val="20"/>
          <w:lang w:val="en-NZ"/>
        </w:rPr>
        <w:t xml:space="preserve"> </w:t>
      </w:r>
      <w:r w:rsidR="00EC7144">
        <w:rPr>
          <w:sz w:val="20"/>
          <w:lang w:val="en-NZ"/>
        </w:rPr>
        <w:t>NZ Co</w:t>
      </w:r>
      <w:r w:rsidR="00B5263B">
        <w:rPr>
          <w:sz w:val="20"/>
          <w:lang w:val="en-NZ"/>
        </w:rPr>
        <w:t xml:space="preserve"> </w:t>
      </w:r>
      <w:r w:rsidR="00F23738">
        <w:rPr>
          <w:sz w:val="20"/>
          <w:lang w:val="en-NZ"/>
        </w:rPr>
        <w:t xml:space="preserve">is required to </w:t>
      </w:r>
      <w:r w:rsidR="00B5263B">
        <w:rPr>
          <w:sz w:val="20"/>
          <w:lang w:val="en-NZ"/>
        </w:rPr>
        <w:t xml:space="preserve">withhold $5.50 of NRWT </w:t>
      </w:r>
      <w:r w:rsidR="00D42A36">
        <w:rPr>
          <w:sz w:val="20"/>
          <w:lang w:val="en-NZ"/>
        </w:rPr>
        <w:t xml:space="preserve">(assuming 10% is the appropriate withholding tax rate for a payment by NZ Co to its parent) </w:t>
      </w:r>
      <w:r w:rsidR="00B5263B">
        <w:rPr>
          <w:sz w:val="20"/>
          <w:lang w:val="en-NZ"/>
        </w:rPr>
        <w:t xml:space="preserve">on each $60 interest payment to NZ Finance Co.  </w:t>
      </w:r>
      <w:r w:rsidR="007478F8">
        <w:rPr>
          <w:sz w:val="20"/>
          <w:lang w:val="en-NZ"/>
        </w:rPr>
        <w:t xml:space="preserve">The NRWT is $5.50 as only $55 of the $60 interest payment is treated as received on behalf of </w:t>
      </w:r>
      <w:r w:rsidR="00EC7144">
        <w:rPr>
          <w:sz w:val="20"/>
          <w:lang w:val="en-NZ"/>
        </w:rPr>
        <w:t>NZ Co</w:t>
      </w:r>
      <w:r w:rsidR="00CF7EDE">
        <w:rPr>
          <w:sz w:val="20"/>
          <w:lang w:val="en-NZ"/>
        </w:rPr>
        <w:t>’</w:t>
      </w:r>
      <w:r w:rsidR="007478F8">
        <w:rPr>
          <w:sz w:val="20"/>
          <w:lang w:val="en-NZ"/>
        </w:rPr>
        <w:t xml:space="preserve">s non-resident parent.  </w:t>
      </w:r>
      <w:r w:rsidR="00B5263B">
        <w:rPr>
          <w:sz w:val="20"/>
          <w:lang w:val="en-NZ"/>
        </w:rPr>
        <w:t xml:space="preserve">The terms of the loan between </w:t>
      </w:r>
      <w:r w:rsidR="00EC7144">
        <w:rPr>
          <w:sz w:val="20"/>
          <w:lang w:val="en-NZ"/>
        </w:rPr>
        <w:t>NZ Co</w:t>
      </w:r>
      <w:r w:rsidR="00B5263B">
        <w:rPr>
          <w:sz w:val="20"/>
          <w:lang w:val="en-NZ"/>
        </w:rPr>
        <w:t xml:space="preserve"> and NZ Finance Co require </w:t>
      </w:r>
      <w:r w:rsidR="00EC7144">
        <w:rPr>
          <w:sz w:val="20"/>
          <w:lang w:val="en-NZ"/>
        </w:rPr>
        <w:t>NZ Co</w:t>
      </w:r>
      <w:r w:rsidR="00B5263B">
        <w:rPr>
          <w:sz w:val="20"/>
          <w:lang w:val="en-NZ"/>
        </w:rPr>
        <w:t xml:space="preserve"> to gross the interest payments up so that NZ Finance Co continues to receive $60.</w:t>
      </w:r>
      <w:r w:rsidR="00F23738">
        <w:rPr>
          <w:sz w:val="20"/>
          <w:lang w:val="en-NZ"/>
        </w:rPr>
        <w:t xml:space="preserve">  On 20 June 2020 </w:t>
      </w:r>
      <w:r w:rsidR="00EC7144">
        <w:rPr>
          <w:sz w:val="20"/>
          <w:lang w:val="en-NZ"/>
        </w:rPr>
        <w:t>NZ Co</w:t>
      </w:r>
      <w:r w:rsidR="00F23738">
        <w:rPr>
          <w:sz w:val="20"/>
          <w:lang w:val="en-NZ"/>
        </w:rPr>
        <w:t xml:space="preserve"> advises NZ Finance Co that this arrangement has triggered the NRFAI rules and that NRWT will no longer be withheld on the remaining interest payments.  </w:t>
      </w:r>
      <w:r w:rsidR="0079561A">
        <w:rPr>
          <w:sz w:val="20"/>
          <w:lang w:val="en-NZ"/>
        </w:rPr>
        <w:t>NZ Co</w:t>
      </w:r>
      <w:r w:rsidR="00F23738">
        <w:rPr>
          <w:sz w:val="20"/>
          <w:lang w:val="en-NZ"/>
        </w:rPr>
        <w:t xml:space="preserve"> will be required to pay NRWT to Inland Revenue on the NRFAI arising and neither </w:t>
      </w:r>
      <w:r w:rsidR="0079561A">
        <w:rPr>
          <w:sz w:val="20"/>
          <w:lang w:val="en-NZ"/>
        </w:rPr>
        <w:t>NZ Co</w:t>
      </w:r>
      <w:r w:rsidR="00F23738">
        <w:rPr>
          <w:sz w:val="20"/>
          <w:lang w:val="en-NZ"/>
        </w:rPr>
        <w:t xml:space="preserve"> or NZ Finance Co will pay NRWT on the interest payments to NZ Finance Co.</w:t>
      </w:r>
    </w:p>
    <w:p w:rsidR="00F23738" w:rsidRDefault="00F23738" w:rsidP="00BB4237">
      <w:pPr>
        <w:rPr>
          <w:lang w:val="en-NZ"/>
        </w:rPr>
      </w:pPr>
    </w:p>
    <w:p w:rsidR="00BB4237" w:rsidRDefault="00BB4237" w:rsidP="00BB4237">
      <w:pPr>
        <w:rPr>
          <w:lang w:val="en-NZ"/>
        </w:rPr>
      </w:pPr>
    </w:p>
    <w:p w:rsidR="002B4ED7" w:rsidRDefault="002B4ED7">
      <w:pPr>
        <w:jc w:val="left"/>
        <w:rPr>
          <w:b/>
          <w:sz w:val="20"/>
          <w:lang w:val="en-NZ"/>
        </w:rPr>
      </w:pPr>
      <w:r>
        <w:rPr>
          <w:b/>
          <w:sz w:val="20"/>
          <w:lang w:val="en-NZ"/>
        </w:rPr>
        <w:br w:type="page"/>
      </w:r>
    </w:p>
    <w:p w:rsidR="00F23738" w:rsidRPr="00260412" w:rsidRDefault="00F23738" w:rsidP="002B4ED7">
      <w:pPr>
        <w:pBdr>
          <w:top w:val="single" w:sz="4" w:space="10" w:color="auto"/>
          <w:left w:val="single" w:sz="4" w:space="10" w:color="auto"/>
          <w:bottom w:val="single" w:sz="4" w:space="10" w:color="auto"/>
          <w:right w:val="single" w:sz="4" w:space="10" w:color="auto"/>
        </w:pBdr>
        <w:rPr>
          <w:b/>
          <w:sz w:val="20"/>
          <w:lang w:val="en-NZ"/>
        </w:rPr>
      </w:pPr>
      <w:r w:rsidRPr="00260412">
        <w:rPr>
          <w:b/>
          <w:sz w:val="20"/>
          <w:lang w:val="en-NZ"/>
        </w:rPr>
        <w:t>Example</w:t>
      </w:r>
      <w:r>
        <w:rPr>
          <w:b/>
          <w:sz w:val="20"/>
          <w:lang w:val="en-NZ"/>
        </w:rPr>
        <w:t xml:space="preserve"> </w:t>
      </w:r>
      <w:r w:rsidR="008F2327">
        <w:rPr>
          <w:b/>
          <w:sz w:val="20"/>
          <w:lang w:val="en-NZ"/>
        </w:rPr>
        <w:t>1</w:t>
      </w:r>
      <w:r w:rsidR="001F211E">
        <w:rPr>
          <w:b/>
          <w:sz w:val="20"/>
          <w:lang w:val="en-NZ"/>
        </w:rPr>
        <w:t>2</w:t>
      </w:r>
      <w:r>
        <w:rPr>
          <w:b/>
          <w:sz w:val="20"/>
          <w:lang w:val="en-NZ"/>
        </w:rPr>
        <w:t>: NRFAI and obligations on the direct lender</w:t>
      </w:r>
    </w:p>
    <w:p w:rsidR="002B4ED7" w:rsidRDefault="002B4ED7" w:rsidP="002B4ED7">
      <w:pPr>
        <w:pBdr>
          <w:top w:val="single" w:sz="4" w:space="10" w:color="auto"/>
          <w:left w:val="single" w:sz="4" w:space="10" w:color="auto"/>
          <w:bottom w:val="single" w:sz="4" w:space="10" w:color="auto"/>
          <w:right w:val="single" w:sz="4" w:space="10" w:color="auto"/>
        </w:pBdr>
        <w:rPr>
          <w:sz w:val="20"/>
          <w:lang w:val="en-NZ"/>
        </w:rPr>
      </w:pPr>
    </w:p>
    <w:p w:rsidR="00F23738" w:rsidRDefault="00F23738" w:rsidP="002B4ED7">
      <w:pPr>
        <w:pBdr>
          <w:top w:val="single" w:sz="4" w:space="10" w:color="auto"/>
          <w:left w:val="single" w:sz="4" w:space="10" w:color="auto"/>
          <w:bottom w:val="single" w:sz="4" w:space="10" w:color="auto"/>
          <w:right w:val="single" w:sz="4" w:space="10" w:color="auto"/>
        </w:pBdr>
        <w:rPr>
          <w:sz w:val="20"/>
          <w:lang w:val="en-NZ"/>
        </w:rPr>
      </w:pPr>
      <w:r>
        <w:rPr>
          <w:sz w:val="20"/>
          <w:lang w:val="en-NZ"/>
        </w:rPr>
        <w:t xml:space="preserve">This example </w:t>
      </w:r>
      <w:r w:rsidR="00213DB9">
        <w:rPr>
          <w:sz w:val="20"/>
          <w:lang w:val="en-NZ"/>
        </w:rPr>
        <w:t>is</w:t>
      </w:r>
      <w:r>
        <w:rPr>
          <w:sz w:val="20"/>
          <w:lang w:val="en-NZ"/>
        </w:rPr>
        <w:t xml:space="preserve"> the same </w:t>
      </w:r>
      <w:r w:rsidR="00213DB9">
        <w:rPr>
          <w:sz w:val="20"/>
          <w:lang w:val="en-NZ"/>
        </w:rPr>
        <w:t>as</w:t>
      </w:r>
      <w:r>
        <w:rPr>
          <w:sz w:val="20"/>
          <w:lang w:val="en-NZ"/>
        </w:rPr>
        <w:t xml:space="preserve"> </w:t>
      </w:r>
      <w:r w:rsidRPr="00C159D4">
        <w:rPr>
          <w:sz w:val="20"/>
          <w:lang w:val="en-NZ"/>
        </w:rPr>
        <w:t xml:space="preserve">example </w:t>
      </w:r>
      <w:r w:rsidR="004B3D18">
        <w:rPr>
          <w:sz w:val="20"/>
          <w:lang w:val="en-NZ"/>
        </w:rPr>
        <w:t>11</w:t>
      </w:r>
      <w:r w:rsidR="00341B0A">
        <w:rPr>
          <w:sz w:val="20"/>
          <w:lang w:val="en-NZ"/>
        </w:rPr>
        <w:t xml:space="preserve"> above</w:t>
      </w:r>
      <w:r w:rsidR="00A84F81">
        <w:rPr>
          <w:sz w:val="20"/>
          <w:lang w:val="en-NZ"/>
        </w:rPr>
        <w:t>,</w:t>
      </w:r>
      <w:r w:rsidR="007A321C">
        <w:rPr>
          <w:sz w:val="20"/>
          <w:lang w:val="en-NZ"/>
        </w:rPr>
        <w:t xml:space="preserve"> except </w:t>
      </w:r>
      <w:r w:rsidR="00277595">
        <w:rPr>
          <w:sz w:val="20"/>
          <w:lang w:val="en-NZ"/>
        </w:rPr>
        <w:t>NZ</w:t>
      </w:r>
      <w:r w:rsidR="00D84E8A">
        <w:rPr>
          <w:sz w:val="20"/>
          <w:lang w:val="en-NZ"/>
        </w:rPr>
        <w:t xml:space="preserve"> Co</w:t>
      </w:r>
      <w:r w:rsidR="007A321C">
        <w:rPr>
          <w:sz w:val="20"/>
          <w:lang w:val="en-NZ"/>
        </w:rPr>
        <w:t xml:space="preserve"> does not comply with </w:t>
      </w:r>
      <w:r w:rsidR="008D17CA">
        <w:rPr>
          <w:sz w:val="20"/>
          <w:lang w:val="en-NZ"/>
        </w:rPr>
        <w:t>its</w:t>
      </w:r>
      <w:r w:rsidR="007A321C">
        <w:rPr>
          <w:sz w:val="20"/>
          <w:lang w:val="en-NZ"/>
        </w:rPr>
        <w:t xml:space="preserve"> </w:t>
      </w:r>
      <w:r w:rsidR="003F780C">
        <w:rPr>
          <w:sz w:val="20"/>
          <w:lang w:val="en-NZ"/>
        </w:rPr>
        <w:t xml:space="preserve">tax </w:t>
      </w:r>
      <w:r w:rsidR="007A321C">
        <w:rPr>
          <w:sz w:val="20"/>
          <w:lang w:val="en-NZ"/>
        </w:rPr>
        <w:t>obligations.</w:t>
      </w:r>
    </w:p>
    <w:p w:rsidR="007A321C" w:rsidRDefault="007A321C" w:rsidP="002B4ED7">
      <w:pPr>
        <w:pBdr>
          <w:top w:val="single" w:sz="4" w:space="10" w:color="auto"/>
          <w:left w:val="single" w:sz="4" w:space="10" w:color="auto"/>
          <w:bottom w:val="single" w:sz="4" w:space="10" w:color="auto"/>
          <w:right w:val="single" w:sz="4" w:space="10" w:color="auto"/>
        </w:pBdr>
        <w:rPr>
          <w:sz w:val="20"/>
          <w:lang w:val="en-NZ"/>
        </w:rPr>
      </w:pPr>
    </w:p>
    <w:p w:rsidR="007A321C" w:rsidRDefault="007A321C" w:rsidP="002B4ED7">
      <w:pPr>
        <w:pBdr>
          <w:top w:val="single" w:sz="4" w:space="10" w:color="auto"/>
          <w:left w:val="single" w:sz="4" w:space="10" w:color="auto"/>
          <w:bottom w:val="single" w:sz="4" w:space="10" w:color="auto"/>
          <w:right w:val="single" w:sz="4" w:space="10" w:color="auto"/>
        </w:pBdr>
        <w:rPr>
          <w:sz w:val="20"/>
          <w:lang w:val="en-NZ"/>
        </w:rPr>
      </w:pPr>
      <w:r>
        <w:rPr>
          <w:sz w:val="20"/>
          <w:lang w:val="en-NZ"/>
        </w:rPr>
        <w:t>Upon receiving the $60 interest payment with no NRWT withheld</w:t>
      </w:r>
      <w:r w:rsidR="00A84F81">
        <w:rPr>
          <w:sz w:val="20"/>
          <w:lang w:val="en-NZ"/>
        </w:rPr>
        <w:t>,</w:t>
      </w:r>
      <w:r>
        <w:rPr>
          <w:sz w:val="20"/>
          <w:lang w:val="en-NZ"/>
        </w:rPr>
        <w:t xml:space="preserve"> NZ Finance Co will be required to pay $5.50 of NRWT to Inland Revenue.  It is expected the loan agreement would allow NZ Finance Co to recover this amount from </w:t>
      </w:r>
      <w:r w:rsidR="00277595">
        <w:rPr>
          <w:sz w:val="20"/>
          <w:lang w:val="en-NZ"/>
        </w:rPr>
        <w:t>NZ</w:t>
      </w:r>
      <w:r w:rsidR="00D84E8A">
        <w:rPr>
          <w:sz w:val="20"/>
          <w:lang w:val="en-NZ"/>
        </w:rPr>
        <w:t xml:space="preserve"> Co</w:t>
      </w:r>
      <w:r>
        <w:rPr>
          <w:sz w:val="20"/>
          <w:lang w:val="en-NZ"/>
        </w:rPr>
        <w:t xml:space="preserve">.  </w:t>
      </w:r>
      <w:r w:rsidR="00213DB9">
        <w:rPr>
          <w:sz w:val="20"/>
          <w:lang w:val="en-NZ"/>
        </w:rPr>
        <w:t xml:space="preserve">On 21 June 2020 </w:t>
      </w:r>
      <w:r w:rsidR="00277595">
        <w:rPr>
          <w:sz w:val="20"/>
          <w:lang w:val="en-NZ"/>
        </w:rPr>
        <w:t>NZ</w:t>
      </w:r>
      <w:r>
        <w:rPr>
          <w:sz w:val="20"/>
          <w:lang w:val="en-NZ"/>
        </w:rPr>
        <w:t xml:space="preserve"> </w:t>
      </w:r>
      <w:r w:rsidR="00D84E8A">
        <w:rPr>
          <w:sz w:val="20"/>
          <w:lang w:val="en-NZ"/>
        </w:rPr>
        <w:t>Co</w:t>
      </w:r>
      <w:r>
        <w:rPr>
          <w:sz w:val="20"/>
          <w:lang w:val="en-NZ"/>
        </w:rPr>
        <w:t xml:space="preserve"> advise</w:t>
      </w:r>
      <w:r w:rsidR="00213DB9">
        <w:rPr>
          <w:sz w:val="20"/>
          <w:lang w:val="en-NZ"/>
        </w:rPr>
        <w:t>s</w:t>
      </w:r>
      <w:r>
        <w:rPr>
          <w:sz w:val="20"/>
          <w:lang w:val="en-NZ"/>
        </w:rPr>
        <w:t xml:space="preserve"> NZ Finance Co that the arrangement has triggered NRFAI </w:t>
      </w:r>
      <w:r w:rsidR="00213DB9">
        <w:rPr>
          <w:sz w:val="20"/>
          <w:lang w:val="en-NZ"/>
        </w:rPr>
        <w:t>so NZ Finance Co stops paying NRWT</w:t>
      </w:r>
      <w:r w:rsidR="00C37DAC">
        <w:rPr>
          <w:sz w:val="20"/>
          <w:lang w:val="en-NZ"/>
        </w:rPr>
        <w:t xml:space="preserve"> on interest payments after that date</w:t>
      </w:r>
      <w:r w:rsidR="007478F8">
        <w:rPr>
          <w:sz w:val="20"/>
          <w:lang w:val="en-NZ"/>
        </w:rPr>
        <w:t xml:space="preserve">.  </w:t>
      </w:r>
      <w:r w:rsidR="00277595">
        <w:rPr>
          <w:sz w:val="20"/>
          <w:lang w:val="en-NZ"/>
        </w:rPr>
        <w:t>NZ</w:t>
      </w:r>
      <w:r w:rsidR="00D84E8A">
        <w:rPr>
          <w:sz w:val="20"/>
          <w:lang w:val="en-NZ"/>
        </w:rPr>
        <w:t xml:space="preserve"> Co</w:t>
      </w:r>
      <w:r w:rsidR="007478F8">
        <w:rPr>
          <w:sz w:val="20"/>
          <w:lang w:val="en-NZ"/>
        </w:rPr>
        <w:t xml:space="preserve"> would continue to have a liability for NRWT on the interest payments and NRFAI once the deferral calculation was triggered on 20 June 2020 however, the total amount payable would be reduced by any NRWT paid by NZ Finance Co.</w:t>
      </w:r>
    </w:p>
    <w:p w:rsidR="007478F8" w:rsidRDefault="007478F8" w:rsidP="002B4ED7">
      <w:pPr>
        <w:pBdr>
          <w:top w:val="single" w:sz="4" w:space="10" w:color="auto"/>
          <w:left w:val="single" w:sz="4" w:space="10" w:color="auto"/>
          <w:bottom w:val="single" w:sz="4" w:space="10" w:color="auto"/>
          <w:right w:val="single" w:sz="4" w:space="10" w:color="auto"/>
        </w:pBdr>
        <w:rPr>
          <w:sz w:val="20"/>
          <w:lang w:val="en-NZ"/>
        </w:rPr>
      </w:pPr>
    </w:p>
    <w:p w:rsidR="007478F8" w:rsidRPr="004C024D" w:rsidRDefault="007478F8" w:rsidP="002B4ED7">
      <w:pPr>
        <w:pBdr>
          <w:top w:val="single" w:sz="4" w:space="10" w:color="auto"/>
          <w:left w:val="single" w:sz="4" w:space="10" w:color="auto"/>
          <w:bottom w:val="single" w:sz="4" w:space="10" w:color="auto"/>
          <w:right w:val="single" w:sz="4" w:space="10" w:color="auto"/>
        </w:pBdr>
        <w:rPr>
          <w:sz w:val="20"/>
          <w:lang w:val="en-NZ"/>
        </w:rPr>
      </w:pPr>
      <w:r>
        <w:rPr>
          <w:sz w:val="20"/>
          <w:lang w:val="en-NZ"/>
        </w:rPr>
        <w:t>To the extent insufficient NRWT was paid</w:t>
      </w:r>
      <w:r w:rsidR="00A84F81">
        <w:rPr>
          <w:sz w:val="20"/>
          <w:lang w:val="en-NZ"/>
        </w:rPr>
        <w:t>,</w:t>
      </w:r>
      <w:r>
        <w:rPr>
          <w:sz w:val="20"/>
          <w:lang w:val="en-NZ"/>
        </w:rPr>
        <w:t xml:space="preserve"> Inland Revenue would commence collection actions.  The attempts to collect this NRWT would likely be from </w:t>
      </w:r>
      <w:r w:rsidR="00277595">
        <w:rPr>
          <w:sz w:val="20"/>
          <w:lang w:val="en-NZ"/>
        </w:rPr>
        <w:t>NZ</w:t>
      </w:r>
      <w:r w:rsidR="00D84E8A">
        <w:rPr>
          <w:sz w:val="20"/>
          <w:lang w:val="en-NZ"/>
        </w:rPr>
        <w:t xml:space="preserve"> Co</w:t>
      </w:r>
      <w:r>
        <w:rPr>
          <w:sz w:val="20"/>
          <w:lang w:val="en-NZ"/>
        </w:rPr>
        <w:t xml:space="preserve"> and </w:t>
      </w:r>
      <w:r w:rsidR="00277595">
        <w:rPr>
          <w:sz w:val="20"/>
          <w:lang w:val="en-NZ"/>
        </w:rPr>
        <w:t>NZ</w:t>
      </w:r>
      <w:r w:rsidR="00D84E8A">
        <w:rPr>
          <w:sz w:val="20"/>
          <w:lang w:val="en-NZ"/>
        </w:rPr>
        <w:t xml:space="preserve"> Co</w:t>
      </w:r>
      <w:r w:rsidR="00CF7EDE">
        <w:rPr>
          <w:sz w:val="20"/>
          <w:lang w:val="en-NZ"/>
        </w:rPr>
        <w:t>’</w:t>
      </w:r>
      <w:r>
        <w:rPr>
          <w:sz w:val="20"/>
          <w:lang w:val="en-NZ"/>
        </w:rPr>
        <w:t xml:space="preserve">s non-resident parent in the first instance.  Inland Revenue could also attempt to collect NRWT from NZ Finance Co if this was unsuccessful; however, the maximum amount that could be collected from NZ Finance Co would be </w:t>
      </w:r>
      <w:r w:rsidR="003F780C">
        <w:rPr>
          <w:sz w:val="20"/>
          <w:lang w:val="en-NZ"/>
        </w:rPr>
        <w:t xml:space="preserve">capped at NRWT on a payments basis </w:t>
      </w:r>
      <w:r w:rsidR="00C37DAC">
        <w:rPr>
          <w:sz w:val="20"/>
          <w:lang w:val="en-NZ"/>
        </w:rPr>
        <w:t xml:space="preserve">for interest payments before they received the NRFAI notification </w:t>
      </w:r>
      <w:r w:rsidR="003F780C">
        <w:rPr>
          <w:sz w:val="20"/>
          <w:lang w:val="en-NZ"/>
        </w:rPr>
        <w:t>(</w:t>
      </w:r>
      <w:r w:rsidR="00A84F81">
        <w:rPr>
          <w:sz w:val="20"/>
          <w:lang w:val="en-NZ"/>
        </w:rPr>
        <w:t>that is,</w:t>
      </w:r>
      <w:r w:rsidR="003F780C">
        <w:rPr>
          <w:sz w:val="20"/>
          <w:lang w:val="en-NZ"/>
        </w:rPr>
        <w:t xml:space="preserve"> $5.50 in each of the April 2018 to April 202</w:t>
      </w:r>
      <w:r w:rsidR="00C37DAC">
        <w:rPr>
          <w:sz w:val="20"/>
          <w:lang w:val="en-NZ"/>
        </w:rPr>
        <w:t>0</w:t>
      </w:r>
      <w:r w:rsidR="003F780C">
        <w:rPr>
          <w:sz w:val="20"/>
          <w:lang w:val="en-NZ"/>
        </w:rPr>
        <w:t xml:space="preserve"> periods).</w:t>
      </w:r>
    </w:p>
    <w:p w:rsidR="002B03E2" w:rsidRDefault="002B03E2" w:rsidP="00BB4237">
      <w:pPr>
        <w:rPr>
          <w:lang w:val="en-NZ"/>
        </w:rPr>
      </w:pPr>
    </w:p>
    <w:p w:rsidR="002B4ED7" w:rsidRPr="00260412" w:rsidRDefault="002B4ED7" w:rsidP="00BB4237">
      <w:pPr>
        <w:rPr>
          <w:lang w:val="en-NZ"/>
        </w:rPr>
      </w:pPr>
    </w:p>
    <w:p w:rsidR="00AD71BD" w:rsidRPr="00260412" w:rsidRDefault="00AD71BD" w:rsidP="002B4ED7">
      <w:pPr>
        <w:pBdr>
          <w:top w:val="single" w:sz="4" w:space="10" w:color="auto"/>
          <w:left w:val="single" w:sz="4" w:space="10" w:color="auto"/>
          <w:bottom w:val="single" w:sz="4" w:space="10" w:color="auto"/>
          <w:right w:val="single" w:sz="4" w:space="10" w:color="auto"/>
        </w:pBdr>
        <w:rPr>
          <w:b/>
          <w:sz w:val="20"/>
          <w:lang w:val="en-NZ"/>
        </w:rPr>
      </w:pPr>
      <w:r w:rsidRPr="00260412">
        <w:rPr>
          <w:b/>
          <w:sz w:val="20"/>
          <w:lang w:val="en-NZ"/>
        </w:rPr>
        <w:t>Example</w:t>
      </w:r>
      <w:r w:rsidR="00F23738">
        <w:rPr>
          <w:b/>
          <w:sz w:val="20"/>
          <w:lang w:val="en-NZ"/>
        </w:rPr>
        <w:t xml:space="preserve"> </w:t>
      </w:r>
      <w:r w:rsidR="008F2327">
        <w:rPr>
          <w:b/>
          <w:sz w:val="20"/>
          <w:lang w:val="en-NZ"/>
        </w:rPr>
        <w:t>1</w:t>
      </w:r>
      <w:r w:rsidR="001F211E">
        <w:rPr>
          <w:b/>
          <w:sz w:val="20"/>
          <w:lang w:val="en-NZ"/>
        </w:rPr>
        <w:t>3</w:t>
      </w:r>
      <w:r>
        <w:rPr>
          <w:b/>
          <w:sz w:val="20"/>
          <w:lang w:val="en-NZ"/>
        </w:rPr>
        <w:t>:</w:t>
      </w:r>
      <w:r w:rsidRPr="00260412">
        <w:rPr>
          <w:b/>
          <w:sz w:val="20"/>
          <w:lang w:val="en-NZ"/>
        </w:rPr>
        <w:t xml:space="preserve"> </w:t>
      </w:r>
      <w:r>
        <w:rPr>
          <w:b/>
          <w:sz w:val="20"/>
          <w:lang w:val="en-NZ"/>
        </w:rPr>
        <w:t>Commercial c</w:t>
      </w:r>
      <w:r w:rsidRPr="00260412">
        <w:rPr>
          <w:b/>
          <w:sz w:val="20"/>
          <w:lang w:val="en-NZ"/>
        </w:rPr>
        <w:t>ash pooling arrangement</w:t>
      </w:r>
    </w:p>
    <w:p w:rsidR="00AD71BD" w:rsidRPr="00260412" w:rsidRDefault="00AD71BD" w:rsidP="002B4ED7">
      <w:pPr>
        <w:pBdr>
          <w:top w:val="single" w:sz="4" w:space="10" w:color="auto"/>
          <w:left w:val="single" w:sz="4" w:space="10" w:color="auto"/>
          <w:bottom w:val="single" w:sz="4" w:space="10" w:color="auto"/>
          <w:right w:val="single" w:sz="4" w:space="10" w:color="auto"/>
        </w:pBdr>
        <w:rPr>
          <w:sz w:val="20"/>
          <w:lang w:val="en-NZ"/>
        </w:rPr>
      </w:pPr>
    </w:p>
    <w:p w:rsidR="00AD71BD" w:rsidRPr="00260412" w:rsidRDefault="00AD71BD" w:rsidP="002B4ED7">
      <w:pPr>
        <w:pBdr>
          <w:top w:val="single" w:sz="4" w:space="10" w:color="auto"/>
          <w:left w:val="single" w:sz="4" w:space="10" w:color="auto"/>
          <w:bottom w:val="single" w:sz="4" w:space="10" w:color="auto"/>
          <w:right w:val="single" w:sz="4" w:space="10" w:color="auto"/>
        </w:pBdr>
        <w:rPr>
          <w:sz w:val="20"/>
          <w:lang w:val="en-NZ"/>
        </w:rPr>
      </w:pPr>
      <w:r w:rsidRPr="004D5BC5">
        <w:rPr>
          <w:sz w:val="20"/>
          <w:lang w:val="en-NZ"/>
        </w:rPr>
        <w:t xml:space="preserve">Multinational Group has </w:t>
      </w:r>
      <w:r w:rsidR="00336740" w:rsidRPr="004D5BC5">
        <w:rPr>
          <w:sz w:val="20"/>
          <w:lang w:val="en-NZ"/>
        </w:rPr>
        <w:t xml:space="preserve">subsidiaries </w:t>
      </w:r>
      <w:r w:rsidRPr="004D5BC5">
        <w:rPr>
          <w:sz w:val="20"/>
          <w:lang w:val="en-NZ"/>
        </w:rPr>
        <w:t xml:space="preserve">in a number of countries including New Zealand.  Each of these </w:t>
      </w:r>
      <w:r w:rsidR="00F564FC">
        <w:rPr>
          <w:sz w:val="20"/>
          <w:lang w:val="en-NZ"/>
        </w:rPr>
        <w:t>subsidiaries</w:t>
      </w:r>
      <w:r w:rsidRPr="004D5BC5">
        <w:rPr>
          <w:sz w:val="20"/>
          <w:lang w:val="en-NZ"/>
        </w:rPr>
        <w:t xml:space="preserve"> has a</w:t>
      </w:r>
      <w:r w:rsidR="00336740" w:rsidRPr="004D5BC5">
        <w:rPr>
          <w:sz w:val="20"/>
          <w:lang w:val="en-NZ"/>
        </w:rPr>
        <w:t xml:space="preserve"> notional</w:t>
      </w:r>
      <w:r w:rsidRPr="004D5BC5">
        <w:rPr>
          <w:sz w:val="20"/>
          <w:lang w:val="en-NZ"/>
        </w:rPr>
        <w:t xml:space="preserve"> cash pooling account with Worldwide Bank Ltd which it uses for managing its working capital requirements.</w:t>
      </w:r>
      <w:r w:rsidR="00336740" w:rsidRPr="004D5BC5">
        <w:rPr>
          <w:sz w:val="20"/>
          <w:lang w:val="en-NZ"/>
        </w:rPr>
        <w:t xml:space="preserve"> </w:t>
      </w:r>
      <w:r w:rsidR="00AF43A3">
        <w:rPr>
          <w:sz w:val="20"/>
          <w:lang w:val="en-NZ"/>
        </w:rPr>
        <w:t xml:space="preserve"> </w:t>
      </w:r>
      <w:r w:rsidR="004D5BC5">
        <w:rPr>
          <w:sz w:val="20"/>
          <w:lang w:val="en-NZ"/>
        </w:rPr>
        <w:t>The New Zealand subsidiary</w:t>
      </w:r>
      <w:r w:rsidR="00CF7EDE">
        <w:rPr>
          <w:sz w:val="20"/>
          <w:lang w:val="en-NZ"/>
        </w:rPr>
        <w:t>’</w:t>
      </w:r>
      <w:r w:rsidR="004D5BC5">
        <w:rPr>
          <w:sz w:val="20"/>
          <w:lang w:val="en-NZ"/>
        </w:rPr>
        <w:t xml:space="preserve">s balance in the cash pooling account can be positive or negative within limits agreed with Worldwide </w:t>
      </w:r>
      <w:r w:rsidR="008D17CA">
        <w:rPr>
          <w:sz w:val="20"/>
          <w:lang w:val="en-NZ"/>
        </w:rPr>
        <w:t>B</w:t>
      </w:r>
      <w:r w:rsidR="004D5BC5">
        <w:rPr>
          <w:sz w:val="20"/>
          <w:lang w:val="en-NZ"/>
        </w:rPr>
        <w:t>ank.  During the month of June 2018 the New Zealand subsidiary</w:t>
      </w:r>
      <w:r w:rsidR="00CF7EDE">
        <w:rPr>
          <w:sz w:val="20"/>
          <w:lang w:val="en-NZ"/>
        </w:rPr>
        <w:t>’</w:t>
      </w:r>
      <w:r w:rsidR="004D5BC5">
        <w:rPr>
          <w:sz w:val="20"/>
          <w:lang w:val="en-NZ"/>
        </w:rPr>
        <w:t xml:space="preserve">s average balance is -$50,000 while the </w:t>
      </w:r>
      <w:r w:rsidR="008D17CA">
        <w:rPr>
          <w:sz w:val="20"/>
          <w:lang w:val="en-NZ"/>
        </w:rPr>
        <w:t>parent company</w:t>
      </w:r>
      <w:r w:rsidR="00CF7EDE">
        <w:rPr>
          <w:sz w:val="20"/>
          <w:lang w:val="en-NZ"/>
        </w:rPr>
        <w:t>’</w:t>
      </w:r>
      <w:r w:rsidR="004D5BC5">
        <w:rPr>
          <w:sz w:val="20"/>
          <w:lang w:val="en-NZ"/>
        </w:rPr>
        <w:t xml:space="preserve">s average balance is +$750,000.  </w:t>
      </w:r>
      <w:r w:rsidR="00AC52A5">
        <w:rPr>
          <w:sz w:val="20"/>
          <w:lang w:val="en-NZ"/>
        </w:rPr>
        <w:t xml:space="preserve">Worldwide </w:t>
      </w:r>
      <w:r w:rsidR="008D17CA">
        <w:rPr>
          <w:sz w:val="20"/>
          <w:lang w:val="en-NZ"/>
        </w:rPr>
        <w:t>B</w:t>
      </w:r>
      <w:r w:rsidR="00AC52A5">
        <w:rPr>
          <w:sz w:val="20"/>
          <w:lang w:val="en-NZ"/>
        </w:rPr>
        <w:t>ank does not charge t</w:t>
      </w:r>
      <w:r w:rsidR="004D5BC5">
        <w:rPr>
          <w:sz w:val="20"/>
          <w:lang w:val="en-NZ"/>
        </w:rPr>
        <w:t xml:space="preserve">he New Zealand subsidiary interest for </w:t>
      </w:r>
      <w:r w:rsidR="00AC52A5">
        <w:rPr>
          <w:sz w:val="20"/>
          <w:lang w:val="en-NZ"/>
        </w:rPr>
        <w:t>June 2018</w:t>
      </w:r>
      <w:r w:rsidR="004D5BC5">
        <w:rPr>
          <w:sz w:val="20"/>
          <w:lang w:val="en-NZ"/>
        </w:rPr>
        <w:t xml:space="preserve">.  </w:t>
      </w:r>
      <w:r w:rsidR="00AC52A5">
        <w:rPr>
          <w:sz w:val="20"/>
          <w:lang w:val="en-NZ"/>
        </w:rPr>
        <w:t xml:space="preserve">The </w:t>
      </w:r>
      <w:r w:rsidR="008D17CA">
        <w:rPr>
          <w:sz w:val="20"/>
          <w:lang w:val="en-NZ"/>
        </w:rPr>
        <w:t xml:space="preserve">parent company </w:t>
      </w:r>
      <w:r w:rsidR="00AC52A5">
        <w:rPr>
          <w:sz w:val="20"/>
          <w:lang w:val="en-NZ"/>
        </w:rPr>
        <w:t xml:space="preserve">has not put money into the cash pool in order for </w:t>
      </w:r>
      <w:r w:rsidR="00F564FC">
        <w:rPr>
          <w:sz w:val="20"/>
          <w:lang w:val="en-NZ"/>
        </w:rPr>
        <w:t>money</w:t>
      </w:r>
      <w:r w:rsidR="00AC52A5">
        <w:rPr>
          <w:sz w:val="20"/>
          <w:lang w:val="en-NZ"/>
        </w:rPr>
        <w:t xml:space="preserve"> to be withdrawn by the New Zealand subsidiary so this is not indirect associated funding and the new rules do not apply.</w:t>
      </w:r>
      <w:r w:rsidR="00AF5B02">
        <w:rPr>
          <w:sz w:val="20"/>
          <w:lang w:val="en-NZ"/>
        </w:rPr>
        <w:t xml:space="preserve">  This conclusion is not affected if there is a compensatory payment by the New Zealand subsidiary to the parent.</w:t>
      </w:r>
    </w:p>
    <w:p w:rsidR="00AD71BD" w:rsidRDefault="00AD71BD" w:rsidP="00BB4237">
      <w:pPr>
        <w:rPr>
          <w:lang w:val="en-NZ"/>
        </w:rPr>
      </w:pPr>
    </w:p>
    <w:p w:rsidR="002B4ED7" w:rsidRDefault="002B4ED7" w:rsidP="00BB4237">
      <w:pPr>
        <w:rPr>
          <w:lang w:val="en-NZ"/>
        </w:rPr>
      </w:pPr>
    </w:p>
    <w:p w:rsidR="00625ADD" w:rsidRPr="00260412" w:rsidRDefault="00625ADD" w:rsidP="002B4ED7">
      <w:pPr>
        <w:pBdr>
          <w:top w:val="single" w:sz="4" w:space="10" w:color="auto"/>
          <w:left w:val="single" w:sz="4" w:space="10" w:color="auto"/>
          <w:bottom w:val="single" w:sz="4" w:space="10" w:color="auto"/>
          <w:right w:val="single" w:sz="4" w:space="10" w:color="auto"/>
        </w:pBdr>
        <w:rPr>
          <w:b/>
          <w:sz w:val="20"/>
          <w:lang w:val="en-NZ"/>
        </w:rPr>
      </w:pPr>
      <w:r w:rsidRPr="00260412">
        <w:rPr>
          <w:b/>
          <w:sz w:val="20"/>
          <w:lang w:val="en-NZ"/>
        </w:rPr>
        <w:t>Example</w:t>
      </w:r>
      <w:r w:rsidR="003A12FF">
        <w:rPr>
          <w:b/>
          <w:sz w:val="20"/>
          <w:lang w:val="en-NZ"/>
        </w:rPr>
        <w:t xml:space="preserve"> 1</w:t>
      </w:r>
      <w:r w:rsidR="001F211E">
        <w:rPr>
          <w:b/>
          <w:sz w:val="20"/>
          <w:lang w:val="en-NZ"/>
        </w:rPr>
        <w:t>4</w:t>
      </w:r>
      <w:r>
        <w:rPr>
          <w:b/>
          <w:sz w:val="20"/>
          <w:lang w:val="en-NZ"/>
        </w:rPr>
        <w:t>: B</w:t>
      </w:r>
      <w:r w:rsidRPr="00260412">
        <w:rPr>
          <w:b/>
          <w:sz w:val="20"/>
          <w:lang w:val="en-NZ"/>
        </w:rPr>
        <w:t>ack-to-back loan through a cash pooling arrangement</w:t>
      </w:r>
    </w:p>
    <w:p w:rsidR="00625ADD" w:rsidRPr="00260412" w:rsidRDefault="00625ADD" w:rsidP="002B4ED7">
      <w:pPr>
        <w:pBdr>
          <w:top w:val="single" w:sz="4" w:space="10" w:color="auto"/>
          <w:left w:val="single" w:sz="4" w:space="10" w:color="auto"/>
          <w:bottom w:val="single" w:sz="4" w:space="10" w:color="auto"/>
          <w:right w:val="single" w:sz="4" w:space="10" w:color="auto"/>
        </w:pBdr>
        <w:rPr>
          <w:sz w:val="20"/>
          <w:lang w:val="en-NZ"/>
        </w:rPr>
      </w:pPr>
    </w:p>
    <w:p w:rsidR="00625ADD" w:rsidRPr="00260412" w:rsidRDefault="00625ADD" w:rsidP="002B4ED7">
      <w:pPr>
        <w:pBdr>
          <w:top w:val="single" w:sz="4" w:space="10" w:color="auto"/>
          <w:left w:val="single" w:sz="4" w:space="10" w:color="auto"/>
          <w:bottom w:val="single" w:sz="4" w:space="10" w:color="auto"/>
          <w:right w:val="single" w:sz="4" w:space="10" w:color="auto"/>
        </w:pBdr>
        <w:rPr>
          <w:sz w:val="20"/>
          <w:lang w:val="en-NZ"/>
        </w:rPr>
      </w:pPr>
      <w:r w:rsidRPr="00260412">
        <w:rPr>
          <w:sz w:val="20"/>
          <w:lang w:val="en-NZ"/>
        </w:rPr>
        <w:t>US Parent has a $10,000,000 loan to NZ Subsidiary on which the interest payments are subject to NRWT.  NZ Subsidiary repays this loan by withdrawing from an account with US Bank.  This account is part of a cash pooling arrangement with other members of US Parent</w:t>
      </w:r>
      <w:r w:rsidR="00CF7EDE">
        <w:rPr>
          <w:sz w:val="20"/>
          <w:lang w:val="en-NZ"/>
        </w:rPr>
        <w:t>’</w:t>
      </w:r>
      <w:r w:rsidRPr="00260412">
        <w:rPr>
          <w:sz w:val="20"/>
          <w:lang w:val="en-NZ"/>
        </w:rPr>
        <w:t xml:space="preserve">s group.  US Parent uses the $10,000,000 repaid by NZ Subsidiary to </w:t>
      </w:r>
      <w:r w:rsidR="006C1A44">
        <w:rPr>
          <w:sz w:val="20"/>
          <w:lang w:val="en-NZ"/>
        </w:rPr>
        <w:t>make a</w:t>
      </w:r>
      <w:r w:rsidRPr="00260412">
        <w:rPr>
          <w:sz w:val="20"/>
          <w:lang w:val="en-NZ"/>
        </w:rPr>
        <w:t xml:space="preserve"> deposit with US Bank in an account that is also part of the cash pooling arrangement.  Because these amounts offset each other</w:t>
      </w:r>
      <w:r w:rsidR="00922C06">
        <w:rPr>
          <w:sz w:val="20"/>
          <w:lang w:val="en-NZ"/>
        </w:rPr>
        <w:t>,</w:t>
      </w:r>
      <w:r w:rsidRPr="00260412">
        <w:rPr>
          <w:sz w:val="20"/>
          <w:lang w:val="en-NZ"/>
        </w:rPr>
        <w:t xml:space="preserve"> US Parent does not receive any interest from US Bank but neither does NZ Subsidiary pay interest to US Bank.  NZ Subsidiary</w:t>
      </w:r>
      <w:r>
        <w:rPr>
          <w:sz w:val="20"/>
          <w:lang w:val="en-NZ"/>
        </w:rPr>
        <w:t xml:space="preserve"> </w:t>
      </w:r>
      <w:r w:rsidRPr="00260412">
        <w:rPr>
          <w:sz w:val="20"/>
          <w:lang w:val="en-NZ"/>
        </w:rPr>
        <w:t>pays $100,000 per month to US Parent</w:t>
      </w:r>
      <w:r>
        <w:rPr>
          <w:sz w:val="20"/>
          <w:lang w:val="en-NZ"/>
        </w:rPr>
        <w:t xml:space="preserve"> </w:t>
      </w:r>
      <w:r w:rsidRPr="00260412">
        <w:rPr>
          <w:sz w:val="20"/>
          <w:lang w:val="en-NZ"/>
        </w:rPr>
        <w:t xml:space="preserve">as part of a transfer pricing agreement which is a deductible funding cost to NZ Subsidiary.  </w:t>
      </w:r>
      <w:r w:rsidR="008D17CA">
        <w:rPr>
          <w:sz w:val="20"/>
          <w:lang w:val="en-NZ"/>
        </w:rPr>
        <w:t>S</w:t>
      </w:r>
      <w:r w:rsidRPr="00260412">
        <w:rPr>
          <w:sz w:val="20"/>
          <w:lang w:val="en-NZ"/>
        </w:rPr>
        <w:t>ection RF 12</w:t>
      </w:r>
      <w:r w:rsidR="00AD71BD">
        <w:rPr>
          <w:sz w:val="20"/>
          <w:lang w:val="en-NZ"/>
        </w:rPr>
        <w:t>J</w:t>
      </w:r>
      <w:r w:rsidRPr="00260412">
        <w:rPr>
          <w:sz w:val="20"/>
          <w:lang w:val="en-NZ"/>
        </w:rPr>
        <w:t xml:space="preserve"> treat</w:t>
      </w:r>
      <w:r w:rsidR="00AD71BD">
        <w:rPr>
          <w:sz w:val="20"/>
          <w:lang w:val="en-NZ"/>
        </w:rPr>
        <w:t>s</w:t>
      </w:r>
      <w:r w:rsidRPr="00260412">
        <w:rPr>
          <w:sz w:val="20"/>
          <w:lang w:val="en-NZ"/>
        </w:rPr>
        <w:t xml:space="preserve"> this arrangement as a loan from US Parent</w:t>
      </w:r>
      <w:r>
        <w:rPr>
          <w:sz w:val="20"/>
          <w:lang w:val="en-NZ"/>
        </w:rPr>
        <w:t xml:space="preserve"> </w:t>
      </w:r>
      <w:r w:rsidRPr="00260412">
        <w:rPr>
          <w:sz w:val="20"/>
          <w:lang w:val="en-NZ"/>
        </w:rPr>
        <w:t>to NZ Subsidiary</w:t>
      </w:r>
      <w:r w:rsidR="006C1A44">
        <w:rPr>
          <w:sz w:val="20"/>
          <w:lang w:val="en-NZ"/>
        </w:rPr>
        <w:t>.</w:t>
      </w:r>
      <w:r>
        <w:rPr>
          <w:sz w:val="20"/>
          <w:lang w:val="en-NZ"/>
        </w:rPr>
        <w:t xml:space="preserve"> </w:t>
      </w:r>
      <w:r w:rsidR="00922C06">
        <w:rPr>
          <w:sz w:val="20"/>
          <w:lang w:val="en-NZ"/>
        </w:rPr>
        <w:t xml:space="preserve"> </w:t>
      </w:r>
      <w:r w:rsidR="006C1A44">
        <w:rPr>
          <w:sz w:val="20"/>
          <w:lang w:val="en-NZ"/>
        </w:rPr>
        <w:t>This means that</w:t>
      </w:r>
      <w:r w:rsidRPr="00260412">
        <w:rPr>
          <w:sz w:val="20"/>
          <w:lang w:val="en-NZ"/>
        </w:rPr>
        <w:t xml:space="preserve"> the $100,000 per month payment </w:t>
      </w:r>
      <w:r w:rsidR="006C1A44">
        <w:rPr>
          <w:sz w:val="20"/>
          <w:lang w:val="en-NZ"/>
        </w:rPr>
        <w:t>is New Zealand</w:t>
      </w:r>
      <w:r w:rsidR="00922C06">
        <w:rPr>
          <w:sz w:val="20"/>
          <w:lang w:val="en-NZ"/>
        </w:rPr>
        <w:t>-</w:t>
      </w:r>
      <w:r w:rsidR="006C1A44">
        <w:rPr>
          <w:sz w:val="20"/>
          <w:lang w:val="en-NZ"/>
        </w:rPr>
        <w:t>source</w:t>
      </w:r>
      <w:r w:rsidR="00922C06">
        <w:rPr>
          <w:sz w:val="20"/>
          <w:lang w:val="en-NZ"/>
        </w:rPr>
        <w:t>d</w:t>
      </w:r>
      <w:r w:rsidR="006C1A44">
        <w:rPr>
          <w:sz w:val="20"/>
          <w:lang w:val="en-NZ"/>
        </w:rPr>
        <w:t xml:space="preserve"> income for US Parent,</w:t>
      </w:r>
      <w:r>
        <w:rPr>
          <w:sz w:val="20"/>
          <w:lang w:val="en-NZ"/>
        </w:rPr>
        <w:t xml:space="preserve"> </w:t>
      </w:r>
      <w:r w:rsidRPr="00260412">
        <w:rPr>
          <w:sz w:val="20"/>
          <w:lang w:val="en-NZ"/>
        </w:rPr>
        <w:t>from which NRWT must be withheld.</w:t>
      </w:r>
    </w:p>
    <w:p w:rsidR="003A12FF" w:rsidRDefault="003A12FF" w:rsidP="00BB4237">
      <w:pPr>
        <w:rPr>
          <w:lang w:val="en-NZ"/>
        </w:rPr>
      </w:pPr>
      <w:r>
        <w:rPr>
          <w:lang w:val="en-NZ"/>
        </w:rPr>
        <w:br w:type="page"/>
      </w:r>
    </w:p>
    <w:p w:rsidR="00625ADD" w:rsidRDefault="00625ADD" w:rsidP="00BB4237">
      <w:pPr>
        <w:rPr>
          <w:lang w:val="en-NZ"/>
        </w:rPr>
      </w:pPr>
      <w:r w:rsidRPr="00260412">
        <w:rPr>
          <w:noProof/>
          <w:lang w:val="en-NZ" w:eastAsia="en-NZ"/>
        </w:rPr>
        <mc:AlternateContent>
          <mc:Choice Requires="wps">
            <w:drawing>
              <wp:anchor distT="0" distB="0" distL="114300" distR="114300" simplePos="0" relativeHeight="251659264" behindDoc="0" locked="0" layoutInCell="1" allowOverlap="1" wp14:anchorId="320BB496" wp14:editId="061BB018">
                <wp:simplePos x="0" y="0"/>
                <wp:positionH relativeFrom="column">
                  <wp:posOffset>-151130</wp:posOffset>
                </wp:positionH>
                <wp:positionV relativeFrom="paragraph">
                  <wp:posOffset>105410</wp:posOffset>
                </wp:positionV>
                <wp:extent cx="6064250" cy="3879850"/>
                <wp:effectExtent l="0" t="0" r="12700" b="25400"/>
                <wp:wrapNone/>
                <wp:docPr id="28" name="Rectangle 28"/>
                <wp:cNvGraphicFramePr/>
                <a:graphic xmlns:a="http://schemas.openxmlformats.org/drawingml/2006/main">
                  <a:graphicData uri="http://schemas.microsoft.com/office/word/2010/wordprocessingShape">
                    <wps:wsp>
                      <wps:cNvSpPr/>
                      <wps:spPr>
                        <a:xfrm>
                          <a:off x="0" y="0"/>
                          <a:ext cx="6064250" cy="38798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1.9pt;margin-top:8.3pt;width:477.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tMZAIAAMc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" filled="f" strokecolor="windowText" strokeweight=".5pt"/>
            </w:pict>
          </mc:Fallback>
        </mc:AlternateContent>
      </w:r>
    </w:p>
    <w:p w:rsidR="00625ADD" w:rsidRPr="00045246" w:rsidRDefault="00625ADD" w:rsidP="00625ADD">
      <w:pPr>
        <w:jc w:val="left"/>
        <w:rPr>
          <w:sz w:val="16"/>
          <w:szCs w:val="16"/>
          <w:lang w:val="en-NZ"/>
        </w:rPr>
      </w:pPr>
    </w:p>
    <w:p w:rsidR="00625ADD" w:rsidRPr="00260412" w:rsidRDefault="00625ADD" w:rsidP="00625ADD">
      <w:pPr>
        <w:jc w:val="left"/>
        <w:rPr>
          <w:b/>
          <w:sz w:val="20"/>
          <w:lang w:val="en-NZ"/>
        </w:rPr>
      </w:pPr>
      <w:r w:rsidRPr="00260412">
        <w:rPr>
          <w:b/>
          <w:sz w:val="20"/>
          <w:lang w:val="en-NZ"/>
        </w:rPr>
        <w:t>Example</w:t>
      </w:r>
      <w:r w:rsidR="003A12FF">
        <w:rPr>
          <w:b/>
          <w:sz w:val="20"/>
          <w:lang w:val="en-NZ"/>
        </w:rPr>
        <w:t xml:space="preserve"> 1</w:t>
      </w:r>
      <w:r w:rsidR="001F211E">
        <w:rPr>
          <w:b/>
          <w:sz w:val="20"/>
          <w:lang w:val="en-NZ"/>
        </w:rPr>
        <w:t>5</w:t>
      </w:r>
      <w:r>
        <w:rPr>
          <w:b/>
          <w:sz w:val="20"/>
          <w:lang w:val="en-NZ"/>
        </w:rPr>
        <w:t xml:space="preserve">: </w:t>
      </w:r>
      <w:r w:rsidR="009124E2">
        <w:rPr>
          <w:b/>
          <w:sz w:val="20"/>
          <w:lang w:val="en-NZ"/>
        </w:rPr>
        <w:t>Sale of part of a loan to borrower</w:t>
      </w:r>
      <w:r w:rsidR="00CF7EDE">
        <w:rPr>
          <w:b/>
          <w:sz w:val="20"/>
          <w:lang w:val="en-NZ"/>
        </w:rPr>
        <w:t>’</w:t>
      </w:r>
      <w:r w:rsidR="009124E2">
        <w:rPr>
          <w:b/>
          <w:sz w:val="20"/>
          <w:lang w:val="en-NZ"/>
        </w:rPr>
        <w:t>s associate</w:t>
      </w:r>
    </w:p>
    <w:p w:rsidR="00625ADD" w:rsidRPr="004C024D" w:rsidRDefault="00625ADD" w:rsidP="00625ADD">
      <w:pPr>
        <w:rPr>
          <w:sz w:val="20"/>
          <w:lang w:val="en-NZ"/>
        </w:rPr>
      </w:pPr>
    </w:p>
    <w:p w:rsidR="00625ADD" w:rsidRPr="004C024D" w:rsidRDefault="00625ADD" w:rsidP="00625ADD">
      <w:pPr>
        <w:rPr>
          <w:sz w:val="20"/>
          <w:lang w:val="en-NZ"/>
        </w:rPr>
      </w:pPr>
      <w:r w:rsidRPr="004C024D">
        <w:rPr>
          <w:sz w:val="20"/>
          <w:lang w:val="en-NZ"/>
        </w:rPr>
        <w:t xml:space="preserve">NZ Co borrows $1,000 from NZ Bank with $100 annual interest payments and the $1,000 repaid in five years.  </w:t>
      </w:r>
      <w:r w:rsidR="009124E2">
        <w:rPr>
          <w:sz w:val="20"/>
          <w:lang w:val="en-NZ"/>
        </w:rPr>
        <w:t>As part of the same arrangement</w:t>
      </w:r>
      <w:r>
        <w:rPr>
          <w:sz w:val="20"/>
          <w:lang w:val="en-NZ"/>
        </w:rPr>
        <w:t>,</w:t>
      </w:r>
      <w:r w:rsidRPr="004C024D">
        <w:rPr>
          <w:sz w:val="20"/>
          <w:lang w:val="en-NZ"/>
        </w:rPr>
        <w:t xml:space="preserve"> NZ Bank sells the principal repayment to Aus Parent Co, the ultimate owner of NZ Co for $600.</w:t>
      </w:r>
      <w:r>
        <w:rPr>
          <w:sz w:val="20"/>
          <w:lang w:val="en-NZ"/>
        </w:rPr>
        <w:t xml:space="preserve"> </w:t>
      </w:r>
      <w:r w:rsidR="00AD71BD">
        <w:rPr>
          <w:sz w:val="20"/>
          <w:lang w:val="en-NZ"/>
        </w:rPr>
        <w:t xml:space="preserve"> </w:t>
      </w:r>
      <w:r w:rsidR="00AC52A5">
        <w:rPr>
          <w:sz w:val="20"/>
          <w:lang w:val="en-NZ"/>
        </w:rPr>
        <w:t>For tax purposes t</w:t>
      </w:r>
      <w:r w:rsidRPr="004C024D">
        <w:rPr>
          <w:sz w:val="20"/>
          <w:lang w:val="en-NZ"/>
        </w:rPr>
        <w:t xml:space="preserve">his is treated as two separate financial arrangements, a </w:t>
      </w:r>
      <w:r w:rsidR="00BF2395">
        <w:rPr>
          <w:sz w:val="20"/>
          <w:lang w:val="en-NZ"/>
        </w:rPr>
        <w:t>five</w:t>
      </w:r>
      <w:r>
        <w:rPr>
          <w:sz w:val="20"/>
          <w:lang w:val="en-NZ"/>
        </w:rPr>
        <w:t>-</w:t>
      </w:r>
      <w:r w:rsidRPr="004C024D">
        <w:rPr>
          <w:sz w:val="20"/>
          <w:lang w:val="en-NZ"/>
        </w:rPr>
        <w:t>year $400 amortising loan from NZ Bank</w:t>
      </w:r>
      <w:r>
        <w:rPr>
          <w:sz w:val="20"/>
          <w:lang w:val="en-NZ"/>
        </w:rPr>
        <w:t xml:space="preserve"> </w:t>
      </w:r>
      <w:r w:rsidRPr="004C024D">
        <w:rPr>
          <w:sz w:val="20"/>
          <w:lang w:val="en-NZ"/>
        </w:rPr>
        <w:t>to NZ Co</w:t>
      </w:r>
      <w:r>
        <w:rPr>
          <w:sz w:val="20"/>
          <w:lang w:val="en-NZ"/>
        </w:rPr>
        <w:t xml:space="preserve"> </w:t>
      </w:r>
      <w:r w:rsidRPr="004C024D">
        <w:rPr>
          <w:sz w:val="20"/>
          <w:lang w:val="en-NZ"/>
        </w:rPr>
        <w:t xml:space="preserve">and a </w:t>
      </w:r>
      <w:r w:rsidR="00BF2395">
        <w:rPr>
          <w:sz w:val="20"/>
          <w:lang w:val="en-NZ"/>
        </w:rPr>
        <w:t>five</w:t>
      </w:r>
      <w:r>
        <w:rPr>
          <w:sz w:val="20"/>
          <w:lang w:val="en-NZ"/>
        </w:rPr>
        <w:t>-</w:t>
      </w:r>
      <w:r w:rsidRPr="004C024D">
        <w:rPr>
          <w:sz w:val="20"/>
          <w:lang w:val="en-NZ"/>
        </w:rPr>
        <w:t>year $600 bullet loan from Aus Parent Co to NZ Co</w:t>
      </w:r>
      <w:r>
        <w:rPr>
          <w:sz w:val="20"/>
          <w:lang w:val="en-NZ"/>
        </w:rPr>
        <w:t xml:space="preserve"> </w:t>
      </w:r>
      <w:r w:rsidRPr="004C024D">
        <w:rPr>
          <w:sz w:val="20"/>
          <w:lang w:val="en-NZ"/>
        </w:rPr>
        <w:t>as follows:</w:t>
      </w:r>
    </w:p>
    <w:p w:rsidR="00625ADD" w:rsidRDefault="00625ADD" w:rsidP="00625ADD">
      <w:pPr>
        <w:jc w:val="left"/>
        <w:rPr>
          <w:sz w:val="20"/>
          <w:lang w:val="en-NZ"/>
        </w:rPr>
      </w:pPr>
    </w:p>
    <w:p w:rsidR="002B4ED7" w:rsidRPr="00260412" w:rsidRDefault="002B4ED7" w:rsidP="00625ADD">
      <w:pPr>
        <w:jc w:val="left"/>
        <w:rPr>
          <w:sz w:val="20"/>
          <w:lang w:val="en-NZ"/>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1035"/>
        <w:gridCol w:w="1034"/>
        <w:gridCol w:w="1298"/>
        <w:gridCol w:w="680"/>
        <w:gridCol w:w="680"/>
        <w:gridCol w:w="680"/>
        <w:gridCol w:w="680"/>
        <w:gridCol w:w="680"/>
        <w:gridCol w:w="759"/>
      </w:tblGrid>
      <w:tr w:rsidR="00625ADD" w:rsidRPr="00260412" w:rsidTr="008641E0">
        <w:trPr>
          <w:tblHeader/>
          <w:jc w:val="center"/>
        </w:trPr>
        <w:tc>
          <w:tcPr>
            <w:tcW w:w="1035" w:type="dxa"/>
            <w:vAlign w:val="center"/>
          </w:tcPr>
          <w:p w:rsidR="00625ADD" w:rsidRPr="0008103B" w:rsidRDefault="00625ADD" w:rsidP="002B4ED7">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From</w:t>
            </w:r>
          </w:p>
        </w:tc>
        <w:tc>
          <w:tcPr>
            <w:tcW w:w="1034" w:type="dxa"/>
            <w:vAlign w:val="center"/>
          </w:tcPr>
          <w:p w:rsidR="00625ADD" w:rsidRPr="0008103B" w:rsidRDefault="00625ADD" w:rsidP="002B4ED7">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To</w:t>
            </w:r>
          </w:p>
        </w:tc>
        <w:tc>
          <w:tcPr>
            <w:tcW w:w="1298" w:type="dxa"/>
            <w:vAlign w:val="center"/>
          </w:tcPr>
          <w:p w:rsidR="00625ADD" w:rsidRPr="0008103B" w:rsidRDefault="00625ADD" w:rsidP="002B4ED7">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Arrangement commences</w:t>
            </w:r>
          </w:p>
        </w:tc>
        <w:tc>
          <w:tcPr>
            <w:tcW w:w="680" w:type="dxa"/>
            <w:vAlign w:val="center"/>
          </w:tcPr>
          <w:p w:rsidR="00625ADD" w:rsidRPr="0008103B" w:rsidRDefault="00625ADD" w:rsidP="002B4ED7">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Year 1</w:t>
            </w:r>
          </w:p>
        </w:tc>
        <w:tc>
          <w:tcPr>
            <w:tcW w:w="680" w:type="dxa"/>
            <w:vAlign w:val="center"/>
          </w:tcPr>
          <w:p w:rsidR="00625ADD" w:rsidRPr="0008103B" w:rsidRDefault="00625ADD" w:rsidP="002B4ED7">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Year 2</w:t>
            </w:r>
          </w:p>
        </w:tc>
        <w:tc>
          <w:tcPr>
            <w:tcW w:w="680" w:type="dxa"/>
            <w:vAlign w:val="center"/>
          </w:tcPr>
          <w:p w:rsidR="00625ADD" w:rsidRPr="0008103B" w:rsidRDefault="00625ADD" w:rsidP="002B4ED7">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Year 3</w:t>
            </w:r>
          </w:p>
        </w:tc>
        <w:tc>
          <w:tcPr>
            <w:tcW w:w="680" w:type="dxa"/>
            <w:vAlign w:val="center"/>
          </w:tcPr>
          <w:p w:rsidR="00625ADD" w:rsidRPr="0008103B" w:rsidRDefault="00625ADD" w:rsidP="002B4ED7">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Year 4</w:t>
            </w:r>
          </w:p>
        </w:tc>
        <w:tc>
          <w:tcPr>
            <w:tcW w:w="680" w:type="dxa"/>
            <w:vAlign w:val="center"/>
          </w:tcPr>
          <w:p w:rsidR="00625ADD" w:rsidRPr="0008103B" w:rsidRDefault="00625ADD" w:rsidP="002B4ED7">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Year 5</w:t>
            </w:r>
          </w:p>
        </w:tc>
        <w:tc>
          <w:tcPr>
            <w:tcW w:w="759" w:type="dxa"/>
            <w:vAlign w:val="center"/>
          </w:tcPr>
          <w:p w:rsidR="00625ADD" w:rsidRPr="0008103B" w:rsidRDefault="00625ADD" w:rsidP="002B4ED7">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Total interest</w:t>
            </w:r>
          </w:p>
        </w:tc>
      </w:tr>
      <w:tr w:rsidR="00625ADD" w:rsidRPr="00260412" w:rsidTr="002B4ED7">
        <w:trPr>
          <w:jc w:val="center"/>
        </w:trPr>
        <w:tc>
          <w:tcPr>
            <w:tcW w:w="1035" w:type="dxa"/>
            <w:vAlign w:val="center"/>
          </w:tcPr>
          <w:p w:rsidR="00625ADD" w:rsidRPr="00E639D9" w:rsidRDefault="00625ADD" w:rsidP="00625ADD">
            <w:pPr>
              <w:jc w:val="left"/>
              <w:rPr>
                <w:rFonts w:ascii="Times New Roman" w:hAnsi="Times New Roman" w:cs="Times New Roman"/>
                <w:sz w:val="20"/>
                <w:lang w:val="en-NZ"/>
              </w:rPr>
            </w:pPr>
            <w:r w:rsidRPr="00E639D9">
              <w:rPr>
                <w:rFonts w:ascii="Times New Roman" w:hAnsi="Times New Roman" w:cs="Times New Roman"/>
                <w:sz w:val="20"/>
                <w:lang w:val="en-NZ"/>
              </w:rPr>
              <w:t>NZ Bank</w:t>
            </w:r>
          </w:p>
        </w:tc>
        <w:tc>
          <w:tcPr>
            <w:tcW w:w="1034" w:type="dxa"/>
            <w:vAlign w:val="center"/>
          </w:tcPr>
          <w:p w:rsidR="00625ADD" w:rsidRPr="00E639D9" w:rsidRDefault="00625ADD" w:rsidP="006C1A44">
            <w:pPr>
              <w:jc w:val="left"/>
              <w:rPr>
                <w:rFonts w:ascii="Times New Roman" w:hAnsi="Times New Roman" w:cs="Times New Roman"/>
                <w:sz w:val="20"/>
                <w:lang w:val="en-NZ"/>
              </w:rPr>
            </w:pPr>
            <w:r w:rsidRPr="00E639D9">
              <w:rPr>
                <w:rFonts w:ascii="Times New Roman" w:hAnsi="Times New Roman" w:cs="Times New Roman"/>
                <w:sz w:val="20"/>
                <w:lang w:val="en-NZ"/>
              </w:rPr>
              <w:t>NZ Co</w:t>
            </w:r>
          </w:p>
        </w:tc>
        <w:tc>
          <w:tcPr>
            <w:tcW w:w="1298" w:type="dxa"/>
            <w:vAlign w:val="center"/>
          </w:tcPr>
          <w:p w:rsidR="00625ADD" w:rsidRPr="00E639D9" w:rsidRDefault="00625ADD" w:rsidP="00625ADD">
            <w:pPr>
              <w:jc w:val="right"/>
              <w:rPr>
                <w:rFonts w:ascii="Times New Roman" w:hAnsi="Times New Roman" w:cs="Times New Roman"/>
                <w:sz w:val="20"/>
                <w:lang w:val="en-NZ"/>
              </w:rPr>
            </w:pPr>
            <w:r w:rsidRPr="00E639D9">
              <w:rPr>
                <w:rFonts w:ascii="Times New Roman" w:hAnsi="Times New Roman" w:cs="Times New Roman"/>
                <w:sz w:val="20"/>
                <w:lang w:val="en-NZ"/>
              </w:rPr>
              <w:t>-400</w:t>
            </w:r>
          </w:p>
        </w:tc>
        <w:tc>
          <w:tcPr>
            <w:tcW w:w="680" w:type="dxa"/>
            <w:vAlign w:val="center"/>
          </w:tcPr>
          <w:p w:rsidR="00625ADD" w:rsidRPr="00E639D9" w:rsidRDefault="00625ADD" w:rsidP="00625ADD">
            <w:pPr>
              <w:jc w:val="right"/>
              <w:rPr>
                <w:rFonts w:ascii="Times New Roman" w:hAnsi="Times New Roman" w:cs="Times New Roman"/>
                <w:sz w:val="20"/>
                <w:lang w:val="en-NZ"/>
              </w:rPr>
            </w:pPr>
            <w:r w:rsidRPr="00E639D9">
              <w:rPr>
                <w:rFonts w:ascii="Times New Roman" w:hAnsi="Times New Roman" w:cs="Times New Roman"/>
                <w:sz w:val="20"/>
                <w:lang w:val="en-NZ"/>
              </w:rPr>
              <w:t>100</w:t>
            </w:r>
          </w:p>
        </w:tc>
        <w:tc>
          <w:tcPr>
            <w:tcW w:w="680" w:type="dxa"/>
            <w:vAlign w:val="center"/>
          </w:tcPr>
          <w:p w:rsidR="00625ADD" w:rsidRPr="00E639D9" w:rsidRDefault="00625ADD" w:rsidP="00625ADD">
            <w:pPr>
              <w:jc w:val="right"/>
              <w:rPr>
                <w:rFonts w:ascii="Times New Roman" w:hAnsi="Times New Roman" w:cs="Times New Roman"/>
                <w:sz w:val="20"/>
                <w:lang w:val="en-NZ"/>
              </w:rPr>
            </w:pPr>
            <w:r w:rsidRPr="00E639D9">
              <w:rPr>
                <w:rFonts w:ascii="Times New Roman" w:hAnsi="Times New Roman" w:cs="Times New Roman"/>
                <w:sz w:val="20"/>
                <w:lang w:val="en-NZ"/>
              </w:rPr>
              <w:t>100</w:t>
            </w:r>
          </w:p>
        </w:tc>
        <w:tc>
          <w:tcPr>
            <w:tcW w:w="680" w:type="dxa"/>
            <w:vAlign w:val="center"/>
          </w:tcPr>
          <w:p w:rsidR="00625ADD" w:rsidRPr="00E639D9" w:rsidRDefault="00625ADD" w:rsidP="00625ADD">
            <w:pPr>
              <w:jc w:val="right"/>
              <w:rPr>
                <w:rFonts w:ascii="Times New Roman" w:hAnsi="Times New Roman" w:cs="Times New Roman"/>
                <w:sz w:val="20"/>
                <w:lang w:val="en-NZ"/>
              </w:rPr>
            </w:pPr>
            <w:r w:rsidRPr="00E639D9">
              <w:rPr>
                <w:rFonts w:ascii="Times New Roman" w:hAnsi="Times New Roman" w:cs="Times New Roman"/>
                <w:sz w:val="20"/>
                <w:lang w:val="en-NZ"/>
              </w:rPr>
              <w:t>100</w:t>
            </w:r>
          </w:p>
        </w:tc>
        <w:tc>
          <w:tcPr>
            <w:tcW w:w="680" w:type="dxa"/>
            <w:vAlign w:val="center"/>
          </w:tcPr>
          <w:p w:rsidR="00625ADD" w:rsidRPr="00E639D9" w:rsidRDefault="00625ADD" w:rsidP="00625ADD">
            <w:pPr>
              <w:jc w:val="right"/>
              <w:rPr>
                <w:rFonts w:ascii="Times New Roman" w:hAnsi="Times New Roman" w:cs="Times New Roman"/>
                <w:sz w:val="20"/>
                <w:lang w:val="en-NZ"/>
              </w:rPr>
            </w:pPr>
            <w:r w:rsidRPr="00E639D9">
              <w:rPr>
                <w:rFonts w:ascii="Times New Roman" w:hAnsi="Times New Roman" w:cs="Times New Roman"/>
                <w:sz w:val="20"/>
                <w:lang w:val="en-NZ"/>
              </w:rPr>
              <w:t>100</w:t>
            </w:r>
          </w:p>
        </w:tc>
        <w:tc>
          <w:tcPr>
            <w:tcW w:w="680" w:type="dxa"/>
            <w:vAlign w:val="center"/>
          </w:tcPr>
          <w:p w:rsidR="00625ADD" w:rsidRPr="00E639D9" w:rsidRDefault="00625ADD" w:rsidP="00625ADD">
            <w:pPr>
              <w:jc w:val="right"/>
              <w:rPr>
                <w:rFonts w:ascii="Times New Roman" w:hAnsi="Times New Roman" w:cs="Times New Roman"/>
                <w:sz w:val="20"/>
                <w:lang w:val="en-NZ"/>
              </w:rPr>
            </w:pPr>
            <w:r w:rsidRPr="00E639D9">
              <w:rPr>
                <w:rFonts w:ascii="Times New Roman" w:hAnsi="Times New Roman" w:cs="Times New Roman"/>
                <w:sz w:val="20"/>
                <w:lang w:val="en-NZ"/>
              </w:rPr>
              <w:t>100</w:t>
            </w:r>
          </w:p>
        </w:tc>
        <w:tc>
          <w:tcPr>
            <w:tcW w:w="759" w:type="dxa"/>
            <w:vAlign w:val="center"/>
          </w:tcPr>
          <w:p w:rsidR="00625ADD" w:rsidRPr="00E639D9" w:rsidRDefault="00625ADD" w:rsidP="00625ADD">
            <w:pPr>
              <w:jc w:val="right"/>
              <w:rPr>
                <w:rFonts w:ascii="Times New Roman" w:hAnsi="Times New Roman" w:cs="Times New Roman"/>
                <w:sz w:val="20"/>
                <w:lang w:val="en-NZ"/>
              </w:rPr>
            </w:pPr>
            <w:r w:rsidRPr="00E639D9">
              <w:rPr>
                <w:rFonts w:ascii="Times New Roman" w:hAnsi="Times New Roman" w:cs="Times New Roman"/>
                <w:sz w:val="20"/>
                <w:lang w:val="en-NZ"/>
              </w:rPr>
              <w:t>100</w:t>
            </w:r>
          </w:p>
        </w:tc>
      </w:tr>
      <w:tr w:rsidR="00625ADD" w:rsidRPr="00260412" w:rsidTr="002B4ED7">
        <w:trPr>
          <w:jc w:val="center"/>
        </w:trPr>
        <w:tc>
          <w:tcPr>
            <w:tcW w:w="1035" w:type="dxa"/>
            <w:vAlign w:val="center"/>
          </w:tcPr>
          <w:p w:rsidR="00625ADD" w:rsidRPr="00E639D9" w:rsidRDefault="00625ADD" w:rsidP="00625ADD">
            <w:pPr>
              <w:jc w:val="left"/>
              <w:rPr>
                <w:rFonts w:ascii="Times New Roman" w:hAnsi="Times New Roman" w:cs="Times New Roman"/>
                <w:sz w:val="20"/>
                <w:lang w:val="en-NZ"/>
              </w:rPr>
            </w:pPr>
            <w:r w:rsidRPr="00E639D9">
              <w:rPr>
                <w:rFonts w:ascii="Times New Roman" w:hAnsi="Times New Roman" w:cs="Times New Roman"/>
                <w:sz w:val="20"/>
                <w:lang w:val="en-NZ"/>
              </w:rPr>
              <w:t>Aus Parent Co</w:t>
            </w:r>
          </w:p>
        </w:tc>
        <w:tc>
          <w:tcPr>
            <w:tcW w:w="1034" w:type="dxa"/>
            <w:vAlign w:val="center"/>
          </w:tcPr>
          <w:p w:rsidR="00625ADD" w:rsidRPr="00E639D9" w:rsidRDefault="00625ADD" w:rsidP="00625ADD">
            <w:pPr>
              <w:jc w:val="left"/>
              <w:rPr>
                <w:rFonts w:ascii="Times New Roman" w:hAnsi="Times New Roman" w:cs="Times New Roman"/>
                <w:sz w:val="20"/>
                <w:lang w:val="en-NZ"/>
              </w:rPr>
            </w:pPr>
            <w:r w:rsidRPr="00E639D9">
              <w:rPr>
                <w:rFonts w:ascii="Times New Roman" w:hAnsi="Times New Roman" w:cs="Times New Roman"/>
                <w:sz w:val="20"/>
                <w:lang w:val="en-NZ"/>
              </w:rPr>
              <w:t>NZ Co</w:t>
            </w:r>
          </w:p>
        </w:tc>
        <w:tc>
          <w:tcPr>
            <w:tcW w:w="1298" w:type="dxa"/>
            <w:vAlign w:val="center"/>
          </w:tcPr>
          <w:p w:rsidR="00625ADD" w:rsidRPr="00E639D9" w:rsidRDefault="00625ADD" w:rsidP="00625ADD">
            <w:pPr>
              <w:jc w:val="right"/>
              <w:rPr>
                <w:rFonts w:ascii="Times New Roman" w:hAnsi="Times New Roman" w:cs="Times New Roman"/>
                <w:sz w:val="20"/>
                <w:lang w:val="en-NZ"/>
              </w:rPr>
            </w:pPr>
            <w:r w:rsidRPr="00E639D9">
              <w:rPr>
                <w:rFonts w:ascii="Times New Roman" w:hAnsi="Times New Roman" w:cs="Times New Roman"/>
                <w:sz w:val="20"/>
                <w:lang w:val="en-NZ"/>
              </w:rPr>
              <w:t>-600</w:t>
            </w:r>
          </w:p>
        </w:tc>
        <w:tc>
          <w:tcPr>
            <w:tcW w:w="680" w:type="dxa"/>
            <w:vAlign w:val="center"/>
          </w:tcPr>
          <w:p w:rsidR="00625ADD" w:rsidRPr="00E639D9" w:rsidRDefault="00625ADD" w:rsidP="00625ADD">
            <w:pPr>
              <w:jc w:val="right"/>
              <w:rPr>
                <w:rFonts w:ascii="Times New Roman" w:hAnsi="Times New Roman" w:cs="Times New Roman"/>
                <w:sz w:val="20"/>
                <w:lang w:val="en-NZ"/>
              </w:rPr>
            </w:pPr>
          </w:p>
        </w:tc>
        <w:tc>
          <w:tcPr>
            <w:tcW w:w="680" w:type="dxa"/>
            <w:vAlign w:val="center"/>
          </w:tcPr>
          <w:p w:rsidR="00625ADD" w:rsidRPr="00E639D9" w:rsidRDefault="00625ADD" w:rsidP="00625ADD">
            <w:pPr>
              <w:jc w:val="right"/>
              <w:rPr>
                <w:rFonts w:ascii="Times New Roman" w:hAnsi="Times New Roman" w:cs="Times New Roman"/>
                <w:sz w:val="20"/>
                <w:lang w:val="en-NZ"/>
              </w:rPr>
            </w:pPr>
          </w:p>
        </w:tc>
        <w:tc>
          <w:tcPr>
            <w:tcW w:w="680" w:type="dxa"/>
            <w:vAlign w:val="center"/>
          </w:tcPr>
          <w:p w:rsidR="00625ADD" w:rsidRPr="00E639D9" w:rsidRDefault="00625ADD" w:rsidP="00625ADD">
            <w:pPr>
              <w:jc w:val="right"/>
              <w:rPr>
                <w:rFonts w:ascii="Times New Roman" w:hAnsi="Times New Roman" w:cs="Times New Roman"/>
                <w:sz w:val="20"/>
                <w:lang w:val="en-NZ"/>
              </w:rPr>
            </w:pPr>
          </w:p>
        </w:tc>
        <w:tc>
          <w:tcPr>
            <w:tcW w:w="680" w:type="dxa"/>
            <w:vAlign w:val="center"/>
          </w:tcPr>
          <w:p w:rsidR="00625ADD" w:rsidRPr="00E639D9" w:rsidRDefault="00625ADD" w:rsidP="00625ADD">
            <w:pPr>
              <w:jc w:val="right"/>
              <w:rPr>
                <w:rFonts w:ascii="Times New Roman" w:hAnsi="Times New Roman" w:cs="Times New Roman"/>
                <w:sz w:val="20"/>
                <w:lang w:val="en-NZ"/>
              </w:rPr>
            </w:pPr>
          </w:p>
        </w:tc>
        <w:tc>
          <w:tcPr>
            <w:tcW w:w="680" w:type="dxa"/>
            <w:vAlign w:val="center"/>
          </w:tcPr>
          <w:p w:rsidR="00625ADD" w:rsidRPr="00E639D9" w:rsidRDefault="00625ADD" w:rsidP="00625ADD">
            <w:pPr>
              <w:jc w:val="right"/>
              <w:rPr>
                <w:rFonts w:ascii="Times New Roman" w:hAnsi="Times New Roman" w:cs="Times New Roman"/>
                <w:sz w:val="20"/>
                <w:lang w:val="en-NZ"/>
              </w:rPr>
            </w:pPr>
            <w:r w:rsidRPr="00E639D9">
              <w:rPr>
                <w:rFonts w:ascii="Times New Roman" w:hAnsi="Times New Roman" w:cs="Times New Roman"/>
                <w:sz w:val="20"/>
                <w:lang w:val="en-NZ"/>
              </w:rPr>
              <w:t>1,000</w:t>
            </w:r>
          </w:p>
        </w:tc>
        <w:tc>
          <w:tcPr>
            <w:tcW w:w="759" w:type="dxa"/>
            <w:vAlign w:val="center"/>
          </w:tcPr>
          <w:p w:rsidR="00625ADD" w:rsidRPr="00E639D9" w:rsidRDefault="00625ADD" w:rsidP="00625ADD">
            <w:pPr>
              <w:jc w:val="right"/>
              <w:rPr>
                <w:rFonts w:ascii="Times New Roman" w:hAnsi="Times New Roman" w:cs="Times New Roman"/>
                <w:sz w:val="20"/>
                <w:lang w:val="en-NZ"/>
              </w:rPr>
            </w:pPr>
            <w:r w:rsidRPr="00E639D9">
              <w:rPr>
                <w:rFonts w:ascii="Times New Roman" w:hAnsi="Times New Roman" w:cs="Times New Roman"/>
                <w:sz w:val="20"/>
                <w:lang w:val="en-NZ"/>
              </w:rPr>
              <w:t>400</w:t>
            </w:r>
          </w:p>
        </w:tc>
      </w:tr>
    </w:tbl>
    <w:p w:rsidR="00625ADD" w:rsidRDefault="00625ADD" w:rsidP="00625ADD">
      <w:pPr>
        <w:rPr>
          <w:sz w:val="20"/>
          <w:lang w:val="en-NZ"/>
        </w:rPr>
      </w:pPr>
    </w:p>
    <w:p w:rsidR="002B4ED7" w:rsidRPr="00260412" w:rsidRDefault="002B4ED7" w:rsidP="00625ADD">
      <w:pPr>
        <w:rPr>
          <w:sz w:val="20"/>
          <w:lang w:val="en-NZ"/>
        </w:rPr>
      </w:pPr>
    </w:p>
    <w:p w:rsidR="00625ADD" w:rsidRDefault="00625ADD" w:rsidP="00625ADD">
      <w:pPr>
        <w:rPr>
          <w:sz w:val="20"/>
          <w:lang w:val="en-NZ"/>
        </w:rPr>
      </w:pPr>
      <w:r w:rsidRPr="00260412">
        <w:rPr>
          <w:sz w:val="20"/>
          <w:lang w:val="en-NZ"/>
        </w:rPr>
        <w:t>There is no equivalent amount paid by NZ Bank</w:t>
      </w:r>
      <w:r>
        <w:rPr>
          <w:sz w:val="20"/>
          <w:lang w:val="en-NZ"/>
        </w:rPr>
        <w:t xml:space="preserve"> </w:t>
      </w:r>
      <w:r w:rsidRPr="00260412">
        <w:rPr>
          <w:sz w:val="20"/>
          <w:lang w:val="en-NZ"/>
        </w:rPr>
        <w:t>to Aus Parent Co so the $100 interest payments by NZ Co</w:t>
      </w:r>
      <w:r>
        <w:rPr>
          <w:sz w:val="20"/>
          <w:lang w:val="en-NZ"/>
        </w:rPr>
        <w:t xml:space="preserve"> </w:t>
      </w:r>
      <w:r w:rsidRPr="00260412">
        <w:rPr>
          <w:sz w:val="20"/>
          <w:lang w:val="en-NZ"/>
        </w:rPr>
        <w:t>to NZ Bank</w:t>
      </w:r>
      <w:r>
        <w:rPr>
          <w:sz w:val="20"/>
          <w:lang w:val="en-NZ"/>
        </w:rPr>
        <w:t xml:space="preserve"> </w:t>
      </w:r>
      <w:r w:rsidRPr="00260412">
        <w:rPr>
          <w:sz w:val="20"/>
          <w:lang w:val="en-NZ"/>
        </w:rPr>
        <w:t>are treated as payments of principal and interest between two New Zealand residents under the financial arrangements rules.  The $1,000 final payment, whether paid directly to Aus Parent Co or paid to NZ Bank as agent for Aus Parent Co is treated as a $600 principal repayment and a $400 interest payment from NZ Co</w:t>
      </w:r>
      <w:r>
        <w:rPr>
          <w:sz w:val="20"/>
          <w:lang w:val="en-NZ"/>
        </w:rPr>
        <w:t xml:space="preserve"> </w:t>
      </w:r>
      <w:r w:rsidRPr="00260412">
        <w:rPr>
          <w:sz w:val="20"/>
          <w:lang w:val="en-NZ"/>
        </w:rPr>
        <w:t>to Aus Parent Co</w:t>
      </w:r>
      <w:r>
        <w:rPr>
          <w:sz w:val="20"/>
          <w:lang w:val="en-NZ"/>
        </w:rPr>
        <w:t>,</w:t>
      </w:r>
      <w:r w:rsidRPr="00260412">
        <w:rPr>
          <w:sz w:val="20"/>
          <w:lang w:val="en-NZ"/>
        </w:rPr>
        <w:t xml:space="preserve"> therefore NZ Co</w:t>
      </w:r>
      <w:r>
        <w:rPr>
          <w:sz w:val="20"/>
          <w:lang w:val="en-NZ"/>
        </w:rPr>
        <w:t xml:space="preserve"> </w:t>
      </w:r>
      <w:r w:rsidRPr="00260412">
        <w:rPr>
          <w:sz w:val="20"/>
          <w:lang w:val="en-NZ"/>
        </w:rPr>
        <w:t xml:space="preserve">must withhold NRWT.  However, as NZ </w:t>
      </w:r>
      <w:r>
        <w:rPr>
          <w:sz w:val="20"/>
          <w:lang w:val="en-NZ"/>
        </w:rPr>
        <w:t>C</w:t>
      </w:r>
      <w:r w:rsidRPr="00260412">
        <w:rPr>
          <w:sz w:val="20"/>
          <w:lang w:val="en-NZ"/>
        </w:rPr>
        <w:t>o</w:t>
      </w:r>
      <w:r>
        <w:rPr>
          <w:sz w:val="20"/>
          <w:lang w:val="en-NZ"/>
        </w:rPr>
        <w:t xml:space="preserve"> </w:t>
      </w:r>
      <w:r w:rsidRPr="00260412">
        <w:rPr>
          <w:sz w:val="20"/>
          <w:lang w:val="en-NZ"/>
        </w:rPr>
        <w:t>is claiming financial arrangement deductions for funding provided by an associated non-resident</w:t>
      </w:r>
      <w:r>
        <w:rPr>
          <w:sz w:val="20"/>
          <w:lang w:val="en-NZ"/>
        </w:rPr>
        <w:t>,</w:t>
      </w:r>
      <w:r w:rsidRPr="00260412">
        <w:rPr>
          <w:sz w:val="20"/>
          <w:lang w:val="en-NZ"/>
        </w:rPr>
        <w:t xml:space="preserve"> this arrangement will trigger NRFAI on which NRWT will be required to be paid </w:t>
      </w:r>
      <w:r w:rsidR="0048719D">
        <w:rPr>
          <w:sz w:val="20"/>
          <w:lang w:val="en-NZ"/>
        </w:rPr>
        <w:t xml:space="preserve">by NZ Co </w:t>
      </w:r>
      <w:r w:rsidRPr="00260412">
        <w:rPr>
          <w:sz w:val="20"/>
          <w:lang w:val="en-NZ"/>
        </w:rPr>
        <w:t>over the term of the arrangement.</w:t>
      </w:r>
    </w:p>
    <w:p w:rsidR="00AC52A5" w:rsidRDefault="00AC52A5" w:rsidP="00625ADD"/>
    <w:p w:rsidR="00AC52A5" w:rsidRDefault="00AC52A5" w:rsidP="00625ADD"/>
    <w:p w:rsidR="002B4ED7" w:rsidRPr="0008103B" w:rsidRDefault="002B4ED7" w:rsidP="00625ADD"/>
    <w:p w:rsidR="00625ADD" w:rsidRPr="00260412" w:rsidRDefault="00625ADD" w:rsidP="00625ADD">
      <w:pPr>
        <w:pStyle w:val="Heading4"/>
        <w:rPr>
          <w:lang w:val="en-NZ"/>
        </w:rPr>
      </w:pPr>
      <w:r w:rsidRPr="00260412">
        <w:rPr>
          <w:lang w:val="en-NZ"/>
        </w:rPr>
        <w:t>Acting together</w:t>
      </w:r>
    </w:p>
    <w:p w:rsidR="00625ADD" w:rsidRDefault="00625ADD" w:rsidP="00625ADD">
      <w:pPr>
        <w:rPr>
          <w:lang w:val="en-NZ"/>
        </w:rPr>
      </w:pPr>
    </w:p>
    <w:p w:rsidR="00625ADD" w:rsidRPr="00260412" w:rsidRDefault="007A203C" w:rsidP="002B4ED7">
      <w:pPr>
        <w:rPr>
          <w:szCs w:val="24"/>
          <w:lang w:val="en-NZ"/>
        </w:rPr>
      </w:pPr>
      <w:r>
        <w:rPr>
          <w:szCs w:val="24"/>
          <w:lang w:val="en-NZ"/>
        </w:rPr>
        <w:t>Before the amendments were made, t</w:t>
      </w:r>
      <w:r w:rsidR="00625ADD" w:rsidRPr="00260412">
        <w:rPr>
          <w:szCs w:val="24"/>
          <w:lang w:val="en-NZ"/>
        </w:rPr>
        <w:t>he non-association tests for accessing the AIL rules rel</w:t>
      </w:r>
      <w:r>
        <w:rPr>
          <w:szCs w:val="24"/>
          <w:lang w:val="en-NZ"/>
        </w:rPr>
        <w:t>ied</w:t>
      </w:r>
      <w:r w:rsidR="00625ADD" w:rsidRPr="00260412">
        <w:rPr>
          <w:szCs w:val="24"/>
          <w:lang w:val="en-NZ"/>
        </w:rPr>
        <w:t xml:space="preserve"> on the associated persons definition in subpart YB.  One of the</w:t>
      </w:r>
      <w:r w:rsidR="00AC52A5">
        <w:rPr>
          <w:szCs w:val="24"/>
          <w:lang w:val="en-NZ"/>
        </w:rPr>
        <w:t xml:space="preserve"> tests in the associated person</w:t>
      </w:r>
      <w:r w:rsidR="00625ADD" w:rsidRPr="00260412">
        <w:rPr>
          <w:szCs w:val="24"/>
          <w:lang w:val="en-NZ"/>
        </w:rPr>
        <w:t xml:space="preserve"> </w:t>
      </w:r>
      <w:r w:rsidR="00AC52A5">
        <w:rPr>
          <w:szCs w:val="24"/>
          <w:lang w:val="en-NZ"/>
        </w:rPr>
        <w:t xml:space="preserve">rules </w:t>
      </w:r>
      <w:r w:rsidR="00625ADD" w:rsidRPr="00260412">
        <w:rPr>
          <w:szCs w:val="24"/>
          <w:lang w:val="en-NZ"/>
        </w:rPr>
        <w:t>states that two companies are associated if a group of persons exists whose total voting interests in each company are 50</w:t>
      </w:r>
      <w:r w:rsidR="00625ADD">
        <w:rPr>
          <w:szCs w:val="24"/>
          <w:lang w:val="en-NZ"/>
        </w:rPr>
        <w:t xml:space="preserve"> percent</w:t>
      </w:r>
      <w:r w:rsidR="00625ADD" w:rsidRPr="00260412">
        <w:rPr>
          <w:szCs w:val="24"/>
          <w:lang w:val="en-NZ"/>
        </w:rPr>
        <w:t xml:space="preserve"> or more.</w:t>
      </w:r>
    </w:p>
    <w:p w:rsidR="00625ADD" w:rsidRPr="00260412" w:rsidRDefault="00625ADD" w:rsidP="00625ADD">
      <w:pPr>
        <w:rPr>
          <w:szCs w:val="24"/>
          <w:lang w:val="en-NZ"/>
        </w:rPr>
      </w:pPr>
    </w:p>
    <w:p w:rsidR="00625ADD" w:rsidRPr="00260412" w:rsidRDefault="00625ADD" w:rsidP="00625ADD">
      <w:pPr>
        <w:rPr>
          <w:szCs w:val="24"/>
          <w:lang w:val="en-NZ"/>
        </w:rPr>
      </w:pPr>
      <w:r w:rsidRPr="00260412">
        <w:rPr>
          <w:szCs w:val="24"/>
          <w:lang w:val="en-NZ"/>
        </w:rPr>
        <w:t xml:space="preserve">This means that </w:t>
      </w:r>
      <w:r w:rsidR="00B722DD">
        <w:rPr>
          <w:szCs w:val="24"/>
          <w:lang w:val="en-NZ"/>
        </w:rPr>
        <w:t>if</w:t>
      </w:r>
      <w:r w:rsidRPr="00260412">
        <w:rPr>
          <w:szCs w:val="24"/>
          <w:lang w:val="en-NZ"/>
        </w:rPr>
        <w:t xml:space="preserve"> two or more companies each ha</w:t>
      </w:r>
      <w:r w:rsidR="00B25C5A">
        <w:rPr>
          <w:szCs w:val="24"/>
          <w:lang w:val="en-NZ"/>
        </w:rPr>
        <w:t>d</w:t>
      </w:r>
      <w:r w:rsidRPr="00260412">
        <w:rPr>
          <w:szCs w:val="24"/>
          <w:lang w:val="en-NZ"/>
        </w:rPr>
        <w:t xml:space="preserve"> ownership interests of less than 50</w:t>
      </w:r>
      <w:r>
        <w:rPr>
          <w:szCs w:val="24"/>
          <w:lang w:val="en-NZ"/>
        </w:rPr>
        <w:t xml:space="preserve"> percent</w:t>
      </w:r>
      <w:r w:rsidRPr="00260412">
        <w:rPr>
          <w:szCs w:val="24"/>
          <w:lang w:val="en-NZ"/>
        </w:rPr>
        <w:t xml:space="preserve"> in a New Zealand borrower, these companies w</w:t>
      </w:r>
      <w:r w:rsidR="00B25C5A">
        <w:rPr>
          <w:szCs w:val="24"/>
          <w:lang w:val="en-NZ"/>
        </w:rPr>
        <w:t>ere</w:t>
      </w:r>
      <w:r w:rsidRPr="00260412">
        <w:rPr>
          <w:szCs w:val="24"/>
          <w:lang w:val="en-NZ"/>
        </w:rPr>
        <w:t xml:space="preserve"> not associated with that borrower unless they are themselves associated.</w:t>
      </w:r>
    </w:p>
    <w:p w:rsidR="00625ADD" w:rsidRPr="00260412" w:rsidRDefault="00625ADD" w:rsidP="00625ADD">
      <w:pPr>
        <w:rPr>
          <w:szCs w:val="24"/>
          <w:lang w:val="en-NZ"/>
        </w:rPr>
      </w:pPr>
    </w:p>
    <w:p w:rsidR="00625ADD" w:rsidRPr="00260412" w:rsidRDefault="00625ADD" w:rsidP="00625ADD">
      <w:pPr>
        <w:rPr>
          <w:szCs w:val="24"/>
          <w:lang w:val="en-NZ"/>
        </w:rPr>
      </w:pPr>
      <w:r w:rsidRPr="00260412">
        <w:rPr>
          <w:szCs w:val="24"/>
          <w:lang w:val="en-NZ"/>
        </w:rPr>
        <w:t xml:space="preserve">Transactions </w:t>
      </w:r>
      <w:r w:rsidR="007A203C">
        <w:rPr>
          <w:szCs w:val="24"/>
          <w:lang w:val="en-NZ"/>
        </w:rPr>
        <w:t>were</w:t>
      </w:r>
      <w:r w:rsidRPr="00260412">
        <w:rPr>
          <w:szCs w:val="24"/>
          <w:lang w:val="en-NZ"/>
        </w:rPr>
        <w:t xml:space="preserve"> identified where two or more non-associated persons (investors), each with less than 50</w:t>
      </w:r>
      <w:r>
        <w:rPr>
          <w:szCs w:val="24"/>
          <w:lang w:val="en-NZ"/>
        </w:rPr>
        <w:t xml:space="preserve"> percent</w:t>
      </w:r>
      <w:r w:rsidRPr="00260412">
        <w:rPr>
          <w:szCs w:val="24"/>
          <w:lang w:val="en-NZ"/>
        </w:rPr>
        <w:t xml:space="preserve"> ownership interests in a New Zealand borrower, together provide</w:t>
      </w:r>
      <w:r w:rsidR="007A203C">
        <w:rPr>
          <w:szCs w:val="24"/>
          <w:lang w:val="en-NZ"/>
        </w:rPr>
        <w:t>d</w:t>
      </w:r>
      <w:r w:rsidRPr="00260412">
        <w:rPr>
          <w:szCs w:val="24"/>
          <w:lang w:val="en-NZ"/>
        </w:rPr>
        <w:t xml:space="preserve"> debt funding to that borrower under an arrangement.  </w:t>
      </w:r>
      <w:r w:rsidR="00B25C5A">
        <w:rPr>
          <w:szCs w:val="24"/>
          <w:lang w:val="en-NZ"/>
        </w:rPr>
        <w:t>Even though these investors may</w:t>
      </w:r>
      <w:r w:rsidR="007A203C">
        <w:rPr>
          <w:szCs w:val="24"/>
          <w:lang w:val="en-NZ"/>
        </w:rPr>
        <w:t xml:space="preserve"> have </w:t>
      </w:r>
      <w:r w:rsidRPr="00260412">
        <w:rPr>
          <w:szCs w:val="24"/>
          <w:lang w:val="en-NZ"/>
        </w:rPr>
        <w:t>be</w:t>
      </w:r>
      <w:r w:rsidR="007A203C">
        <w:rPr>
          <w:szCs w:val="24"/>
          <w:lang w:val="en-NZ"/>
        </w:rPr>
        <w:t>en</w:t>
      </w:r>
      <w:r w:rsidRPr="00260412">
        <w:rPr>
          <w:szCs w:val="24"/>
          <w:lang w:val="en-NZ"/>
        </w:rPr>
        <w:t xml:space="preserve"> genuinely </w:t>
      </w:r>
      <w:r w:rsidR="00B25C5A">
        <w:rPr>
          <w:szCs w:val="24"/>
          <w:lang w:val="en-NZ"/>
        </w:rPr>
        <w:t xml:space="preserve">not </w:t>
      </w:r>
      <w:r w:rsidRPr="00260412">
        <w:rPr>
          <w:szCs w:val="24"/>
          <w:lang w:val="en-NZ"/>
        </w:rPr>
        <w:t>associated (for example</w:t>
      </w:r>
      <w:r>
        <w:rPr>
          <w:szCs w:val="24"/>
          <w:lang w:val="en-NZ"/>
        </w:rPr>
        <w:t>,</w:t>
      </w:r>
      <w:r w:rsidRPr="00260412">
        <w:rPr>
          <w:szCs w:val="24"/>
          <w:lang w:val="en-NZ"/>
        </w:rPr>
        <w:t xml:space="preserve"> three pension funds for quite different groups of employees) they </w:t>
      </w:r>
      <w:r w:rsidR="007A203C">
        <w:rPr>
          <w:szCs w:val="24"/>
          <w:lang w:val="en-NZ"/>
        </w:rPr>
        <w:t>could ma</w:t>
      </w:r>
      <w:r w:rsidR="00B25C5A">
        <w:rPr>
          <w:szCs w:val="24"/>
          <w:lang w:val="en-NZ"/>
        </w:rPr>
        <w:t>ke</w:t>
      </w:r>
      <w:r w:rsidRPr="00260412">
        <w:rPr>
          <w:szCs w:val="24"/>
          <w:lang w:val="en-NZ"/>
        </w:rPr>
        <w:t xml:space="preserve"> decisions about the borrower collectively, and in economic substance</w:t>
      </w:r>
      <w:r>
        <w:rPr>
          <w:szCs w:val="24"/>
          <w:lang w:val="en-NZ"/>
        </w:rPr>
        <w:t>,</w:t>
      </w:r>
      <w:r w:rsidRPr="00260412">
        <w:rPr>
          <w:szCs w:val="24"/>
          <w:lang w:val="en-NZ"/>
        </w:rPr>
        <w:t xml:space="preserve"> operate in a similar manner as if they were a single owner.</w:t>
      </w:r>
    </w:p>
    <w:p w:rsidR="00625ADD" w:rsidRPr="00260412" w:rsidRDefault="00625ADD" w:rsidP="00625ADD">
      <w:pPr>
        <w:rPr>
          <w:szCs w:val="24"/>
          <w:lang w:val="en-NZ"/>
        </w:rPr>
      </w:pPr>
    </w:p>
    <w:p w:rsidR="00625ADD" w:rsidRPr="00260412" w:rsidRDefault="00625ADD" w:rsidP="00625ADD">
      <w:pPr>
        <w:rPr>
          <w:lang w:val="en-NZ"/>
        </w:rPr>
      </w:pPr>
      <w:r w:rsidRPr="00260412">
        <w:rPr>
          <w:lang w:val="en-NZ"/>
        </w:rPr>
        <w:t>By operating in this manner</w:t>
      </w:r>
      <w:r>
        <w:rPr>
          <w:lang w:val="en-NZ"/>
        </w:rPr>
        <w:t>,</w:t>
      </w:r>
      <w:r w:rsidRPr="00260412">
        <w:rPr>
          <w:lang w:val="en-NZ"/>
        </w:rPr>
        <w:t xml:space="preserve"> the investors </w:t>
      </w:r>
      <w:r w:rsidR="007A203C">
        <w:rPr>
          <w:lang w:val="en-NZ"/>
        </w:rPr>
        <w:t>could</w:t>
      </w:r>
      <w:r w:rsidRPr="00260412">
        <w:rPr>
          <w:lang w:val="en-NZ"/>
        </w:rPr>
        <w:t xml:space="preserve"> make decisions in a similar manner to a single owner such as inserting debt (subject to thin capitalisation requirements) in proportion to their ownership interests and thereby receive</w:t>
      </w:r>
      <w:r w:rsidR="007A203C">
        <w:rPr>
          <w:lang w:val="en-NZ"/>
        </w:rPr>
        <w:t>d</w:t>
      </w:r>
      <w:r w:rsidRPr="00260412">
        <w:rPr>
          <w:lang w:val="en-NZ"/>
        </w:rPr>
        <w:t xml:space="preserve"> a return on their total (equity + debt) investment with a large proportion of this being deductible in New Zealand.</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This problem </w:t>
      </w:r>
      <w:r w:rsidR="00A96A88">
        <w:rPr>
          <w:lang w:val="en-NZ"/>
        </w:rPr>
        <w:t>wa</w:t>
      </w:r>
      <w:r w:rsidRPr="00260412">
        <w:rPr>
          <w:lang w:val="en-NZ"/>
        </w:rPr>
        <w:t>s not unique to the NRWT/AIL rules.  Until recently, the same structure meant the thin capitalisation rules did not restrict the New Zealand b</w:t>
      </w:r>
      <w:r>
        <w:rPr>
          <w:lang w:val="en-NZ"/>
        </w:rPr>
        <w:t>orrower</w:t>
      </w:r>
      <w:r w:rsidR="00CF7EDE">
        <w:rPr>
          <w:lang w:val="en-NZ"/>
        </w:rPr>
        <w:t>’</w:t>
      </w:r>
      <w:r>
        <w:rPr>
          <w:lang w:val="en-NZ"/>
        </w:rPr>
        <w:t>s interest deductions.</w:t>
      </w:r>
      <w:r w:rsidR="00B25C5A">
        <w:rPr>
          <w:lang w:val="en-NZ"/>
        </w:rPr>
        <w:t xml:space="preserve">  In March 2017 the Government also announced proposals to address this issue in relation to transfer pricing.</w:t>
      </w:r>
    </w:p>
    <w:p w:rsidR="00625ADD" w:rsidRDefault="00613CDC" w:rsidP="00625ADD">
      <w:pPr>
        <w:rPr>
          <w:lang w:val="en-NZ"/>
        </w:rPr>
      </w:pPr>
      <w:r>
        <w:rPr>
          <w:lang w:val="en-NZ"/>
        </w:rPr>
        <w:t>To prevent this</w:t>
      </w:r>
      <w:r w:rsidR="00B722DD">
        <w:rPr>
          <w:lang w:val="en-NZ"/>
        </w:rPr>
        <w:t>,</w:t>
      </w:r>
      <w:r>
        <w:rPr>
          <w:lang w:val="en-NZ"/>
        </w:rPr>
        <w:t xml:space="preserve"> </w:t>
      </w:r>
      <w:r w:rsidR="00CF7EDE">
        <w:rPr>
          <w:lang w:val="en-NZ"/>
        </w:rPr>
        <w:t>“</w:t>
      </w:r>
      <w:r>
        <w:rPr>
          <w:lang w:val="en-NZ"/>
        </w:rPr>
        <w:t>r</w:t>
      </w:r>
      <w:r w:rsidR="00625ADD" w:rsidRPr="00260412">
        <w:rPr>
          <w:lang w:val="en-NZ"/>
        </w:rPr>
        <w:t>elated party debt</w:t>
      </w:r>
      <w:r w:rsidR="00CF7EDE">
        <w:rPr>
          <w:lang w:val="en-NZ"/>
        </w:rPr>
        <w:t>”</w:t>
      </w:r>
      <w:r w:rsidR="00625ADD" w:rsidRPr="00260412">
        <w:rPr>
          <w:lang w:val="en-NZ"/>
        </w:rPr>
        <w:t xml:space="preserve"> </w:t>
      </w:r>
      <w:r>
        <w:rPr>
          <w:lang w:val="en-NZ"/>
        </w:rPr>
        <w:t xml:space="preserve">now </w:t>
      </w:r>
      <w:r w:rsidR="00625ADD" w:rsidRPr="00260412">
        <w:rPr>
          <w:lang w:val="en-NZ"/>
        </w:rPr>
        <w:t>include</w:t>
      </w:r>
      <w:r>
        <w:rPr>
          <w:lang w:val="en-NZ"/>
        </w:rPr>
        <w:t>s</w:t>
      </w:r>
      <w:r w:rsidR="00625ADD" w:rsidRPr="00260412">
        <w:rPr>
          <w:lang w:val="en-NZ"/>
        </w:rPr>
        <w:t xml:space="preserve"> funding provided by a member of a non-re</w:t>
      </w:r>
      <w:r w:rsidR="00625ADD">
        <w:rPr>
          <w:lang w:val="en-NZ"/>
        </w:rPr>
        <w:t>sident owning body.  This means</w:t>
      </w:r>
      <w:r w:rsidR="003A6D01">
        <w:rPr>
          <w:lang w:val="en-NZ"/>
        </w:rPr>
        <w:t>:</w:t>
      </w:r>
    </w:p>
    <w:p w:rsidR="00625ADD" w:rsidRPr="00260412" w:rsidRDefault="00625ADD" w:rsidP="00625ADD">
      <w:pPr>
        <w:rPr>
          <w:lang w:val="en-NZ"/>
        </w:rPr>
      </w:pPr>
    </w:p>
    <w:p w:rsidR="00625ADD" w:rsidRPr="00260412" w:rsidRDefault="00625ADD" w:rsidP="00625ADD">
      <w:pPr>
        <w:pStyle w:val="Bullets"/>
      </w:pPr>
      <w:r w:rsidRPr="00260412">
        <w:t xml:space="preserve">interest payments on this funding </w:t>
      </w:r>
      <w:r w:rsidR="00613CDC">
        <w:t xml:space="preserve">are </w:t>
      </w:r>
      <w:r>
        <w:t>ineligible for AIL; and</w:t>
      </w:r>
    </w:p>
    <w:p w:rsidR="00625ADD" w:rsidRPr="00260412" w:rsidRDefault="00625ADD" w:rsidP="00625ADD">
      <w:pPr>
        <w:pStyle w:val="Bullets"/>
        <w:spacing w:after="0"/>
      </w:pPr>
      <w:r w:rsidRPr="00260412">
        <w:t>whe</w:t>
      </w:r>
      <w:r w:rsidR="00B722DD">
        <w:t>n</w:t>
      </w:r>
      <w:r w:rsidRPr="00260412">
        <w:t xml:space="preserve"> interest payments are inappropriately deferred compared </w:t>
      </w:r>
      <w:r>
        <w:t>with</w:t>
      </w:r>
      <w:r w:rsidRPr="00260412">
        <w:t xml:space="preserve"> deductions</w:t>
      </w:r>
      <w:r>
        <w:t>,</w:t>
      </w:r>
      <w:r w:rsidRPr="00260412">
        <w:t xml:space="preserve"> the arrangement may generate NRFAI.</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A non-resident owning body </w:t>
      </w:r>
      <w:r w:rsidR="00A96A88">
        <w:rPr>
          <w:lang w:val="en-NZ"/>
        </w:rPr>
        <w:t>wa</w:t>
      </w:r>
      <w:r w:rsidRPr="00260412">
        <w:rPr>
          <w:lang w:val="en-NZ"/>
        </w:rPr>
        <w:t>s an existing concept within the thin capitalisation rules</w:t>
      </w:r>
      <w:r w:rsidR="00613CDC">
        <w:rPr>
          <w:lang w:val="en-NZ"/>
        </w:rPr>
        <w:t>; this definition has now been moved to section YA 1.</w:t>
      </w:r>
      <w:r>
        <w:rPr>
          <w:lang w:val="en-NZ"/>
        </w:rPr>
        <w:t xml:space="preserve">  Th</w:t>
      </w:r>
      <w:r w:rsidR="00613CDC">
        <w:rPr>
          <w:lang w:val="en-NZ"/>
        </w:rPr>
        <w:t xml:space="preserve">e thin capitalisation </w:t>
      </w:r>
      <w:r w:rsidR="00CF7EDE">
        <w:rPr>
          <w:lang w:val="en-NZ"/>
        </w:rPr>
        <w:t>“</w:t>
      </w:r>
      <w:r w:rsidR="00613CDC">
        <w:rPr>
          <w:lang w:val="en-NZ"/>
        </w:rPr>
        <w:t>acting together</w:t>
      </w:r>
      <w:r w:rsidR="00CF7EDE">
        <w:rPr>
          <w:lang w:val="en-NZ"/>
        </w:rPr>
        <w:t>”</w:t>
      </w:r>
      <w:r w:rsidR="00613CDC">
        <w:rPr>
          <w:lang w:val="en-NZ"/>
        </w:rPr>
        <w:t xml:space="preserve"> rules were</w:t>
      </w:r>
      <w:r w:rsidRPr="00260412">
        <w:rPr>
          <w:lang w:val="en-NZ"/>
        </w:rPr>
        <w:t xml:space="preserve"> explained in greater detail in </w:t>
      </w:r>
      <w:r w:rsidRPr="000A53A2">
        <w:rPr>
          <w:i/>
          <w:lang w:val="en-NZ"/>
        </w:rPr>
        <w:t>Tax Information Bulletin</w:t>
      </w:r>
      <w:r w:rsidRPr="00260412">
        <w:rPr>
          <w:lang w:val="en-NZ"/>
        </w:rPr>
        <w:t xml:space="preserve"> Volume 26, No 7, August 2014.  In short, a non-resident owning body is a group of non-residents or entities (such as trusts settled by non-residents)</w:t>
      </w:r>
      <w:r>
        <w:rPr>
          <w:lang w:val="en-NZ"/>
        </w:rPr>
        <w:t>,</w:t>
      </w:r>
      <w:r w:rsidRPr="00260412">
        <w:rPr>
          <w:lang w:val="en-NZ"/>
        </w:rPr>
        <w:t xml:space="preserve"> that have one or more characteristics indicating they are acting together to debt-fund a New Zealand company</w:t>
      </w:r>
      <w:r>
        <w:rPr>
          <w:lang w:val="en-NZ"/>
        </w:rPr>
        <w:t>.  T</w:t>
      </w:r>
      <w:r w:rsidRPr="00260412">
        <w:rPr>
          <w:lang w:val="en-NZ"/>
        </w:rPr>
        <w:t>h</w:t>
      </w:r>
      <w:r>
        <w:rPr>
          <w:lang w:val="en-NZ"/>
        </w:rPr>
        <w:t>ese characteristics include:</w:t>
      </w:r>
    </w:p>
    <w:p w:rsidR="00625ADD" w:rsidRPr="00260412" w:rsidRDefault="00625ADD" w:rsidP="00625ADD">
      <w:pPr>
        <w:rPr>
          <w:lang w:val="en-NZ"/>
        </w:rPr>
      </w:pPr>
    </w:p>
    <w:p w:rsidR="00625ADD" w:rsidRPr="00260412" w:rsidRDefault="00625ADD" w:rsidP="00625ADD">
      <w:pPr>
        <w:pStyle w:val="Bullets"/>
      </w:pPr>
      <w:r>
        <w:t xml:space="preserve">having </w:t>
      </w:r>
      <w:r w:rsidRPr="00260412">
        <w:t>proportionate levels of debt and equity among the group;</w:t>
      </w:r>
    </w:p>
    <w:p w:rsidR="00625ADD" w:rsidRPr="00260412" w:rsidRDefault="00625ADD" w:rsidP="00625ADD">
      <w:pPr>
        <w:pStyle w:val="Bullets"/>
      </w:pPr>
      <w:r w:rsidRPr="00260412">
        <w:t>an agreement that sets out how the company should be funded with member-linked funding if the company is not widely held (a term defined in section YA 1);</w:t>
      </w:r>
      <w:r w:rsidR="009F4E8A">
        <w:t xml:space="preserve"> and</w:t>
      </w:r>
    </w:p>
    <w:p w:rsidR="00625ADD" w:rsidRPr="00260412" w:rsidRDefault="00625ADD" w:rsidP="00625ADD">
      <w:pPr>
        <w:pStyle w:val="Bullets"/>
        <w:spacing w:after="0"/>
      </w:pPr>
      <w:r w:rsidRPr="00260412">
        <w:t>member-linked debt in the company in a way recommend</w:t>
      </w:r>
      <w:r>
        <w:t>ed</w:t>
      </w:r>
      <w:r w:rsidRPr="00260412">
        <w:t xml:space="preserve"> by a person (such as a private equity manager), or implemented by a person on behalf of the members.</w:t>
      </w:r>
    </w:p>
    <w:p w:rsidR="00625ADD" w:rsidRPr="00260412" w:rsidRDefault="00625ADD" w:rsidP="00625ADD">
      <w:pPr>
        <w:rPr>
          <w:lang w:val="en-NZ"/>
        </w:rPr>
      </w:pPr>
    </w:p>
    <w:p w:rsidR="00625ADD" w:rsidRPr="00260412" w:rsidRDefault="00625ADD" w:rsidP="00625ADD">
      <w:pPr>
        <w:rPr>
          <w:lang w:val="en-NZ"/>
        </w:rPr>
      </w:pPr>
      <w:r w:rsidRPr="00260412">
        <w:rPr>
          <w:lang w:val="en-NZ"/>
        </w:rPr>
        <w:t>Proportionality is a characteristic of acting together as it generally requires a degree of coordination to achieve</w:t>
      </w:r>
      <w:r>
        <w:rPr>
          <w:lang w:val="en-NZ"/>
        </w:rPr>
        <w:t>.  M</w:t>
      </w:r>
      <w:r w:rsidRPr="00260412">
        <w:rPr>
          <w:lang w:val="en-NZ"/>
        </w:rPr>
        <w:t>ore generally, proportionality is also a situation where shareholders are able to substitute debt for equity</w:t>
      </w:r>
      <w:r>
        <w:rPr>
          <w:lang w:val="en-NZ"/>
        </w:rPr>
        <w:t>.  T</w:t>
      </w:r>
      <w:r w:rsidRPr="00260412">
        <w:rPr>
          <w:lang w:val="en-NZ"/>
        </w:rPr>
        <w:t>his is because, where there is proportionality, the level of debt in a company does not change shareholders</w:t>
      </w:r>
      <w:r w:rsidR="00CF7EDE">
        <w:rPr>
          <w:lang w:val="en-NZ"/>
        </w:rPr>
        <w:t>’</w:t>
      </w:r>
      <w:r w:rsidRPr="00260412">
        <w:rPr>
          <w:lang w:val="en-NZ"/>
        </w:rPr>
        <w:t xml:space="preserve"> exposure to the risk of holding equity in the company or shareholders</w:t>
      </w:r>
      <w:r w:rsidR="00CF7EDE">
        <w:rPr>
          <w:lang w:val="en-NZ"/>
        </w:rPr>
        <w:t>’</w:t>
      </w:r>
      <w:r w:rsidRPr="00260412">
        <w:rPr>
          <w:lang w:val="en-NZ"/>
        </w:rPr>
        <w:t xml:space="preserve"> overall return.  Due to the ability to structure an arrangement to achieve this outcome without explicit proportionate debt</w:t>
      </w:r>
      <w:r>
        <w:rPr>
          <w:lang w:val="en-NZ"/>
        </w:rPr>
        <w:t>,</w:t>
      </w:r>
      <w:r w:rsidRPr="00260412">
        <w:rPr>
          <w:lang w:val="en-NZ"/>
        </w:rPr>
        <w:t xml:space="preserve"> the test is structured to cover transactions that may not have proportionate debt but can still be considered </w:t>
      </w:r>
      <w:r>
        <w:rPr>
          <w:lang w:val="en-NZ"/>
        </w:rPr>
        <w:t xml:space="preserve">the result of </w:t>
      </w:r>
      <w:r w:rsidRPr="00260412">
        <w:rPr>
          <w:lang w:val="en-NZ"/>
        </w:rPr>
        <w:t>acting together.</w:t>
      </w:r>
    </w:p>
    <w:p w:rsidR="00625ADD" w:rsidRPr="00290D06" w:rsidRDefault="00625ADD" w:rsidP="00625ADD">
      <w:pPr>
        <w:rPr>
          <w:highlight w:val="yellow"/>
        </w:rPr>
      </w:pPr>
    </w:p>
    <w:p w:rsidR="00625ADD" w:rsidRPr="00527DC8" w:rsidRDefault="00625ADD" w:rsidP="00643520">
      <w:pPr>
        <w:pStyle w:val="Heading3"/>
        <w:rPr>
          <w:lang w:val="en-NZ"/>
        </w:rPr>
      </w:pPr>
      <w:r w:rsidRPr="00527DC8">
        <w:rPr>
          <w:lang w:val="en-NZ"/>
        </w:rPr>
        <w:t>Prepayments of interest</w:t>
      </w:r>
    </w:p>
    <w:p w:rsidR="00625ADD" w:rsidRPr="00527DC8" w:rsidRDefault="00625ADD" w:rsidP="00625ADD">
      <w:pPr>
        <w:rPr>
          <w:szCs w:val="24"/>
          <w:lang w:val="en-NZ"/>
        </w:rPr>
      </w:pPr>
    </w:p>
    <w:p w:rsidR="00625ADD" w:rsidRDefault="00625ADD" w:rsidP="00625ADD">
      <w:pPr>
        <w:rPr>
          <w:szCs w:val="24"/>
          <w:lang w:val="en-NZ"/>
        </w:rPr>
      </w:pPr>
      <w:r w:rsidRPr="00527DC8">
        <w:rPr>
          <w:szCs w:val="24"/>
          <w:lang w:val="en-NZ"/>
        </w:rPr>
        <w:t>A transitional prepayment rule prevent</w:t>
      </w:r>
      <w:r w:rsidR="00613CDC">
        <w:rPr>
          <w:szCs w:val="24"/>
          <w:lang w:val="en-NZ"/>
        </w:rPr>
        <w:t>s</w:t>
      </w:r>
      <w:r w:rsidRPr="00527DC8">
        <w:rPr>
          <w:szCs w:val="24"/>
          <w:lang w:val="en-NZ"/>
        </w:rPr>
        <w:t xml:space="preserve"> a company effectively continuing the </w:t>
      </w:r>
      <w:r w:rsidR="00613CDC">
        <w:rPr>
          <w:szCs w:val="24"/>
          <w:lang w:val="en-NZ"/>
        </w:rPr>
        <w:t xml:space="preserve">previous </w:t>
      </w:r>
      <w:r>
        <w:rPr>
          <w:szCs w:val="24"/>
          <w:lang w:val="en-NZ"/>
        </w:rPr>
        <w:t xml:space="preserve">non-imposition of </w:t>
      </w:r>
      <w:r w:rsidRPr="00527DC8">
        <w:rPr>
          <w:szCs w:val="24"/>
          <w:lang w:val="en-NZ"/>
        </w:rPr>
        <w:t>NRWT beyond application of the new rules by prepaying interest on a financial arrangement before the new rules t</w:t>
      </w:r>
      <w:r w:rsidR="00BE6A3A">
        <w:rPr>
          <w:szCs w:val="24"/>
          <w:lang w:val="en-NZ"/>
        </w:rPr>
        <w:t>ook</w:t>
      </w:r>
      <w:r w:rsidRPr="00527DC8">
        <w:rPr>
          <w:szCs w:val="24"/>
          <w:lang w:val="en-NZ"/>
        </w:rPr>
        <w:t xml:space="preserve"> effect.  This situation may arise whe</w:t>
      </w:r>
      <w:r>
        <w:rPr>
          <w:szCs w:val="24"/>
          <w:lang w:val="en-NZ"/>
        </w:rPr>
        <w:t>n</w:t>
      </w:r>
      <w:r w:rsidRPr="00527DC8">
        <w:rPr>
          <w:szCs w:val="24"/>
          <w:lang w:val="en-NZ"/>
        </w:rPr>
        <w:t xml:space="preserve"> a borrower </w:t>
      </w:r>
      <w:r w:rsidR="00BE6A3A">
        <w:rPr>
          <w:szCs w:val="24"/>
          <w:lang w:val="en-NZ"/>
        </w:rPr>
        <w:t>is</w:t>
      </w:r>
      <w:r w:rsidRPr="00527DC8">
        <w:rPr>
          <w:szCs w:val="24"/>
          <w:lang w:val="en-NZ"/>
        </w:rPr>
        <w:t xml:space="preserve"> required to withhold NRWT on interest on an arrangement that </w:t>
      </w:r>
      <w:r w:rsidR="00BE6A3A">
        <w:rPr>
          <w:szCs w:val="24"/>
          <w:lang w:val="en-NZ"/>
        </w:rPr>
        <w:t xml:space="preserve">became </w:t>
      </w:r>
      <w:r w:rsidRPr="00527DC8">
        <w:rPr>
          <w:szCs w:val="24"/>
          <w:lang w:val="en-NZ"/>
        </w:rPr>
        <w:t xml:space="preserve">a related-party debt </w:t>
      </w:r>
      <w:r w:rsidR="00BE6A3A">
        <w:rPr>
          <w:szCs w:val="24"/>
          <w:lang w:val="en-NZ"/>
        </w:rPr>
        <w:t xml:space="preserve">when </w:t>
      </w:r>
      <w:r w:rsidRPr="00527DC8">
        <w:rPr>
          <w:szCs w:val="24"/>
          <w:lang w:val="en-NZ"/>
        </w:rPr>
        <w:t xml:space="preserve">the new rules come into force but </w:t>
      </w:r>
      <w:r w:rsidR="00BE6A3A">
        <w:rPr>
          <w:szCs w:val="24"/>
          <w:lang w:val="en-NZ"/>
        </w:rPr>
        <w:t xml:space="preserve">was </w:t>
      </w:r>
      <w:r w:rsidRPr="00527DC8">
        <w:rPr>
          <w:szCs w:val="24"/>
          <w:lang w:val="en-NZ"/>
        </w:rPr>
        <w:t xml:space="preserve">not </w:t>
      </w:r>
      <w:r w:rsidR="00BE6A3A">
        <w:rPr>
          <w:szCs w:val="24"/>
          <w:lang w:val="en-NZ"/>
        </w:rPr>
        <w:t xml:space="preserve">previously </w:t>
      </w:r>
      <w:r w:rsidRPr="00527DC8">
        <w:rPr>
          <w:szCs w:val="24"/>
          <w:lang w:val="en-NZ"/>
        </w:rPr>
        <w:t>paying non-resident passive income (for example</w:t>
      </w:r>
      <w:r>
        <w:rPr>
          <w:szCs w:val="24"/>
          <w:lang w:val="en-NZ"/>
        </w:rPr>
        <w:t>,</w:t>
      </w:r>
      <w:r w:rsidRPr="00527DC8">
        <w:rPr>
          <w:szCs w:val="24"/>
          <w:lang w:val="en-NZ"/>
        </w:rPr>
        <w:t xml:space="preserve"> because of th</w:t>
      </w:r>
      <w:r w:rsidR="00BE6A3A">
        <w:rPr>
          <w:szCs w:val="24"/>
          <w:lang w:val="en-NZ"/>
        </w:rPr>
        <w:t>e onshore branch exemption) or wa</w:t>
      </w:r>
      <w:r w:rsidRPr="00527DC8">
        <w:rPr>
          <w:szCs w:val="24"/>
          <w:lang w:val="en-NZ"/>
        </w:rPr>
        <w:t>s paying AIL on interest to an unassociated party (for example</w:t>
      </w:r>
      <w:r>
        <w:rPr>
          <w:szCs w:val="24"/>
          <w:lang w:val="en-NZ"/>
        </w:rPr>
        <w:t>,</w:t>
      </w:r>
      <w:r w:rsidRPr="00527DC8">
        <w:rPr>
          <w:szCs w:val="24"/>
          <w:lang w:val="en-NZ"/>
        </w:rPr>
        <w:t xml:space="preserve"> as part of an arrangement </w:t>
      </w:r>
      <w:r w:rsidR="00BE6A3A">
        <w:rPr>
          <w:szCs w:val="24"/>
          <w:lang w:val="en-NZ"/>
        </w:rPr>
        <w:t xml:space="preserve">that is now </w:t>
      </w:r>
      <w:r w:rsidRPr="00527DC8">
        <w:rPr>
          <w:szCs w:val="24"/>
          <w:lang w:val="en-NZ"/>
        </w:rPr>
        <w:t>treated as a loan from persons who are associated with the borrower because they are acting together).  The prepayment rule compare</w:t>
      </w:r>
      <w:r w:rsidR="00BE6A3A">
        <w:rPr>
          <w:szCs w:val="24"/>
          <w:lang w:val="en-NZ"/>
        </w:rPr>
        <w:t>s</w:t>
      </w:r>
      <w:r w:rsidRPr="00527DC8">
        <w:rPr>
          <w:szCs w:val="24"/>
          <w:lang w:val="en-NZ"/>
        </w:rPr>
        <w:t xml:space="preserve"> the amount of interest paid with any financial arrangement deductions taken to the date the new rules apply.  Any excess interest paid </w:t>
      </w:r>
      <w:r w:rsidR="00BE6A3A">
        <w:rPr>
          <w:szCs w:val="24"/>
          <w:lang w:val="en-NZ"/>
        </w:rPr>
        <w:t xml:space="preserve">is </w:t>
      </w:r>
      <w:r w:rsidRPr="00527DC8">
        <w:rPr>
          <w:szCs w:val="24"/>
          <w:lang w:val="en-NZ"/>
        </w:rPr>
        <w:t xml:space="preserve">treated as being paid on the first day the new rules apply and will therefore be liable for NRWT.  Any AIL previously withheld on these interest payments </w:t>
      </w:r>
      <w:r w:rsidR="00F44B8F">
        <w:rPr>
          <w:szCs w:val="24"/>
          <w:lang w:val="en-NZ"/>
        </w:rPr>
        <w:t>can be</w:t>
      </w:r>
      <w:r w:rsidR="00BE6A3A">
        <w:rPr>
          <w:szCs w:val="24"/>
          <w:lang w:val="en-NZ"/>
        </w:rPr>
        <w:t xml:space="preserve"> </w:t>
      </w:r>
      <w:r w:rsidRPr="00527DC8">
        <w:rPr>
          <w:szCs w:val="24"/>
          <w:lang w:val="en-NZ"/>
        </w:rPr>
        <w:t>refund</w:t>
      </w:r>
      <w:r w:rsidR="00F44B8F">
        <w:rPr>
          <w:szCs w:val="24"/>
          <w:lang w:val="en-NZ"/>
        </w:rPr>
        <w:t>ed or transferred against an existing tax liability</w:t>
      </w:r>
      <w:r w:rsidRPr="00527DC8">
        <w:rPr>
          <w:szCs w:val="24"/>
          <w:lang w:val="en-NZ"/>
        </w:rPr>
        <w:t>.</w:t>
      </w:r>
    </w:p>
    <w:p w:rsidR="00FF1AFC" w:rsidRDefault="00FF1AFC" w:rsidP="00625ADD">
      <w:pPr>
        <w:rPr>
          <w:szCs w:val="24"/>
          <w:lang w:val="en-NZ"/>
        </w:rPr>
      </w:pPr>
    </w:p>
    <w:p w:rsidR="00FF1AFC" w:rsidRPr="00527DC8" w:rsidRDefault="00FF1AFC" w:rsidP="00625ADD">
      <w:pPr>
        <w:rPr>
          <w:szCs w:val="24"/>
          <w:lang w:val="en-NZ"/>
        </w:rPr>
      </w:pPr>
      <w:r>
        <w:rPr>
          <w:szCs w:val="24"/>
          <w:lang w:val="en-NZ"/>
        </w:rPr>
        <w:t>This rule is not intended to capture foreign exchange movements on arrangements denominated in foreign currencies.  When an arrangement is denominated in a foreign currency both the interest payments and total expenditure should be calculated in that foreign currency and then any excess converted to New Zealand dollars using the existing rules in subpart YF of the Income Tax Act 2007.</w:t>
      </w:r>
    </w:p>
    <w:p w:rsidR="00625ADD" w:rsidRPr="00527DC8" w:rsidRDefault="00625ADD" w:rsidP="00625ADD">
      <w:pPr>
        <w:pBdr>
          <w:top w:val="single" w:sz="4" w:space="10" w:color="auto"/>
          <w:left w:val="single" w:sz="4" w:space="10" w:color="auto"/>
          <w:bottom w:val="single" w:sz="4" w:space="10" w:color="auto"/>
          <w:right w:val="single" w:sz="4" w:space="10" w:color="auto"/>
        </w:pBdr>
        <w:jc w:val="left"/>
        <w:rPr>
          <w:b/>
          <w:sz w:val="20"/>
          <w:lang w:val="en-NZ"/>
        </w:rPr>
      </w:pPr>
      <w:r w:rsidRPr="00527DC8">
        <w:rPr>
          <w:b/>
          <w:sz w:val="20"/>
          <w:lang w:val="en-NZ"/>
        </w:rPr>
        <w:t>Example</w:t>
      </w:r>
      <w:r w:rsidR="007C61F1">
        <w:rPr>
          <w:b/>
          <w:sz w:val="20"/>
          <w:lang w:val="en-NZ"/>
        </w:rPr>
        <w:t xml:space="preserve"> 1</w:t>
      </w:r>
      <w:r w:rsidR="001F211E">
        <w:rPr>
          <w:b/>
          <w:sz w:val="20"/>
          <w:lang w:val="en-NZ"/>
        </w:rPr>
        <w:t>6</w:t>
      </w:r>
      <w:r w:rsidR="007C61F1">
        <w:rPr>
          <w:b/>
          <w:sz w:val="20"/>
          <w:lang w:val="en-NZ"/>
        </w:rPr>
        <w:t>: Prepayment rule</w:t>
      </w:r>
    </w:p>
    <w:p w:rsidR="00625ADD" w:rsidRPr="00D41CBA" w:rsidRDefault="00625ADD" w:rsidP="00625ADD">
      <w:pPr>
        <w:pBdr>
          <w:top w:val="single" w:sz="4" w:space="10" w:color="auto"/>
          <w:left w:val="single" w:sz="4" w:space="10" w:color="auto"/>
          <w:bottom w:val="single" w:sz="4" w:space="10" w:color="auto"/>
          <w:right w:val="single" w:sz="4" w:space="10" w:color="auto"/>
        </w:pBdr>
        <w:jc w:val="left"/>
        <w:rPr>
          <w:sz w:val="20"/>
          <w:lang w:val="en-NZ"/>
        </w:rPr>
      </w:pPr>
    </w:p>
    <w:p w:rsidR="00625ADD" w:rsidRPr="000D46F8" w:rsidRDefault="00625ADD" w:rsidP="00625ADD">
      <w:pPr>
        <w:pBdr>
          <w:top w:val="single" w:sz="4" w:space="10" w:color="auto"/>
          <w:left w:val="single" w:sz="4" w:space="10" w:color="auto"/>
          <w:bottom w:val="single" w:sz="4" w:space="10" w:color="auto"/>
          <w:right w:val="single" w:sz="4" w:space="10" w:color="auto"/>
        </w:pBdr>
        <w:rPr>
          <w:sz w:val="20"/>
          <w:lang w:val="en-NZ"/>
        </w:rPr>
      </w:pPr>
      <w:r w:rsidRPr="00527DC8">
        <w:rPr>
          <w:sz w:val="20"/>
          <w:lang w:val="en-NZ"/>
        </w:rPr>
        <w:t>NZ Co is owned 25</w:t>
      </w:r>
      <w:r>
        <w:rPr>
          <w:sz w:val="20"/>
          <w:lang w:val="en-NZ"/>
        </w:rPr>
        <w:t xml:space="preserve"> percent</w:t>
      </w:r>
      <w:r w:rsidRPr="00527DC8">
        <w:rPr>
          <w:sz w:val="20"/>
          <w:lang w:val="en-NZ"/>
        </w:rPr>
        <w:t xml:space="preserve"> each by four non-resident private equity funds.  NZ Co has been making interest payments to each fund of $100,000 per year and paying $2,000 of AIL on each interest payment.  As NZ Co knows its owners will be treated as acting together when the new rules apply to their interest payments after 1 April 2017 they agree that on 1 January 2017 NZ Co will make a one</w:t>
      </w:r>
      <w:r w:rsidR="002D4DC9">
        <w:rPr>
          <w:sz w:val="20"/>
          <w:lang w:val="en-NZ"/>
        </w:rPr>
        <w:t>-</w:t>
      </w:r>
      <w:r w:rsidRPr="00527DC8">
        <w:rPr>
          <w:sz w:val="20"/>
          <w:lang w:val="en-NZ"/>
        </w:rPr>
        <w:t xml:space="preserve">off interest payment to each fund of $800,000 with no further interest payments until after 1 April 2027.  NZ Co pays $16,000 of AIL on each of these payments in </w:t>
      </w:r>
      <w:r>
        <w:rPr>
          <w:sz w:val="20"/>
          <w:lang w:val="en-NZ"/>
        </w:rPr>
        <w:t>its</w:t>
      </w:r>
      <w:r w:rsidRPr="00527DC8">
        <w:rPr>
          <w:sz w:val="20"/>
          <w:lang w:val="en-NZ"/>
        </w:rPr>
        <w:t xml:space="preserve"> January 2017 AIL return.  On 1 April 2017 it is calculated that interest payments exceed deductions by $700,000 for each fund; therefore, NZ Co is treated as paying $700,000 to each fund on 1 April 2017 and only $100,000 to each fund on 1 January 2017.  $70,000 of NRWT is required to be paid on behalf of each fund.  NZ Co can apply to the Commissioner to have $14,000 of AIL refunded for the interest payment to each fund that is no longer treated as being paid on 1 January 2017.</w:t>
      </w:r>
    </w:p>
    <w:p w:rsidR="00625ADD" w:rsidRPr="00E9794B" w:rsidRDefault="00625ADD" w:rsidP="00625ADD">
      <w:pPr>
        <w:jc w:val="left"/>
        <w:rPr>
          <w:szCs w:val="24"/>
          <w:lang w:val="en-NZ"/>
        </w:rPr>
      </w:pPr>
    </w:p>
    <w:p w:rsidR="00625ADD" w:rsidRPr="00260412" w:rsidRDefault="00625ADD" w:rsidP="00625ADD">
      <w:pPr>
        <w:rPr>
          <w:lang w:val="en-NZ"/>
        </w:rPr>
      </w:pPr>
    </w:p>
    <w:p w:rsidR="00625ADD" w:rsidRPr="00260412" w:rsidRDefault="00625ADD" w:rsidP="00625ADD">
      <w:pPr>
        <w:pStyle w:val="Heading3"/>
        <w:rPr>
          <w:lang w:val="en-NZ"/>
        </w:rPr>
      </w:pPr>
      <w:r w:rsidRPr="00260412">
        <w:rPr>
          <w:lang w:val="en-NZ"/>
        </w:rPr>
        <w:t>Interest payments by a member of a registered banking group</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For a </w:t>
      </w:r>
      <w:r>
        <w:rPr>
          <w:lang w:val="en-NZ"/>
        </w:rPr>
        <w:t>New Zealand</w:t>
      </w:r>
      <w:r w:rsidRPr="00260412">
        <w:rPr>
          <w:lang w:val="en-NZ"/>
        </w:rPr>
        <w:t xml:space="preserve"> bank that is part of a wider worldwide banking operation</w:t>
      </w:r>
      <w:r>
        <w:rPr>
          <w:lang w:val="en-NZ"/>
        </w:rPr>
        <w:t>,</w:t>
      </w:r>
      <w:r w:rsidRPr="00260412">
        <w:rPr>
          <w:lang w:val="en-NZ"/>
        </w:rPr>
        <w:t xml:space="preserve"> there are commercial reasons why the </w:t>
      </w:r>
      <w:r>
        <w:rPr>
          <w:lang w:val="en-NZ"/>
        </w:rPr>
        <w:t>New Zealand</w:t>
      </w:r>
      <w:r w:rsidRPr="00260412">
        <w:rPr>
          <w:lang w:val="en-NZ"/>
        </w:rPr>
        <w:t xml:space="preserve"> bank may borrow from its parent or another associated entity.  This can include the better credit rating held by the larger parent, economies of scale of a single funding operation and/or better name recognition of the parent, which allows funding to be rais</w:t>
      </w:r>
      <w:r>
        <w:rPr>
          <w:lang w:val="en-NZ"/>
        </w:rPr>
        <w:t>ed more cheaply.</w:t>
      </w:r>
    </w:p>
    <w:p w:rsidR="00625ADD" w:rsidRPr="00260412" w:rsidRDefault="00625ADD" w:rsidP="00625ADD">
      <w:pPr>
        <w:rPr>
          <w:lang w:val="en-NZ"/>
        </w:rPr>
      </w:pPr>
    </w:p>
    <w:p w:rsidR="00625ADD" w:rsidRDefault="00625ADD" w:rsidP="00625ADD">
      <w:pPr>
        <w:rPr>
          <w:lang w:val="en-NZ"/>
        </w:rPr>
      </w:pPr>
      <w:r>
        <w:rPr>
          <w:lang w:val="en-NZ"/>
        </w:rPr>
        <w:t>It</w:t>
      </w:r>
      <w:r w:rsidRPr="00260412">
        <w:rPr>
          <w:lang w:val="en-NZ"/>
        </w:rPr>
        <w:t xml:space="preserve"> can reasonably be considered that funding on-lent to a </w:t>
      </w:r>
      <w:r>
        <w:rPr>
          <w:lang w:val="en-NZ"/>
        </w:rPr>
        <w:t>New Zealand</w:t>
      </w:r>
      <w:r w:rsidRPr="00260412">
        <w:rPr>
          <w:lang w:val="en-NZ"/>
        </w:rPr>
        <w:t xml:space="preserve"> bank by its parent is ultimately largely borrowed from unrelated </w:t>
      </w:r>
      <w:r w:rsidR="009124E2">
        <w:rPr>
          <w:lang w:val="en-NZ"/>
        </w:rPr>
        <w:t>parties</w:t>
      </w:r>
      <w:r w:rsidRPr="00260412">
        <w:rPr>
          <w:lang w:val="en-NZ"/>
        </w:rPr>
        <w:t xml:space="preserve"> and not </w:t>
      </w:r>
      <w:r>
        <w:rPr>
          <w:lang w:val="en-NZ"/>
        </w:rPr>
        <w:t xml:space="preserve">generally </w:t>
      </w:r>
      <w:r w:rsidRPr="00260412">
        <w:rPr>
          <w:lang w:val="en-NZ"/>
        </w:rPr>
        <w:t>provided by the parent bank</w:t>
      </w:r>
      <w:r w:rsidR="00CF7EDE">
        <w:rPr>
          <w:lang w:val="en-NZ"/>
        </w:rPr>
        <w:t>’</w:t>
      </w:r>
      <w:r w:rsidRPr="00260412">
        <w:rPr>
          <w:lang w:val="en-NZ"/>
        </w:rPr>
        <w:t>s shareholders as a substitute for equity.</w:t>
      </w:r>
    </w:p>
    <w:p w:rsidR="00625ADD" w:rsidRPr="00260412" w:rsidRDefault="00625ADD" w:rsidP="00625ADD">
      <w:pPr>
        <w:rPr>
          <w:lang w:val="en-NZ"/>
        </w:rPr>
      </w:pPr>
    </w:p>
    <w:p w:rsidR="00625ADD" w:rsidRPr="00260412" w:rsidRDefault="007D68E1" w:rsidP="00625ADD">
      <w:pPr>
        <w:rPr>
          <w:lang w:val="en-NZ"/>
        </w:rPr>
      </w:pPr>
      <w:r>
        <w:rPr>
          <w:lang w:val="en-NZ"/>
        </w:rPr>
        <w:t>As the</w:t>
      </w:r>
      <w:r w:rsidR="00625ADD" w:rsidRPr="00260412">
        <w:rPr>
          <w:lang w:val="en-NZ"/>
        </w:rPr>
        <w:t xml:space="preserve"> offshore</w:t>
      </w:r>
      <w:r>
        <w:rPr>
          <w:lang w:val="en-NZ"/>
        </w:rPr>
        <w:t xml:space="preserve"> and onshore branch exemptions</w:t>
      </w:r>
      <w:r w:rsidR="00625ADD" w:rsidRPr="00260412">
        <w:rPr>
          <w:lang w:val="en-NZ"/>
        </w:rPr>
        <w:t xml:space="preserve"> </w:t>
      </w:r>
      <w:r>
        <w:rPr>
          <w:lang w:val="en-NZ"/>
        </w:rPr>
        <w:t>have been restricted</w:t>
      </w:r>
      <w:r w:rsidR="00E9378B">
        <w:rPr>
          <w:lang w:val="en-NZ"/>
        </w:rPr>
        <w:t>,</w:t>
      </w:r>
      <w:r>
        <w:rPr>
          <w:lang w:val="en-NZ"/>
        </w:rPr>
        <w:t xml:space="preserve"> </w:t>
      </w:r>
      <w:r w:rsidR="00625ADD">
        <w:rPr>
          <w:lang w:val="en-NZ"/>
        </w:rPr>
        <w:t>New Zealand</w:t>
      </w:r>
      <w:r w:rsidR="00625ADD" w:rsidRPr="00260412">
        <w:rPr>
          <w:lang w:val="en-NZ"/>
        </w:rPr>
        <w:t xml:space="preserve"> banks </w:t>
      </w:r>
      <w:r>
        <w:rPr>
          <w:lang w:val="en-NZ"/>
        </w:rPr>
        <w:t>can</w:t>
      </w:r>
      <w:r w:rsidR="00625ADD" w:rsidRPr="00260412">
        <w:rPr>
          <w:lang w:val="en-NZ"/>
        </w:rPr>
        <w:t xml:space="preserve"> no longer rely on these structures t</w:t>
      </w:r>
      <w:r w:rsidR="00625ADD">
        <w:rPr>
          <w:lang w:val="en-NZ"/>
        </w:rPr>
        <w:t>o remove their NRWT liability.</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In the absence of further changes, </w:t>
      </w:r>
      <w:r>
        <w:rPr>
          <w:lang w:val="en-NZ"/>
        </w:rPr>
        <w:t>New Zealand</w:t>
      </w:r>
      <w:r w:rsidRPr="00260412">
        <w:rPr>
          <w:lang w:val="en-NZ"/>
        </w:rPr>
        <w:t xml:space="preserve"> banks would have </w:t>
      </w:r>
      <w:r w:rsidR="007D68E1">
        <w:rPr>
          <w:lang w:val="en-NZ"/>
        </w:rPr>
        <w:t xml:space="preserve">had </w:t>
      </w:r>
      <w:r w:rsidRPr="00260412">
        <w:rPr>
          <w:lang w:val="en-NZ"/>
        </w:rPr>
        <w:t>a tax incentive to raise all funding from third parties so that AIL could be paid instead of NRWT even when, in the absence of tax, it would be economically efficient to borrow through an associated party.</w:t>
      </w:r>
    </w:p>
    <w:p w:rsidR="00625ADD" w:rsidRPr="00260412" w:rsidRDefault="00625ADD" w:rsidP="00625ADD">
      <w:pPr>
        <w:rPr>
          <w:lang w:val="en-NZ"/>
        </w:rPr>
      </w:pPr>
    </w:p>
    <w:p w:rsidR="00625ADD" w:rsidRPr="00260412" w:rsidRDefault="007D68E1" w:rsidP="00625ADD">
      <w:pPr>
        <w:rPr>
          <w:lang w:val="en-NZ"/>
        </w:rPr>
      </w:pPr>
      <w:r>
        <w:rPr>
          <w:lang w:val="en-NZ"/>
        </w:rPr>
        <w:t>C</w:t>
      </w:r>
      <w:r w:rsidR="00625ADD" w:rsidRPr="00260412">
        <w:rPr>
          <w:lang w:val="en-NZ"/>
        </w:rPr>
        <w:t xml:space="preserve">hanges to section RF 12(1)(a)(ii) allow a member of a banking group to pay AIL on interest payments to an associated non-resident.  These changes </w:t>
      </w:r>
      <w:r>
        <w:rPr>
          <w:lang w:val="en-NZ"/>
        </w:rPr>
        <w:t>have</w:t>
      </w:r>
      <w:r w:rsidR="00625ADD" w:rsidRPr="00260412">
        <w:rPr>
          <w:lang w:val="en-NZ"/>
        </w:rPr>
        <w:t xml:space="preserve"> not be</w:t>
      </w:r>
      <w:r>
        <w:rPr>
          <w:lang w:val="en-NZ"/>
        </w:rPr>
        <w:t>en</w:t>
      </w:r>
      <w:r w:rsidR="00625ADD" w:rsidRPr="00260412">
        <w:rPr>
          <w:lang w:val="en-NZ"/>
        </w:rPr>
        <w:t xml:space="preserve"> extended to non-banks, including other businesses operating in the financial sector.  This is because, unlike other industries, banks already have a clear definition which removes boundary issues and provides confidence that related-party funding is not an economic substitute for equity investment.  This is consistent with </w:t>
      </w:r>
      <w:r>
        <w:rPr>
          <w:lang w:val="en-NZ"/>
        </w:rPr>
        <w:t xml:space="preserve">other </w:t>
      </w:r>
      <w:r w:rsidR="00625ADD" w:rsidRPr="00260412">
        <w:rPr>
          <w:lang w:val="en-NZ"/>
        </w:rPr>
        <w:t xml:space="preserve">legislation where </w:t>
      </w:r>
      <w:r w:rsidR="00625ADD">
        <w:rPr>
          <w:lang w:val="en-NZ"/>
        </w:rPr>
        <w:t>New Zealand</w:t>
      </w:r>
      <w:r w:rsidR="00625ADD" w:rsidRPr="00260412">
        <w:rPr>
          <w:lang w:val="en-NZ"/>
        </w:rPr>
        <w:t xml:space="preserve">-registered banks are subject to more rigorous thin capitalisation requirements and </w:t>
      </w:r>
      <w:r w:rsidR="00625ADD" w:rsidRPr="00D41CBA">
        <w:rPr>
          <w:lang w:val="en-NZ"/>
        </w:rPr>
        <w:t>greater regulatory oversight by the Reserve Bank of New Zealand, than other financial sector taxpayers.</w:t>
      </w:r>
    </w:p>
    <w:p w:rsidR="00625ADD" w:rsidRPr="00260412" w:rsidRDefault="00625ADD" w:rsidP="00625ADD">
      <w:pPr>
        <w:rPr>
          <w:lang w:val="en-NZ"/>
        </w:rPr>
      </w:pPr>
    </w:p>
    <w:p w:rsidR="00625ADD" w:rsidRPr="00260412" w:rsidRDefault="00625ADD" w:rsidP="00625ADD">
      <w:pPr>
        <w:rPr>
          <w:lang w:val="en-NZ"/>
        </w:rPr>
      </w:pPr>
      <w:r w:rsidRPr="00260412">
        <w:rPr>
          <w:sz w:val="20"/>
          <w:lang w:val="en-NZ"/>
        </w:rPr>
        <w:br w:type="page"/>
      </w:r>
    </w:p>
    <w:p w:rsidR="00625ADD" w:rsidRPr="00260412" w:rsidRDefault="00625ADD" w:rsidP="00625ADD">
      <w:pPr>
        <w:pStyle w:val="Heading1"/>
      </w:pPr>
      <w:bookmarkStart w:id="3" w:name="_Toc449606449"/>
      <w:r>
        <w:t>B</w:t>
      </w:r>
      <w:r w:rsidRPr="00260412">
        <w:t xml:space="preserve">ranch lending </w:t>
      </w:r>
      <w:bookmarkEnd w:id="3"/>
      <w:r w:rsidR="000677F0">
        <w:t>changes</w:t>
      </w:r>
    </w:p>
    <w:p w:rsidR="00625ADD" w:rsidRDefault="00625ADD" w:rsidP="00625ADD">
      <w:pPr>
        <w:rPr>
          <w:lang w:val="en-NZ"/>
        </w:rPr>
      </w:pPr>
    </w:p>
    <w:p w:rsidR="00625ADD" w:rsidRPr="00260412" w:rsidRDefault="000677F0" w:rsidP="00625ADD">
      <w:pPr>
        <w:rPr>
          <w:lang w:val="en-NZ"/>
        </w:rPr>
      </w:pPr>
      <w:r>
        <w:rPr>
          <w:lang w:val="en-NZ"/>
        </w:rPr>
        <w:t>A</w:t>
      </w:r>
      <w:r w:rsidR="00625ADD" w:rsidRPr="00260412">
        <w:rPr>
          <w:lang w:val="en-NZ"/>
        </w:rPr>
        <w:t xml:space="preserve"> number of amendments </w:t>
      </w:r>
      <w:r>
        <w:rPr>
          <w:lang w:val="en-NZ"/>
        </w:rPr>
        <w:t xml:space="preserve">have been made </w:t>
      </w:r>
      <w:r w:rsidR="00625ADD" w:rsidRPr="00260412">
        <w:rPr>
          <w:lang w:val="en-NZ"/>
        </w:rPr>
        <w:t xml:space="preserve">to the NRWT rules and the source rules </w:t>
      </w:r>
      <w:r w:rsidR="00625ADD">
        <w:rPr>
          <w:lang w:val="en-NZ"/>
        </w:rPr>
        <w:t>that</w:t>
      </w:r>
      <w:r w:rsidR="00625ADD" w:rsidRPr="00260412">
        <w:rPr>
          <w:lang w:val="en-NZ"/>
        </w:rPr>
        <w:t xml:space="preserve"> ensure that interest payments from a </w:t>
      </w:r>
      <w:r w:rsidR="00625ADD">
        <w:rPr>
          <w:lang w:val="en-NZ"/>
        </w:rPr>
        <w:t>New Zealand</w:t>
      </w:r>
      <w:r w:rsidR="00625ADD" w:rsidRPr="00260412">
        <w:rPr>
          <w:lang w:val="en-NZ"/>
        </w:rPr>
        <w:t xml:space="preserve"> resident (or</w:t>
      </w:r>
      <w:r w:rsidR="00625ADD">
        <w:rPr>
          <w:lang w:val="en-NZ"/>
        </w:rPr>
        <w:t xml:space="preserve"> a</w:t>
      </w:r>
      <w:r w:rsidR="00625ADD" w:rsidRPr="00260412">
        <w:rPr>
          <w:lang w:val="en-NZ"/>
        </w:rPr>
        <w:t xml:space="preserve"> </w:t>
      </w:r>
      <w:r w:rsidR="00625ADD">
        <w:rPr>
          <w:lang w:val="en-NZ"/>
        </w:rPr>
        <w:t>New Zealand</w:t>
      </w:r>
      <w:r w:rsidR="00625ADD" w:rsidRPr="00260412">
        <w:rPr>
          <w:lang w:val="en-NZ"/>
        </w:rPr>
        <w:t xml:space="preserve"> branch of a non-resident) to a non-resident </w:t>
      </w:r>
      <w:r>
        <w:rPr>
          <w:lang w:val="en-NZ"/>
        </w:rPr>
        <w:t xml:space="preserve">are </w:t>
      </w:r>
      <w:r w:rsidR="00625ADD" w:rsidRPr="00260412">
        <w:rPr>
          <w:lang w:val="en-NZ"/>
        </w:rPr>
        <w:t>subject to NRWT or AIL irrespective of whether that funding is channelled through a branch or an entity that has a branch.  This ensure</w:t>
      </w:r>
      <w:r>
        <w:rPr>
          <w:lang w:val="en-NZ"/>
        </w:rPr>
        <w:t>s</w:t>
      </w:r>
      <w:r w:rsidR="00625ADD" w:rsidRPr="00260412">
        <w:rPr>
          <w:lang w:val="en-NZ"/>
        </w:rPr>
        <w:t xml:space="preserve"> that funding transactions that are economically equivalent have a consistent tax treatment.</w:t>
      </w:r>
    </w:p>
    <w:p w:rsidR="00625ADD" w:rsidRPr="00260412" w:rsidRDefault="00625ADD" w:rsidP="00625ADD">
      <w:pPr>
        <w:rPr>
          <w:lang w:val="en-NZ"/>
        </w:rPr>
      </w:pPr>
    </w:p>
    <w:p w:rsidR="00625ADD" w:rsidRPr="00BB4237" w:rsidRDefault="00625ADD" w:rsidP="00BB4237">
      <w:pPr>
        <w:rPr>
          <w:b/>
          <w:i/>
          <w:lang w:val="en-NZ"/>
        </w:rPr>
      </w:pPr>
      <w:r w:rsidRPr="00BB4237">
        <w:rPr>
          <w:b/>
          <w:i/>
          <w:lang w:val="en-NZ"/>
        </w:rPr>
        <w:t>Offshore branch exemption</w:t>
      </w:r>
    </w:p>
    <w:p w:rsidR="00625ADD" w:rsidRPr="00260412" w:rsidRDefault="00625ADD" w:rsidP="00625ADD">
      <w:pPr>
        <w:rPr>
          <w:i/>
          <w:lang w:val="en-NZ"/>
        </w:rPr>
      </w:pPr>
    </w:p>
    <w:p w:rsidR="00625ADD" w:rsidRPr="00260412" w:rsidRDefault="00625ADD" w:rsidP="00625ADD">
      <w:pPr>
        <w:rPr>
          <w:lang w:val="en-NZ"/>
        </w:rPr>
      </w:pPr>
      <w:r w:rsidRPr="00260412">
        <w:rPr>
          <w:lang w:val="en-NZ"/>
        </w:rPr>
        <w:t xml:space="preserve">Changes to the source rules apply NRWT or AIL to an interest payment from the offshore branch of a </w:t>
      </w:r>
      <w:r>
        <w:rPr>
          <w:lang w:val="en-NZ"/>
        </w:rPr>
        <w:t>New Zealand</w:t>
      </w:r>
      <w:r w:rsidRPr="00260412">
        <w:rPr>
          <w:lang w:val="en-NZ"/>
        </w:rPr>
        <w:t xml:space="preserve"> resident to a non-resident to the extent that t</w:t>
      </w:r>
      <w:r>
        <w:rPr>
          <w:lang w:val="en-NZ"/>
        </w:rPr>
        <w:t xml:space="preserve">he offshore branch lends money </w:t>
      </w:r>
      <w:r w:rsidRPr="00260412">
        <w:rPr>
          <w:lang w:val="en-NZ"/>
        </w:rPr>
        <w:t xml:space="preserve">to </w:t>
      </w:r>
      <w:r>
        <w:rPr>
          <w:lang w:val="en-NZ"/>
        </w:rPr>
        <w:t>New Zealand</w:t>
      </w:r>
      <w:r w:rsidRPr="00260412">
        <w:rPr>
          <w:lang w:val="en-NZ"/>
        </w:rPr>
        <w:t xml:space="preserve"> residents.</w:t>
      </w:r>
    </w:p>
    <w:p w:rsidR="00625ADD" w:rsidRPr="00260412" w:rsidRDefault="00625ADD" w:rsidP="00625ADD">
      <w:pPr>
        <w:rPr>
          <w:lang w:val="en-NZ"/>
        </w:rPr>
      </w:pPr>
    </w:p>
    <w:p w:rsidR="00625ADD" w:rsidRPr="00BB4237" w:rsidRDefault="00625ADD" w:rsidP="00BB4237">
      <w:pPr>
        <w:rPr>
          <w:b/>
          <w:i/>
          <w:lang w:val="en-NZ"/>
        </w:rPr>
      </w:pPr>
      <w:r w:rsidRPr="00BB4237">
        <w:rPr>
          <w:b/>
          <w:i/>
          <w:lang w:val="en-NZ"/>
        </w:rPr>
        <w:t>Onshore branch exemption</w:t>
      </w:r>
    </w:p>
    <w:p w:rsidR="00625ADD" w:rsidRPr="00506FC1" w:rsidRDefault="00625ADD" w:rsidP="00625ADD">
      <w:pPr>
        <w:rPr>
          <w:b/>
          <w:i/>
          <w:lang w:val="en-NZ"/>
        </w:rPr>
      </w:pPr>
    </w:p>
    <w:p w:rsidR="00625ADD" w:rsidRPr="00260412" w:rsidRDefault="00625ADD" w:rsidP="00625ADD">
      <w:pPr>
        <w:rPr>
          <w:lang w:val="en-NZ"/>
        </w:rPr>
      </w:pPr>
      <w:r w:rsidRPr="00260412">
        <w:rPr>
          <w:lang w:val="en-NZ"/>
        </w:rPr>
        <w:t xml:space="preserve">Changes to the NRWT rules apply NRWT or AIL to an interest payment from a </w:t>
      </w:r>
      <w:r>
        <w:rPr>
          <w:lang w:val="en-NZ"/>
        </w:rPr>
        <w:t>New Zealand</w:t>
      </w:r>
      <w:r w:rsidRPr="00260412">
        <w:rPr>
          <w:lang w:val="en-NZ"/>
        </w:rPr>
        <w:t xml:space="preserve"> resident (or </w:t>
      </w:r>
      <w:r>
        <w:rPr>
          <w:lang w:val="en-NZ"/>
        </w:rPr>
        <w:t>New Zealand</w:t>
      </w:r>
      <w:r w:rsidRPr="00260412">
        <w:rPr>
          <w:lang w:val="en-NZ"/>
        </w:rPr>
        <w:t xml:space="preserve"> branch of a non-resident) to a non-resident </w:t>
      </w:r>
      <w:r>
        <w:rPr>
          <w:lang w:val="en-NZ"/>
        </w:rPr>
        <w:t>if</w:t>
      </w:r>
      <w:r w:rsidRPr="00260412">
        <w:rPr>
          <w:lang w:val="en-NZ"/>
        </w:rPr>
        <w:t xml:space="preserve"> that non-resident has a </w:t>
      </w:r>
      <w:r>
        <w:rPr>
          <w:lang w:val="en-NZ"/>
        </w:rPr>
        <w:t>New Zealand</w:t>
      </w:r>
      <w:r w:rsidRPr="00260412">
        <w:rPr>
          <w:lang w:val="en-NZ"/>
        </w:rPr>
        <w:t xml:space="preserve"> branch</w:t>
      </w:r>
      <w:r>
        <w:rPr>
          <w:lang w:val="en-NZ"/>
        </w:rPr>
        <w:t>,</w:t>
      </w:r>
      <w:r w:rsidRPr="00260412">
        <w:rPr>
          <w:lang w:val="en-NZ"/>
        </w:rPr>
        <w:t xml:space="preserve"> unless the interest is derived by the </w:t>
      </w:r>
      <w:r>
        <w:rPr>
          <w:lang w:val="en-NZ"/>
        </w:rPr>
        <w:t>New Zealand</w:t>
      </w:r>
      <w:r w:rsidRPr="00260412">
        <w:rPr>
          <w:lang w:val="en-NZ"/>
        </w:rPr>
        <w:t xml:space="preserve"> branch.  These changes </w:t>
      </w:r>
      <w:r w:rsidR="000677F0">
        <w:rPr>
          <w:lang w:val="en-NZ"/>
        </w:rPr>
        <w:t xml:space="preserve">do </w:t>
      </w:r>
      <w:r w:rsidRPr="00260412">
        <w:rPr>
          <w:lang w:val="en-NZ"/>
        </w:rPr>
        <w:t xml:space="preserve">not apply to a </w:t>
      </w:r>
      <w:r>
        <w:rPr>
          <w:lang w:val="en-NZ"/>
        </w:rPr>
        <w:t>New Zealand</w:t>
      </w:r>
      <w:r w:rsidRPr="00260412">
        <w:rPr>
          <w:lang w:val="en-NZ"/>
        </w:rPr>
        <w:t xml:space="preserve"> resident (or </w:t>
      </w:r>
      <w:r>
        <w:rPr>
          <w:lang w:val="en-NZ"/>
        </w:rPr>
        <w:t>New Zealand</w:t>
      </w:r>
      <w:r w:rsidRPr="00260412">
        <w:rPr>
          <w:lang w:val="en-NZ"/>
        </w:rPr>
        <w:t xml:space="preserve"> branch of a non-resident) that pays interest to a non-resident that they are not associated with and that has a </w:t>
      </w:r>
      <w:r>
        <w:rPr>
          <w:lang w:val="en-NZ"/>
        </w:rPr>
        <w:t>New Zealand</w:t>
      </w:r>
      <w:r w:rsidRPr="00260412">
        <w:rPr>
          <w:lang w:val="en-NZ"/>
        </w:rPr>
        <w:t xml:space="preserve"> branch that holds a banking licence.</w:t>
      </w:r>
    </w:p>
    <w:p w:rsidR="00625ADD" w:rsidRPr="00260412" w:rsidRDefault="00625ADD" w:rsidP="00625ADD">
      <w:pPr>
        <w:rPr>
          <w:lang w:val="en-NZ"/>
        </w:rPr>
      </w:pPr>
    </w:p>
    <w:p w:rsidR="00625ADD" w:rsidRPr="00BB4237" w:rsidRDefault="00625ADD" w:rsidP="00BB4237">
      <w:pPr>
        <w:rPr>
          <w:b/>
          <w:i/>
          <w:lang w:val="en-NZ"/>
        </w:rPr>
      </w:pPr>
      <w:r w:rsidRPr="00BB4237">
        <w:rPr>
          <w:b/>
          <w:i/>
          <w:lang w:val="en-NZ"/>
        </w:rPr>
        <w:t>Onshore notional loans</w:t>
      </w:r>
    </w:p>
    <w:p w:rsidR="00625ADD" w:rsidRPr="00260412" w:rsidRDefault="00625ADD" w:rsidP="00625ADD">
      <w:pPr>
        <w:rPr>
          <w:lang w:val="en-NZ"/>
        </w:rPr>
      </w:pPr>
    </w:p>
    <w:p w:rsidR="00625ADD" w:rsidRPr="00260412" w:rsidRDefault="00625ADD" w:rsidP="00625ADD">
      <w:pPr>
        <w:rPr>
          <w:lang w:val="en-NZ"/>
        </w:rPr>
      </w:pPr>
      <w:r w:rsidRPr="00260412">
        <w:rPr>
          <w:lang w:val="en-NZ"/>
        </w:rPr>
        <w:t>New subpart FG and changes to the NRWT rules apply</w:t>
      </w:r>
      <w:r w:rsidR="004F0588">
        <w:rPr>
          <w:lang w:val="en-NZ"/>
        </w:rPr>
        <w:t xml:space="preserve"> NRWT or AIL (to the extent it wa</w:t>
      </w:r>
      <w:r w:rsidRPr="00260412">
        <w:rPr>
          <w:lang w:val="en-NZ"/>
        </w:rPr>
        <w:t xml:space="preserve">s not already) to a notional interest payment from a </w:t>
      </w:r>
      <w:r>
        <w:rPr>
          <w:lang w:val="en-NZ"/>
        </w:rPr>
        <w:t>New Zealand</w:t>
      </w:r>
      <w:r w:rsidRPr="00260412">
        <w:rPr>
          <w:lang w:val="en-NZ"/>
        </w:rPr>
        <w:t xml:space="preserve"> branch of a bank to its head office.  This interest payment will be equal to the amount already included in the branch</w:t>
      </w:r>
      <w:r w:rsidR="00CF7EDE">
        <w:rPr>
          <w:lang w:val="en-NZ"/>
        </w:rPr>
        <w:t>’</w:t>
      </w:r>
      <w:r w:rsidRPr="00260412">
        <w:rPr>
          <w:lang w:val="en-NZ"/>
        </w:rPr>
        <w:t xml:space="preserve">s financial statements and claimed as a deduction against </w:t>
      </w:r>
      <w:r>
        <w:rPr>
          <w:lang w:val="en-NZ"/>
        </w:rPr>
        <w:t>New Zealand</w:t>
      </w:r>
      <w:r w:rsidRPr="00260412">
        <w:rPr>
          <w:lang w:val="en-NZ"/>
        </w:rPr>
        <w:t xml:space="preserve"> income of the branch.</w:t>
      </w:r>
    </w:p>
    <w:p w:rsidR="00625ADD" w:rsidRDefault="00625ADD" w:rsidP="00625ADD">
      <w:pPr>
        <w:rPr>
          <w:lang w:val="en-NZ"/>
        </w:rPr>
      </w:pPr>
    </w:p>
    <w:p w:rsidR="002B4ED7" w:rsidRPr="00260412" w:rsidRDefault="002B4ED7" w:rsidP="00625ADD">
      <w:pPr>
        <w:rPr>
          <w:lang w:val="en-NZ"/>
        </w:rPr>
      </w:pPr>
    </w:p>
    <w:p w:rsidR="00625ADD" w:rsidRPr="00260412" w:rsidRDefault="00625ADD" w:rsidP="00625ADD">
      <w:pPr>
        <w:pStyle w:val="Heading2"/>
        <w:rPr>
          <w:lang w:val="en-NZ"/>
        </w:rPr>
      </w:pPr>
      <w:r w:rsidRPr="00260412">
        <w:rPr>
          <w:lang w:val="en-NZ"/>
        </w:rPr>
        <w:t>Application date</w:t>
      </w:r>
    </w:p>
    <w:p w:rsidR="00625ADD" w:rsidRPr="00506FC1" w:rsidRDefault="00625ADD" w:rsidP="00625ADD">
      <w:pPr>
        <w:rPr>
          <w:lang w:val="en-NZ"/>
        </w:rPr>
      </w:pPr>
    </w:p>
    <w:p w:rsidR="00625ADD" w:rsidRPr="00260412" w:rsidRDefault="00625ADD" w:rsidP="00625ADD">
      <w:pPr>
        <w:rPr>
          <w:lang w:val="en-NZ"/>
        </w:rPr>
      </w:pPr>
      <w:r w:rsidRPr="00260412">
        <w:rPr>
          <w:lang w:val="en-NZ"/>
        </w:rPr>
        <w:t>For existing arrangements</w:t>
      </w:r>
      <w:r>
        <w:rPr>
          <w:lang w:val="en-NZ"/>
        </w:rPr>
        <w:t>,</w:t>
      </w:r>
      <w:r w:rsidRPr="00260412">
        <w:rPr>
          <w:lang w:val="en-NZ"/>
        </w:rPr>
        <w:t xml:space="preserve"> the branch amendments apply to interest payments on or after the date shown in the table below.  For all other arrangements</w:t>
      </w:r>
      <w:r>
        <w:rPr>
          <w:lang w:val="en-NZ"/>
        </w:rPr>
        <w:t>,</w:t>
      </w:r>
      <w:r w:rsidRPr="00260412">
        <w:rPr>
          <w:lang w:val="en-NZ"/>
        </w:rPr>
        <w:t xml:space="preserve"> the branch amendments apply to interest payments on or after </w:t>
      </w:r>
      <w:r w:rsidRPr="00C159D4">
        <w:rPr>
          <w:lang w:val="en-NZ"/>
        </w:rPr>
        <w:t xml:space="preserve">the day the bill </w:t>
      </w:r>
      <w:r w:rsidR="00883891" w:rsidRPr="00C159D4">
        <w:rPr>
          <w:lang w:val="en-NZ"/>
        </w:rPr>
        <w:t>was</w:t>
      </w:r>
      <w:r w:rsidRPr="00C159D4">
        <w:rPr>
          <w:lang w:val="en-NZ"/>
        </w:rPr>
        <w:t xml:space="preserve"> enacted</w:t>
      </w:r>
      <w:r w:rsidR="00883891">
        <w:rPr>
          <w:lang w:val="en-NZ"/>
        </w:rPr>
        <w:t xml:space="preserve">, being </w:t>
      </w:r>
      <w:r w:rsidR="00C159D4">
        <w:rPr>
          <w:lang w:val="en-NZ"/>
        </w:rPr>
        <w:t>30 March 2017</w:t>
      </w:r>
      <w:r>
        <w:rPr>
          <w:lang w:val="en-NZ"/>
        </w:rPr>
        <w:t>.</w:t>
      </w:r>
    </w:p>
    <w:p w:rsidR="00625ADD" w:rsidRPr="00506FC1" w:rsidRDefault="00625ADD" w:rsidP="00625ADD">
      <w:pPr>
        <w:rPr>
          <w:lang w:val="en-NZ"/>
        </w:rPr>
      </w:pPr>
    </w:p>
    <w:p w:rsidR="00625ADD" w:rsidRDefault="00625ADD" w:rsidP="00625ADD">
      <w:r>
        <w:br w:type="page"/>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1571"/>
        <w:gridCol w:w="1701"/>
        <w:gridCol w:w="1560"/>
        <w:gridCol w:w="1701"/>
        <w:gridCol w:w="1673"/>
      </w:tblGrid>
      <w:tr w:rsidR="00410217" w:rsidRPr="00410217" w:rsidTr="008641E0">
        <w:trPr>
          <w:tblHeader/>
          <w:jc w:val="center"/>
        </w:trPr>
        <w:tc>
          <w:tcPr>
            <w:tcW w:w="1571" w:type="dxa"/>
            <w:shd w:val="clear" w:color="auto" w:fill="D9D9D9" w:themeFill="background1" w:themeFillShade="D9"/>
            <w:vAlign w:val="center"/>
          </w:tcPr>
          <w:p w:rsidR="00410217" w:rsidRPr="00410217" w:rsidRDefault="00410217" w:rsidP="002B4ED7">
            <w:pPr>
              <w:jc w:val="center"/>
              <w:rPr>
                <w:rFonts w:ascii="Times New Roman" w:hAnsi="Times New Roman" w:cs="Times New Roman"/>
                <w:sz w:val="20"/>
                <w:lang w:val="en-NZ"/>
              </w:rPr>
            </w:pPr>
            <w:r w:rsidRPr="00410217">
              <w:rPr>
                <w:rFonts w:ascii="Times New Roman" w:hAnsi="Times New Roman" w:cs="Times New Roman"/>
                <w:b/>
                <w:bCs/>
                <w:sz w:val="20"/>
                <w:lang w:val="en-NZ"/>
              </w:rPr>
              <w:t>Scenario</w:t>
            </w:r>
          </w:p>
        </w:tc>
        <w:tc>
          <w:tcPr>
            <w:tcW w:w="1701" w:type="dxa"/>
            <w:shd w:val="clear" w:color="auto" w:fill="D9D9D9" w:themeFill="background1" w:themeFillShade="D9"/>
            <w:vAlign w:val="center"/>
          </w:tcPr>
          <w:p w:rsidR="00410217" w:rsidRPr="00410217" w:rsidRDefault="00410217" w:rsidP="002B4ED7">
            <w:pPr>
              <w:jc w:val="center"/>
              <w:rPr>
                <w:rFonts w:ascii="Times New Roman" w:hAnsi="Times New Roman" w:cs="Times New Roman"/>
                <w:sz w:val="20"/>
                <w:lang w:val="en-NZ"/>
              </w:rPr>
            </w:pPr>
            <w:r w:rsidRPr="00410217">
              <w:rPr>
                <w:rFonts w:ascii="Times New Roman" w:hAnsi="Times New Roman" w:cs="Times New Roman"/>
                <w:b/>
                <w:bCs/>
                <w:sz w:val="20"/>
                <w:lang w:val="en-NZ"/>
              </w:rPr>
              <w:t>Borrower</w:t>
            </w:r>
          </w:p>
        </w:tc>
        <w:tc>
          <w:tcPr>
            <w:tcW w:w="1560" w:type="dxa"/>
            <w:shd w:val="clear" w:color="auto" w:fill="D9D9D9" w:themeFill="background1" w:themeFillShade="D9"/>
            <w:vAlign w:val="center"/>
          </w:tcPr>
          <w:p w:rsidR="00410217" w:rsidRPr="00410217" w:rsidRDefault="00410217" w:rsidP="002B4ED7">
            <w:pPr>
              <w:jc w:val="center"/>
              <w:rPr>
                <w:rFonts w:ascii="Times New Roman" w:hAnsi="Times New Roman" w:cs="Times New Roman"/>
                <w:sz w:val="20"/>
                <w:lang w:val="en-NZ"/>
              </w:rPr>
            </w:pPr>
            <w:r w:rsidRPr="00410217">
              <w:rPr>
                <w:rFonts w:ascii="Times New Roman" w:hAnsi="Times New Roman" w:cs="Times New Roman"/>
                <w:b/>
                <w:bCs/>
                <w:sz w:val="20"/>
                <w:lang w:val="en-NZ"/>
              </w:rPr>
              <w:t>Lender</w:t>
            </w:r>
          </w:p>
        </w:tc>
        <w:tc>
          <w:tcPr>
            <w:tcW w:w="1701" w:type="dxa"/>
            <w:shd w:val="clear" w:color="auto" w:fill="D9D9D9" w:themeFill="background1" w:themeFillShade="D9"/>
            <w:vAlign w:val="center"/>
          </w:tcPr>
          <w:p w:rsidR="00410217" w:rsidRPr="00410217" w:rsidRDefault="00410217" w:rsidP="002B4ED7">
            <w:pPr>
              <w:jc w:val="center"/>
              <w:rPr>
                <w:rFonts w:ascii="Times New Roman" w:hAnsi="Times New Roman" w:cs="Times New Roman"/>
                <w:sz w:val="20"/>
                <w:lang w:val="en-NZ"/>
              </w:rPr>
            </w:pPr>
            <w:r w:rsidRPr="00410217">
              <w:rPr>
                <w:rFonts w:ascii="Times New Roman" w:hAnsi="Times New Roman" w:cs="Times New Roman"/>
                <w:b/>
                <w:bCs/>
                <w:sz w:val="20"/>
                <w:lang w:val="en-NZ"/>
              </w:rPr>
              <w:t>Application date</w:t>
            </w:r>
            <w:r w:rsidR="009124E2">
              <w:rPr>
                <w:rFonts w:ascii="Times New Roman" w:hAnsi="Times New Roman" w:cs="Times New Roman"/>
                <w:b/>
                <w:bCs/>
                <w:sz w:val="20"/>
                <w:lang w:val="en-NZ"/>
              </w:rPr>
              <w:t xml:space="preserve"> for existing arrangements</w:t>
            </w:r>
          </w:p>
        </w:tc>
        <w:tc>
          <w:tcPr>
            <w:tcW w:w="1673" w:type="dxa"/>
            <w:shd w:val="clear" w:color="auto" w:fill="D9D9D9" w:themeFill="background1" w:themeFillShade="D9"/>
            <w:vAlign w:val="center"/>
          </w:tcPr>
          <w:p w:rsidR="00410217" w:rsidRPr="00410217" w:rsidRDefault="00410217" w:rsidP="002B4ED7">
            <w:pPr>
              <w:jc w:val="center"/>
              <w:rPr>
                <w:rFonts w:ascii="Times New Roman" w:hAnsi="Times New Roman" w:cs="Times New Roman"/>
                <w:b/>
                <w:bCs/>
                <w:sz w:val="20"/>
                <w:lang w:val="en-NZ"/>
              </w:rPr>
            </w:pPr>
            <w:r w:rsidRPr="00410217">
              <w:rPr>
                <w:rFonts w:ascii="Times New Roman" w:hAnsi="Times New Roman" w:cs="Times New Roman"/>
                <w:b/>
                <w:bCs/>
                <w:sz w:val="20"/>
                <w:lang w:val="en-NZ"/>
              </w:rPr>
              <w:t>Intended regime</w:t>
            </w:r>
          </w:p>
        </w:tc>
      </w:tr>
      <w:tr w:rsidR="00410217" w:rsidRPr="00410217" w:rsidTr="002B4ED7">
        <w:trPr>
          <w:jc w:val="center"/>
        </w:trPr>
        <w:tc>
          <w:tcPr>
            <w:tcW w:w="8206" w:type="dxa"/>
            <w:gridSpan w:val="5"/>
          </w:tcPr>
          <w:p w:rsidR="00410217" w:rsidRPr="00410217" w:rsidRDefault="00410217" w:rsidP="00410217">
            <w:pPr>
              <w:jc w:val="center"/>
              <w:rPr>
                <w:rFonts w:ascii="Times New Roman" w:hAnsi="Times New Roman" w:cs="Times New Roman"/>
                <w:b/>
                <w:bCs/>
                <w:sz w:val="20"/>
                <w:lang w:val="en-NZ"/>
              </w:rPr>
            </w:pPr>
            <w:r w:rsidRPr="00410217">
              <w:rPr>
                <w:rFonts w:ascii="Times New Roman" w:hAnsi="Times New Roman" w:cs="Times New Roman"/>
                <w:b/>
                <w:sz w:val="20"/>
                <w:lang w:val="en-NZ"/>
              </w:rPr>
              <w:t>Onshore branches</w:t>
            </w:r>
          </w:p>
        </w:tc>
      </w:tr>
      <w:tr w:rsidR="00410217" w:rsidRPr="00410217" w:rsidTr="002B4ED7">
        <w:trPr>
          <w:jc w:val="center"/>
        </w:trPr>
        <w:tc>
          <w:tcPr>
            <w:tcW w:w="1571"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Related party</w:t>
            </w:r>
          </w:p>
        </w:tc>
        <w:tc>
          <w:tcPr>
            <w:tcW w:w="1701"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NZ Corporate</w:t>
            </w:r>
          </w:p>
        </w:tc>
        <w:tc>
          <w:tcPr>
            <w:tcW w:w="1560"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Foreign associate with NZ Branch</w:t>
            </w:r>
          </w:p>
        </w:tc>
        <w:tc>
          <w:tcPr>
            <w:tcW w:w="1701" w:type="dxa"/>
          </w:tcPr>
          <w:p w:rsidR="00410217" w:rsidRPr="00410217" w:rsidRDefault="00410217" w:rsidP="00410217">
            <w:pPr>
              <w:jc w:val="left"/>
              <w:rPr>
                <w:rFonts w:ascii="Times New Roman" w:hAnsi="Times New Roman" w:cs="Times New Roman"/>
                <w:sz w:val="20"/>
                <w:lang w:val="en-NZ"/>
              </w:rPr>
            </w:pPr>
            <w:r w:rsidRPr="00C159D4">
              <w:rPr>
                <w:rFonts w:ascii="Times New Roman" w:hAnsi="Times New Roman" w:cs="Times New Roman"/>
                <w:sz w:val="20"/>
                <w:lang w:val="en-NZ"/>
              </w:rPr>
              <w:t>Royal assent</w:t>
            </w:r>
          </w:p>
        </w:tc>
        <w:tc>
          <w:tcPr>
            <w:tcW w:w="1673"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NRWT</w:t>
            </w:r>
          </w:p>
        </w:tc>
      </w:tr>
      <w:tr w:rsidR="00410217" w:rsidRPr="00410217" w:rsidTr="002B4ED7">
        <w:trPr>
          <w:jc w:val="center"/>
        </w:trPr>
        <w:tc>
          <w:tcPr>
            <w:tcW w:w="1571"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Intra-bank Group</w:t>
            </w:r>
          </w:p>
        </w:tc>
        <w:tc>
          <w:tcPr>
            <w:tcW w:w="1701"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NZ Bank Sub</w:t>
            </w:r>
          </w:p>
        </w:tc>
        <w:tc>
          <w:tcPr>
            <w:tcW w:w="1560"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Foreign parent with NZ Branch</w:t>
            </w:r>
          </w:p>
        </w:tc>
        <w:tc>
          <w:tcPr>
            <w:tcW w:w="1701" w:type="dxa"/>
          </w:tcPr>
          <w:p w:rsidR="00410217" w:rsidRPr="00410217" w:rsidRDefault="009124E2" w:rsidP="00E44BA7">
            <w:pPr>
              <w:jc w:val="left"/>
              <w:rPr>
                <w:rFonts w:ascii="Times New Roman" w:hAnsi="Times New Roman" w:cs="Times New Roman"/>
                <w:sz w:val="20"/>
                <w:lang w:val="en-NZ"/>
              </w:rPr>
            </w:pPr>
            <w:r>
              <w:rPr>
                <w:rFonts w:ascii="Times New Roman" w:hAnsi="Times New Roman" w:cs="Times New Roman"/>
                <w:sz w:val="20"/>
                <w:lang w:val="en-NZ"/>
              </w:rPr>
              <w:t xml:space="preserve">Income years </w:t>
            </w:r>
            <w:r w:rsidR="00E44BA7">
              <w:rPr>
                <w:rFonts w:ascii="Times New Roman" w:hAnsi="Times New Roman" w:cs="Times New Roman"/>
                <w:sz w:val="20"/>
                <w:lang w:val="en-NZ"/>
              </w:rPr>
              <w:t>five</w:t>
            </w:r>
            <w:r w:rsidR="00410217" w:rsidRPr="00410217">
              <w:rPr>
                <w:rFonts w:ascii="Times New Roman" w:hAnsi="Times New Roman" w:cs="Times New Roman"/>
                <w:sz w:val="20"/>
                <w:lang w:val="en-NZ"/>
              </w:rPr>
              <w:t xml:space="preserve"> years</w:t>
            </w:r>
            <w:r>
              <w:rPr>
                <w:rFonts w:ascii="Times New Roman" w:hAnsi="Times New Roman" w:cs="Times New Roman"/>
                <w:sz w:val="20"/>
                <w:lang w:val="en-NZ"/>
              </w:rPr>
              <w:t xml:space="preserve"> after Royal </w:t>
            </w:r>
            <w:r w:rsidR="00E44BA7">
              <w:rPr>
                <w:rFonts w:ascii="Times New Roman" w:hAnsi="Times New Roman" w:cs="Times New Roman"/>
                <w:sz w:val="20"/>
                <w:lang w:val="en-NZ"/>
              </w:rPr>
              <w:t>a</w:t>
            </w:r>
            <w:r>
              <w:rPr>
                <w:rFonts w:ascii="Times New Roman" w:hAnsi="Times New Roman" w:cs="Times New Roman"/>
                <w:sz w:val="20"/>
                <w:lang w:val="en-NZ"/>
              </w:rPr>
              <w:t>ssent</w:t>
            </w:r>
          </w:p>
        </w:tc>
        <w:tc>
          <w:tcPr>
            <w:tcW w:w="1673"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NRWT or AIL</w:t>
            </w:r>
          </w:p>
        </w:tc>
      </w:tr>
      <w:tr w:rsidR="00410217" w:rsidRPr="00410217" w:rsidTr="002B4ED7">
        <w:trPr>
          <w:jc w:val="center"/>
        </w:trPr>
        <w:tc>
          <w:tcPr>
            <w:tcW w:w="1571"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Intra-bank Entity</w:t>
            </w:r>
          </w:p>
        </w:tc>
        <w:tc>
          <w:tcPr>
            <w:tcW w:w="1701"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NZ Bank Branch</w:t>
            </w:r>
          </w:p>
        </w:tc>
        <w:tc>
          <w:tcPr>
            <w:tcW w:w="1560"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Foreign head office</w:t>
            </w:r>
          </w:p>
        </w:tc>
        <w:tc>
          <w:tcPr>
            <w:tcW w:w="1701" w:type="dxa"/>
          </w:tcPr>
          <w:p w:rsidR="00410217" w:rsidRPr="00410217" w:rsidRDefault="009124E2" w:rsidP="00E44BA7">
            <w:pPr>
              <w:jc w:val="left"/>
              <w:rPr>
                <w:rFonts w:ascii="Times New Roman" w:hAnsi="Times New Roman" w:cs="Times New Roman"/>
                <w:sz w:val="20"/>
                <w:lang w:val="en-NZ"/>
              </w:rPr>
            </w:pPr>
            <w:r>
              <w:rPr>
                <w:rFonts w:ascii="Times New Roman" w:hAnsi="Times New Roman" w:cs="Times New Roman"/>
                <w:sz w:val="20"/>
                <w:lang w:val="en-NZ"/>
              </w:rPr>
              <w:t xml:space="preserve">Income years </w:t>
            </w:r>
            <w:r w:rsidR="00E44BA7">
              <w:rPr>
                <w:rFonts w:ascii="Times New Roman" w:hAnsi="Times New Roman" w:cs="Times New Roman"/>
                <w:sz w:val="20"/>
                <w:lang w:val="en-NZ"/>
              </w:rPr>
              <w:t>two</w:t>
            </w:r>
            <w:r w:rsidR="00410217" w:rsidRPr="00410217">
              <w:rPr>
                <w:rFonts w:ascii="Times New Roman" w:hAnsi="Times New Roman" w:cs="Times New Roman"/>
                <w:sz w:val="20"/>
                <w:lang w:val="en-NZ"/>
              </w:rPr>
              <w:t xml:space="preserve"> years</w:t>
            </w:r>
            <w:r>
              <w:rPr>
                <w:rFonts w:ascii="Times New Roman" w:hAnsi="Times New Roman" w:cs="Times New Roman"/>
                <w:sz w:val="20"/>
                <w:lang w:val="en-NZ"/>
              </w:rPr>
              <w:t xml:space="preserve"> after Royal </w:t>
            </w:r>
            <w:r w:rsidR="00E44BA7">
              <w:rPr>
                <w:rFonts w:ascii="Times New Roman" w:hAnsi="Times New Roman" w:cs="Times New Roman"/>
                <w:sz w:val="20"/>
                <w:lang w:val="en-NZ"/>
              </w:rPr>
              <w:t>a</w:t>
            </w:r>
            <w:r>
              <w:rPr>
                <w:rFonts w:ascii="Times New Roman" w:hAnsi="Times New Roman" w:cs="Times New Roman"/>
                <w:sz w:val="20"/>
                <w:lang w:val="en-NZ"/>
              </w:rPr>
              <w:t>ssent</w:t>
            </w:r>
          </w:p>
        </w:tc>
        <w:tc>
          <w:tcPr>
            <w:tcW w:w="1673"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NRWT or AIL</w:t>
            </w:r>
          </w:p>
        </w:tc>
      </w:tr>
      <w:tr w:rsidR="00410217" w:rsidRPr="00410217" w:rsidTr="002B4ED7">
        <w:trPr>
          <w:jc w:val="center"/>
        </w:trPr>
        <w:tc>
          <w:tcPr>
            <w:tcW w:w="1571"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Corporate</w:t>
            </w:r>
          </w:p>
        </w:tc>
        <w:tc>
          <w:tcPr>
            <w:tcW w:w="1701"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NZ Corporate including NZ Bank</w:t>
            </w:r>
          </w:p>
        </w:tc>
        <w:tc>
          <w:tcPr>
            <w:tcW w:w="1560"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Third Party with NZ Branch</w:t>
            </w:r>
          </w:p>
        </w:tc>
        <w:tc>
          <w:tcPr>
            <w:tcW w:w="1701" w:type="dxa"/>
          </w:tcPr>
          <w:p w:rsidR="00410217" w:rsidRPr="00410217" w:rsidRDefault="009124E2" w:rsidP="00A734E6">
            <w:pPr>
              <w:jc w:val="left"/>
              <w:rPr>
                <w:rFonts w:ascii="Times New Roman" w:hAnsi="Times New Roman" w:cs="Times New Roman"/>
                <w:sz w:val="20"/>
                <w:lang w:val="en-NZ"/>
              </w:rPr>
            </w:pPr>
            <w:r>
              <w:rPr>
                <w:rFonts w:ascii="Times New Roman" w:hAnsi="Times New Roman" w:cs="Times New Roman"/>
                <w:sz w:val="20"/>
                <w:lang w:val="en-NZ"/>
              </w:rPr>
              <w:t xml:space="preserve">Income years </w:t>
            </w:r>
            <w:r w:rsidR="00A734E6">
              <w:rPr>
                <w:rFonts w:ascii="Times New Roman" w:hAnsi="Times New Roman" w:cs="Times New Roman"/>
                <w:sz w:val="20"/>
                <w:lang w:val="en-NZ"/>
              </w:rPr>
              <w:t>five</w:t>
            </w:r>
            <w:r w:rsidR="00410217" w:rsidRPr="00410217">
              <w:rPr>
                <w:rFonts w:ascii="Times New Roman" w:hAnsi="Times New Roman" w:cs="Times New Roman"/>
                <w:sz w:val="20"/>
                <w:lang w:val="en-NZ"/>
              </w:rPr>
              <w:t xml:space="preserve"> years</w:t>
            </w:r>
            <w:r>
              <w:rPr>
                <w:rFonts w:ascii="Times New Roman" w:hAnsi="Times New Roman" w:cs="Times New Roman"/>
                <w:sz w:val="20"/>
                <w:lang w:val="en-NZ"/>
              </w:rPr>
              <w:t xml:space="preserve"> after Royal </w:t>
            </w:r>
            <w:r w:rsidR="00A734E6">
              <w:rPr>
                <w:rFonts w:ascii="Times New Roman" w:hAnsi="Times New Roman" w:cs="Times New Roman"/>
                <w:sz w:val="20"/>
                <w:lang w:val="en-NZ"/>
              </w:rPr>
              <w:t>a</w:t>
            </w:r>
            <w:r>
              <w:rPr>
                <w:rFonts w:ascii="Times New Roman" w:hAnsi="Times New Roman" w:cs="Times New Roman"/>
                <w:sz w:val="20"/>
                <w:lang w:val="en-NZ"/>
              </w:rPr>
              <w:t>ssent</w:t>
            </w:r>
          </w:p>
        </w:tc>
        <w:tc>
          <w:tcPr>
            <w:tcW w:w="1673"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NRWT or AIL</w:t>
            </w:r>
          </w:p>
        </w:tc>
      </w:tr>
      <w:tr w:rsidR="00410217" w:rsidRPr="00410217" w:rsidTr="002B4ED7">
        <w:trPr>
          <w:jc w:val="center"/>
        </w:trPr>
        <w:tc>
          <w:tcPr>
            <w:tcW w:w="1571"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Third party bank</w:t>
            </w:r>
          </w:p>
        </w:tc>
        <w:tc>
          <w:tcPr>
            <w:tcW w:w="1701"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NZ borrower</w:t>
            </w:r>
          </w:p>
        </w:tc>
        <w:tc>
          <w:tcPr>
            <w:tcW w:w="1560"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Foreign bank with NZ Branch</w:t>
            </w:r>
          </w:p>
        </w:tc>
        <w:tc>
          <w:tcPr>
            <w:tcW w:w="1701"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No change</w:t>
            </w:r>
          </w:p>
        </w:tc>
        <w:tc>
          <w:tcPr>
            <w:tcW w:w="1673"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Net income tax </w:t>
            </w:r>
          </w:p>
        </w:tc>
      </w:tr>
      <w:tr w:rsidR="00410217" w:rsidRPr="00410217" w:rsidTr="002B4ED7">
        <w:trPr>
          <w:jc w:val="center"/>
        </w:trPr>
        <w:tc>
          <w:tcPr>
            <w:tcW w:w="8206" w:type="dxa"/>
            <w:gridSpan w:val="5"/>
          </w:tcPr>
          <w:p w:rsidR="00410217" w:rsidRPr="00410217" w:rsidRDefault="00410217" w:rsidP="00410217">
            <w:pPr>
              <w:jc w:val="center"/>
              <w:rPr>
                <w:rFonts w:ascii="Times New Roman" w:hAnsi="Times New Roman" w:cs="Times New Roman"/>
                <w:lang w:val="en-NZ"/>
              </w:rPr>
            </w:pPr>
            <w:r w:rsidRPr="00410217">
              <w:rPr>
                <w:rFonts w:ascii="Times New Roman" w:hAnsi="Times New Roman" w:cs="Times New Roman"/>
                <w:b/>
                <w:sz w:val="20"/>
                <w:lang w:val="en-NZ"/>
              </w:rPr>
              <w:t>Offshore branches</w:t>
            </w:r>
          </w:p>
        </w:tc>
      </w:tr>
      <w:tr w:rsidR="00410217" w:rsidRPr="00410217" w:rsidTr="002B4ED7">
        <w:trPr>
          <w:jc w:val="center"/>
        </w:trPr>
        <w:tc>
          <w:tcPr>
            <w:tcW w:w="1571"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Wholesale funding</w:t>
            </w:r>
          </w:p>
        </w:tc>
        <w:tc>
          <w:tcPr>
            <w:tcW w:w="1701"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NZ Bank Sub branch</w:t>
            </w:r>
          </w:p>
        </w:tc>
        <w:tc>
          <w:tcPr>
            <w:tcW w:w="1560"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Third parties or Foreign parent</w:t>
            </w:r>
          </w:p>
        </w:tc>
        <w:tc>
          <w:tcPr>
            <w:tcW w:w="1701" w:type="dxa"/>
          </w:tcPr>
          <w:p w:rsidR="00410217" w:rsidRPr="00410217" w:rsidRDefault="009124E2" w:rsidP="007551C4">
            <w:pPr>
              <w:rPr>
                <w:rFonts w:ascii="Times New Roman" w:hAnsi="Times New Roman" w:cs="Times New Roman"/>
                <w:sz w:val="20"/>
                <w:lang w:val="en-NZ"/>
              </w:rPr>
            </w:pPr>
            <w:r>
              <w:rPr>
                <w:rFonts w:ascii="Times New Roman" w:hAnsi="Times New Roman" w:cs="Times New Roman"/>
                <w:sz w:val="20"/>
                <w:lang w:val="en-NZ"/>
              </w:rPr>
              <w:t xml:space="preserve">Income years </w:t>
            </w:r>
            <w:r w:rsidR="007551C4">
              <w:rPr>
                <w:rFonts w:ascii="Times New Roman" w:hAnsi="Times New Roman" w:cs="Times New Roman"/>
                <w:sz w:val="20"/>
                <w:lang w:val="en-NZ"/>
              </w:rPr>
              <w:t>five</w:t>
            </w:r>
            <w:r w:rsidR="00410217" w:rsidRPr="00410217">
              <w:rPr>
                <w:rFonts w:ascii="Times New Roman" w:hAnsi="Times New Roman" w:cs="Times New Roman"/>
                <w:sz w:val="20"/>
                <w:lang w:val="en-NZ"/>
              </w:rPr>
              <w:t xml:space="preserve"> years</w:t>
            </w:r>
            <w:r>
              <w:rPr>
                <w:rFonts w:ascii="Times New Roman" w:hAnsi="Times New Roman" w:cs="Times New Roman"/>
                <w:sz w:val="20"/>
                <w:lang w:val="en-NZ"/>
              </w:rPr>
              <w:t xml:space="preserve"> after Royal </w:t>
            </w:r>
            <w:r w:rsidR="007551C4">
              <w:rPr>
                <w:rFonts w:ascii="Times New Roman" w:hAnsi="Times New Roman" w:cs="Times New Roman"/>
                <w:sz w:val="20"/>
                <w:lang w:val="en-NZ"/>
              </w:rPr>
              <w:t>a</w:t>
            </w:r>
            <w:r>
              <w:rPr>
                <w:rFonts w:ascii="Times New Roman" w:hAnsi="Times New Roman" w:cs="Times New Roman"/>
                <w:sz w:val="20"/>
                <w:lang w:val="en-NZ"/>
              </w:rPr>
              <w:t>ssent</w:t>
            </w:r>
          </w:p>
        </w:tc>
        <w:tc>
          <w:tcPr>
            <w:tcW w:w="1673" w:type="dxa"/>
          </w:tcPr>
          <w:p w:rsidR="00410217" w:rsidRPr="00410217" w:rsidRDefault="00410217" w:rsidP="00410217">
            <w:pPr>
              <w:jc w:val="left"/>
              <w:rPr>
                <w:rFonts w:ascii="Times New Roman" w:hAnsi="Times New Roman" w:cs="Times New Roman"/>
                <w:sz w:val="20"/>
                <w:lang w:val="en-NZ"/>
              </w:rPr>
            </w:pPr>
            <w:r w:rsidRPr="00410217">
              <w:rPr>
                <w:rFonts w:ascii="Times New Roman" w:hAnsi="Times New Roman" w:cs="Times New Roman"/>
                <w:sz w:val="20"/>
                <w:lang w:val="en-NZ"/>
              </w:rPr>
              <w:t>NRWT or AIL</w:t>
            </w:r>
          </w:p>
        </w:tc>
      </w:tr>
    </w:tbl>
    <w:p w:rsidR="00410217" w:rsidRDefault="00410217" w:rsidP="00625ADD">
      <w:pPr>
        <w:rPr>
          <w:lang w:val="en-NZ"/>
        </w:rPr>
      </w:pPr>
    </w:p>
    <w:p w:rsidR="002B4ED7" w:rsidRDefault="002B4ED7" w:rsidP="00625ADD">
      <w:pPr>
        <w:rPr>
          <w:lang w:val="en-NZ"/>
        </w:rPr>
      </w:pPr>
    </w:p>
    <w:p w:rsidR="00625ADD" w:rsidRPr="00260412" w:rsidRDefault="00625ADD" w:rsidP="00625ADD">
      <w:pPr>
        <w:rPr>
          <w:lang w:val="en-NZ"/>
        </w:rPr>
      </w:pPr>
      <w:r w:rsidRPr="00260412">
        <w:rPr>
          <w:lang w:val="en-NZ"/>
        </w:rPr>
        <w:t>The ability for a member of a banking group to pay AIL on an interest payment to an associated party appl</w:t>
      </w:r>
      <w:r w:rsidR="004F0588">
        <w:rPr>
          <w:lang w:val="en-NZ"/>
        </w:rPr>
        <w:t>ies</w:t>
      </w:r>
      <w:r w:rsidRPr="00260412">
        <w:rPr>
          <w:lang w:val="en-NZ"/>
        </w:rPr>
        <w:t xml:space="preserve"> from </w:t>
      </w:r>
      <w:r w:rsidRPr="00C159D4">
        <w:rPr>
          <w:lang w:val="en-NZ"/>
        </w:rPr>
        <w:t>the date of enactment</w:t>
      </w:r>
      <w:r w:rsidR="00FC1F9D">
        <w:rPr>
          <w:lang w:val="en-NZ"/>
        </w:rPr>
        <w:t xml:space="preserve">, being </w:t>
      </w:r>
      <w:r w:rsidR="00C159D4">
        <w:rPr>
          <w:lang w:val="en-NZ"/>
        </w:rPr>
        <w:t>30 March 2017</w:t>
      </w:r>
      <w:r w:rsidRPr="00260412">
        <w:rPr>
          <w:lang w:val="en-NZ"/>
        </w:rPr>
        <w:t>.</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Further detail is provided on application dates under </w:t>
      </w:r>
      <w:r w:rsidRPr="000A53A2">
        <w:rPr>
          <w:i/>
          <w:lang w:val="en-NZ"/>
        </w:rPr>
        <w:t>Key features</w:t>
      </w:r>
      <w:r w:rsidRPr="00260412">
        <w:rPr>
          <w:lang w:val="en-NZ"/>
        </w:rPr>
        <w:t xml:space="preserve"> below.</w:t>
      </w:r>
    </w:p>
    <w:p w:rsidR="00625ADD" w:rsidRDefault="00625ADD" w:rsidP="00625ADD">
      <w:pPr>
        <w:rPr>
          <w:lang w:val="en-NZ"/>
        </w:rPr>
      </w:pPr>
    </w:p>
    <w:p w:rsidR="00625ADD" w:rsidRPr="00260412" w:rsidRDefault="00625ADD" w:rsidP="00625ADD">
      <w:pPr>
        <w:rPr>
          <w:lang w:val="en-NZ"/>
        </w:rPr>
      </w:pPr>
    </w:p>
    <w:p w:rsidR="00625ADD" w:rsidRPr="00260412" w:rsidRDefault="00625ADD" w:rsidP="00625ADD">
      <w:pPr>
        <w:pStyle w:val="Heading2"/>
        <w:rPr>
          <w:lang w:val="en-NZ"/>
        </w:rPr>
      </w:pPr>
      <w:r w:rsidRPr="00260412">
        <w:rPr>
          <w:lang w:val="en-NZ"/>
        </w:rPr>
        <w:t>Key features</w:t>
      </w:r>
    </w:p>
    <w:p w:rsidR="00625ADD" w:rsidRPr="00260412" w:rsidRDefault="00625ADD" w:rsidP="00625ADD">
      <w:pPr>
        <w:rPr>
          <w:lang w:val="en-NZ"/>
        </w:rPr>
      </w:pPr>
    </w:p>
    <w:p w:rsidR="00625ADD" w:rsidRPr="00260412" w:rsidRDefault="00625ADD" w:rsidP="00625ADD">
      <w:pPr>
        <w:pStyle w:val="Heading3"/>
        <w:rPr>
          <w:lang w:val="en-NZ"/>
        </w:rPr>
      </w:pPr>
      <w:r w:rsidRPr="00260412">
        <w:rPr>
          <w:lang w:val="en-NZ"/>
        </w:rPr>
        <w:t>Offshore branch exemption</w:t>
      </w:r>
    </w:p>
    <w:p w:rsidR="00625ADD" w:rsidRPr="00260412" w:rsidRDefault="00625ADD" w:rsidP="00625ADD">
      <w:pPr>
        <w:rPr>
          <w:lang w:val="en-NZ"/>
        </w:rPr>
      </w:pPr>
    </w:p>
    <w:p w:rsidR="00625ADD" w:rsidRDefault="00625ADD" w:rsidP="00625ADD">
      <w:pPr>
        <w:rPr>
          <w:lang w:val="en-NZ"/>
        </w:rPr>
      </w:pPr>
      <w:r w:rsidRPr="00260412">
        <w:rPr>
          <w:lang w:val="en-NZ"/>
        </w:rPr>
        <w:t xml:space="preserve">NRPI includes only income that has a </w:t>
      </w:r>
      <w:r>
        <w:rPr>
          <w:lang w:val="en-NZ"/>
        </w:rPr>
        <w:t>New Zealand</w:t>
      </w:r>
      <w:r w:rsidRPr="00260412">
        <w:rPr>
          <w:lang w:val="en-NZ"/>
        </w:rPr>
        <w:t xml:space="preserve"> source.  One of the exclusions from having a </w:t>
      </w:r>
      <w:r>
        <w:rPr>
          <w:lang w:val="en-NZ"/>
        </w:rPr>
        <w:t>New Zealand</w:t>
      </w:r>
      <w:r w:rsidRPr="00260412">
        <w:rPr>
          <w:lang w:val="en-NZ"/>
        </w:rPr>
        <w:t xml:space="preserve"> source is the offshore branch exemption.</w:t>
      </w:r>
    </w:p>
    <w:p w:rsidR="00B13393" w:rsidRPr="00260412" w:rsidRDefault="00B13393" w:rsidP="00625ADD">
      <w:pPr>
        <w:rPr>
          <w:lang w:val="en-NZ"/>
        </w:rPr>
      </w:pPr>
    </w:p>
    <w:p w:rsidR="00625ADD" w:rsidRPr="00260412" w:rsidRDefault="00625ADD" w:rsidP="00625ADD">
      <w:pPr>
        <w:rPr>
          <w:lang w:val="en-NZ"/>
        </w:rPr>
      </w:pPr>
      <w:r w:rsidRPr="00260412">
        <w:rPr>
          <w:lang w:val="en-NZ"/>
        </w:rPr>
        <w:t>This exemption is intended to apply to a New Zealand resident operating an active business through a branch in another country.  If that offshore branch borrows money to fund its offshore operations</w:t>
      </w:r>
      <w:r>
        <w:rPr>
          <w:lang w:val="en-NZ"/>
        </w:rPr>
        <w:t>,</w:t>
      </w:r>
      <w:r w:rsidRPr="00260412">
        <w:rPr>
          <w:lang w:val="en-NZ"/>
        </w:rPr>
        <w:t xml:space="preserve"> the interest on this funding should not be subject to NRWT.  This treatment ensures that the offshore branch of a </w:t>
      </w:r>
      <w:r>
        <w:rPr>
          <w:lang w:val="en-NZ"/>
        </w:rPr>
        <w:t>New Zealand</w:t>
      </w:r>
      <w:r w:rsidRPr="00260412">
        <w:rPr>
          <w:lang w:val="en-NZ"/>
        </w:rPr>
        <w:t xml:space="preserve"> company does not have to pay NRWT when a foreign incorporated subsidiary borrowing for an equivalent business would not have to.</w:t>
      </w:r>
    </w:p>
    <w:p w:rsidR="00625ADD" w:rsidRPr="00260412" w:rsidRDefault="00625ADD" w:rsidP="00625ADD">
      <w:pPr>
        <w:rPr>
          <w:lang w:val="en-NZ"/>
        </w:rPr>
      </w:pPr>
    </w:p>
    <w:p w:rsidR="00625ADD" w:rsidRDefault="00625ADD" w:rsidP="00625ADD">
      <w:pPr>
        <w:rPr>
          <w:lang w:val="en-NZ"/>
        </w:rPr>
      </w:pPr>
      <w:r w:rsidRPr="00260412">
        <w:rPr>
          <w:lang w:val="en-NZ"/>
        </w:rPr>
        <w:t xml:space="preserve">However, this exemption </w:t>
      </w:r>
      <w:r w:rsidR="00B13393">
        <w:rPr>
          <w:lang w:val="en-NZ"/>
        </w:rPr>
        <w:t>previously applied</w:t>
      </w:r>
      <w:r w:rsidRPr="00260412">
        <w:rPr>
          <w:lang w:val="en-NZ"/>
        </w:rPr>
        <w:t xml:space="preserve"> </w:t>
      </w:r>
      <w:r>
        <w:rPr>
          <w:lang w:val="en-NZ"/>
        </w:rPr>
        <w:t>when</w:t>
      </w:r>
      <w:r w:rsidRPr="00260412">
        <w:rPr>
          <w:lang w:val="en-NZ"/>
        </w:rPr>
        <w:t xml:space="preserve"> a </w:t>
      </w:r>
      <w:r>
        <w:rPr>
          <w:lang w:val="en-NZ"/>
        </w:rPr>
        <w:t>New Zealand</w:t>
      </w:r>
      <w:r w:rsidR="00B13393">
        <w:rPr>
          <w:lang w:val="en-NZ"/>
        </w:rPr>
        <w:t xml:space="preserve"> company set</w:t>
      </w:r>
      <w:r w:rsidRPr="00260412">
        <w:rPr>
          <w:lang w:val="en-NZ"/>
        </w:rPr>
        <w:t xml:space="preserve"> up an offshore branch </w:t>
      </w:r>
      <w:r>
        <w:rPr>
          <w:lang w:val="en-NZ"/>
        </w:rPr>
        <w:t>that</w:t>
      </w:r>
      <w:r w:rsidRPr="00260412">
        <w:rPr>
          <w:lang w:val="en-NZ"/>
        </w:rPr>
        <w:t xml:space="preserve"> borrow</w:t>
      </w:r>
      <w:r w:rsidR="00B13393">
        <w:rPr>
          <w:lang w:val="en-NZ"/>
        </w:rPr>
        <w:t>ed</w:t>
      </w:r>
      <w:r w:rsidRPr="00260412">
        <w:rPr>
          <w:lang w:val="en-NZ"/>
        </w:rPr>
        <w:t xml:space="preserve"> money for the purpose of providing funding to </w:t>
      </w:r>
      <w:r>
        <w:rPr>
          <w:lang w:val="en-NZ"/>
        </w:rPr>
        <w:t>New Zealand</w:t>
      </w:r>
      <w:r w:rsidRPr="00260412">
        <w:rPr>
          <w:lang w:val="en-NZ"/>
        </w:rPr>
        <w:t xml:space="preserve"> borrowers, who may </w:t>
      </w:r>
      <w:r w:rsidR="00B13393">
        <w:rPr>
          <w:lang w:val="en-NZ"/>
        </w:rPr>
        <w:t xml:space="preserve">have </w:t>
      </w:r>
      <w:r w:rsidRPr="00260412">
        <w:rPr>
          <w:lang w:val="en-NZ"/>
        </w:rPr>
        <w:t>be</w:t>
      </w:r>
      <w:r w:rsidR="00B13393">
        <w:rPr>
          <w:lang w:val="en-NZ"/>
        </w:rPr>
        <w:t>en</w:t>
      </w:r>
      <w:r w:rsidRPr="00260412">
        <w:rPr>
          <w:lang w:val="en-NZ"/>
        </w:rPr>
        <w:t xml:space="preserve"> associated or unassociated with the </w:t>
      </w:r>
      <w:r>
        <w:rPr>
          <w:lang w:val="en-NZ"/>
        </w:rPr>
        <w:t>New Zealand</w:t>
      </w:r>
      <w:r w:rsidRPr="00260412">
        <w:rPr>
          <w:lang w:val="en-NZ"/>
        </w:rPr>
        <w:t xml:space="preserve"> company.</w:t>
      </w:r>
    </w:p>
    <w:p w:rsidR="00625ADD" w:rsidRDefault="00625ADD" w:rsidP="00625ADD">
      <w:pPr>
        <w:rPr>
          <w:lang w:val="en-NZ"/>
        </w:rPr>
      </w:pPr>
    </w:p>
    <w:p w:rsidR="00625ADD" w:rsidRPr="00260412" w:rsidRDefault="00625ADD" w:rsidP="00625ADD">
      <w:pPr>
        <w:rPr>
          <w:lang w:val="en-NZ"/>
        </w:rPr>
      </w:pPr>
      <w:r w:rsidRPr="00260412">
        <w:rPr>
          <w:lang w:val="en-NZ"/>
        </w:rPr>
        <w:t xml:space="preserve">The amendments result in an interest payment by an offshore branch of a New Zealand resident to a non-resident having a </w:t>
      </w:r>
      <w:r>
        <w:rPr>
          <w:lang w:val="en-NZ"/>
        </w:rPr>
        <w:t>New Zealand</w:t>
      </w:r>
      <w:r w:rsidRPr="00260412">
        <w:rPr>
          <w:lang w:val="en-NZ"/>
        </w:rPr>
        <w:t xml:space="preserve"> source to the extent that the branch lends to </w:t>
      </w:r>
      <w:r>
        <w:rPr>
          <w:lang w:val="en-NZ"/>
        </w:rPr>
        <w:t>New Zealand</w:t>
      </w:r>
      <w:r w:rsidRPr="00260412">
        <w:rPr>
          <w:lang w:val="en-NZ"/>
        </w:rPr>
        <w:t xml:space="preserve"> residents.</w:t>
      </w:r>
    </w:p>
    <w:p w:rsidR="00625ADD" w:rsidRDefault="00625ADD" w:rsidP="00625ADD">
      <w:pPr>
        <w:rPr>
          <w:lang w:val="en-NZ"/>
        </w:rPr>
      </w:pPr>
    </w:p>
    <w:p w:rsidR="0008429E" w:rsidRDefault="0008429E" w:rsidP="00642D54">
      <w:pPr>
        <w:jc w:val="center"/>
        <w:rPr>
          <w:b/>
          <w:lang w:val="en-NZ"/>
        </w:rPr>
      </w:pPr>
    </w:p>
    <w:p w:rsidR="0008429E" w:rsidRDefault="0008429E" w:rsidP="00642D54">
      <w:pPr>
        <w:jc w:val="center"/>
        <w:rPr>
          <w:b/>
          <w:lang w:val="en-NZ"/>
        </w:rPr>
      </w:pPr>
    </w:p>
    <w:p w:rsidR="00642D54" w:rsidRPr="00642D54" w:rsidRDefault="00642D54" w:rsidP="00642D54">
      <w:pPr>
        <w:jc w:val="center"/>
        <w:rPr>
          <w:b/>
          <w:lang w:val="en-NZ"/>
        </w:rPr>
      </w:pPr>
      <w:r>
        <w:rPr>
          <w:b/>
          <w:lang w:val="en-NZ"/>
        </w:rPr>
        <w:t>Application of offshore branch exemption</w:t>
      </w:r>
    </w:p>
    <w:p w:rsidR="00625ADD" w:rsidRPr="00260412" w:rsidRDefault="008641E0" w:rsidP="00625ADD">
      <w:pPr>
        <w:jc w:val="center"/>
        <w:rPr>
          <w:lang w:val="en-NZ"/>
        </w:rPr>
      </w:pPr>
      <w:r>
        <w:object w:dxaOrig="5986" w:dyaOrig="9105">
          <v:shape id="_x0000_i1026" type="#_x0000_t75" alt="Application of offshore branch exemption" style="width:299.25pt;height:455.25pt" o:ole="">
            <v:imagedata r:id="rId10" o:title=""/>
          </v:shape>
          <o:OLEObject Type="Embed" ProgID="Visio.Drawing.15" ShapeID="_x0000_i1026" DrawAspect="Content" ObjectID="_1553878721" r:id="rId11"/>
        </w:object>
      </w:r>
    </w:p>
    <w:p w:rsidR="00625ADD" w:rsidRDefault="00625ADD" w:rsidP="00625ADD">
      <w:pPr>
        <w:rPr>
          <w:lang w:val="en-NZ"/>
        </w:rPr>
      </w:pPr>
    </w:p>
    <w:p w:rsidR="002B4ED7" w:rsidRPr="00260412" w:rsidRDefault="002B4ED7" w:rsidP="00625ADD">
      <w:pPr>
        <w:rPr>
          <w:lang w:val="en-NZ"/>
        </w:rPr>
      </w:pPr>
    </w:p>
    <w:p w:rsidR="00625ADD" w:rsidRPr="00260412" w:rsidRDefault="00625ADD" w:rsidP="00625ADD">
      <w:pPr>
        <w:rPr>
          <w:lang w:val="en-NZ"/>
        </w:rPr>
      </w:pPr>
      <w:r w:rsidRPr="00260412">
        <w:rPr>
          <w:lang w:val="en-NZ"/>
        </w:rPr>
        <w:t xml:space="preserve">It is possible for an offshore branch of a </w:t>
      </w:r>
      <w:r>
        <w:rPr>
          <w:lang w:val="en-NZ"/>
        </w:rPr>
        <w:t>New Zealand</w:t>
      </w:r>
      <w:r w:rsidRPr="00260412">
        <w:rPr>
          <w:lang w:val="en-NZ"/>
        </w:rPr>
        <w:t xml:space="preserve"> resident to have a business that includes lending to </w:t>
      </w:r>
      <w:r>
        <w:rPr>
          <w:lang w:val="en-NZ"/>
        </w:rPr>
        <w:t>New Zealand</w:t>
      </w:r>
      <w:r w:rsidRPr="00260412">
        <w:rPr>
          <w:lang w:val="en-NZ"/>
        </w:rPr>
        <w:t xml:space="preserve"> residents and other business conducted outside New Zealand.  In this instance</w:t>
      </w:r>
      <w:r>
        <w:rPr>
          <w:lang w:val="en-NZ"/>
        </w:rPr>
        <w:t>,</w:t>
      </w:r>
      <w:r w:rsidRPr="00260412">
        <w:rPr>
          <w:lang w:val="en-NZ"/>
        </w:rPr>
        <w:t xml:space="preserve"> any interest payments by the branch </w:t>
      </w:r>
      <w:r w:rsidR="00543476">
        <w:rPr>
          <w:lang w:val="en-NZ"/>
        </w:rPr>
        <w:t>are</w:t>
      </w:r>
      <w:r w:rsidRPr="00260412">
        <w:rPr>
          <w:lang w:val="en-NZ"/>
        </w:rPr>
        <w:t xml:space="preserve"> apportioned based on the proportion of branch assets that are financial arrangements producing </w:t>
      </w:r>
      <w:r>
        <w:rPr>
          <w:lang w:val="en-NZ"/>
        </w:rPr>
        <w:t>New Zealand-</w:t>
      </w:r>
      <w:r w:rsidRPr="00260412">
        <w:rPr>
          <w:lang w:val="en-NZ"/>
        </w:rPr>
        <w:t xml:space="preserve">sourced income.  </w:t>
      </w:r>
      <w:r w:rsidRPr="00C159D4">
        <w:rPr>
          <w:lang w:val="en-NZ"/>
        </w:rPr>
        <w:t>De minimis</w:t>
      </w:r>
      <w:r w:rsidRPr="00260412">
        <w:rPr>
          <w:lang w:val="en-NZ"/>
        </w:rPr>
        <w:t xml:space="preserve"> provisions </w:t>
      </w:r>
      <w:r w:rsidR="00543476">
        <w:rPr>
          <w:lang w:val="en-NZ"/>
        </w:rPr>
        <w:t xml:space="preserve">in section YD 5(6) and (7) </w:t>
      </w:r>
      <w:r w:rsidRPr="00260412">
        <w:rPr>
          <w:lang w:val="en-NZ"/>
        </w:rPr>
        <w:t>apply whe</w:t>
      </w:r>
      <w:r w:rsidR="0061012C">
        <w:rPr>
          <w:lang w:val="en-NZ"/>
        </w:rPr>
        <w:t>n</w:t>
      </w:r>
      <w:r w:rsidRPr="00260412">
        <w:rPr>
          <w:lang w:val="en-NZ"/>
        </w:rPr>
        <w:t xml:space="preserve"> assets deriving </w:t>
      </w:r>
      <w:r>
        <w:rPr>
          <w:lang w:val="en-NZ"/>
        </w:rPr>
        <w:t>New Zealand-</w:t>
      </w:r>
      <w:r w:rsidRPr="00260412">
        <w:rPr>
          <w:lang w:val="en-NZ"/>
        </w:rPr>
        <w:t>sourced income are less than 5% or more than 95% of a branch</w:t>
      </w:r>
      <w:r w:rsidR="00CF7EDE">
        <w:rPr>
          <w:lang w:val="en-NZ"/>
        </w:rPr>
        <w:t>’</w:t>
      </w:r>
      <w:r w:rsidRPr="00260412">
        <w:rPr>
          <w:lang w:val="en-NZ"/>
        </w:rPr>
        <w:t>s assets.</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To ensure that interest payments by an offshore branch are appropriately subject to </w:t>
      </w:r>
      <w:r>
        <w:rPr>
          <w:lang w:val="en-NZ"/>
        </w:rPr>
        <w:t>New Zealand</w:t>
      </w:r>
      <w:r w:rsidRPr="00260412">
        <w:rPr>
          <w:lang w:val="en-NZ"/>
        </w:rPr>
        <w:t xml:space="preserve"> tax</w:t>
      </w:r>
      <w:r>
        <w:rPr>
          <w:lang w:val="en-NZ"/>
        </w:rPr>
        <w:t>,</w:t>
      </w:r>
      <w:r w:rsidRPr="00260412">
        <w:rPr>
          <w:lang w:val="en-NZ"/>
        </w:rPr>
        <w:t xml:space="preserve"> </w:t>
      </w:r>
      <w:r w:rsidR="00543476">
        <w:rPr>
          <w:lang w:val="en-NZ"/>
        </w:rPr>
        <w:t xml:space="preserve">section 86IC of the Stamp and Cheque Duties Act 1971 has been inserted to make </w:t>
      </w:r>
      <w:r w:rsidRPr="00260412">
        <w:rPr>
          <w:lang w:val="en-NZ"/>
        </w:rPr>
        <w:t>the payment of AIL mandatory on relevant interest payments unless NRWT is withheld.</w:t>
      </w:r>
    </w:p>
    <w:p w:rsidR="00BB4237" w:rsidRDefault="00BB4237">
      <w:pPr>
        <w:jc w:val="left"/>
        <w:rPr>
          <w:lang w:val="en-NZ"/>
        </w:rPr>
      </w:pPr>
      <w:r>
        <w:rPr>
          <w:lang w:val="en-NZ"/>
        </w:rPr>
        <w:br w:type="page"/>
      </w:r>
    </w:p>
    <w:p w:rsidR="00625ADD" w:rsidRPr="00CB7BD1" w:rsidRDefault="00625ADD" w:rsidP="00625ADD">
      <w:pPr>
        <w:pStyle w:val="Heading4"/>
        <w:rPr>
          <w:lang w:val="en-NZ"/>
        </w:rPr>
      </w:pPr>
      <w:r w:rsidRPr="00CB7BD1">
        <w:rPr>
          <w:lang w:val="en-NZ"/>
        </w:rPr>
        <w:t>Grandparenting of the o</w:t>
      </w:r>
      <w:r w:rsidR="003842B9">
        <w:rPr>
          <w:lang w:val="en-NZ"/>
        </w:rPr>
        <w:t>ff</w:t>
      </w:r>
      <w:r w:rsidRPr="00CB7BD1">
        <w:rPr>
          <w:lang w:val="en-NZ"/>
        </w:rPr>
        <w:t>shore branch exemption</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The changes to the offshore branch exemption apply to interest payments on arrangements entered into before </w:t>
      </w:r>
      <w:r w:rsidRPr="00C159D4">
        <w:rPr>
          <w:lang w:val="en-NZ"/>
        </w:rPr>
        <w:t>the enactment of the bill</w:t>
      </w:r>
      <w:r w:rsidR="002458B5">
        <w:rPr>
          <w:lang w:val="en-NZ"/>
        </w:rPr>
        <w:t xml:space="preserve"> on </w:t>
      </w:r>
      <w:r w:rsidR="00C159D4">
        <w:rPr>
          <w:lang w:val="en-NZ"/>
        </w:rPr>
        <w:t>30 March 2017</w:t>
      </w:r>
      <w:r w:rsidRPr="00260412">
        <w:rPr>
          <w:lang w:val="en-NZ"/>
        </w:rPr>
        <w:t xml:space="preserve"> after a grandparenting period of five complete income years post</w:t>
      </w:r>
      <w:r w:rsidR="002458B5">
        <w:rPr>
          <w:lang w:val="en-NZ"/>
        </w:rPr>
        <w:t>-</w:t>
      </w:r>
      <w:r w:rsidRPr="00C159D4">
        <w:rPr>
          <w:lang w:val="en-NZ"/>
        </w:rPr>
        <w:t>enactment</w:t>
      </w:r>
      <w:r w:rsidRPr="00260412">
        <w:rPr>
          <w:lang w:val="en-NZ"/>
        </w:rPr>
        <w:t xml:space="preserve">.  This reflects that these offshore branches have entered into commercial arrangements, frequently with unassociated parties, for terms that usually </w:t>
      </w:r>
      <w:r>
        <w:rPr>
          <w:lang w:val="en-NZ"/>
        </w:rPr>
        <w:t>do not</w:t>
      </w:r>
      <w:r w:rsidRPr="00260412">
        <w:rPr>
          <w:lang w:val="en-NZ"/>
        </w:rPr>
        <w:t xml:space="preserve"> exceed five years, and that have been ultimately used to fund New Zealand borrowing</w:t>
      </w:r>
      <w:r>
        <w:rPr>
          <w:lang w:val="en-NZ"/>
        </w:rPr>
        <w:t>,</w:t>
      </w:r>
      <w:r w:rsidRPr="00260412">
        <w:rPr>
          <w:lang w:val="en-NZ"/>
        </w:rPr>
        <w:t xml:space="preserve"> which is also often at fixed interest rates.</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All other interest payments by offshore branches apply the new rules from </w:t>
      </w:r>
      <w:r w:rsidRPr="00C159D4">
        <w:rPr>
          <w:lang w:val="en-NZ"/>
        </w:rPr>
        <w:t>the date of enactment</w:t>
      </w:r>
      <w:r w:rsidR="002458B5" w:rsidRPr="00C159D4">
        <w:rPr>
          <w:lang w:val="en-NZ"/>
        </w:rPr>
        <w:t xml:space="preserve">, being </w:t>
      </w:r>
      <w:r w:rsidR="00C159D4">
        <w:rPr>
          <w:lang w:val="en-NZ"/>
        </w:rPr>
        <w:t>30 March 2017</w:t>
      </w:r>
      <w:r w:rsidRPr="00C159D4">
        <w:rPr>
          <w:lang w:val="en-NZ"/>
        </w:rPr>
        <w:t>.</w:t>
      </w:r>
    </w:p>
    <w:p w:rsidR="00625ADD" w:rsidRPr="00260412" w:rsidRDefault="00625ADD" w:rsidP="00625ADD">
      <w:pPr>
        <w:rPr>
          <w:lang w:val="en-NZ"/>
        </w:rPr>
      </w:pPr>
    </w:p>
    <w:p w:rsidR="00625ADD" w:rsidRPr="00260412" w:rsidRDefault="00625ADD" w:rsidP="00625ADD">
      <w:pPr>
        <w:pStyle w:val="Heading3"/>
        <w:rPr>
          <w:lang w:val="en-NZ"/>
        </w:rPr>
      </w:pPr>
      <w:r w:rsidRPr="00260412">
        <w:rPr>
          <w:lang w:val="en-NZ"/>
        </w:rPr>
        <w:t>Onshore branch exemption</w:t>
      </w:r>
    </w:p>
    <w:p w:rsidR="00625ADD" w:rsidRPr="00260412" w:rsidRDefault="00625ADD" w:rsidP="00625ADD">
      <w:pPr>
        <w:rPr>
          <w:lang w:val="en-NZ"/>
        </w:rPr>
      </w:pPr>
    </w:p>
    <w:p w:rsidR="00625ADD" w:rsidRPr="00260412" w:rsidRDefault="00625ADD" w:rsidP="00625ADD">
      <w:pPr>
        <w:rPr>
          <w:lang w:val="en-NZ"/>
        </w:rPr>
      </w:pPr>
      <w:r>
        <w:rPr>
          <w:lang w:val="en-NZ"/>
        </w:rPr>
        <w:t>New Zealand</w:t>
      </w:r>
      <w:r w:rsidRPr="00260412">
        <w:rPr>
          <w:lang w:val="en-NZ"/>
        </w:rPr>
        <w:t xml:space="preserve">-sourced interest income derived by a non-resident </w:t>
      </w:r>
      <w:r w:rsidR="00E46E61">
        <w:rPr>
          <w:lang w:val="en-NZ"/>
        </w:rPr>
        <w:t>wa</w:t>
      </w:r>
      <w:r w:rsidRPr="00260412">
        <w:rPr>
          <w:lang w:val="en-NZ"/>
        </w:rPr>
        <w:t xml:space="preserve">s not </w:t>
      </w:r>
      <w:r w:rsidR="00E46E61">
        <w:rPr>
          <w:lang w:val="en-NZ"/>
        </w:rPr>
        <w:t xml:space="preserve">previously </w:t>
      </w:r>
      <w:r w:rsidRPr="00260412">
        <w:rPr>
          <w:lang w:val="en-NZ"/>
        </w:rPr>
        <w:t xml:space="preserve">NRPI when the non-resident lender </w:t>
      </w:r>
      <w:r w:rsidR="00E46E61">
        <w:rPr>
          <w:lang w:val="en-NZ"/>
        </w:rPr>
        <w:t>wa</w:t>
      </w:r>
      <w:r w:rsidRPr="00260412">
        <w:rPr>
          <w:lang w:val="en-NZ"/>
        </w:rPr>
        <w:t xml:space="preserve">s engaged in business in New Zealand through a fixed establishment in New Zealand.  This exemption from NRPI is known as the </w:t>
      </w:r>
      <w:r w:rsidR="00CF7EDE">
        <w:rPr>
          <w:lang w:val="en-NZ"/>
        </w:rPr>
        <w:t>“</w:t>
      </w:r>
      <w:r w:rsidRPr="00260412">
        <w:rPr>
          <w:lang w:val="en-NZ"/>
        </w:rPr>
        <w:t>onshore branch exemption</w:t>
      </w:r>
      <w:r w:rsidR="00CF7EDE">
        <w:rPr>
          <w:lang w:val="en-NZ"/>
        </w:rPr>
        <w:t>”</w:t>
      </w:r>
      <w:r w:rsidRPr="00260412">
        <w:rPr>
          <w:lang w:val="en-NZ"/>
        </w:rPr>
        <w:t>.</w:t>
      </w:r>
    </w:p>
    <w:p w:rsidR="00625ADD" w:rsidRPr="00260412" w:rsidRDefault="00625ADD" w:rsidP="00625ADD">
      <w:pPr>
        <w:rPr>
          <w:lang w:val="en-NZ"/>
        </w:rPr>
      </w:pPr>
    </w:p>
    <w:p w:rsidR="00625ADD" w:rsidRPr="00260412" w:rsidRDefault="00E46E61" w:rsidP="00625ADD">
      <w:pPr>
        <w:rPr>
          <w:lang w:val="en-NZ"/>
        </w:rPr>
      </w:pPr>
      <w:r>
        <w:rPr>
          <w:lang w:val="en-NZ"/>
        </w:rPr>
        <w:t>This exemption applied</w:t>
      </w:r>
      <w:r w:rsidR="00625ADD" w:rsidRPr="00260412">
        <w:rPr>
          <w:lang w:val="en-NZ"/>
        </w:rPr>
        <w:t xml:space="preserve"> </w:t>
      </w:r>
      <w:r w:rsidR="00625ADD">
        <w:rPr>
          <w:lang w:val="en-NZ"/>
        </w:rPr>
        <w:t xml:space="preserve">irrespective of whether </w:t>
      </w:r>
      <w:r w:rsidR="00625ADD" w:rsidRPr="00260412">
        <w:rPr>
          <w:lang w:val="en-NZ"/>
        </w:rPr>
        <w:t xml:space="preserve">the lending </w:t>
      </w:r>
      <w:r w:rsidR="00687BEF">
        <w:rPr>
          <w:lang w:val="en-NZ"/>
        </w:rPr>
        <w:t>was</w:t>
      </w:r>
      <w:r w:rsidR="00625ADD" w:rsidRPr="00260412">
        <w:rPr>
          <w:lang w:val="en-NZ"/>
        </w:rPr>
        <w:t xml:space="preserve"> made through the </w:t>
      </w:r>
      <w:r w:rsidR="00625ADD">
        <w:rPr>
          <w:lang w:val="en-NZ"/>
        </w:rPr>
        <w:t>New Zealand</w:t>
      </w:r>
      <w:r w:rsidR="00625ADD" w:rsidRPr="00260412">
        <w:rPr>
          <w:lang w:val="en-NZ"/>
        </w:rPr>
        <w:t xml:space="preserve"> branch.  As with the </w:t>
      </w:r>
      <w:r w:rsidR="00625ADD">
        <w:rPr>
          <w:lang w:val="en-NZ"/>
        </w:rPr>
        <w:t>New Zealand</w:t>
      </w:r>
      <w:r w:rsidR="00625ADD" w:rsidRPr="00260412">
        <w:rPr>
          <w:lang w:val="en-NZ"/>
        </w:rPr>
        <w:t xml:space="preserve"> branch income, this non-branch (but </w:t>
      </w:r>
      <w:r w:rsidR="00625ADD">
        <w:rPr>
          <w:lang w:val="en-NZ"/>
        </w:rPr>
        <w:t>New Zealand</w:t>
      </w:r>
      <w:r w:rsidR="00625ADD" w:rsidRPr="00260412">
        <w:rPr>
          <w:lang w:val="en-NZ"/>
        </w:rPr>
        <w:t xml:space="preserve">-sourced) income is subject to </w:t>
      </w:r>
      <w:r w:rsidR="00625ADD">
        <w:rPr>
          <w:lang w:val="en-NZ"/>
        </w:rPr>
        <w:t>New Zealand</w:t>
      </w:r>
      <w:r w:rsidR="00625ADD" w:rsidRPr="00260412">
        <w:rPr>
          <w:lang w:val="en-NZ"/>
        </w:rPr>
        <w:t xml:space="preserve"> net income tax.  This means it </w:t>
      </w:r>
      <w:r>
        <w:rPr>
          <w:lang w:val="en-NZ"/>
        </w:rPr>
        <w:t>wa</w:t>
      </w:r>
      <w:r w:rsidR="00625ADD" w:rsidRPr="00260412">
        <w:rPr>
          <w:lang w:val="en-NZ"/>
        </w:rPr>
        <w:t xml:space="preserve">s possible for a non-resident parent to lend money to its </w:t>
      </w:r>
      <w:r w:rsidR="00625ADD">
        <w:rPr>
          <w:lang w:val="en-NZ"/>
        </w:rPr>
        <w:t>New Zealand</w:t>
      </w:r>
      <w:r w:rsidR="00625ADD" w:rsidRPr="00260412">
        <w:rPr>
          <w:lang w:val="en-NZ"/>
        </w:rPr>
        <w:t xml:space="preserve"> subsidiary with no tax payable on the interest (other than income tax on a very slim margin).  The parent c</w:t>
      </w:r>
      <w:r>
        <w:rPr>
          <w:lang w:val="en-NZ"/>
        </w:rPr>
        <w:t>ould</w:t>
      </w:r>
      <w:r w:rsidR="00625ADD" w:rsidRPr="00260412">
        <w:rPr>
          <w:lang w:val="en-NZ"/>
        </w:rPr>
        <w:t xml:space="preserve"> simply lend the money to the head office of a non-</w:t>
      </w:r>
      <w:r w:rsidR="00625ADD">
        <w:rPr>
          <w:lang w:val="en-NZ"/>
        </w:rPr>
        <w:t>New Zealand</w:t>
      </w:r>
      <w:r>
        <w:rPr>
          <w:lang w:val="en-NZ"/>
        </w:rPr>
        <w:t xml:space="preserve"> group company which had</w:t>
      </w:r>
      <w:r w:rsidR="00625ADD" w:rsidRPr="00260412">
        <w:rPr>
          <w:lang w:val="en-NZ"/>
        </w:rPr>
        <w:t xml:space="preserve"> a </w:t>
      </w:r>
      <w:r w:rsidR="00625ADD">
        <w:rPr>
          <w:lang w:val="en-NZ"/>
        </w:rPr>
        <w:t>New Zealand</w:t>
      </w:r>
      <w:r w:rsidR="00625ADD" w:rsidRPr="00260412">
        <w:rPr>
          <w:lang w:val="en-NZ"/>
        </w:rPr>
        <w:t xml:space="preserve"> branch.  The</w:t>
      </w:r>
      <w:r w:rsidR="00577FD7">
        <w:rPr>
          <w:lang w:val="en-NZ"/>
        </w:rPr>
        <w:t xml:space="preserve"> head office of that company </w:t>
      </w:r>
      <w:r>
        <w:rPr>
          <w:lang w:val="en-NZ"/>
        </w:rPr>
        <w:t>could</w:t>
      </w:r>
      <w:r w:rsidR="00625ADD" w:rsidRPr="00260412">
        <w:rPr>
          <w:lang w:val="en-NZ"/>
        </w:rPr>
        <w:t xml:space="preserve"> then lend the money to a </w:t>
      </w:r>
      <w:r w:rsidR="00625ADD">
        <w:rPr>
          <w:lang w:val="en-NZ"/>
        </w:rPr>
        <w:t>New Zealand</w:t>
      </w:r>
      <w:r w:rsidR="00625ADD" w:rsidRPr="00260412">
        <w:rPr>
          <w:lang w:val="en-NZ"/>
        </w:rPr>
        <w:t xml:space="preserve"> group company.</w:t>
      </w:r>
    </w:p>
    <w:p w:rsidR="00625ADD" w:rsidRDefault="00625ADD" w:rsidP="00625ADD">
      <w:pPr>
        <w:rPr>
          <w:lang w:val="en-NZ"/>
        </w:rPr>
      </w:pPr>
    </w:p>
    <w:p w:rsidR="00625ADD" w:rsidRDefault="00625ADD" w:rsidP="00625ADD">
      <w:pPr>
        <w:rPr>
          <w:lang w:val="en-NZ"/>
        </w:rPr>
      </w:pPr>
      <w:r>
        <w:rPr>
          <w:lang w:val="en-NZ"/>
        </w:rPr>
        <w:t xml:space="preserve">The following diagrams illustrate the </w:t>
      </w:r>
      <w:r w:rsidR="00577FD7">
        <w:rPr>
          <w:lang w:val="en-NZ"/>
        </w:rPr>
        <w:t>new</w:t>
      </w:r>
      <w:r>
        <w:rPr>
          <w:lang w:val="en-NZ"/>
        </w:rPr>
        <w:t xml:space="preserve"> rules.</w: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The onshore branch exemption </w:t>
      </w:r>
      <w:r w:rsidR="00E46E61">
        <w:rPr>
          <w:lang w:val="en-NZ"/>
        </w:rPr>
        <w:t xml:space="preserve">has </w:t>
      </w:r>
      <w:r w:rsidRPr="00260412">
        <w:rPr>
          <w:lang w:val="en-NZ"/>
        </w:rPr>
        <w:t>be</w:t>
      </w:r>
      <w:r w:rsidR="00E46E61">
        <w:rPr>
          <w:lang w:val="en-NZ"/>
        </w:rPr>
        <w:t>en</w:t>
      </w:r>
      <w:r w:rsidRPr="00260412">
        <w:rPr>
          <w:lang w:val="en-NZ"/>
        </w:rPr>
        <w:t xml:space="preserve"> narrowed so that it only appl</w:t>
      </w:r>
      <w:r w:rsidR="00515786">
        <w:rPr>
          <w:lang w:val="en-NZ"/>
        </w:rPr>
        <w:t>ies</w:t>
      </w:r>
      <w:r w:rsidRPr="00260412">
        <w:rPr>
          <w:lang w:val="en-NZ"/>
        </w:rPr>
        <w:t xml:space="preserve"> to interest payments derived by th</w:t>
      </w:r>
      <w:r>
        <w:rPr>
          <w:lang w:val="en-NZ"/>
        </w:rPr>
        <w:t>e New Zealand branch of a non-resident.</w:t>
      </w:r>
    </w:p>
    <w:p w:rsidR="001F211E" w:rsidRDefault="001F211E" w:rsidP="00625ADD">
      <w:pPr>
        <w:rPr>
          <w:lang w:val="en-NZ"/>
        </w:rPr>
      </w:pPr>
    </w:p>
    <w:p w:rsidR="00642D54" w:rsidRDefault="00642D54" w:rsidP="00642D54">
      <w:pPr>
        <w:jc w:val="center"/>
        <w:rPr>
          <w:b/>
          <w:lang w:val="en-NZ"/>
        </w:rPr>
      </w:pPr>
      <w:r w:rsidRPr="00642D54">
        <w:rPr>
          <w:b/>
          <w:lang w:val="en-NZ"/>
        </w:rPr>
        <w:t>Application of onshore branch exemption</w:t>
      </w:r>
    </w:p>
    <w:p w:rsidR="00A62C16" w:rsidRPr="00642D54" w:rsidRDefault="00A62C16" w:rsidP="00642D54">
      <w:pPr>
        <w:jc w:val="center"/>
        <w:rPr>
          <w:b/>
          <w:lang w:val="en-NZ"/>
        </w:rPr>
      </w:pPr>
    </w:p>
    <w:p w:rsidR="00625ADD" w:rsidRPr="00260412" w:rsidRDefault="008641E0" w:rsidP="00625ADD">
      <w:pPr>
        <w:jc w:val="center"/>
        <w:rPr>
          <w:lang w:val="en-NZ"/>
        </w:rPr>
      </w:pPr>
      <w:r>
        <w:object w:dxaOrig="7426" w:dyaOrig="4560">
          <v:shape id="_x0000_i1027" type="#_x0000_t75" alt="Application of onshore branch exemption" style="width:371.25pt;height:228pt" o:ole="">
            <v:imagedata r:id="rId12" o:title=""/>
          </v:shape>
          <o:OLEObject Type="Embed" ProgID="Visio.Drawing.15" ShapeID="_x0000_i1027" DrawAspect="Content" ObjectID="_1553878722" r:id="rId13"/>
        </w:object>
      </w:r>
    </w:p>
    <w:p w:rsidR="00625ADD" w:rsidRPr="00260412" w:rsidRDefault="00625ADD" w:rsidP="00625ADD">
      <w:pPr>
        <w:rPr>
          <w:lang w:val="en-NZ"/>
        </w:rPr>
      </w:pPr>
    </w:p>
    <w:p w:rsidR="00625ADD" w:rsidRPr="00260412" w:rsidRDefault="00625ADD" w:rsidP="00625ADD">
      <w:pPr>
        <w:rPr>
          <w:lang w:val="en-NZ"/>
        </w:rPr>
      </w:pPr>
      <w:r w:rsidRPr="00260412">
        <w:rPr>
          <w:lang w:val="en-NZ"/>
        </w:rPr>
        <w:t xml:space="preserve">One exception to this is </w:t>
      </w:r>
      <w:r w:rsidR="00DD13BA">
        <w:rPr>
          <w:lang w:val="en-NZ"/>
        </w:rPr>
        <w:t xml:space="preserve">that </w:t>
      </w:r>
      <w:r w:rsidRPr="00260412">
        <w:rPr>
          <w:lang w:val="en-NZ"/>
        </w:rPr>
        <w:t>the onshore branch exemption continue</w:t>
      </w:r>
      <w:r w:rsidR="00FD77E4">
        <w:rPr>
          <w:lang w:val="en-NZ"/>
        </w:rPr>
        <w:t>s</w:t>
      </w:r>
      <w:r w:rsidRPr="00260412">
        <w:rPr>
          <w:lang w:val="en-NZ"/>
        </w:rPr>
        <w:t xml:space="preserve"> to apply </w:t>
      </w:r>
      <w:r w:rsidR="009124E2">
        <w:rPr>
          <w:lang w:val="en-NZ"/>
        </w:rPr>
        <w:t xml:space="preserve">to loans not made by the onshore branch </w:t>
      </w:r>
      <w:r w:rsidRPr="00260412">
        <w:rPr>
          <w:lang w:val="en-NZ"/>
        </w:rPr>
        <w:t xml:space="preserve">if the non-resident lender has a </w:t>
      </w:r>
      <w:r>
        <w:rPr>
          <w:lang w:val="en-NZ"/>
        </w:rPr>
        <w:t>New Zealand</w:t>
      </w:r>
      <w:r w:rsidRPr="00260412">
        <w:rPr>
          <w:lang w:val="en-NZ"/>
        </w:rPr>
        <w:t xml:space="preserve"> branch that holds a banking licence and is not associated with the borrower.  This is </w:t>
      </w:r>
      <w:r w:rsidR="00DD13BA">
        <w:rPr>
          <w:lang w:val="en-NZ"/>
        </w:rPr>
        <w:t>mainly</w:t>
      </w:r>
      <w:r w:rsidRPr="00260412">
        <w:rPr>
          <w:lang w:val="en-NZ"/>
        </w:rPr>
        <w:t xml:space="preserve"> to minimise compliance costs for individual borrowers who </w:t>
      </w:r>
      <w:r w:rsidR="00FD77E4">
        <w:rPr>
          <w:lang w:val="en-NZ"/>
        </w:rPr>
        <w:t xml:space="preserve">were </w:t>
      </w:r>
      <w:r w:rsidRPr="00260412">
        <w:rPr>
          <w:lang w:val="en-NZ"/>
        </w:rPr>
        <w:t>not</w:t>
      </w:r>
      <w:r w:rsidR="00FD77E4">
        <w:rPr>
          <w:lang w:val="en-NZ"/>
        </w:rPr>
        <w:t xml:space="preserve"> previously</w:t>
      </w:r>
      <w:r>
        <w:rPr>
          <w:lang w:val="en-NZ"/>
        </w:rPr>
        <w:t>,</w:t>
      </w:r>
      <w:r w:rsidRPr="00260412">
        <w:rPr>
          <w:lang w:val="en-NZ"/>
        </w:rPr>
        <w:t xml:space="preserve"> but would otherwise be</w:t>
      </w:r>
      <w:r w:rsidR="00DD13BA">
        <w:rPr>
          <w:lang w:val="en-NZ"/>
        </w:rPr>
        <w:t>,</w:t>
      </w:r>
      <w:r w:rsidRPr="00260412">
        <w:rPr>
          <w:lang w:val="en-NZ"/>
        </w:rPr>
        <w:t xml:space="preserve"> required to withhold NRWT or pay AIL on interest payments to foreign banks for mortgages over foreign properties.</w:t>
      </w:r>
    </w:p>
    <w:p w:rsidR="00625ADD" w:rsidRDefault="00625ADD" w:rsidP="00625ADD">
      <w:pPr>
        <w:rPr>
          <w:lang w:val="en-NZ"/>
        </w:rPr>
      </w:pPr>
    </w:p>
    <w:p w:rsidR="002B4ED7" w:rsidRPr="00260412" w:rsidRDefault="002B4ED7" w:rsidP="00625ADD">
      <w:pPr>
        <w:rPr>
          <w:lang w:val="en-NZ"/>
        </w:rPr>
      </w:pPr>
    </w:p>
    <w:p w:rsidR="00625ADD" w:rsidRPr="000A53A2" w:rsidRDefault="00642D54" w:rsidP="00625ADD">
      <w:pPr>
        <w:jc w:val="center"/>
        <w:rPr>
          <w:b/>
          <w:lang w:val="en-NZ"/>
        </w:rPr>
      </w:pPr>
      <w:r>
        <w:rPr>
          <w:b/>
          <w:lang w:val="en-NZ"/>
        </w:rPr>
        <w:t>A</w:t>
      </w:r>
      <w:r w:rsidR="00625ADD" w:rsidRPr="000A53A2">
        <w:rPr>
          <w:b/>
          <w:lang w:val="en-NZ"/>
        </w:rPr>
        <w:t>pplication of onshore branch exemption to borrowing from foreign banks</w:t>
      </w:r>
    </w:p>
    <w:p w:rsidR="00625ADD" w:rsidRPr="00260412" w:rsidRDefault="00625ADD" w:rsidP="00625ADD">
      <w:pPr>
        <w:rPr>
          <w:lang w:val="en-NZ"/>
        </w:rPr>
      </w:pPr>
    </w:p>
    <w:p w:rsidR="00625ADD" w:rsidRPr="00260412" w:rsidRDefault="00625ADD" w:rsidP="00625ADD">
      <w:pPr>
        <w:jc w:val="center"/>
        <w:rPr>
          <w:lang w:val="en-NZ"/>
        </w:rPr>
      </w:pPr>
    </w:p>
    <w:p w:rsidR="00625ADD" w:rsidRDefault="008641E0" w:rsidP="00AE150D">
      <w:pPr>
        <w:jc w:val="center"/>
      </w:pPr>
      <w:r>
        <w:object w:dxaOrig="6451" w:dyaOrig="3030">
          <v:shape id="_x0000_i1028" type="#_x0000_t75" alt="Application of onshore branch exemption to borrowing from foreign banks" style="width:322.5pt;height:151.5pt" o:ole="">
            <v:imagedata r:id="rId14" o:title=""/>
          </v:shape>
          <o:OLEObject Type="Embed" ProgID="Visio.Drawing.15" ShapeID="_x0000_i1028" DrawAspect="Content" ObjectID="_1553878723" r:id="rId15"/>
        </w:object>
      </w:r>
    </w:p>
    <w:p w:rsidR="00AE150D" w:rsidRDefault="00AE150D" w:rsidP="00AE150D">
      <w:pPr>
        <w:jc w:val="center"/>
        <w:rPr>
          <w:lang w:val="en-NZ"/>
        </w:rPr>
      </w:pPr>
    </w:p>
    <w:p w:rsidR="002B4ED7" w:rsidRPr="00260412" w:rsidRDefault="002B4ED7" w:rsidP="00AE150D">
      <w:pPr>
        <w:jc w:val="center"/>
        <w:rPr>
          <w:lang w:val="en-NZ"/>
        </w:rPr>
      </w:pPr>
    </w:p>
    <w:p w:rsidR="00625ADD" w:rsidRPr="00260412" w:rsidRDefault="00625ADD" w:rsidP="00625ADD">
      <w:pPr>
        <w:pStyle w:val="Heading4"/>
        <w:rPr>
          <w:lang w:val="en-NZ"/>
        </w:rPr>
      </w:pPr>
      <w:r w:rsidRPr="00260412">
        <w:rPr>
          <w:lang w:val="en-NZ"/>
        </w:rPr>
        <w:t>Grandparenting of the onshore branch exemption</w:t>
      </w:r>
    </w:p>
    <w:p w:rsidR="00625ADD" w:rsidRPr="00260412" w:rsidRDefault="00625ADD" w:rsidP="00625ADD">
      <w:pPr>
        <w:rPr>
          <w:lang w:val="en-NZ"/>
        </w:rPr>
      </w:pPr>
    </w:p>
    <w:p w:rsidR="00625ADD" w:rsidRDefault="00625ADD" w:rsidP="00625ADD">
      <w:pPr>
        <w:rPr>
          <w:lang w:val="en-NZ"/>
        </w:rPr>
      </w:pPr>
      <w:r>
        <w:rPr>
          <w:lang w:val="en-NZ"/>
        </w:rPr>
        <w:t>When</w:t>
      </w:r>
      <w:r w:rsidRPr="00260412">
        <w:rPr>
          <w:lang w:val="en-NZ"/>
        </w:rPr>
        <w:t xml:space="preserve"> a </w:t>
      </w:r>
      <w:r>
        <w:rPr>
          <w:lang w:val="en-NZ"/>
        </w:rPr>
        <w:t>New Zealand</w:t>
      </w:r>
      <w:r w:rsidRPr="00260412">
        <w:rPr>
          <w:lang w:val="en-NZ"/>
        </w:rPr>
        <w:t xml:space="preserve"> resident</w:t>
      </w:r>
      <w:r w:rsidR="00577FD7">
        <w:rPr>
          <w:lang w:val="en-NZ"/>
        </w:rPr>
        <w:t>, other than a registered bank or certain securitisation vehicles,</w:t>
      </w:r>
      <w:r w:rsidRPr="00260412">
        <w:rPr>
          <w:lang w:val="en-NZ"/>
        </w:rPr>
        <w:t xml:space="preserve"> is borrowing from an associated non-resident that has a </w:t>
      </w:r>
      <w:r>
        <w:rPr>
          <w:lang w:val="en-NZ"/>
        </w:rPr>
        <w:t>New Zealand</w:t>
      </w:r>
      <w:r w:rsidRPr="00260412">
        <w:rPr>
          <w:lang w:val="en-NZ"/>
        </w:rPr>
        <w:t xml:space="preserve"> branch</w:t>
      </w:r>
      <w:r>
        <w:rPr>
          <w:lang w:val="en-NZ"/>
        </w:rPr>
        <w:t>,</w:t>
      </w:r>
      <w:r w:rsidRPr="00260412">
        <w:rPr>
          <w:lang w:val="en-NZ"/>
        </w:rPr>
        <w:t xml:space="preserve"> these </w:t>
      </w:r>
      <w:r w:rsidR="00642D54">
        <w:rPr>
          <w:lang w:val="en-NZ"/>
        </w:rPr>
        <w:t xml:space="preserve">amendments </w:t>
      </w:r>
      <w:r w:rsidR="006D400F">
        <w:rPr>
          <w:lang w:val="en-NZ"/>
        </w:rPr>
        <w:t>came into force on</w:t>
      </w:r>
      <w:r w:rsidRPr="00260412">
        <w:rPr>
          <w:lang w:val="en-NZ"/>
        </w:rPr>
        <w:t xml:space="preserve"> </w:t>
      </w:r>
      <w:r w:rsidRPr="00C159D4">
        <w:rPr>
          <w:lang w:val="en-NZ"/>
        </w:rPr>
        <w:t>the date of enactment</w:t>
      </w:r>
      <w:r w:rsidR="008F44E2">
        <w:rPr>
          <w:lang w:val="en-NZ"/>
        </w:rPr>
        <w:t xml:space="preserve">, being </w:t>
      </w:r>
      <w:r w:rsidR="00C159D4">
        <w:rPr>
          <w:lang w:val="en-NZ"/>
        </w:rPr>
        <w:t>30 March 2017</w:t>
      </w:r>
      <w:r w:rsidRPr="00260412">
        <w:rPr>
          <w:lang w:val="en-NZ"/>
        </w:rPr>
        <w:t>.</w:t>
      </w:r>
    </w:p>
    <w:p w:rsidR="009124E2" w:rsidRPr="00260412" w:rsidRDefault="009124E2" w:rsidP="00625ADD">
      <w:pPr>
        <w:rPr>
          <w:lang w:val="en-NZ"/>
        </w:rPr>
      </w:pPr>
    </w:p>
    <w:p w:rsidR="00625ADD" w:rsidRDefault="00625ADD" w:rsidP="00625ADD">
      <w:pPr>
        <w:rPr>
          <w:lang w:val="en-NZ"/>
        </w:rPr>
      </w:pPr>
      <w:r>
        <w:rPr>
          <w:lang w:val="en-NZ"/>
        </w:rPr>
        <w:t>When</w:t>
      </w:r>
      <w:r w:rsidRPr="00260412">
        <w:rPr>
          <w:lang w:val="en-NZ"/>
        </w:rPr>
        <w:t xml:space="preserve"> the </w:t>
      </w:r>
      <w:r>
        <w:rPr>
          <w:lang w:val="en-NZ"/>
        </w:rPr>
        <w:t>New Zealand</w:t>
      </w:r>
      <w:r w:rsidRPr="00260412">
        <w:rPr>
          <w:lang w:val="en-NZ"/>
        </w:rPr>
        <w:t xml:space="preserve"> resident is borrowing from an unassociated non-resident that has a </w:t>
      </w:r>
      <w:r>
        <w:rPr>
          <w:lang w:val="en-NZ"/>
        </w:rPr>
        <w:t>New Zealand</w:t>
      </w:r>
      <w:r w:rsidRPr="00260412">
        <w:rPr>
          <w:lang w:val="en-NZ"/>
        </w:rPr>
        <w:t xml:space="preserve"> branch</w:t>
      </w:r>
      <w:r>
        <w:rPr>
          <w:lang w:val="en-NZ"/>
        </w:rPr>
        <w:t>,</w:t>
      </w:r>
      <w:r w:rsidRPr="00260412">
        <w:rPr>
          <w:lang w:val="en-NZ"/>
        </w:rPr>
        <w:t xml:space="preserve"> or </w:t>
      </w:r>
      <w:r>
        <w:rPr>
          <w:lang w:val="en-NZ"/>
        </w:rPr>
        <w:t>when</w:t>
      </w:r>
      <w:r w:rsidRPr="00260412">
        <w:rPr>
          <w:lang w:val="en-NZ"/>
        </w:rPr>
        <w:t xml:space="preserve"> the borrower is a bank</w:t>
      </w:r>
      <w:r w:rsidR="00642D54">
        <w:rPr>
          <w:lang w:val="en-NZ"/>
        </w:rPr>
        <w:t xml:space="preserve"> or certain qualifying securit</w:t>
      </w:r>
      <w:r w:rsidR="001C1B88">
        <w:rPr>
          <w:lang w:val="en-NZ"/>
        </w:rPr>
        <w:t>i</w:t>
      </w:r>
      <w:r w:rsidR="00642D54">
        <w:rPr>
          <w:lang w:val="en-NZ"/>
        </w:rPr>
        <w:t>sation vehicles</w:t>
      </w:r>
      <w:r>
        <w:rPr>
          <w:lang w:val="en-NZ"/>
        </w:rPr>
        <w:t>,</w:t>
      </w:r>
      <w:r w:rsidRPr="00260412">
        <w:rPr>
          <w:lang w:val="en-NZ"/>
        </w:rPr>
        <w:t xml:space="preserve"> these </w:t>
      </w:r>
      <w:r w:rsidR="00642D54">
        <w:rPr>
          <w:lang w:val="en-NZ"/>
        </w:rPr>
        <w:t xml:space="preserve">changes </w:t>
      </w:r>
      <w:r w:rsidRPr="00260412">
        <w:rPr>
          <w:lang w:val="en-NZ"/>
        </w:rPr>
        <w:t>will apply after a grandparenting period of five years.  This is because these are, directly or indirectly, with unrelated parties and reflect arm</w:t>
      </w:r>
      <w:r w:rsidR="00CF7EDE">
        <w:rPr>
          <w:lang w:val="en-NZ"/>
        </w:rPr>
        <w:t>’</w:t>
      </w:r>
      <w:r w:rsidRPr="00260412">
        <w:rPr>
          <w:lang w:val="en-NZ"/>
        </w:rPr>
        <w:t>s</w:t>
      </w:r>
      <w:r>
        <w:rPr>
          <w:lang w:val="en-NZ"/>
        </w:rPr>
        <w:t>-</w:t>
      </w:r>
      <w:r w:rsidRPr="00260412">
        <w:rPr>
          <w:lang w:val="en-NZ"/>
        </w:rPr>
        <w:t>length transactions that are frequently entered into for longer terms.</w:t>
      </w:r>
    </w:p>
    <w:p w:rsidR="0055173B" w:rsidRDefault="0055173B" w:rsidP="00625ADD">
      <w:pPr>
        <w:rPr>
          <w:lang w:val="en-NZ"/>
        </w:rPr>
      </w:pPr>
    </w:p>
    <w:p w:rsidR="0055173B" w:rsidRDefault="0055173B" w:rsidP="00625ADD">
      <w:pPr>
        <w:rPr>
          <w:lang w:val="en-NZ"/>
        </w:rPr>
      </w:pPr>
      <w:r>
        <w:rPr>
          <w:lang w:val="en-NZ"/>
        </w:rPr>
        <w:t>This grandparenting applies to interest payments by securitisation vehicles that are a trustee of a trust that, as its core business:</w:t>
      </w:r>
    </w:p>
    <w:p w:rsidR="00C76922" w:rsidRDefault="00C76922" w:rsidP="00625ADD">
      <w:pPr>
        <w:rPr>
          <w:lang w:val="en-NZ"/>
        </w:rPr>
      </w:pPr>
    </w:p>
    <w:p w:rsidR="0055173B" w:rsidRDefault="0055173B" w:rsidP="002B4ED7">
      <w:pPr>
        <w:pStyle w:val="ListParagraph"/>
        <w:numPr>
          <w:ilvl w:val="0"/>
          <w:numId w:val="4"/>
        </w:numPr>
        <w:spacing w:after="140"/>
        <w:ind w:left="567" w:hanging="567"/>
        <w:contextualSpacing w:val="0"/>
        <w:rPr>
          <w:lang w:val="en-NZ"/>
        </w:rPr>
      </w:pPr>
      <w:r>
        <w:rPr>
          <w:lang w:val="en-NZ"/>
        </w:rPr>
        <w:t>has no trust property other than financial arrangements and property incidental to financial arrangements; and</w:t>
      </w:r>
    </w:p>
    <w:p w:rsidR="0055173B" w:rsidRDefault="00CC5E82" w:rsidP="002B4ED7">
      <w:pPr>
        <w:pStyle w:val="ListParagraph"/>
        <w:numPr>
          <w:ilvl w:val="0"/>
          <w:numId w:val="4"/>
        </w:numPr>
        <w:spacing w:after="140"/>
        <w:ind w:left="567" w:hanging="567"/>
        <w:contextualSpacing w:val="0"/>
        <w:rPr>
          <w:lang w:val="en-NZ"/>
        </w:rPr>
      </w:pPr>
      <w:r>
        <w:rPr>
          <w:lang w:val="en-NZ"/>
        </w:rPr>
        <w:t>has total debt that is sourced from another securitisation vehicle, a person who is not associated with the trustee, or an authorised deposit-taking institution regulated by the Australian Prudential Regulation Authority; and</w:t>
      </w:r>
    </w:p>
    <w:p w:rsidR="00CC5E82" w:rsidRDefault="00CC5E82" w:rsidP="002B4ED7">
      <w:pPr>
        <w:pStyle w:val="ListParagraph"/>
        <w:numPr>
          <w:ilvl w:val="0"/>
          <w:numId w:val="4"/>
        </w:numPr>
        <w:ind w:left="567" w:hanging="567"/>
        <w:rPr>
          <w:lang w:val="en-NZ"/>
        </w:rPr>
      </w:pPr>
      <w:r>
        <w:rPr>
          <w:lang w:val="en-NZ"/>
        </w:rPr>
        <w:t>provides funds, directly or indirectly, only to a resident who is not associated with the trustee, unless the association arises because the resident, or another person associated with them, is a settlor of the trust as an incident of the arrangement.</w:t>
      </w:r>
    </w:p>
    <w:p w:rsidR="00CC5E82" w:rsidRDefault="00CC5E82" w:rsidP="00CC5E82">
      <w:pPr>
        <w:rPr>
          <w:lang w:val="en-NZ"/>
        </w:rPr>
      </w:pPr>
    </w:p>
    <w:p w:rsidR="002B4ED7" w:rsidRDefault="002B4ED7">
      <w:pPr>
        <w:jc w:val="left"/>
        <w:rPr>
          <w:lang w:val="en-NZ"/>
        </w:rPr>
      </w:pPr>
      <w:r>
        <w:rPr>
          <w:lang w:val="en-NZ"/>
        </w:rPr>
        <w:br w:type="page"/>
      </w:r>
    </w:p>
    <w:p w:rsidR="00CC5E82" w:rsidRPr="00CC5E82" w:rsidRDefault="00CC5E82" w:rsidP="00CC5E82">
      <w:pPr>
        <w:rPr>
          <w:lang w:val="en-NZ"/>
        </w:rPr>
      </w:pPr>
      <w:r>
        <w:rPr>
          <w:lang w:val="en-NZ"/>
        </w:rPr>
        <w:t xml:space="preserve">These criteria ensure that the grandparenting only applies to securitisation vehicles that, as their core business, borrow money from third parties or Australian authorised deposit-taking institutions </w:t>
      </w:r>
      <w:r w:rsidR="009124E2">
        <w:rPr>
          <w:lang w:val="en-NZ"/>
        </w:rPr>
        <w:t xml:space="preserve">(such as banks) </w:t>
      </w:r>
      <w:r>
        <w:rPr>
          <w:lang w:val="en-NZ"/>
        </w:rPr>
        <w:t>to on-lend to unassociated New Zealand residents.</w:t>
      </w:r>
    </w:p>
    <w:p w:rsidR="00625ADD" w:rsidRPr="00260412" w:rsidRDefault="00625ADD" w:rsidP="00625ADD">
      <w:pPr>
        <w:rPr>
          <w:lang w:val="en-NZ"/>
        </w:rPr>
      </w:pPr>
    </w:p>
    <w:p w:rsidR="00625ADD" w:rsidRPr="00260412" w:rsidRDefault="00625ADD" w:rsidP="00625ADD">
      <w:pPr>
        <w:pStyle w:val="Heading3"/>
        <w:rPr>
          <w:lang w:val="en-NZ"/>
        </w:rPr>
      </w:pPr>
      <w:r w:rsidRPr="00260412">
        <w:rPr>
          <w:lang w:val="en-NZ"/>
        </w:rPr>
        <w:t>Onshore notional loans</w:t>
      </w:r>
    </w:p>
    <w:p w:rsidR="00625ADD" w:rsidRPr="00260412" w:rsidRDefault="00625ADD" w:rsidP="00625ADD">
      <w:pPr>
        <w:rPr>
          <w:lang w:val="en-NZ"/>
        </w:rPr>
      </w:pPr>
    </w:p>
    <w:p w:rsidR="00625ADD" w:rsidRDefault="00625ADD" w:rsidP="00625ADD">
      <w:pPr>
        <w:rPr>
          <w:lang w:val="en-NZ"/>
        </w:rPr>
      </w:pPr>
      <w:r>
        <w:rPr>
          <w:lang w:val="en-NZ"/>
        </w:rPr>
        <w:t>The a</w:t>
      </w:r>
      <w:r w:rsidRPr="00260412">
        <w:rPr>
          <w:lang w:val="en-NZ"/>
        </w:rPr>
        <w:t>mendments equalis</w:t>
      </w:r>
      <w:r>
        <w:rPr>
          <w:lang w:val="en-NZ"/>
        </w:rPr>
        <w:t xml:space="preserve">e </w:t>
      </w:r>
      <w:r w:rsidRPr="00260412">
        <w:rPr>
          <w:lang w:val="en-NZ"/>
        </w:rPr>
        <w:t xml:space="preserve">the tax treatment between foreign banks that channel offshore funding through their </w:t>
      </w:r>
      <w:r>
        <w:rPr>
          <w:lang w:val="en-NZ"/>
        </w:rPr>
        <w:t>New Zealand</w:t>
      </w:r>
      <w:r w:rsidRPr="00260412">
        <w:rPr>
          <w:lang w:val="en-NZ"/>
        </w:rPr>
        <w:t xml:space="preserve"> subsidiaries and foreign banks that channel offshore funding through their New Zealand branches.  In both cases the subsidiary and the branch can claim a deduction for an interest expense on funding provided by their foreign operations (a notional interest expense in the case of the branch).  But whereas the subsidiary has</w:t>
      </w:r>
      <w:r w:rsidR="00756FEC">
        <w:rPr>
          <w:lang w:val="en-NZ"/>
        </w:rPr>
        <w:t xml:space="preserve"> </w:t>
      </w:r>
      <w:r w:rsidR="00CC5E82">
        <w:rPr>
          <w:lang w:val="en-NZ"/>
        </w:rPr>
        <w:t xml:space="preserve">always </w:t>
      </w:r>
      <w:r w:rsidR="00756FEC">
        <w:rPr>
          <w:lang w:val="en-NZ"/>
        </w:rPr>
        <w:t>had</w:t>
      </w:r>
      <w:r w:rsidRPr="00260412">
        <w:rPr>
          <w:lang w:val="en-NZ"/>
        </w:rPr>
        <w:t xml:space="preserve"> to pay NRWT (or AIL going forward under other amendments</w:t>
      </w:r>
      <w:r w:rsidR="00CC5E82">
        <w:rPr>
          <w:lang w:val="en-NZ"/>
        </w:rPr>
        <w:t xml:space="preserve"> </w:t>
      </w:r>
      <w:r w:rsidR="00CC5E82" w:rsidRPr="00F77F02">
        <w:rPr>
          <w:lang w:val="en-NZ"/>
        </w:rPr>
        <w:t>discussed above</w:t>
      </w:r>
      <w:r w:rsidRPr="00260412">
        <w:rPr>
          <w:lang w:val="en-NZ"/>
        </w:rPr>
        <w:t xml:space="preserve">) on its interest payment, the branch </w:t>
      </w:r>
      <w:r w:rsidR="00CC5E82">
        <w:rPr>
          <w:lang w:val="en-NZ"/>
        </w:rPr>
        <w:t>previously paid</w:t>
      </w:r>
      <w:r w:rsidRPr="00260412">
        <w:rPr>
          <w:lang w:val="en-NZ"/>
        </w:rPr>
        <w:t xml:space="preserve"> neither because there is no actual interest flow to the extent that its payment is to head office rather than to a separate company (because it is not possible for one part of an entity to make a legally recognised payment to another – the </w:t>
      </w:r>
      <w:r w:rsidR="00CF7EDE">
        <w:rPr>
          <w:lang w:val="en-NZ"/>
        </w:rPr>
        <w:t>“</w:t>
      </w:r>
      <w:r w:rsidRPr="00260412">
        <w:rPr>
          <w:lang w:val="en-NZ"/>
        </w:rPr>
        <w:t>payment</w:t>
      </w:r>
      <w:r w:rsidR="00CF7EDE">
        <w:rPr>
          <w:lang w:val="en-NZ"/>
        </w:rPr>
        <w:t>”</w:t>
      </w:r>
      <w:r w:rsidRPr="00260412">
        <w:rPr>
          <w:lang w:val="en-NZ"/>
        </w:rPr>
        <w:t xml:space="preserve"> i</w:t>
      </w:r>
      <w:r>
        <w:rPr>
          <w:lang w:val="en-NZ"/>
        </w:rPr>
        <w:t>s merely a movement of funds).</w:t>
      </w:r>
    </w:p>
    <w:p w:rsidR="00625ADD" w:rsidRDefault="00625ADD" w:rsidP="00625ADD">
      <w:pPr>
        <w:rPr>
          <w:lang w:val="en-NZ"/>
        </w:rPr>
      </w:pPr>
    </w:p>
    <w:p w:rsidR="00625ADD" w:rsidRPr="00260412" w:rsidRDefault="00625ADD" w:rsidP="00625ADD">
      <w:pPr>
        <w:rPr>
          <w:lang w:val="en-NZ"/>
        </w:rPr>
      </w:pPr>
      <w:r w:rsidRPr="00260412">
        <w:rPr>
          <w:lang w:val="en-NZ"/>
        </w:rPr>
        <w:t xml:space="preserve">This </w:t>
      </w:r>
      <w:r w:rsidR="00461248">
        <w:rPr>
          <w:lang w:val="en-NZ"/>
        </w:rPr>
        <w:t>wa</w:t>
      </w:r>
      <w:r w:rsidRPr="00260412">
        <w:rPr>
          <w:lang w:val="en-NZ"/>
        </w:rPr>
        <w:t xml:space="preserve">s </w:t>
      </w:r>
      <w:r>
        <w:rPr>
          <w:lang w:val="en-NZ"/>
        </w:rPr>
        <w:t xml:space="preserve">an inconsistent result </w:t>
      </w:r>
      <w:r w:rsidR="00461248">
        <w:rPr>
          <w:lang w:val="en-NZ"/>
        </w:rPr>
        <w:t>and had</w:t>
      </w:r>
      <w:r w:rsidRPr="00260412">
        <w:rPr>
          <w:lang w:val="en-NZ"/>
        </w:rPr>
        <w:t xml:space="preserve"> the potential to distort behaviour.  Australia has rules which are similar, in substance, to</w:t>
      </w:r>
      <w:r w:rsidR="00461248">
        <w:rPr>
          <w:lang w:val="en-NZ"/>
        </w:rPr>
        <w:t xml:space="preserve"> the changes</w:t>
      </w:r>
      <w:r w:rsidRPr="00260412">
        <w:rPr>
          <w:lang w:val="en-NZ"/>
        </w:rPr>
        <w:t>.  The Australian rules apply a 5% withholding tax to a notional interest payment by a branch to its head office.</w:t>
      </w:r>
    </w:p>
    <w:p w:rsidR="00625ADD" w:rsidRDefault="00625ADD" w:rsidP="00625ADD">
      <w:pPr>
        <w:jc w:val="left"/>
        <w:rPr>
          <w:lang w:val="en-NZ"/>
        </w:rPr>
      </w:pPr>
    </w:p>
    <w:p w:rsidR="00625ADD" w:rsidRDefault="00CB4784" w:rsidP="00625ADD">
      <w:pPr>
        <w:rPr>
          <w:lang w:val="en-NZ"/>
        </w:rPr>
      </w:pPr>
      <w:r>
        <w:rPr>
          <w:lang w:val="en-NZ"/>
        </w:rPr>
        <w:t>A</w:t>
      </w:r>
      <w:r w:rsidR="00625ADD" w:rsidRPr="00260412">
        <w:rPr>
          <w:lang w:val="en-NZ"/>
        </w:rPr>
        <w:t>n amount that the head office makes available to the branch, that is recorded in the branch</w:t>
      </w:r>
      <w:r w:rsidR="00CF7EDE">
        <w:rPr>
          <w:lang w:val="en-NZ"/>
        </w:rPr>
        <w:t>’</w:t>
      </w:r>
      <w:r w:rsidR="00625ADD" w:rsidRPr="00260412">
        <w:rPr>
          <w:lang w:val="en-NZ"/>
        </w:rPr>
        <w:t>s accounting records</w:t>
      </w:r>
      <w:r w:rsidR="00625ADD">
        <w:rPr>
          <w:lang w:val="en-NZ"/>
        </w:rPr>
        <w:t>,</w:t>
      </w:r>
      <w:r w:rsidR="00625ADD" w:rsidRPr="00260412">
        <w:rPr>
          <w:lang w:val="en-NZ"/>
        </w:rPr>
        <w:t xml:space="preserve"> is a notional loan from the head office to the branch.  </w:t>
      </w:r>
      <w:r w:rsidR="00625ADD">
        <w:rPr>
          <w:lang w:val="en-NZ"/>
        </w:rPr>
        <w:t>When</w:t>
      </w:r>
      <w:r w:rsidR="00625ADD" w:rsidRPr="00260412">
        <w:rPr>
          <w:lang w:val="en-NZ"/>
        </w:rPr>
        <w:t xml:space="preserve"> the branch is allowed a deduction as an interest payment on that notional loan </w:t>
      </w:r>
      <w:r w:rsidR="00625ADD">
        <w:rPr>
          <w:lang w:val="en-NZ"/>
        </w:rPr>
        <w:t>it</w:t>
      </w:r>
      <w:r w:rsidR="00625ADD" w:rsidRPr="00260412">
        <w:rPr>
          <w:lang w:val="en-NZ"/>
        </w:rPr>
        <w:t xml:space="preserve"> will be a notional interest payment that can be subject to NRWT or AIL.</w:t>
      </w:r>
      <w:r w:rsidR="00B9571D">
        <w:rPr>
          <w:lang w:val="en-NZ"/>
        </w:rPr>
        <w:t xml:space="preserve">  NRWT or AIL will be calculated on an accrual basis to match that already calculated by the banks for financial reporting and income tax purposes.</w:t>
      </w:r>
    </w:p>
    <w:p w:rsidR="001F211E" w:rsidRDefault="001F211E" w:rsidP="00625ADD">
      <w:pPr>
        <w:rPr>
          <w:lang w:val="en-NZ"/>
        </w:rPr>
      </w:pPr>
    </w:p>
    <w:p w:rsidR="006C511E" w:rsidRPr="00260412" w:rsidRDefault="006C511E" w:rsidP="00625ADD">
      <w:pPr>
        <w:rPr>
          <w:lang w:val="en-NZ"/>
        </w:rPr>
      </w:pPr>
      <w:r>
        <w:rPr>
          <w:lang w:val="en-NZ"/>
        </w:rPr>
        <w:t>When a foreign</w:t>
      </w:r>
      <w:r w:rsidR="00225C9C">
        <w:rPr>
          <w:lang w:val="en-NZ"/>
        </w:rPr>
        <w:t>-</w:t>
      </w:r>
      <w:r>
        <w:rPr>
          <w:lang w:val="en-NZ"/>
        </w:rPr>
        <w:t>owned bank borrows specifically to fund its New Zealand operations through a New Zealand branch any interest payments have always had a New Zealand source and been subject to NRWT or AIL.  Accordingly, these interest payments are removed from the notional loan changes so they are not subject to NRWT or AIL twice.</w:t>
      </w:r>
    </w:p>
    <w:p w:rsidR="00625ADD" w:rsidRPr="00260412" w:rsidRDefault="00625ADD" w:rsidP="00625ADD">
      <w:pPr>
        <w:rPr>
          <w:lang w:val="en-NZ"/>
        </w:rPr>
      </w:pPr>
    </w:p>
    <w:p w:rsidR="00625ADD" w:rsidRDefault="00625ADD" w:rsidP="00625ADD">
      <w:pPr>
        <w:rPr>
          <w:lang w:val="en-NZ"/>
        </w:rPr>
      </w:pPr>
      <w:r w:rsidRPr="00260412">
        <w:rPr>
          <w:lang w:val="en-NZ"/>
        </w:rPr>
        <w:t xml:space="preserve">Like the offshore branch </w:t>
      </w:r>
      <w:r w:rsidR="00CB4784">
        <w:rPr>
          <w:lang w:val="en-NZ"/>
        </w:rPr>
        <w:t>changes</w:t>
      </w:r>
      <w:r w:rsidR="00461248">
        <w:rPr>
          <w:lang w:val="en-NZ"/>
        </w:rPr>
        <w:t xml:space="preserve"> </w:t>
      </w:r>
      <w:r w:rsidRPr="00260412">
        <w:rPr>
          <w:lang w:val="en-NZ"/>
        </w:rPr>
        <w:t>discussed above</w:t>
      </w:r>
      <w:r>
        <w:rPr>
          <w:lang w:val="en-NZ"/>
        </w:rPr>
        <w:t>,</w:t>
      </w:r>
      <w:r w:rsidRPr="00260412">
        <w:rPr>
          <w:lang w:val="en-NZ"/>
        </w:rPr>
        <w:t xml:space="preserve"> these notional interest payments will require AIL to be paid if NRWT is not withheld.</w:t>
      </w:r>
    </w:p>
    <w:p w:rsidR="00B9571D" w:rsidRDefault="00B9571D" w:rsidP="00625ADD">
      <w:pPr>
        <w:rPr>
          <w:lang w:val="en-NZ"/>
        </w:rPr>
      </w:pPr>
    </w:p>
    <w:p w:rsidR="00B9571D" w:rsidRDefault="00B9571D" w:rsidP="00625ADD">
      <w:pPr>
        <w:rPr>
          <w:lang w:val="en-NZ"/>
        </w:rPr>
      </w:pPr>
      <w:r>
        <w:rPr>
          <w:lang w:val="en-NZ"/>
        </w:rPr>
        <w:t xml:space="preserve">Interest on notional loans is deemed to be paid on the last day of the third month following an income year.  This period </w:t>
      </w:r>
      <w:r w:rsidR="00A62C16">
        <w:rPr>
          <w:lang w:val="en-NZ"/>
        </w:rPr>
        <w:t>matches the period within which the interest charge must be calculated for non-tax reporting purposes</w:t>
      </w:r>
      <w:r>
        <w:rPr>
          <w:lang w:val="en-NZ"/>
        </w:rPr>
        <w:t>.</w:t>
      </w:r>
    </w:p>
    <w:p w:rsidR="00B9571D" w:rsidRDefault="00B9571D" w:rsidP="00625ADD">
      <w:pPr>
        <w:rPr>
          <w:lang w:val="en-NZ"/>
        </w:rPr>
      </w:pPr>
    </w:p>
    <w:p w:rsidR="00B9571D" w:rsidRPr="00260412" w:rsidRDefault="00B9571D" w:rsidP="00625ADD">
      <w:pPr>
        <w:rPr>
          <w:lang w:val="en-NZ"/>
        </w:rPr>
      </w:pPr>
      <w:r>
        <w:rPr>
          <w:lang w:val="en-NZ"/>
        </w:rPr>
        <w:t>If a subsequent transfer pricing adjustment reduces the income tax deduction available for a notional loan new section 86GB(1)(b) will also reduce the AIL liability by the same amount.</w:t>
      </w:r>
    </w:p>
    <w:p w:rsidR="00625ADD" w:rsidRDefault="00625ADD" w:rsidP="00625ADD">
      <w:pPr>
        <w:rPr>
          <w:lang w:val="en-NZ"/>
        </w:rPr>
      </w:pPr>
    </w:p>
    <w:p w:rsidR="002B4ED7" w:rsidRDefault="002B4ED7">
      <w:pPr>
        <w:jc w:val="left"/>
        <w:rPr>
          <w:b/>
          <w:lang w:val="en-NZ"/>
        </w:rPr>
      </w:pPr>
      <w:r>
        <w:rPr>
          <w:b/>
          <w:lang w:val="en-NZ"/>
        </w:rPr>
        <w:br w:type="page"/>
      </w:r>
    </w:p>
    <w:p w:rsidR="00461248" w:rsidRDefault="00461248" w:rsidP="00461248">
      <w:pPr>
        <w:jc w:val="center"/>
        <w:rPr>
          <w:b/>
          <w:lang w:val="en-NZ"/>
        </w:rPr>
      </w:pPr>
      <w:r>
        <w:rPr>
          <w:b/>
          <w:lang w:val="en-NZ"/>
        </w:rPr>
        <w:t>New treatment of notional loans</w:t>
      </w:r>
    </w:p>
    <w:p w:rsidR="00A62C16" w:rsidRPr="00461248" w:rsidRDefault="00A62C16" w:rsidP="00461248">
      <w:pPr>
        <w:jc w:val="center"/>
        <w:rPr>
          <w:b/>
          <w:lang w:val="en-NZ"/>
        </w:rPr>
      </w:pPr>
    </w:p>
    <w:p w:rsidR="00461248" w:rsidRDefault="008641E0" w:rsidP="00461248">
      <w:pPr>
        <w:jc w:val="center"/>
        <w:rPr>
          <w:lang w:val="en-NZ"/>
        </w:rPr>
      </w:pPr>
      <w:r>
        <w:object w:dxaOrig="6780" w:dyaOrig="4455">
          <v:shape id="_x0000_i1029" type="#_x0000_t75" alt="New treatment of notional loans" style="width:339pt;height:222.75pt" o:ole="">
            <v:imagedata r:id="rId16" o:title=""/>
          </v:shape>
          <o:OLEObject Type="Embed" ProgID="Visio.Drawing.15" ShapeID="_x0000_i1029" DrawAspect="Content" ObjectID="_1553878724" r:id="rId17"/>
        </w:object>
      </w:r>
    </w:p>
    <w:p w:rsidR="00461248" w:rsidRDefault="00461248" w:rsidP="00625ADD">
      <w:pPr>
        <w:rPr>
          <w:lang w:val="en-NZ"/>
        </w:rPr>
      </w:pPr>
    </w:p>
    <w:p w:rsidR="002B4ED7" w:rsidRPr="00260412" w:rsidRDefault="002B4ED7" w:rsidP="00625ADD">
      <w:pPr>
        <w:rPr>
          <w:lang w:val="en-NZ"/>
        </w:rPr>
      </w:pPr>
    </w:p>
    <w:p w:rsidR="00625ADD" w:rsidRPr="00260412" w:rsidRDefault="00625ADD" w:rsidP="00625ADD">
      <w:pPr>
        <w:pStyle w:val="Heading4"/>
        <w:rPr>
          <w:lang w:val="en-NZ"/>
        </w:rPr>
      </w:pPr>
      <w:r w:rsidRPr="00260412">
        <w:rPr>
          <w:lang w:val="en-NZ"/>
        </w:rPr>
        <w:t xml:space="preserve">Grandparenting of the notional loan </w:t>
      </w:r>
      <w:r w:rsidR="006C511E">
        <w:rPr>
          <w:lang w:val="en-NZ"/>
        </w:rPr>
        <w:t>changes</w:t>
      </w:r>
    </w:p>
    <w:p w:rsidR="00625ADD" w:rsidRPr="00260412" w:rsidRDefault="00625ADD" w:rsidP="00625ADD">
      <w:pPr>
        <w:rPr>
          <w:lang w:val="en-NZ"/>
        </w:rPr>
      </w:pPr>
    </w:p>
    <w:p w:rsidR="00625ADD" w:rsidRDefault="00625ADD">
      <w:pPr>
        <w:rPr>
          <w:lang w:val="en-NZ"/>
        </w:rPr>
      </w:pPr>
      <w:r w:rsidRPr="00260412">
        <w:rPr>
          <w:lang w:val="en-NZ"/>
        </w:rPr>
        <w:t xml:space="preserve">A degree of grandparenting is appropriate as these notional loans have been used to provide funding at fixed rates to New Zealand borrowers.  However, unlike the offshore branch exemption and onshore branch exemption </w:t>
      </w:r>
      <w:r w:rsidR="00461248">
        <w:rPr>
          <w:lang w:val="en-NZ"/>
        </w:rPr>
        <w:t xml:space="preserve">changes </w:t>
      </w:r>
      <w:r w:rsidRPr="00260412">
        <w:rPr>
          <w:lang w:val="en-NZ"/>
        </w:rPr>
        <w:t>discussed above</w:t>
      </w:r>
      <w:r>
        <w:rPr>
          <w:lang w:val="en-NZ"/>
        </w:rPr>
        <w:t>,</w:t>
      </w:r>
      <w:r w:rsidRPr="00260412">
        <w:rPr>
          <w:lang w:val="en-NZ"/>
        </w:rPr>
        <w:t xml:space="preserve"> funding allocated to the </w:t>
      </w:r>
      <w:r>
        <w:rPr>
          <w:lang w:val="en-NZ"/>
        </w:rPr>
        <w:t>New Zealand</w:t>
      </w:r>
      <w:r w:rsidRPr="00260412">
        <w:rPr>
          <w:lang w:val="en-NZ"/>
        </w:rPr>
        <w:t xml:space="preserve"> branch cannot be identified from a specific loan that may have a fixed maturity date (otherwise it would already be subject to NRWT/AIL).  These rules will therefore apply to existing arrangements after a grandparenting period of two years.</w:t>
      </w:r>
    </w:p>
    <w:p w:rsidR="008F2327" w:rsidRDefault="008F2327">
      <w:pPr>
        <w:rPr>
          <w:lang w:val="en-NZ"/>
        </w:rPr>
      </w:pPr>
    </w:p>
    <w:p w:rsidR="001F211E" w:rsidRPr="00527DC8" w:rsidRDefault="001F211E" w:rsidP="008F2327">
      <w:pPr>
        <w:jc w:val="left"/>
        <w:rPr>
          <w:szCs w:val="24"/>
          <w:lang w:val="en-NZ"/>
        </w:rPr>
      </w:pPr>
    </w:p>
    <w:p w:rsidR="008F2327" w:rsidRPr="00527DC8" w:rsidRDefault="008F2327" w:rsidP="008F2327">
      <w:pPr>
        <w:pBdr>
          <w:top w:val="single" w:sz="4" w:space="10" w:color="auto"/>
          <w:left w:val="single" w:sz="4" w:space="10" w:color="auto"/>
          <w:bottom w:val="single" w:sz="4" w:space="10" w:color="auto"/>
          <w:right w:val="single" w:sz="4" w:space="10" w:color="auto"/>
        </w:pBdr>
        <w:jc w:val="left"/>
        <w:rPr>
          <w:b/>
          <w:sz w:val="20"/>
          <w:lang w:val="en-NZ"/>
        </w:rPr>
      </w:pPr>
      <w:r w:rsidRPr="00527DC8">
        <w:rPr>
          <w:b/>
          <w:sz w:val="20"/>
          <w:lang w:val="en-NZ"/>
        </w:rPr>
        <w:t>Example</w:t>
      </w:r>
      <w:r>
        <w:rPr>
          <w:b/>
          <w:sz w:val="20"/>
          <w:lang w:val="en-NZ"/>
        </w:rPr>
        <w:t xml:space="preserve"> 1</w:t>
      </w:r>
      <w:r w:rsidR="001F211E">
        <w:rPr>
          <w:b/>
          <w:sz w:val="20"/>
          <w:lang w:val="en-NZ"/>
        </w:rPr>
        <w:t>7</w:t>
      </w:r>
      <w:r>
        <w:rPr>
          <w:b/>
          <w:sz w:val="20"/>
          <w:lang w:val="en-NZ"/>
        </w:rPr>
        <w:t>: Notional loans</w:t>
      </w:r>
    </w:p>
    <w:p w:rsidR="008F2327" w:rsidRPr="00D41CBA" w:rsidRDefault="008F2327" w:rsidP="008F2327">
      <w:pPr>
        <w:pBdr>
          <w:top w:val="single" w:sz="4" w:space="10" w:color="auto"/>
          <w:left w:val="single" w:sz="4" w:space="10" w:color="auto"/>
          <w:bottom w:val="single" w:sz="4" w:space="10" w:color="auto"/>
          <w:right w:val="single" w:sz="4" w:space="10" w:color="auto"/>
        </w:pBdr>
        <w:jc w:val="left"/>
        <w:rPr>
          <w:sz w:val="20"/>
          <w:lang w:val="en-NZ"/>
        </w:rPr>
      </w:pPr>
    </w:p>
    <w:p w:rsidR="00A02B3F" w:rsidRDefault="008F2327" w:rsidP="008F2327">
      <w:pPr>
        <w:pBdr>
          <w:top w:val="single" w:sz="4" w:space="10" w:color="auto"/>
          <w:left w:val="single" w:sz="4" w:space="10" w:color="auto"/>
          <w:bottom w:val="single" w:sz="4" w:space="10" w:color="auto"/>
          <w:right w:val="single" w:sz="4" w:space="10" w:color="auto"/>
        </w:pBdr>
        <w:rPr>
          <w:sz w:val="20"/>
          <w:lang w:val="en-NZ"/>
        </w:rPr>
      </w:pPr>
      <w:r>
        <w:rPr>
          <w:sz w:val="20"/>
          <w:lang w:val="en-NZ"/>
        </w:rPr>
        <w:t>UK Bank, which has a 31 December balance date, is registered with the Reserve Bank of New Zealand for operations through its New Zealand branch</w:t>
      </w:r>
      <w:r w:rsidRPr="00527DC8">
        <w:rPr>
          <w:sz w:val="20"/>
          <w:lang w:val="en-NZ"/>
        </w:rPr>
        <w:t>.</w:t>
      </w:r>
      <w:r>
        <w:rPr>
          <w:sz w:val="20"/>
          <w:lang w:val="en-NZ"/>
        </w:rPr>
        <w:t xml:space="preserve">  On 1 January 2017 UK B</w:t>
      </w:r>
      <w:r w:rsidR="00636888">
        <w:rPr>
          <w:sz w:val="20"/>
          <w:lang w:val="en-NZ"/>
        </w:rPr>
        <w:t>ank</w:t>
      </w:r>
      <w:r>
        <w:rPr>
          <w:sz w:val="20"/>
          <w:lang w:val="en-NZ"/>
        </w:rPr>
        <w:t xml:space="preserve"> allocates NZ$1 billion of funding to its New Zealand branch</w:t>
      </w:r>
      <w:r w:rsidR="00A02B3F">
        <w:rPr>
          <w:sz w:val="20"/>
          <w:lang w:val="en-NZ"/>
        </w:rPr>
        <w:t xml:space="preserve">.  This funding is provided for a term of </w:t>
      </w:r>
      <w:r w:rsidR="00636888">
        <w:rPr>
          <w:sz w:val="20"/>
          <w:lang w:val="en-NZ"/>
        </w:rPr>
        <w:t>five</w:t>
      </w:r>
      <w:r w:rsidR="00A02B3F">
        <w:rPr>
          <w:sz w:val="20"/>
          <w:lang w:val="en-NZ"/>
        </w:rPr>
        <w:t xml:space="preserve"> years at a fixed interest rate of 5%.</w:t>
      </w:r>
    </w:p>
    <w:p w:rsidR="00A02B3F" w:rsidRDefault="00A02B3F" w:rsidP="008F2327">
      <w:pPr>
        <w:pBdr>
          <w:top w:val="single" w:sz="4" w:space="10" w:color="auto"/>
          <w:left w:val="single" w:sz="4" w:space="10" w:color="auto"/>
          <w:bottom w:val="single" w:sz="4" w:space="10" w:color="auto"/>
          <w:right w:val="single" w:sz="4" w:space="10" w:color="auto"/>
        </w:pBdr>
        <w:rPr>
          <w:sz w:val="20"/>
          <w:lang w:val="en-NZ"/>
        </w:rPr>
      </w:pPr>
    </w:p>
    <w:p w:rsidR="008F2327" w:rsidRDefault="00A02B3F" w:rsidP="008F2327">
      <w:pPr>
        <w:pBdr>
          <w:top w:val="single" w:sz="4" w:space="10" w:color="auto"/>
          <w:left w:val="single" w:sz="4" w:space="10" w:color="auto"/>
          <w:bottom w:val="single" w:sz="4" w:space="10" w:color="auto"/>
          <w:right w:val="single" w:sz="4" w:space="10" w:color="auto"/>
        </w:pBdr>
        <w:rPr>
          <w:sz w:val="20"/>
          <w:lang w:val="en-NZ"/>
        </w:rPr>
      </w:pPr>
      <w:r>
        <w:rPr>
          <w:sz w:val="20"/>
          <w:lang w:val="en-NZ"/>
        </w:rPr>
        <w:t xml:space="preserve">Inland Revenue has reviewed this funding </w:t>
      </w:r>
      <w:r w:rsidR="007A68BE">
        <w:rPr>
          <w:sz w:val="20"/>
          <w:lang w:val="en-NZ"/>
        </w:rPr>
        <w:t>and</w:t>
      </w:r>
      <w:r>
        <w:rPr>
          <w:sz w:val="20"/>
          <w:lang w:val="en-NZ"/>
        </w:rPr>
        <w:t xml:space="preserve"> did not identify any significant mispricing</w:t>
      </w:r>
      <w:r w:rsidR="007A68BE">
        <w:rPr>
          <w:sz w:val="20"/>
          <w:lang w:val="en-NZ"/>
        </w:rPr>
        <w:t>,</w:t>
      </w:r>
      <w:r>
        <w:rPr>
          <w:sz w:val="20"/>
          <w:lang w:val="en-NZ"/>
        </w:rPr>
        <w:t xml:space="preserve"> and has rated the transaction for transfer pricing purposes as a low risk.  Accordingly UK Bank</w:t>
      </w:r>
      <w:r w:rsidR="00CF7EDE">
        <w:rPr>
          <w:sz w:val="20"/>
          <w:lang w:val="en-NZ"/>
        </w:rPr>
        <w:t>’</w:t>
      </w:r>
      <w:r w:rsidR="007A68BE">
        <w:rPr>
          <w:sz w:val="20"/>
          <w:lang w:val="en-NZ"/>
        </w:rPr>
        <w:t>s</w:t>
      </w:r>
      <w:r>
        <w:rPr>
          <w:sz w:val="20"/>
          <w:lang w:val="en-NZ"/>
        </w:rPr>
        <w:t xml:space="preserve"> NZ Branch will include $50 million of interest expenditure in </w:t>
      </w:r>
      <w:r w:rsidR="00D42A36">
        <w:rPr>
          <w:sz w:val="20"/>
          <w:lang w:val="en-NZ"/>
        </w:rPr>
        <w:t>its</w:t>
      </w:r>
      <w:r>
        <w:rPr>
          <w:sz w:val="20"/>
          <w:lang w:val="en-NZ"/>
        </w:rPr>
        <w:t xml:space="preserve"> financial statements and income tax returns for the years ended 31 Dec</w:t>
      </w:r>
      <w:r w:rsidR="00C93316">
        <w:rPr>
          <w:sz w:val="20"/>
          <w:lang w:val="en-NZ"/>
        </w:rPr>
        <w:t>ember 2017 to 31 December 2021.</w:t>
      </w:r>
    </w:p>
    <w:p w:rsidR="00A02B3F" w:rsidRDefault="00A02B3F" w:rsidP="008F2327">
      <w:pPr>
        <w:pBdr>
          <w:top w:val="single" w:sz="4" w:space="10" w:color="auto"/>
          <w:left w:val="single" w:sz="4" w:space="10" w:color="auto"/>
          <w:bottom w:val="single" w:sz="4" w:space="10" w:color="auto"/>
          <w:right w:val="single" w:sz="4" w:space="10" w:color="auto"/>
        </w:pBdr>
        <w:rPr>
          <w:sz w:val="20"/>
          <w:lang w:val="en-NZ"/>
        </w:rPr>
      </w:pPr>
    </w:p>
    <w:p w:rsidR="00A02B3F" w:rsidRDefault="00A02B3F" w:rsidP="008F2327">
      <w:pPr>
        <w:pBdr>
          <w:top w:val="single" w:sz="4" w:space="10" w:color="auto"/>
          <w:left w:val="single" w:sz="4" w:space="10" w:color="auto"/>
          <w:bottom w:val="single" w:sz="4" w:space="10" w:color="auto"/>
          <w:right w:val="single" w:sz="4" w:space="10" w:color="auto"/>
        </w:pBdr>
        <w:rPr>
          <w:sz w:val="20"/>
          <w:lang w:val="en-NZ"/>
        </w:rPr>
      </w:pPr>
      <w:r>
        <w:rPr>
          <w:sz w:val="20"/>
          <w:lang w:val="en-NZ"/>
        </w:rPr>
        <w:t xml:space="preserve">As this transaction was entered into </w:t>
      </w:r>
      <w:r w:rsidR="001E61CC">
        <w:rPr>
          <w:sz w:val="20"/>
          <w:lang w:val="en-NZ"/>
        </w:rPr>
        <w:t xml:space="preserve">prior to the enactment of the new rules it will qualify for the two year grandparenting.  Therefore the notional loan changes will apply to the loan from 1 January 2020.  Before </w:t>
      </w:r>
      <w:r w:rsidR="00A12F9E">
        <w:rPr>
          <w:sz w:val="20"/>
          <w:lang w:val="en-NZ"/>
        </w:rPr>
        <w:t>31 December 2020</w:t>
      </w:r>
      <w:r w:rsidR="001E61CC">
        <w:rPr>
          <w:sz w:val="20"/>
          <w:lang w:val="en-NZ"/>
        </w:rPr>
        <w:t xml:space="preserve"> UK Bank</w:t>
      </w:r>
      <w:r w:rsidR="00CF7EDE">
        <w:rPr>
          <w:sz w:val="20"/>
          <w:lang w:val="en-NZ"/>
        </w:rPr>
        <w:t>’</w:t>
      </w:r>
      <w:r w:rsidR="006D2B4F">
        <w:rPr>
          <w:sz w:val="20"/>
          <w:lang w:val="en-NZ"/>
        </w:rPr>
        <w:t>s</w:t>
      </w:r>
      <w:r w:rsidR="001E61CC">
        <w:rPr>
          <w:sz w:val="20"/>
          <w:lang w:val="en-NZ"/>
        </w:rPr>
        <w:t xml:space="preserve"> NZ Branch registers as an approved issuer (if they were not already) and provides a completed IR 397 form to treat the loan as a registered security</w:t>
      </w:r>
      <w:r w:rsidR="00A12F9E">
        <w:rPr>
          <w:sz w:val="20"/>
          <w:lang w:val="en-NZ"/>
        </w:rPr>
        <w:t>.</w:t>
      </w:r>
    </w:p>
    <w:p w:rsidR="00A12F9E" w:rsidRDefault="00A12F9E" w:rsidP="008F2327">
      <w:pPr>
        <w:pBdr>
          <w:top w:val="single" w:sz="4" w:space="10" w:color="auto"/>
          <w:left w:val="single" w:sz="4" w:space="10" w:color="auto"/>
          <w:bottom w:val="single" w:sz="4" w:space="10" w:color="auto"/>
          <w:right w:val="single" w:sz="4" w:space="10" w:color="auto"/>
        </w:pBdr>
        <w:rPr>
          <w:sz w:val="20"/>
          <w:lang w:val="en-NZ"/>
        </w:rPr>
      </w:pPr>
    </w:p>
    <w:p w:rsidR="00A12F9E" w:rsidRPr="000D46F8" w:rsidRDefault="00A12F9E" w:rsidP="008F2327">
      <w:pPr>
        <w:pBdr>
          <w:top w:val="single" w:sz="4" w:space="10" w:color="auto"/>
          <w:left w:val="single" w:sz="4" w:space="10" w:color="auto"/>
          <w:bottom w:val="single" w:sz="4" w:space="10" w:color="auto"/>
          <w:right w:val="single" w:sz="4" w:space="10" w:color="auto"/>
        </w:pBdr>
        <w:rPr>
          <w:sz w:val="20"/>
          <w:lang w:val="en-NZ"/>
        </w:rPr>
      </w:pPr>
      <w:r>
        <w:rPr>
          <w:sz w:val="20"/>
          <w:lang w:val="en-NZ"/>
        </w:rPr>
        <w:t>UK Bank</w:t>
      </w:r>
      <w:r w:rsidR="00CF7EDE">
        <w:rPr>
          <w:sz w:val="20"/>
          <w:lang w:val="en-NZ"/>
        </w:rPr>
        <w:t>’</w:t>
      </w:r>
      <w:r w:rsidR="006D2B4F">
        <w:rPr>
          <w:sz w:val="20"/>
          <w:lang w:val="en-NZ"/>
        </w:rPr>
        <w:t>s</w:t>
      </w:r>
      <w:r>
        <w:rPr>
          <w:sz w:val="20"/>
          <w:lang w:val="en-NZ"/>
        </w:rPr>
        <w:t xml:space="preserve"> NZ Branch is treated as paying NZ$50 million of interest on a registered security to UK Bank on 31 March 2021 (for the year ended 31 December 2020) and 31 March 2022 (for the year ended 31 December 2021).  It includes $50 million of interest payments and $1 million of approved issuer levy in its AIL returns for the 31 March 2021 and 31 March 2022 periods.</w:t>
      </w:r>
    </w:p>
    <w:p w:rsidR="008F2327" w:rsidRPr="00E9794B" w:rsidRDefault="008F2327" w:rsidP="008F2327">
      <w:pPr>
        <w:jc w:val="left"/>
        <w:rPr>
          <w:szCs w:val="24"/>
          <w:lang w:val="en-NZ"/>
        </w:rPr>
      </w:pPr>
    </w:p>
    <w:sectPr w:rsidR="008F2327" w:rsidRPr="00E9794B" w:rsidSect="009853B9">
      <w:footerReference w:type="default" r:id="rId18"/>
      <w:footerReference w:type="first" r:id="rId19"/>
      <w:type w:val="continuous"/>
      <w:pgSz w:w="11906" w:h="16838" w:code="9"/>
      <w:pgMar w:top="1134" w:right="1418" w:bottom="1134" w:left="1418"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20" w:rsidRDefault="00643520">
      <w:r>
        <w:separator/>
      </w:r>
    </w:p>
  </w:endnote>
  <w:endnote w:type="continuationSeparator" w:id="0">
    <w:p w:rsidR="00643520" w:rsidRDefault="0064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16520"/>
      <w:docPartObj>
        <w:docPartGallery w:val="Page Numbers (Bottom of Page)"/>
        <w:docPartUnique/>
      </w:docPartObj>
    </w:sdtPr>
    <w:sdtEndPr>
      <w:rPr>
        <w:noProof/>
      </w:rPr>
    </w:sdtEndPr>
    <w:sdtContent>
      <w:p w:rsidR="00643520" w:rsidRDefault="00643520" w:rsidP="009853B9">
        <w:pPr>
          <w:pStyle w:val="Footer"/>
        </w:pPr>
        <w:r>
          <w:fldChar w:fldCharType="begin"/>
        </w:r>
        <w:r>
          <w:instrText xml:space="preserve"> PAGE   \* MERGEFORMAT </w:instrText>
        </w:r>
        <w:r>
          <w:fldChar w:fldCharType="separate"/>
        </w:r>
        <w:r w:rsidR="00C309D8">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20" w:rsidRDefault="00643520" w:rsidP="00960A24">
    <w:pPr>
      <w:pStyle w:val="Footer"/>
    </w:pPr>
    <w:r>
      <w:fldChar w:fldCharType="begin"/>
    </w:r>
    <w:r>
      <w:instrText xml:space="preserve"> PAGE </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20" w:rsidRDefault="00643520">
      <w:r>
        <w:separator/>
      </w:r>
    </w:p>
  </w:footnote>
  <w:footnote w:type="continuationSeparator" w:id="0">
    <w:p w:rsidR="00643520" w:rsidRDefault="00643520">
      <w:r>
        <w:continuationSeparator/>
      </w:r>
    </w:p>
  </w:footnote>
  <w:footnote w:id="1">
    <w:p w:rsidR="00643520" w:rsidRPr="009D50A8" w:rsidRDefault="00643520">
      <w:pPr>
        <w:pStyle w:val="FootnoteText"/>
        <w:rPr>
          <w:lang w:val="en-NZ"/>
        </w:rPr>
      </w:pPr>
      <w:r>
        <w:rPr>
          <w:rStyle w:val="FootnoteReference"/>
        </w:rPr>
        <w:footnoteRef/>
      </w:r>
      <w:r>
        <w:t xml:space="preserve"> See, for example, sections EX 20B and EX 20C in the CFC rules and sections FE 5, FE 6B, FE 13, FE 14, FE 15 and FE 18 in the thin capitalisation rules.</w:t>
      </w:r>
    </w:p>
  </w:footnote>
  <w:footnote w:id="2">
    <w:p w:rsidR="00643520" w:rsidRPr="00B84EA8" w:rsidRDefault="00643520" w:rsidP="00B132E6">
      <w:pPr>
        <w:pStyle w:val="FootnoteText"/>
        <w:rPr>
          <w:lang w:val="en-NZ"/>
        </w:rPr>
      </w:pPr>
      <w:r>
        <w:rPr>
          <w:rStyle w:val="FootnoteReference"/>
        </w:rPr>
        <w:footnoteRef/>
      </w:r>
      <w:r>
        <w:t xml:space="preserve"> </w:t>
      </w:r>
      <w:r>
        <w:rPr>
          <w:lang w:val="en-NZ"/>
        </w:rPr>
        <w:t xml:space="preserve">The exception to this is the de minimis test in section </w:t>
      </w:r>
      <w:proofErr w:type="spellStart"/>
      <w:r>
        <w:rPr>
          <w:lang w:val="en-NZ"/>
        </w:rPr>
        <w:t>RF</w:t>
      </w:r>
      <w:proofErr w:type="spellEnd"/>
      <w:r>
        <w:rPr>
          <w:lang w:val="en-NZ"/>
        </w:rPr>
        <w:t xml:space="preserve"> </w:t>
      </w:r>
      <w:proofErr w:type="gramStart"/>
      <w:r>
        <w:rPr>
          <w:lang w:val="en-NZ"/>
        </w:rPr>
        <w:t>2C(</w:t>
      </w:r>
      <w:proofErr w:type="gramEnd"/>
      <w:r>
        <w:rPr>
          <w:lang w:val="en-NZ"/>
        </w:rPr>
        <w:t>3), which includes foreign exchange movements to minimise compliance costs for borrowers determining whether the de minimis applies.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4C72"/>
    <w:multiLevelType w:val="hybridMultilevel"/>
    <w:tmpl w:val="31AA92A0"/>
    <w:lvl w:ilvl="0" w:tplc="7040DF20">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
    <w:nsid w:val="2F551023"/>
    <w:multiLevelType w:val="hybridMultilevel"/>
    <w:tmpl w:val="5B38F44C"/>
    <w:lvl w:ilvl="0" w:tplc="14090001">
      <w:start w:val="1"/>
      <w:numFmt w:val="bullet"/>
      <w:lvlText w:val=""/>
      <w:lvlJc w:val="left"/>
      <w:pPr>
        <w:ind w:left="1080" w:hanging="72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DC73A39"/>
    <w:multiLevelType w:val="hybridMultilevel"/>
    <w:tmpl w:val="054C8B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12"/>
    <w:rsid w:val="00000840"/>
    <w:rsid w:val="00004304"/>
    <w:rsid w:val="000104DB"/>
    <w:rsid w:val="00015CDF"/>
    <w:rsid w:val="00041AFC"/>
    <w:rsid w:val="000677F0"/>
    <w:rsid w:val="00072567"/>
    <w:rsid w:val="0007560B"/>
    <w:rsid w:val="00076504"/>
    <w:rsid w:val="0008103B"/>
    <w:rsid w:val="00082E93"/>
    <w:rsid w:val="0008429E"/>
    <w:rsid w:val="000B2589"/>
    <w:rsid w:val="000B5255"/>
    <w:rsid w:val="000C5519"/>
    <w:rsid w:val="000D1F03"/>
    <w:rsid w:val="000F0D9E"/>
    <w:rsid w:val="000F2774"/>
    <w:rsid w:val="000F4310"/>
    <w:rsid w:val="001007DE"/>
    <w:rsid w:val="00101924"/>
    <w:rsid w:val="00112E8A"/>
    <w:rsid w:val="00114A11"/>
    <w:rsid w:val="0012107F"/>
    <w:rsid w:val="0012328E"/>
    <w:rsid w:val="00132E6C"/>
    <w:rsid w:val="00134FC1"/>
    <w:rsid w:val="001779E9"/>
    <w:rsid w:val="0018473D"/>
    <w:rsid w:val="00196DAF"/>
    <w:rsid w:val="001B4C95"/>
    <w:rsid w:val="001C1B88"/>
    <w:rsid w:val="001E61CC"/>
    <w:rsid w:val="001F211E"/>
    <w:rsid w:val="001F412E"/>
    <w:rsid w:val="00204570"/>
    <w:rsid w:val="00206D74"/>
    <w:rsid w:val="00213DB9"/>
    <w:rsid w:val="00225C9C"/>
    <w:rsid w:val="002327C0"/>
    <w:rsid w:val="0023349E"/>
    <w:rsid w:val="002458B5"/>
    <w:rsid w:val="00247803"/>
    <w:rsid w:val="00260412"/>
    <w:rsid w:val="002768B9"/>
    <w:rsid w:val="00277595"/>
    <w:rsid w:val="00282E63"/>
    <w:rsid w:val="00283A37"/>
    <w:rsid w:val="002A4FCD"/>
    <w:rsid w:val="002B03E2"/>
    <w:rsid w:val="002B4ED7"/>
    <w:rsid w:val="002D4DC9"/>
    <w:rsid w:val="002E03EE"/>
    <w:rsid w:val="002E55AA"/>
    <w:rsid w:val="002E7168"/>
    <w:rsid w:val="002E7D2A"/>
    <w:rsid w:val="0030575B"/>
    <w:rsid w:val="00321C4F"/>
    <w:rsid w:val="00336740"/>
    <w:rsid w:val="00341B0A"/>
    <w:rsid w:val="00342BEF"/>
    <w:rsid w:val="003458A3"/>
    <w:rsid w:val="00347030"/>
    <w:rsid w:val="003614A9"/>
    <w:rsid w:val="00363E70"/>
    <w:rsid w:val="00364813"/>
    <w:rsid w:val="00366618"/>
    <w:rsid w:val="00381AC6"/>
    <w:rsid w:val="003842B9"/>
    <w:rsid w:val="00392751"/>
    <w:rsid w:val="003959E1"/>
    <w:rsid w:val="003A12FF"/>
    <w:rsid w:val="003A4C61"/>
    <w:rsid w:val="003A6D01"/>
    <w:rsid w:val="003B7A48"/>
    <w:rsid w:val="003C0218"/>
    <w:rsid w:val="003C0A1F"/>
    <w:rsid w:val="003C244E"/>
    <w:rsid w:val="003D2864"/>
    <w:rsid w:val="003E5DEE"/>
    <w:rsid w:val="003F780C"/>
    <w:rsid w:val="00410217"/>
    <w:rsid w:val="004337FB"/>
    <w:rsid w:val="00440822"/>
    <w:rsid w:val="00454E29"/>
    <w:rsid w:val="00455EFA"/>
    <w:rsid w:val="00461248"/>
    <w:rsid w:val="00463703"/>
    <w:rsid w:val="004659D6"/>
    <w:rsid w:val="00465CFE"/>
    <w:rsid w:val="00481F04"/>
    <w:rsid w:val="00483183"/>
    <w:rsid w:val="0048719D"/>
    <w:rsid w:val="00491676"/>
    <w:rsid w:val="004A07BA"/>
    <w:rsid w:val="004A2571"/>
    <w:rsid w:val="004B0354"/>
    <w:rsid w:val="004B10DE"/>
    <w:rsid w:val="004B2DA0"/>
    <w:rsid w:val="004B3D18"/>
    <w:rsid w:val="004C024D"/>
    <w:rsid w:val="004C3DB4"/>
    <w:rsid w:val="004D5BC5"/>
    <w:rsid w:val="004E48F4"/>
    <w:rsid w:val="004F0588"/>
    <w:rsid w:val="004F3BB7"/>
    <w:rsid w:val="00503141"/>
    <w:rsid w:val="00503863"/>
    <w:rsid w:val="00506FC1"/>
    <w:rsid w:val="0051079B"/>
    <w:rsid w:val="00511928"/>
    <w:rsid w:val="0051310E"/>
    <w:rsid w:val="00515786"/>
    <w:rsid w:val="005206D6"/>
    <w:rsid w:val="00527DC8"/>
    <w:rsid w:val="00537A3B"/>
    <w:rsid w:val="00540658"/>
    <w:rsid w:val="00543476"/>
    <w:rsid w:val="00545910"/>
    <w:rsid w:val="0054607D"/>
    <w:rsid w:val="0055173B"/>
    <w:rsid w:val="00562A11"/>
    <w:rsid w:val="005660DF"/>
    <w:rsid w:val="00567A17"/>
    <w:rsid w:val="00571AE9"/>
    <w:rsid w:val="0057202B"/>
    <w:rsid w:val="005732C0"/>
    <w:rsid w:val="00577FD7"/>
    <w:rsid w:val="00580E90"/>
    <w:rsid w:val="00594A86"/>
    <w:rsid w:val="005A2408"/>
    <w:rsid w:val="005A4B85"/>
    <w:rsid w:val="005B01C2"/>
    <w:rsid w:val="005B107B"/>
    <w:rsid w:val="005B6E85"/>
    <w:rsid w:val="005D0D9E"/>
    <w:rsid w:val="005D50E2"/>
    <w:rsid w:val="005E620A"/>
    <w:rsid w:val="005F5F0A"/>
    <w:rsid w:val="0061012C"/>
    <w:rsid w:val="00613CDC"/>
    <w:rsid w:val="00617E55"/>
    <w:rsid w:val="00625ADD"/>
    <w:rsid w:val="00636888"/>
    <w:rsid w:val="00642D54"/>
    <w:rsid w:val="00643520"/>
    <w:rsid w:val="006549FC"/>
    <w:rsid w:val="00661312"/>
    <w:rsid w:val="00670269"/>
    <w:rsid w:val="00671AF4"/>
    <w:rsid w:val="00687BEF"/>
    <w:rsid w:val="006A4B8F"/>
    <w:rsid w:val="006A68C9"/>
    <w:rsid w:val="006B38F4"/>
    <w:rsid w:val="006C1A44"/>
    <w:rsid w:val="006C511E"/>
    <w:rsid w:val="006D2B4F"/>
    <w:rsid w:val="006D3E60"/>
    <w:rsid w:val="006D400F"/>
    <w:rsid w:val="006E45FB"/>
    <w:rsid w:val="006F124A"/>
    <w:rsid w:val="006F2ED3"/>
    <w:rsid w:val="006F5D0C"/>
    <w:rsid w:val="00701480"/>
    <w:rsid w:val="0071733D"/>
    <w:rsid w:val="0073068E"/>
    <w:rsid w:val="00732723"/>
    <w:rsid w:val="00732C48"/>
    <w:rsid w:val="00736AD6"/>
    <w:rsid w:val="00742B37"/>
    <w:rsid w:val="00745C38"/>
    <w:rsid w:val="007478F8"/>
    <w:rsid w:val="00751BAA"/>
    <w:rsid w:val="007551C4"/>
    <w:rsid w:val="00756FEC"/>
    <w:rsid w:val="007669F9"/>
    <w:rsid w:val="00771EFA"/>
    <w:rsid w:val="00790AF8"/>
    <w:rsid w:val="0079561A"/>
    <w:rsid w:val="007A203C"/>
    <w:rsid w:val="007A2462"/>
    <w:rsid w:val="007A321C"/>
    <w:rsid w:val="007A5D40"/>
    <w:rsid w:val="007A68BE"/>
    <w:rsid w:val="007A775B"/>
    <w:rsid w:val="007A7D5E"/>
    <w:rsid w:val="007B4DCC"/>
    <w:rsid w:val="007B4E95"/>
    <w:rsid w:val="007B63CE"/>
    <w:rsid w:val="007C4280"/>
    <w:rsid w:val="007C61F1"/>
    <w:rsid w:val="007C67B8"/>
    <w:rsid w:val="007D25F5"/>
    <w:rsid w:val="007D4991"/>
    <w:rsid w:val="007D5322"/>
    <w:rsid w:val="007D61EC"/>
    <w:rsid w:val="007D62E4"/>
    <w:rsid w:val="007D68E1"/>
    <w:rsid w:val="007E2C6A"/>
    <w:rsid w:val="007E2CB9"/>
    <w:rsid w:val="007E6918"/>
    <w:rsid w:val="007E731B"/>
    <w:rsid w:val="007F6A39"/>
    <w:rsid w:val="0080457E"/>
    <w:rsid w:val="00807FCD"/>
    <w:rsid w:val="00810E17"/>
    <w:rsid w:val="00832110"/>
    <w:rsid w:val="00851DE2"/>
    <w:rsid w:val="00855C56"/>
    <w:rsid w:val="008641E0"/>
    <w:rsid w:val="00870ACB"/>
    <w:rsid w:val="00872CE7"/>
    <w:rsid w:val="00873C94"/>
    <w:rsid w:val="008804EE"/>
    <w:rsid w:val="00883294"/>
    <w:rsid w:val="00883891"/>
    <w:rsid w:val="008A5F18"/>
    <w:rsid w:val="008A7066"/>
    <w:rsid w:val="008C5262"/>
    <w:rsid w:val="008C7E75"/>
    <w:rsid w:val="008D17CA"/>
    <w:rsid w:val="008F1F57"/>
    <w:rsid w:val="008F2327"/>
    <w:rsid w:val="008F44E2"/>
    <w:rsid w:val="00904566"/>
    <w:rsid w:val="009124E2"/>
    <w:rsid w:val="0091371D"/>
    <w:rsid w:val="00916740"/>
    <w:rsid w:val="009212BA"/>
    <w:rsid w:val="00922C06"/>
    <w:rsid w:val="009236B7"/>
    <w:rsid w:val="00923A1F"/>
    <w:rsid w:val="0094580D"/>
    <w:rsid w:val="00947AD0"/>
    <w:rsid w:val="009501FC"/>
    <w:rsid w:val="00960A24"/>
    <w:rsid w:val="0096163B"/>
    <w:rsid w:val="00971482"/>
    <w:rsid w:val="0097176A"/>
    <w:rsid w:val="009825AA"/>
    <w:rsid w:val="00983DC4"/>
    <w:rsid w:val="009853B9"/>
    <w:rsid w:val="009929CC"/>
    <w:rsid w:val="009B15FA"/>
    <w:rsid w:val="009B684A"/>
    <w:rsid w:val="009B73A2"/>
    <w:rsid w:val="009C3566"/>
    <w:rsid w:val="009D50A8"/>
    <w:rsid w:val="009E0003"/>
    <w:rsid w:val="009F4E8A"/>
    <w:rsid w:val="00A0188B"/>
    <w:rsid w:val="00A02B3F"/>
    <w:rsid w:val="00A1129E"/>
    <w:rsid w:val="00A12F9E"/>
    <w:rsid w:val="00A16285"/>
    <w:rsid w:val="00A21937"/>
    <w:rsid w:val="00A3757E"/>
    <w:rsid w:val="00A3774E"/>
    <w:rsid w:val="00A430E6"/>
    <w:rsid w:val="00A50F01"/>
    <w:rsid w:val="00A61290"/>
    <w:rsid w:val="00A62C16"/>
    <w:rsid w:val="00A734E6"/>
    <w:rsid w:val="00A736B6"/>
    <w:rsid w:val="00A762F1"/>
    <w:rsid w:val="00A84F81"/>
    <w:rsid w:val="00A857DB"/>
    <w:rsid w:val="00A8674B"/>
    <w:rsid w:val="00A87C86"/>
    <w:rsid w:val="00A96A88"/>
    <w:rsid w:val="00A97FD9"/>
    <w:rsid w:val="00AA4582"/>
    <w:rsid w:val="00AA57F7"/>
    <w:rsid w:val="00AB06C8"/>
    <w:rsid w:val="00AC041B"/>
    <w:rsid w:val="00AC2613"/>
    <w:rsid w:val="00AC38D8"/>
    <w:rsid w:val="00AC52A5"/>
    <w:rsid w:val="00AC5D67"/>
    <w:rsid w:val="00AD0136"/>
    <w:rsid w:val="00AD14F4"/>
    <w:rsid w:val="00AD1DB3"/>
    <w:rsid w:val="00AD71BD"/>
    <w:rsid w:val="00AE150D"/>
    <w:rsid w:val="00AF43A3"/>
    <w:rsid w:val="00AF5A54"/>
    <w:rsid w:val="00AF5B02"/>
    <w:rsid w:val="00B01C04"/>
    <w:rsid w:val="00B02CFA"/>
    <w:rsid w:val="00B07BBE"/>
    <w:rsid w:val="00B132E6"/>
    <w:rsid w:val="00B13393"/>
    <w:rsid w:val="00B176B8"/>
    <w:rsid w:val="00B21754"/>
    <w:rsid w:val="00B23859"/>
    <w:rsid w:val="00B25B64"/>
    <w:rsid w:val="00B25C5A"/>
    <w:rsid w:val="00B25D54"/>
    <w:rsid w:val="00B3699F"/>
    <w:rsid w:val="00B50480"/>
    <w:rsid w:val="00B5263B"/>
    <w:rsid w:val="00B53D67"/>
    <w:rsid w:val="00B5465F"/>
    <w:rsid w:val="00B62867"/>
    <w:rsid w:val="00B722DD"/>
    <w:rsid w:val="00B7532F"/>
    <w:rsid w:val="00B77DAB"/>
    <w:rsid w:val="00B80E9C"/>
    <w:rsid w:val="00B81CD3"/>
    <w:rsid w:val="00B85B78"/>
    <w:rsid w:val="00B92B40"/>
    <w:rsid w:val="00B946B4"/>
    <w:rsid w:val="00B9571D"/>
    <w:rsid w:val="00B964EC"/>
    <w:rsid w:val="00BB4237"/>
    <w:rsid w:val="00BB488B"/>
    <w:rsid w:val="00BC7819"/>
    <w:rsid w:val="00BD1DDB"/>
    <w:rsid w:val="00BD36CE"/>
    <w:rsid w:val="00BE6A3A"/>
    <w:rsid w:val="00BF2395"/>
    <w:rsid w:val="00C009B4"/>
    <w:rsid w:val="00C02599"/>
    <w:rsid w:val="00C15571"/>
    <w:rsid w:val="00C159D4"/>
    <w:rsid w:val="00C167EA"/>
    <w:rsid w:val="00C249CE"/>
    <w:rsid w:val="00C309D8"/>
    <w:rsid w:val="00C31204"/>
    <w:rsid w:val="00C3378F"/>
    <w:rsid w:val="00C37DAC"/>
    <w:rsid w:val="00C46B85"/>
    <w:rsid w:val="00C7017B"/>
    <w:rsid w:val="00C733BA"/>
    <w:rsid w:val="00C76922"/>
    <w:rsid w:val="00C85F50"/>
    <w:rsid w:val="00C93316"/>
    <w:rsid w:val="00C94E66"/>
    <w:rsid w:val="00CA1FA8"/>
    <w:rsid w:val="00CB4784"/>
    <w:rsid w:val="00CC1B80"/>
    <w:rsid w:val="00CC4BE7"/>
    <w:rsid w:val="00CC5E82"/>
    <w:rsid w:val="00CC69CD"/>
    <w:rsid w:val="00CD3115"/>
    <w:rsid w:val="00CD776B"/>
    <w:rsid w:val="00CE1E2D"/>
    <w:rsid w:val="00CE3FBA"/>
    <w:rsid w:val="00CE7BFA"/>
    <w:rsid w:val="00CF7EDE"/>
    <w:rsid w:val="00D07CD2"/>
    <w:rsid w:val="00D200EF"/>
    <w:rsid w:val="00D20EB6"/>
    <w:rsid w:val="00D418D1"/>
    <w:rsid w:val="00D42A36"/>
    <w:rsid w:val="00D6264A"/>
    <w:rsid w:val="00D64B54"/>
    <w:rsid w:val="00D70FBF"/>
    <w:rsid w:val="00D73EBA"/>
    <w:rsid w:val="00D84E8A"/>
    <w:rsid w:val="00D910C9"/>
    <w:rsid w:val="00D917AC"/>
    <w:rsid w:val="00D94817"/>
    <w:rsid w:val="00DA3991"/>
    <w:rsid w:val="00DA48F7"/>
    <w:rsid w:val="00DB1801"/>
    <w:rsid w:val="00DB436D"/>
    <w:rsid w:val="00DB5965"/>
    <w:rsid w:val="00DC1CBD"/>
    <w:rsid w:val="00DC725B"/>
    <w:rsid w:val="00DC76FF"/>
    <w:rsid w:val="00DD0861"/>
    <w:rsid w:val="00DD13BA"/>
    <w:rsid w:val="00DE56CB"/>
    <w:rsid w:val="00DF6BF8"/>
    <w:rsid w:val="00E003CA"/>
    <w:rsid w:val="00E02861"/>
    <w:rsid w:val="00E26D98"/>
    <w:rsid w:val="00E301A9"/>
    <w:rsid w:val="00E44BA7"/>
    <w:rsid w:val="00E45CBA"/>
    <w:rsid w:val="00E46E61"/>
    <w:rsid w:val="00E514D8"/>
    <w:rsid w:val="00E639D9"/>
    <w:rsid w:val="00E646E0"/>
    <w:rsid w:val="00E7280D"/>
    <w:rsid w:val="00E73907"/>
    <w:rsid w:val="00E82EEB"/>
    <w:rsid w:val="00E9378B"/>
    <w:rsid w:val="00EB1B29"/>
    <w:rsid w:val="00EB1E06"/>
    <w:rsid w:val="00EC0490"/>
    <w:rsid w:val="00EC7144"/>
    <w:rsid w:val="00ED1270"/>
    <w:rsid w:val="00ED2423"/>
    <w:rsid w:val="00ED6C74"/>
    <w:rsid w:val="00EE0210"/>
    <w:rsid w:val="00EF2C41"/>
    <w:rsid w:val="00F23738"/>
    <w:rsid w:val="00F26141"/>
    <w:rsid w:val="00F331D1"/>
    <w:rsid w:val="00F41871"/>
    <w:rsid w:val="00F44B8F"/>
    <w:rsid w:val="00F51BEE"/>
    <w:rsid w:val="00F54DB4"/>
    <w:rsid w:val="00F564FC"/>
    <w:rsid w:val="00F6420B"/>
    <w:rsid w:val="00F75F4D"/>
    <w:rsid w:val="00F77F02"/>
    <w:rsid w:val="00FA6F3C"/>
    <w:rsid w:val="00FA7397"/>
    <w:rsid w:val="00FA750D"/>
    <w:rsid w:val="00FC1F9D"/>
    <w:rsid w:val="00FC37C0"/>
    <w:rsid w:val="00FD3C2C"/>
    <w:rsid w:val="00FD77E4"/>
    <w:rsid w:val="00FE1D57"/>
    <w:rsid w:val="00FF1A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7A2462"/>
    <w:pPr>
      <w:jc w:val="both"/>
    </w:pPr>
    <w:rPr>
      <w:sz w:val="24"/>
      <w:lang w:val="en-GB" w:eastAsia="en-AU"/>
    </w:rPr>
  </w:style>
  <w:style w:type="paragraph" w:styleId="Heading1">
    <w:name w:val="heading 1"/>
    <w:aliases w:val="Report Title"/>
    <w:link w:val="Heading1Char"/>
    <w:qFormat/>
    <w:rsid w:val="002E7168"/>
    <w:pPr>
      <w:keepNext/>
      <w:pBdr>
        <w:bottom w:val="single" w:sz="4" w:space="6" w:color="auto"/>
      </w:pBdr>
      <w:outlineLvl w:val="0"/>
    </w:pPr>
    <w:rPr>
      <w:b/>
      <w:caps/>
      <w:sz w:val="26"/>
      <w:lang w:eastAsia="en-AU"/>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link w:val="Heading4Char"/>
    <w:qFormat/>
    <w:rsid w:val="004659D6"/>
    <w:pPr>
      <w:keepNext/>
      <w:outlineLvl w:val="3"/>
    </w:pPr>
    <w:rPr>
      <w:i/>
      <w:sz w:val="24"/>
      <w:lang w:val="en-GB" w:eastAsia="en-AU"/>
    </w:rPr>
  </w:style>
  <w:style w:type="paragraph" w:styleId="Heading5">
    <w:name w:val="heading 5"/>
    <w:basedOn w:val="Normal"/>
    <w:next w:val="Normal"/>
    <w:link w:val="Heading5Char"/>
    <w:qFormat/>
    <w:rsid w:val="009B684A"/>
    <w:pPr>
      <w:keepNext/>
      <w:outlineLvl w:val="4"/>
    </w:pPr>
    <w:rPr>
      <w:sz w:val="26"/>
      <w:u w:val="single"/>
    </w:rPr>
  </w:style>
  <w:style w:type="paragraph" w:styleId="Heading6">
    <w:name w:val="heading 6"/>
    <w:basedOn w:val="Normal"/>
    <w:next w:val="Normal"/>
    <w:link w:val="Heading6Char"/>
    <w:unhideWhenUsed/>
    <w:qFormat/>
    <w:pPr>
      <w:keepNext/>
      <w:outlineLvl w:val="5"/>
    </w:pPr>
    <w:rPr>
      <w:i/>
      <w:sz w:val="32"/>
    </w:rPr>
  </w:style>
  <w:style w:type="paragraph" w:styleId="Heading7">
    <w:name w:val="heading 7"/>
    <w:basedOn w:val="Normal"/>
    <w:next w:val="Normal"/>
    <w:link w:val="Heading7Char"/>
    <w:unhideWhenUsed/>
    <w:qFormat/>
    <w:pPr>
      <w:keepNext/>
      <w:outlineLvl w:val="6"/>
    </w:pPr>
    <w:rPr>
      <w:b/>
      <w:sz w:val="28"/>
    </w:rPr>
  </w:style>
  <w:style w:type="paragraph" w:styleId="Heading8">
    <w:name w:val="heading 8"/>
    <w:aliases w:val="Table heading"/>
    <w:basedOn w:val="Normal"/>
    <w:next w:val="Normal"/>
    <w:link w:val="Heading8Char"/>
    <w:unhideWhenUsed/>
    <w:qFormat/>
    <w:pPr>
      <w:keepNext/>
      <w:outlineLvl w:val="7"/>
    </w:pPr>
    <w:rPr>
      <w:sz w:val="28"/>
    </w:rPr>
  </w:style>
  <w:style w:type="paragraph" w:styleId="Heading9">
    <w:name w:val="heading 9"/>
    <w:basedOn w:val="Normal"/>
    <w:next w:val="Normal"/>
    <w:link w:val="Heading9Char"/>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9B684A"/>
    <w:pPr>
      <w:numPr>
        <w:numId w:val="2"/>
      </w:numPr>
      <w:spacing w:after="140"/>
      <w:ind w:left="567" w:hanging="567"/>
    </w:pPr>
    <w:rPr>
      <w:lang w:val="en-NZ"/>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link w:val="HeaderChar"/>
    <w:pPr>
      <w:tabs>
        <w:tab w:val="center" w:pos="4153"/>
        <w:tab w:val="right" w:pos="8306"/>
      </w:tabs>
    </w:p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link w:val="DocumentMapChar"/>
    <w:semiHidden/>
    <w:pPr>
      <w:shd w:val="clear" w:color="auto" w:fill="000080"/>
    </w:pPr>
    <w:rPr>
      <w:rFonts w:ascii="Tahoma" w:hAnsi="Tahoma"/>
    </w:rPr>
  </w:style>
  <w:style w:type="paragraph" w:styleId="Title">
    <w:name w:val="Title"/>
    <w:link w:val="TitleChar"/>
    <w:qFormat/>
    <w:rsid w:val="00D94817"/>
    <w:pPr>
      <w:pBdr>
        <w:bottom w:val="single" w:sz="4" w:space="6" w:color="auto"/>
      </w:pBdr>
    </w:pPr>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Bullets2">
    <w:name w:val="Bullets2"/>
    <w:basedOn w:val="Normal"/>
    <w:qFormat/>
    <w:rsid w:val="00B3699F"/>
    <w:pPr>
      <w:numPr>
        <w:numId w:val="1"/>
      </w:numPr>
      <w:ind w:left="1134" w:hanging="567"/>
      <w:contextualSpacing/>
    </w:pPr>
  </w:style>
  <w:style w:type="paragraph" w:styleId="BodyText">
    <w:name w:val="Body Text"/>
    <w:basedOn w:val="Normal"/>
    <w:link w:val="BodyTextChar"/>
    <w:rsid w:val="007A2462"/>
  </w:style>
  <w:style w:type="character" w:customStyle="1" w:styleId="CommentTextChar">
    <w:name w:val="Comment Text Char"/>
    <w:basedOn w:val="DefaultParagraphFont"/>
    <w:link w:val="CommentText"/>
    <w:semiHidden/>
    <w:rsid w:val="007A2462"/>
    <w:rPr>
      <w:b/>
      <w:sz w:val="26"/>
      <w:lang w:val="en-US" w:eastAsia="en-AU"/>
    </w:rPr>
  </w:style>
  <w:style w:type="character" w:customStyle="1" w:styleId="BodyTextChar">
    <w:name w:val="Body Text Char"/>
    <w:basedOn w:val="DefaultParagraphFont"/>
    <w:link w:val="BodyText"/>
    <w:rsid w:val="007A2462"/>
    <w:rPr>
      <w:sz w:val="24"/>
      <w:lang w:val="en-GB" w:eastAsia="en-AU"/>
    </w:rPr>
  </w:style>
  <w:style w:type="paragraph" w:customStyle="1" w:styleId="dotpoint">
    <w:name w:val="dot point"/>
    <w:basedOn w:val="Normal"/>
    <w:rsid w:val="00260412"/>
    <w:pPr>
      <w:tabs>
        <w:tab w:val="num" w:pos="567"/>
      </w:tabs>
      <w:spacing w:after="140"/>
      <w:ind w:left="567" w:hanging="567"/>
    </w:pPr>
  </w:style>
  <w:style w:type="character" w:styleId="PageNumber">
    <w:name w:val="page number"/>
    <w:basedOn w:val="DefaultParagraphFont"/>
    <w:rsid w:val="00260412"/>
    <w:rPr>
      <w:sz w:val="22"/>
    </w:rPr>
  </w:style>
  <w:style w:type="paragraph" w:styleId="BodyTextIndent">
    <w:name w:val="Body Text Indent"/>
    <w:basedOn w:val="Normal"/>
    <w:link w:val="BodyTextIndentChar"/>
    <w:rsid w:val="00260412"/>
    <w:pPr>
      <w:ind w:left="450"/>
    </w:pPr>
    <w:rPr>
      <w:lang w:val="en-NZ"/>
    </w:rPr>
  </w:style>
  <w:style w:type="character" w:customStyle="1" w:styleId="BodyTextIndentChar">
    <w:name w:val="Body Text Indent Char"/>
    <w:basedOn w:val="DefaultParagraphFont"/>
    <w:link w:val="BodyTextIndent"/>
    <w:rsid w:val="00260412"/>
    <w:rPr>
      <w:sz w:val="24"/>
      <w:lang w:eastAsia="en-AU"/>
    </w:rPr>
  </w:style>
  <w:style w:type="paragraph" w:styleId="BodyTextIndent2">
    <w:name w:val="Body Text Indent 2"/>
    <w:basedOn w:val="Normal"/>
    <w:link w:val="BodyTextIndent2Char"/>
    <w:rsid w:val="00260412"/>
    <w:pPr>
      <w:ind w:left="450"/>
    </w:pPr>
    <w:rPr>
      <w:lang w:val="en-US"/>
    </w:rPr>
  </w:style>
  <w:style w:type="character" w:customStyle="1" w:styleId="BodyTextIndent2Char">
    <w:name w:val="Body Text Indent 2 Char"/>
    <w:basedOn w:val="DefaultParagraphFont"/>
    <w:link w:val="BodyTextIndent2"/>
    <w:rsid w:val="00260412"/>
    <w:rPr>
      <w:sz w:val="24"/>
      <w:lang w:val="en-US" w:eastAsia="en-AU"/>
    </w:rPr>
  </w:style>
  <w:style w:type="paragraph" w:styleId="BodyTextIndent3">
    <w:name w:val="Body Text Indent 3"/>
    <w:basedOn w:val="Normal"/>
    <w:link w:val="BodyTextIndent3Char"/>
    <w:rsid w:val="00260412"/>
    <w:pPr>
      <w:ind w:left="465"/>
    </w:pPr>
    <w:rPr>
      <w:lang w:val="en-US"/>
    </w:rPr>
  </w:style>
  <w:style w:type="character" w:customStyle="1" w:styleId="BodyTextIndent3Char">
    <w:name w:val="Body Text Indent 3 Char"/>
    <w:basedOn w:val="DefaultParagraphFont"/>
    <w:link w:val="BodyTextIndent3"/>
    <w:rsid w:val="00260412"/>
    <w:rPr>
      <w:sz w:val="24"/>
      <w:lang w:val="en-US" w:eastAsia="en-AU"/>
    </w:rPr>
  </w:style>
  <w:style w:type="paragraph" w:styleId="BodyText2">
    <w:name w:val="Body Text 2"/>
    <w:basedOn w:val="Normal"/>
    <w:link w:val="BodyText2Char"/>
    <w:rsid w:val="00260412"/>
    <w:pPr>
      <w:jc w:val="center"/>
    </w:pPr>
    <w:rPr>
      <w:b/>
      <w:lang w:val="en-US"/>
    </w:rPr>
  </w:style>
  <w:style w:type="character" w:customStyle="1" w:styleId="BodyText2Char">
    <w:name w:val="Body Text 2 Char"/>
    <w:basedOn w:val="DefaultParagraphFont"/>
    <w:link w:val="BodyText2"/>
    <w:rsid w:val="00260412"/>
    <w:rPr>
      <w:b/>
      <w:sz w:val="24"/>
      <w:lang w:val="en-US" w:eastAsia="en-AU"/>
    </w:rPr>
  </w:style>
  <w:style w:type="paragraph" w:customStyle="1" w:styleId="BodyTextChapter2">
    <w:name w:val="Body Text Chapter 2"/>
    <w:rsid w:val="00260412"/>
    <w:pPr>
      <w:tabs>
        <w:tab w:val="num" w:pos="992"/>
      </w:tabs>
      <w:ind w:left="992" w:hanging="992"/>
      <w:jc w:val="both"/>
    </w:pPr>
    <w:rPr>
      <w:noProof/>
      <w:sz w:val="24"/>
      <w:lang w:val="en-AU" w:eastAsia="en-AU"/>
    </w:rPr>
  </w:style>
  <w:style w:type="paragraph" w:customStyle="1" w:styleId="PartHeading">
    <w:name w:val="PartHeading"/>
    <w:basedOn w:val="Heading1"/>
    <w:rsid w:val="00260412"/>
    <w:pPr>
      <w:pBdr>
        <w:top w:val="single" w:sz="4" w:space="8" w:color="auto"/>
        <w:bottom w:val="single" w:sz="4" w:space="8" w:color="auto"/>
      </w:pBdr>
      <w:jc w:val="center"/>
    </w:pPr>
    <w:rPr>
      <w:b w:val="0"/>
      <w:sz w:val="60"/>
    </w:rPr>
  </w:style>
  <w:style w:type="paragraph" w:customStyle="1" w:styleId="BodyTextChapter11">
    <w:name w:val="Body Text Chapter 11"/>
    <w:rsid w:val="00260412"/>
    <w:pPr>
      <w:tabs>
        <w:tab w:val="num" w:pos="992"/>
      </w:tabs>
      <w:ind w:left="992" w:hanging="992"/>
      <w:jc w:val="both"/>
    </w:pPr>
    <w:rPr>
      <w:noProof/>
      <w:sz w:val="24"/>
      <w:lang w:val="en-AU" w:eastAsia="en-AU"/>
    </w:rPr>
  </w:style>
  <w:style w:type="paragraph" w:customStyle="1" w:styleId="BodyTextChapter14">
    <w:name w:val="Body Text Chapter 14"/>
    <w:rsid w:val="00260412"/>
    <w:pPr>
      <w:tabs>
        <w:tab w:val="num" w:pos="992"/>
      </w:tabs>
      <w:ind w:left="992" w:hanging="992"/>
      <w:jc w:val="both"/>
    </w:pPr>
    <w:rPr>
      <w:noProof/>
      <w:sz w:val="24"/>
      <w:lang w:val="en-AU" w:eastAsia="en-AU"/>
    </w:rPr>
  </w:style>
  <w:style w:type="paragraph" w:customStyle="1" w:styleId="BodyTextChapter17">
    <w:name w:val="Body Text Chapter 17"/>
    <w:rsid w:val="00260412"/>
    <w:pPr>
      <w:tabs>
        <w:tab w:val="num" w:pos="992"/>
      </w:tabs>
      <w:ind w:left="992" w:hanging="992"/>
      <w:jc w:val="both"/>
    </w:pPr>
    <w:rPr>
      <w:noProof/>
      <w:sz w:val="24"/>
      <w:lang w:val="en-AU" w:eastAsia="en-AU"/>
    </w:rPr>
  </w:style>
  <w:style w:type="paragraph" w:customStyle="1" w:styleId="BodyTextChapter15">
    <w:name w:val="Body Text Chapter 15"/>
    <w:rsid w:val="00260412"/>
    <w:pPr>
      <w:tabs>
        <w:tab w:val="num" w:pos="992"/>
      </w:tabs>
      <w:ind w:left="992" w:hanging="992"/>
      <w:jc w:val="both"/>
    </w:pPr>
    <w:rPr>
      <w:noProof/>
      <w:sz w:val="24"/>
      <w:lang w:val="en-AU" w:eastAsia="en-AU"/>
    </w:rPr>
  </w:style>
  <w:style w:type="paragraph" w:styleId="BodyText3">
    <w:name w:val="Body Text 3"/>
    <w:basedOn w:val="Normal"/>
    <w:link w:val="BodyText3Char"/>
    <w:rsid w:val="00260412"/>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260412"/>
    <w:rPr>
      <w:lang w:val="en-GB" w:eastAsia="en-AU"/>
    </w:rPr>
  </w:style>
  <w:style w:type="paragraph" w:customStyle="1" w:styleId="Style1">
    <w:name w:val="Style1"/>
    <w:basedOn w:val="Normal"/>
    <w:rsid w:val="00260412"/>
    <w:rPr>
      <w:lang w:val="en-NZ"/>
    </w:rPr>
  </w:style>
  <w:style w:type="paragraph" w:customStyle="1" w:styleId="TRNormal">
    <w:name w:val="_TRNormal"/>
    <w:rsid w:val="00260412"/>
    <w:pPr>
      <w:spacing w:after="240" w:line="300" w:lineRule="atLeast"/>
      <w:ind w:left="567" w:hanging="567"/>
      <w:jc w:val="both"/>
    </w:pPr>
    <w:rPr>
      <w:sz w:val="24"/>
      <w:lang w:eastAsia="en-AU"/>
    </w:rPr>
  </w:style>
  <w:style w:type="paragraph" w:customStyle="1" w:styleId="dotpoint2">
    <w:name w:val="dot point2"/>
    <w:basedOn w:val="Normal"/>
    <w:rsid w:val="00260412"/>
    <w:pPr>
      <w:widowControl w:val="0"/>
      <w:tabs>
        <w:tab w:val="num" w:pos="360"/>
      </w:tabs>
      <w:ind w:left="340" w:hanging="340"/>
    </w:pPr>
  </w:style>
  <w:style w:type="paragraph" w:customStyle="1" w:styleId="recomendation">
    <w:name w:val="recomendation"/>
    <w:basedOn w:val="BodyText"/>
    <w:rsid w:val="00260412"/>
    <w:pPr>
      <w:tabs>
        <w:tab w:val="left" w:pos="567"/>
        <w:tab w:val="left" w:pos="1134"/>
      </w:tabs>
      <w:spacing w:after="180"/>
      <w:ind w:left="567" w:hanging="567"/>
    </w:pPr>
    <w:rPr>
      <w:rFonts w:ascii="Arial" w:hAnsi="Arial"/>
    </w:rPr>
  </w:style>
  <w:style w:type="paragraph" w:customStyle="1" w:styleId="Subrec">
    <w:name w:val="Subrec"/>
    <w:basedOn w:val="BodyText"/>
    <w:rsid w:val="00260412"/>
    <w:pPr>
      <w:tabs>
        <w:tab w:val="num" w:pos="1134"/>
      </w:tabs>
      <w:spacing w:after="180"/>
      <w:ind w:left="1134" w:hanging="567"/>
    </w:pPr>
    <w:rPr>
      <w:rFonts w:ascii="Arial" w:hAnsi="Arial"/>
    </w:rPr>
  </w:style>
  <w:style w:type="paragraph" w:customStyle="1" w:styleId="Dotpointtwo">
    <w:name w:val="Dot point two"/>
    <w:basedOn w:val="dotpoint"/>
    <w:next w:val="BlockText"/>
    <w:rsid w:val="00260412"/>
    <w:pPr>
      <w:widowControl w:val="0"/>
      <w:tabs>
        <w:tab w:val="clear" w:pos="567"/>
        <w:tab w:val="num" w:pos="1134"/>
      </w:tabs>
      <w:spacing w:after="240"/>
      <w:ind w:left="1134"/>
    </w:pPr>
  </w:style>
  <w:style w:type="paragraph" w:styleId="BlockText">
    <w:name w:val="Block Text"/>
    <w:basedOn w:val="Normal"/>
    <w:rsid w:val="00260412"/>
    <w:pPr>
      <w:spacing w:after="120"/>
      <w:ind w:left="1440" w:right="1440"/>
    </w:pPr>
    <w:rPr>
      <w:lang w:val="en-NZ"/>
    </w:rPr>
  </w:style>
  <w:style w:type="paragraph" w:customStyle="1" w:styleId="Tabledotpoint">
    <w:name w:val="Table dot point"/>
    <w:basedOn w:val="Normal"/>
    <w:rsid w:val="00260412"/>
    <w:pPr>
      <w:tabs>
        <w:tab w:val="num" w:pos="360"/>
      </w:tabs>
      <w:spacing w:after="240"/>
      <w:ind w:left="284" w:hanging="284"/>
    </w:pPr>
    <w:rPr>
      <w:sz w:val="20"/>
      <w:lang w:val="en-NZ"/>
    </w:rPr>
  </w:style>
  <w:style w:type="paragraph" w:customStyle="1" w:styleId="TRFooter">
    <w:name w:val="_TRFooter"/>
    <w:basedOn w:val="TRNormal"/>
    <w:rsid w:val="00260412"/>
    <w:pPr>
      <w:tabs>
        <w:tab w:val="right" w:pos="9071"/>
      </w:tabs>
      <w:spacing w:after="0" w:line="240" w:lineRule="atLeast"/>
      <w:ind w:left="0" w:firstLine="0"/>
      <w:jc w:val="left"/>
    </w:pPr>
    <w:rPr>
      <w:sz w:val="16"/>
    </w:rPr>
  </w:style>
  <w:style w:type="paragraph" w:customStyle="1" w:styleId="TRHeader">
    <w:name w:val="_TRHeader"/>
    <w:basedOn w:val="TRNormal"/>
    <w:rsid w:val="00260412"/>
    <w:pPr>
      <w:spacing w:after="0"/>
      <w:ind w:left="0" w:firstLine="0"/>
      <w:jc w:val="left"/>
    </w:pPr>
    <w:rPr>
      <w:b/>
      <w:sz w:val="16"/>
    </w:rPr>
  </w:style>
  <w:style w:type="paragraph" w:customStyle="1" w:styleId="TRTitle">
    <w:name w:val="_TRTitle"/>
    <w:basedOn w:val="TRNormal"/>
    <w:next w:val="TRNormal"/>
    <w:rsid w:val="00260412"/>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260412"/>
    <w:pPr>
      <w:spacing w:after="0"/>
      <w:ind w:left="0" w:firstLine="0"/>
      <w:jc w:val="left"/>
    </w:pPr>
  </w:style>
  <w:style w:type="paragraph" w:customStyle="1" w:styleId="Chapter16">
    <w:name w:val="Chapter16"/>
    <w:rsid w:val="00260412"/>
    <w:pPr>
      <w:tabs>
        <w:tab w:val="left" w:pos="709"/>
      </w:tabs>
      <w:ind w:left="709" w:hanging="709"/>
      <w:jc w:val="both"/>
    </w:pPr>
    <w:rPr>
      <w:sz w:val="24"/>
      <w:lang w:eastAsia="en-AU"/>
    </w:rPr>
  </w:style>
  <w:style w:type="paragraph" w:customStyle="1" w:styleId="Chapter19">
    <w:name w:val="Chapter19"/>
    <w:rsid w:val="00260412"/>
    <w:pPr>
      <w:tabs>
        <w:tab w:val="num" w:pos="720"/>
      </w:tabs>
      <w:ind w:left="709" w:hanging="709"/>
      <w:jc w:val="both"/>
    </w:pPr>
    <w:rPr>
      <w:sz w:val="24"/>
      <w:lang w:eastAsia="en-AU"/>
    </w:rPr>
  </w:style>
  <w:style w:type="paragraph" w:customStyle="1" w:styleId="Chapter11">
    <w:name w:val="Chapter11"/>
    <w:rsid w:val="00260412"/>
    <w:pPr>
      <w:tabs>
        <w:tab w:val="left" w:pos="709"/>
      </w:tabs>
      <w:ind w:left="709" w:hanging="709"/>
      <w:jc w:val="both"/>
    </w:pPr>
    <w:rPr>
      <w:sz w:val="24"/>
      <w:lang w:eastAsia="en-AU"/>
    </w:rPr>
  </w:style>
  <w:style w:type="paragraph" w:customStyle="1" w:styleId="Chapter13">
    <w:name w:val="Chapter13"/>
    <w:rsid w:val="00260412"/>
    <w:pPr>
      <w:tabs>
        <w:tab w:val="left" w:pos="709"/>
      </w:tabs>
      <w:ind w:left="709" w:hanging="709"/>
      <w:jc w:val="both"/>
    </w:pPr>
    <w:rPr>
      <w:sz w:val="24"/>
      <w:lang w:eastAsia="en-AU"/>
    </w:rPr>
  </w:style>
  <w:style w:type="paragraph" w:customStyle="1" w:styleId="dotpointindent">
    <w:name w:val="dot point indent"/>
    <w:rsid w:val="00260412"/>
    <w:pPr>
      <w:tabs>
        <w:tab w:val="num" w:pos="1134"/>
      </w:tabs>
      <w:spacing w:after="140"/>
      <w:ind w:left="1134" w:hanging="567"/>
    </w:pPr>
    <w:rPr>
      <w:noProof/>
      <w:sz w:val="24"/>
      <w:lang w:val="en-AU" w:eastAsia="en-AU"/>
    </w:rPr>
  </w:style>
  <w:style w:type="paragraph" w:customStyle="1" w:styleId="TRFootnoteText">
    <w:name w:val="_TRFootnote Text"/>
    <w:basedOn w:val="Normal"/>
    <w:rsid w:val="00260412"/>
    <w:pPr>
      <w:spacing w:line="300" w:lineRule="atLeast"/>
    </w:pPr>
    <w:rPr>
      <w:sz w:val="16"/>
      <w:lang w:val="en-NZ"/>
    </w:rPr>
  </w:style>
  <w:style w:type="paragraph" w:customStyle="1" w:styleId="TRBodyText">
    <w:name w:val="_TRBody Text"/>
    <w:rsid w:val="00260412"/>
    <w:pPr>
      <w:spacing w:line="300" w:lineRule="atLeast"/>
      <w:jc w:val="both"/>
    </w:pPr>
    <w:rPr>
      <w:sz w:val="24"/>
      <w:lang w:eastAsia="en-AU"/>
    </w:rPr>
  </w:style>
  <w:style w:type="paragraph" w:styleId="NormalWeb">
    <w:name w:val="Normal (Web)"/>
    <w:basedOn w:val="Normal"/>
    <w:rsid w:val="00260412"/>
    <w:pPr>
      <w:spacing w:before="100" w:after="100"/>
    </w:pPr>
    <w:rPr>
      <w:rFonts w:ascii="Verdana" w:hAnsi="Verdana"/>
      <w:lang w:val="en-AU"/>
    </w:rPr>
  </w:style>
  <w:style w:type="paragraph" w:customStyle="1" w:styleId="Chapter3">
    <w:name w:val="Chapter 3"/>
    <w:basedOn w:val="Normal"/>
    <w:rsid w:val="00260412"/>
    <w:pPr>
      <w:tabs>
        <w:tab w:val="num" w:pos="737"/>
      </w:tabs>
      <w:spacing w:before="120" w:after="120"/>
      <w:ind w:left="737" w:hanging="737"/>
    </w:pPr>
    <w:rPr>
      <w:snapToGrid w:val="0"/>
      <w:lang w:val="en-AU" w:eastAsia="en-US"/>
    </w:rPr>
  </w:style>
  <w:style w:type="paragraph" w:customStyle="1" w:styleId="Indent2">
    <w:name w:val="Indent 2"/>
    <w:rsid w:val="00260412"/>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260412"/>
    <w:pPr>
      <w:keepNext/>
      <w:widowControl w:val="0"/>
      <w:spacing w:before="560" w:after="360"/>
      <w:jc w:val="left"/>
    </w:pPr>
    <w:rPr>
      <w:b/>
      <w:lang w:val="en-NZ"/>
    </w:rPr>
  </w:style>
  <w:style w:type="paragraph" w:customStyle="1" w:styleId="TRHeading4">
    <w:name w:val="_TRHeading 4"/>
    <w:basedOn w:val="Normal"/>
    <w:next w:val="TRNormal"/>
    <w:rsid w:val="00260412"/>
    <w:pPr>
      <w:keepNext/>
      <w:widowControl w:val="0"/>
      <w:spacing w:before="360" w:after="360"/>
      <w:jc w:val="left"/>
    </w:pPr>
    <w:rPr>
      <w:i/>
      <w:lang w:val="en-NZ"/>
    </w:rPr>
  </w:style>
  <w:style w:type="paragraph" w:customStyle="1" w:styleId="Chapter2">
    <w:name w:val="Chapter 2"/>
    <w:basedOn w:val="Normal"/>
    <w:autoRedefine/>
    <w:rsid w:val="00260412"/>
    <w:pPr>
      <w:tabs>
        <w:tab w:val="num" w:pos="851"/>
      </w:tabs>
      <w:spacing w:after="240"/>
    </w:pPr>
    <w:rPr>
      <w:snapToGrid w:val="0"/>
      <w:lang w:val="en-NZ"/>
    </w:rPr>
  </w:style>
  <w:style w:type="paragraph" w:customStyle="1" w:styleId="Indentbullet">
    <w:name w:val="Indent bullet"/>
    <w:basedOn w:val="BodyText"/>
    <w:rsid w:val="00260412"/>
    <w:pPr>
      <w:tabs>
        <w:tab w:val="num" w:pos="567"/>
      </w:tabs>
      <w:spacing w:after="140"/>
      <w:ind w:left="567" w:hanging="567"/>
    </w:pPr>
  </w:style>
  <w:style w:type="paragraph" w:styleId="ListParagraph">
    <w:name w:val="List Paragraph"/>
    <w:basedOn w:val="Normal"/>
    <w:uiPriority w:val="34"/>
    <w:qFormat/>
    <w:rsid w:val="00260412"/>
    <w:pPr>
      <w:ind w:left="720"/>
      <w:contextualSpacing/>
    </w:pPr>
  </w:style>
  <w:style w:type="paragraph" w:styleId="BalloonText">
    <w:name w:val="Balloon Text"/>
    <w:basedOn w:val="Normal"/>
    <w:link w:val="BalloonTextChar"/>
    <w:uiPriority w:val="99"/>
    <w:semiHidden/>
    <w:unhideWhenUsed/>
    <w:rsid w:val="00260412"/>
    <w:rPr>
      <w:rFonts w:ascii="Tahoma" w:hAnsi="Tahoma" w:cs="Tahoma"/>
      <w:sz w:val="16"/>
      <w:szCs w:val="16"/>
    </w:rPr>
  </w:style>
  <w:style w:type="character" w:customStyle="1" w:styleId="BalloonTextChar">
    <w:name w:val="Balloon Text Char"/>
    <w:basedOn w:val="DefaultParagraphFont"/>
    <w:link w:val="BalloonText"/>
    <w:uiPriority w:val="99"/>
    <w:semiHidden/>
    <w:rsid w:val="00260412"/>
    <w:rPr>
      <w:rFonts w:ascii="Tahoma" w:hAnsi="Tahoma" w:cs="Tahoma"/>
      <w:sz w:val="16"/>
      <w:szCs w:val="16"/>
      <w:lang w:val="en-GB" w:eastAsia="en-AU"/>
    </w:rPr>
  </w:style>
  <w:style w:type="table" w:styleId="TableGrid">
    <w:name w:val="Table Grid"/>
    <w:basedOn w:val="TableNormal"/>
    <w:uiPriority w:val="59"/>
    <w:rsid w:val="002604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60412"/>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260412"/>
    <w:rPr>
      <w:b/>
      <w:bCs/>
      <w:sz w:val="26"/>
      <w:lang w:val="en-GB" w:eastAsia="en-AU"/>
    </w:rPr>
  </w:style>
  <w:style w:type="character" w:customStyle="1" w:styleId="Heading1Char">
    <w:name w:val="Heading 1 Char"/>
    <w:aliases w:val="Report Title Char"/>
    <w:basedOn w:val="DefaultParagraphFont"/>
    <w:link w:val="Heading1"/>
    <w:rsid w:val="00625ADD"/>
    <w:rPr>
      <w:b/>
      <w:caps/>
      <w:sz w:val="26"/>
      <w:lang w:eastAsia="en-AU"/>
    </w:rPr>
  </w:style>
  <w:style w:type="character" w:customStyle="1" w:styleId="Heading2Char">
    <w:name w:val="Heading 2 Char"/>
    <w:basedOn w:val="DefaultParagraphFont"/>
    <w:link w:val="Heading2"/>
    <w:rsid w:val="00625ADD"/>
    <w:rPr>
      <w:b/>
      <w:sz w:val="24"/>
      <w:lang w:val="en-GB" w:eastAsia="en-AU"/>
    </w:rPr>
  </w:style>
  <w:style w:type="character" w:customStyle="1" w:styleId="Heading3Char">
    <w:name w:val="Heading 3 Char"/>
    <w:basedOn w:val="DefaultParagraphFont"/>
    <w:link w:val="Heading3"/>
    <w:rsid w:val="00625ADD"/>
    <w:rPr>
      <w:b/>
      <w:i/>
      <w:sz w:val="24"/>
      <w:lang w:val="en-GB" w:eastAsia="en-AU"/>
    </w:rPr>
  </w:style>
  <w:style w:type="character" w:customStyle="1" w:styleId="Heading4Char">
    <w:name w:val="Heading 4 Char"/>
    <w:basedOn w:val="DefaultParagraphFont"/>
    <w:link w:val="Heading4"/>
    <w:rsid w:val="00625ADD"/>
    <w:rPr>
      <w:i/>
      <w:sz w:val="24"/>
      <w:lang w:val="en-GB" w:eastAsia="en-AU"/>
    </w:rPr>
  </w:style>
  <w:style w:type="character" w:customStyle="1" w:styleId="Heading5Char">
    <w:name w:val="Heading 5 Char"/>
    <w:basedOn w:val="DefaultParagraphFont"/>
    <w:link w:val="Heading5"/>
    <w:rsid w:val="00625ADD"/>
    <w:rPr>
      <w:sz w:val="26"/>
      <w:u w:val="single"/>
      <w:lang w:val="en-GB" w:eastAsia="en-AU"/>
    </w:rPr>
  </w:style>
  <w:style w:type="character" w:customStyle="1" w:styleId="Heading6Char">
    <w:name w:val="Heading 6 Char"/>
    <w:basedOn w:val="DefaultParagraphFont"/>
    <w:link w:val="Heading6"/>
    <w:rsid w:val="00625ADD"/>
    <w:rPr>
      <w:i/>
      <w:sz w:val="32"/>
      <w:lang w:val="en-GB" w:eastAsia="en-AU"/>
    </w:rPr>
  </w:style>
  <w:style w:type="character" w:customStyle="1" w:styleId="Heading7Char">
    <w:name w:val="Heading 7 Char"/>
    <w:basedOn w:val="DefaultParagraphFont"/>
    <w:link w:val="Heading7"/>
    <w:rsid w:val="00625ADD"/>
    <w:rPr>
      <w:b/>
      <w:sz w:val="28"/>
      <w:lang w:val="en-GB" w:eastAsia="en-AU"/>
    </w:rPr>
  </w:style>
  <w:style w:type="character" w:customStyle="1" w:styleId="Heading8Char">
    <w:name w:val="Heading 8 Char"/>
    <w:aliases w:val="Table heading Char"/>
    <w:basedOn w:val="DefaultParagraphFont"/>
    <w:link w:val="Heading8"/>
    <w:rsid w:val="00625ADD"/>
    <w:rPr>
      <w:sz w:val="28"/>
      <w:lang w:val="en-GB" w:eastAsia="en-AU"/>
    </w:rPr>
  </w:style>
  <w:style w:type="character" w:customStyle="1" w:styleId="Heading9Char">
    <w:name w:val="Heading 9 Char"/>
    <w:basedOn w:val="DefaultParagraphFont"/>
    <w:link w:val="Heading9"/>
    <w:rsid w:val="00625ADD"/>
    <w:rPr>
      <w:b/>
      <w:snapToGrid w:val="0"/>
      <w:color w:val="000000"/>
      <w:sz w:val="22"/>
      <w:lang w:val="en-GB" w:eastAsia="en-AU"/>
    </w:rPr>
  </w:style>
  <w:style w:type="character" w:customStyle="1" w:styleId="FootnoteTextChar">
    <w:name w:val="Footnote Text Char"/>
    <w:basedOn w:val="DefaultParagraphFont"/>
    <w:link w:val="FootnoteText"/>
    <w:semiHidden/>
    <w:rsid w:val="00625ADD"/>
    <w:rPr>
      <w:lang w:val="en-GB" w:eastAsia="en-AU"/>
    </w:rPr>
  </w:style>
  <w:style w:type="character" w:customStyle="1" w:styleId="HeaderChar">
    <w:name w:val="Header Char"/>
    <w:basedOn w:val="DefaultParagraphFont"/>
    <w:link w:val="Header"/>
    <w:rsid w:val="00625ADD"/>
    <w:rPr>
      <w:sz w:val="24"/>
      <w:lang w:val="en-GB" w:eastAsia="en-AU"/>
    </w:rPr>
  </w:style>
  <w:style w:type="character" w:customStyle="1" w:styleId="DocumentMapChar">
    <w:name w:val="Document Map Char"/>
    <w:basedOn w:val="DefaultParagraphFont"/>
    <w:link w:val="DocumentMap"/>
    <w:semiHidden/>
    <w:rsid w:val="00625ADD"/>
    <w:rPr>
      <w:rFonts w:ascii="Tahoma" w:hAnsi="Tahoma"/>
      <w:sz w:val="24"/>
      <w:shd w:val="clear" w:color="auto" w:fill="000080"/>
      <w:lang w:val="en-GB" w:eastAsia="en-AU"/>
    </w:rPr>
  </w:style>
  <w:style w:type="character" w:customStyle="1" w:styleId="TitleChar">
    <w:name w:val="Title Char"/>
    <w:basedOn w:val="DefaultParagraphFont"/>
    <w:link w:val="Title"/>
    <w:rsid w:val="00625ADD"/>
    <w:rPr>
      <w:b/>
      <w:sz w:val="48"/>
      <w:lang w:val="en-US" w:eastAsia="en-AU"/>
    </w:rPr>
  </w:style>
  <w:style w:type="character" w:styleId="Hyperlink">
    <w:name w:val="Hyperlink"/>
    <w:basedOn w:val="DefaultParagraphFont"/>
    <w:uiPriority w:val="99"/>
    <w:unhideWhenUsed/>
    <w:rsid w:val="00625ADD"/>
    <w:rPr>
      <w:color w:val="0000FF" w:themeColor="hyperlink"/>
      <w:u w:val="single"/>
    </w:rPr>
  </w:style>
  <w:style w:type="paragraph" w:customStyle="1" w:styleId="Default">
    <w:name w:val="Default"/>
    <w:rsid w:val="00625ADD"/>
    <w:pPr>
      <w:autoSpaceDE w:val="0"/>
      <w:autoSpaceDN w:val="0"/>
      <w:adjustRightInd w:val="0"/>
    </w:pPr>
    <w:rPr>
      <w:color w:val="000000"/>
      <w:sz w:val="24"/>
      <w:szCs w:val="24"/>
    </w:rPr>
  </w:style>
  <w:style w:type="paragraph" w:styleId="Caption">
    <w:name w:val="caption"/>
    <w:basedOn w:val="Normal"/>
    <w:next w:val="Normal"/>
    <w:uiPriority w:val="35"/>
    <w:unhideWhenUsed/>
    <w:qFormat/>
    <w:rsid w:val="00625ADD"/>
    <w:pPr>
      <w:spacing w:after="200"/>
    </w:pPr>
    <w:rPr>
      <w:b/>
      <w:bCs/>
      <w:color w:val="4F81BD" w:themeColor="accent1"/>
      <w:sz w:val="18"/>
      <w:szCs w:val="18"/>
    </w:rPr>
  </w:style>
  <w:style w:type="paragraph" w:styleId="Revision">
    <w:name w:val="Revision"/>
    <w:hidden/>
    <w:uiPriority w:val="99"/>
    <w:semiHidden/>
    <w:rsid w:val="003A12FF"/>
    <w:rPr>
      <w:sz w:val="24"/>
      <w:lang w:val="en-GB" w:eastAsia="en-AU"/>
    </w:rPr>
  </w:style>
  <w:style w:type="character" w:customStyle="1" w:styleId="docsearchterm">
    <w:name w:val="docsearchterm"/>
    <w:basedOn w:val="DefaultParagraphFont"/>
    <w:rsid w:val="00B92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7A2462"/>
    <w:pPr>
      <w:jc w:val="both"/>
    </w:pPr>
    <w:rPr>
      <w:sz w:val="24"/>
      <w:lang w:val="en-GB" w:eastAsia="en-AU"/>
    </w:rPr>
  </w:style>
  <w:style w:type="paragraph" w:styleId="Heading1">
    <w:name w:val="heading 1"/>
    <w:aliases w:val="Report Title"/>
    <w:link w:val="Heading1Char"/>
    <w:qFormat/>
    <w:rsid w:val="002E7168"/>
    <w:pPr>
      <w:keepNext/>
      <w:pBdr>
        <w:bottom w:val="single" w:sz="4" w:space="6" w:color="auto"/>
      </w:pBdr>
      <w:outlineLvl w:val="0"/>
    </w:pPr>
    <w:rPr>
      <w:b/>
      <w:caps/>
      <w:sz w:val="26"/>
      <w:lang w:eastAsia="en-AU"/>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link w:val="Heading4Char"/>
    <w:qFormat/>
    <w:rsid w:val="004659D6"/>
    <w:pPr>
      <w:keepNext/>
      <w:outlineLvl w:val="3"/>
    </w:pPr>
    <w:rPr>
      <w:i/>
      <w:sz w:val="24"/>
      <w:lang w:val="en-GB" w:eastAsia="en-AU"/>
    </w:rPr>
  </w:style>
  <w:style w:type="paragraph" w:styleId="Heading5">
    <w:name w:val="heading 5"/>
    <w:basedOn w:val="Normal"/>
    <w:next w:val="Normal"/>
    <w:link w:val="Heading5Char"/>
    <w:qFormat/>
    <w:rsid w:val="009B684A"/>
    <w:pPr>
      <w:keepNext/>
      <w:outlineLvl w:val="4"/>
    </w:pPr>
    <w:rPr>
      <w:sz w:val="26"/>
      <w:u w:val="single"/>
    </w:rPr>
  </w:style>
  <w:style w:type="paragraph" w:styleId="Heading6">
    <w:name w:val="heading 6"/>
    <w:basedOn w:val="Normal"/>
    <w:next w:val="Normal"/>
    <w:link w:val="Heading6Char"/>
    <w:unhideWhenUsed/>
    <w:qFormat/>
    <w:pPr>
      <w:keepNext/>
      <w:outlineLvl w:val="5"/>
    </w:pPr>
    <w:rPr>
      <w:i/>
      <w:sz w:val="32"/>
    </w:rPr>
  </w:style>
  <w:style w:type="paragraph" w:styleId="Heading7">
    <w:name w:val="heading 7"/>
    <w:basedOn w:val="Normal"/>
    <w:next w:val="Normal"/>
    <w:link w:val="Heading7Char"/>
    <w:unhideWhenUsed/>
    <w:qFormat/>
    <w:pPr>
      <w:keepNext/>
      <w:outlineLvl w:val="6"/>
    </w:pPr>
    <w:rPr>
      <w:b/>
      <w:sz w:val="28"/>
    </w:rPr>
  </w:style>
  <w:style w:type="paragraph" w:styleId="Heading8">
    <w:name w:val="heading 8"/>
    <w:aliases w:val="Table heading"/>
    <w:basedOn w:val="Normal"/>
    <w:next w:val="Normal"/>
    <w:link w:val="Heading8Char"/>
    <w:unhideWhenUsed/>
    <w:qFormat/>
    <w:pPr>
      <w:keepNext/>
      <w:outlineLvl w:val="7"/>
    </w:pPr>
    <w:rPr>
      <w:sz w:val="28"/>
    </w:rPr>
  </w:style>
  <w:style w:type="paragraph" w:styleId="Heading9">
    <w:name w:val="heading 9"/>
    <w:basedOn w:val="Normal"/>
    <w:next w:val="Normal"/>
    <w:link w:val="Heading9Char"/>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9B684A"/>
    <w:pPr>
      <w:numPr>
        <w:numId w:val="2"/>
      </w:numPr>
      <w:spacing w:after="140"/>
      <w:ind w:left="567" w:hanging="567"/>
    </w:pPr>
    <w:rPr>
      <w:lang w:val="en-NZ"/>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link w:val="HeaderChar"/>
    <w:pPr>
      <w:tabs>
        <w:tab w:val="center" w:pos="4153"/>
        <w:tab w:val="right" w:pos="8306"/>
      </w:tabs>
    </w:p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link w:val="DocumentMapChar"/>
    <w:semiHidden/>
    <w:pPr>
      <w:shd w:val="clear" w:color="auto" w:fill="000080"/>
    </w:pPr>
    <w:rPr>
      <w:rFonts w:ascii="Tahoma" w:hAnsi="Tahoma"/>
    </w:rPr>
  </w:style>
  <w:style w:type="paragraph" w:styleId="Title">
    <w:name w:val="Title"/>
    <w:link w:val="TitleChar"/>
    <w:qFormat/>
    <w:rsid w:val="00D94817"/>
    <w:pPr>
      <w:pBdr>
        <w:bottom w:val="single" w:sz="4" w:space="6" w:color="auto"/>
      </w:pBdr>
    </w:pPr>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Bullets2">
    <w:name w:val="Bullets2"/>
    <w:basedOn w:val="Normal"/>
    <w:qFormat/>
    <w:rsid w:val="00B3699F"/>
    <w:pPr>
      <w:numPr>
        <w:numId w:val="1"/>
      </w:numPr>
      <w:ind w:left="1134" w:hanging="567"/>
      <w:contextualSpacing/>
    </w:pPr>
  </w:style>
  <w:style w:type="paragraph" w:styleId="BodyText">
    <w:name w:val="Body Text"/>
    <w:basedOn w:val="Normal"/>
    <w:link w:val="BodyTextChar"/>
    <w:rsid w:val="007A2462"/>
  </w:style>
  <w:style w:type="character" w:customStyle="1" w:styleId="CommentTextChar">
    <w:name w:val="Comment Text Char"/>
    <w:basedOn w:val="DefaultParagraphFont"/>
    <w:link w:val="CommentText"/>
    <w:semiHidden/>
    <w:rsid w:val="007A2462"/>
    <w:rPr>
      <w:b/>
      <w:sz w:val="26"/>
      <w:lang w:val="en-US" w:eastAsia="en-AU"/>
    </w:rPr>
  </w:style>
  <w:style w:type="character" w:customStyle="1" w:styleId="BodyTextChar">
    <w:name w:val="Body Text Char"/>
    <w:basedOn w:val="DefaultParagraphFont"/>
    <w:link w:val="BodyText"/>
    <w:rsid w:val="007A2462"/>
    <w:rPr>
      <w:sz w:val="24"/>
      <w:lang w:val="en-GB" w:eastAsia="en-AU"/>
    </w:rPr>
  </w:style>
  <w:style w:type="paragraph" w:customStyle="1" w:styleId="dotpoint">
    <w:name w:val="dot point"/>
    <w:basedOn w:val="Normal"/>
    <w:rsid w:val="00260412"/>
    <w:pPr>
      <w:tabs>
        <w:tab w:val="num" w:pos="567"/>
      </w:tabs>
      <w:spacing w:after="140"/>
      <w:ind w:left="567" w:hanging="567"/>
    </w:pPr>
  </w:style>
  <w:style w:type="character" w:styleId="PageNumber">
    <w:name w:val="page number"/>
    <w:basedOn w:val="DefaultParagraphFont"/>
    <w:rsid w:val="00260412"/>
    <w:rPr>
      <w:sz w:val="22"/>
    </w:rPr>
  </w:style>
  <w:style w:type="paragraph" w:styleId="BodyTextIndent">
    <w:name w:val="Body Text Indent"/>
    <w:basedOn w:val="Normal"/>
    <w:link w:val="BodyTextIndentChar"/>
    <w:rsid w:val="00260412"/>
    <w:pPr>
      <w:ind w:left="450"/>
    </w:pPr>
    <w:rPr>
      <w:lang w:val="en-NZ"/>
    </w:rPr>
  </w:style>
  <w:style w:type="character" w:customStyle="1" w:styleId="BodyTextIndentChar">
    <w:name w:val="Body Text Indent Char"/>
    <w:basedOn w:val="DefaultParagraphFont"/>
    <w:link w:val="BodyTextIndent"/>
    <w:rsid w:val="00260412"/>
    <w:rPr>
      <w:sz w:val="24"/>
      <w:lang w:eastAsia="en-AU"/>
    </w:rPr>
  </w:style>
  <w:style w:type="paragraph" w:styleId="BodyTextIndent2">
    <w:name w:val="Body Text Indent 2"/>
    <w:basedOn w:val="Normal"/>
    <w:link w:val="BodyTextIndent2Char"/>
    <w:rsid w:val="00260412"/>
    <w:pPr>
      <w:ind w:left="450"/>
    </w:pPr>
    <w:rPr>
      <w:lang w:val="en-US"/>
    </w:rPr>
  </w:style>
  <w:style w:type="character" w:customStyle="1" w:styleId="BodyTextIndent2Char">
    <w:name w:val="Body Text Indent 2 Char"/>
    <w:basedOn w:val="DefaultParagraphFont"/>
    <w:link w:val="BodyTextIndent2"/>
    <w:rsid w:val="00260412"/>
    <w:rPr>
      <w:sz w:val="24"/>
      <w:lang w:val="en-US" w:eastAsia="en-AU"/>
    </w:rPr>
  </w:style>
  <w:style w:type="paragraph" w:styleId="BodyTextIndent3">
    <w:name w:val="Body Text Indent 3"/>
    <w:basedOn w:val="Normal"/>
    <w:link w:val="BodyTextIndent3Char"/>
    <w:rsid w:val="00260412"/>
    <w:pPr>
      <w:ind w:left="465"/>
    </w:pPr>
    <w:rPr>
      <w:lang w:val="en-US"/>
    </w:rPr>
  </w:style>
  <w:style w:type="character" w:customStyle="1" w:styleId="BodyTextIndent3Char">
    <w:name w:val="Body Text Indent 3 Char"/>
    <w:basedOn w:val="DefaultParagraphFont"/>
    <w:link w:val="BodyTextIndent3"/>
    <w:rsid w:val="00260412"/>
    <w:rPr>
      <w:sz w:val="24"/>
      <w:lang w:val="en-US" w:eastAsia="en-AU"/>
    </w:rPr>
  </w:style>
  <w:style w:type="paragraph" w:styleId="BodyText2">
    <w:name w:val="Body Text 2"/>
    <w:basedOn w:val="Normal"/>
    <w:link w:val="BodyText2Char"/>
    <w:rsid w:val="00260412"/>
    <w:pPr>
      <w:jc w:val="center"/>
    </w:pPr>
    <w:rPr>
      <w:b/>
      <w:lang w:val="en-US"/>
    </w:rPr>
  </w:style>
  <w:style w:type="character" w:customStyle="1" w:styleId="BodyText2Char">
    <w:name w:val="Body Text 2 Char"/>
    <w:basedOn w:val="DefaultParagraphFont"/>
    <w:link w:val="BodyText2"/>
    <w:rsid w:val="00260412"/>
    <w:rPr>
      <w:b/>
      <w:sz w:val="24"/>
      <w:lang w:val="en-US" w:eastAsia="en-AU"/>
    </w:rPr>
  </w:style>
  <w:style w:type="paragraph" w:customStyle="1" w:styleId="BodyTextChapter2">
    <w:name w:val="Body Text Chapter 2"/>
    <w:rsid w:val="00260412"/>
    <w:pPr>
      <w:tabs>
        <w:tab w:val="num" w:pos="992"/>
      </w:tabs>
      <w:ind w:left="992" w:hanging="992"/>
      <w:jc w:val="both"/>
    </w:pPr>
    <w:rPr>
      <w:noProof/>
      <w:sz w:val="24"/>
      <w:lang w:val="en-AU" w:eastAsia="en-AU"/>
    </w:rPr>
  </w:style>
  <w:style w:type="paragraph" w:customStyle="1" w:styleId="PartHeading">
    <w:name w:val="PartHeading"/>
    <w:basedOn w:val="Heading1"/>
    <w:rsid w:val="00260412"/>
    <w:pPr>
      <w:pBdr>
        <w:top w:val="single" w:sz="4" w:space="8" w:color="auto"/>
        <w:bottom w:val="single" w:sz="4" w:space="8" w:color="auto"/>
      </w:pBdr>
      <w:jc w:val="center"/>
    </w:pPr>
    <w:rPr>
      <w:b w:val="0"/>
      <w:sz w:val="60"/>
    </w:rPr>
  </w:style>
  <w:style w:type="paragraph" w:customStyle="1" w:styleId="BodyTextChapter11">
    <w:name w:val="Body Text Chapter 11"/>
    <w:rsid w:val="00260412"/>
    <w:pPr>
      <w:tabs>
        <w:tab w:val="num" w:pos="992"/>
      </w:tabs>
      <w:ind w:left="992" w:hanging="992"/>
      <w:jc w:val="both"/>
    </w:pPr>
    <w:rPr>
      <w:noProof/>
      <w:sz w:val="24"/>
      <w:lang w:val="en-AU" w:eastAsia="en-AU"/>
    </w:rPr>
  </w:style>
  <w:style w:type="paragraph" w:customStyle="1" w:styleId="BodyTextChapter14">
    <w:name w:val="Body Text Chapter 14"/>
    <w:rsid w:val="00260412"/>
    <w:pPr>
      <w:tabs>
        <w:tab w:val="num" w:pos="992"/>
      </w:tabs>
      <w:ind w:left="992" w:hanging="992"/>
      <w:jc w:val="both"/>
    </w:pPr>
    <w:rPr>
      <w:noProof/>
      <w:sz w:val="24"/>
      <w:lang w:val="en-AU" w:eastAsia="en-AU"/>
    </w:rPr>
  </w:style>
  <w:style w:type="paragraph" w:customStyle="1" w:styleId="BodyTextChapter17">
    <w:name w:val="Body Text Chapter 17"/>
    <w:rsid w:val="00260412"/>
    <w:pPr>
      <w:tabs>
        <w:tab w:val="num" w:pos="992"/>
      </w:tabs>
      <w:ind w:left="992" w:hanging="992"/>
      <w:jc w:val="both"/>
    </w:pPr>
    <w:rPr>
      <w:noProof/>
      <w:sz w:val="24"/>
      <w:lang w:val="en-AU" w:eastAsia="en-AU"/>
    </w:rPr>
  </w:style>
  <w:style w:type="paragraph" w:customStyle="1" w:styleId="BodyTextChapter15">
    <w:name w:val="Body Text Chapter 15"/>
    <w:rsid w:val="00260412"/>
    <w:pPr>
      <w:tabs>
        <w:tab w:val="num" w:pos="992"/>
      </w:tabs>
      <w:ind w:left="992" w:hanging="992"/>
      <w:jc w:val="both"/>
    </w:pPr>
    <w:rPr>
      <w:noProof/>
      <w:sz w:val="24"/>
      <w:lang w:val="en-AU" w:eastAsia="en-AU"/>
    </w:rPr>
  </w:style>
  <w:style w:type="paragraph" w:styleId="BodyText3">
    <w:name w:val="Body Text 3"/>
    <w:basedOn w:val="Normal"/>
    <w:link w:val="BodyText3Char"/>
    <w:rsid w:val="00260412"/>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260412"/>
    <w:rPr>
      <w:lang w:val="en-GB" w:eastAsia="en-AU"/>
    </w:rPr>
  </w:style>
  <w:style w:type="paragraph" w:customStyle="1" w:styleId="Style1">
    <w:name w:val="Style1"/>
    <w:basedOn w:val="Normal"/>
    <w:rsid w:val="00260412"/>
    <w:rPr>
      <w:lang w:val="en-NZ"/>
    </w:rPr>
  </w:style>
  <w:style w:type="paragraph" w:customStyle="1" w:styleId="TRNormal">
    <w:name w:val="_TRNormal"/>
    <w:rsid w:val="00260412"/>
    <w:pPr>
      <w:spacing w:after="240" w:line="300" w:lineRule="atLeast"/>
      <w:ind w:left="567" w:hanging="567"/>
      <w:jc w:val="both"/>
    </w:pPr>
    <w:rPr>
      <w:sz w:val="24"/>
      <w:lang w:eastAsia="en-AU"/>
    </w:rPr>
  </w:style>
  <w:style w:type="paragraph" w:customStyle="1" w:styleId="dotpoint2">
    <w:name w:val="dot point2"/>
    <w:basedOn w:val="Normal"/>
    <w:rsid w:val="00260412"/>
    <w:pPr>
      <w:widowControl w:val="0"/>
      <w:tabs>
        <w:tab w:val="num" w:pos="360"/>
      </w:tabs>
      <w:ind w:left="340" w:hanging="340"/>
    </w:pPr>
  </w:style>
  <w:style w:type="paragraph" w:customStyle="1" w:styleId="recomendation">
    <w:name w:val="recomendation"/>
    <w:basedOn w:val="BodyText"/>
    <w:rsid w:val="00260412"/>
    <w:pPr>
      <w:tabs>
        <w:tab w:val="left" w:pos="567"/>
        <w:tab w:val="left" w:pos="1134"/>
      </w:tabs>
      <w:spacing w:after="180"/>
      <w:ind w:left="567" w:hanging="567"/>
    </w:pPr>
    <w:rPr>
      <w:rFonts w:ascii="Arial" w:hAnsi="Arial"/>
    </w:rPr>
  </w:style>
  <w:style w:type="paragraph" w:customStyle="1" w:styleId="Subrec">
    <w:name w:val="Subrec"/>
    <w:basedOn w:val="BodyText"/>
    <w:rsid w:val="00260412"/>
    <w:pPr>
      <w:tabs>
        <w:tab w:val="num" w:pos="1134"/>
      </w:tabs>
      <w:spacing w:after="180"/>
      <w:ind w:left="1134" w:hanging="567"/>
    </w:pPr>
    <w:rPr>
      <w:rFonts w:ascii="Arial" w:hAnsi="Arial"/>
    </w:rPr>
  </w:style>
  <w:style w:type="paragraph" w:customStyle="1" w:styleId="Dotpointtwo">
    <w:name w:val="Dot point two"/>
    <w:basedOn w:val="dotpoint"/>
    <w:next w:val="BlockText"/>
    <w:rsid w:val="00260412"/>
    <w:pPr>
      <w:widowControl w:val="0"/>
      <w:tabs>
        <w:tab w:val="clear" w:pos="567"/>
        <w:tab w:val="num" w:pos="1134"/>
      </w:tabs>
      <w:spacing w:after="240"/>
      <w:ind w:left="1134"/>
    </w:pPr>
  </w:style>
  <w:style w:type="paragraph" w:styleId="BlockText">
    <w:name w:val="Block Text"/>
    <w:basedOn w:val="Normal"/>
    <w:rsid w:val="00260412"/>
    <w:pPr>
      <w:spacing w:after="120"/>
      <w:ind w:left="1440" w:right="1440"/>
    </w:pPr>
    <w:rPr>
      <w:lang w:val="en-NZ"/>
    </w:rPr>
  </w:style>
  <w:style w:type="paragraph" w:customStyle="1" w:styleId="Tabledotpoint">
    <w:name w:val="Table dot point"/>
    <w:basedOn w:val="Normal"/>
    <w:rsid w:val="00260412"/>
    <w:pPr>
      <w:tabs>
        <w:tab w:val="num" w:pos="360"/>
      </w:tabs>
      <w:spacing w:after="240"/>
      <w:ind w:left="284" w:hanging="284"/>
    </w:pPr>
    <w:rPr>
      <w:sz w:val="20"/>
      <w:lang w:val="en-NZ"/>
    </w:rPr>
  </w:style>
  <w:style w:type="paragraph" w:customStyle="1" w:styleId="TRFooter">
    <w:name w:val="_TRFooter"/>
    <w:basedOn w:val="TRNormal"/>
    <w:rsid w:val="00260412"/>
    <w:pPr>
      <w:tabs>
        <w:tab w:val="right" w:pos="9071"/>
      </w:tabs>
      <w:spacing w:after="0" w:line="240" w:lineRule="atLeast"/>
      <w:ind w:left="0" w:firstLine="0"/>
      <w:jc w:val="left"/>
    </w:pPr>
    <w:rPr>
      <w:sz w:val="16"/>
    </w:rPr>
  </w:style>
  <w:style w:type="paragraph" w:customStyle="1" w:styleId="TRHeader">
    <w:name w:val="_TRHeader"/>
    <w:basedOn w:val="TRNormal"/>
    <w:rsid w:val="00260412"/>
    <w:pPr>
      <w:spacing w:after="0"/>
      <w:ind w:left="0" w:firstLine="0"/>
      <w:jc w:val="left"/>
    </w:pPr>
    <w:rPr>
      <w:b/>
      <w:sz w:val="16"/>
    </w:rPr>
  </w:style>
  <w:style w:type="paragraph" w:customStyle="1" w:styleId="TRTitle">
    <w:name w:val="_TRTitle"/>
    <w:basedOn w:val="TRNormal"/>
    <w:next w:val="TRNormal"/>
    <w:rsid w:val="00260412"/>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260412"/>
    <w:pPr>
      <w:spacing w:after="0"/>
      <w:ind w:left="0" w:firstLine="0"/>
      <w:jc w:val="left"/>
    </w:pPr>
  </w:style>
  <w:style w:type="paragraph" w:customStyle="1" w:styleId="Chapter16">
    <w:name w:val="Chapter16"/>
    <w:rsid w:val="00260412"/>
    <w:pPr>
      <w:tabs>
        <w:tab w:val="left" w:pos="709"/>
      </w:tabs>
      <w:ind w:left="709" w:hanging="709"/>
      <w:jc w:val="both"/>
    </w:pPr>
    <w:rPr>
      <w:sz w:val="24"/>
      <w:lang w:eastAsia="en-AU"/>
    </w:rPr>
  </w:style>
  <w:style w:type="paragraph" w:customStyle="1" w:styleId="Chapter19">
    <w:name w:val="Chapter19"/>
    <w:rsid w:val="00260412"/>
    <w:pPr>
      <w:tabs>
        <w:tab w:val="num" w:pos="720"/>
      </w:tabs>
      <w:ind w:left="709" w:hanging="709"/>
      <w:jc w:val="both"/>
    </w:pPr>
    <w:rPr>
      <w:sz w:val="24"/>
      <w:lang w:eastAsia="en-AU"/>
    </w:rPr>
  </w:style>
  <w:style w:type="paragraph" w:customStyle="1" w:styleId="Chapter11">
    <w:name w:val="Chapter11"/>
    <w:rsid w:val="00260412"/>
    <w:pPr>
      <w:tabs>
        <w:tab w:val="left" w:pos="709"/>
      </w:tabs>
      <w:ind w:left="709" w:hanging="709"/>
      <w:jc w:val="both"/>
    </w:pPr>
    <w:rPr>
      <w:sz w:val="24"/>
      <w:lang w:eastAsia="en-AU"/>
    </w:rPr>
  </w:style>
  <w:style w:type="paragraph" w:customStyle="1" w:styleId="Chapter13">
    <w:name w:val="Chapter13"/>
    <w:rsid w:val="00260412"/>
    <w:pPr>
      <w:tabs>
        <w:tab w:val="left" w:pos="709"/>
      </w:tabs>
      <w:ind w:left="709" w:hanging="709"/>
      <w:jc w:val="both"/>
    </w:pPr>
    <w:rPr>
      <w:sz w:val="24"/>
      <w:lang w:eastAsia="en-AU"/>
    </w:rPr>
  </w:style>
  <w:style w:type="paragraph" w:customStyle="1" w:styleId="dotpointindent">
    <w:name w:val="dot point indent"/>
    <w:rsid w:val="00260412"/>
    <w:pPr>
      <w:tabs>
        <w:tab w:val="num" w:pos="1134"/>
      </w:tabs>
      <w:spacing w:after="140"/>
      <w:ind w:left="1134" w:hanging="567"/>
    </w:pPr>
    <w:rPr>
      <w:noProof/>
      <w:sz w:val="24"/>
      <w:lang w:val="en-AU" w:eastAsia="en-AU"/>
    </w:rPr>
  </w:style>
  <w:style w:type="paragraph" w:customStyle="1" w:styleId="TRFootnoteText">
    <w:name w:val="_TRFootnote Text"/>
    <w:basedOn w:val="Normal"/>
    <w:rsid w:val="00260412"/>
    <w:pPr>
      <w:spacing w:line="300" w:lineRule="atLeast"/>
    </w:pPr>
    <w:rPr>
      <w:sz w:val="16"/>
      <w:lang w:val="en-NZ"/>
    </w:rPr>
  </w:style>
  <w:style w:type="paragraph" w:customStyle="1" w:styleId="TRBodyText">
    <w:name w:val="_TRBody Text"/>
    <w:rsid w:val="00260412"/>
    <w:pPr>
      <w:spacing w:line="300" w:lineRule="atLeast"/>
      <w:jc w:val="both"/>
    </w:pPr>
    <w:rPr>
      <w:sz w:val="24"/>
      <w:lang w:eastAsia="en-AU"/>
    </w:rPr>
  </w:style>
  <w:style w:type="paragraph" w:styleId="NormalWeb">
    <w:name w:val="Normal (Web)"/>
    <w:basedOn w:val="Normal"/>
    <w:rsid w:val="00260412"/>
    <w:pPr>
      <w:spacing w:before="100" w:after="100"/>
    </w:pPr>
    <w:rPr>
      <w:rFonts w:ascii="Verdana" w:hAnsi="Verdana"/>
      <w:lang w:val="en-AU"/>
    </w:rPr>
  </w:style>
  <w:style w:type="paragraph" w:customStyle="1" w:styleId="Chapter3">
    <w:name w:val="Chapter 3"/>
    <w:basedOn w:val="Normal"/>
    <w:rsid w:val="00260412"/>
    <w:pPr>
      <w:tabs>
        <w:tab w:val="num" w:pos="737"/>
      </w:tabs>
      <w:spacing w:before="120" w:after="120"/>
      <w:ind w:left="737" w:hanging="737"/>
    </w:pPr>
    <w:rPr>
      <w:snapToGrid w:val="0"/>
      <w:lang w:val="en-AU" w:eastAsia="en-US"/>
    </w:rPr>
  </w:style>
  <w:style w:type="paragraph" w:customStyle="1" w:styleId="Indent2">
    <w:name w:val="Indent 2"/>
    <w:rsid w:val="00260412"/>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260412"/>
    <w:pPr>
      <w:keepNext/>
      <w:widowControl w:val="0"/>
      <w:spacing w:before="560" w:after="360"/>
      <w:jc w:val="left"/>
    </w:pPr>
    <w:rPr>
      <w:b/>
      <w:lang w:val="en-NZ"/>
    </w:rPr>
  </w:style>
  <w:style w:type="paragraph" w:customStyle="1" w:styleId="TRHeading4">
    <w:name w:val="_TRHeading 4"/>
    <w:basedOn w:val="Normal"/>
    <w:next w:val="TRNormal"/>
    <w:rsid w:val="00260412"/>
    <w:pPr>
      <w:keepNext/>
      <w:widowControl w:val="0"/>
      <w:spacing w:before="360" w:after="360"/>
      <w:jc w:val="left"/>
    </w:pPr>
    <w:rPr>
      <w:i/>
      <w:lang w:val="en-NZ"/>
    </w:rPr>
  </w:style>
  <w:style w:type="paragraph" w:customStyle="1" w:styleId="Chapter2">
    <w:name w:val="Chapter 2"/>
    <w:basedOn w:val="Normal"/>
    <w:autoRedefine/>
    <w:rsid w:val="00260412"/>
    <w:pPr>
      <w:tabs>
        <w:tab w:val="num" w:pos="851"/>
      </w:tabs>
      <w:spacing w:after="240"/>
    </w:pPr>
    <w:rPr>
      <w:snapToGrid w:val="0"/>
      <w:lang w:val="en-NZ"/>
    </w:rPr>
  </w:style>
  <w:style w:type="paragraph" w:customStyle="1" w:styleId="Indentbullet">
    <w:name w:val="Indent bullet"/>
    <w:basedOn w:val="BodyText"/>
    <w:rsid w:val="00260412"/>
    <w:pPr>
      <w:tabs>
        <w:tab w:val="num" w:pos="567"/>
      </w:tabs>
      <w:spacing w:after="140"/>
      <w:ind w:left="567" w:hanging="567"/>
    </w:pPr>
  </w:style>
  <w:style w:type="paragraph" w:styleId="ListParagraph">
    <w:name w:val="List Paragraph"/>
    <w:basedOn w:val="Normal"/>
    <w:uiPriority w:val="34"/>
    <w:qFormat/>
    <w:rsid w:val="00260412"/>
    <w:pPr>
      <w:ind w:left="720"/>
      <w:contextualSpacing/>
    </w:pPr>
  </w:style>
  <w:style w:type="paragraph" w:styleId="BalloonText">
    <w:name w:val="Balloon Text"/>
    <w:basedOn w:val="Normal"/>
    <w:link w:val="BalloonTextChar"/>
    <w:uiPriority w:val="99"/>
    <w:semiHidden/>
    <w:unhideWhenUsed/>
    <w:rsid w:val="00260412"/>
    <w:rPr>
      <w:rFonts w:ascii="Tahoma" w:hAnsi="Tahoma" w:cs="Tahoma"/>
      <w:sz w:val="16"/>
      <w:szCs w:val="16"/>
    </w:rPr>
  </w:style>
  <w:style w:type="character" w:customStyle="1" w:styleId="BalloonTextChar">
    <w:name w:val="Balloon Text Char"/>
    <w:basedOn w:val="DefaultParagraphFont"/>
    <w:link w:val="BalloonText"/>
    <w:uiPriority w:val="99"/>
    <w:semiHidden/>
    <w:rsid w:val="00260412"/>
    <w:rPr>
      <w:rFonts w:ascii="Tahoma" w:hAnsi="Tahoma" w:cs="Tahoma"/>
      <w:sz w:val="16"/>
      <w:szCs w:val="16"/>
      <w:lang w:val="en-GB" w:eastAsia="en-AU"/>
    </w:rPr>
  </w:style>
  <w:style w:type="table" w:styleId="TableGrid">
    <w:name w:val="Table Grid"/>
    <w:basedOn w:val="TableNormal"/>
    <w:uiPriority w:val="59"/>
    <w:rsid w:val="002604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60412"/>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260412"/>
    <w:rPr>
      <w:b/>
      <w:bCs/>
      <w:sz w:val="26"/>
      <w:lang w:val="en-GB" w:eastAsia="en-AU"/>
    </w:rPr>
  </w:style>
  <w:style w:type="character" w:customStyle="1" w:styleId="Heading1Char">
    <w:name w:val="Heading 1 Char"/>
    <w:aliases w:val="Report Title Char"/>
    <w:basedOn w:val="DefaultParagraphFont"/>
    <w:link w:val="Heading1"/>
    <w:rsid w:val="00625ADD"/>
    <w:rPr>
      <w:b/>
      <w:caps/>
      <w:sz w:val="26"/>
      <w:lang w:eastAsia="en-AU"/>
    </w:rPr>
  </w:style>
  <w:style w:type="character" w:customStyle="1" w:styleId="Heading2Char">
    <w:name w:val="Heading 2 Char"/>
    <w:basedOn w:val="DefaultParagraphFont"/>
    <w:link w:val="Heading2"/>
    <w:rsid w:val="00625ADD"/>
    <w:rPr>
      <w:b/>
      <w:sz w:val="24"/>
      <w:lang w:val="en-GB" w:eastAsia="en-AU"/>
    </w:rPr>
  </w:style>
  <w:style w:type="character" w:customStyle="1" w:styleId="Heading3Char">
    <w:name w:val="Heading 3 Char"/>
    <w:basedOn w:val="DefaultParagraphFont"/>
    <w:link w:val="Heading3"/>
    <w:rsid w:val="00625ADD"/>
    <w:rPr>
      <w:b/>
      <w:i/>
      <w:sz w:val="24"/>
      <w:lang w:val="en-GB" w:eastAsia="en-AU"/>
    </w:rPr>
  </w:style>
  <w:style w:type="character" w:customStyle="1" w:styleId="Heading4Char">
    <w:name w:val="Heading 4 Char"/>
    <w:basedOn w:val="DefaultParagraphFont"/>
    <w:link w:val="Heading4"/>
    <w:rsid w:val="00625ADD"/>
    <w:rPr>
      <w:i/>
      <w:sz w:val="24"/>
      <w:lang w:val="en-GB" w:eastAsia="en-AU"/>
    </w:rPr>
  </w:style>
  <w:style w:type="character" w:customStyle="1" w:styleId="Heading5Char">
    <w:name w:val="Heading 5 Char"/>
    <w:basedOn w:val="DefaultParagraphFont"/>
    <w:link w:val="Heading5"/>
    <w:rsid w:val="00625ADD"/>
    <w:rPr>
      <w:sz w:val="26"/>
      <w:u w:val="single"/>
      <w:lang w:val="en-GB" w:eastAsia="en-AU"/>
    </w:rPr>
  </w:style>
  <w:style w:type="character" w:customStyle="1" w:styleId="Heading6Char">
    <w:name w:val="Heading 6 Char"/>
    <w:basedOn w:val="DefaultParagraphFont"/>
    <w:link w:val="Heading6"/>
    <w:rsid w:val="00625ADD"/>
    <w:rPr>
      <w:i/>
      <w:sz w:val="32"/>
      <w:lang w:val="en-GB" w:eastAsia="en-AU"/>
    </w:rPr>
  </w:style>
  <w:style w:type="character" w:customStyle="1" w:styleId="Heading7Char">
    <w:name w:val="Heading 7 Char"/>
    <w:basedOn w:val="DefaultParagraphFont"/>
    <w:link w:val="Heading7"/>
    <w:rsid w:val="00625ADD"/>
    <w:rPr>
      <w:b/>
      <w:sz w:val="28"/>
      <w:lang w:val="en-GB" w:eastAsia="en-AU"/>
    </w:rPr>
  </w:style>
  <w:style w:type="character" w:customStyle="1" w:styleId="Heading8Char">
    <w:name w:val="Heading 8 Char"/>
    <w:aliases w:val="Table heading Char"/>
    <w:basedOn w:val="DefaultParagraphFont"/>
    <w:link w:val="Heading8"/>
    <w:rsid w:val="00625ADD"/>
    <w:rPr>
      <w:sz w:val="28"/>
      <w:lang w:val="en-GB" w:eastAsia="en-AU"/>
    </w:rPr>
  </w:style>
  <w:style w:type="character" w:customStyle="1" w:styleId="Heading9Char">
    <w:name w:val="Heading 9 Char"/>
    <w:basedOn w:val="DefaultParagraphFont"/>
    <w:link w:val="Heading9"/>
    <w:rsid w:val="00625ADD"/>
    <w:rPr>
      <w:b/>
      <w:snapToGrid w:val="0"/>
      <w:color w:val="000000"/>
      <w:sz w:val="22"/>
      <w:lang w:val="en-GB" w:eastAsia="en-AU"/>
    </w:rPr>
  </w:style>
  <w:style w:type="character" w:customStyle="1" w:styleId="FootnoteTextChar">
    <w:name w:val="Footnote Text Char"/>
    <w:basedOn w:val="DefaultParagraphFont"/>
    <w:link w:val="FootnoteText"/>
    <w:semiHidden/>
    <w:rsid w:val="00625ADD"/>
    <w:rPr>
      <w:lang w:val="en-GB" w:eastAsia="en-AU"/>
    </w:rPr>
  </w:style>
  <w:style w:type="character" w:customStyle="1" w:styleId="HeaderChar">
    <w:name w:val="Header Char"/>
    <w:basedOn w:val="DefaultParagraphFont"/>
    <w:link w:val="Header"/>
    <w:rsid w:val="00625ADD"/>
    <w:rPr>
      <w:sz w:val="24"/>
      <w:lang w:val="en-GB" w:eastAsia="en-AU"/>
    </w:rPr>
  </w:style>
  <w:style w:type="character" w:customStyle="1" w:styleId="DocumentMapChar">
    <w:name w:val="Document Map Char"/>
    <w:basedOn w:val="DefaultParagraphFont"/>
    <w:link w:val="DocumentMap"/>
    <w:semiHidden/>
    <w:rsid w:val="00625ADD"/>
    <w:rPr>
      <w:rFonts w:ascii="Tahoma" w:hAnsi="Tahoma"/>
      <w:sz w:val="24"/>
      <w:shd w:val="clear" w:color="auto" w:fill="000080"/>
      <w:lang w:val="en-GB" w:eastAsia="en-AU"/>
    </w:rPr>
  </w:style>
  <w:style w:type="character" w:customStyle="1" w:styleId="TitleChar">
    <w:name w:val="Title Char"/>
    <w:basedOn w:val="DefaultParagraphFont"/>
    <w:link w:val="Title"/>
    <w:rsid w:val="00625ADD"/>
    <w:rPr>
      <w:b/>
      <w:sz w:val="48"/>
      <w:lang w:val="en-US" w:eastAsia="en-AU"/>
    </w:rPr>
  </w:style>
  <w:style w:type="character" w:styleId="Hyperlink">
    <w:name w:val="Hyperlink"/>
    <w:basedOn w:val="DefaultParagraphFont"/>
    <w:uiPriority w:val="99"/>
    <w:unhideWhenUsed/>
    <w:rsid w:val="00625ADD"/>
    <w:rPr>
      <w:color w:val="0000FF" w:themeColor="hyperlink"/>
      <w:u w:val="single"/>
    </w:rPr>
  </w:style>
  <w:style w:type="paragraph" w:customStyle="1" w:styleId="Default">
    <w:name w:val="Default"/>
    <w:rsid w:val="00625ADD"/>
    <w:pPr>
      <w:autoSpaceDE w:val="0"/>
      <w:autoSpaceDN w:val="0"/>
      <w:adjustRightInd w:val="0"/>
    </w:pPr>
    <w:rPr>
      <w:color w:val="000000"/>
      <w:sz w:val="24"/>
      <w:szCs w:val="24"/>
    </w:rPr>
  </w:style>
  <w:style w:type="paragraph" w:styleId="Caption">
    <w:name w:val="caption"/>
    <w:basedOn w:val="Normal"/>
    <w:next w:val="Normal"/>
    <w:uiPriority w:val="35"/>
    <w:unhideWhenUsed/>
    <w:qFormat/>
    <w:rsid w:val="00625ADD"/>
    <w:pPr>
      <w:spacing w:after="200"/>
    </w:pPr>
    <w:rPr>
      <w:b/>
      <w:bCs/>
      <w:color w:val="4F81BD" w:themeColor="accent1"/>
      <w:sz w:val="18"/>
      <w:szCs w:val="18"/>
    </w:rPr>
  </w:style>
  <w:style w:type="paragraph" w:styleId="Revision">
    <w:name w:val="Revision"/>
    <w:hidden/>
    <w:uiPriority w:val="99"/>
    <w:semiHidden/>
    <w:rsid w:val="003A12FF"/>
    <w:rPr>
      <w:sz w:val="24"/>
      <w:lang w:val="en-GB" w:eastAsia="en-AU"/>
    </w:rPr>
  </w:style>
  <w:style w:type="character" w:customStyle="1" w:styleId="docsearchterm">
    <w:name w:val="docsearchterm"/>
    <w:basedOn w:val="DefaultParagraphFont"/>
    <w:rsid w:val="00B9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1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10723</Words>
  <Characters>54375</Characters>
  <Application>Microsoft Office Word</Application>
  <DocSecurity>0</DocSecurity>
  <Lines>1510</Lines>
  <Paragraphs>586</Paragraphs>
  <ScaleCrop>false</ScaleCrop>
  <HeadingPairs>
    <vt:vector size="2" baseType="variant">
      <vt:variant>
        <vt:lpstr>Title</vt:lpstr>
      </vt:variant>
      <vt:variant>
        <vt:i4>1</vt:i4>
      </vt:variant>
    </vt:vector>
  </HeadingPairs>
  <TitlesOfParts>
    <vt:vector size="1" baseType="lpstr">
      <vt:lpstr>Special report on NRWT: Related party and branch lending (April 2017)</vt:lpstr>
    </vt:vector>
  </TitlesOfParts>
  <Company>Inland Revenue</Company>
  <LinksUpToDate>false</LinksUpToDate>
  <CharactersWithSpaces>64512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NRWT: Related party and branch lending (April 2017)</dc:title>
  <dc:creator>Policy and Strategy</dc:creator>
  <dc:description>Published on 11 April 2017 (updated on 16 April 2017)</dc:description>
  <cp:lastModifiedBy>David Nind</cp:lastModifiedBy>
  <cp:revision>2</cp:revision>
  <dcterms:created xsi:type="dcterms:W3CDTF">2017-04-16T08:10:00Z</dcterms:created>
  <dcterms:modified xsi:type="dcterms:W3CDTF">2017-04-16T08:11:00Z</dcterms:modified>
  <cp:contentStatus/>
</cp:coreProperties>
</file>