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BA" w:rsidRPr="00A170F9" w:rsidRDefault="0050054A" w:rsidP="00E905BA">
      <w:bookmarkStart w:id="0" w:name="_Toc135445744"/>
      <w:r>
        <w:t>April</w:t>
      </w:r>
      <w:r w:rsidR="00E905BA" w:rsidRPr="00A170F9">
        <w:t xml:space="preserve"> </w:t>
      </w:r>
      <w:r w:rsidR="00E905BA">
        <w:t>2017</w:t>
      </w:r>
    </w:p>
    <w:p w:rsidR="00E905BA" w:rsidRPr="00A170F9" w:rsidRDefault="00E905BA" w:rsidP="00E905BA">
      <w:pPr>
        <w:autoSpaceDE w:val="0"/>
        <w:autoSpaceDN w:val="0"/>
        <w:adjustRightInd w:val="0"/>
        <w:rPr>
          <w:iCs/>
          <w:sz w:val="28"/>
          <w:szCs w:val="28"/>
        </w:rPr>
      </w:pPr>
    </w:p>
    <w:p w:rsidR="00E905BA" w:rsidRPr="00A170F9" w:rsidRDefault="00E905BA" w:rsidP="00E905BA">
      <w:pPr>
        <w:autoSpaceDE w:val="0"/>
        <w:autoSpaceDN w:val="0"/>
        <w:adjustRightInd w:val="0"/>
        <w:rPr>
          <w:iCs/>
          <w:sz w:val="28"/>
          <w:szCs w:val="28"/>
        </w:rPr>
      </w:pPr>
    </w:p>
    <w:p w:rsidR="00E905BA" w:rsidRPr="00A170F9" w:rsidRDefault="00E905BA" w:rsidP="00E905BA">
      <w:pPr>
        <w:autoSpaceDE w:val="0"/>
        <w:autoSpaceDN w:val="0"/>
        <w:adjustRightInd w:val="0"/>
        <w:rPr>
          <w:i/>
          <w:iCs/>
          <w:sz w:val="28"/>
          <w:szCs w:val="28"/>
        </w:rPr>
      </w:pPr>
      <w:r w:rsidRPr="00A170F9">
        <w:rPr>
          <w:i/>
          <w:iCs/>
          <w:sz w:val="28"/>
          <w:szCs w:val="28"/>
        </w:rPr>
        <w:t>A special report from</w:t>
      </w:r>
    </w:p>
    <w:p w:rsidR="00E905BA" w:rsidRPr="00A170F9" w:rsidRDefault="00E905BA" w:rsidP="00E905BA">
      <w:pPr>
        <w:rPr>
          <w:sz w:val="28"/>
          <w:szCs w:val="28"/>
        </w:rPr>
      </w:pPr>
      <w:r w:rsidRPr="00A170F9">
        <w:rPr>
          <w:sz w:val="28"/>
          <w:szCs w:val="28"/>
        </w:rPr>
        <w:t>Policy and Strategy, Inland Revenue</w:t>
      </w:r>
    </w:p>
    <w:p w:rsidR="00E905BA" w:rsidRPr="00A170F9" w:rsidRDefault="00E905BA" w:rsidP="00E905BA">
      <w:pPr>
        <w:rPr>
          <w:sz w:val="28"/>
          <w:szCs w:val="28"/>
        </w:rPr>
      </w:pPr>
    </w:p>
    <w:p w:rsidR="00E905BA" w:rsidRPr="00A170F9" w:rsidRDefault="00E905BA" w:rsidP="00E905BA">
      <w:pPr>
        <w:rPr>
          <w:sz w:val="28"/>
          <w:szCs w:val="28"/>
        </w:rPr>
      </w:pPr>
    </w:p>
    <w:p w:rsidR="00E905BA" w:rsidRPr="00A170F9" w:rsidRDefault="00E905BA" w:rsidP="00E905BA">
      <w:pPr>
        <w:pStyle w:val="Title-Specialreport"/>
      </w:pPr>
      <w:r>
        <w:t>Closely held companies</w:t>
      </w:r>
    </w:p>
    <w:p w:rsidR="00FA66F4" w:rsidRDefault="00FA66F4" w:rsidP="00D90911"/>
    <w:p w:rsidR="0050054A" w:rsidRDefault="0050054A" w:rsidP="00D90911"/>
    <w:p w:rsidR="00E905BA" w:rsidRDefault="00E905BA" w:rsidP="00D90911">
      <w:r>
        <w:t>This special report provides information on changes to the tax rules for closely held companies contained in the Taxation (</w:t>
      </w:r>
      <w:r w:rsidR="00BB6AFC">
        <w:t xml:space="preserve">Annual Rates for 2016–17, </w:t>
      </w:r>
      <w:r>
        <w:t>Closely Held Companies, and Remedial Matters) Bill</w:t>
      </w:r>
      <w:r w:rsidR="00DF24A3">
        <w:t xml:space="preserve"> introduced in May 2016 and enacted in March 2017.</w:t>
      </w:r>
    </w:p>
    <w:p w:rsidR="00E905BA" w:rsidRDefault="00E905BA" w:rsidP="00D90911"/>
    <w:p w:rsidR="00E905BA" w:rsidRDefault="00E905BA" w:rsidP="00D90911">
      <w:pPr>
        <w:rPr>
          <w:i/>
        </w:rPr>
      </w:pPr>
      <w:r>
        <w:t xml:space="preserve">Information in this special report precedes full coverage of the new legislation that will be published in a future edition of the </w:t>
      </w:r>
      <w:r>
        <w:rPr>
          <w:i/>
        </w:rPr>
        <w:t>Tax Information Bulletin.</w:t>
      </w:r>
    </w:p>
    <w:p w:rsidR="00E905BA" w:rsidRPr="00020744" w:rsidRDefault="00E905BA" w:rsidP="00D90911"/>
    <w:p w:rsidR="00D90911" w:rsidRDefault="00DF24A3" w:rsidP="00D90911">
      <w:r>
        <w:t xml:space="preserve">The amendments in the Taxation (Annual Rates for 2016–17, Closely Held Companies, and Remedial Matters) Act 2017 </w:t>
      </w:r>
      <w:r w:rsidR="00957D9A">
        <w:t>aim to simplify the rules and reduce compliance costs, while ensuring that the rules remain robust and in line with intended policy.</w:t>
      </w:r>
    </w:p>
    <w:p w:rsidR="00957D9A" w:rsidRDefault="00957D9A" w:rsidP="00D90911"/>
    <w:p w:rsidR="00957D9A" w:rsidRDefault="00957D9A" w:rsidP="00D90911">
      <w:r>
        <w:t xml:space="preserve">Closely held companies typically have </w:t>
      </w:r>
      <w:r w:rsidR="00676307">
        <w:t>just</w:t>
      </w:r>
      <w:r>
        <w:t xml:space="preserve"> a few shareholders but can have widely varying net worth and business focus. </w:t>
      </w:r>
      <w:r w:rsidR="00676307">
        <w:t xml:space="preserve"> </w:t>
      </w:r>
      <w:r>
        <w:t xml:space="preserve">They also make up a significant proportion of the total number of companies in New Zealand. </w:t>
      </w:r>
      <w:r w:rsidR="00676307">
        <w:t xml:space="preserve"> </w:t>
      </w:r>
      <w:r>
        <w:t>Many use the standard company tax rules but there are also specific tax rules available for very closely held companies, in particular</w:t>
      </w:r>
      <w:r w:rsidR="00676307">
        <w:t>,</w:t>
      </w:r>
      <w:r>
        <w:t xml:space="preserve"> the look-through company (LTC) rules and their predecessor, the qualifying company (QC) rules.</w:t>
      </w:r>
    </w:p>
    <w:p w:rsidR="00957D9A" w:rsidRDefault="00957D9A" w:rsidP="00D90911"/>
    <w:p w:rsidR="00957D9A" w:rsidRDefault="00957D9A" w:rsidP="00D90911">
      <w:r>
        <w:t xml:space="preserve">The LTC and QC rules recognise that companies are taxed differently from individuals and it is important that this tax difference does not influence business decisions on whether to incorporate as this may impede growth. </w:t>
      </w:r>
      <w:r w:rsidR="00820795">
        <w:t xml:space="preserve"> </w:t>
      </w:r>
      <w:r>
        <w:t>For example, a business may start off as a sole trader and</w:t>
      </w:r>
      <w:r w:rsidR="00820795">
        <w:t>,</w:t>
      </w:r>
      <w:r>
        <w:t xml:space="preserve"> as it grows</w:t>
      </w:r>
      <w:r w:rsidR="00820795">
        <w:t>,</w:t>
      </w:r>
      <w:r>
        <w:t xml:space="preserve"> decides to become a company, given </w:t>
      </w:r>
      <w:r w:rsidR="00820795">
        <w:t>the</w:t>
      </w:r>
      <w:r>
        <w:t xml:space="preserve"> legal benefits </w:t>
      </w:r>
      <w:r w:rsidR="00820795">
        <w:t>of</w:t>
      </w:r>
      <w:r>
        <w:t xml:space="preserve"> limited liability. </w:t>
      </w:r>
      <w:r w:rsidR="00820795">
        <w:t xml:space="preserve"> </w:t>
      </w:r>
      <w:r>
        <w:t>The LTC rules</w:t>
      </w:r>
      <w:r w:rsidR="00820795">
        <w:t>,</w:t>
      </w:r>
      <w:r>
        <w:t xml:space="preserve"> in effect</w:t>
      </w:r>
      <w:r w:rsidR="00820795">
        <w:t>,</w:t>
      </w:r>
      <w:r>
        <w:t xml:space="preserve"> enable individual tax treatment to continue to apply to owners’ LTC interests even though the LTC is legally a company for other than tax purposes. </w:t>
      </w:r>
      <w:r w:rsidR="00820795">
        <w:t xml:space="preserve"> </w:t>
      </w:r>
      <w:r>
        <w:t>On the other hand, it is important that these rules be available only to those that could have genuinely alternatively operated through direct ownership.</w:t>
      </w:r>
    </w:p>
    <w:p w:rsidR="00957D9A" w:rsidRDefault="00957D9A" w:rsidP="00D90911"/>
    <w:p w:rsidR="00957D9A" w:rsidRDefault="00957D9A" w:rsidP="00D90911">
      <w:r>
        <w:t xml:space="preserve">The </w:t>
      </w:r>
      <w:r w:rsidR="00EE1D0F">
        <w:t>Taxation (Annual Rates for 2016–17, Closely Held Companies, and Remedial Matters) Act 2017</w:t>
      </w:r>
      <w:r>
        <w:t xml:space="preserve"> make</w:t>
      </w:r>
      <w:r w:rsidR="00EE1D0F">
        <w:t>s</w:t>
      </w:r>
      <w:r>
        <w:t xml:space="preserve"> a number of changes to the LTC rules</w:t>
      </w:r>
      <w:r w:rsidR="00EE1D0F">
        <w:t>,</w:t>
      </w:r>
      <w:r>
        <w:t xml:space="preserve"> QCs and, through a number of changes to the dividend rules, other types of companies.</w:t>
      </w:r>
    </w:p>
    <w:p w:rsidR="00957D9A" w:rsidRDefault="00957D9A" w:rsidP="00D90911"/>
    <w:p w:rsidR="00957D9A" w:rsidRDefault="00957D9A" w:rsidP="00D90911">
      <w:r>
        <w:t>The key changes relate to the following:</w:t>
      </w:r>
    </w:p>
    <w:p w:rsidR="00957D9A" w:rsidRDefault="00957D9A" w:rsidP="00D90911"/>
    <w:p w:rsidR="00957D9A" w:rsidRPr="00957D9A" w:rsidRDefault="00957D9A" w:rsidP="00EF18A2">
      <w:pPr>
        <w:pStyle w:val="Heading2"/>
      </w:pPr>
      <w:r w:rsidRPr="00957D9A">
        <w:t>LTCs</w:t>
      </w:r>
    </w:p>
    <w:p w:rsidR="00957D9A" w:rsidRDefault="00957D9A" w:rsidP="00D90911"/>
    <w:p w:rsidR="00957D9A" w:rsidRPr="00EF18A2" w:rsidRDefault="00E126A7" w:rsidP="00EF18A2">
      <w:pPr>
        <w:pStyle w:val="Bullets"/>
        <w:spacing w:after="80"/>
      </w:pPr>
      <w:r>
        <w:t>e</w:t>
      </w:r>
      <w:r w:rsidR="00957D9A">
        <w:t>ligi</w:t>
      </w:r>
      <w:r w:rsidR="00957D9A" w:rsidRPr="00EF18A2">
        <w:t>bility criteria</w:t>
      </w:r>
      <w:r w:rsidRPr="00EF18A2">
        <w:t>;</w:t>
      </w:r>
    </w:p>
    <w:p w:rsidR="00957D9A" w:rsidRDefault="00E126A7" w:rsidP="00EF18A2">
      <w:pPr>
        <w:pStyle w:val="Bullets"/>
        <w:spacing w:after="80"/>
      </w:pPr>
      <w:r w:rsidRPr="00EF18A2">
        <w:t>e</w:t>
      </w:r>
      <w:r w:rsidR="00957D9A" w:rsidRPr="00EF18A2">
        <w:t xml:space="preserve">ntry </w:t>
      </w:r>
      <w:r w:rsidR="00957D9A">
        <w:t>tax</w:t>
      </w:r>
      <w:r>
        <w:t>;</w:t>
      </w:r>
    </w:p>
    <w:p w:rsidR="00957D9A" w:rsidRDefault="00E126A7" w:rsidP="00EF18A2">
      <w:pPr>
        <w:pStyle w:val="Bullets"/>
        <w:spacing w:after="80"/>
      </w:pPr>
      <w:r>
        <w:t>the d</w:t>
      </w:r>
      <w:r w:rsidR="00957D9A">
        <w:t>eduction limitation rule</w:t>
      </w:r>
      <w:r>
        <w:t>; and</w:t>
      </w:r>
    </w:p>
    <w:p w:rsidR="00957D9A" w:rsidRDefault="00E126A7" w:rsidP="00EF18A2">
      <w:pPr>
        <w:pStyle w:val="Bullets"/>
      </w:pPr>
      <w:proofErr w:type="gramStart"/>
      <w:r>
        <w:t>d</w:t>
      </w:r>
      <w:r w:rsidR="00957D9A">
        <w:t>ebt</w:t>
      </w:r>
      <w:proofErr w:type="gramEnd"/>
      <w:r w:rsidR="00957D9A">
        <w:t xml:space="preserve"> remission</w:t>
      </w:r>
      <w:r w:rsidR="00B76B78">
        <w:t>.</w:t>
      </w:r>
    </w:p>
    <w:p w:rsidR="00957D9A" w:rsidRPr="00957D9A" w:rsidRDefault="00957D9A" w:rsidP="00EF18A2">
      <w:pPr>
        <w:pStyle w:val="Heading2"/>
      </w:pPr>
      <w:r w:rsidRPr="00957D9A">
        <w:lastRenderedPageBreak/>
        <w:t>QCs</w:t>
      </w:r>
    </w:p>
    <w:p w:rsidR="00957D9A" w:rsidRDefault="00957D9A" w:rsidP="00D90911"/>
    <w:p w:rsidR="00957D9A" w:rsidRDefault="00E126A7" w:rsidP="00EF18A2">
      <w:pPr>
        <w:pStyle w:val="Bullets"/>
        <w:spacing w:after="80"/>
      </w:pPr>
      <w:r>
        <w:t>c</w:t>
      </w:r>
      <w:r w:rsidR="00957D9A">
        <w:t>ontinuity of ownership</w:t>
      </w:r>
      <w:r>
        <w:t>; and</w:t>
      </w:r>
    </w:p>
    <w:p w:rsidR="005F4624" w:rsidRDefault="00E126A7" w:rsidP="00EF18A2">
      <w:pPr>
        <w:pStyle w:val="Bullets"/>
        <w:spacing w:after="0"/>
      </w:pPr>
      <w:proofErr w:type="gramStart"/>
      <w:r>
        <w:t>e</w:t>
      </w:r>
      <w:r w:rsidR="005F4624">
        <w:t>x</w:t>
      </w:r>
      <w:r w:rsidR="00B04C80">
        <w:t>-</w:t>
      </w:r>
      <w:r w:rsidR="005F4624">
        <w:t>qualifying</w:t>
      </w:r>
      <w:proofErr w:type="gramEnd"/>
      <w:r w:rsidR="005F4624">
        <w:t xml:space="preserve"> companies and </w:t>
      </w:r>
      <w:r>
        <w:t xml:space="preserve">the </w:t>
      </w:r>
      <w:r w:rsidR="005F4624">
        <w:t>inter-corporate dividend exemption</w:t>
      </w:r>
      <w:r>
        <w:t>.</w:t>
      </w:r>
    </w:p>
    <w:p w:rsidR="00957D9A" w:rsidRDefault="00957D9A" w:rsidP="00D90911"/>
    <w:p w:rsidR="00957D9A" w:rsidRPr="00957D9A" w:rsidRDefault="00957D9A" w:rsidP="00EF18A2">
      <w:pPr>
        <w:pStyle w:val="Heading2"/>
      </w:pPr>
      <w:r w:rsidRPr="00957D9A">
        <w:t>Other companies</w:t>
      </w:r>
    </w:p>
    <w:p w:rsidR="00957D9A" w:rsidRDefault="00957D9A" w:rsidP="00D90911"/>
    <w:p w:rsidR="00957D9A" w:rsidRDefault="00E126A7" w:rsidP="00EF18A2">
      <w:pPr>
        <w:pStyle w:val="Bullets"/>
        <w:spacing w:after="80"/>
      </w:pPr>
      <w:r>
        <w:t>t</w:t>
      </w:r>
      <w:r w:rsidR="00957D9A">
        <w:t>ainted capital gains</w:t>
      </w:r>
      <w:r>
        <w:t>;</w:t>
      </w:r>
    </w:p>
    <w:p w:rsidR="00957D9A" w:rsidRDefault="00E126A7" w:rsidP="00EF18A2">
      <w:pPr>
        <w:pStyle w:val="Bullets"/>
        <w:spacing w:after="80"/>
      </w:pPr>
      <w:r>
        <w:t>r</w:t>
      </w:r>
      <w:r w:rsidR="00957D9A">
        <w:t>esident withholding tax on dividends</w:t>
      </w:r>
      <w:r>
        <w:t>; and</w:t>
      </w:r>
    </w:p>
    <w:p w:rsidR="00957D9A" w:rsidRDefault="00E126A7" w:rsidP="00EF18A2">
      <w:pPr>
        <w:pStyle w:val="Bullets"/>
        <w:spacing w:after="0"/>
      </w:pPr>
      <w:proofErr w:type="gramStart"/>
      <w:r>
        <w:t>the</w:t>
      </w:r>
      <w:proofErr w:type="gramEnd"/>
      <w:r>
        <w:t xml:space="preserve"> t</w:t>
      </w:r>
      <w:r w:rsidR="00957D9A">
        <w:t>axation of shareholder-employees’ employment income</w:t>
      </w:r>
      <w:r>
        <w:t>.</w:t>
      </w:r>
    </w:p>
    <w:p w:rsidR="00957D9A" w:rsidRDefault="00957D9A" w:rsidP="00D90911"/>
    <w:p w:rsidR="005E41A7" w:rsidRDefault="005E41A7" w:rsidP="00D90911"/>
    <w:p w:rsidR="00957D9A" w:rsidRPr="00EF18A2" w:rsidRDefault="00957D9A" w:rsidP="00D90911">
      <w:pPr>
        <w:rPr>
          <w:b/>
          <w:sz w:val="26"/>
          <w:szCs w:val="26"/>
        </w:rPr>
      </w:pPr>
      <w:r w:rsidRPr="00EF18A2">
        <w:rPr>
          <w:b/>
          <w:sz w:val="26"/>
          <w:szCs w:val="26"/>
        </w:rPr>
        <w:t>Application date</w:t>
      </w:r>
      <w:r w:rsidR="00FE48E6" w:rsidRPr="00EF18A2">
        <w:rPr>
          <w:b/>
          <w:sz w:val="26"/>
          <w:szCs w:val="26"/>
        </w:rPr>
        <w:t>s</w:t>
      </w:r>
    </w:p>
    <w:p w:rsidR="00DD5886" w:rsidRDefault="00DD5886" w:rsidP="00D90911"/>
    <w:p w:rsidR="00957D9A" w:rsidRPr="00670DFA" w:rsidRDefault="00957D9A" w:rsidP="00D90911">
      <w:r>
        <w:t>Most of the proposed changes apply from the beginning of the 2017</w:t>
      </w:r>
      <w:r w:rsidR="00775A72">
        <w:t>–</w:t>
      </w:r>
      <w:r>
        <w:t xml:space="preserve">18 income year, </w:t>
      </w:r>
      <w:r w:rsidR="00020744">
        <w:t>or 1</w:t>
      </w:r>
      <w:r w:rsidR="00EF18A2">
        <w:t> </w:t>
      </w:r>
      <w:r w:rsidR="00020744">
        <w:t xml:space="preserve">April 2017, </w:t>
      </w:r>
      <w:r>
        <w:t>although some, such as those relating to debt remission, have been backdated where appropriate.</w:t>
      </w:r>
    </w:p>
    <w:bookmarkEnd w:id="0"/>
    <w:p w:rsidR="002279EB" w:rsidRDefault="002279EB">
      <w:pPr>
        <w:jc w:val="left"/>
      </w:pPr>
      <w:r>
        <w:br w:type="page"/>
      </w:r>
    </w:p>
    <w:p w:rsidR="002279EB" w:rsidRDefault="00625E36" w:rsidP="002279EB">
      <w:pPr>
        <w:pStyle w:val="Heading1"/>
      </w:pPr>
      <w:r>
        <w:lastRenderedPageBreak/>
        <w:t>look-through company eligibility criteria</w:t>
      </w:r>
    </w:p>
    <w:p w:rsidR="002279EB" w:rsidRPr="00670619" w:rsidRDefault="002279EB" w:rsidP="002279EB"/>
    <w:p w:rsidR="002279EB" w:rsidRPr="00020744" w:rsidRDefault="00E273E9" w:rsidP="002279EB">
      <w:pPr>
        <w:pStyle w:val="Sections"/>
        <w:rPr>
          <w:b w:val="0"/>
        </w:rPr>
      </w:pPr>
      <w:r w:rsidRPr="00020744">
        <w:rPr>
          <w:b w:val="0"/>
        </w:rPr>
        <w:t>Section</w:t>
      </w:r>
      <w:r w:rsidR="00967A8E" w:rsidRPr="00020744">
        <w:rPr>
          <w:b w:val="0"/>
        </w:rPr>
        <w:t>s</w:t>
      </w:r>
      <w:r w:rsidRPr="00020744">
        <w:rPr>
          <w:b w:val="0"/>
        </w:rPr>
        <w:t xml:space="preserve"> YA 1</w:t>
      </w:r>
      <w:r w:rsidR="00967A8E" w:rsidRPr="00020744">
        <w:rPr>
          <w:b w:val="0"/>
        </w:rPr>
        <w:t xml:space="preserve"> and HZ 4E of the Income Tax Act 2007</w:t>
      </w:r>
    </w:p>
    <w:p w:rsidR="002279EB" w:rsidRDefault="002279EB" w:rsidP="002279EB"/>
    <w:p w:rsidR="00EF18A2" w:rsidRPr="00670DFA" w:rsidRDefault="00EF18A2" w:rsidP="002279EB"/>
    <w:p w:rsidR="002279EB" w:rsidRDefault="00E337D4" w:rsidP="002279EB">
      <w:r>
        <w:t xml:space="preserve">Several amendments have been made to tighten the LTC eligibility criteria to ensure that LTCs operate as closely controlled companies, as originally intended. </w:t>
      </w:r>
      <w:r w:rsidR="00B55EE4">
        <w:t xml:space="preserve"> </w:t>
      </w:r>
      <w:r>
        <w:t>The</w:t>
      </w:r>
      <w:r w:rsidR="00B55EE4">
        <w:t xml:space="preserve"> changes</w:t>
      </w:r>
      <w:r>
        <w:t xml:space="preserve"> relate in particular to who can have an interest in a LTC and how the five or fewer “counted owners” test applies. </w:t>
      </w:r>
      <w:r w:rsidR="00B55EE4">
        <w:t xml:space="preserve"> </w:t>
      </w:r>
      <w:r>
        <w:t>The changes are as follows:</w:t>
      </w:r>
    </w:p>
    <w:p w:rsidR="00E337D4" w:rsidRDefault="00E337D4" w:rsidP="002279EB"/>
    <w:p w:rsidR="00E337D4" w:rsidRDefault="00E337D4" w:rsidP="00EF18A2">
      <w:pPr>
        <w:pStyle w:val="Bullets"/>
      </w:pPr>
      <w:r>
        <w:t xml:space="preserve">The way that beneficiaries are counted when determining whether the counted owner test is met </w:t>
      </w:r>
      <w:r w:rsidR="004971D1">
        <w:t>has been</w:t>
      </w:r>
      <w:r>
        <w:t xml:space="preserve"> broadened.</w:t>
      </w:r>
    </w:p>
    <w:p w:rsidR="00E337D4" w:rsidRDefault="00E337D4" w:rsidP="00EF18A2">
      <w:pPr>
        <w:pStyle w:val="Bullets"/>
      </w:pPr>
      <w:r>
        <w:t xml:space="preserve">Charities and Māori authorities </w:t>
      </w:r>
      <w:r w:rsidR="00314597">
        <w:t>are</w:t>
      </w:r>
      <w:r>
        <w:t xml:space="preserve"> precluded from being LTC owners, directly or indirectly, subject to certain exemptions and grandparenting</w:t>
      </w:r>
      <w:r w:rsidR="004971D1">
        <w:t xml:space="preserve"> provisions</w:t>
      </w:r>
      <w:r>
        <w:t>.</w:t>
      </w:r>
    </w:p>
    <w:p w:rsidR="00E337D4" w:rsidRDefault="00E337D4" w:rsidP="00EF18A2">
      <w:pPr>
        <w:pStyle w:val="Bullets"/>
      </w:pPr>
      <w:r>
        <w:t xml:space="preserve">Trusts that own LTCs </w:t>
      </w:r>
      <w:r w:rsidR="00314597">
        <w:t>are</w:t>
      </w:r>
      <w:r>
        <w:t xml:space="preserve"> precluded from making distributions to corporate beneficiaries.</w:t>
      </w:r>
    </w:p>
    <w:p w:rsidR="00E337D4" w:rsidRDefault="00E337D4" w:rsidP="00EF18A2">
      <w:pPr>
        <w:pStyle w:val="Bullets"/>
      </w:pPr>
      <w:r>
        <w:t xml:space="preserve">The foreign income that a foreign-owned LTC can earn annually </w:t>
      </w:r>
      <w:r w:rsidR="00314597">
        <w:t>is</w:t>
      </w:r>
      <w:r>
        <w:t xml:space="preserve"> limited.</w:t>
      </w:r>
    </w:p>
    <w:p w:rsidR="00E337D4" w:rsidRPr="00670DFA" w:rsidRDefault="00E337D4" w:rsidP="00EF18A2">
      <w:pPr>
        <w:pStyle w:val="Bullets"/>
        <w:spacing w:after="0"/>
      </w:pPr>
      <w:r>
        <w:t>The restriction that requires a LTC to have only one class of shares</w:t>
      </w:r>
      <w:r w:rsidR="00314597">
        <w:t xml:space="preserve"> </w:t>
      </w:r>
      <w:r w:rsidR="004971D1">
        <w:t>has been</w:t>
      </w:r>
      <w:r>
        <w:t xml:space="preserve"> relaxed.</w:t>
      </w:r>
    </w:p>
    <w:p w:rsidR="002279EB" w:rsidRDefault="002279EB" w:rsidP="002279EB"/>
    <w:p w:rsidR="00E337D4" w:rsidRDefault="00E337D4" w:rsidP="002279EB">
      <w:r>
        <w:t xml:space="preserve">A transitional rule applies </w:t>
      </w:r>
      <w:r w:rsidR="001F3E9B">
        <w:t>so that</w:t>
      </w:r>
      <w:r>
        <w:t xml:space="preserve"> LTCs that will lose their LTC eligibility a</w:t>
      </w:r>
      <w:r w:rsidR="001F3E9B">
        <w:t>s a result of these amendments can convert to ordinary companies without any immediate tax consequences.</w:t>
      </w:r>
    </w:p>
    <w:p w:rsidR="00E337D4" w:rsidRDefault="00E337D4" w:rsidP="002279EB"/>
    <w:p w:rsidR="005E41A7" w:rsidRPr="00670DFA" w:rsidRDefault="005E41A7" w:rsidP="002279EB"/>
    <w:p w:rsidR="002279EB" w:rsidRPr="00670619" w:rsidRDefault="002279EB" w:rsidP="002279EB">
      <w:pPr>
        <w:pStyle w:val="Heading2"/>
      </w:pPr>
      <w:r w:rsidRPr="00670DFA">
        <w:t>Background</w:t>
      </w:r>
    </w:p>
    <w:p w:rsidR="002279EB" w:rsidRPr="00670DFA" w:rsidRDefault="002279EB" w:rsidP="002279EB"/>
    <w:p w:rsidR="00E337D4" w:rsidRPr="00E36545" w:rsidRDefault="00E337D4" w:rsidP="00E337D4">
      <w:r w:rsidRPr="00E36545">
        <w:t>The eligibility criteria limit the type of entity that can elect to become</w:t>
      </w:r>
      <w:r>
        <w:t>,</w:t>
      </w:r>
      <w:r w:rsidRPr="00E36545">
        <w:t xml:space="preserve"> and continue to be</w:t>
      </w:r>
      <w:r>
        <w:t>,</w:t>
      </w:r>
      <w:r w:rsidRPr="00E36545">
        <w:t xml:space="preserve"> a LTC as well as the type of owner that can hold LTC interests.  They serve to ensure that the use of the LTC rules is appropriately targeted </w:t>
      </w:r>
      <w:r>
        <w:t>according to</w:t>
      </w:r>
      <w:r w:rsidRPr="00E36545">
        <w:t xml:space="preserve"> the policy intent</w:t>
      </w:r>
      <w:r w:rsidR="004971D1">
        <w:t xml:space="preserve">.  That is, </w:t>
      </w:r>
      <w:r w:rsidRPr="00E36545">
        <w:t>that the rules should only be available to those that could have genuinely alternatively ope</w:t>
      </w:r>
      <w:r>
        <w:t>rated through direct ownership</w:t>
      </w:r>
      <w:r w:rsidR="004971D1">
        <w:t xml:space="preserve">.  That </w:t>
      </w:r>
      <w:r w:rsidR="00FA66F4">
        <w:t>implies that ownership is held by a few shareholders</w:t>
      </w:r>
      <w:r w:rsidR="004971D1">
        <w:t xml:space="preserve">; </w:t>
      </w:r>
      <w:r w:rsidR="00FA66F4" w:rsidRPr="00E36545">
        <w:t>LTCs are not designed to be widely held entities</w:t>
      </w:r>
      <w:r w:rsidR="00FA66F4">
        <w:t>.</w:t>
      </w:r>
      <w:r w:rsidR="004971D1">
        <w:t xml:space="preserve"> </w:t>
      </w:r>
      <w:r w:rsidR="00FA66F4" w:rsidRPr="00FA66F4">
        <w:t xml:space="preserve"> </w:t>
      </w:r>
      <w:r w:rsidR="00FA66F4">
        <w:t>Accordingly the rules require LTCs to have no more than five counted owners to ensure that the company is “closely controlled” by individuals</w:t>
      </w:r>
      <w:r w:rsidR="004971D1">
        <w:t>,</w:t>
      </w:r>
      <w:r w:rsidR="00FA66F4">
        <w:t xml:space="preserve"> and the rules specifically limit the number of owners to five look-through owners</w:t>
      </w:r>
      <w:r w:rsidR="00FA66F4" w:rsidRPr="00E36545">
        <w:t>.</w:t>
      </w:r>
    </w:p>
    <w:p w:rsidR="00E337D4" w:rsidRPr="00E36545" w:rsidRDefault="00E337D4" w:rsidP="00E337D4"/>
    <w:p w:rsidR="00E337D4" w:rsidRPr="00E36545" w:rsidRDefault="00E337D4" w:rsidP="00E337D4">
      <w:r w:rsidRPr="00E36545">
        <w:t>Th</w:t>
      </w:r>
      <w:r w:rsidR="00FA66F4">
        <w:t xml:space="preserve">e </w:t>
      </w:r>
      <w:r w:rsidRPr="00E36545">
        <w:t xml:space="preserve">concern covers not only direct ownership but also indirect ownership through benefiting from a distribution from a trust that has an ownership interest in a LTC.  For example, the </w:t>
      </w:r>
      <w:r w:rsidR="00F26F0F">
        <w:t>previous</w:t>
      </w:r>
      <w:r w:rsidR="00F26F0F" w:rsidRPr="00E36545">
        <w:t xml:space="preserve"> </w:t>
      </w:r>
      <w:r w:rsidRPr="00E36545">
        <w:t>rules allow</w:t>
      </w:r>
      <w:r w:rsidR="00F26F0F">
        <w:t>ed</w:t>
      </w:r>
      <w:r w:rsidRPr="00E36545">
        <w:t xml:space="preserve"> for charities and Māori authorities to hold LTC interests, either directly or indirectly through a trust.  Both charities and Māori authorities have potentially wide pools of beneficiaries and are therefore, conceptually, not part of the LTC target </w:t>
      </w:r>
      <w:r w:rsidR="00231DFE">
        <w:t>group</w:t>
      </w:r>
      <w:r w:rsidRPr="00E36545">
        <w:t>.</w:t>
      </w:r>
    </w:p>
    <w:p w:rsidR="00E337D4" w:rsidRPr="00E36545" w:rsidRDefault="00E337D4" w:rsidP="00E337D4"/>
    <w:p w:rsidR="0036735D" w:rsidRDefault="00FA66F4" w:rsidP="00E337D4">
      <w:r>
        <w:t>Likewise, other</w:t>
      </w:r>
      <w:r w:rsidR="00E337D4" w:rsidRPr="00E36545">
        <w:t xml:space="preserve"> amendments primarily focus on strengthening the rules supporting the requirement for a LTC to have no more than five counted owners.  </w:t>
      </w:r>
    </w:p>
    <w:p w:rsidR="0036735D" w:rsidRDefault="0036735D" w:rsidP="00E337D4"/>
    <w:p w:rsidR="0036735D" w:rsidRDefault="00E337D4" w:rsidP="00E337D4">
      <w:r w:rsidRPr="00E36545">
        <w:t>Corporate ownership is precluded</w:t>
      </w:r>
      <w:r w:rsidR="00CC6B45">
        <w:t>,</w:t>
      </w:r>
      <w:r w:rsidRPr="00E36545">
        <w:t xml:space="preserve"> given the scope that it would allow for widely held ownership.  Another LTC can be an owner but is </w:t>
      </w:r>
      <w:r w:rsidR="00CB7881">
        <w:t>“</w:t>
      </w:r>
      <w:r w:rsidRPr="00E36545">
        <w:t>looked through</w:t>
      </w:r>
      <w:r w:rsidR="00CB7881">
        <w:t>”</w:t>
      </w:r>
      <w:r w:rsidRPr="00E36545">
        <w:t xml:space="preserve"> to its owners for the purposes of</w:t>
      </w:r>
      <w:r w:rsidR="00FA66F4">
        <w:t xml:space="preserve"> determining whether the maximum of five</w:t>
      </w:r>
      <w:r w:rsidRPr="00E36545">
        <w:t xml:space="preserve"> counted owners test</w:t>
      </w:r>
      <w:r w:rsidR="00FA66F4">
        <w:t xml:space="preserve"> is met</w:t>
      </w:r>
      <w:r>
        <w:t xml:space="preserve">. </w:t>
      </w:r>
      <w:r w:rsidR="00CB7881">
        <w:t xml:space="preserve"> </w:t>
      </w:r>
    </w:p>
    <w:p w:rsidR="0050054A" w:rsidRDefault="0050054A" w:rsidP="00E337D4"/>
    <w:p w:rsidR="00947420" w:rsidRDefault="00917076" w:rsidP="00E337D4">
      <w:r>
        <w:t>However, this prohibition</w:t>
      </w:r>
      <w:r w:rsidR="00020744">
        <w:t xml:space="preserve"> on corporate ownership</w:t>
      </w:r>
      <w:r>
        <w:t xml:space="preserve"> was</w:t>
      </w:r>
      <w:r w:rsidR="00020744">
        <w:t xml:space="preserve"> previously</w:t>
      </w:r>
      <w:r>
        <w:t xml:space="preserve"> undermined by allowing indirect corporate ownership through trusts.</w:t>
      </w:r>
    </w:p>
    <w:p w:rsidR="00E337D4" w:rsidRDefault="00E337D4" w:rsidP="00E337D4">
      <w:r>
        <w:lastRenderedPageBreak/>
        <w:t>F</w:t>
      </w:r>
      <w:r w:rsidRPr="00E36545">
        <w:t>amily trusts can be owners but specific rules determine the extent to which the trustee(s) and beneficiaries are counted owners.</w:t>
      </w:r>
      <w:r w:rsidR="00FA66F4">
        <w:t xml:space="preserve"> </w:t>
      </w:r>
      <w:r w:rsidR="00527BE3">
        <w:t xml:space="preserve"> </w:t>
      </w:r>
      <w:r w:rsidR="00FA66F4">
        <w:t>The</w:t>
      </w:r>
      <w:r w:rsidR="0036735D">
        <w:t xml:space="preserve"> previous </w:t>
      </w:r>
      <w:r w:rsidR="00FA66F4">
        <w:t>rules were considered to be too narrow in that not all benefic</w:t>
      </w:r>
      <w:r w:rsidR="005E41A7">
        <w:t>iaries were taken into account.</w:t>
      </w:r>
    </w:p>
    <w:p w:rsidR="00FA66F4" w:rsidRDefault="00FA66F4" w:rsidP="00E337D4"/>
    <w:p w:rsidR="00FA66F4" w:rsidRPr="00E36545" w:rsidRDefault="0036735D" w:rsidP="00E337D4">
      <w:r>
        <w:t xml:space="preserve">Other new rules deal with </w:t>
      </w:r>
      <w:r w:rsidR="00FA66F4">
        <w:t xml:space="preserve">concerns about LTCs being used by non-resident owners </w:t>
      </w:r>
      <w:r w:rsidR="00917076">
        <w:t>as conduits for inv</w:t>
      </w:r>
      <w:r w:rsidR="005E41A7">
        <w:t>estment outside of New Zealand.</w:t>
      </w:r>
    </w:p>
    <w:p w:rsidR="00E337D4" w:rsidRPr="00E36545" w:rsidRDefault="00E337D4" w:rsidP="00E337D4"/>
    <w:p w:rsidR="00E337D4" w:rsidRPr="00E36545" w:rsidRDefault="00E337D4" w:rsidP="00E337D4">
      <w:r w:rsidRPr="00E36545">
        <w:t xml:space="preserve">No change </w:t>
      </w:r>
      <w:r w:rsidR="002A4834">
        <w:t>has been made</w:t>
      </w:r>
      <w:r w:rsidRPr="00E36545">
        <w:t xml:space="preserve"> to the rule that states that if a LTC fails to satisfy the eligibility criteria during an income year it loses its LTC status from the beginning of that income year.</w:t>
      </w:r>
    </w:p>
    <w:p w:rsidR="002279EB" w:rsidRDefault="002279EB" w:rsidP="002279EB"/>
    <w:p w:rsidR="005E41A7" w:rsidRPr="00670DFA" w:rsidRDefault="005E41A7" w:rsidP="002279EB"/>
    <w:p w:rsidR="002279EB" w:rsidRPr="00670DFA" w:rsidRDefault="002279EB" w:rsidP="00EF18A2">
      <w:pPr>
        <w:pStyle w:val="Heading2"/>
      </w:pPr>
      <w:r w:rsidRPr="00670DFA">
        <w:t>Key features</w:t>
      </w:r>
    </w:p>
    <w:p w:rsidR="002279EB" w:rsidRPr="00670DFA" w:rsidRDefault="002279EB" w:rsidP="002279EB"/>
    <w:p w:rsidR="001F3E9B" w:rsidRPr="00E36545" w:rsidRDefault="001F3E9B" w:rsidP="001F3E9B">
      <w:r w:rsidRPr="00E36545">
        <w:t>The definition of “look-through counted owner” in section YA 1 provides the mechanism for counting owners when testing</w:t>
      </w:r>
      <w:r w:rsidR="00A87113">
        <w:t xml:space="preserve"> whether the entity has met the requirements of having </w:t>
      </w:r>
      <w:r w:rsidRPr="00E36545">
        <w:t>five or fewer</w:t>
      </w:r>
      <w:r>
        <w:t xml:space="preserve"> counted owners</w:t>
      </w:r>
      <w:r w:rsidR="00A87113">
        <w:t>.</w:t>
      </w:r>
      <w:r w:rsidRPr="00E36545">
        <w:t xml:space="preserve">  The amendments introduce a new limb to the definition with respect to LTCs owned by trusts to broaden the way that beneficiaries are counted, by including any beneficiary who receives any distribution </w:t>
      </w:r>
      <w:r>
        <w:t>from any source from the trust.</w:t>
      </w:r>
    </w:p>
    <w:p w:rsidR="001F3E9B" w:rsidRPr="00E36545" w:rsidRDefault="001F3E9B" w:rsidP="001F3E9B"/>
    <w:p w:rsidR="00490382" w:rsidRDefault="001F3E9B" w:rsidP="001F3E9B">
      <w:r w:rsidRPr="00E36545">
        <w:t xml:space="preserve">The definition of “look-through company” </w:t>
      </w:r>
      <w:r w:rsidR="00527BE3">
        <w:t>has</w:t>
      </w:r>
      <w:r w:rsidRPr="00E36545">
        <w:t xml:space="preserve"> also</w:t>
      </w:r>
      <w:r w:rsidR="00527BE3">
        <w:t xml:space="preserve"> been</w:t>
      </w:r>
      <w:r w:rsidRPr="00E36545">
        <w:t xml:space="preserve"> amended to preclude charities and Māori authorities from becoming LTC owners (either directly or indirectly through a trust).  The new restrictions</w:t>
      </w:r>
      <w:r>
        <w:t xml:space="preserve"> do</w:t>
      </w:r>
      <w:r w:rsidRPr="00E36545">
        <w:t xml:space="preserve"> not</w:t>
      </w:r>
      <w:r w:rsidR="00490382">
        <w:t xml:space="preserve"> however</w:t>
      </w:r>
      <w:r w:rsidRPr="00E36545">
        <w:t xml:space="preserve"> apply to Māori authorities</w:t>
      </w:r>
      <w:r>
        <w:t xml:space="preserve"> and charities</w:t>
      </w:r>
      <w:r w:rsidR="00527BE3">
        <w:t xml:space="preserve"> with</w:t>
      </w:r>
      <w:r>
        <w:t xml:space="preserve"> existing ownership</w:t>
      </w:r>
      <w:r w:rsidRPr="00E36545">
        <w:t xml:space="preserve"> interests in LTCs</w:t>
      </w:r>
      <w:r w:rsidR="00527BE3">
        <w:t xml:space="preserve"> that are,</w:t>
      </w:r>
      <w:r w:rsidRPr="00E36545">
        <w:t xml:space="preserve"> in effect</w:t>
      </w:r>
      <w:r w:rsidR="00527BE3">
        <w:t>,</w:t>
      </w:r>
      <w:r w:rsidRPr="00E36545">
        <w:t xml:space="preserve"> grandparenting structures</w:t>
      </w:r>
      <w:r w:rsidR="00490382">
        <w:t xml:space="preserve"> or arrangements </w:t>
      </w:r>
      <w:r w:rsidR="00527BE3">
        <w:t xml:space="preserve">that were </w:t>
      </w:r>
      <w:r w:rsidR="00490382">
        <w:t>in place as at the</w:t>
      </w:r>
      <w:r w:rsidR="00527BE3">
        <w:t xml:space="preserve"> date of the Bill’s</w:t>
      </w:r>
      <w:r w:rsidR="00490382">
        <w:t xml:space="preserve"> introduction (3 May 2016)</w:t>
      </w:r>
      <w:r w:rsidRPr="00E36545">
        <w:t>.</w:t>
      </w:r>
    </w:p>
    <w:p w:rsidR="00490382" w:rsidRDefault="00490382" w:rsidP="001F3E9B"/>
    <w:p w:rsidR="001F3E9B" w:rsidRPr="00E36545" w:rsidRDefault="00490382" w:rsidP="001F3E9B">
      <w:r>
        <w:t>To ensure the</w:t>
      </w:r>
      <w:r w:rsidR="001F3E9B" w:rsidRPr="00E36545">
        <w:t xml:space="preserve"> prohibition</w:t>
      </w:r>
      <w:r>
        <w:t xml:space="preserve"> on charity ownership</w:t>
      </w:r>
      <w:r w:rsidR="001F3E9B" w:rsidRPr="00E36545">
        <w:t xml:space="preserve"> do</w:t>
      </w:r>
      <w:r>
        <w:t>es</w:t>
      </w:r>
      <w:r w:rsidR="001F3E9B" w:rsidRPr="00E36545">
        <w:t xml:space="preserve"> not inadvertently discourage charitable giving, a new rule allow</w:t>
      </w:r>
      <w:r w:rsidR="001F3E9B">
        <w:t>s</w:t>
      </w:r>
      <w:r w:rsidR="001F3E9B" w:rsidRPr="00E36545">
        <w:t xml:space="preserve"> trusts that own LTCs to continue making distributions to beneficiaries that are charities, so long as the distribution is akin to a donation</w:t>
      </w:r>
      <w:r w:rsidR="001F3E9B" w:rsidRPr="00E36545" w:rsidDel="00D34FC0">
        <w:t xml:space="preserve"> </w:t>
      </w:r>
      <w:r w:rsidR="001F3E9B" w:rsidRPr="00E36545">
        <w:t>or is received by the charity as a residual beneficiary of the trust.</w:t>
      </w:r>
    </w:p>
    <w:p w:rsidR="001F3E9B" w:rsidRPr="00E36545" w:rsidRDefault="001F3E9B" w:rsidP="001F3E9B"/>
    <w:p w:rsidR="001F3E9B" w:rsidRPr="00E36545" w:rsidRDefault="001F3E9B" w:rsidP="001F3E9B">
      <w:r w:rsidRPr="00E36545">
        <w:t xml:space="preserve">To bolster the </w:t>
      </w:r>
      <w:r w:rsidR="0036735D">
        <w:t>existing</w:t>
      </w:r>
      <w:r w:rsidRPr="00E36545">
        <w:t xml:space="preserve"> legislative prohibition on direct corporate ownership of LTCs, the definition of “look</w:t>
      </w:r>
      <w:r>
        <w:t>-</w:t>
      </w:r>
      <w:r w:rsidRPr="00E36545">
        <w:t xml:space="preserve">through </w:t>
      </w:r>
      <w:proofErr w:type="gramStart"/>
      <w:r w:rsidRPr="00E36545">
        <w:t>company</w:t>
      </w:r>
      <w:proofErr w:type="gramEnd"/>
      <w:r w:rsidRPr="00E36545">
        <w:t xml:space="preserve">” </w:t>
      </w:r>
      <w:r w:rsidR="0036735D">
        <w:t>has been</w:t>
      </w:r>
      <w:r w:rsidRPr="00E36545">
        <w:t xml:space="preserve"> further amended to prohibit a trust that owns a LTC from making any distributions to any corporate beneficiaries.</w:t>
      </w:r>
    </w:p>
    <w:p w:rsidR="001F3E9B" w:rsidRPr="00E36545" w:rsidRDefault="001F3E9B" w:rsidP="001F3E9B"/>
    <w:p w:rsidR="001F3E9B" w:rsidRPr="00E36545" w:rsidRDefault="00490382" w:rsidP="001F3E9B">
      <w:r>
        <w:t xml:space="preserve">LTCs are not intended to be conduit vehicles for international investment by non-residents whereby </w:t>
      </w:r>
      <w:r w:rsidR="004B0FD3">
        <w:t>funds are invested through New Zealand rather than into New Zealand.</w:t>
      </w:r>
      <w:r>
        <w:t xml:space="preserve"> </w:t>
      </w:r>
      <w:r w:rsidR="0036735D">
        <w:t xml:space="preserve"> </w:t>
      </w:r>
      <w:r w:rsidR="001F3E9B" w:rsidRPr="00E36545">
        <w:t xml:space="preserve">To restrict the use of LTCs </w:t>
      </w:r>
      <w:r w:rsidR="004B0FD3">
        <w:t>in this conduit manner,</w:t>
      </w:r>
      <w:r w:rsidR="001F3E9B" w:rsidRPr="00E36545">
        <w:t xml:space="preserve"> the foreign income that can be earned by a LTC</w:t>
      </w:r>
      <w:r w:rsidR="004B0FD3">
        <w:t xml:space="preserve"> that is controlled</w:t>
      </w:r>
      <w:r w:rsidR="001F3E9B" w:rsidRPr="00E36545">
        <w:t xml:space="preserve"> by foreign LTC holders </w:t>
      </w:r>
      <w:r w:rsidR="001F3E9B">
        <w:t>is</w:t>
      </w:r>
      <w:r w:rsidR="001F3E9B" w:rsidRPr="00E36545">
        <w:t xml:space="preserve"> </w:t>
      </w:r>
      <w:r w:rsidR="0036735D">
        <w:t xml:space="preserve">now </w:t>
      </w:r>
      <w:r w:rsidR="001F3E9B" w:rsidRPr="00E36545">
        <w:t>limited to the greater of $10,000 and 20</w:t>
      </w:r>
      <w:r w:rsidR="001F3E9B">
        <w:t xml:space="preserve"> percent</w:t>
      </w:r>
      <w:r w:rsidR="001F3E9B" w:rsidRPr="00E36545">
        <w:t xml:space="preserve"> of the LTC’s gross income in the relevant income year.  A definition of “foreign LTC holder” provides the rule for determining how the foreign ownership of LTCs is tested when applying the </w:t>
      </w:r>
      <w:r w:rsidR="001F3E9B">
        <w:t>new foreign income restriction.</w:t>
      </w:r>
      <w:r w:rsidR="004B0FD3">
        <w:t xml:space="preserve"> </w:t>
      </w:r>
      <w:r w:rsidR="00420B53">
        <w:t xml:space="preserve"> </w:t>
      </w:r>
      <w:r w:rsidR="004B0FD3">
        <w:t>It is defined as “ownership interest held more than 50% by non-residents”.</w:t>
      </w:r>
    </w:p>
    <w:p w:rsidR="001F3E9B" w:rsidRPr="00E36545" w:rsidRDefault="001F3E9B" w:rsidP="001F3E9B"/>
    <w:p w:rsidR="001F3E9B" w:rsidRDefault="001F3E9B" w:rsidP="001F3E9B">
      <w:r w:rsidRPr="00E36545">
        <w:t>An amendment to the definition of “look-through interest” enable</w:t>
      </w:r>
      <w:r>
        <w:t>s</w:t>
      </w:r>
      <w:r w:rsidRPr="00E36545">
        <w:t xml:space="preserve"> LTCs to have more than one class of shares.  This amendment will enable LTCs to have shares carrying different voting rights, provided all shares have uniform entitlements to all distributions.</w:t>
      </w:r>
    </w:p>
    <w:p w:rsidR="001F3E9B" w:rsidRDefault="001F3E9B" w:rsidP="001F3E9B"/>
    <w:p w:rsidR="001F3E9B" w:rsidRDefault="001F3E9B" w:rsidP="001F3E9B">
      <w:r>
        <w:t xml:space="preserve">A transitional rule applies so that LTCs that will lose their LTC eligibility as a result of these amendments can convert to ordinary companies without any immediate tax consequences. </w:t>
      </w:r>
      <w:r w:rsidR="00420B53">
        <w:t xml:space="preserve"> </w:t>
      </w:r>
      <w:r w:rsidR="007F14F1">
        <w:t>This means that the “exit tax”</w:t>
      </w:r>
      <w:r w:rsidR="004B0FD3">
        <w:t xml:space="preserve"> (deemed realisation of assets and liabilities)</w:t>
      </w:r>
      <w:r w:rsidR="007F14F1">
        <w:t xml:space="preserve"> will not arise for these LTCs and any unrealised revenue account gains will not be realised</w:t>
      </w:r>
      <w:r w:rsidR="004B0FD3">
        <w:t xml:space="preserve"> for owners at that stage</w:t>
      </w:r>
      <w:r w:rsidR="007F14F1">
        <w:t>.</w:t>
      </w:r>
    </w:p>
    <w:p w:rsidR="002279EB" w:rsidRPr="00670DFA" w:rsidRDefault="002279EB" w:rsidP="00EF18A2">
      <w:pPr>
        <w:pStyle w:val="Heading2"/>
      </w:pPr>
      <w:r w:rsidRPr="00670DFA">
        <w:lastRenderedPageBreak/>
        <w:t>Application dates</w:t>
      </w:r>
    </w:p>
    <w:p w:rsidR="002279EB" w:rsidRPr="00670DFA" w:rsidRDefault="002279EB" w:rsidP="002279EB"/>
    <w:p w:rsidR="002279EB" w:rsidRDefault="00F939A3" w:rsidP="002279EB">
      <w:r>
        <w:t>All the amendments, except the foreign income restrictions,</w:t>
      </w:r>
      <w:r w:rsidR="007F14F1">
        <w:t xml:space="preserve"> </w:t>
      </w:r>
      <w:r w:rsidR="00C30DB5">
        <w:t>apply for the 2017</w:t>
      </w:r>
      <w:r w:rsidR="00420B53">
        <w:t>–</w:t>
      </w:r>
      <w:r w:rsidR="00C30DB5">
        <w:t>18</w:t>
      </w:r>
      <w:r w:rsidR="002A4834">
        <w:t xml:space="preserve"> and later</w:t>
      </w:r>
      <w:r w:rsidR="00C30DB5">
        <w:t xml:space="preserve"> income years</w:t>
      </w:r>
      <w:r w:rsidR="005E41A7">
        <w:t>.</w:t>
      </w:r>
    </w:p>
    <w:p w:rsidR="007F14F1" w:rsidRDefault="007F14F1" w:rsidP="002279EB"/>
    <w:p w:rsidR="007F14F1" w:rsidRPr="00670DFA" w:rsidRDefault="00C30DB5" w:rsidP="002279EB">
      <w:r>
        <w:t>T</w:t>
      </w:r>
      <w:r w:rsidR="007F14F1">
        <w:t xml:space="preserve">he amendments to limit the foreign income of foreign-controlled LTCs apply </w:t>
      </w:r>
      <w:r>
        <w:t>for income years beginning on or after</w:t>
      </w:r>
      <w:r w:rsidR="007F14F1">
        <w:t xml:space="preserve"> 1 April 2017. </w:t>
      </w:r>
      <w:r w:rsidR="00470CFA">
        <w:t xml:space="preserve"> </w:t>
      </w:r>
      <w:r w:rsidR="007F14F1">
        <w:t xml:space="preserve">This means that for taxpayers with early balance dates, </w:t>
      </w:r>
      <w:r w:rsidR="002A4834">
        <w:t>the foreign income restrictions</w:t>
      </w:r>
      <w:r w:rsidR="007F14F1">
        <w:t xml:space="preserve"> apply for the 2018</w:t>
      </w:r>
      <w:r w:rsidR="00470CFA">
        <w:t>–</w:t>
      </w:r>
      <w:r w:rsidR="007F14F1">
        <w:t>19 income year.</w:t>
      </w:r>
    </w:p>
    <w:p w:rsidR="002279EB" w:rsidRDefault="002279EB" w:rsidP="002279EB"/>
    <w:p w:rsidR="005E41A7" w:rsidRDefault="005E41A7" w:rsidP="002279EB"/>
    <w:p w:rsidR="002279EB" w:rsidRPr="00670DFA" w:rsidRDefault="002279EB" w:rsidP="00EF18A2">
      <w:pPr>
        <w:pStyle w:val="Heading2"/>
      </w:pPr>
      <w:r w:rsidRPr="00670DFA">
        <w:t>Detailed analysis</w:t>
      </w:r>
    </w:p>
    <w:p w:rsidR="002279EB" w:rsidRPr="00670DFA" w:rsidRDefault="002279EB" w:rsidP="002279EB"/>
    <w:p w:rsidR="002279EB" w:rsidRPr="00670DFA" w:rsidRDefault="001F3E9B" w:rsidP="00EF18A2">
      <w:pPr>
        <w:pStyle w:val="Heading3"/>
      </w:pPr>
      <w:r>
        <w:t>Counting beneficiaries of trusts</w:t>
      </w:r>
    </w:p>
    <w:p w:rsidR="002279EB" w:rsidRPr="00670DFA" w:rsidRDefault="002279EB" w:rsidP="002279EB"/>
    <w:p w:rsidR="001F3E9B" w:rsidRPr="00E36545" w:rsidRDefault="004B0FD3" w:rsidP="001F3E9B">
      <w:r>
        <w:t>Previously, f</w:t>
      </w:r>
      <w:r w:rsidR="001F3E9B" w:rsidRPr="00E36545">
        <w:t>or LTCs owned by trusts, when determining the number of look</w:t>
      </w:r>
      <w:r w:rsidR="001F3E9B">
        <w:t>-</w:t>
      </w:r>
      <w:r w:rsidR="001F3E9B" w:rsidRPr="00E36545">
        <w:t>through owners, the rules count</w:t>
      </w:r>
      <w:r>
        <w:t>ed</w:t>
      </w:r>
      <w:r w:rsidR="001F3E9B" w:rsidRPr="00E36545">
        <w:t xml:space="preserve"> the trustee (grouping multiple trustees as one) when the LTC income</w:t>
      </w:r>
      <w:r w:rsidR="001F3E9B">
        <w:t xml:space="preserve"> earned by the trust</w:t>
      </w:r>
      <w:r w:rsidR="001F3E9B" w:rsidRPr="00E36545">
        <w:t xml:space="preserve"> </w:t>
      </w:r>
      <w:r>
        <w:t>wa</w:t>
      </w:r>
      <w:r w:rsidR="001F3E9B" w:rsidRPr="00E36545">
        <w:t>s not fully distributed to beneficiaries, as w</w:t>
      </w:r>
      <w:r>
        <w:t>ell as all beneficiaries who had</w:t>
      </w:r>
      <w:r w:rsidR="001F3E9B" w:rsidRPr="00E36545">
        <w:t xml:space="preserve"> received LTC income from the trust as </w:t>
      </w:r>
      <w:r w:rsidR="001F3E9B">
        <w:t>“</w:t>
      </w:r>
      <w:r w:rsidR="001F3E9B" w:rsidRPr="00E36545">
        <w:t>beneficiary income</w:t>
      </w:r>
      <w:r w:rsidR="001F3E9B">
        <w:t>”</w:t>
      </w:r>
      <w:r w:rsidR="001F3E9B" w:rsidRPr="00E36545">
        <w:t xml:space="preserve"> in the current and preceding three years.  This </w:t>
      </w:r>
      <w:r>
        <w:t>wa</w:t>
      </w:r>
      <w:r w:rsidR="001F3E9B" w:rsidRPr="00E36545">
        <w:t>s too narrow.</w:t>
      </w:r>
    </w:p>
    <w:p w:rsidR="001F3E9B" w:rsidRPr="00E36545" w:rsidRDefault="001F3E9B" w:rsidP="001F3E9B"/>
    <w:p w:rsidR="001F3E9B" w:rsidRPr="00E36545" w:rsidRDefault="004B0FD3" w:rsidP="001F3E9B">
      <w:r>
        <w:t>Accordingly, th</w:t>
      </w:r>
      <w:r w:rsidR="001F3E9B" w:rsidRPr="00E36545">
        <w:t xml:space="preserve">e definition of “look-through counted owner” </w:t>
      </w:r>
      <w:r w:rsidR="002A4834">
        <w:t>has been</w:t>
      </w:r>
      <w:r w:rsidR="001F3E9B" w:rsidRPr="00E36545">
        <w:t xml:space="preserve"> amended to count all distributions to beneficiaries, irrespective of whether they </w:t>
      </w:r>
      <w:r w:rsidR="001F3E9B">
        <w:t>are</w:t>
      </w:r>
      <w:r w:rsidR="001F3E9B" w:rsidRPr="00E36545">
        <w:t xml:space="preserve"> from the LTC or from other sources, or whether they are received by the beneficiary as beneficiary income, trustee income, trust capital or </w:t>
      </w:r>
      <w:r w:rsidR="001F3E9B" w:rsidRPr="00E030B9">
        <w:t>corpus</w:t>
      </w:r>
      <w:r w:rsidR="00020744">
        <w:rPr>
          <w:rStyle w:val="FootnoteReference"/>
        </w:rPr>
        <w:footnoteReference w:id="1"/>
      </w:r>
      <w:r w:rsidR="001F3E9B" w:rsidRPr="00E030B9">
        <w:t>.</w:t>
      </w:r>
      <w:r w:rsidR="001F3E9B" w:rsidRPr="00E36545">
        <w:t xml:space="preserve">  The amendment is necessary to ensure the test counts all persons who, though they may not receive beneficiary income, nevertheless benefit from the trust owning LTC shares.  Including all distributions is </w:t>
      </w:r>
      <w:r w:rsidR="00162A1C" w:rsidRPr="00E36545">
        <w:t xml:space="preserve">also </w:t>
      </w:r>
      <w:r w:rsidR="001F3E9B" w:rsidRPr="00E36545">
        <w:t xml:space="preserve">necessary to ensure the rule is not undermined by the fungibility of money, which makes </w:t>
      </w:r>
      <w:r w:rsidR="001F3E9B">
        <w:t xml:space="preserve">the result from </w:t>
      </w:r>
      <w:r w:rsidR="001F3E9B" w:rsidRPr="00E36545">
        <w:t xml:space="preserve">tracing the source of a distribution </w:t>
      </w:r>
      <w:r w:rsidR="001F3E9B" w:rsidRPr="00E030B9">
        <w:t>arbitrary.</w:t>
      </w:r>
    </w:p>
    <w:p w:rsidR="001F3E9B" w:rsidRDefault="001F3E9B" w:rsidP="001F3E9B"/>
    <w:p w:rsidR="000B7FDB" w:rsidRPr="000B7FDB" w:rsidRDefault="000B7FDB" w:rsidP="00EF18A2">
      <w:pPr>
        <w:pStyle w:val="Heading3"/>
      </w:pPr>
      <w:r w:rsidRPr="000B7FDB">
        <w:t>Transitional rule</w:t>
      </w:r>
    </w:p>
    <w:p w:rsidR="004B0FD3" w:rsidRDefault="004B0FD3" w:rsidP="001F3E9B"/>
    <w:p w:rsidR="002579B5" w:rsidRDefault="001F3E9B" w:rsidP="001F3E9B">
      <w:r w:rsidRPr="00967A8E">
        <w:t xml:space="preserve">To ensure </w:t>
      </w:r>
      <w:r w:rsidR="004B0FD3">
        <w:t>the revised distributions</w:t>
      </w:r>
      <w:r w:rsidRPr="00967A8E">
        <w:t xml:space="preserve"> rule applies only prospectively,</w:t>
      </w:r>
      <w:r w:rsidR="004B0FD3">
        <w:t xml:space="preserve"> the time period over which distributions are measured has not been changed. </w:t>
      </w:r>
      <w:r w:rsidR="009E2929">
        <w:t xml:space="preserve"> </w:t>
      </w:r>
      <w:r w:rsidR="004B0FD3">
        <w:t>The counted</w:t>
      </w:r>
      <w:r w:rsidRPr="00967A8E">
        <w:t xml:space="preserve"> owner test</w:t>
      </w:r>
      <w:r w:rsidR="004B0FD3">
        <w:t xml:space="preserve"> continues to look</w:t>
      </w:r>
      <w:r w:rsidRPr="00967A8E">
        <w:t xml:space="preserve"> back to the current and preceding three income years</w:t>
      </w:r>
      <w:r w:rsidR="004B0FD3">
        <w:t xml:space="preserve">. </w:t>
      </w:r>
      <w:r w:rsidR="009E2929">
        <w:t xml:space="preserve"> </w:t>
      </w:r>
      <w:r w:rsidR="004B0FD3">
        <w:t xml:space="preserve">A transition rule will apply over the next four years which involves applying both tests depending on the relevant time periods involved. </w:t>
      </w:r>
      <w:r w:rsidR="009E2929">
        <w:t xml:space="preserve"> </w:t>
      </w:r>
      <w:r w:rsidR="004B0FD3">
        <w:t>T</w:t>
      </w:r>
      <w:r w:rsidRPr="00967A8E">
        <w:t>he strengthened test</w:t>
      </w:r>
      <w:r w:rsidR="004B0FD3">
        <w:t xml:space="preserve"> will</w:t>
      </w:r>
      <w:r w:rsidRPr="00967A8E">
        <w:t xml:space="preserve"> </w:t>
      </w:r>
      <w:r w:rsidR="004B0FD3">
        <w:t>only apply</w:t>
      </w:r>
      <w:r w:rsidRPr="00967A8E">
        <w:t xml:space="preserve"> to income earned from the beginning of the 2017–18 income </w:t>
      </w:r>
      <w:proofErr w:type="gramStart"/>
      <w:r w:rsidRPr="00967A8E">
        <w:t>year</w:t>
      </w:r>
      <w:proofErr w:type="gramEnd"/>
      <w:r w:rsidRPr="00967A8E">
        <w:t xml:space="preserve">.  Income earned and distributed to beneficiaries or retained by the trust prior to the 2017–18 income </w:t>
      </w:r>
      <w:proofErr w:type="gramStart"/>
      <w:r w:rsidRPr="00967A8E">
        <w:t>year</w:t>
      </w:r>
      <w:proofErr w:type="gramEnd"/>
      <w:r w:rsidRPr="00967A8E">
        <w:t xml:space="preserve"> </w:t>
      </w:r>
      <w:r w:rsidR="004B0FD3">
        <w:t>will be</w:t>
      </w:r>
      <w:r w:rsidRPr="00967A8E">
        <w:t xml:space="preserve"> counted under</w:t>
      </w:r>
      <w:r w:rsidR="004B0FD3">
        <w:t xml:space="preserve"> the old test</w:t>
      </w:r>
      <w:r w:rsidRPr="00967A8E">
        <w:t>.</w:t>
      </w:r>
    </w:p>
    <w:p w:rsidR="00020744" w:rsidRDefault="00020744" w:rsidP="001F3E9B"/>
    <w:p w:rsidR="00020744" w:rsidRDefault="00020744" w:rsidP="001F3E9B">
      <w:r>
        <w:t>Those entities that were LTCs in the 2016</w:t>
      </w:r>
      <w:r w:rsidR="00E33248">
        <w:t>–</w:t>
      </w:r>
      <w:r>
        <w:t xml:space="preserve">17 income </w:t>
      </w:r>
      <w:proofErr w:type="gramStart"/>
      <w:r>
        <w:t>year</w:t>
      </w:r>
      <w:proofErr w:type="gramEnd"/>
      <w:r>
        <w:t xml:space="preserve"> will (with all other things being equal) retain their LTC status if</w:t>
      </w:r>
      <w:r w:rsidR="00F26F0F">
        <w:t>:</w:t>
      </w:r>
      <w:r>
        <w:t xml:space="preserve"> </w:t>
      </w:r>
    </w:p>
    <w:p w:rsidR="00EF18A2" w:rsidRDefault="00EF18A2" w:rsidP="001F3E9B"/>
    <w:p w:rsidR="00020744" w:rsidRDefault="00020744" w:rsidP="003746CE">
      <w:pPr>
        <w:pStyle w:val="Bullets"/>
        <w:spacing w:after="100"/>
      </w:pPr>
      <w:r>
        <w:t xml:space="preserve">they continue to meet the current test over the </w:t>
      </w:r>
      <w:r w:rsidR="00E33248">
        <w:t xml:space="preserve">three to four-year </w:t>
      </w:r>
      <w:r>
        <w:t>measurement period; and</w:t>
      </w:r>
    </w:p>
    <w:p w:rsidR="00020744" w:rsidRDefault="00020744" w:rsidP="003746CE">
      <w:pPr>
        <w:pStyle w:val="Bullets"/>
        <w:spacing w:after="100"/>
      </w:pPr>
      <w:r>
        <w:t>having applied the new test (measuring distributions made only from the beginning of the 2017</w:t>
      </w:r>
      <w:r w:rsidR="00E33248">
        <w:t>–</w:t>
      </w:r>
      <w:r>
        <w:t>18 income year) to establish whether there are any additional counted owners; and</w:t>
      </w:r>
    </w:p>
    <w:p w:rsidR="00020744" w:rsidRDefault="00020744" w:rsidP="00E33248">
      <w:pPr>
        <w:pStyle w:val="Bullets"/>
      </w:pPr>
      <w:proofErr w:type="gramStart"/>
      <w:r>
        <w:t>in</w:t>
      </w:r>
      <w:proofErr w:type="gramEnd"/>
      <w:r>
        <w:t xml:space="preserve"> aggregate, there are a maximum o</w:t>
      </w:r>
      <w:r w:rsidR="00E33248">
        <w:t xml:space="preserve">f </w:t>
      </w:r>
      <w:r w:rsidR="00306B2A">
        <w:t>five</w:t>
      </w:r>
      <w:r w:rsidR="00E33248">
        <w:t xml:space="preserve"> look-through counted owners.</w:t>
      </w:r>
    </w:p>
    <w:p w:rsidR="002372F2" w:rsidRDefault="002372F2" w:rsidP="001F3E9B">
      <w:r>
        <w:lastRenderedPageBreak/>
        <w:t>This means that for the 2017</w:t>
      </w:r>
      <w:r w:rsidR="009E2929">
        <w:t>–</w:t>
      </w:r>
      <w:r>
        <w:t xml:space="preserve">18 income year </w:t>
      </w:r>
      <w:r w:rsidR="00020744">
        <w:t xml:space="preserve">a person would </w:t>
      </w:r>
      <w:r>
        <w:t>look at distributions provided between the 2014</w:t>
      </w:r>
      <w:r w:rsidR="00162A1C">
        <w:t>–</w:t>
      </w:r>
      <w:r>
        <w:t>15 income year to the 2016</w:t>
      </w:r>
      <w:r w:rsidR="00162A1C">
        <w:t>–</w:t>
      </w:r>
      <w:r>
        <w:t>17 income year and apply the old test which</w:t>
      </w:r>
      <w:r w:rsidR="004B0FD3">
        <w:t xml:space="preserve"> looks at income sourced from a</w:t>
      </w:r>
      <w:r>
        <w:t xml:space="preserve"> LTC interest to determine whether any beneficiaries are look-through counted owners. </w:t>
      </w:r>
      <w:r w:rsidR="00162A1C">
        <w:t xml:space="preserve"> </w:t>
      </w:r>
      <w:r w:rsidR="00020744">
        <w:t xml:space="preserve">The person would </w:t>
      </w:r>
      <w:r>
        <w:t>then apply the new rule for any distributions in the 2017</w:t>
      </w:r>
      <w:r w:rsidR="00162A1C">
        <w:t>–</w:t>
      </w:r>
      <w:r>
        <w:t xml:space="preserve">18 income </w:t>
      </w:r>
      <w:proofErr w:type="gramStart"/>
      <w:r>
        <w:t>year</w:t>
      </w:r>
      <w:proofErr w:type="gramEnd"/>
      <w:r>
        <w:t xml:space="preserve"> to determine whether there are any additional look-through counted owners.</w:t>
      </w:r>
    </w:p>
    <w:p w:rsidR="00020744" w:rsidRDefault="00020744" w:rsidP="001F3E9B"/>
    <w:p w:rsidR="00020744" w:rsidRDefault="00020744" w:rsidP="001F3E9B">
      <w:r>
        <w:t>The legislation is expressed in terms of “persons” rather than counted owners so there is no double counting of the same person if they receive a cou</w:t>
      </w:r>
      <w:r w:rsidR="00E33248">
        <w:t>nted distribution prior to 2016–</w:t>
      </w:r>
      <w:r>
        <w:t>17 as well as a distribution</w:t>
      </w:r>
      <w:r w:rsidR="000C7FA6">
        <w:t xml:space="preserve"> after the 2016</w:t>
      </w:r>
      <w:r w:rsidR="00E33248">
        <w:t>–</w:t>
      </w:r>
      <w:r w:rsidR="000C7FA6">
        <w:t>17 income year.</w:t>
      </w:r>
    </w:p>
    <w:p w:rsidR="002372F2" w:rsidRDefault="002372F2" w:rsidP="001F3E9B"/>
    <w:p w:rsidR="002372F2" w:rsidRDefault="002372F2" w:rsidP="001F3E9B">
      <w:r>
        <w:t>For the 2018</w:t>
      </w:r>
      <w:r w:rsidR="00E165D3">
        <w:t>–</w:t>
      </w:r>
      <w:r>
        <w:t xml:space="preserve">19 income year </w:t>
      </w:r>
      <w:r w:rsidR="00020744">
        <w:t xml:space="preserve">the person would </w:t>
      </w:r>
      <w:r>
        <w:t>look at distributions provided in the 2015</w:t>
      </w:r>
      <w:r w:rsidR="007E2A82">
        <w:t>–</w:t>
      </w:r>
      <w:r>
        <w:t>17 income years and ap</w:t>
      </w:r>
      <w:bookmarkStart w:id="1" w:name="_GoBack"/>
      <w:bookmarkEnd w:id="1"/>
      <w:r>
        <w:t>ply the old test and</w:t>
      </w:r>
      <w:r w:rsidR="00DA666A">
        <w:t xml:space="preserve"> then</w:t>
      </w:r>
      <w:r>
        <w:t xml:space="preserve"> look at distributions in the 2017</w:t>
      </w:r>
      <w:r w:rsidR="007E2A82">
        <w:t>–</w:t>
      </w:r>
      <w:r>
        <w:t>19 incom</w:t>
      </w:r>
      <w:r w:rsidR="005E41A7">
        <w:t>e years and apply the new test.</w:t>
      </w:r>
    </w:p>
    <w:p w:rsidR="002372F2" w:rsidRDefault="002372F2" w:rsidP="001F3E9B"/>
    <w:p w:rsidR="002372F2" w:rsidRDefault="002372F2" w:rsidP="001F3E9B">
      <w:r>
        <w:t>Th</w:t>
      </w:r>
      <w:r w:rsidR="00020744">
        <w:t xml:space="preserve">e transition </w:t>
      </w:r>
      <w:r w:rsidR="007E2A82">
        <w:t xml:space="preserve">is </w:t>
      </w:r>
      <w:r>
        <w:t>summarised in the following table:</w:t>
      </w:r>
    </w:p>
    <w:p w:rsidR="001F3E9B" w:rsidRDefault="001F3E9B" w:rsidP="001F3E9B"/>
    <w:p w:rsidR="00A93E1C" w:rsidRDefault="00A93E1C" w:rsidP="001F3E9B"/>
    <w:tbl>
      <w:tblPr>
        <w:tblStyle w:val="TableGrid"/>
        <w:tblW w:w="8462" w:type="dxa"/>
        <w:jc w:val="center"/>
        <w:tblCellMar>
          <w:top w:w="57" w:type="dxa"/>
          <w:left w:w="57" w:type="dxa"/>
          <w:bottom w:w="57" w:type="dxa"/>
          <w:right w:w="57" w:type="dxa"/>
        </w:tblCellMar>
        <w:tblLook w:val="04A0" w:firstRow="1" w:lastRow="0" w:firstColumn="1" w:lastColumn="0" w:noHBand="0" w:noVBand="1"/>
      </w:tblPr>
      <w:tblGrid>
        <w:gridCol w:w="1410"/>
        <w:gridCol w:w="1410"/>
        <w:gridCol w:w="1411"/>
        <w:gridCol w:w="1410"/>
        <w:gridCol w:w="1410"/>
        <w:gridCol w:w="1411"/>
      </w:tblGrid>
      <w:tr w:rsidR="00F774AF" w:rsidTr="00306B2A">
        <w:trPr>
          <w:trHeight w:val="395"/>
          <w:jc w:val="center"/>
        </w:trPr>
        <w:tc>
          <w:tcPr>
            <w:tcW w:w="1410" w:type="dxa"/>
            <w:vAlign w:val="center"/>
          </w:tcPr>
          <w:p w:rsidR="00F774AF" w:rsidRPr="00C563CF" w:rsidRDefault="00F774AF" w:rsidP="00FF169E">
            <w:pPr>
              <w:jc w:val="center"/>
              <w:rPr>
                <w:b/>
                <w:sz w:val="20"/>
                <w:szCs w:val="20"/>
              </w:rPr>
            </w:pPr>
            <w:r w:rsidRPr="00C563CF">
              <w:rPr>
                <w:b/>
                <w:sz w:val="20"/>
                <w:szCs w:val="20"/>
              </w:rPr>
              <w:t>For income year</w:t>
            </w:r>
          </w:p>
        </w:tc>
        <w:tc>
          <w:tcPr>
            <w:tcW w:w="1410" w:type="dxa"/>
          </w:tcPr>
          <w:p w:rsidR="00F774AF" w:rsidRPr="00C563CF" w:rsidRDefault="00F774AF" w:rsidP="00FF169E">
            <w:pPr>
              <w:jc w:val="center"/>
              <w:rPr>
                <w:b/>
                <w:sz w:val="20"/>
                <w:szCs w:val="20"/>
              </w:rPr>
            </w:pPr>
            <w:r>
              <w:rPr>
                <w:b/>
                <w:sz w:val="20"/>
                <w:szCs w:val="20"/>
              </w:rPr>
              <w:t xml:space="preserve">Which test </w:t>
            </w:r>
            <w:r w:rsidR="00A93E1C">
              <w:rPr>
                <w:b/>
                <w:sz w:val="20"/>
                <w:szCs w:val="20"/>
              </w:rPr>
              <w:br/>
            </w:r>
            <w:r>
              <w:rPr>
                <w:b/>
                <w:sz w:val="20"/>
                <w:szCs w:val="20"/>
              </w:rPr>
              <w:t>to apply</w:t>
            </w:r>
          </w:p>
        </w:tc>
        <w:tc>
          <w:tcPr>
            <w:tcW w:w="1411" w:type="dxa"/>
            <w:vAlign w:val="center"/>
          </w:tcPr>
          <w:p w:rsidR="00F774AF" w:rsidRPr="00C563CF" w:rsidRDefault="00F774AF" w:rsidP="00FF169E">
            <w:pPr>
              <w:jc w:val="center"/>
              <w:rPr>
                <w:b/>
                <w:sz w:val="20"/>
                <w:szCs w:val="20"/>
              </w:rPr>
            </w:pPr>
            <w:r w:rsidRPr="00C563CF">
              <w:rPr>
                <w:b/>
                <w:sz w:val="20"/>
                <w:szCs w:val="20"/>
              </w:rPr>
              <w:t>Previous year 3</w:t>
            </w:r>
          </w:p>
        </w:tc>
        <w:tc>
          <w:tcPr>
            <w:tcW w:w="1410" w:type="dxa"/>
            <w:vAlign w:val="center"/>
          </w:tcPr>
          <w:p w:rsidR="00F774AF" w:rsidRPr="00C563CF" w:rsidRDefault="00F774AF" w:rsidP="00FF169E">
            <w:pPr>
              <w:jc w:val="center"/>
              <w:rPr>
                <w:b/>
                <w:sz w:val="20"/>
                <w:szCs w:val="20"/>
              </w:rPr>
            </w:pPr>
            <w:r w:rsidRPr="00C563CF">
              <w:rPr>
                <w:b/>
                <w:sz w:val="20"/>
                <w:szCs w:val="20"/>
              </w:rPr>
              <w:t>Previous year 2</w:t>
            </w:r>
          </w:p>
        </w:tc>
        <w:tc>
          <w:tcPr>
            <w:tcW w:w="1410" w:type="dxa"/>
            <w:vAlign w:val="center"/>
          </w:tcPr>
          <w:p w:rsidR="00F774AF" w:rsidRPr="00C563CF" w:rsidRDefault="00F774AF" w:rsidP="00FF169E">
            <w:pPr>
              <w:jc w:val="center"/>
              <w:rPr>
                <w:b/>
                <w:sz w:val="20"/>
                <w:szCs w:val="20"/>
              </w:rPr>
            </w:pPr>
            <w:r w:rsidRPr="00C563CF">
              <w:rPr>
                <w:b/>
                <w:sz w:val="20"/>
                <w:szCs w:val="20"/>
              </w:rPr>
              <w:t>Previous year 1</w:t>
            </w:r>
          </w:p>
        </w:tc>
        <w:tc>
          <w:tcPr>
            <w:tcW w:w="1411" w:type="dxa"/>
            <w:vAlign w:val="center"/>
          </w:tcPr>
          <w:p w:rsidR="00306B2A" w:rsidRDefault="00306B2A" w:rsidP="00FF169E">
            <w:pPr>
              <w:jc w:val="center"/>
              <w:rPr>
                <w:b/>
                <w:sz w:val="20"/>
                <w:szCs w:val="20"/>
              </w:rPr>
            </w:pPr>
            <w:r>
              <w:rPr>
                <w:b/>
                <w:sz w:val="20"/>
                <w:szCs w:val="20"/>
              </w:rPr>
              <w:t>Current</w:t>
            </w:r>
          </w:p>
          <w:p w:rsidR="00F774AF" w:rsidRPr="00C563CF" w:rsidRDefault="00F774AF" w:rsidP="00FF169E">
            <w:pPr>
              <w:jc w:val="center"/>
              <w:rPr>
                <w:b/>
                <w:sz w:val="20"/>
                <w:szCs w:val="20"/>
              </w:rPr>
            </w:pPr>
            <w:r w:rsidRPr="00C563CF">
              <w:rPr>
                <w:b/>
                <w:sz w:val="20"/>
                <w:szCs w:val="20"/>
              </w:rPr>
              <w:t>year</w:t>
            </w:r>
          </w:p>
        </w:tc>
      </w:tr>
      <w:tr w:rsidR="00F774AF" w:rsidTr="00306B2A">
        <w:trPr>
          <w:trHeight w:val="249"/>
          <w:jc w:val="center"/>
        </w:trPr>
        <w:tc>
          <w:tcPr>
            <w:tcW w:w="1410" w:type="dxa"/>
            <w:vMerge w:val="restart"/>
            <w:vAlign w:val="center"/>
          </w:tcPr>
          <w:p w:rsidR="00F774AF" w:rsidRPr="00963072" w:rsidRDefault="00F774AF" w:rsidP="00FF169E">
            <w:pPr>
              <w:jc w:val="center"/>
              <w:rPr>
                <w:sz w:val="20"/>
                <w:szCs w:val="20"/>
              </w:rPr>
            </w:pPr>
            <w:r w:rsidRPr="00963072">
              <w:rPr>
                <w:sz w:val="20"/>
                <w:szCs w:val="20"/>
              </w:rPr>
              <w:t>2017</w:t>
            </w:r>
            <w:r>
              <w:rPr>
                <w:sz w:val="20"/>
                <w:szCs w:val="20"/>
              </w:rPr>
              <w:t>–</w:t>
            </w:r>
            <w:r w:rsidRPr="00963072">
              <w:rPr>
                <w:sz w:val="20"/>
                <w:szCs w:val="20"/>
              </w:rPr>
              <w:t xml:space="preserve">18 </w:t>
            </w:r>
          </w:p>
        </w:tc>
        <w:tc>
          <w:tcPr>
            <w:tcW w:w="1410" w:type="dxa"/>
          </w:tcPr>
          <w:p w:rsidR="00F774AF" w:rsidRPr="00963072" w:rsidRDefault="00F774AF" w:rsidP="007E2A82">
            <w:pPr>
              <w:jc w:val="left"/>
              <w:rPr>
                <w:sz w:val="20"/>
                <w:szCs w:val="20"/>
              </w:rPr>
            </w:pPr>
            <w:r>
              <w:rPr>
                <w:sz w:val="20"/>
                <w:szCs w:val="20"/>
              </w:rPr>
              <w:t>O</w:t>
            </w:r>
            <w:r w:rsidRPr="00963072">
              <w:rPr>
                <w:sz w:val="20"/>
                <w:szCs w:val="20"/>
              </w:rPr>
              <w:t>ld</w:t>
            </w:r>
            <w:r>
              <w:rPr>
                <w:sz w:val="20"/>
                <w:szCs w:val="20"/>
              </w:rPr>
              <w:t xml:space="preserve"> test</w:t>
            </w:r>
          </w:p>
        </w:tc>
        <w:tc>
          <w:tcPr>
            <w:tcW w:w="1411" w:type="dxa"/>
            <w:vAlign w:val="center"/>
          </w:tcPr>
          <w:p w:rsidR="00F774AF" w:rsidRPr="00963072" w:rsidRDefault="00F774AF" w:rsidP="00306B2A">
            <w:pPr>
              <w:jc w:val="center"/>
              <w:rPr>
                <w:sz w:val="20"/>
                <w:szCs w:val="20"/>
              </w:rPr>
            </w:pPr>
            <w:r w:rsidRPr="00963072">
              <w:rPr>
                <w:sz w:val="20"/>
                <w:szCs w:val="20"/>
              </w:rPr>
              <w:t>2014</w:t>
            </w:r>
            <w:r>
              <w:rPr>
                <w:sz w:val="20"/>
                <w:szCs w:val="20"/>
              </w:rPr>
              <w:t>–</w:t>
            </w:r>
            <w:r w:rsidRPr="00963072">
              <w:rPr>
                <w:sz w:val="20"/>
                <w:szCs w:val="20"/>
              </w:rPr>
              <w:t>15</w:t>
            </w:r>
          </w:p>
        </w:tc>
        <w:tc>
          <w:tcPr>
            <w:tcW w:w="1410" w:type="dxa"/>
            <w:vAlign w:val="center"/>
          </w:tcPr>
          <w:p w:rsidR="00F774AF" w:rsidRPr="00963072" w:rsidRDefault="00F774AF" w:rsidP="00306B2A">
            <w:pPr>
              <w:jc w:val="center"/>
              <w:rPr>
                <w:sz w:val="20"/>
                <w:szCs w:val="20"/>
              </w:rPr>
            </w:pPr>
            <w:r w:rsidRPr="00963072">
              <w:rPr>
                <w:sz w:val="20"/>
                <w:szCs w:val="20"/>
              </w:rPr>
              <w:t>2015</w:t>
            </w:r>
            <w:r>
              <w:rPr>
                <w:sz w:val="20"/>
                <w:szCs w:val="20"/>
              </w:rPr>
              <w:t>–</w:t>
            </w:r>
            <w:r w:rsidRPr="00963072">
              <w:rPr>
                <w:sz w:val="20"/>
                <w:szCs w:val="20"/>
              </w:rPr>
              <w:t>16</w:t>
            </w:r>
          </w:p>
        </w:tc>
        <w:tc>
          <w:tcPr>
            <w:tcW w:w="1410" w:type="dxa"/>
            <w:vAlign w:val="center"/>
          </w:tcPr>
          <w:p w:rsidR="00F774AF" w:rsidRPr="00963072" w:rsidRDefault="00F774AF" w:rsidP="00306B2A">
            <w:pPr>
              <w:jc w:val="center"/>
              <w:rPr>
                <w:sz w:val="20"/>
                <w:szCs w:val="20"/>
              </w:rPr>
            </w:pPr>
            <w:r w:rsidRPr="00963072">
              <w:rPr>
                <w:sz w:val="20"/>
                <w:szCs w:val="20"/>
              </w:rPr>
              <w:t>2016</w:t>
            </w:r>
            <w:r>
              <w:rPr>
                <w:sz w:val="20"/>
                <w:szCs w:val="20"/>
              </w:rPr>
              <w:t>–</w:t>
            </w:r>
            <w:r w:rsidRPr="00963072">
              <w:rPr>
                <w:sz w:val="20"/>
                <w:szCs w:val="20"/>
              </w:rPr>
              <w:t>17</w:t>
            </w:r>
          </w:p>
        </w:tc>
        <w:tc>
          <w:tcPr>
            <w:tcW w:w="1411" w:type="dxa"/>
            <w:vAlign w:val="center"/>
          </w:tcPr>
          <w:p w:rsidR="00F774AF" w:rsidRPr="00963072" w:rsidRDefault="00252B0C" w:rsidP="00306B2A">
            <w:pPr>
              <w:jc w:val="center"/>
              <w:rPr>
                <w:sz w:val="20"/>
                <w:szCs w:val="20"/>
              </w:rPr>
            </w:pPr>
            <w:r>
              <w:rPr>
                <w:sz w:val="20"/>
                <w:szCs w:val="20"/>
              </w:rPr>
              <w:t>-</w:t>
            </w:r>
          </w:p>
        </w:tc>
      </w:tr>
      <w:tr w:rsidR="00F774AF" w:rsidTr="00306B2A">
        <w:trPr>
          <w:trHeight w:val="249"/>
          <w:jc w:val="center"/>
        </w:trPr>
        <w:tc>
          <w:tcPr>
            <w:tcW w:w="1410" w:type="dxa"/>
            <w:vMerge/>
            <w:vAlign w:val="center"/>
          </w:tcPr>
          <w:p w:rsidR="00F774AF" w:rsidRPr="00963072" w:rsidRDefault="00F774AF" w:rsidP="00FF169E">
            <w:pPr>
              <w:jc w:val="center"/>
              <w:rPr>
                <w:sz w:val="20"/>
                <w:szCs w:val="20"/>
              </w:rPr>
            </w:pPr>
          </w:p>
        </w:tc>
        <w:tc>
          <w:tcPr>
            <w:tcW w:w="1410" w:type="dxa"/>
          </w:tcPr>
          <w:p w:rsidR="00F774AF" w:rsidRPr="00963072" w:rsidRDefault="00F774AF" w:rsidP="00C563CF">
            <w:pPr>
              <w:jc w:val="left"/>
              <w:rPr>
                <w:sz w:val="20"/>
                <w:szCs w:val="20"/>
              </w:rPr>
            </w:pPr>
            <w:r w:rsidRPr="00963072">
              <w:rPr>
                <w:sz w:val="20"/>
                <w:szCs w:val="20"/>
              </w:rPr>
              <w:t>New</w:t>
            </w:r>
            <w:r>
              <w:rPr>
                <w:sz w:val="20"/>
                <w:szCs w:val="20"/>
              </w:rPr>
              <w:t xml:space="preserve"> test</w:t>
            </w:r>
          </w:p>
        </w:tc>
        <w:tc>
          <w:tcPr>
            <w:tcW w:w="1411" w:type="dxa"/>
            <w:vAlign w:val="center"/>
          </w:tcPr>
          <w:p w:rsidR="00F774AF" w:rsidRPr="00963072" w:rsidRDefault="00F774AF" w:rsidP="00306B2A">
            <w:pPr>
              <w:jc w:val="center"/>
              <w:rPr>
                <w:sz w:val="20"/>
                <w:szCs w:val="20"/>
              </w:rPr>
            </w:pPr>
            <w:r w:rsidRPr="00963072">
              <w:rPr>
                <w:sz w:val="20"/>
                <w:szCs w:val="20"/>
              </w:rPr>
              <w:t>-</w:t>
            </w:r>
          </w:p>
        </w:tc>
        <w:tc>
          <w:tcPr>
            <w:tcW w:w="1410" w:type="dxa"/>
            <w:vAlign w:val="center"/>
          </w:tcPr>
          <w:p w:rsidR="00F774AF" w:rsidRPr="00963072" w:rsidRDefault="00F774AF" w:rsidP="00306B2A">
            <w:pPr>
              <w:jc w:val="center"/>
              <w:rPr>
                <w:sz w:val="20"/>
                <w:szCs w:val="20"/>
              </w:rPr>
            </w:pPr>
            <w:r w:rsidRPr="00963072">
              <w:rPr>
                <w:sz w:val="20"/>
                <w:szCs w:val="20"/>
              </w:rPr>
              <w:t>-</w:t>
            </w:r>
          </w:p>
        </w:tc>
        <w:tc>
          <w:tcPr>
            <w:tcW w:w="1410" w:type="dxa"/>
            <w:vAlign w:val="center"/>
          </w:tcPr>
          <w:p w:rsidR="00F774AF" w:rsidRPr="00963072" w:rsidRDefault="00F774AF" w:rsidP="00306B2A">
            <w:pPr>
              <w:jc w:val="center"/>
              <w:rPr>
                <w:sz w:val="20"/>
                <w:szCs w:val="20"/>
              </w:rPr>
            </w:pPr>
            <w:r w:rsidRPr="00963072">
              <w:rPr>
                <w:sz w:val="20"/>
                <w:szCs w:val="20"/>
              </w:rPr>
              <w:t>-</w:t>
            </w:r>
          </w:p>
        </w:tc>
        <w:tc>
          <w:tcPr>
            <w:tcW w:w="1411" w:type="dxa"/>
            <w:vAlign w:val="center"/>
          </w:tcPr>
          <w:p w:rsidR="00F774AF" w:rsidRPr="00963072" w:rsidRDefault="00F774AF" w:rsidP="00306B2A">
            <w:pPr>
              <w:jc w:val="center"/>
              <w:rPr>
                <w:sz w:val="20"/>
                <w:szCs w:val="20"/>
              </w:rPr>
            </w:pPr>
            <w:r w:rsidRPr="00963072">
              <w:rPr>
                <w:sz w:val="20"/>
                <w:szCs w:val="20"/>
              </w:rPr>
              <w:t>2017</w:t>
            </w:r>
            <w:r>
              <w:rPr>
                <w:sz w:val="20"/>
                <w:szCs w:val="20"/>
              </w:rPr>
              <w:t>–</w:t>
            </w:r>
            <w:r w:rsidRPr="00963072">
              <w:rPr>
                <w:sz w:val="20"/>
                <w:szCs w:val="20"/>
              </w:rPr>
              <w:t>18</w:t>
            </w:r>
          </w:p>
        </w:tc>
      </w:tr>
      <w:tr w:rsidR="00F774AF" w:rsidTr="00306B2A">
        <w:trPr>
          <w:trHeight w:val="249"/>
          <w:jc w:val="center"/>
        </w:trPr>
        <w:tc>
          <w:tcPr>
            <w:tcW w:w="1410" w:type="dxa"/>
            <w:vMerge w:val="restart"/>
            <w:vAlign w:val="center"/>
          </w:tcPr>
          <w:p w:rsidR="00F774AF" w:rsidRPr="00963072" w:rsidRDefault="00F774AF" w:rsidP="00FF169E">
            <w:pPr>
              <w:jc w:val="center"/>
              <w:rPr>
                <w:sz w:val="20"/>
                <w:szCs w:val="20"/>
              </w:rPr>
            </w:pPr>
            <w:r w:rsidRPr="00963072">
              <w:rPr>
                <w:sz w:val="20"/>
                <w:szCs w:val="20"/>
              </w:rPr>
              <w:t>2018</w:t>
            </w:r>
            <w:r>
              <w:rPr>
                <w:sz w:val="20"/>
                <w:szCs w:val="20"/>
              </w:rPr>
              <w:t>–</w:t>
            </w:r>
            <w:r w:rsidRPr="00963072">
              <w:rPr>
                <w:sz w:val="20"/>
                <w:szCs w:val="20"/>
              </w:rPr>
              <w:t>19</w:t>
            </w:r>
          </w:p>
        </w:tc>
        <w:tc>
          <w:tcPr>
            <w:tcW w:w="1410" w:type="dxa"/>
          </w:tcPr>
          <w:p w:rsidR="00F774AF" w:rsidRPr="00963072" w:rsidRDefault="00F774AF" w:rsidP="007E2A82">
            <w:pPr>
              <w:jc w:val="left"/>
              <w:rPr>
                <w:sz w:val="20"/>
                <w:szCs w:val="20"/>
              </w:rPr>
            </w:pPr>
            <w:r>
              <w:rPr>
                <w:sz w:val="20"/>
                <w:szCs w:val="20"/>
              </w:rPr>
              <w:t>Old test</w:t>
            </w:r>
          </w:p>
        </w:tc>
        <w:tc>
          <w:tcPr>
            <w:tcW w:w="1411" w:type="dxa"/>
            <w:vAlign w:val="center"/>
          </w:tcPr>
          <w:p w:rsidR="00F774AF" w:rsidRPr="00963072" w:rsidRDefault="00F774AF" w:rsidP="00306B2A">
            <w:pPr>
              <w:jc w:val="center"/>
              <w:rPr>
                <w:sz w:val="20"/>
                <w:szCs w:val="20"/>
              </w:rPr>
            </w:pPr>
            <w:r w:rsidRPr="00963072">
              <w:rPr>
                <w:sz w:val="20"/>
                <w:szCs w:val="20"/>
              </w:rPr>
              <w:t>2015</w:t>
            </w:r>
            <w:r>
              <w:rPr>
                <w:sz w:val="20"/>
                <w:szCs w:val="20"/>
              </w:rPr>
              <w:t>–</w:t>
            </w:r>
            <w:r w:rsidRPr="00963072">
              <w:rPr>
                <w:sz w:val="20"/>
                <w:szCs w:val="20"/>
              </w:rPr>
              <w:t>16</w:t>
            </w:r>
          </w:p>
        </w:tc>
        <w:tc>
          <w:tcPr>
            <w:tcW w:w="1410" w:type="dxa"/>
            <w:vAlign w:val="center"/>
          </w:tcPr>
          <w:p w:rsidR="00F774AF" w:rsidRPr="00963072" w:rsidRDefault="00F774AF" w:rsidP="00306B2A">
            <w:pPr>
              <w:jc w:val="center"/>
              <w:rPr>
                <w:sz w:val="20"/>
                <w:szCs w:val="20"/>
              </w:rPr>
            </w:pPr>
            <w:r w:rsidRPr="00963072">
              <w:rPr>
                <w:sz w:val="20"/>
                <w:szCs w:val="20"/>
              </w:rPr>
              <w:t>2016</w:t>
            </w:r>
            <w:r>
              <w:rPr>
                <w:sz w:val="20"/>
                <w:szCs w:val="20"/>
              </w:rPr>
              <w:t>–</w:t>
            </w:r>
            <w:r w:rsidRPr="00963072">
              <w:rPr>
                <w:sz w:val="20"/>
                <w:szCs w:val="20"/>
              </w:rPr>
              <w:t>17</w:t>
            </w:r>
          </w:p>
        </w:tc>
        <w:tc>
          <w:tcPr>
            <w:tcW w:w="1410" w:type="dxa"/>
            <w:vAlign w:val="center"/>
          </w:tcPr>
          <w:p w:rsidR="00F774AF" w:rsidRPr="00963072" w:rsidRDefault="00F774AF" w:rsidP="00306B2A">
            <w:pPr>
              <w:jc w:val="center"/>
              <w:rPr>
                <w:sz w:val="20"/>
                <w:szCs w:val="20"/>
              </w:rPr>
            </w:pPr>
            <w:r w:rsidRPr="00963072">
              <w:rPr>
                <w:sz w:val="20"/>
                <w:szCs w:val="20"/>
              </w:rPr>
              <w:t>-</w:t>
            </w:r>
          </w:p>
        </w:tc>
        <w:tc>
          <w:tcPr>
            <w:tcW w:w="1411" w:type="dxa"/>
            <w:vAlign w:val="center"/>
          </w:tcPr>
          <w:p w:rsidR="00F774AF" w:rsidRPr="00963072" w:rsidRDefault="00252B0C" w:rsidP="00306B2A">
            <w:pPr>
              <w:jc w:val="center"/>
              <w:rPr>
                <w:sz w:val="20"/>
                <w:szCs w:val="20"/>
              </w:rPr>
            </w:pPr>
            <w:r>
              <w:rPr>
                <w:sz w:val="20"/>
                <w:szCs w:val="20"/>
              </w:rPr>
              <w:t>-</w:t>
            </w:r>
          </w:p>
        </w:tc>
      </w:tr>
      <w:tr w:rsidR="00F774AF" w:rsidTr="00306B2A">
        <w:trPr>
          <w:trHeight w:val="249"/>
          <w:jc w:val="center"/>
        </w:trPr>
        <w:tc>
          <w:tcPr>
            <w:tcW w:w="1410" w:type="dxa"/>
            <w:vMerge/>
            <w:vAlign w:val="center"/>
          </w:tcPr>
          <w:p w:rsidR="00F774AF" w:rsidRPr="00963072" w:rsidRDefault="00F774AF" w:rsidP="00FF169E">
            <w:pPr>
              <w:jc w:val="center"/>
              <w:rPr>
                <w:sz w:val="20"/>
                <w:szCs w:val="20"/>
              </w:rPr>
            </w:pPr>
          </w:p>
        </w:tc>
        <w:tc>
          <w:tcPr>
            <w:tcW w:w="1410" w:type="dxa"/>
          </w:tcPr>
          <w:p w:rsidR="00F774AF" w:rsidRPr="00963072" w:rsidRDefault="00F774AF" w:rsidP="00C563CF">
            <w:pPr>
              <w:jc w:val="left"/>
              <w:rPr>
                <w:sz w:val="20"/>
                <w:szCs w:val="20"/>
              </w:rPr>
            </w:pPr>
            <w:r>
              <w:rPr>
                <w:sz w:val="20"/>
                <w:szCs w:val="20"/>
              </w:rPr>
              <w:t>New test</w:t>
            </w:r>
          </w:p>
        </w:tc>
        <w:tc>
          <w:tcPr>
            <w:tcW w:w="1411" w:type="dxa"/>
            <w:vAlign w:val="center"/>
          </w:tcPr>
          <w:p w:rsidR="00F774AF" w:rsidRPr="00963072" w:rsidRDefault="00252B0C" w:rsidP="00306B2A">
            <w:pPr>
              <w:jc w:val="center"/>
              <w:rPr>
                <w:sz w:val="20"/>
                <w:szCs w:val="20"/>
              </w:rPr>
            </w:pPr>
            <w:r>
              <w:rPr>
                <w:sz w:val="20"/>
                <w:szCs w:val="20"/>
              </w:rPr>
              <w:t>-</w:t>
            </w:r>
          </w:p>
        </w:tc>
        <w:tc>
          <w:tcPr>
            <w:tcW w:w="1410" w:type="dxa"/>
            <w:vAlign w:val="center"/>
          </w:tcPr>
          <w:p w:rsidR="00F774AF" w:rsidRPr="00963072" w:rsidRDefault="00252B0C" w:rsidP="00306B2A">
            <w:pPr>
              <w:jc w:val="center"/>
              <w:rPr>
                <w:sz w:val="20"/>
                <w:szCs w:val="20"/>
              </w:rPr>
            </w:pPr>
            <w:r>
              <w:rPr>
                <w:sz w:val="20"/>
                <w:szCs w:val="20"/>
              </w:rPr>
              <w:t>-</w:t>
            </w:r>
          </w:p>
        </w:tc>
        <w:tc>
          <w:tcPr>
            <w:tcW w:w="1410" w:type="dxa"/>
            <w:vAlign w:val="center"/>
          </w:tcPr>
          <w:p w:rsidR="00F774AF" w:rsidRPr="00963072" w:rsidRDefault="00F774AF" w:rsidP="00306B2A">
            <w:pPr>
              <w:jc w:val="center"/>
              <w:rPr>
                <w:sz w:val="20"/>
                <w:szCs w:val="20"/>
              </w:rPr>
            </w:pPr>
            <w:r w:rsidRPr="00963072">
              <w:rPr>
                <w:sz w:val="20"/>
                <w:szCs w:val="20"/>
              </w:rPr>
              <w:t>2017</w:t>
            </w:r>
            <w:r w:rsidR="00E33248">
              <w:rPr>
                <w:sz w:val="20"/>
                <w:szCs w:val="20"/>
              </w:rPr>
              <w:t>–</w:t>
            </w:r>
            <w:r w:rsidRPr="00963072">
              <w:rPr>
                <w:sz w:val="20"/>
                <w:szCs w:val="20"/>
              </w:rPr>
              <w:t>18</w:t>
            </w:r>
          </w:p>
        </w:tc>
        <w:tc>
          <w:tcPr>
            <w:tcW w:w="1411" w:type="dxa"/>
            <w:vAlign w:val="center"/>
          </w:tcPr>
          <w:p w:rsidR="00F774AF" w:rsidRPr="00963072" w:rsidRDefault="00F774AF" w:rsidP="00306B2A">
            <w:pPr>
              <w:jc w:val="center"/>
              <w:rPr>
                <w:sz w:val="20"/>
                <w:szCs w:val="20"/>
              </w:rPr>
            </w:pPr>
            <w:r w:rsidRPr="00963072">
              <w:rPr>
                <w:sz w:val="20"/>
                <w:szCs w:val="20"/>
              </w:rPr>
              <w:t>2</w:t>
            </w:r>
            <w:r w:rsidR="00E33248">
              <w:rPr>
                <w:sz w:val="20"/>
                <w:szCs w:val="20"/>
              </w:rPr>
              <w:t>018–</w:t>
            </w:r>
            <w:r w:rsidRPr="00963072">
              <w:rPr>
                <w:sz w:val="20"/>
                <w:szCs w:val="20"/>
              </w:rPr>
              <w:t>19</w:t>
            </w:r>
          </w:p>
        </w:tc>
      </w:tr>
      <w:tr w:rsidR="00F774AF" w:rsidTr="00306B2A">
        <w:trPr>
          <w:trHeight w:val="228"/>
          <w:jc w:val="center"/>
        </w:trPr>
        <w:tc>
          <w:tcPr>
            <w:tcW w:w="1410" w:type="dxa"/>
            <w:vMerge w:val="restart"/>
            <w:vAlign w:val="center"/>
          </w:tcPr>
          <w:p w:rsidR="00F774AF" w:rsidRPr="00963072" w:rsidRDefault="00F774AF" w:rsidP="00FF169E">
            <w:pPr>
              <w:jc w:val="center"/>
              <w:rPr>
                <w:sz w:val="20"/>
                <w:szCs w:val="20"/>
              </w:rPr>
            </w:pPr>
            <w:r w:rsidRPr="00963072">
              <w:rPr>
                <w:sz w:val="20"/>
                <w:szCs w:val="20"/>
              </w:rPr>
              <w:t>2019</w:t>
            </w:r>
            <w:r>
              <w:rPr>
                <w:sz w:val="20"/>
                <w:szCs w:val="20"/>
              </w:rPr>
              <w:t>–</w:t>
            </w:r>
            <w:r w:rsidRPr="00963072">
              <w:rPr>
                <w:sz w:val="20"/>
                <w:szCs w:val="20"/>
              </w:rPr>
              <w:t>20</w:t>
            </w:r>
          </w:p>
        </w:tc>
        <w:tc>
          <w:tcPr>
            <w:tcW w:w="1410" w:type="dxa"/>
          </w:tcPr>
          <w:p w:rsidR="00F774AF" w:rsidRPr="00963072" w:rsidRDefault="00F774AF" w:rsidP="007E2A82">
            <w:pPr>
              <w:jc w:val="left"/>
              <w:rPr>
                <w:sz w:val="20"/>
                <w:szCs w:val="20"/>
              </w:rPr>
            </w:pPr>
            <w:r>
              <w:rPr>
                <w:sz w:val="20"/>
                <w:szCs w:val="20"/>
              </w:rPr>
              <w:t>Old test</w:t>
            </w:r>
          </w:p>
        </w:tc>
        <w:tc>
          <w:tcPr>
            <w:tcW w:w="1411" w:type="dxa"/>
            <w:vAlign w:val="center"/>
          </w:tcPr>
          <w:p w:rsidR="00F774AF" w:rsidRPr="00963072" w:rsidRDefault="00F774AF" w:rsidP="00306B2A">
            <w:pPr>
              <w:jc w:val="center"/>
              <w:rPr>
                <w:sz w:val="20"/>
                <w:szCs w:val="20"/>
              </w:rPr>
            </w:pPr>
            <w:r w:rsidRPr="00963072">
              <w:rPr>
                <w:sz w:val="20"/>
                <w:szCs w:val="20"/>
              </w:rPr>
              <w:t>2016</w:t>
            </w:r>
            <w:r>
              <w:rPr>
                <w:sz w:val="20"/>
                <w:szCs w:val="20"/>
              </w:rPr>
              <w:t>–</w:t>
            </w:r>
            <w:r w:rsidRPr="00963072">
              <w:rPr>
                <w:sz w:val="20"/>
                <w:szCs w:val="20"/>
              </w:rPr>
              <w:t>17</w:t>
            </w:r>
          </w:p>
        </w:tc>
        <w:tc>
          <w:tcPr>
            <w:tcW w:w="1410" w:type="dxa"/>
            <w:vAlign w:val="center"/>
          </w:tcPr>
          <w:p w:rsidR="00F774AF" w:rsidRPr="00963072" w:rsidRDefault="00F774AF" w:rsidP="00306B2A">
            <w:pPr>
              <w:jc w:val="center"/>
              <w:rPr>
                <w:sz w:val="20"/>
                <w:szCs w:val="20"/>
              </w:rPr>
            </w:pPr>
            <w:r w:rsidRPr="00963072">
              <w:rPr>
                <w:sz w:val="20"/>
                <w:szCs w:val="20"/>
              </w:rPr>
              <w:t>-</w:t>
            </w:r>
          </w:p>
        </w:tc>
        <w:tc>
          <w:tcPr>
            <w:tcW w:w="1410" w:type="dxa"/>
            <w:vAlign w:val="center"/>
          </w:tcPr>
          <w:p w:rsidR="00F774AF" w:rsidRPr="00963072" w:rsidRDefault="00F774AF" w:rsidP="00306B2A">
            <w:pPr>
              <w:jc w:val="center"/>
              <w:rPr>
                <w:sz w:val="20"/>
                <w:szCs w:val="20"/>
              </w:rPr>
            </w:pPr>
            <w:r w:rsidRPr="00963072">
              <w:rPr>
                <w:sz w:val="20"/>
                <w:szCs w:val="20"/>
              </w:rPr>
              <w:t>-</w:t>
            </w:r>
          </w:p>
        </w:tc>
        <w:tc>
          <w:tcPr>
            <w:tcW w:w="1411" w:type="dxa"/>
            <w:vAlign w:val="center"/>
          </w:tcPr>
          <w:p w:rsidR="00F774AF" w:rsidRPr="00963072" w:rsidRDefault="00252B0C" w:rsidP="00306B2A">
            <w:pPr>
              <w:jc w:val="center"/>
              <w:rPr>
                <w:sz w:val="20"/>
                <w:szCs w:val="20"/>
              </w:rPr>
            </w:pPr>
            <w:r>
              <w:rPr>
                <w:sz w:val="20"/>
                <w:szCs w:val="20"/>
              </w:rPr>
              <w:t>-</w:t>
            </w:r>
          </w:p>
        </w:tc>
      </w:tr>
      <w:tr w:rsidR="00F774AF" w:rsidTr="00306B2A">
        <w:trPr>
          <w:trHeight w:val="249"/>
          <w:jc w:val="center"/>
        </w:trPr>
        <w:tc>
          <w:tcPr>
            <w:tcW w:w="1410" w:type="dxa"/>
            <w:vMerge/>
            <w:vAlign w:val="center"/>
          </w:tcPr>
          <w:p w:rsidR="00F774AF" w:rsidRPr="00963072" w:rsidRDefault="00F774AF" w:rsidP="00FF169E">
            <w:pPr>
              <w:jc w:val="center"/>
              <w:rPr>
                <w:sz w:val="20"/>
                <w:szCs w:val="20"/>
              </w:rPr>
            </w:pPr>
          </w:p>
        </w:tc>
        <w:tc>
          <w:tcPr>
            <w:tcW w:w="1410" w:type="dxa"/>
          </w:tcPr>
          <w:p w:rsidR="00F774AF" w:rsidRPr="00963072" w:rsidRDefault="00F774AF" w:rsidP="00C563CF">
            <w:pPr>
              <w:jc w:val="left"/>
              <w:rPr>
                <w:sz w:val="20"/>
                <w:szCs w:val="20"/>
              </w:rPr>
            </w:pPr>
            <w:r>
              <w:rPr>
                <w:sz w:val="20"/>
                <w:szCs w:val="20"/>
              </w:rPr>
              <w:t>New test</w:t>
            </w:r>
          </w:p>
        </w:tc>
        <w:tc>
          <w:tcPr>
            <w:tcW w:w="1411" w:type="dxa"/>
            <w:vAlign w:val="center"/>
          </w:tcPr>
          <w:p w:rsidR="00F774AF" w:rsidRPr="00963072" w:rsidRDefault="00F774AF" w:rsidP="00306B2A">
            <w:pPr>
              <w:jc w:val="center"/>
              <w:rPr>
                <w:sz w:val="20"/>
                <w:szCs w:val="20"/>
              </w:rPr>
            </w:pPr>
            <w:r w:rsidRPr="00963072">
              <w:rPr>
                <w:sz w:val="20"/>
                <w:szCs w:val="20"/>
              </w:rPr>
              <w:t>-</w:t>
            </w:r>
          </w:p>
        </w:tc>
        <w:tc>
          <w:tcPr>
            <w:tcW w:w="1410" w:type="dxa"/>
            <w:vAlign w:val="center"/>
          </w:tcPr>
          <w:p w:rsidR="00F774AF" w:rsidRPr="00963072" w:rsidRDefault="00F774AF" w:rsidP="00306B2A">
            <w:pPr>
              <w:jc w:val="center"/>
              <w:rPr>
                <w:sz w:val="20"/>
                <w:szCs w:val="20"/>
              </w:rPr>
            </w:pPr>
            <w:r w:rsidRPr="00963072">
              <w:rPr>
                <w:sz w:val="20"/>
                <w:szCs w:val="20"/>
              </w:rPr>
              <w:t>2017</w:t>
            </w:r>
            <w:r>
              <w:rPr>
                <w:sz w:val="20"/>
                <w:szCs w:val="20"/>
              </w:rPr>
              <w:t>–</w:t>
            </w:r>
            <w:r w:rsidRPr="00963072">
              <w:rPr>
                <w:sz w:val="20"/>
                <w:szCs w:val="20"/>
              </w:rPr>
              <w:t>18</w:t>
            </w:r>
          </w:p>
        </w:tc>
        <w:tc>
          <w:tcPr>
            <w:tcW w:w="1410" w:type="dxa"/>
            <w:vAlign w:val="center"/>
          </w:tcPr>
          <w:p w:rsidR="00F774AF" w:rsidRPr="00963072" w:rsidRDefault="00F774AF" w:rsidP="00306B2A">
            <w:pPr>
              <w:jc w:val="center"/>
              <w:rPr>
                <w:sz w:val="20"/>
                <w:szCs w:val="20"/>
              </w:rPr>
            </w:pPr>
            <w:r w:rsidRPr="00963072">
              <w:rPr>
                <w:sz w:val="20"/>
                <w:szCs w:val="20"/>
              </w:rPr>
              <w:t>2018</w:t>
            </w:r>
            <w:r>
              <w:rPr>
                <w:sz w:val="20"/>
                <w:szCs w:val="20"/>
              </w:rPr>
              <w:t>–</w:t>
            </w:r>
            <w:r w:rsidRPr="00963072">
              <w:rPr>
                <w:sz w:val="20"/>
                <w:szCs w:val="20"/>
              </w:rPr>
              <w:t>19</w:t>
            </w:r>
          </w:p>
        </w:tc>
        <w:tc>
          <w:tcPr>
            <w:tcW w:w="1411" w:type="dxa"/>
            <w:vAlign w:val="center"/>
          </w:tcPr>
          <w:p w:rsidR="00F774AF" w:rsidRPr="00963072" w:rsidRDefault="00F774AF" w:rsidP="00306B2A">
            <w:pPr>
              <w:jc w:val="center"/>
              <w:rPr>
                <w:sz w:val="20"/>
                <w:szCs w:val="20"/>
              </w:rPr>
            </w:pPr>
            <w:r w:rsidRPr="00963072">
              <w:rPr>
                <w:sz w:val="20"/>
                <w:szCs w:val="20"/>
              </w:rPr>
              <w:t>2019</w:t>
            </w:r>
            <w:r>
              <w:rPr>
                <w:sz w:val="20"/>
                <w:szCs w:val="20"/>
              </w:rPr>
              <w:t>–</w:t>
            </w:r>
            <w:r w:rsidRPr="00963072">
              <w:rPr>
                <w:sz w:val="20"/>
                <w:szCs w:val="20"/>
              </w:rPr>
              <w:t>20</w:t>
            </w:r>
          </w:p>
        </w:tc>
      </w:tr>
      <w:tr w:rsidR="00F774AF" w:rsidTr="00306B2A">
        <w:trPr>
          <w:trHeight w:val="249"/>
          <w:jc w:val="center"/>
        </w:trPr>
        <w:tc>
          <w:tcPr>
            <w:tcW w:w="1410" w:type="dxa"/>
            <w:vMerge w:val="restart"/>
            <w:vAlign w:val="center"/>
          </w:tcPr>
          <w:p w:rsidR="00F774AF" w:rsidRPr="00963072" w:rsidRDefault="00F774AF" w:rsidP="00FF169E">
            <w:pPr>
              <w:jc w:val="center"/>
              <w:rPr>
                <w:sz w:val="20"/>
                <w:szCs w:val="20"/>
              </w:rPr>
            </w:pPr>
            <w:r w:rsidRPr="00963072">
              <w:rPr>
                <w:sz w:val="20"/>
                <w:szCs w:val="20"/>
              </w:rPr>
              <w:t>2020</w:t>
            </w:r>
            <w:r>
              <w:rPr>
                <w:sz w:val="20"/>
                <w:szCs w:val="20"/>
              </w:rPr>
              <w:t>–</w:t>
            </w:r>
            <w:r w:rsidRPr="00963072">
              <w:rPr>
                <w:sz w:val="20"/>
                <w:szCs w:val="20"/>
              </w:rPr>
              <w:t>21</w:t>
            </w:r>
          </w:p>
        </w:tc>
        <w:tc>
          <w:tcPr>
            <w:tcW w:w="1410" w:type="dxa"/>
          </w:tcPr>
          <w:p w:rsidR="00F774AF" w:rsidRPr="00963072" w:rsidRDefault="00F774AF" w:rsidP="00C563CF">
            <w:pPr>
              <w:jc w:val="left"/>
              <w:rPr>
                <w:sz w:val="20"/>
                <w:szCs w:val="20"/>
              </w:rPr>
            </w:pPr>
            <w:r>
              <w:rPr>
                <w:sz w:val="20"/>
                <w:szCs w:val="20"/>
              </w:rPr>
              <w:t>Old test</w:t>
            </w:r>
          </w:p>
        </w:tc>
        <w:tc>
          <w:tcPr>
            <w:tcW w:w="1411" w:type="dxa"/>
            <w:vAlign w:val="center"/>
          </w:tcPr>
          <w:p w:rsidR="00F774AF" w:rsidRPr="00963072" w:rsidRDefault="00F774AF" w:rsidP="00306B2A">
            <w:pPr>
              <w:jc w:val="center"/>
              <w:rPr>
                <w:sz w:val="20"/>
                <w:szCs w:val="20"/>
              </w:rPr>
            </w:pPr>
            <w:r w:rsidRPr="00963072">
              <w:rPr>
                <w:sz w:val="20"/>
                <w:szCs w:val="20"/>
              </w:rPr>
              <w:t>-</w:t>
            </w:r>
          </w:p>
        </w:tc>
        <w:tc>
          <w:tcPr>
            <w:tcW w:w="1410" w:type="dxa"/>
            <w:vAlign w:val="center"/>
          </w:tcPr>
          <w:p w:rsidR="00F774AF" w:rsidRPr="00963072" w:rsidRDefault="00F774AF" w:rsidP="00306B2A">
            <w:pPr>
              <w:jc w:val="center"/>
              <w:rPr>
                <w:sz w:val="20"/>
                <w:szCs w:val="20"/>
              </w:rPr>
            </w:pPr>
            <w:r w:rsidRPr="00963072">
              <w:rPr>
                <w:sz w:val="20"/>
                <w:szCs w:val="20"/>
              </w:rPr>
              <w:t>-</w:t>
            </w:r>
          </w:p>
        </w:tc>
        <w:tc>
          <w:tcPr>
            <w:tcW w:w="1410" w:type="dxa"/>
            <w:vAlign w:val="center"/>
          </w:tcPr>
          <w:p w:rsidR="00F774AF" w:rsidRPr="00963072" w:rsidRDefault="00F774AF" w:rsidP="00306B2A">
            <w:pPr>
              <w:jc w:val="center"/>
              <w:rPr>
                <w:sz w:val="20"/>
                <w:szCs w:val="20"/>
              </w:rPr>
            </w:pPr>
            <w:r w:rsidRPr="00963072">
              <w:rPr>
                <w:sz w:val="20"/>
                <w:szCs w:val="20"/>
              </w:rPr>
              <w:t>-</w:t>
            </w:r>
          </w:p>
        </w:tc>
        <w:tc>
          <w:tcPr>
            <w:tcW w:w="1411" w:type="dxa"/>
            <w:vAlign w:val="center"/>
          </w:tcPr>
          <w:p w:rsidR="00F774AF" w:rsidRPr="00963072" w:rsidRDefault="00F774AF" w:rsidP="00306B2A">
            <w:pPr>
              <w:jc w:val="center"/>
              <w:rPr>
                <w:sz w:val="20"/>
                <w:szCs w:val="20"/>
              </w:rPr>
            </w:pPr>
            <w:r w:rsidRPr="00963072">
              <w:rPr>
                <w:sz w:val="20"/>
                <w:szCs w:val="20"/>
              </w:rPr>
              <w:t>-</w:t>
            </w:r>
          </w:p>
        </w:tc>
      </w:tr>
      <w:tr w:rsidR="00F774AF" w:rsidTr="00306B2A">
        <w:trPr>
          <w:trHeight w:val="249"/>
          <w:jc w:val="center"/>
        </w:trPr>
        <w:tc>
          <w:tcPr>
            <w:tcW w:w="1410" w:type="dxa"/>
            <w:vMerge/>
            <w:vAlign w:val="center"/>
          </w:tcPr>
          <w:p w:rsidR="00F774AF" w:rsidRPr="00963072" w:rsidRDefault="00F774AF" w:rsidP="00304F0A">
            <w:pPr>
              <w:jc w:val="left"/>
              <w:rPr>
                <w:sz w:val="20"/>
                <w:szCs w:val="20"/>
              </w:rPr>
            </w:pPr>
          </w:p>
        </w:tc>
        <w:tc>
          <w:tcPr>
            <w:tcW w:w="1410" w:type="dxa"/>
          </w:tcPr>
          <w:p w:rsidR="00F774AF" w:rsidRPr="00963072" w:rsidRDefault="00F774AF" w:rsidP="007E2A82">
            <w:pPr>
              <w:jc w:val="left"/>
              <w:rPr>
                <w:sz w:val="20"/>
                <w:szCs w:val="20"/>
              </w:rPr>
            </w:pPr>
            <w:r>
              <w:rPr>
                <w:sz w:val="20"/>
                <w:szCs w:val="20"/>
              </w:rPr>
              <w:t>New test</w:t>
            </w:r>
          </w:p>
        </w:tc>
        <w:tc>
          <w:tcPr>
            <w:tcW w:w="1411" w:type="dxa"/>
            <w:vAlign w:val="center"/>
          </w:tcPr>
          <w:p w:rsidR="00F774AF" w:rsidRPr="00963072" w:rsidRDefault="00F774AF" w:rsidP="00306B2A">
            <w:pPr>
              <w:jc w:val="center"/>
              <w:rPr>
                <w:sz w:val="20"/>
                <w:szCs w:val="20"/>
              </w:rPr>
            </w:pPr>
            <w:r w:rsidRPr="00963072">
              <w:rPr>
                <w:sz w:val="20"/>
                <w:szCs w:val="20"/>
              </w:rPr>
              <w:t>2017</w:t>
            </w:r>
            <w:r>
              <w:rPr>
                <w:sz w:val="20"/>
                <w:szCs w:val="20"/>
              </w:rPr>
              <w:t>–</w:t>
            </w:r>
            <w:r w:rsidRPr="00963072">
              <w:rPr>
                <w:sz w:val="20"/>
                <w:szCs w:val="20"/>
              </w:rPr>
              <w:t>18</w:t>
            </w:r>
          </w:p>
        </w:tc>
        <w:tc>
          <w:tcPr>
            <w:tcW w:w="1410" w:type="dxa"/>
            <w:vAlign w:val="center"/>
          </w:tcPr>
          <w:p w:rsidR="00F774AF" w:rsidRPr="00963072" w:rsidRDefault="00F774AF" w:rsidP="00306B2A">
            <w:pPr>
              <w:jc w:val="center"/>
              <w:rPr>
                <w:sz w:val="20"/>
                <w:szCs w:val="20"/>
              </w:rPr>
            </w:pPr>
            <w:r w:rsidRPr="00963072">
              <w:rPr>
                <w:sz w:val="20"/>
                <w:szCs w:val="20"/>
              </w:rPr>
              <w:t>2018</w:t>
            </w:r>
            <w:r>
              <w:rPr>
                <w:sz w:val="20"/>
                <w:szCs w:val="20"/>
              </w:rPr>
              <w:t>–</w:t>
            </w:r>
            <w:r w:rsidRPr="00963072">
              <w:rPr>
                <w:sz w:val="20"/>
                <w:szCs w:val="20"/>
              </w:rPr>
              <w:t>19</w:t>
            </w:r>
          </w:p>
        </w:tc>
        <w:tc>
          <w:tcPr>
            <w:tcW w:w="1410" w:type="dxa"/>
            <w:vAlign w:val="center"/>
          </w:tcPr>
          <w:p w:rsidR="00F774AF" w:rsidRPr="00963072" w:rsidRDefault="00F774AF" w:rsidP="00306B2A">
            <w:pPr>
              <w:jc w:val="center"/>
              <w:rPr>
                <w:sz w:val="20"/>
                <w:szCs w:val="20"/>
              </w:rPr>
            </w:pPr>
            <w:r w:rsidRPr="00963072">
              <w:rPr>
                <w:sz w:val="20"/>
                <w:szCs w:val="20"/>
              </w:rPr>
              <w:t>2019</w:t>
            </w:r>
            <w:r>
              <w:rPr>
                <w:sz w:val="20"/>
                <w:szCs w:val="20"/>
              </w:rPr>
              <w:t>–</w:t>
            </w:r>
            <w:r w:rsidRPr="00963072">
              <w:rPr>
                <w:sz w:val="20"/>
                <w:szCs w:val="20"/>
              </w:rPr>
              <w:t>20</w:t>
            </w:r>
          </w:p>
        </w:tc>
        <w:tc>
          <w:tcPr>
            <w:tcW w:w="1411" w:type="dxa"/>
            <w:vAlign w:val="center"/>
          </w:tcPr>
          <w:p w:rsidR="00F774AF" w:rsidRPr="00963072" w:rsidRDefault="00F774AF" w:rsidP="00306B2A">
            <w:pPr>
              <w:jc w:val="center"/>
              <w:rPr>
                <w:sz w:val="20"/>
                <w:szCs w:val="20"/>
              </w:rPr>
            </w:pPr>
            <w:r w:rsidRPr="00963072">
              <w:rPr>
                <w:sz w:val="20"/>
                <w:szCs w:val="20"/>
              </w:rPr>
              <w:t>2020</w:t>
            </w:r>
            <w:r>
              <w:rPr>
                <w:sz w:val="20"/>
                <w:szCs w:val="20"/>
              </w:rPr>
              <w:t>–</w:t>
            </w:r>
            <w:r w:rsidRPr="00963072">
              <w:rPr>
                <w:sz w:val="20"/>
                <w:szCs w:val="20"/>
              </w:rPr>
              <w:t>21</w:t>
            </w:r>
          </w:p>
        </w:tc>
      </w:tr>
    </w:tbl>
    <w:p w:rsidR="002372F2" w:rsidRDefault="002372F2" w:rsidP="001F3E9B"/>
    <w:p w:rsidR="00A93E1C" w:rsidRPr="00E36545" w:rsidRDefault="00A93E1C" w:rsidP="001F3E9B"/>
    <w:p w:rsidR="001F3E9B" w:rsidRPr="00E36545" w:rsidRDefault="002372F2" w:rsidP="001F3E9B">
      <w:r>
        <w:t>T</w:t>
      </w:r>
      <w:r w:rsidR="001F3E9B" w:rsidRPr="00E36545">
        <w:t xml:space="preserve">o ensure </w:t>
      </w:r>
      <w:r w:rsidR="001F3E9B" w:rsidRPr="007043A0">
        <w:t>the strengthened test</w:t>
      </w:r>
      <w:r w:rsidR="001F3E9B" w:rsidRPr="00E36545">
        <w:t xml:space="preserve"> incorporating all distributions to beneficiaries does not result in double counting of owners, </w:t>
      </w:r>
      <w:r w:rsidR="002F48AE">
        <w:t xml:space="preserve">under the new </w:t>
      </w:r>
      <w:r w:rsidR="00967A8E">
        <w:t>rules</w:t>
      </w:r>
      <w:r w:rsidR="002F48AE">
        <w:t xml:space="preserve"> trustees are only look-through counted owners when no beneficiaries of the trust are look-through counted owners.</w:t>
      </w:r>
    </w:p>
    <w:p w:rsidR="00EA65AF" w:rsidRDefault="00EA65AF" w:rsidP="002279EB"/>
    <w:p w:rsidR="00A93E1C" w:rsidRDefault="00A93E1C" w:rsidP="002279EB"/>
    <w:p w:rsidR="002279EB" w:rsidRDefault="002279EB" w:rsidP="002279EB">
      <w:pPr>
        <w:pStyle w:val="Exampleheading"/>
        <w:pBdr>
          <w:top w:val="single" w:sz="4" w:space="10" w:color="auto"/>
          <w:left w:val="single" w:sz="4" w:space="10" w:color="auto"/>
          <w:bottom w:val="single" w:sz="4" w:space="10" w:color="auto"/>
          <w:right w:val="single" w:sz="4" w:space="10" w:color="auto"/>
        </w:pBdr>
      </w:pPr>
      <w:r>
        <w:t>Example</w:t>
      </w:r>
    </w:p>
    <w:p w:rsidR="007F6F69" w:rsidRDefault="007F6F69" w:rsidP="002279EB">
      <w:pPr>
        <w:pStyle w:val="Exampletext"/>
        <w:pBdr>
          <w:top w:val="single" w:sz="4" w:space="10" w:color="auto"/>
          <w:left w:val="single" w:sz="4" w:space="10" w:color="auto"/>
          <w:bottom w:val="single" w:sz="4" w:space="10" w:color="auto"/>
          <w:right w:val="single" w:sz="4" w:space="10" w:color="auto"/>
        </w:pBdr>
      </w:pPr>
    </w:p>
    <w:p w:rsidR="00FB325B" w:rsidRDefault="007A174E" w:rsidP="002279EB">
      <w:pPr>
        <w:pStyle w:val="Exampletext"/>
        <w:pBdr>
          <w:top w:val="single" w:sz="4" w:space="10" w:color="auto"/>
          <w:left w:val="single" w:sz="4" w:space="10" w:color="auto"/>
          <w:bottom w:val="single" w:sz="4" w:space="10" w:color="auto"/>
          <w:right w:val="single" w:sz="4" w:space="10" w:color="auto"/>
        </w:pBdr>
      </w:pPr>
      <w:r>
        <w:t>A LTC is 100</w:t>
      </w:r>
      <w:r w:rsidR="006252FC">
        <w:t xml:space="preserve"> percent</w:t>
      </w:r>
      <w:r>
        <w:t xml:space="preserve"> owned by a </w:t>
      </w:r>
      <w:r w:rsidR="00DA666A">
        <w:t>Trust A</w:t>
      </w:r>
      <w:r>
        <w:t xml:space="preserve">. </w:t>
      </w:r>
      <w:r w:rsidR="00F66211">
        <w:t xml:space="preserve"> </w:t>
      </w:r>
      <w:r w:rsidR="00DA666A">
        <w:t>Trust A</w:t>
      </w:r>
      <w:r>
        <w:t xml:space="preserve"> has five listed beneficiaries</w:t>
      </w:r>
      <w:r w:rsidR="009E7CD7">
        <w:t>.  F</w:t>
      </w:r>
      <w:r>
        <w:t>rom 1 April 2017 to 31 March 2020 the trust has made no distributions to any of the beneficiaries.</w:t>
      </w:r>
    </w:p>
    <w:p w:rsidR="007A174E" w:rsidRDefault="007A174E" w:rsidP="002279EB">
      <w:pPr>
        <w:pStyle w:val="Exampletext"/>
        <w:pBdr>
          <w:top w:val="single" w:sz="4" w:space="10" w:color="auto"/>
          <w:left w:val="single" w:sz="4" w:space="10" w:color="auto"/>
          <w:bottom w:val="single" w:sz="4" w:space="10" w:color="auto"/>
          <w:right w:val="single" w:sz="4" w:space="10" w:color="auto"/>
        </w:pBdr>
      </w:pPr>
    </w:p>
    <w:p w:rsidR="00FB325B" w:rsidRDefault="007A174E" w:rsidP="002279EB">
      <w:pPr>
        <w:pStyle w:val="Exampletext"/>
        <w:pBdr>
          <w:top w:val="single" w:sz="4" w:space="10" w:color="auto"/>
          <w:left w:val="single" w:sz="4" w:space="10" w:color="auto"/>
          <w:bottom w:val="single" w:sz="4" w:space="10" w:color="auto"/>
          <w:right w:val="single" w:sz="4" w:space="10" w:color="auto"/>
        </w:pBdr>
      </w:pPr>
      <w:r>
        <w:t>As a result, for the 2019</w:t>
      </w:r>
      <w:r w:rsidR="008554EC">
        <w:t>–</w:t>
      </w:r>
      <w:r>
        <w:t xml:space="preserve">20 income </w:t>
      </w:r>
      <w:proofErr w:type="gramStart"/>
      <w:r>
        <w:t>year</w:t>
      </w:r>
      <w:proofErr w:type="gramEnd"/>
      <w:r>
        <w:t>, none of the five beneficiaries are look-through counted owners</w:t>
      </w:r>
      <w:r w:rsidR="002A1AE7">
        <w:t xml:space="preserve">. </w:t>
      </w:r>
      <w:r w:rsidR="00F66211">
        <w:t xml:space="preserve"> </w:t>
      </w:r>
      <w:r w:rsidR="002A1AE7">
        <w:t>As the trust has no beneficiaries as look-through counted owners, the trustee is a look-through counted owner and the LTC has a total of one look-through counted owner for the income year.</w:t>
      </w:r>
    </w:p>
    <w:p w:rsidR="002279EB" w:rsidRPr="00670DFA" w:rsidRDefault="002279EB" w:rsidP="002279EB"/>
    <w:p w:rsidR="001F3E9B" w:rsidRDefault="001F3E9B" w:rsidP="001F3E9B"/>
    <w:p w:rsidR="00A93E1C" w:rsidRDefault="00A93E1C">
      <w:pPr>
        <w:jc w:val="left"/>
        <w:rPr>
          <w:b/>
          <w:sz w:val="20"/>
        </w:rPr>
      </w:pPr>
      <w:r>
        <w:br w:type="page"/>
      </w:r>
    </w:p>
    <w:p w:rsidR="001F3E9B" w:rsidRDefault="001F3E9B" w:rsidP="001F3E9B">
      <w:pPr>
        <w:pStyle w:val="Exampleheading"/>
        <w:pBdr>
          <w:top w:val="single" w:sz="4" w:space="10" w:color="auto"/>
          <w:left w:val="single" w:sz="4" w:space="10" w:color="auto"/>
          <w:bottom w:val="single" w:sz="4" w:space="10" w:color="auto"/>
          <w:right w:val="single" w:sz="4" w:space="10" w:color="auto"/>
        </w:pBdr>
      </w:pPr>
      <w:r>
        <w:lastRenderedPageBreak/>
        <w:t>Example</w:t>
      </w:r>
    </w:p>
    <w:p w:rsidR="001F3E9B" w:rsidRDefault="001F3E9B" w:rsidP="001F3E9B">
      <w:pPr>
        <w:pStyle w:val="Exampletext"/>
        <w:pBdr>
          <w:top w:val="single" w:sz="4" w:space="10" w:color="auto"/>
          <w:left w:val="single" w:sz="4" w:space="10" w:color="auto"/>
          <w:bottom w:val="single" w:sz="4" w:space="10" w:color="auto"/>
          <w:right w:val="single" w:sz="4" w:space="10" w:color="auto"/>
        </w:pBdr>
      </w:pPr>
    </w:p>
    <w:p w:rsidR="008505C0" w:rsidRDefault="007F6F69" w:rsidP="007F6F69">
      <w:pPr>
        <w:pStyle w:val="Exampletext"/>
        <w:pBdr>
          <w:top w:val="single" w:sz="4" w:space="10" w:color="auto"/>
          <w:left w:val="single" w:sz="4" w:space="10" w:color="auto"/>
          <w:bottom w:val="single" w:sz="4" w:space="10" w:color="auto"/>
          <w:right w:val="single" w:sz="4" w:space="10" w:color="auto"/>
        </w:pBdr>
      </w:pPr>
      <w:r>
        <w:t>A LTC is 100</w:t>
      </w:r>
      <w:r w:rsidR="00F66211">
        <w:t xml:space="preserve"> percent</w:t>
      </w:r>
      <w:r>
        <w:t xml:space="preserve"> owned by Trust A.</w:t>
      </w:r>
      <w:r w:rsidR="00F66211">
        <w:t xml:space="preserve"> </w:t>
      </w:r>
      <w:r>
        <w:t xml:space="preserve"> In the 201</w:t>
      </w:r>
      <w:r w:rsidR="00D923A3">
        <w:t>6</w:t>
      </w:r>
      <w:r w:rsidR="00F66211">
        <w:t>–</w:t>
      </w:r>
      <w:r>
        <w:t>1</w:t>
      </w:r>
      <w:r w:rsidR="00D923A3">
        <w:t>7</w:t>
      </w:r>
      <w:r>
        <w:t xml:space="preserve"> income year, Trust </w:t>
      </w:r>
      <w:proofErr w:type="gramStart"/>
      <w:r>
        <w:t>A</w:t>
      </w:r>
      <w:proofErr w:type="gramEnd"/>
      <w:r>
        <w:t xml:space="preserve"> made distributions to 10 beneficiaries that were from non-LTC sourced income.</w:t>
      </w:r>
    </w:p>
    <w:p w:rsidR="007F6F69" w:rsidRDefault="007F6F69" w:rsidP="007F6F69">
      <w:pPr>
        <w:pStyle w:val="Exampletext"/>
        <w:pBdr>
          <w:top w:val="single" w:sz="4" w:space="10" w:color="auto"/>
          <w:left w:val="single" w:sz="4" w:space="10" w:color="auto"/>
          <w:bottom w:val="single" w:sz="4" w:space="10" w:color="auto"/>
          <w:right w:val="single" w:sz="4" w:space="10" w:color="auto"/>
        </w:pBdr>
      </w:pPr>
    </w:p>
    <w:p w:rsidR="007A7433" w:rsidRDefault="007F6F69" w:rsidP="00CA0E5B">
      <w:pPr>
        <w:pStyle w:val="Exampletext"/>
        <w:pBdr>
          <w:top w:val="single" w:sz="4" w:space="10" w:color="auto"/>
          <w:left w:val="single" w:sz="4" w:space="10" w:color="auto"/>
          <w:bottom w:val="single" w:sz="4" w:space="10" w:color="auto"/>
          <w:right w:val="single" w:sz="4" w:space="10" w:color="auto"/>
        </w:pBdr>
      </w:pPr>
      <w:r>
        <w:t>In the 201</w:t>
      </w:r>
      <w:r w:rsidR="00D923A3">
        <w:t>7</w:t>
      </w:r>
      <w:r w:rsidR="00F66211">
        <w:t>–</w:t>
      </w:r>
      <w:r>
        <w:t>1</w:t>
      </w:r>
      <w:r w:rsidR="00D923A3">
        <w:t>8</w:t>
      </w:r>
      <w:r>
        <w:t xml:space="preserve"> income year, these </w:t>
      </w:r>
      <w:r w:rsidR="00F66211">
        <w:t>10</w:t>
      </w:r>
      <w:r>
        <w:t xml:space="preserve"> beneficiaries will not be look-through counted owners as distributions in the 201</w:t>
      </w:r>
      <w:r w:rsidR="00D923A3">
        <w:t>6</w:t>
      </w:r>
      <w:r w:rsidR="00F66211">
        <w:t>–</w:t>
      </w:r>
      <w:r>
        <w:t>1</w:t>
      </w:r>
      <w:r w:rsidR="00D923A3">
        <w:t>7</w:t>
      </w:r>
      <w:r>
        <w:t xml:space="preserve"> are considered under the old rules</w:t>
      </w:r>
      <w:r w:rsidR="00F73F78">
        <w:t xml:space="preserve"> which do not consider distributions of non-LTC sourced income</w:t>
      </w:r>
      <w:r>
        <w:t xml:space="preserve">. </w:t>
      </w:r>
      <w:r w:rsidR="00F66211">
        <w:t xml:space="preserve"> </w:t>
      </w:r>
      <w:r w:rsidR="00CA0E5B">
        <w:t>If there are no other distributions the trustee will be a counted owner in these circumstances.</w:t>
      </w:r>
    </w:p>
    <w:p w:rsidR="004C131B" w:rsidRDefault="004C131B" w:rsidP="00FF169E">
      <w:pPr>
        <w:jc w:val="left"/>
      </w:pPr>
    </w:p>
    <w:p w:rsidR="004C131B" w:rsidRDefault="004C131B" w:rsidP="005E41A7">
      <w:pPr>
        <w:pStyle w:val="Exampleheading"/>
        <w:pBdr>
          <w:top w:val="single" w:sz="4" w:space="10" w:color="auto"/>
          <w:left w:val="single" w:sz="4" w:space="10" w:color="auto"/>
          <w:bottom w:val="single" w:sz="4" w:space="10" w:color="auto"/>
          <w:right w:val="single" w:sz="4" w:space="10" w:color="auto"/>
        </w:pBdr>
      </w:pPr>
      <w:r>
        <w:t>Example</w:t>
      </w:r>
    </w:p>
    <w:p w:rsidR="004C131B" w:rsidRDefault="004C131B" w:rsidP="005E41A7">
      <w:pPr>
        <w:pStyle w:val="Exampletext"/>
        <w:pBdr>
          <w:top w:val="single" w:sz="4" w:space="10" w:color="auto"/>
          <w:left w:val="single" w:sz="4" w:space="10" w:color="auto"/>
          <w:bottom w:val="single" w:sz="4" w:space="10" w:color="auto"/>
          <w:right w:val="single" w:sz="4" w:space="10" w:color="auto"/>
        </w:pBdr>
      </w:pPr>
    </w:p>
    <w:p w:rsidR="004C131B" w:rsidRDefault="004C131B" w:rsidP="005E41A7">
      <w:pPr>
        <w:pStyle w:val="Exampletext"/>
        <w:pBdr>
          <w:top w:val="single" w:sz="4" w:space="10" w:color="auto"/>
          <w:left w:val="single" w:sz="4" w:space="10" w:color="auto"/>
          <w:bottom w:val="single" w:sz="4" w:space="10" w:color="auto"/>
          <w:right w:val="single" w:sz="4" w:space="10" w:color="auto"/>
        </w:pBdr>
      </w:pPr>
      <w:r>
        <w:t>A LTC is 100</w:t>
      </w:r>
      <w:r w:rsidR="00F03D1C">
        <w:t xml:space="preserve"> percent</w:t>
      </w:r>
      <w:r>
        <w:t xml:space="preserve"> owned by Trust B.</w:t>
      </w:r>
    </w:p>
    <w:p w:rsidR="004C131B" w:rsidRDefault="004C131B" w:rsidP="005E41A7">
      <w:pPr>
        <w:pStyle w:val="Exampletext"/>
        <w:pBdr>
          <w:top w:val="single" w:sz="4" w:space="10" w:color="auto"/>
          <w:left w:val="single" w:sz="4" w:space="10" w:color="auto"/>
          <w:bottom w:val="single" w:sz="4" w:space="10" w:color="auto"/>
          <w:right w:val="single" w:sz="4" w:space="10" w:color="auto"/>
        </w:pBdr>
      </w:pPr>
    </w:p>
    <w:p w:rsidR="004C131B" w:rsidRDefault="004C131B" w:rsidP="005E41A7">
      <w:pPr>
        <w:pStyle w:val="Exampletext"/>
        <w:pBdr>
          <w:top w:val="single" w:sz="4" w:space="10" w:color="auto"/>
          <w:left w:val="single" w:sz="4" w:space="10" w:color="auto"/>
          <w:bottom w:val="single" w:sz="4" w:space="10" w:color="auto"/>
          <w:right w:val="single" w:sz="4" w:space="10" w:color="auto"/>
        </w:pBdr>
      </w:pPr>
      <w:r>
        <w:t xml:space="preserve">Trust B has made the following </w:t>
      </w:r>
      <w:r w:rsidR="00FA00A8">
        <w:t>distributions</w:t>
      </w:r>
      <w:r>
        <w:t>:</w:t>
      </w:r>
    </w:p>
    <w:p w:rsidR="008E2E85" w:rsidRDefault="008E2E85" w:rsidP="005E41A7">
      <w:pPr>
        <w:pStyle w:val="Exampletext"/>
        <w:pBdr>
          <w:top w:val="single" w:sz="4" w:space="10" w:color="auto"/>
          <w:left w:val="single" w:sz="4" w:space="10" w:color="auto"/>
          <w:bottom w:val="single" w:sz="4" w:space="10" w:color="auto"/>
          <w:right w:val="single" w:sz="4" w:space="10" w:color="auto"/>
        </w:pBdr>
      </w:pPr>
    </w:p>
    <w:p w:rsidR="004C131B" w:rsidRPr="008E2E85" w:rsidRDefault="004C131B" w:rsidP="005E41A7">
      <w:pPr>
        <w:pStyle w:val="Exampletext"/>
        <w:pBdr>
          <w:top w:val="single" w:sz="4" w:space="10" w:color="auto"/>
          <w:left w:val="single" w:sz="4" w:space="10" w:color="auto"/>
          <w:bottom w:val="single" w:sz="4" w:space="10" w:color="auto"/>
          <w:right w:val="single" w:sz="4" w:space="10" w:color="auto"/>
        </w:pBdr>
        <w:rPr>
          <w:szCs w:val="20"/>
        </w:rPr>
      </w:pPr>
      <w:r w:rsidRPr="00700D79">
        <w:rPr>
          <w:szCs w:val="20"/>
        </w:rPr>
        <w:sym w:font="Symbol" w:char="F0B7"/>
      </w:r>
      <w:r w:rsidRPr="00700D79">
        <w:rPr>
          <w:szCs w:val="20"/>
        </w:rPr>
        <w:t xml:space="preserve"> </w:t>
      </w:r>
      <w:r w:rsidRPr="00D923A3">
        <w:rPr>
          <w:b/>
          <w:szCs w:val="20"/>
        </w:rPr>
        <w:t>201</w:t>
      </w:r>
      <w:r w:rsidR="00D923A3">
        <w:rPr>
          <w:b/>
          <w:szCs w:val="20"/>
        </w:rPr>
        <w:t>5</w:t>
      </w:r>
      <w:r w:rsidR="008E2E85" w:rsidRPr="00D923A3">
        <w:rPr>
          <w:b/>
          <w:szCs w:val="20"/>
        </w:rPr>
        <w:t>–</w:t>
      </w:r>
      <w:r w:rsidRPr="00D923A3">
        <w:rPr>
          <w:b/>
          <w:szCs w:val="20"/>
        </w:rPr>
        <w:t>1</w:t>
      </w:r>
      <w:r w:rsidR="00D923A3">
        <w:rPr>
          <w:b/>
          <w:szCs w:val="20"/>
        </w:rPr>
        <w:t>6</w:t>
      </w:r>
      <w:r w:rsidRPr="00D923A3">
        <w:rPr>
          <w:b/>
          <w:szCs w:val="20"/>
        </w:rPr>
        <w:t xml:space="preserve"> income </w:t>
      </w:r>
      <w:proofErr w:type="gramStart"/>
      <w:r w:rsidRPr="00D923A3">
        <w:rPr>
          <w:b/>
          <w:szCs w:val="20"/>
        </w:rPr>
        <w:t>year</w:t>
      </w:r>
      <w:proofErr w:type="gramEnd"/>
      <w:r w:rsidRPr="00D923A3">
        <w:rPr>
          <w:b/>
          <w:szCs w:val="20"/>
        </w:rPr>
        <w:t>:</w:t>
      </w:r>
      <w:r w:rsidRPr="008E2E85">
        <w:rPr>
          <w:szCs w:val="20"/>
        </w:rPr>
        <w:t xml:space="preserve"> </w:t>
      </w:r>
      <w:r w:rsidR="00FA00A8" w:rsidRPr="008E2E85">
        <w:rPr>
          <w:szCs w:val="20"/>
        </w:rPr>
        <w:t>Distribution</w:t>
      </w:r>
      <w:r w:rsidRPr="008E2E85">
        <w:rPr>
          <w:szCs w:val="20"/>
        </w:rPr>
        <w:t xml:space="preserve"> of LTC-sourced income to two </w:t>
      </w:r>
      <w:r w:rsidR="00796EC3" w:rsidRPr="008E2E85">
        <w:rPr>
          <w:szCs w:val="20"/>
        </w:rPr>
        <w:t>beneficiaries</w:t>
      </w:r>
      <w:r w:rsidR="008E2E85">
        <w:rPr>
          <w:szCs w:val="20"/>
        </w:rPr>
        <w:t>.</w:t>
      </w:r>
    </w:p>
    <w:p w:rsidR="004C131B" w:rsidRPr="008E2E85" w:rsidRDefault="00700D79" w:rsidP="005E41A7">
      <w:pPr>
        <w:pStyle w:val="Exampletext"/>
        <w:pBdr>
          <w:top w:val="single" w:sz="4" w:space="10" w:color="auto"/>
          <w:left w:val="single" w:sz="4" w:space="10" w:color="auto"/>
          <w:bottom w:val="single" w:sz="4" w:space="10" w:color="auto"/>
          <w:right w:val="single" w:sz="4" w:space="10" w:color="auto"/>
        </w:pBdr>
        <w:rPr>
          <w:szCs w:val="20"/>
        </w:rPr>
      </w:pPr>
      <w:r w:rsidRPr="008E2E85">
        <w:rPr>
          <w:szCs w:val="20"/>
        </w:rPr>
        <w:sym w:font="Symbol" w:char="F0B7"/>
      </w:r>
      <w:r w:rsidR="004C131B" w:rsidRPr="008E2E85">
        <w:rPr>
          <w:szCs w:val="20"/>
        </w:rPr>
        <w:t xml:space="preserve"> </w:t>
      </w:r>
      <w:r w:rsidR="004C131B" w:rsidRPr="00D923A3">
        <w:rPr>
          <w:b/>
          <w:szCs w:val="20"/>
        </w:rPr>
        <w:t>201</w:t>
      </w:r>
      <w:r w:rsidR="00D923A3">
        <w:rPr>
          <w:b/>
          <w:szCs w:val="20"/>
        </w:rPr>
        <w:t>6</w:t>
      </w:r>
      <w:r w:rsidR="008E2E85">
        <w:rPr>
          <w:b/>
          <w:szCs w:val="20"/>
        </w:rPr>
        <w:t>–</w:t>
      </w:r>
      <w:r w:rsidR="004C131B" w:rsidRPr="00D923A3">
        <w:rPr>
          <w:b/>
          <w:szCs w:val="20"/>
        </w:rPr>
        <w:t>1</w:t>
      </w:r>
      <w:r w:rsidR="00D923A3">
        <w:rPr>
          <w:b/>
          <w:szCs w:val="20"/>
        </w:rPr>
        <w:t>7</w:t>
      </w:r>
      <w:r w:rsidR="004C131B" w:rsidRPr="00D923A3">
        <w:rPr>
          <w:b/>
          <w:szCs w:val="20"/>
        </w:rPr>
        <w:t xml:space="preserve"> income year:</w:t>
      </w:r>
      <w:r w:rsidR="004C131B" w:rsidRPr="008E2E85">
        <w:rPr>
          <w:szCs w:val="20"/>
        </w:rPr>
        <w:t xml:space="preserve"> Distribution of non-LTC sourced income to two beneficiaries</w:t>
      </w:r>
      <w:r w:rsidR="008E2E85">
        <w:rPr>
          <w:szCs w:val="20"/>
        </w:rPr>
        <w:t>.</w:t>
      </w:r>
    </w:p>
    <w:p w:rsidR="004C131B" w:rsidRDefault="004C131B" w:rsidP="005E41A7">
      <w:pPr>
        <w:pStyle w:val="Exampletext"/>
        <w:pBdr>
          <w:top w:val="single" w:sz="4" w:space="10" w:color="auto"/>
          <w:left w:val="single" w:sz="4" w:space="10" w:color="auto"/>
          <w:bottom w:val="single" w:sz="4" w:space="10" w:color="auto"/>
          <w:right w:val="single" w:sz="4" w:space="10" w:color="auto"/>
        </w:pBdr>
      </w:pPr>
      <w:r w:rsidRPr="008E2E85">
        <w:rPr>
          <w:szCs w:val="20"/>
        </w:rPr>
        <w:sym w:font="Symbol" w:char="F0B7"/>
      </w:r>
      <w:r w:rsidRPr="008E2E85">
        <w:rPr>
          <w:szCs w:val="20"/>
        </w:rPr>
        <w:t xml:space="preserve"> </w:t>
      </w:r>
      <w:r w:rsidRPr="00D923A3">
        <w:rPr>
          <w:b/>
          <w:szCs w:val="20"/>
        </w:rPr>
        <w:t>201</w:t>
      </w:r>
      <w:r w:rsidR="00D923A3">
        <w:rPr>
          <w:b/>
          <w:szCs w:val="20"/>
        </w:rPr>
        <w:t>7</w:t>
      </w:r>
      <w:r w:rsidR="008E2E85">
        <w:rPr>
          <w:b/>
          <w:szCs w:val="20"/>
        </w:rPr>
        <w:t>–</w:t>
      </w:r>
      <w:r w:rsidRPr="00D923A3">
        <w:rPr>
          <w:b/>
          <w:szCs w:val="20"/>
        </w:rPr>
        <w:t>1</w:t>
      </w:r>
      <w:r w:rsidR="00D923A3">
        <w:rPr>
          <w:b/>
          <w:szCs w:val="20"/>
        </w:rPr>
        <w:t>8</w:t>
      </w:r>
      <w:r w:rsidRPr="00D923A3">
        <w:rPr>
          <w:b/>
          <w:szCs w:val="20"/>
        </w:rPr>
        <w:t xml:space="preserve"> income year:</w:t>
      </w:r>
      <w:r>
        <w:t xml:space="preserve"> Distribution of non-LTC sourced income to two beneficiaries</w:t>
      </w:r>
      <w:r w:rsidR="008E2E85">
        <w:t>.</w:t>
      </w:r>
    </w:p>
    <w:p w:rsidR="00F73F78" w:rsidRDefault="00F73F78" w:rsidP="005E41A7">
      <w:pPr>
        <w:pStyle w:val="Exampletext"/>
        <w:pBdr>
          <w:top w:val="single" w:sz="4" w:space="10" w:color="auto"/>
          <w:left w:val="single" w:sz="4" w:space="10" w:color="auto"/>
          <w:bottom w:val="single" w:sz="4" w:space="10" w:color="auto"/>
          <w:right w:val="single" w:sz="4" w:space="10" w:color="auto"/>
        </w:pBdr>
      </w:pPr>
      <w:r w:rsidRPr="008E2E85">
        <w:rPr>
          <w:szCs w:val="20"/>
        </w:rPr>
        <w:sym w:font="Symbol" w:char="F0B7"/>
      </w:r>
      <w:r w:rsidRPr="008E2E85">
        <w:rPr>
          <w:szCs w:val="20"/>
        </w:rPr>
        <w:t xml:space="preserve"> </w:t>
      </w:r>
      <w:r w:rsidRPr="00D923A3">
        <w:rPr>
          <w:b/>
          <w:szCs w:val="20"/>
        </w:rPr>
        <w:t>2</w:t>
      </w:r>
      <w:r>
        <w:rPr>
          <w:b/>
          <w:szCs w:val="20"/>
        </w:rPr>
        <w:t xml:space="preserve">018–19 income </w:t>
      </w:r>
      <w:proofErr w:type="gramStart"/>
      <w:r>
        <w:rPr>
          <w:b/>
          <w:szCs w:val="20"/>
        </w:rPr>
        <w:t>year</w:t>
      </w:r>
      <w:proofErr w:type="gramEnd"/>
      <w:r>
        <w:rPr>
          <w:b/>
          <w:szCs w:val="20"/>
        </w:rPr>
        <w:t xml:space="preserve">: </w:t>
      </w:r>
      <w:r w:rsidRPr="00F73F78">
        <w:rPr>
          <w:szCs w:val="20"/>
        </w:rPr>
        <w:t>No distributions to date.</w:t>
      </w:r>
    </w:p>
    <w:p w:rsidR="004C131B" w:rsidRDefault="004C131B" w:rsidP="005E41A7">
      <w:pPr>
        <w:pStyle w:val="Exampletext"/>
        <w:pBdr>
          <w:top w:val="single" w:sz="4" w:space="10" w:color="auto"/>
          <w:left w:val="single" w:sz="4" w:space="10" w:color="auto"/>
          <w:bottom w:val="single" w:sz="4" w:space="10" w:color="auto"/>
          <w:right w:val="single" w:sz="4" w:space="10" w:color="auto"/>
        </w:pBdr>
      </w:pPr>
    </w:p>
    <w:p w:rsidR="004C131B" w:rsidRDefault="004C131B" w:rsidP="005E41A7">
      <w:pPr>
        <w:pStyle w:val="Exampletext"/>
        <w:pBdr>
          <w:top w:val="single" w:sz="4" w:space="10" w:color="auto"/>
          <w:left w:val="single" w:sz="4" w:space="10" w:color="auto"/>
          <w:bottom w:val="single" w:sz="4" w:space="10" w:color="auto"/>
          <w:right w:val="single" w:sz="4" w:space="10" w:color="auto"/>
        </w:pBdr>
      </w:pPr>
      <w:r>
        <w:t xml:space="preserve">All of the </w:t>
      </w:r>
      <w:r w:rsidR="00B12B60">
        <w:t>beneficiaries are separate individuals.</w:t>
      </w:r>
    </w:p>
    <w:p w:rsidR="004C131B" w:rsidRDefault="004C131B" w:rsidP="005E41A7">
      <w:pPr>
        <w:pStyle w:val="Exampletext"/>
        <w:pBdr>
          <w:top w:val="single" w:sz="4" w:space="10" w:color="auto"/>
          <w:left w:val="single" w:sz="4" w:space="10" w:color="auto"/>
          <w:bottom w:val="single" w:sz="4" w:space="10" w:color="auto"/>
          <w:right w:val="single" w:sz="4" w:space="10" w:color="auto"/>
        </w:pBdr>
      </w:pPr>
    </w:p>
    <w:p w:rsidR="004C131B" w:rsidRDefault="004C131B" w:rsidP="005E41A7">
      <w:pPr>
        <w:pStyle w:val="Exampletext"/>
        <w:pBdr>
          <w:top w:val="single" w:sz="4" w:space="10" w:color="auto"/>
          <w:left w:val="single" w:sz="4" w:space="10" w:color="auto"/>
          <w:bottom w:val="single" w:sz="4" w:space="10" w:color="auto"/>
          <w:right w:val="single" w:sz="4" w:space="10" w:color="auto"/>
        </w:pBdr>
      </w:pPr>
      <w:r>
        <w:t>For the 201</w:t>
      </w:r>
      <w:r w:rsidR="00D923A3">
        <w:t>8</w:t>
      </w:r>
      <w:r w:rsidR="008E2E85">
        <w:t>–</w:t>
      </w:r>
      <w:r>
        <w:t>1</w:t>
      </w:r>
      <w:r w:rsidR="00D923A3">
        <w:t>9</w:t>
      </w:r>
      <w:r>
        <w:t xml:space="preserve"> income </w:t>
      </w:r>
      <w:proofErr w:type="gramStart"/>
      <w:r>
        <w:t>year</w:t>
      </w:r>
      <w:proofErr w:type="gramEnd"/>
      <w:r>
        <w:t xml:space="preserve">, the LTC will have </w:t>
      </w:r>
      <w:r w:rsidR="008E2E85">
        <w:t>four</w:t>
      </w:r>
      <w:r>
        <w:t xml:space="preserve"> look-through counted owners.</w:t>
      </w:r>
      <w:r w:rsidR="008E2E85">
        <w:t xml:space="preserve"> </w:t>
      </w:r>
      <w:r>
        <w:t xml:space="preserve"> This is made up of the two beneficiaries </w:t>
      </w:r>
      <w:r w:rsidR="00406ACE">
        <w:t>who received</w:t>
      </w:r>
      <w:r>
        <w:t xml:space="preserve"> distributions in the 2</w:t>
      </w:r>
      <w:r w:rsidR="00406ACE">
        <w:t>01</w:t>
      </w:r>
      <w:r w:rsidR="00D923A3">
        <w:t>5</w:t>
      </w:r>
      <w:r w:rsidR="008E2E85">
        <w:t>–</w:t>
      </w:r>
      <w:r w:rsidR="00406ACE">
        <w:t>1</w:t>
      </w:r>
      <w:r w:rsidR="00D923A3">
        <w:t>6</w:t>
      </w:r>
      <w:r w:rsidR="00406ACE">
        <w:t xml:space="preserve"> income year and the two beneficiaries who received distributions in the 201</w:t>
      </w:r>
      <w:r w:rsidR="00D923A3">
        <w:t>7</w:t>
      </w:r>
      <w:r w:rsidR="008E2E85">
        <w:t>–</w:t>
      </w:r>
      <w:r w:rsidR="00406ACE">
        <w:t>1</w:t>
      </w:r>
      <w:r w:rsidR="00D923A3">
        <w:t>8</w:t>
      </w:r>
      <w:r w:rsidR="00406ACE">
        <w:t xml:space="preserve"> income year.</w:t>
      </w:r>
    </w:p>
    <w:p w:rsidR="00406ACE" w:rsidRDefault="00406ACE" w:rsidP="005E41A7">
      <w:pPr>
        <w:pStyle w:val="Exampletext"/>
        <w:pBdr>
          <w:top w:val="single" w:sz="4" w:space="10" w:color="auto"/>
          <w:left w:val="single" w:sz="4" w:space="10" w:color="auto"/>
          <w:bottom w:val="single" w:sz="4" w:space="10" w:color="auto"/>
          <w:right w:val="single" w:sz="4" w:space="10" w:color="auto"/>
        </w:pBdr>
      </w:pPr>
    </w:p>
    <w:p w:rsidR="004C131B" w:rsidRDefault="00406ACE" w:rsidP="005E41A7">
      <w:pPr>
        <w:pStyle w:val="Exampletext"/>
        <w:pBdr>
          <w:top w:val="single" w:sz="4" w:space="10" w:color="auto"/>
          <w:left w:val="single" w:sz="4" w:space="10" w:color="auto"/>
          <w:bottom w:val="single" w:sz="4" w:space="10" w:color="auto"/>
          <w:right w:val="single" w:sz="4" w:space="10" w:color="auto"/>
        </w:pBdr>
      </w:pPr>
      <w:r>
        <w:t>The two beneficiaries who received distributions in the 201</w:t>
      </w:r>
      <w:r w:rsidR="00D923A3">
        <w:t>6</w:t>
      </w:r>
      <w:r w:rsidR="002D1029">
        <w:t>–</w:t>
      </w:r>
      <w:r>
        <w:t>1</w:t>
      </w:r>
      <w:r w:rsidR="00D923A3">
        <w:t>7</w:t>
      </w:r>
      <w:r>
        <w:t xml:space="preserve"> income </w:t>
      </w:r>
      <w:proofErr w:type="gramStart"/>
      <w:r>
        <w:t>year</w:t>
      </w:r>
      <w:proofErr w:type="gramEnd"/>
      <w:r>
        <w:t xml:space="preserve"> are not look-through counted owners as distributions for the 201</w:t>
      </w:r>
      <w:r w:rsidR="00D923A3">
        <w:t>6</w:t>
      </w:r>
      <w:r w:rsidR="002D1029">
        <w:t>–</w:t>
      </w:r>
      <w:r>
        <w:t>1</w:t>
      </w:r>
      <w:r w:rsidR="00D923A3">
        <w:t>7</w:t>
      </w:r>
      <w:r>
        <w:t xml:space="preserve"> income year </w:t>
      </w:r>
      <w:r w:rsidR="00FA00A8">
        <w:t xml:space="preserve">are counted under the old rules which do not </w:t>
      </w:r>
      <w:r w:rsidR="006F53A3">
        <w:t>consider</w:t>
      </w:r>
      <w:r w:rsidR="00FA00A8">
        <w:t xml:space="preserve"> distributions of non-LTC sourced income.</w:t>
      </w:r>
    </w:p>
    <w:p w:rsidR="004C131B" w:rsidRDefault="004C131B" w:rsidP="004C131B"/>
    <w:p w:rsidR="00EA65AF" w:rsidRDefault="00EA65AF" w:rsidP="004C131B"/>
    <w:p w:rsidR="00395DB4" w:rsidRDefault="00395DB4" w:rsidP="00A93E1C">
      <w:pPr>
        <w:pStyle w:val="Heading3"/>
      </w:pPr>
      <w:r>
        <w:t>Corporate beneficiaries</w:t>
      </w:r>
    </w:p>
    <w:p w:rsidR="00395DB4" w:rsidRDefault="00395DB4" w:rsidP="001F3E9B"/>
    <w:p w:rsidR="00395DB4" w:rsidRPr="00E36545" w:rsidRDefault="002D1029" w:rsidP="00395DB4">
      <w:pPr>
        <w:rPr>
          <w:lang w:val="en-AU" w:eastAsia="en-US"/>
        </w:rPr>
      </w:pPr>
      <w:r>
        <w:rPr>
          <w:lang w:val="en-AU" w:eastAsia="en-US"/>
        </w:rPr>
        <w:t>Under the previous rules</w:t>
      </w:r>
      <w:r w:rsidR="00395DB4" w:rsidRPr="00E36545">
        <w:rPr>
          <w:lang w:val="en-AU" w:eastAsia="en-US"/>
        </w:rPr>
        <w:t>, a trust that own</w:t>
      </w:r>
      <w:r w:rsidR="002E3E30">
        <w:rPr>
          <w:lang w:val="en-AU" w:eastAsia="en-US"/>
        </w:rPr>
        <w:t>ed</w:t>
      </w:r>
      <w:r w:rsidR="00395DB4" w:rsidRPr="00E36545">
        <w:rPr>
          <w:lang w:val="en-AU" w:eastAsia="en-US"/>
        </w:rPr>
        <w:t xml:space="preserve"> a LTC interest </w:t>
      </w:r>
      <w:r w:rsidR="002E3E30">
        <w:rPr>
          <w:lang w:val="en-AU" w:eastAsia="en-US"/>
        </w:rPr>
        <w:t>could</w:t>
      </w:r>
      <w:r w:rsidR="00395DB4" w:rsidRPr="00E36545">
        <w:rPr>
          <w:lang w:val="en-AU" w:eastAsia="en-US"/>
        </w:rPr>
        <w:t xml:space="preserve"> have a corporate beneficiary but direct ownership by companies, other than other LTCs, </w:t>
      </w:r>
      <w:r w:rsidR="002E3E30">
        <w:rPr>
          <w:lang w:val="en-AU" w:eastAsia="en-US"/>
        </w:rPr>
        <w:t>was</w:t>
      </w:r>
      <w:r w:rsidR="00395DB4" w:rsidRPr="00E36545">
        <w:rPr>
          <w:lang w:val="en-AU" w:eastAsia="en-US"/>
        </w:rPr>
        <w:t xml:space="preserve"> expressly prohibited.</w:t>
      </w:r>
      <w:r w:rsidR="00395DB4" w:rsidRPr="00E36545">
        <w:rPr>
          <w:rFonts w:ascii="Arial" w:hAnsi="Arial"/>
          <w:sz w:val="22"/>
          <w:lang w:val="en-AU" w:eastAsia="en-US"/>
        </w:rPr>
        <w:t xml:space="preserve"> </w:t>
      </w:r>
      <w:r w:rsidR="00395DB4" w:rsidRPr="00E36545">
        <w:rPr>
          <w:lang w:val="en-AU" w:eastAsia="en-US"/>
        </w:rPr>
        <w:t xml:space="preserve"> The trust </w:t>
      </w:r>
      <w:r w:rsidR="002E3E30">
        <w:rPr>
          <w:lang w:val="en-AU" w:eastAsia="en-US"/>
        </w:rPr>
        <w:t>was</w:t>
      </w:r>
      <w:r w:rsidR="00395DB4" w:rsidRPr="00E36545">
        <w:rPr>
          <w:lang w:val="en-AU" w:eastAsia="en-US"/>
        </w:rPr>
        <w:t xml:space="preserve"> looked through and the shareholders of the corporate beneficiary counted if it receive</w:t>
      </w:r>
      <w:r w:rsidR="002E3E30">
        <w:rPr>
          <w:lang w:val="en-AU" w:eastAsia="en-US"/>
        </w:rPr>
        <w:t>d</w:t>
      </w:r>
      <w:r w:rsidR="00395DB4" w:rsidRPr="00E36545">
        <w:rPr>
          <w:lang w:val="en-AU" w:eastAsia="en-US"/>
        </w:rPr>
        <w:t xml:space="preserve"> any beneficiary income.  This, coupled with the way that the number of owners </w:t>
      </w:r>
      <w:r w:rsidR="00737828">
        <w:rPr>
          <w:lang w:val="en-AU" w:eastAsia="en-US"/>
        </w:rPr>
        <w:t xml:space="preserve">was </w:t>
      </w:r>
      <w:r w:rsidR="00395DB4" w:rsidRPr="00E36545">
        <w:rPr>
          <w:lang w:val="en-AU" w:eastAsia="en-US"/>
        </w:rPr>
        <w:t>determined for trusts, unintentionally provide</w:t>
      </w:r>
      <w:r w:rsidR="00737828">
        <w:rPr>
          <w:lang w:val="en-AU" w:eastAsia="en-US"/>
        </w:rPr>
        <w:t>d</w:t>
      </w:r>
      <w:r w:rsidR="00395DB4" w:rsidRPr="00E36545">
        <w:rPr>
          <w:lang w:val="en-AU" w:eastAsia="en-US"/>
        </w:rPr>
        <w:t xml:space="preserve"> widely</w:t>
      </w:r>
      <w:r w:rsidR="00395DB4">
        <w:rPr>
          <w:lang w:val="en-AU" w:eastAsia="en-US"/>
        </w:rPr>
        <w:t xml:space="preserve"> </w:t>
      </w:r>
      <w:r w:rsidR="00395DB4" w:rsidRPr="00E36545">
        <w:rPr>
          <w:lang w:val="en-AU" w:eastAsia="en-US"/>
        </w:rPr>
        <w:t>held non-LTC corporates with a way to circumvent the prohibition on direct ownership.</w:t>
      </w:r>
      <w:r w:rsidR="00395DB4">
        <w:rPr>
          <w:lang w:val="en-AU" w:eastAsia="en-US"/>
        </w:rPr>
        <w:t xml:space="preserve"> </w:t>
      </w:r>
      <w:r w:rsidR="00737828">
        <w:rPr>
          <w:lang w:val="en-AU" w:eastAsia="en-US"/>
        </w:rPr>
        <w:t xml:space="preserve"> </w:t>
      </w:r>
      <w:r w:rsidR="007316A0">
        <w:rPr>
          <w:lang w:val="en-AU" w:eastAsia="en-US"/>
        </w:rPr>
        <w:t xml:space="preserve">This </w:t>
      </w:r>
      <w:r w:rsidR="00737828">
        <w:rPr>
          <w:lang w:val="en-AU" w:eastAsia="en-US"/>
        </w:rPr>
        <w:t xml:space="preserve">could </w:t>
      </w:r>
      <w:r w:rsidR="007316A0">
        <w:rPr>
          <w:lang w:val="en-AU" w:eastAsia="en-US"/>
        </w:rPr>
        <w:t>be used to obtain inappropriate tax advantages.</w:t>
      </w:r>
    </w:p>
    <w:p w:rsidR="00395DB4" w:rsidRPr="00E36545" w:rsidRDefault="00395DB4" w:rsidP="00395DB4">
      <w:pPr>
        <w:rPr>
          <w:lang w:val="en-AU" w:eastAsia="en-US"/>
        </w:rPr>
      </w:pPr>
    </w:p>
    <w:p w:rsidR="00395DB4" w:rsidRDefault="00395DB4" w:rsidP="00395DB4">
      <w:pPr>
        <w:rPr>
          <w:lang w:val="en-AU" w:eastAsia="en-US"/>
        </w:rPr>
      </w:pPr>
      <w:r w:rsidRPr="00E36545">
        <w:rPr>
          <w:lang w:val="en-AU" w:eastAsia="en-US"/>
        </w:rPr>
        <w:t xml:space="preserve">The definition of “look-through </w:t>
      </w:r>
      <w:proofErr w:type="gramStart"/>
      <w:r w:rsidRPr="00E36545">
        <w:rPr>
          <w:lang w:val="en-AU" w:eastAsia="en-US"/>
        </w:rPr>
        <w:t>company</w:t>
      </w:r>
      <w:proofErr w:type="gramEnd"/>
      <w:r w:rsidRPr="00E36545">
        <w:rPr>
          <w:lang w:val="en-AU" w:eastAsia="en-US"/>
        </w:rPr>
        <w:t xml:space="preserve">” </w:t>
      </w:r>
      <w:r>
        <w:rPr>
          <w:lang w:val="en-AU" w:eastAsia="en-US"/>
        </w:rPr>
        <w:t>has been</w:t>
      </w:r>
      <w:r w:rsidRPr="00E36545">
        <w:rPr>
          <w:lang w:val="en-AU" w:eastAsia="en-US"/>
        </w:rPr>
        <w:t xml:space="preserve"> amended to expressly prohibit trusts </w:t>
      </w:r>
      <w:r w:rsidR="00737828">
        <w:rPr>
          <w:lang w:val="en-AU" w:eastAsia="en-US"/>
        </w:rPr>
        <w:t>that</w:t>
      </w:r>
      <w:r w:rsidRPr="00E36545">
        <w:rPr>
          <w:lang w:val="en-AU" w:eastAsia="en-US"/>
        </w:rPr>
        <w:t xml:space="preserve"> own LTCs from making distributions to corporate beneficiaries</w:t>
      </w:r>
      <w:r>
        <w:rPr>
          <w:lang w:val="en-AU" w:eastAsia="en-US"/>
        </w:rPr>
        <w:t xml:space="preserve"> either directly or indirectly</w:t>
      </w:r>
      <w:r w:rsidRPr="00E36545">
        <w:rPr>
          <w:lang w:val="en-AU" w:eastAsia="en-US"/>
        </w:rPr>
        <w:t>.</w:t>
      </w:r>
    </w:p>
    <w:p w:rsidR="00395DB4" w:rsidRDefault="00395DB4" w:rsidP="00395DB4">
      <w:pPr>
        <w:rPr>
          <w:lang w:val="en-AU" w:eastAsia="en-US"/>
        </w:rPr>
      </w:pPr>
    </w:p>
    <w:p w:rsidR="00395DB4" w:rsidRPr="00E36545" w:rsidRDefault="00395DB4" w:rsidP="00395DB4">
      <w:pPr>
        <w:rPr>
          <w:lang w:val="en-AU" w:eastAsia="en-US"/>
        </w:rPr>
      </w:pPr>
      <w:r w:rsidRPr="00E36545">
        <w:rPr>
          <w:lang w:val="en-AU" w:eastAsia="en-US"/>
        </w:rPr>
        <w:t>This approach in effect allows for grandparenting of current structures involving corporate beneficiaries, by not expressly prohibiting LTC</w:t>
      </w:r>
      <w:r w:rsidR="00281F54">
        <w:rPr>
          <w:lang w:val="en-AU" w:eastAsia="en-US"/>
        </w:rPr>
        <w:t>-</w:t>
      </w:r>
      <w:r w:rsidRPr="00E36545">
        <w:rPr>
          <w:lang w:val="en-AU" w:eastAsia="en-US"/>
        </w:rPr>
        <w:t>owning trusts from having corporate beneficiaries</w:t>
      </w:r>
      <w:r w:rsidR="007800C2">
        <w:rPr>
          <w:lang w:val="en-AU" w:eastAsia="en-US"/>
        </w:rPr>
        <w:t xml:space="preserve"> (so long as the trust does not make further distributions to the company)</w:t>
      </w:r>
      <w:r w:rsidRPr="00E36545">
        <w:rPr>
          <w:lang w:val="en-AU" w:eastAsia="en-US"/>
        </w:rPr>
        <w:t xml:space="preserve"> while strengthening the prohibition on ownership of LTCs by standard companies.</w:t>
      </w:r>
    </w:p>
    <w:p w:rsidR="00395DB4" w:rsidRDefault="00395DB4" w:rsidP="001F3E9B"/>
    <w:p w:rsidR="005E41A7" w:rsidRDefault="005E41A7">
      <w:pPr>
        <w:jc w:val="left"/>
      </w:pPr>
      <w:r>
        <w:br w:type="page"/>
      </w:r>
    </w:p>
    <w:p w:rsidR="00395DB4" w:rsidRPr="00544040" w:rsidRDefault="00395DB4" w:rsidP="00395DB4">
      <w:pPr>
        <w:pStyle w:val="Exampleheading"/>
        <w:pBdr>
          <w:top w:val="single" w:sz="4" w:space="10" w:color="auto"/>
          <w:left w:val="single" w:sz="4" w:space="10" w:color="auto"/>
          <w:bottom w:val="single" w:sz="4" w:space="10" w:color="auto"/>
          <w:right w:val="single" w:sz="4" w:space="10" w:color="auto"/>
        </w:pBdr>
      </w:pPr>
      <w:r w:rsidRPr="00544040">
        <w:lastRenderedPageBreak/>
        <w:t>Example</w:t>
      </w:r>
      <w:r w:rsidR="00A93E1C">
        <w:t xml:space="preserve">:  </w:t>
      </w:r>
      <w:r w:rsidRPr="00544040">
        <w:t>Indirectly a beneficiary of the trust</w:t>
      </w:r>
    </w:p>
    <w:p w:rsidR="00395DB4" w:rsidRPr="00EA65AF" w:rsidRDefault="00395DB4" w:rsidP="00395DB4">
      <w:pPr>
        <w:pStyle w:val="Exampleheading"/>
        <w:pBdr>
          <w:top w:val="single" w:sz="4" w:space="10" w:color="auto"/>
          <w:left w:val="single" w:sz="4" w:space="10" w:color="auto"/>
          <w:bottom w:val="single" w:sz="4" w:space="10" w:color="auto"/>
          <w:right w:val="single" w:sz="4" w:space="10" w:color="auto"/>
        </w:pBdr>
        <w:rPr>
          <w:b w:val="0"/>
        </w:rPr>
      </w:pPr>
    </w:p>
    <w:p w:rsidR="00395DB4" w:rsidRPr="00544040" w:rsidRDefault="00395DB4" w:rsidP="00395DB4">
      <w:pPr>
        <w:pStyle w:val="Exampletext"/>
        <w:pBdr>
          <w:top w:val="single" w:sz="4" w:space="10" w:color="auto"/>
          <w:left w:val="single" w:sz="4" w:space="10" w:color="auto"/>
          <w:bottom w:val="single" w:sz="4" w:space="10" w:color="auto"/>
          <w:right w:val="single" w:sz="4" w:space="10" w:color="auto"/>
        </w:pBdr>
      </w:pPr>
      <w:r w:rsidRPr="00544040">
        <w:rPr>
          <w:noProof/>
        </w:rPr>
        <mc:AlternateContent>
          <mc:Choice Requires="wpc">
            <w:drawing>
              <wp:inline distT="0" distB="0" distL="0" distR="0" wp14:anchorId="41F277D7" wp14:editId="0DEC4C59">
                <wp:extent cx="5400675" cy="3133725"/>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5" name="Text Box 26"/>
                        <wps:cNvSpPr txBox="1"/>
                        <wps:spPr>
                          <a:xfrm>
                            <a:off x="2737463" y="485775"/>
                            <a:ext cx="672465"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Default="0050054A" w:rsidP="00395DB4">
                              <w:pPr>
                                <w:pStyle w:val="NormalWeb"/>
                                <w:spacing w:before="0" w:beforeAutospacing="0" w:after="0" w:afterAutospacing="0"/>
                                <w:jc w:val="both"/>
                              </w:pPr>
                              <w:r>
                                <w:rPr>
                                  <w:rFonts w:eastAsia="Times New Roman"/>
                                  <w:sz w:val="16"/>
                                  <w:szCs w:val="16"/>
                                </w:rPr>
                                <w:t>$100,000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26"/>
                        <wps:cNvSpPr txBox="1"/>
                        <wps:spPr>
                          <a:xfrm>
                            <a:off x="2718413" y="1342044"/>
                            <a:ext cx="672465"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Default="0050054A" w:rsidP="00395DB4">
                              <w:pPr>
                                <w:pStyle w:val="NormalWeb"/>
                                <w:spacing w:before="0" w:beforeAutospacing="0" w:after="0" w:afterAutospacing="0"/>
                                <w:jc w:val="both"/>
                              </w:pPr>
                              <w:r>
                                <w:rPr>
                                  <w:rFonts w:eastAsia="Times New Roman"/>
                                  <w:sz w:val="16"/>
                                  <w:szCs w:val="16"/>
                                </w:rPr>
                                <w:t>$100,000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718413" y="2206446"/>
                            <a:ext cx="672487" cy="294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Pr="007A174E" w:rsidRDefault="0050054A" w:rsidP="00395DB4">
                              <w:pPr>
                                <w:rPr>
                                  <w:sz w:val="16"/>
                                  <w:szCs w:val="16"/>
                                </w:rPr>
                              </w:pPr>
                              <w:r>
                                <w:rPr>
                                  <w:sz w:val="16"/>
                                  <w:szCs w:val="16"/>
                                </w:rPr>
                                <w:t>$100,000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Isosceles Triangle 28"/>
                        <wps:cNvSpPr/>
                        <wps:spPr>
                          <a:xfrm>
                            <a:off x="2361225" y="693359"/>
                            <a:ext cx="752475" cy="64868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Pr="00FB325B" w:rsidRDefault="0050054A" w:rsidP="00395DB4">
                              <w:pPr>
                                <w:jc w:val="center"/>
                                <w:rPr>
                                  <w:color w:val="000000" w:themeColor="text1"/>
                                  <w:sz w:val="16"/>
                                  <w:szCs w:val="16"/>
                                </w:rPr>
                              </w:pPr>
                              <w:r w:rsidRPr="00FB325B">
                                <w:rPr>
                                  <w:color w:val="000000" w:themeColor="text1"/>
                                  <w:sz w:val="16"/>
                                  <w:szCs w:val="16"/>
                                </w:rPr>
                                <w:t>Trus</w:t>
                              </w:r>
                              <w:r>
                                <w:rPr>
                                  <w:color w:val="000000" w:themeColor="text1"/>
                                  <w:sz w:val="16"/>
                                  <w:szCs w:val="16"/>
                                </w:rPr>
                                <w:t>t C</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s:wsp>
                        <wps:cNvPr id="30" name="Rectangle 30"/>
                        <wps:cNvSpPr/>
                        <wps:spPr>
                          <a:xfrm>
                            <a:off x="2370750" y="116167"/>
                            <a:ext cx="733425" cy="3696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Pr="007A174E" w:rsidRDefault="0050054A" w:rsidP="00395DB4">
                              <w:pPr>
                                <w:pStyle w:val="NormalWeb"/>
                                <w:spacing w:before="0" w:beforeAutospacing="0" w:after="0" w:afterAutospacing="0"/>
                                <w:jc w:val="center"/>
                                <w:rPr>
                                  <w:rFonts w:eastAsia="Times New Roman"/>
                                  <w:color w:val="000000"/>
                                  <w:sz w:val="16"/>
                                  <w:szCs w:val="16"/>
                                </w:rPr>
                              </w:pPr>
                              <w:r>
                                <w:rPr>
                                  <w:rFonts w:eastAsia="Times New Roman"/>
                                  <w:color w:val="000000"/>
                                  <w:sz w:val="16"/>
                                  <w:szCs w:val="16"/>
                                </w:rPr>
                                <w:t>Company Y</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33" name="Rectangle 33"/>
                        <wps:cNvSpPr/>
                        <wps:spPr>
                          <a:xfrm>
                            <a:off x="2370750" y="2417386"/>
                            <a:ext cx="733425" cy="381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Pr="007A174E" w:rsidRDefault="0050054A" w:rsidP="00395DB4">
                              <w:pPr>
                                <w:jc w:val="center"/>
                                <w:rPr>
                                  <w:color w:val="000000" w:themeColor="text1"/>
                                  <w:sz w:val="16"/>
                                  <w:szCs w:val="16"/>
                                </w:rPr>
                              </w:pPr>
                              <w:r>
                                <w:rPr>
                                  <w:color w:val="000000" w:themeColor="text1"/>
                                  <w:sz w:val="16"/>
                                  <w:szCs w:val="16"/>
                                </w:rPr>
                                <w:t>Company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a:stCxn id="28" idx="0"/>
                          <a:endCxn id="30" idx="2"/>
                        </wps:cNvCnPr>
                        <wps:spPr>
                          <a:xfrm flipV="1">
                            <a:off x="2737463" y="485775"/>
                            <a:ext cx="0" cy="20758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Isosceles Triangle 41"/>
                        <wps:cNvSpPr/>
                        <wps:spPr>
                          <a:xfrm>
                            <a:off x="2361225" y="1493469"/>
                            <a:ext cx="752475" cy="64833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395DB4">
                              <w:pPr>
                                <w:pStyle w:val="NormalWeb"/>
                                <w:spacing w:before="0" w:beforeAutospacing="0" w:after="0" w:afterAutospacing="0"/>
                                <w:jc w:val="center"/>
                              </w:pPr>
                              <w:r>
                                <w:rPr>
                                  <w:rFonts w:eastAsia="Times New Roman"/>
                                  <w:color w:val="000000"/>
                                  <w:sz w:val="16"/>
                                  <w:szCs w:val="16"/>
                                </w:rPr>
                                <w:t>Trust B</w:t>
                              </w:r>
                            </w:p>
                          </w:txbxContent>
                        </wps:txbx>
                        <wps:bodyPr rot="0" spcFirstLastPara="0" vert="horz" wrap="square" lIns="0" tIns="0" rIns="0" bIns="45720" numCol="1" spcCol="0" rtlCol="0" fromWordArt="0" anchor="t" anchorCtr="0" forceAA="0" compatLnSpc="1">
                          <a:prstTxWarp prst="textNoShape">
                            <a:avLst/>
                          </a:prstTxWarp>
                          <a:noAutofit/>
                        </wps:bodyPr>
                      </wps:wsp>
                      <wps:wsp>
                        <wps:cNvPr id="42" name="Straight Arrow Connector 42"/>
                        <wps:cNvCnPr>
                          <a:stCxn id="33" idx="0"/>
                          <a:endCxn id="41" idx="3"/>
                        </wps:cNvCnPr>
                        <wps:spPr>
                          <a:xfrm flipV="1">
                            <a:off x="2737463" y="2141804"/>
                            <a:ext cx="0" cy="27558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a:stCxn id="41" idx="0"/>
                          <a:endCxn id="28" idx="3"/>
                        </wps:cNvCnPr>
                        <wps:spPr>
                          <a:xfrm flipV="1">
                            <a:off x="2737463" y="1342044"/>
                            <a:ext cx="0" cy="151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0" o:spid="_x0000_s1026" editas="canvas" style="width:425.25pt;height:246.75pt;mso-position-horizontal-relative:char;mso-position-vertical-relative:line" coordsize="54006,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6;height:31337;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27374;top:4857;width:672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50054A" w:rsidRDefault="0050054A" w:rsidP="00395DB4">
                        <w:pPr>
                          <w:pStyle w:val="NormalWeb"/>
                          <w:spacing w:before="0" w:beforeAutospacing="0" w:after="0" w:afterAutospacing="0"/>
                          <w:jc w:val="both"/>
                        </w:pPr>
                        <w:r>
                          <w:rPr>
                            <w:rFonts w:eastAsia="Times New Roman"/>
                            <w:sz w:val="16"/>
                            <w:szCs w:val="16"/>
                          </w:rPr>
                          <w:t>$100,000</w:t>
                        </w:r>
                      </w:p>
                    </w:txbxContent>
                  </v:textbox>
                </v:shape>
                <v:shape id="Text Box 26" o:spid="_x0000_s1029" type="#_x0000_t202" style="position:absolute;left:27184;top:13420;width:672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uxsYA&#10;AADbAAAADwAAAGRycy9kb3ducmV2LnhtbESPT2vCQBTE70K/w/IKXopu6t8SXUWkteJNoy29PbLP&#10;JDT7NmS3Sfz23ULB4zAzv2GW686UoqHaFZYVPA8jEMSp1QVnCs7J2+AFhPPIGkvLpOBGDtarh94S&#10;Y21bPlJz8pkIEHYxKsi9r2IpXZqTQTe0FXHwrrY26IOsM6lrbAPclHIURTNpsOCwkGNF25zS79OP&#10;UfD1lH0eXLe7tOPpuHp9b5L5h06U6j92mwUIT52/h//be61gM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uxsYAAADbAAAADwAAAAAAAAAAAAAAAACYAgAAZHJz&#10;L2Rvd25yZXYueG1sUEsFBgAAAAAEAAQA9QAAAIsDAAAAAA==&#10;" fillcolor="white [3201]" stroked="f" strokeweight=".5pt">
                  <v:textbox>
                    <w:txbxContent>
                      <w:p w:rsidR="0050054A" w:rsidRDefault="0050054A" w:rsidP="00395DB4">
                        <w:pPr>
                          <w:pStyle w:val="NormalWeb"/>
                          <w:spacing w:before="0" w:beforeAutospacing="0" w:after="0" w:afterAutospacing="0"/>
                          <w:jc w:val="both"/>
                        </w:pPr>
                        <w:r>
                          <w:rPr>
                            <w:rFonts w:eastAsia="Times New Roman"/>
                            <w:sz w:val="16"/>
                            <w:szCs w:val="16"/>
                          </w:rPr>
                          <w:t>$100,000</w:t>
                        </w:r>
                      </w:p>
                    </w:txbxContent>
                  </v:textbox>
                </v:shape>
                <v:shape id="Text Box 26" o:spid="_x0000_s1030" type="#_x0000_t202" style="position:absolute;left:27184;top:22064;width:6725;height:2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50054A" w:rsidRPr="007A174E" w:rsidRDefault="0050054A" w:rsidP="00395DB4">
                        <w:pPr>
                          <w:rPr>
                            <w:sz w:val="16"/>
                            <w:szCs w:val="16"/>
                          </w:rPr>
                        </w:pPr>
                        <w:r>
                          <w:rPr>
                            <w:sz w:val="16"/>
                            <w:szCs w:val="16"/>
                          </w:rPr>
                          <w:t>$100,000</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31" type="#_x0000_t5" style="position:absolute;left:23612;top:6933;width:7525;height:6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UMMMA&#10;AADbAAAADwAAAGRycy9kb3ducmV2LnhtbERPy2oCMRTdF/oP4QrdlJpRpI/RKFYULLjoqFDcXSbX&#10;ydDJzZBEZ/x7syh0eTjv2aK3jbiSD7VjBaNhBoK4dLrmSsHxsHl5BxEissbGMSm4UYDF/PFhhrl2&#10;HRd03cdKpBAOOSowMba5lKE0ZDEMXUucuLPzFmOCvpLaY5fCbSPHWfYqLdacGgy2tDJU/u4vVsF6&#10;7U8f5deu6L7NbbLqf/zz5+ZNqadBv5yCiNTHf/Gfe6sVjNPY9C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2UMMMAAADbAAAADwAAAAAAAAAAAAAAAACYAgAAZHJzL2Rv&#10;d25yZXYueG1sUEsFBgAAAAAEAAQA9QAAAIgDAAAAAA==&#10;" filled="f" strokecolor="black [3213]" strokeweight="1pt">
                  <v:textbox inset="0,0,0">
                    <w:txbxContent>
                      <w:p w:rsidR="0050054A" w:rsidRPr="00FB325B" w:rsidRDefault="0050054A" w:rsidP="00395DB4">
                        <w:pPr>
                          <w:jc w:val="center"/>
                          <w:rPr>
                            <w:color w:val="000000" w:themeColor="text1"/>
                            <w:sz w:val="16"/>
                            <w:szCs w:val="16"/>
                          </w:rPr>
                        </w:pPr>
                        <w:r w:rsidRPr="00FB325B">
                          <w:rPr>
                            <w:color w:val="000000" w:themeColor="text1"/>
                            <w:sz w:val="16"/>
                            <w:szCs w:val="16"/>
                          </w:rPr>
                          <w:t>Trus</w:t>
                        </w:r>
                        <w:r>
                          <w:rPr>
                            <w:color w:val="000000" w:themeColor="text1"/>
                            <w:sz w:val="16"/>
                            <w:szCs w:val="16"/>
                          </w:rPr>
                          <w:t>t C</w:t>
                        </w:r>
                      </w:p>
                    </w:txbxContent>
                  </v:textbox>
                </v:shape>
                <v:rect id="Rectangle 30" o:spid="_x0000_s1032" style="position:absolute;left:23707;top:1161;width:7334;height:3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svsEA&#10;AADbAAAADwAAAGRycy9kb3ducmV2LnhtbERPu2rDMBTdA/kHcQNZQizXBRNcy6EEAl1CqNOh48W6&#10;tU2tK2PJj/TrqyGQ8XDe+XExnZhocK1lBS9RDIK4srrlWsHX7bw/gHAeWWNnmRTcycGxWK9yzLSd&#10;+ZOm0tcihLDLUEHjfZ9J6aqGDLrI9sSB+7GDQR/gUEs94BzCTSeTOE6lwZZDQ4M9nRqqfsvRKDDJ&#10;MpeX8f5t0+tfPHM37iZDSm03y/sbCE+Lf4of7g+t4DWsD1/C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krL7BAAAA2wAAAA8AAAAAAAAAAAAAAAAAmAIAAGRycy9kb3du&#10;cmV2LnhtbFBLBQYAAAAABAAEAPUAAACGAwAAAAA=&#10;" filled="f" strokecolor="black [3213]" strokeweight="1pt">
                  <v:textbox inset="0,,0">
                    <w:txbxContent>
                      <w:p w:rsidR="0050054A" w:rsidRPr="007A174E" w:rsidRDefault="0050054A" w:rsidP="00395DB4">
                        <w:pPr>
                          <w:pStyle w:val="NormalWeb"/>
                          <w:spacing w:before="0" w:beforeAutospacing="0" w:after="0" w:afterAutospacing="0"/>
                          <w:jc w:val="center"/>
                          <w:rPr>
                            <w:rFonts w:eastAsia="Times New Roman"/>
                            <w:color w:val="000000"/>
                            <w:sz w:val="16"/>
                            <w:szCs w:val="16"/>
                          </w:rPr>
                        </w:pPr>
                        <w:r>
                          <w:rPr>
                            <w:rFonts w:eastAsia="Times New Roman"/>
                            <w:color w:val="000000"/>
                            <w:sz w:val="16"/>
                            <w:szCs w:val="16"/>
                          </w:rPr>
                          <w:t>Company Y</w:t>
                        </w:r>
                      </w:p>
                    </w:txbxContent>
                  </v:textbox>
                </v:rect>
                <v:rect id="Rectangle 33" o:spid="_x0000_s1033" style="position:absolute;left:23707;top:24173;width:733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UgsYA&#10;AADbAAAADwAAAGRycy9kb3ducmV2LnhtbESPT2vCQBTE74V+h+UVvIhuVCg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jUgsYAAADbAAAADwAAAAAAAAAAAAAAAACYAgAAZHJz&#10;L2Rvd25yZXYueG1sUEsFBgAAAAAEAAQA9QAAAIsDAAAAAA==&#10;" filled="f" strokecolor="black [3213]" strokeweight="1pt">
                  <v:textbox>
                    <w:txbxContent>
                      <w:p w:rsidR="0050054A" w:rsidRPr="007A174E" w:rsidRDefault="0050054A" w:rsidP="00395DB4">
                        <w:pPr>
                          <w:jc w:val="center"/>
                          <w:rPr>
                            <w:color w:val="000000" w:themeColor="text1"/>
                            <w:sz w:val="16"/>
                            <w:szCs w:val="16"/>
                          </w:rPr>
                        </w:pPr>
                        <w:r>
                          <w:rPr>
                            <w:color w:val="000000" w:themeColor="text1"/>
                            <w:sz w:val="16"/>
                            <w:szCs w:val="16"/>
                          </w:rPr>
                          <w:t>Company X</w:t>
                        </w:r>
                      </w:p>
                    </w:txbxContent>
                  </v:textbox>
                </v:rect>
                <v:shapetype id="_x0000_t32" coordsize="21600,21600" o:spt="32" o:oned="t" path="m,l21600,21600e" filled="f">
                  <v:path arrowok="t" fillok="f" o:connecttype="none"/>
                  <o:lock v:ext="edit" shapetype="t"/>
                </v:shapetype>
                <v:shape id="Straight Arrow Connector 36" o:spid="_x0000_s1034" type="#_x0000_t32" style="position:absolute;left:27374;top:4857;width:0;height:20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I98EAAADbAAAADwAAAGRycy9kb3ducmV2LnhtbESP3WoCMRCF7wu+QxihdzXblopszYpo&#10;hd5Zfx5guhk32W4mSxJ1+/amUPDycH4+znwxuE5cKETrWcHzpABBXHttuVFwPGyeZiBiQtbYeSYF&#10;vxRhUY0e5lhqf+UdXfapEXmEY4kKTEp9KWWsDTmME98TZ+/kg8OUZWikDnjN466TL0UxlQ4tZ4LB&#10;nlaG6p/92WXu0rZv66C5/vhu7VcwuD11qNTjeFi+g0g0pHv4v/2pFbxO4e9L/gGy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sQj3wQAAANsAAAAPAAAAAAAAAAAAAAAA&#10;AKECAABkcnMvZG93bnJldi54bWxQSwUGAAAAAAQABAD5AAAAjwMAAAAA&#10;" strokecolor="black [3213]">
                  <v:stroke endarrow="open"/>
                </v:shape>
                <v:shape id="Isosceles Triangle 41" o:spid="_x0000_s1035" type="#_x0000_t5" style="position:absolute;left:23612;top:14934;width:7525;height:6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YDcYA&#10;AADbAAAADwAAAGRycy9kb3ducmV2LnhtbESPT2sCMRTE74LfITyhl6JZi7R2a5RWFCp4qH+g9PbY&#10;PDeLm5clSd3125tCweMwM79hZovO1uJCPlSOFYxHGQjiwumKSwXHw3o4BREissbaMSm4UoDFvN+b&#10;Ya5dyzu67GMpEoRDjgpMjE0uZSgMWQwj1xAn7+S8xZikL6X22Ca4reVTlj1LixWnBYMNLQ0V5/2v&#10;VbBa+Z/XYrPdtV/mOll23/7xY/2i1MOge38DEamL9/B/+1MrmIzh70v6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jYDcYAAADbAAAADwAAAAAAAAAAAAAAAACYAgAAZHJz&#10;L2Rvd25yZXYueG1sUEsFBgAAAAAEAAQA9QAAAIsDAAAAAA==&#10;" filled="f" strokecolor="black [3213]" strokeweight="1pt">
                  <v:textbox inset="0,0,0">
                    <w:txbxContent>
                      <w:p w:rsidR="0050054A" w:rsidRDefault="0050054A" w:rsidP="00395DB4">
                        <w:pPr>
                          <w:pStyle w:val="NormalWeb"/>
                          <w:spacing w:before="0" w:beforeAutospacing="0" w:after="0" w:afterAutospacing="0"/>
                          <w:jc w:val="center"/>
                        </w:pPr>
                        <w:r>
                          <w:rPr>
                            <w:rFonts w:eastAsia="Times New Roman"/>
                            <w:color w:val="000000"/>
                            <w:sz w:val="16"/>
                            <w:szCs w:val="16"/>
                          </w:rPr>
                          <w:t>Trust B</w:t>
                        </w:r>
                      </w:p>
                    </w:txbxContent>
                  </v:textbox>
                </v:shape>
                <v:shape id="Straight Arrow Connector 42" o:spid="_x0000_s1036" type="#_x0000_t32" style="position:absolute;left:27374;top:21418;width:0;height:27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x9icAAAADbAAAADwAAAGRycy9kb3ducmV2LnhtbESP3WoCMRCF7wu+QxjBu5pVbJHVKKIV&#10;vGurPsC4GTfRzWRJUt2+fVMQvDycn48zX3auETcK0XpWMBoWIIgrry3XCo6H7esUREzIGhvPpOCX&#10;IiwXvZc5ltrf+Ztu+1SLPMKxRAUmpbaUMlaGHMahb4mzd/bBYcoy1FIHvOdx18hxUbxLh5YzwWBL&#10;a0PVdf/jMndlL2+boLn6OF3sVzD4eW5QqUG/W81AJOrSM/xo77SCyRj+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MfYnAAAAA2wAAAA8AAAAAAAAAAAAAAAAA&#10;oQIAAGRycy9kb3ducmV2LnhtbFBLBQYAAAAABAAEAPkAAACOAwAAAAA=&#10;" strokecolor="black [3213]">
                  <v:stroke endarrow="open"/>
                </v:shape>
                <v:shape id="Straight Arrow Connector 43" o:spid="_x0000_s1037" type="#_x0000_t32" style="position:absolute;left:27374;top:13420;width:0;height:15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YEsEAAADbAAAADwAAAGRycy9kb3ducmV2LnhtbESP3WoCMRCF7wu+QxihdzVbtSJbo4ha&#10;6J315wGmm3ETu5ksSdTt2xuh0MvD+fk4s0XnGnGlEK1nBa+DAgRx5bXlWsHx8PEyBRETssbGMyn4&#10;pQiLee9phqX2N97RdZ9qkUc4lqjApNSWUsbKkMM48C1x9k4+OExZhlrqgLc87ho5LIqJdGg5Ewy2&#10;tDJU/ewvLnOX9vy2DpqrzffZfgWD21ODSj33u+U7iERd+g//tT+1gvEI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NgSwQAAANsAAAAPAAAAAAAAAAAAAAAA&#10;AKECAABkcnMvZG93bnJldi54bWxQSwUGAAAAAAQABAD5AAAAjwMAAAAA&#10;" strokecolor="black [3213]">
                  <v:stroke endarrow="open"/>
                </v:shape>
                <w10:anchorlock/>
              </v:group>
            </w:pict>
          </mc:Fallback>
        </mc:AlternateContent>
      </w:r>
    </w:p>
    <w:p w:rsidR="00395DB4" w:rsidRPr="00544040" w:rsidRDefault="00395DB4" w:rsidP="00A93E1C">
      <w:pPr>
        <w:pStyle w:val="Exampletext"/>
        <w:pBdr>
          <w:top w:val="single" w:sz="4" w:space="10" w:color="auto"/>
          <w:left w:val="single" w:sz="4" w:space="10" w:color="auto"/>
          <w:bottom w:val="single" w:sz="4" w:space="10" w:color="auto"/>
          <w:right w:val="single" w:sz="4" w:space="10" w:color="auto"/>
        </w:pBdr>
        <w:ind w:left="284" w:hanging="284"/>
      </w:pPr>
      <w:r w:rsidRPr="00544040">
        <w:sym w:font="Symbol" w:char="F0B7"/>
      </w:r>
      <w:r w:rsidRPr="00544040">
        <w:t xml:space="preserve"> </w:t>
      </w:r>
      <w:r w:rsidR="00A93E1C">
        <w:tab/>
      </w:r>
      <w:r w:rsidRPr="00544040">
        <w:t xml:space="preserve">Trust B is a shareholder of Company X. </w:t>
      </w:r>
    </w:p>
    <w:p w:rsidR="00395DB4" w:rsidRPr="00544040" w:rsidRDefault="00395DB4" w:rsidP="00A93E1C">
      <w:pPr>
        <w:pStyle w:val="Exampletext"/>
        <w:pBdr>
          <w:top w:val="single" w:sz="4" w:space="10" w:color="auto"/>
          <w:left w:val="single" w:sz="4" w:space="10" w:color="auto"/>
          <w:bottom w:val="single" w:sz="4" w:space="10" w:color="auto"/>
          <w:right w:val="single" w:sz="4" w:space="10" w:color="auto"/>
        </w:pBdr>
        <w:ind w:left="284" w:hanging="284"/>
      </w:pPr>
      <w:r w:rsidRPr="00544040">
        <w:sym w:font="Symbol" w:char="F0B7"/>
      </w:r>
      <w:r w:rsidRPr="00544040">
        <w:t xml:space="preserve"> </w:t>
      </w:r>
      <w:r w:rsidR="00A93E1C">
        <w:tab/>
      </w:r>
      <w:r w:rsidRPr="00544040">
        <w:t xml:space="preserve">Trust C is a beneficiary of Trust B. </w:t>
      </w:r>
    </w:p>
    <w:p w:rsidR="00395DB4" w:rsidRPr="00544040" w:rsidRDefault="00395DB4" w:rsidP="00A93E1C">
      <w:pPr>
        <w:pStyle w:val="Exampletext"/>
        <w:pBdr>
          <w:top w:val="single" w:sz="4" w:space="10" w:color="auto"/>
          <w:left w:val="single" w:sz="4" w:space="10" w:color="auto"/>
          <w:bottom w:val="single" w:sz="4" w:space="10" w:color="auto"/>
          <w:right w:val="single" w:sz="4" w:space="10" w:color="auto"/>
        </w:pBdr>
        <w:ind w:left="284" w:hanging="284"/>
      </w:pPr>
      <w:r w:rsidRPr="00544040">
        <w:sym w:font="Symbol" w:char="F0B7"/>
      </w:r>
      <w:r w:rsidR="00A93E1C">
        <w:tab/>
      </w:r>
      <w:r w:rsidRPr="00544040">
        <w:t>Company Y is a beneficiary of Trust C.</w:t>
      </w:r>
    </w:p>
    <w:p w:rsidR="00395DB4" w:rsidRPr="00544040" w:rsidRDefault="00395DB4" w:rsidP="00395DB4">
      <w:pPr>
        <w:pStyle w:val="Exampletext"/>
        <w:pBdr>
          <w:top w:val="single" w:sz="4" w:space="10" w:color="auto"/>
          <w:left w:val="single" w:sz="4" w:space="10" w:color="auto"/>
          <w:bottom w:val="single" w:sz="4" w:space="10" w:color="auto"/>
          <w:right w:val="single" w:sz="4" w:space="10" w:color="auto"/>
        </w:pBdr>
      </w:pPr>
    </w:p>
    <w:p w:rsidR="00395DB4" w:rsidRPr="00544040" w:rsidRDefault="00395DB4" w:rsidP="00395DB4">
      <w:pPr>
        <w:pStyle w:val="Exampletext"/>
        <w:pBdr>
          <w:top w:val="single" w:sz="4" w:space="10" w:color="auto"/>
          <w:left w:val="single" w:sz="4" w:space="10" w:color="auto"/>
          <w:bottom w:val="single" w:sz="4" w:space="10" w:color="auto"/>
          <w:right w:val="single" w:sz="4" w:space="10" w:color="auto"/>
        </w:pBdr>
      </w:pPr>
      <w:r w:rsidRPr="00544040">
        <w:t xml:space="preserve">Company X makes a distribution to Trust </w:t>
      </w:r>
      <w:r w:rsidR="00CA0E5B" w:rsidRPr="00544040">
        <w:t>B</w:t>
      </w:r>
      <w:r w:rsidR="009E7CD7">
        <w:t>.  T</w:t>
      </w:r>
      <w:r w:rsidRPr="00544040">
        <w:t xml:space="preserve">rust </w:t>
      </w:r>
      <w:r w:rsidR="00CA0E5B" w:rsidRPr="00544040">
        <w:t>B</w:t>
      </w:r>
      <w:r w:rsidRPr="00544040">
        <w:t xml:space="preserve"> then passes on the distribution to Trust </w:t>
      </w:r>
      <w:r w:rsidR="00CA0E5B" w:rsidRPr="00544040">
        <w:t>C</w:t>
      </w:r>
      <w:r w:rsidRPr="00544040">
        <w:t xml:space="preserve"> who passes it to Company Y.</w:t>
      </w:r>
    </w:p>
    <w:p w:rsidR="00395DB4" w:rsidRPr="00544040" w:rsidRDefault="00395DB4" w:rsidP="00395DB4">
      <w:pPr>
        <w:pStyle w:val="Exampletext"/>
        <w:pBdr>
          <w:top w:val="single" w:sz="4" w:space="10" w:color="auto"/>
          <w:left w:val="single" w:sz="4" w:space="10" w:color="auto"/>
          <w:bottom w:val="single" w:sz="4" w:space="10" w:color="auto"/>
          <w:right w:val="single" w:sz="4" w:space="10" w:color="auto"/>
        </w:pBdr>
      </w:pPr>
    </w:p>
    <w:p w:rsidR="00395DB4" w:rsidRDefault="00395DB4" w:rsidP="00395DB4">
      <w:pPr>
        <w:pStyle w:val="Exampletext"/>
        <w:pBdr>
          <w:top w:val="single" w:sz="4" w:space="10" w:color="auto"/>
          <w:left w:val="single" w:sz="4" w:space="10" w:color="auto"/>
          <w:bottom w:val="single" w:sz="4" w:space="10" w:color="auto"/>
          <w:right w:val="single" w:sz="4" w:space="10" w:color="auto"/>
        </w:pBdr>
      </w:pPr>
      <w:r w:rsidRPr="00544040">
        <w:t xml:space="preserve">Company X will be ineligible to be a LTC. </w:t>
      </w:r>
      <w:r w:rsidR="00DC348E">
        <w:t xml:space="preserve"> </w:t>
      </w:r>
      <w:r w:rsidRPr="00544040">
        <w:t>This is because a trustee shareholder of Company X has made a distribution of income to a company that is indirectly a beneficiary of the trust.</w:t>
      </w:r>
    </w:p>
    <w:p w:rsidR="00395DB4" w:rsidRDefault="00395DB4" w:rsidP="00395DB4"/>
    <w:p w:rsidR="00EA65AF" w:rsidRDefault="00EA65AF" w:rsidP="00395DB4"/>
    <w:p w:rsidR="00395DB4" w:rsidRPr="00395DB4" w:rsidRDefault="00395DB4" w:rsidP="00F119D5">
      <w:pPr>
        <w:pStyle w:val="Heading3"/>
      </w:pPr>
      <w:r w:rsidRPr="00395DB4">
        <w:t>Voting rights</w:t>
      </w:r>
    </w:p>
    <w:p w:rsidR="00395DB4" w:rsidRDefault="00395DB4" w:rsidP="001F3E9B"/>
    <w:p w:rsidR="00395DB4" w:rsidRPr="00E36545" w:rsidRDefault="00CA0E5B" w:rsidP="00395DB4">
      <w:pPr>
        <w:rPr>
          <w:lang w:val="en-AU" w:eastAsia="en-US"/>
        </w:rPr>
      </w:pPr>
      <w:r>
        <w:rPr>
          <w:lang w:val="en-AU" w:eastAsia="en-US"/>
        </w:rPr>
        <w:t>Previously</w:t>
      </w:r>
      <w:r w:rsidR="00395DB4" w:rsidRPr="00E36545">
        <w:rPr>
          <w:lang w:val="en-AU" w:eastAsia="en-US"/>
        </w:rPr>
        <w:t xml:space="preserve">, in order to simplify the attribution of a LTC’s income and expenditure to its underlying owners, LTCs </w:t>
      </w:r>
      <w:r>
        <w:rPr>
          <w:lang w:val="en-AU" w:eastAsia="en-US"/>
        </w:rPr>
        <w:t>could</w:t>
      </w:r>
      <w:r w:rsidR="00395DB4" w:rsidRPr="00E36545">
        <w:rPr>
          <w:lang w:val="en-AU" w:eastAsia="en-US"/>
        </w:rPr>
        <w:t xml:space="preserve"> only have one class of share.  This rule </w:t>
      </w:r>
      <w:r>
        <w:rPr>
          <w:lang w:val="en-AU" w:eastAsia="en-US"/>
        </w:rPr>
        <w:t>was</w:t>
      </w:r>
      <w:r w:rsidR="00395DB4" w:rsidRPr="00E36545">
        <w:rPr>
          <w:lang w:val="en-AU" w:eastAsia="en-US"/>
        </w:rPr>
        <w:t xml:space="preserve"> overly restrictive as it </w:t>
      </w:r>
      <w:r>
        <w:rPr>
          <w:lang w:val="en-AU" w:eastAsia="en-US"/>
        </w:rPr>
        <w:t>could</w:t>
      </w:r>
      <w:r w:rsidR="00395DB4" w:rsidRPr="00E36545">
        <w:rPr>
          <w:lang w:val="en-AU" w:eastAsia="en-US"/>
        </w:rPr>
        <w:t xml:space="preserve"> limit legitimate commercial structuring or generational planning and inhibit some companies from becoming LTCs.</w:t>
      </w:r>
    </w:p>
    <w:p w:rsidR="00395DB4" w:rsidRPr="00E36545" w:rsidRDefault="00395DB4" w:rsidP="00395DB4">
      <w:pPr>
        <w:rPr>
          <w:lang w:val="en-AU" w:eastAsia="en-US"/>
        </w:rPr>
      </w:pPr>
    </w:p>
    <w:p w:rsidR="00395DB4" w:rsidRPr="00E36545" w:rsidRDefault="00CA0E5B" w:rsidP="00395DB4">
      <w:r>
        <w:t xml:space="preserve">Accordingly, the requirement has been relaxed through amending the definition of “look through interest”. </w:t>
      </w:r>
      <w:r w:rsidR="00013308">
        <w:t xml:space="preserve"> </w:t>
      </w:r>
      <w:r>
        <w:t>The amendment allows a LTC to have shares that carry different voting rights provided that all shares still have the same rights to distributions.</w:t>
      </w:r>
    </w:p>
    <w:p w:rsidR="00395DB4" w:rsidRDefault="00395DB4" w:rsidP="001F3E9B"/>
    <w:p w:rsidR="00D73528" w:rsidRPr="00D73528" w:rsidRDefault="00D73528" w:rsidP="00F119D5">
      <w:pPr>
        <w:pStyle w:val="Heading3"/>
      </w:pPr>
      <w:r w:rsidRPr="00D73528">
        <w:t>Charities and Māori authorities</w:t>
      </w:r>
    </w:p>
    <w:p w:rsidR="00D73528" w:rsidRDefault="00D73528" w:rsidP="001F3E9B"/>
    <w:p w:rsidR="00755913" w:rsidRDefault="00755913" w:rsidP="00755913">
      <w:r w:rsidRPr="00E36545">
        <w:t xml:space="preserve">To ensure that the LTC rules are reserved for closely controlled entities, </w:t>
      </w:r>
      <w:r>
        <w:t>amendments have been made that</w:t>
      </w:r>
      <w:r w:rsidRPr="00E36545">
        <w:t xml:space="preserve"> extend the trust approach of looking through to the ultimate beneficiaries to LTCs owned by tax charities (as defined in the Income Tax Act) and Māori authorities.  The </w:t>
      </w:r>
      <w:r>
        <w:t>amendment</w:t>
      </w:r>
      <w:r w:rsidR="00CA0E5B">
        <w:t>s</w:t>
      </w:r>
      <w:r w:rsidRPr="00E36545">
        <w:t xml:space="preserve"> effectively preclude direct ownership by charities and direct or indirect ownership by Māori authorities.  </w:t>
      </w:r>
      <w:r>
        <w:t>There are however some exceptions to this.</w:t>
      </w:r>
    </w:p>
    <w:p w:rsidR="00755913" w:rsidRDefault="00755913" w:rsidP="00755913"/>
    <w:p w:rsidR="005B4FAE" w:rsidRDefault="005B4FAE">
      <w:pPr>
        <w:jc w:val="left"/>
        <w:rPr>
          <w:i/>
        </w:rPr>
      </w:pPr>
      <w:r>
        <w:rPr>
          <w:i/>
        </w:rPr>
        <w:br w:type="page"/>
      </w:r>
    </w:p>
    <w:p w:rsidR="00755913" w:rsidRDefault="00755913" w:rsidP="00755913">
      <w:pPr>
        <w:rPr>
          <w:i/>
        </w:rPr>
      </w:pPr>
      <w:r>
        <w:rPr>
          <w:i/>
        </w:rPr>
        <w:t>“No strings attached” distributions to charities</w:t>
      </w:r>
    </w:p>
    <w:p w:rsidR="00755913" w:rsidRDefault="00755913" w:rsidP="00755913">
      <w:pPr>
        <w:rPr>
          <w:i/>
        </w:rPr>
      </w:pPr>
    </w:p>
    <w:p w:rsidR="00755913" w:rsidRDefault="00CA0E5B" w:rsidP="00755913">
      <w:r>
        <w:t>An</w:t>
      </w:r>
      <w:r w:rsidR="00755913" w:rsidRPr="00755913">
        <w:t xml:space="preserve"> </w:t>
      </w:r>
      <w:r w:rsidR="00BF3492" w:rsidRPr="00755913">
        <w:t>amendment</w:t>
      </w:r>
      <w:r>
        <w:t xml:space="preserve"> to the definition of “look</w:t>
      </w:r>
      <w:r w:rsidR="00C742E7">
        <w:t>-</w:t>
      </w:r>
      <w:r>
        <w:t xml:space="preserve">through </w:t>
      </w:r>
      <w:proofErr w:type="gramStart"/>
      <w:r>
        <w:t>company</w:t>
      </w:r>
      <w:proofErr w:type="gramEnd"/>
      <w:r>
        <w:t>”</w:t>
      </w:r>
      <w:r w:rsidR="00BF3492">
        <w:t xml:space="preserve"> allows</w:t>
      </w:r>
      <w:r>
        <w:t xml:space="preserve"> distributions by LTCs or shareholding trusts of LTCs</w:t>
      </w:r>
      <w:r w:rsidR="00755913">
        <w:t xml:space="preserve"> to charities which have no influence over the LTC or shareholding trust. </w:t>
      </w:r>
      <w:r w:rsidR="00402F7A">
        <w:t xml:space="preserve"> </w:t>
      </w:r>
      <w:r w:rsidR="00755913">
        <w:t>This enables genuine gifts from LTCs or shareholding trusts to be made to charities and recognises that many LTCs may want to make charitable distributions.</w:t>
      </w:r>
    </w:p>
    <w:p w:rsidR="00755913" w:rsidRDefault="00755913" w:rsidP="00755913"/>
    <w:p w:rsidR="00755913" w:rsidRDefault="00755913" w:rsidP="00755913">
      <w:pPr>
        <w:rPr>
          <w:i/>
        </w:rPr>
      </w:pPr>
      <w:r>
        <w:rPr>
          <w:i/>
        </w:rPr>
        <w:t>Grandparenting existing Māori authorities and charities</w:t>
      </w:r>
    </w:p>
    <w:p w:rsidR="00755913" w:rsidRDefault="00755913" w:rsidP="00755913">
      <w:pPr>
        <w:rPr>
          <w:i/>
        </w:rPr>
      </w:pPr>
    </w:p>
    <w:p w:rsidR="00755913" w:rsidRDefault="00755913" w:rsidP="00755913">
      <w:r>
        <w:t>The amendments provide grandparenting for existing M</w:t>
      </w:r>
      <w:r w:rsidR="00BF3492">
        <w:t>ā</w:t>
      </w:r>
      <w:r>
        <w:t>ori authority and charity interests in LTCs</w:t>
      </w:r>
      <w:r w:rsidR="00CA0E5B">
        <w:t xml:space="preserve"> through</w:t>
      </w:r>
      <w:r w:rsidR="00AB4981">
        <w:t xml:space="preserve"> the</w:t>
      </w:r>
      <w:r w:rsidR="00CA0E5B">
        <w:t xml:space="preserve"> definition</w:t>
      </w:r>
      <w:r w:rsidR="00AB4981">
        <w:t>s</w:t>
      </w:r>
      <w:r w:rsidR="00CA0E5B">
        <w:t xml:space="preserve"> </w:t>
      </w:r>
      <w:r w:rsidR="00FD061B">
        <w:t xml:space="preserve">of </w:t>
      </w:r>
      <w:r w:rsidR="00CA0E5B">
        <w:t>“grand-parented charity” and “grand-parented Māori authority</w:t>
      </w:r>
      <w:r>
        <w:t>.</w:t>
      </w:r>
    </w:p>
    <w:p w:rsidR="00755913" w:rsidRDefault="00755913" w:rsidP="00755913"/>
    <w:p w:rsidR="00755913" w:rsidRDefault="00755913" w:rsidP="00755913">
      <w:r>
        <w:t xml:space="preserve">This </w:t>
      </w:r>
      <w:r w:rsidR="00FD061B">
        <w:t xml:space="preserve">will </w:t>
      </w:r>
      <w:r>
        <w:t>enable these entities to avoid the compliance cost of converting their LTC interests to limited partnerships, which are another look-through vehicle that is often used to ach</w:t>
      </w:r>
      <w:r w:rsidR="005E41A7">
        <w:t>ieve the same outcome as a LTC.</w:t>
      </w:r>
    </w:p>
    <w:p w:rsidR="00755913" w:rsidRDefault="00755913" w:rsidP="00755913"/>
    <w:p w:rsidR="00502548" w:rsidRDefault="00755913" w:rsidP="00502548">
      <w:r>
        <w:t xml:space="preserve">The amendments only enable </w:t>
      </w:r>
      <w:r w:rsidR="00502548">
        <w:t>Māori authorities and charities to hold interests in LTCs which they had an interest in prior to 3 May 2016 (the date of introduction for the Taxation (Annual Rates</w:t>
      </w:r>
      <w:r w:rsidR="001C059C">
        <w:t xml:space="preserve"> for 2016–17</w:t>
      </w:r>
      <w:r w:rsidR="00502548">
        <w:t>, Closely Held Companies, and Remedial Matters) Bill)</w:t>
      </w:r>
      <w:r w:rsidR="00CA0E5B">
        <w:rPr>
          <w:rStyle w:val="FootnoteReference"/>
        </w:rPr>
        <w:footnoteReference w:id="2"/>
      </w:r>
      <w:r w:rsidR="009E7CD7">
        <w:t>.  T</w:t>
      </w:r>
      <w:r w:rsidR="00502548">
        <w:t>his means that Māori authorities and charities can change the amount of shareholding they have in LTCs they had an interest in prior to 3 May 2016, but cannot acquire interests in new LTCs that they did</w:t>
      </w:r>
      <w:r w:rsidR="001C059C">
        <w:t xml:space="preserve"> </w:t>
      </w:r>
      <w:r w:rsidR="00502548">
        <w:t>n</w:t>
      </w:r>
      <w:r w:rsidR="001C059C">
        <w:t>o</w:t>
      </w:r>
      <w:r w:rsidR="00502548">
        <w:t xml:space="preserve">t have an interest in </w:t>
      </w:r>
      <w:r w:rsidR="001C059C">
        <w:t>before</w:t>
      </w:r>
      <w:r w:rsidR="00502548">
        <w:t xml:space="preserve"> that date.</w:t>
      </w:r>
    </w:p>
    <w:p w:rsidR="00502548" w:rsidRDefault="00502548" w:rsidP="00502548"/>
    <w:p w:rsidR="00EA65AF" w:rsidRDefault="00EA65AF" w:rsidP="00502548"/>
    <w:p w:rsidR="00502548" w:rsidRDefault="00502548" w:rsidP="00502548">
      <w:pPr>
        <w:pStyle w:val="Exampleheading"/>
        <w:pBdr>
          <w:top w:val="single" w:sz="4" w:space="10" w:color="auto"/>
          <w:left w:val="single" w:sz="4" w:space="10" w:color="auto"/>
          <w:bottom w:val="single" w:sz="4" w:space="10" w:color="auto"/>
          <w:right w:val="single" w:sz="4" w:space="10" w:color="auto"/>
        </w:pBdr>
      </w:pPr>
      <w:r>
        <w:t>Example</w:t>
      </w:r>
    </w:p>
    <w:p w:rsidR="00502548" w:rsidRDefault="00502548" w:rsidP="00502548">
      <w:pPr>
        <w:pStyle w:val="Exampletext"/>
        <w:pBdr>
          <w:top w:val="single" w:sz="4" w:space="10" w:color="auto"/>
          <w:left w:val="single" w:sz="4" w:space="10" w:color="auto"/>
          <w:bottom w:val="single" w:sz="4" w:space="10" w:color="auto"/>
          <w:right w:val="single" w:sz="4" w:space="10" w:color="auto"/>
        </w:pBdr>
      </w:pPr>
    </w:p>
    <w:p w:rsidR="00502548" w:rsidRDefault="00502548" w:rsidP="00502548">
      <w:pPr>
        <w:pStyle w:val="Exampletext"/>
        <w:pBdr>
          <w:top w:val="single" w:sz="4" w:space="10" w:color="auto"/>
          <w:left w:val="single" w:sz="4" w:space="10" w:color="auto"/>
          <w:bottom w:val="single" w:sz="4" w:space="10" w:color="auto"/>
          <w:right w:val="single" w:sz="4" w:space="10" w:color="auto"/>
        </w:pBdr>
      </w:pPr>
      <w:r>
        <w:t>Charity X is a tax charity which</w:t>
      </w:r>
      <w:r w:rsidR="00170061">
        <w:t>,</w:t>
      </w:r>
      <w:r>
        <w:t xml:space="preserve"> on 15 April 2015</w:t>
      </w:r>
      <w:r w:rsidR="00170061">
        <w:t>,</w:t>
      </w:r>
      <w:r>
        <w:t xml:space="preserve"> acquired a 50</w:t>
      </w:r>
      <w:r w:rsidR="00170061">
        <w:t xml:space="preserve"> percent</w:t>
      </w:r>
      <w:r>
        <w:t xml:space="preserve"> shareholding in Widgets Ltd. </w:t>
      </w:r>
      <w:r w:rsidR="00170061">
        <w:t xml:space="preserve"> </w:t>
      </w:r>
      <w:r>
        <w:t>On 1</w:t>
      </w:r>
      <w:r w:rsidR="00F119D5">
        <w:t> </w:t>
      </w:r>
      <w:r>
        <w:t xml:space="preserve">April 2016 Widgets </w:t>
      </w:r>
      <w:r w:rsidR="00CA0E5B">
        <w:t>Ltd</w:t>
      </w:r>
      <w:r>
        <w:t xml:space="preserve"> elected to become a LTC.</w:t>
      </w:r>
    </w:p>
    <w:p w:rsidR="00A74819" w:rsidRDefault="00A74819" w:rsidP="00502548">
      <w:pPr>
        <w:pStyle w:val="Exampletext"/>
        <w:pBdr>
          <w:top w:val="single" w:sz="4" w:space="10" w:color="auto"/>
          <w:left w:val="single" w:sz="4" w:space="10" w:color="auto"/>
          <w:bottom w:val="single" w:sz="4" w:space="10" w:color="auto"/>
          <w:right w:val="single" w:sz="4" w:space="10" w:color="auto"/>
        </w:pBdr>
      </w:pPr>
    </w:p>
    <w:p w:rsidR="00502548" w:rsidRDefault="00502548" w:rsidP="00502548">
      <w:pPr>
        <w:pStyle w:val="Exampletext"/>
        <w:pBdr>
          <w:top w:val="single" w:sz="4" w:space="10" w:color="auto"/>
          <w:left w:val="single" w:sz="4" w:space="10" w:color="auto"/>
          <w:bottom w:val="single" w:sz="4" w:space="10" w:color="auto"/>
          <w:right w:val="single" w:sz="4" w:space="10" w:color="auto"/>
        </w:pBdr>
      </w:pPr>
      <w:r>
        <w:t xml:space="preserve">On 2 May 2017, Charity X increased </w:t>
      </w:r>
      <w:r w:rsidR="00170061">
        <w:t>its</w:t>
      </w:r>
      <w:r>
        <w:t xml:space="preserve"> shareholding in Widget</w:t>
      </w:r>
      <w:r w:rsidR="00253DC2">
        <w:t>s</w:t>
      </w:r>
      <w:r>
        <w:t xml:space="preserve"> Ltd </w:t>
      </w:r>
      <w:r w:rsidR="00A74819">
        <w:t>to 100</w:t>
      </w:r>
      <w:r w:rsidR="00170061">
        <w:t xml:space="preserve"> percent</w:t>
      </w:r>
      <w:r w:rsidR="00A74819">
        <w:t>.</w:t>
      </w:r>
    </w:p>
    <w:p w:rsidR="00502548" w:rsidRDefault="00502548" w:rsidP="00502548">
      <w:pPr>
        <w:pStyle w:val="Exampletext"/>
        <w:pBdr>
          <w:top w:val="single" w:sz="4" w:space="10" w:color="auto"/>
          <w:left w:val="single" w:sz="4" w:space="10" w:color="auto"/>
          <w:bottom w:val="single" w:sz="4" w:space="10" w:color="auto"/>
          <w:right w:val="single" w:sz="4" w:space="10" w:color="auto"/>
        </w:pBdr>
      </w:pPr>
    </w:p>
    <w:p w:rsidR="00A74819" w:rsidRDefault="00A74819" w:rsidP="00502548">
      <w:pPr>
        <w:pStyle w:val="Exampletext"/>
        <w:pBdr>
          <w:top w:val="single" w:sz="4" w:space="10" w:color="auto"/>
          <w:left w:val="single" w:sz="4" w:space="10" w:color="auto"/>
          <w:bottom w:val="single" w:sz="4" w:space="10" w:color="auto"/>
          <w:right w:val="single" w:sz="4" w:space="10" w:color="auto"/>
        </w:pBdr>
      </w:pPr>
      <w:r>
        <w:t xml:space="preserve">As Charity X acquired </w:t>
      </w:r>
      <w:r w:rsidR="00CA0E5B">
        <w:t>its</w:t>
      </w:r>
      <w:r>
        <w:t xml:space="preserve"> interest in Widgets Ltd </w:t>
      </w:r>
      <w:r w:rsidR="00253DC2">
        <w:t>before</w:t>
      </w:r>
      <w:r>
        <w:t xml:space="preserve"> 3 May 2016, its interests in Widget</w:t>
      </w:r>
      <w:r w:rsidR="00253DC2">
        <w:t>s</w:t>
      </w:r>
      <w:r>
        <w:t xml:space="preserve"> Ltd. are grandparented and Widgets Ltd can maintain its LTC status despite </w:t>
      </w:r>
      <w:r w:rsidR="00CA0E5B">
        <w:t>Charity X’s</w:t>
      </w:r>
      <w:r>
        <w:t xml:space="preserve"> ownership interest. </w:t>
      </w:r>
      <w:r w:rsidR="00253DC2">
        <w:t xml:space="preserve"> </w:t>
      </w:r>
      <w:r>
        <w:t>The increase in shareholding by Charity X on 2 May 2017 also does not affect the LTC status of Widgets Ltd, due to the grandparenting.</w:t>
      </w:r>
    </w:p>
    <w:p w:rsidR="00502548" w:rsidRDefault="00502548" w:rsidP="00502548"/>
    <w:p w:rsidR="00EA65AF" w:rsidRDefault="00EA65AF" w:rsidP="00502548"/>
    <w:p w:rsidR="00D163CA" w:rsidRPr="00E36545" w:rsidRDefault="00D163CA" w:rsidP="00D163CA">
      <w:pPr>
        <w:pStyle w:val="Heading4"/>
        <w:rPr>
          <w:lang w:val="en-AU" w:eastAsia="en-US"/>
        </w:rPr>
      </w:pPr>
      <w:r>
        <w:rPr>
          <w:lang w:val="en-AU" w:eastAsia="en-US"/>
        </w:rPr>
        <w:t>Foreign income restrictions</w:t>
      </w:r>
    </w:p>
    <w:p w:rsidR="00D163CA" w:rsidRPr="00E36545" w:rsidRDefault="00D163CA" w:rsidP="00D163CA">
      <w:pPr>
        <w:rPr>
          <w:lang w:val="en-AU" w:eastAsia="en-US"/>
        </w:rPr>
      </w:pPr>
    </w:p>
    <w:p w:rsidR="00D163CA" w:rsidRPr="00E36545" w:rsidRDefault="00D163CA" w:rsidP="00D163CA">
      <w:pPr>
        <w:rPr>
          <w:lang w:val="en-AU" w:eastAsia="en-US"/>
        </w:rPr>
      </w:pPr>
      <w:r w:rsidRPr="00E36545">
        <w:rPr>
          <w:lang w:val="en-AU" w:eastAsia="en-US"/>
        </w:rPr>
        <w:t xml:space="preserve">Although LTCs are envisaged primarily as a structure for domestically focused companies, </w:t>
      </w:r>
      <w:r w:rsidR="00F64583">
        <w:rPr>
          <w:lang w:val="en-AU" w:eastAsia="en-US"/>
        </w:rPr>
        <w:t xml:space="preserve">under </w:t>
      </w:r>
      <w:r w:rsidRPr="00E36545">
        <w:rPr>
          <w:lang w:val="en-AU" w:eastAsia="en-US"/>
        </w:rPr>
        <w:t>the</w:t>
      </w:r>
      <w:r w:rsidR="0021228F">
        <w:rPr>
          <w:lang w:val="en-AU" w:eastAsia="en-US"/>
        </w:rPr>
        <w:t xml:space="preserve"> previous rules </w:t>
      </w:r>
      <w:r w:rsidR="00F64583">
        <w:rPr>
          <w:lang w:val="en-AU" w:eastAsia="en-US"/>
        </w:rPr>
        <w:t>there were</w:t>
      </w:r>
      <w:r w:rsidRPr="00E36545">
        <w:rPr>
          <w:lang w:val="en-AU" w:eastAsia="en-US"/>
        </w:rPr>
        <w:t xml:space="preserve"> no restrictions on either foreign investment by LTCs or on LTCs having non-resident owners</w:t>
      </w:r>
      <w:r>
        <w:rPr>
          <w:lang w:val="en-AU" w:eastAsia="en-US"/>
        </w:rPr>
        <w:t>.  T</w:t>
      </w:r>
      <w:r w:rsidRPr="00E36545">
        <w:rPr>
          <w:lang w:val="en-AU" w:eastAsia="en-US"/>
        </w:rPr>
        <w:t>his combination unintentionally allow</w:t>
      </w:r>
      <w:r w:rsidR="0021228F">
        <w:rPr>
          <w:lang w:val="en-AU" w:eastAsia="en-US"/>
        </w:rPr>
        <w:t>ed</w:t>
      </w:r>
      <w:r w:rsidRPr="00E36545">
        <w:rPr>
          <w:lang w:val="en-AU" w:eastAsia="en-US"/>
        </w:rPr>
        <w:t xml:space="preserve"> for LTCs to be used as conduit investment vehicles</w:t>
      </w:r>
      <w:r>
        <w:rPr>
          <w:lang w:val="en-AU" w:eastAsia="en-US"/>
        </w:rPr>
        <w:t xml:space="preserve"> –</w:t>
      </w:r>
      <w:r w:rsidRPr="00E36545">
        <w:rPr>
          <w:lang w:val="en-AU" w:eastAsia="en-US"/>
        </w:rPr>
        <w:t xml:space="preserve"> that is,</w:t>
      </w:r>
      <w:r w:rsidR="002F1465">
        <w:rPr>
          <w:lang w:val="en-AU" w:eastAsia="en-US"/>
        </w:rPr>
        <w:t xml:space="preserve"> New Zealand domiciled</w:t>
      </w:r>
      <w:r w:rsidRPr="00E36545">
        <w:rPr>
          <w:lang w:val="en-AU" w:eastAsia="en-US"/>
        </w:rPr>
        <w:t xml:space="preserve"> vehicles used by non-residents to invest in foreign markets generating income generally not taxable in New Zealand.  This g</w:t>
      </w:r>
      <w:r w:rsidR="00880A2D">
        <w:rPr>
          <w:lang w:val="en-AU" w:eastAsia="en-US"/>
        </w:rPr>
        <w:t>a</w:t>
      </w:r>
      <w:r w:rsidRPr="00E36545">
        <w:rPr>
          <w:lang w:val="en-AU" w:eastAsia="en-US"/>
        </w:rPr>
        <w:t>ve rise to reputational risks for New Zealand.</w:t>
      </w:r>
    </w:p>
    <w:p w:rsidR="00D163CA" w:rsidRPr="00E36545" w:rsidRDefault="00D163CA" w:rsidP="00D163CA">
      <w:pPr>
        <w:rPr>
          <w:lang w:eastAsia="en-US"/>
        </w:rPr>
      </w:pPr>
    </w:p>
    <w:p w:rsidR="00D163CA" w:rsidRDefault="00D163CA" w:rsidP="00D163CA">
      <w:r w:rsidRPr="00E36545">
        <w:t xml:space="preserve">To </w:t>
      </w:r>
      <w:r>
        <w:t xml:space="preserve">address </w:t>
      </w:r>
      <w:r w:rsidRPr="00E36545">
        <w:t xml:space="preserve">these risks, </w:t>
      </w:r>
      <w:r>
        <w:t>amendments have been made to the</w:t>
      </w:r>
      <w:r w:rsidRPr="00E36545">
        <w:t xml:space="preserve"> definition of “look-through </w:t>
      </w:r>
      <w:proofErr w:type="gramStart"/>
      <w:r w:rsidRPr="00E36545">
        <w:t>company</w:t>
      </w:r>
      <w:proofErr w:type="gramEnd"/>
      <w:r w:rsidRPr="00E36545">
        <w:t xml:space="preserve">” </w:t>
      </w:r>
      <w:r>
        <w:t>to restrict the amount of foreign income that a</w:t>
      </w:r>
      <w:r w:rsidRPr="00E36545">
        <w:t xml:space="preserve"> foreign-controlled LTC (a LTC that is more than 50</w:t>
      </w:r>
      <w:r>
        <w:t xml:space="preserve"> percent</w:t>
      </w:r>
      <w:r w:rsidRPr="00E36545">
        <w:t xml:space="preserve"> held by non-residents)</w:t>
      </w:r>
      <w:r>
        <w:t xml:space="preserve"> can derive.</w:t>
      </w:r>
    </w:p>
    <w:p w:rsidR="005B4FAE" w:rsidRDefault="005B4FAE">
      <w:pPr>
        <w:jc w:val="left"/>
      </w:pPr>
      <w:r>
        <w:br w:type="page"/>
      </w:r>
    </w:p>
    <w:p w:rsidR="00D163CA" w:rsidRDefault="00D163CA" w:rsidP="00D163CA">
      <w:r>
        <w:t>The amendments provide that a company is ineligible to be a LTC if both:</w:t>
      </w:r>
    </w:p>
    <w:p w:rsidR="005E41A7" w:rsidRDefault="005E41A7" w:rsidP="00D163CA"/>
    <w:p w:rsidR="00D163CA" w:rsidRDefault="007800C2" w:rsidP="00F119D5">
      <w:pPr>
        <w:pStyle w:val="Bullets"/>
      </w:pPr>
      <w:r>
        <w:t>m</w:t>
      </w:r>
      <w:r w:rsidR="00D163CA">
        <w:t>ore than 50</w:t>
      </w:r>
      <w:r w:rsidR="0008538B">
        <w:t xml:space="preserve"> percent</w:t>
      </w:r>
      <w:r w:rsidR="00D163CA">
        <w:t xml:space="preserve"> of the total ownership interest in the company </w:t>
      </w:r>
      <w:r w:rsidR="0008538B">
        <w:t>is</w:t>
      </w:r>
      <w:r w:rsidR="00D163CA">
        <w:t xml:space="preserve"> held by foreign LTC holders (as defined); and</w:t>
      </w:r>
    </w:p>
    <w:p w:rsidR="00D163CA" w:rsidRDefault="007800C2" w:rsidP="00F119D5">
      <w:pPr>
        <w:pStyle w:val="Bullets"/>
        <w:spacing w:after="0"/>
      </w:pPr>
      <w:proofErr w:type="gramStart"/>
      <w:r>
        <w:t>t</w:t>
      </w:r>
      <w:r w:rsidR="00D163CA">
        <w:t>he</w:t>
      </w:r>
      <w:proofErr w:type="gramEnd"/>
      <w:r w:rsidR="00D163CA">
        <w:t xml:space="preserve"> entity has foreign</w:t>
      </w:r>
      <w:r w:rsidR="0008538B">
        <w:t>-</w:t>
      </w:r>
      <w:r w:rsidR="00D163CA">
        <w:t>sourced amounts for the income year that</w:t>
      </w:r>
      <w:r w:rsidR="00AB4981">
        <w:t xml:space="preserve"> in total</w:t>
      </w:r>
      <w:r w:rsidR="00D163CA">
        <w:t xml:space="preserve"> are more tha</w:t>
      </w:r>
      <w:r w:rsidR="002F1465">
        <w:t xml:space="preserve">n $10,000 </w:t>
      </w:r>
      <w:r w:rsidR="00F672A9">
        <w:t xml:space="preserve">and </w:t>
      </w:r>
      <w:r w:rsidR="002F1465">
        <w:t>20</w:t>
      </w:r>
      <w:r w:rsidR="00CB60DF">
        <w:t xml:space="preserve"> percent</w:t>
      </w:r>
      <w:r w:rsidR="002F1465">
        <w:t xml:space="preserve"> of the company’s</w:t>
      </w:r>
      <w:r w:rsidR="00D163CA">
        <w:t xml:space="preserve"> gross income for the year</w:t>
      </w:r>
      <w:r w:rsidR="00992E95">
        <w:t>.</w:t>
      </w:r>
    </w:p>
    <w:p w:rsidR="00D163CA" w:rsidRDefault="00D163CA" w:rsidP="00D163CA"/>
    <w:p w:rsidR="000E07C9" w:rsidRPr="000E07C9" w:rsidRDefault="000E07C9" w:rsidP="00D163CA">
      <w:pPr>
        <w:rPr>
          <w:lang w:val="en-AU" w:eastAsia="en-US"/>
        </w:rPr>
      </w:pPr>
      <w:r w:rsidRPr="00E36545">
        <w:rPr>
          <w:lang w:val="en-AU" w:eastAsia="en-US"/>
        </w:rPr>
        <w:t>The thresholds are intended to provide flexibility for some degree of combined non-resident shareholding and foreign income</w:t>
      </w:r>
      <w:r>
        <w:rPr>
          <w:lang w:val="en-AU" w:eastAsia="en-US"/>
        </w:rPr>
        <w:t>,</w:t>
      </w:r>
      <w:r w:rsidRPr="00E36545">
        <w:rPr>
          <w:lang w:val="en-AU" w:eastAsia="en-US"/>
        </w:rPr>
        <w:t xml:space="preserve"> and should prevent a domestic family business inadvertently falling outside the rules through an owner emigrating.  On the other hand, the </w:t>
      </w:r>
      <w:r w:rsidR="00D63816">
        <w:rPr>
          <w:lang w:val="en-AU" w:eastAsia="en-US"/>
        </w:rPr>
        <w:t>amendment</w:t>
      </w:r>
      <w:r w:rsidRPr="00E36545">
        <w:rPr>
          <w:lang w:val="en-AU" w:eastAsia="en-US"/>
        </w:rPr>
        <w:t xml:space="preserve"> is intended to prohibit LTCs being used by non-residents purely as condui</w:t>
      </w:r>
      <w:r>
        <w:rPr>
          <w:lang w:val="en-AU" w:eastAsia="en-US"/>
        </w:rPr>
        <w:t>t investment vehicles.</w:t>
      </w:r>
    </w:p>
    <w:p w:rsidR="000E07C9" w:rsidRDefault="000E07C9" w:rsidP="00D163CA"/>
    <w:p w:rsidR="00D163CA" w:rsidRDefault="000E07C9" w:rsidP="00D163CA">
      <w:pPr>
        <w:rPr>
          <w:i/>
        </w:rPr>
      </w:pPr>
      <w:r w:rsidRPr="00D163CA">
        <w:rPr>
          <w:i/>
        </w:rPr>
        <w:t>Definition</w:t>
      </w:r>
      <w:r w:rsidR="005E41A7">
        <w:rPr>
          <w:i/>
        </w:rPr>
        <w:t xml:space="preserve"> of </w:t>
      </w:r>
      <w:r w:rsidR="00141FF8">
        <w:rPr>
          <w:i/>
        </w:rPr>
        <w:t>“</w:t>
      </w:r>
      <w:r w:rsidR="005E41A7">
        <w:rPr>
          <w:i/>
        </w:rPr>
        <w:t>foreign LTC holders</w:t>
      </w:r>
      <w:r w:rsidR="00141FF8">
        <w:rPr>
          <w:i/>
        </w:rPr>
        <w:t>”</w:t>
      </w:r>
    </w:p>
    <w:p w:rsidR="00D163CA" w:rsidRPr="00E36545" w:rsidRDefault="00D163CA" w:rsidP="00D163CA"/>
    <w:p w:rsidR="002F0CE6" w:rsidRDefault="00D163CA" w:rsidP="00D163CA">
      <w:pPr>
        <w:rPr>
          <w:lang w:val="en-AU" w:eastAsia="en-US"/>
        </w:rPr>
      </w:pPr>
      <w:r w:rsidRPr="00E36545">
        <w:rPr>
          <w:lang w:val="en-AU" w:eastAsia="en-US"/>
        </w:rPr>
        <w:t>The rule tests foreign control by looking at the direct and indirect ownership of the LTC, and testing the tax residence of the owners.  Standard tests of residency will apply to determine the residency of individuals.</w:t>
      </w:r>
    </w:p>
    <w:p w:rsidR="002F0CE6" w:rsidRDefault="002F0CE6" w:rsidP="00D163CA">
      <w:pPr>
        <w:rPr>
          <w:lang w:val="en-AU" w:eastAsia="en-US"/>
        </w:rPr>
      </w:pPr>
    </w:p>
    <w:p w:rsidR="002F0CE6" w:rsidRPr="005B4FAE" w:rsidRDefault="002F1465" w:rsidP="00D163CA">
      <w:pPr>
        <w:rPr>
          <w:spacing w:val="-4"/>
          <w:lang w:val="en-AU" w:eastAsia="en-US"/>
        </w:rPr>
      </w:pPr>
      <w:r w:rsidRPr="005B4FAE">
        <w:rPr>
          <w:spacing w:val="-4"/>
          <w:lang w:val="en-AU" w:eastAsia="en-US"/>
        </w:rPr>
        <w:t>A trust that has</w:t>
      </w:r>
      <w:r w:rsidR="002F0CE6" w:rsidRPr="005B4FAE">
        <w:rPr>
          <w:spacing w:val="-4"/>
          <w:lang w:val="en-AU" w:eastAsia="en-US"/>
        </w:rPr>
        <w:t xml:space="preserve"> foreign settlors</w:t>
      </w:r>
      <w:r w:rsidRPr="005B4FAE">
        <w:rPr>
          <w:spacing w:val="-4"/>
          <w:lang w:val="en-AU" w:eastAsia="en-US"/>
        </w:rPr>
        <w:t xml:space="preserve"> is</w:t>
      </w:r>
      <w:r w:rsidR="002F0CE6" w:rsidRPr="005B4FAE">
        <w:rPr>
          <w:spacing w:val="-4"/>
          <w:lang w:val="en-AU" w:eastAsia="en-US"/>
        </w:rPr>
        <w:t xml:space="preserve"> </w:t>
      </w:r>
      <w:r w:rsidR="000E07C9" w:rsidRPr="005B4FAE">
        <w:rPr>
          <w:spacing w:val="-4"/>
          <w:lang w:val="en-AU" w:eastAsia="en-US"/>
        </w:rPr>
        <w:t>considered</w:t>
      </w:r>
      <w:r w:rsidR="002F0CE6" w:rsidRPr="005B4FAE">
        <w:rPr>
          <w:spacing w:val="-4"/>
          <w:lang w:val="en-AU" w:eastAsia="en-US"/>
        </w:rPr>
        <w:t xml:space="preserve"> to be a foreign LTC holder only to the extent of the proportion of</w:t>
      </w:r>
      <w:r w:rsidRPr="005B4FAE">
        <w:rPr>
          <w:spacing w:val="-4"/>
          <w:lang w:val="en-AU" w:eastAsia="en-US"/>
        </w:rPr>
        <w:t xml:space="preserve"> the value of</w:t>
      </w:r>
      <w:r w:rsidR="002F0CE6" w:rsidRPr="005B4FAE">
        <w:rPr>
          <w:spacing w:val="-4"/>
          <w:lang w:val="en-AU" w:eastAsia="en-US"/>
        </w:rPr>
        <w:t xml:space="preserve"> settlements made by the non-resident settlors. </w:t>
      </w:r>
      <w:r w:rsidR="005815DF" w:rsidRPr="005B4FAE">
        <w:rPr>
          <w:spacing w:val="-4"/>
          <w:lang w:val="en-AU" w:eastAsia="en-US"/>
        </w:rPr>
        <w:t xml:space="preserve"> </w:t>
      </w:r>
      <w:r w:rsidR="002F0CE6" w:rsidRPr="005B4FAE">
        <w:rPr>
          <w:spacing w:val="-4"/>
          <w:lang w:val="en-AU" w:eastAsia="en-US"/>
        </w:rPr>
        <w:t>For example, if a trust held 50</w:t>
      </w:r>
      <w:r w:rsidR="005815DF" w:rsidRPr="005B4FAE">
        <w:rPr>
          <w:spacing w:val="-4"/>
          <w:lang w:val="en-AU" w:eastAsia="en-US"/>
        </w:rPr>
        <w:t xml:space="preserve"> percent</w:t>
      </w:r>
      <w:r w:rsidR="002F0CE6" w:rsidRPr="005B4FAE">
        <w:rPr>
          <w:spacing w:val="-4"/>
          <w:lang w:val="en-AU" w:eastAsia="en-US"/>
        </w:rPr>
        <w:t xml:space="preserve"> of the shares in a company, and 50</w:t>
      </w:r>
      <w:r w:rsidR="005815DF" w:rsidRPr="005B4FAE">
        <w:rPr>
          <w:spacing w:val="-4"/>
          <w:lang w:val="en-AU" w:eastAsia="en-US"/>
        </w:rPr>
        <w:t xml:space="preserve"> percent</w:t>
      </w:r>
      <w:r w:rsidR="002F0CE6" w:rsidRPr="005B4FAE">
        <w:rPr>
          <w:spacing w:val="-4"/>
          <w:lang w:val="en-AU" w:eastAsia="en-US"/>
        </w:rPr>
        <w:t xml:space="preserve"> of the</w:t>
      </w:r>
      <w:r w:rsidRPr="005B4FAE">
        <w:rPr>
          <w:spacing w:val="-4"/>
          <w:lang w:val="en-AU" w:eastAsia="en-US"/>
        </w:rPr>
        <w:t xml:space="preserve"> value of</w:t>
      </w:r>
      <w:r w:rsidR="002F0CE6" w:rsidRPr="005B4FAE">
        <w:rPr>
          <w:spacing w:val="-4"/>
          <w:lang w:val="en-AU" w:eastAsia="en-US"/>
        </w:rPr>
        <w:t xml:space="preserve"> settlements made</w:t>
      </w:r>
      <w:r w:rsidRPr="005B4FAE">
        <w:rPr>
          <w:spacing w:val="-4"/>
          <w:lang w:val="en-AU" w:eastAsia="en-US"/>
        </w:rPr>
        <w:t xml:space="preserve"> on</w:t>
      </w:r>
      <w:r w:rsidR="002F0CE6" w:rsidRPr="005B4FAE">
        <w:rPr>
          <w:spacing w:val="-4"/>
          <w:lang w:val="en-AU" w:eastAsia="en-US"/>
        </w:rPr>
        <w:t xml:space="preserve"> the trust were by non-residents</w:t>
      </w:r>
      <w:r w:rsidR="005815DF" w:rsidRPr="005B4FAE">
        <w:rPr>
          <w:spacing w:val="-4"/>
          <w:lang w:val="en-AU" w:eastAsia="en-US"/>
        </w:rPr>
        <w:t>,</w:t>
      </w:r>
      <w:r w:rsidR="002F0CE6" w:rsidRPr="005B4FAE">
        <w:rPr>
          <w:spacing w:val="-4"/>
          <w:lang w:val="en-AU" w:eastAsia="en-US"/>
        </w:rPr>
        <w:t xml:space="preserve"> then </w:t>
      </w:r>
      <w:r w:rsidR="000E07C9" w:rsidRPr="005B4FAE">
        <w:rPr>
          <w:spacing w:val="-4"/>
          <w:lang w:val="en-AU" w:eastAsia="en-US"/>
        </w:rPr>
        <w:t>25</w:t>
      </w:r>
      <w:r w:rsidR="005815DF" w:rsidRPr="005B4FAE">
        <w:rPr>
          <w:spacing w:val="-4"/>
          <w:lang w:val="en-AU" w:eastAsia="en-US"/>
        </w:rPr>
        <w:t xml:space="preserve"> percent</w:t>
      </w:r>
      <w:r w:rsidR="000E07C9" w:rsidRPr="005B4FAE">
        <w:rPr>
          <w:spacing w:val="-4"/>
          <w:lang w:val="en-AU" w:eastAsia="en-US"/>
        </w:rPr>
        <w:t xml:space="preserve"> of the ownership interests in the company</w:t>
      </w:r>
      <w:r w:rsidR="009A2749" w:rsidRPr="005B4FAE">
        <w:rPr>
          <w:spacing w:val="-4"/>
          <w:lang w:val="en-AU" w:eastAsia="en-US"/>
        </w:rPr>
        <w:t xml:space="preserve"> would be considered to be</w:t>
      </w:r>
      <w:r w:rsidR="000E07C9" w:rsidRPr="005B4FAE">
        <w:rPr>
          <w:spacing w:val="-4"/>
          <w:lang w:val="en-AU" w:eastAsia="en-US"/>
        </w:rPr>
        <w:t xml:space="preserve"> held by foreign LTC holders.</w:t>
      </w:r>
      <w:r w:rsidR="009A2749" w:rsidRPr="005B4FAE">
        <w:rPr>
          <w:spacing w:val="-4"/>
          <w:lang w:val="en-AU" w:eastAsia="en-US"/>
        </w:rPr>
        <w:t xml:space="preserve"> </w:t>
      </w:r>
      <w:r w:rsidR="005815DF" w:rsidRPr="005B4FAE">
        <w:rPr>
          <w:spacing w:val="-4"/>
          <w:lang w:val="en-AU" w:eastAsia="en-US"/>
        </w:rPr>
        <w:t xml:space="preserve"> </w:t>
      </w:r>
      <w:r w:rsidR="009A2749" w:rsidRPr="005B4FAE">
        <w:rPr>
          <w:spacing w:val="-4"/>
          <w:lang w:val="en-AU" w:eastAsia="en-US"/>
        </w:rPr>
        <w:t xml:space="preserve">In determining the proportion of the value of settlements made by non-resident settlors, provisions of services at below market value are not counted. </w:t>
      </w:r>
      <w:r w:rsidR="005815DF" w:rsidRPr="005B4FAE">
        <w:rPr>
          <w:spacing w:val="-4"/>
          <w:lang w:val="en-AU" w:eastAsia="en-US"/>
        </w:rPr>
        <w:t xml:space="preserve"> </w:t>
      </w:r>
      <w:r w:rsidR="009A2749" w:rsidRPr="005B4FAE">
        <w:rPr>
          <w:spacing w:val="-4"/>
          <w:lang w:val="en-AU" w:eastAsia="en-US"/>
        </w:rPr>
        <w:t>These services are not counted due to the difficulty in valuing them.</w:t>
      </w:r>
    </w:p>
    <w:p w:rsidR="00D163CA" w:rsidRDefault="00D163CA" w:rsidP="00502548"/>
    <w:p w:rsidR="001F3E9B" w:rsidRDefault="001F3E9B" w:rsidP="001F3E9B">
      <w:pPr>
        <w:pStyle w:val="Exampleheading"/>
        <w:pBdr>
          <w:top w:val="single" w:sz="4" w:space="10" w:color="auto"/>
          <w:left w:val="single" w:sz="4" w:space="10" w:color="auto"/>
          <w:bottom w:val="single" w:sz="4" w:space="10" w:color="auto"/>
          <w:right w:val="single" w:sz="4" w:space="10" w:color="auto"/>
        </w:pBdr>
      </w:pPr>
      <w:r>
        <w:t>Example</w:t>
      </w:r>
    </w:p>
    <w:p w:rsidR="000E07C9" w:rsidRDefault="000E07C9" w:rsidP="001F3E9B">
      <w:pPr>
        <w:pStyle w:val="Exampletext"/>
        <w:pBdr>
          <w:top w:val="single" w:sz="4" w:space="10" w:color="auto"/>
          <w:left w:val="single" w:sz="4" w:space="10" w:color="auto"/>
          <w:bottom w:val="single" w:sz="4" w:space="10" w:color="auto"/>
          <w:right w:val="single" w:sz="4" w:space="10" w:color="auto"/>
        </w:pBdr>
      </w:pPr>
      <w:r>
        <w:rPr>
          <w:noProof/>
        </w:rPr>
        <mc:AlternateContent>
          <mc:Choice Requires="wpc">
            <w:drawing>
              <wp:inline distT="0" distB="0" distL="0" distR="0" wp14:anchorId="3D39B29F" wp14:editId="698651C1">
                <wp:extent cx="5400040" cy="2209165"/>
                <wp:effectExtent l="0" t="0" r="0" b="0"/>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2" name="Text Box 77"/>
                        <wps:cNvSpPr txBox="1"/>
                        <wps:spPr>
                          <a:xfrm>
                            <a:off x="3160707" y="1368640"/>
                            <a:ext cx="484505"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Default="0050054A" w:rsidP="000E07C9">
                              <w:pPr>
                                <w:pStyle w:val="NormalWeb"/>
                                <w:spacing w:before="0" w:beforeAutospacing="0" w:after="0" w:afterAutospacing="0"/>
                                <w:jc w:val="both"/>
                              </w:pPr>
                              <w:r>
                                <w:rPr>
                                  <w:rFonts w:eastAsia="Times New Roman"/>
                                  <w:sz w:val="16"/>
                                  <w:szCs w:val="16"/>
                                </w:rPr>
                                <w:t>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Text Box 97"/>
                        <wps:cNvSpPr txBox="1"/>
                        <wps:spPr>
                          <a:xfrm>
                            <a:off x="1320031" y="522852"/>
                            <a:ext cx="48450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Pr="0062124B" w:rsidRDefault="0050054A" w:rsidP="0062124B">
                              <w:pPr>
                                <w:rPr>
                                  <w:sz w:val="16"/>
                                  <w:szCs w:val="16"/>
                                </w:rPr>
                              </w:pPr>
                              <w:r w:rsidRPr="0062124B">
                                <w:rPr>
                                  <w:sz w:val="16"/>
                                  <w:szCs w:val="16"/>
                                </w:rPr>
                                <w:t>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2151150" y="498764"/>
                            <a:ext cx="48480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Pr="0062124B" w:rsidRDefault="0050054A">
                              <w:pPr>
                                <w:rPr>
                                  <w:sz w:val="16"/>
                                  <w:szCs w:val="16"/>
                                </w:rPr>
                              </w:pPr>
                              <w:r w:rsidRPr="0062124B">
                                <w:rPr>
                                  <w:sz w:val="16"/>
                                  <w:szCs w:val="16"/>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2364905" y="1326774"/>
                            <a:ext cx="484800" cy="2943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Pr="007A174E" w:rsidRDefault="0050054A" w:rsidP="000E07C9">
                              <w:pPr>
                                <w:rPr>
                                  <w:sz w:val="16"/>
                                  <w:szCs w:val="16"/>
                                </w:rPr>
                              </w:pPr>
                              <w:r>
                                <w:rPr>
                                  <w:sz w:val="16"/>
                                  <w:szCs w:val="16"/>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Rectangle 78"/>
                        <wps:cNvSpPr/>
                        <wps:spPr>
                          <a:xfrm>
                            <a:off x="1169767" y="100009"/>
                            <a:ext cx="733425" cy="37500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Pr="007A174E" w:rsidRDefault="0050054A" w:rsidP="000E07C9">
                              <w:pPr>
                                <w:pStyle w:val="NormalWeb"/>
                                <w:spacing w:before="0" w:beforeAutospacing="0" w:after="0" w:afterAutospacing="0"/>
                                <w:jc w:val="center"/>
                                <w:rPr>
                                  <w:rFonts w:eastAsia="Times New Roman"/>
                                  <w:color w:val="000000"/>
                                  <w:sz w:val="16"/>
                                  <w:szCs w:val="16"/>
                                </w:rPr>
                              </w:pPr>
                              <w:r>
                                <w:rPr>
                                  <w:rFonts w:eastAsia="Times New Roman"/>
                                  <w:color w:val="000000"/>
                                  <w:sz w:val="16"/>
                                  <w:szCs w:val="16"/>
                                </w:rPr>
                                <w:t>Resident settlor</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79" name="Isosceles Triangle 79"/>
                        <wps:cNvSpPr/>
                        <wps:spPr>
                          <a:xfrm>
                            <a:off x="1585001" y="719955"/>
                            <a:ext cx="752475" cy="64868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Pr="00FB325B" w:rsidRDefault="0050054A" w:rsidP="000E07C9">
                              <w:pPr>
                                <w:jc w:val="center"/>
                                <w:rPr>
                                  <w:color w:val="000000" w:themeColor="text1"/>
                                  <w:sz w:val="16"/>
                                  <w:szCs w:val="16"/>
                                </w:rPr>
                              </w:pPr>
                              <w:r w:rsidRPr="00FB325B">
                                <w:rPr>
                                  <w:color w:val="000000" w:themeColor="text1"/>
                                  <w:sz w:val="16"/>
                                  <w:szCs w:val="16"/>
                                </w:rPr>
                                <w:t>T</w:t>
                              </w:r>
                              <w:r>
                                <w:rPr>
                                  <w:color w:val="000000" w:themeColor="text1"/>
                                  <w:sz w:val="16"/>
                                  <w:szCs w:val="16"/>
                                </w:rPr>
                                <w:t>rust D</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s:wsp>
                        <wps:cNvPr id="80" name="Rectangle 80"/>
                        <wps:cNvSpPr/>
                        <wps:spPr>
                          <a:xfrm>
                            <a:off x="1994513" y="100433"/>
                            <a:ext cx="733425" cy="3745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Pr="007A7433" w:rsidRDefault="0050054A" w:rsidP="000E07C9">
                              <w:pPr>
                                <w:pStyle w:val="NormalWeb"/>
                                <w:spacing w:before="0" w:beforeAutospacing="0" w:after="0" w:afterAutospacing="0"/>
                                <w:jc w:val="center"/>
                                <w:rPr>
                                  <w:rFonts w:eastAsia="Times New Roman"/>
                                  <w:color w:val="000000"/>
                                  <w:sz w:val="16"/>
                                  <w:szCs w:val="16"/>
                                </w:rPr>
                              </w:pPr>
                              <w:r>
                                <w:rPr>
                                  <w:rFonts w:eastAsia="Times New Roman"/>
                                  <w:color w:val="000000"/>
                                  <w:sz w:val="16"/>
                                  <w:szCs w:val="16"/>
                                </w:rPr>
                                <w:t>Non-resident settlor</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84" name="Rectangle 84"/>
                        <wps:cNvSpPr/>
                        <wps:spPr>
                          <a:xfrm>
                            <a:off x="2361225" y="1627058"/>
                            <a:ext cx="733425" cy="381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Pr="007A174E" w:rsidRDefault="0050054A" w:rsidP="000E07C9">
                              <w:pPr>
                                <w:jc w:val="center"/>
                                <w:rPr>
                                  <w:color w:val="000000" w:themeColor="text1"/>
                                  <w:sz w:val="16"/>
                                  <w:szCs w:val="16"/>
                                </w:rPr>
                              </w:pPr>
                              <w:r>
                                <w:rPr>
                                  <w:color w:val="000000" w:themeColor="text1"/>
                                  <w:sz w:val="16"/>
                                  <w:szCs w:val="16"/>
                                </w:rPr>
                                <w:t>Company 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Connector 85"/>
                        <wps:cNvCnPr>
                          <a:stCxn id="84" idx="0"/>
                          <a:endCxn id="79" idx="3"/>
                        </wps:cNvCnPr>
                        <wps:spPr>
                          <a:xfrm flipH="1" flipV="1">
                            <a:off x="1961239" y="1368640"/>
                            <a:ext cx="766699" cy="2584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a:stCxn id="80" idx="2"/>
                          <a:endCxn id="79" idx="0"/>
                        </wps:cNvCnPr>
                        <wps:spPr>
                          <a:xfrm flipH="1">
                            <a:off x="1961239" y="475013"/>
                            <a:ext cx="399987" cy="24494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a:stCxn id="78" idx="2"/>
                          <a:endCxn id="79" idx="0"/>
                        </wps:cNvCnPr>
                        <wps:spPr>
                          <a:xfrm>
                            <a:off x="1536480" y="475012"/>
                            <a:ext cx="424759" cy="24494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9" name="Rectangle 99"/>
                        <wps:cNvSpPr/>
                        <wps:spPr>
                          <a:xfrm>
                            <a:off x="3094650" y="952124"/>
                            <a:ext cx="733425" cy="374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0E07C9">
                              <w:pPr>
                                <w:pStyle w:val="NormalWeb"/>
                                <w:spacing w:before="0" w:beforeAutospacing="0" w:after="0" w:afterAutospacing="0"/>
                                <w:jc w:val="center"/>
                              </w:pPr>
                              <w:r>
                                <w:rPr>
                                  <w:rFonts w:eastAsia="Times New Roman"/>
                                  <w:color w:val="000000"/>
                                  <w:sz w:val="16"/>
                                  <w:szCs w:val="16"/>
                                </w:rPr>
                                <w:t>Steve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00" name="Straight Connector 100"/>
                        <wps:cNvCnPr>
                          <a:stCxn id="99" idx="2"/>
                          <a:endCxn id="84" idx="0"/>
                        </wps:cNvCnPr>
                        <wps:spPr>
                          <a:xfrm flipH="1">
                            <a:off x="2727938" y="1326774"/>
                            <a:ext cx="733425" cy="3002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3" o:spid="_x0000_s1038" editas="canvas" style="width:425.2pt;height:173.95pt;mso-position-horizontal-relative:char;mso-position-vertical-relative:line" coordsize="54000,2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">
                <v:shape id="_x0000_s1039" type="#_x0000_t75" style="position:absolute;width:54000;height:22091;visibility:visible;mso-wrap-style:square">
                  <v:fill o:detectmouseclick="t"/>
                  <v:path o:connecttype="none"/>
                </v:shape>
                <v:shape id="Text Box 77" o:spid="_x0000_s1040" type="#_x0000_t202" style="position:absolute;left:31607;top:13686;width:484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EEsQA&#10;AADcAAAADwAAAGRycy9kb3ducmV2LnhtbERPS2vCQBC+C/6HZQq9SN2oqCV1FSmtSm9N+qC3ITtN&#10;gtnZkF2T+O9dQfA2H99zVpveVKKlxpWWFUzGEQjizOqScwVf6fvTMwjnkTVWlknBmRxs1sPBCmNt&#10;O/6kNvG5CCHsYlRQeF/HUrqsIINubGviwP3bxqAPsMmlbrAL4aaS0yhaSIMlh4YCa3otKDsmJ6Pg&#10;b5T/frh+993N5rP6bd+myx+dKvX40G9fQHjq/V18cx90mB9N4fpMuE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BBLEAAAA3AAAAA8AAAAAAAAAAAAAAAAAmAIAAGRycy9k&#10;b3ducmV2LnhtbFBLBQYAAAAABAAEAPUAAACJAwAAAAA=&#10;" fillcolor="white [3201]" stroked="f" strokeweight=".5pt">
                  <v:textbox>
                    <w:txbxContent>
                      <w:p w:rsidR="0050054A" w:rsidRDefault="0050054A" w:rsidP="000E07C9">
                        <w:pPr>
                          <w:pStyle w:val="NormalWeb"/>
                          <w:spacing w:before="0" w:beforeAutospacing="0" w:after="0" w:afterAutospacing="0"/>
                          <w:jc w:val="both"/>
                        </w:pPr>
                        <w:r>
                          <w:rPr>
                            <w:rFonts w:eastAsia="Times New Roman"/>
                            <w:sz w:val="16"/>
                            <w:szCs w:val="16"/>
                          </w:rPr>
                          <w:t>40%</w:t>
                        </w:r>
                      </w:p>
                    </w:txbxContent>
                  </v:textbox>
                </v:shape>
                <v:shape id="Text Box 97" o:spid="_x0000_s1041" type="#_x0000_t202" style="position:absolute;left:13200;top:5228;width:4845;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IhMMA&#10;AADbAAAADwAAAGRycy9kb3ducmV2LnhtbERPy2rCQBTdF/yH4QpupE6qaGvqKCK+cFfTWrq7ZG6T&#10;0MydkBmT+PfOQujycN6LVWdK0VDtCssKXkYRCOLU6oIzBZ/J7vkNhPPIGkvLpOBGDlbL3tMCY21b&#10;/qDm7DMRQtjFqCD3voqldGlOBt3IVsSB+7W1QR9gnUldYxvCTSnHUTSTBgsODTlWtMkp/TtfjYKf&#10;YfZ9ct3+q51MJ9X20CSvF50oNeh363cQnjr/L364j1rBPIwNX8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ZIhMMAAADbAAAADwAAAAAAAAAAAAAAAACYAgAAZHJzL2Rv&#10;d25yZXYueG1sUEsFBgAAAAAEAAQA9QAAAIgDAAAAAA==&#10;" fillcolor="white [3201]" stroked="f" strokeweight=".5pt">
                  <v:textbox>
                    <w:txbxContent>
                      <w:p w:rsidR="0050054A" w:rsidRPr="0062124B" w:rsidRDefault="0050054A" w:rsidP="0062124B">
                        <w:pPr>
                          <w:rPr>
                            <w:sz w:val="16"/>
                            <w:szCs w:val="16"/>
                          </w:rPr>
                        </w:pPr>
                        <w:r w:rsidRPr="0062124B">
                          <w:rPr>
                            <w:sz w:val="16"/>
                            <w:szCs w:val="16"/>
                          </w:rPr>
                          <w:t>40%</w:t>
                        </w:r>
                      </w:p>
                    </w:txbxContent>
                  </v:textbox>
                </v:shape>
                <v:shape id="Text Box 97" o:spid="_x0000_s1042" type="#_x0000_t202" style="position:absolute;left:21511;top:4987;width:4848;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c9sYA&#10;AADbAAAADwAAAGRycy9kb3ducmV2LnhtbESPQWvCQBSE70L/w/IKXkQ3Vao2uopIa8WbRlt6e2Sf&#10;SWj2bchuk/jvu4WCx2FmvmGW686UoqHaFZYVPI0iEMSp1QVnCs7J23AOwnlkjaVlUnAjB+vVQ2+J&#10;sbYtH6k5+UwECLsYFeTeV7GULs3JoBvZijh4V1sb9EHWmdQ1tgFuSjmOoqk0WHBYyLGibU7p9+nH&#10;KPgaZJ8H1+0u7eR5Ur2+N8nsQydK9R+7zQKEp87fw//tvVbwMo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nc9sYAAADbAAAADwAAAAAAAAAAAAAAAACYAgAAZHJz&#10;L2Rvd25yZXYueG1sUEsFBgAAAAAEAAQA9QAAAIsDAAAAAA==&#10;" fillcolor="white [3201]" stroked="f" strokeweight=".5pt">
                  <v:textbox>
                    <w:txbxContent>
                      <w:p w:rsidR="0050054A" w:rsidRPr="0062124B" w:rsidRDefault="0050054A">
                        <w:pPr>
                          <w:rPr>
                            <w:sz w:val="16"/>
                            <w:szCs w:val="16"/>
                          </w:rPr>
                        </w:pPr>
                        <w:r w:rsidRPr="0062124B">
                          <w:rPr>
                            <w:sz w:val="16"/>
                            <w:szCs w:val="16"/>
                          </w:rPr>
                          <w:t>60%</w:t>
                        </w:r>
                      </w:p>
                    </w:txbxContent>
                  </v:textbox>
                </v:shape>
                <v:shape id="Text Box 77" o:spid="_x0000_s1043" type="#_x0000_t202" style="position:absolute;left:23649;top:13267;width:4848;height:2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6DMUA&#10;AADbAAAADwAAAGRycy9kb3ducmV2LnhtbESPQWvCQBSE74X+h+UVvJS6UWkj0VWKqBVvGrX09sg+&#10;k9Ds25Bdk/Tfu4VCj8PMfMPMl72pREuNKy0rGA0jEMSZ1SXnCk7p5mUKwnlkjZVlUvBDDpaLx4c5&#10;Jtp2fKD26HMRIOwSVFB4XydSuqwgg25oa+LgXW1j0AfZ5FI32AW4qeQ4it6kwZLDQoE1rQrKvo83&#10;o+DrOf/cu3577iavk3r90abxRadKDZ769xkIT73/D/+1d1pBHMP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ToMxQAAANsAAAAPAAAAAAAAAAAAAAAAAJgCAABkcnMv&#10;ZG93bnJldi54bWxQSwUGAAAAAAQABAD1AAAAigMAAAAA&#10;" fillcolor="white [3201]" stroked="f" strokeweight=".5pt">
                  <v:textbox>
                    <w:txbxContent>
                      <w:p w:rsidR="0050054A" w:rsidRPr="007A174E" w:rsidRDefault="0050054A" w:rsidP="000E07C9">
                        <w:pPr>
                          <w:rPr>
                            <w:sz w:val="16"/>
                            <w:szCs w:val="16"/>
                          </w:rPr>
                        </w:pPr>
                        <w:r>
                          <w:rPr>
                            <w:sz w:val="16"/>
                            <w:szCs w:val="16"/>
                          </w:rPr>
                          <w:t>60%</w:t>
                        </w:r>
                      </w:p>
                    </w:txbxContent>
                  </v:textbox>
                </v:shape>
                <v:rect id="Rectangle 78" o:spid="_x0000_s1044" style="position:absolute;left:11697;top:1000;width:7334;height:3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ZeMEA&#10;AADbAAAADwAAAGRycy9kb3ducmV2LnhtbERPu2rDMBTdA/kHcQNZQizXgxNcy6EEAl1CqNOh48W6&#10;tU2tK2PJj/TrqyHQ8XDe+WkxnZhocK1lBS9RDIK4srrlWsHn/bI/gnAeWWNnmRQ8yMGpWK9yzLSd&#10;+YOm0tcihLDLUEHjfZ9J6aqGDLrI9sSB+7aDQR/gUEs94BzCTSeTOE6lwZZDQ4M9nRuqfsrRKDDJ&#10;MpfX8fFl09tvPHM37iZDSm03y9srCE+L/xc/3e9awSGMDV/CD5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4GXjBAAAA2wAAAA8AAAAAAAAAAAAAAAAAmAIAAGRycy9kb3du&#10;cmV2LnhtbFBLBQYAAAAABAAEAPUAAACGAwAAAAA=&#10;" filled="f" strokecolor="black [3213]" strokeweight="1pt">
                  <v:textbox inset="0,,0">
                    <w:txbxContent>
                      <w:p w:rsidR="0050054A" w:rsidRPr="007A174E" w:rsidRDefault="0050054A" w:rsidP="000E07C9">
                        <w:pPr>
                          <w:pStyle w:val="NormalWeb"/>
                          <w:spacing w:before="0" w:beforeAutospacing="0" w:after="0" w:afterAutospacing="0"/>
                          <w:jc w:val="center"/>
                          <w:rPr>
                            <w:rFonts w:eastAsia="Times New Roman"/>
                            <w:color w:val="000000"/>
                            <w:sz w:val="16"/>
                            <w:szCs w:val="16"/>
                          </w:rPr>
                        </w:pPr>
                        <w:r>
                          <w:rPr>
                            <w:rFonts w:eastAsia="Times New Roman"/>
                            <w:color w:val="000000"/>
                            <w:sz w:val="16"/>
                            <w:szCs w:val="16"/>
                          </w:rPr>
                          <w:t>Resident settlor</w:t>
                        </w:r>
                      </w:p>
                    </w:txbxContent>
                  </v:textbox>
                </v:rect>
                <v:shape id="Isosceles Triangle 79" o:spid="_x0000_s1045" type="#_x0000_t5" style="position:absolute;left:15850;top:7199;width:7524;height:6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tsYA&#10;AADbAAAADwAAAGRycy9kb3ducmV2LnhtbESPQWsCMRSE70L/Q3gFL1KzlaJ1NUorChY8qC2U3h6b&#10;52bp5mVJUnf996YgeBxm5htmvuxsLc7kQ+VYwfMwA0FcOF1xqeDrc/P0CiJEZI21Y1JwoQDLxUNv&#10;jrl2LR/ofIylSBAOOSowMTa5lKEwZDEMXUOcvJPzFmOSvpTaY5vgtpajLBtLixWnBYMNrQwVv8c/&#10;q2C99j/T4mN3aPfm8rLqvv3gfTNRqv/Yvc1AROriPXxrb7WCyRT+v6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tsYAAADbAAAADwAAAAAAAAAAAAAAAACYAgAAZHJz&#10;L2Rvd25yZXYueG1sUEsFBgAAAAAEAAQA9QAAAIsDAAAAAA==&#10;" filled="f" strokecolor="black [3213]" strokeweight="1pt">
                  <v:textbox inset="0,0,0">
                    <w:txbxContent>
                      <w:p w:rsidR="0050054A" w:rsidRPr="00FB325B" w:rsidRDefault="0050054A" w:rsidP="000E07C9">
                        <w:pPr>
                          <w:jc w:val="center"/>
                          <w:rPr>
                            <w:color w:val="000000" w:themeColor="text1"/>
                            <w:sz w:val="16"/>
                            <w:szCs w:val="16"/>
                          </w:rPr>
                        </w:pPr>
                        <w:r w:rsidRPr="00FB325B">
                          <w:rPr>
                            <w:color w:val="000000" w:themeColor="text1"/>
                            <w:sz w:val="16"/>
                            <w:szCs w:val="16"/>
                          </w:rPr>
                          <w:t>T</w:t>
                        </w:r>
                        <w:r>
                          <w:rPr>
                            <w:color w:val="000000" w:themeColor="text1"/>
                            <w:sz w:val="16"/>
                            <w:szCs w:val="16"/>
                          </w:rPr>
                          <w:t>rust D</w:t>
                        </w:r>
                      </w:p>
                    </w:txbxContent>
                  </v:textbox>
                </v:shape>
                <v:rect id="Rectangle 80" o:spid="_x0000_s1046" style="position:absolute;left:19945;top:1004;width:7334;height:3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WbwA&#10;AADbAAAADwAAAGRycy9kb3ducmV2LnhtbERPuwrCMBTdBf8hXMFFNNVBpBpFBMFFxOrgeGmubbG5&#10;KU360K83g+B4OO/NrjelaKl2hWUF81kEgji1uuBMwf12nK5AOI+ssbRMCt7kYLcdDjYYa9vxldrE&#10;ZyKEsItRQe59FUvp0pwMupmtiAP3tLVBH2CdSV1jF8JNKRdRtJQGCw4NOVZ0yCl9JY1RYBZ9l5yb&#10;98MuL5+o47KZtIaUGo/6/RqEp97/xT/3SStYhfXhS/gBcvs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2VZvAAAANsAAAAPAAAAAAAAAAAAAAAAAJgCAABkcnMvZG93bnJldi54&#10;bWxQSwUGAAAAAAQABAD1AAAAgQMAAAAA&#10;" filled="f" strokecolor="black [3213]" strokeweight="1pt">
                  <v:textbox inset="0,,0">
                    <w:txbxContent>
                      <w:p w:rsidR="0050054A" w:rsidRPr="007A7433" w:rsidRDefault="0050054A" w:rsidP="000E07C9">
                        <w:pPr>
                          <w:pStyle w:val="NormalWeb"/>
                          <w:spacing w:before="0" w:beforeAutospacing="0" w:after="0" w:afterAutospacing="0"/>
                          <w:jc w:val="center"/>
                          <w:rPr>
                            <w:rFonts w:eastAsia="Times New Roman"/>
                            <w:color w:val="000000"/>
                            <w:sz w:val="16"/>
                            <w:szCs w:val="16"/>
                          </w:rPr>
                        </w:pPr>
                        <w:r>
                          <w:rPr>
                            <w:rFonts w:eastAsia="Times New Roman"/>
                            <w:color w:val="000000"/>
                            <w:sz w:val="16"/>
                            <w:szCs w:val="16"/>
                          </w:rPr>
                          <w:t>Non-resident settlor</w:t>
                        </w:r>
                      </w:p>
                    </w:txbxContent>
                  </v:textbox>
                </v:rect>
                <v:rect id="Rectangle 84" o:spid="_x0000_s1047" style="position:absolute;left:23612;top:16270;width:733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FEcYA&#10;AADbAAAADwAAAGRycy9kb3ducmV2LnhtbESPQUvDQBSE7wX/w/IEL8VuKlJ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6FEcYAAADbAAAADwAAAAAAAAAAAAAAAACYAgAAZHJz&#10;L2Rvd25yZXYueG1sUEsFBgAAAAAEAAQA9QAAAIsDAAAAAA==&#10;" filled="f" strokecolor="black [3213]" strokeweight="1pt">
                  <v:textbox>
                    <w:txbxContent>
                      <w:p w:rsidR="0050054A" w:rsidRPr="007A174E" w:rsidRDefault="0050054A" w:rsidP="000E07C9">
                        <w:pPr>
                          <w:jc w:val="center"/>
                          <w:rPr>
                            <w:color w:val="000000" w:themeColor="text1"/>
                            <w:sz w:val="16"/>
                            <w:szCs w:val="16"/>
                          </w:rPr>
                        </w:pPr>
                        <w:r>
                          <w:rPr>
                            <w:color w:val="000000" w:themeColor="text1"/>
                            <w:sz w:val="16"/>
                            <w:szCs w:val="16"/>
                          </w:rPr>
                          <w:t>Company Z</w:t>
                        </w:r>
                      </w:p>
                    </w:txbxContent>
                  </v:textbox>
                </v:rect>
                <v:line id="Straight Connector 85" o:spid="_x0000_s1048" style="position:absolute;flip:x y;visibility:visible;mso-wrap-style:square" from="19612,13686" to="27279,1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KECsIAAADbAAAADwAAAGRycy9kb3ducmV2LnhtbESP3WrCQBSE7wu+w3IE7+pGwRKjq6hQ&#10;ESyCf/eH7DGJZs+G7Nasb98tFHo5zMw3zHwZTC2e1LrKsoLRMAFBnFtdcaHgcv58T0E4j6yxtkwK&#10;XuRguei9zTHTtuMjPU++EBHCLkMFpfdNJqXLSzLohrYhjt7NtgZ9lG0hdYtdhJtajpPkQxqsOC6U&#10;2NCmpPxx+jYKdvswTXlzuH/htbP1YbJO9DYoNeiH1QyEp+D/w3/tnVaQTuD3S/wB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KECsIAAADbAAAADwAAAAAAAAAAAAAA&#10;AAChAgAAZHJzL2Rvd25yZXYueG1sUEsFBgAAAAAEAAQA+QAAAJADAAAAAA==&#10;" strokecolor="black [3213]"/>
                <v:shape id="Straight Arrow Connector 95" o:spid="_x0000_s1049" type="#_x0000_t32" style="position:absolute;left:19612;top:4750;width:4000;height:24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XJusEAAADbAAAADwAAAGRycy9kb3ducmV2LnhtbESP3WoCMRCF74W+Q5iCd5qtoNitWZHW&#10;gnf+9QGmm3GT7WayJKlu374RCr08nJ+Ps1oPrhNXCtF6VvA0LUAQ115bbhR8nN8nSxAxIWvsPJOC&#10;H4qwrh5GKyy1v/GRrqfUiDzCsUQFJqW+lDLWhhzGqe+Js3fxwWHKMjRSB7zlcdfJWVEspEPLmWCw&#10;p1dD9dfp22Xuxrbzt6C53n629hAM7i8dKjV+HDYvIBIN6T/8195pBc9z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Bcm6wQAAANsAAAAPAAAAAAAAAAAAAAAA&#10;AKECAABkcnMvZG93bnJldi54bWxQSwUGAAAAAAQABAD5AAAAjwMAAAAA&#10;" strokecolor="black [3213]">
                  <v:stroke endarrow="open"/>
                </v:shape>
                <v:shape id="Straight Arrow Connector 96" o:spid="_x0000_s1050" type="#_x0000_t32" style="position:absolute;left:15364;top:4750;width:4248;height:2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sgGcAAAADbAAAADwAAAGRycy9kb3ducmV2LnhtbESPQYvCMBSE7wv+h/AEb2uqBXetRpFV&#10;QbytK54fzbMtbV5Kkq313xtB8DjMzDfMct2bRnTkfGVZwWScgCDOra64UHD+239+g/ABWWNjmRTc&#10;ycN6NfhYYqbtjX+pO4VCRAj7DBWUIbSZlD4vyaAf25Y4elfrDIYoXSG1w1uEm0ZOk2QmDVYcF0ps&#10;6aekvD79GwUVp4Gn23RPx13tvopL3dn0rNRo2G8WIAL14R1+tQ9awXwGzy/x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rIBnAAAAA2wAAAA8AAAAAAAAAAAAAAAAA&#10;oQIAAGRycy9kb3ducmV2LnhtbFBLBQYAAAAABAAEAPkAAACOAwAAAAA=&#10;" strokecolor="black [3213]">
                  <v:stroke endarrow="open"/>
                </v:shape>
                <v:rect id="Rectangle 99" o:spid="_x0000_s1051" style="position:absolute;left:30946;top:9521;width:7334;height:3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aGcMA&#10;AADbAAAADwAAAGRycy9kb3ducmV2LnhtbESPT4vCMBTE7wt+h/AEL4tN14NoNRURFrzIYt3DHh/N&#10;sy02L6VJ/+in3wiCx2FmfsNsd6OpRU+tqywr+IpiEMS51RUXCn4v3/MVCOeRNdaWScGdHOzSyccW&#10;E20HPlOf+UIECLsEFZTeN4mULi/JoItsQxy8q20N+iDbQuoWhwA3tVzE8VIarDgslNjQoaT8lnVG&#10;gVmMQ3bq7n92+fOIB667z96QUrPpuN+A8DT6d/jVPmoF6zU8v4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haGcMAAADbAAAADwAAAAAAAAAAAAAAAACYAgAAZHJzL2Rv&#10;d25yZXYueG1sUEsFBgAAAAAEAAQA9QAAAIgDAAAAAA==&#10;" filled="f" strokecolor="black [3213]" strokeweight="1pt">
                  <v:textbox inset="0,,0">
                    <w:txbxContent>
                      <w:p w:rsidR="0050054A" w:rsidRDefault="0050054A" w:rsidP="000E07C9">
                        <w:pPr>
                          <w:pStyle w:val="NormalWeb"/>
                          <w:spacing w:before="0" w:beforeAutospacing="0" w:after="0" w:afterAutospacing="0"/>
                          <w:jc w:val="center"/>
                        </w:pPr>
                        <w:r>
                          <w:rPr>
                            <w:rFonts w:eastAsia="Times New Roman"/>
                            <w:color w:val="000000"/>
                            <w:sz w:val="16"/>
                            <w:szCs w:val="16"/>
                          </w:rPr>
                          <w:t>Steve</w:t>
                        </w:r>
                      </w:p>
                    </w:txbxContent>
                  </v:textbox>
                </v:rect>
                <v:line id="Straight Connector 100" o:spid="_x0000_s1052" style="position:absolute;flip:x;visibility:visible;mso-wrap-style:square" from="27279,13267" to="34613,1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MDMUAAADcAAAADwAAAGRycy9kb3ducmV2LnhtbESPQUsDMRCF70L/QxihN5soWnTbtGhB&#10;KF6KtT9g2IybpZvJNontdn+9cxC8zfDevPfNcj2ETp0p5TayhfuZAUVcR9dyY+Hw9X73DCoXZIdd&#10;ZLJwpQzr1eRmiZWLF/6k8740SkI4V2jBl9JXWufaU8A8iz2xaN8xBSyypka7hBcJD51+MGauA7Ys&#10;DR572niqj/ufYKEby2F8edv40Zwer263m8f09GHt9HZ4XYAqNJR/89/11gm+EXx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MDMUAAADcAAAADwAAAAAAAAAA&#10;AAAAAAChAgAAZHJzL2Rvd25yZXYueG1sUEsFBgAAAAAEAAQA+QAAAJMDAAAAAA==&#10;" strokecolor="black [3213]"/>
                <w10:anchorlock/>
              </v:group>
            </w:pict>
          </mc:Fallback>
        </mc:AlternateContent>
      </w:r>
    </w:p>
    <w:p w:rsidR="00960DF5" w:rsidRDefault="00960DF5" w:rsidP="005B4FAE">
      <w:pPr>
        <w:pStyle w:val="Exampletext"/>
        <w:pBdr>
          <w:top w:val="single" w:sz="4" w:space="10" w:color="auto"/>
          <w:left w:val="single" w:sz="4" w:space="10" w:color="auto"/>
          <w:bottom w:val="single" w:sz="4" w:space="10" w:color="auto"/>
          <w:right w:val="single" w:sz="4" w:space="10" w:color="auto"/>
        </w:pBdr>
        <w:spacing w:after="140"/>
      </w:pPr>
      <w:r>
        <w:t>Company Z has two shareholders, Trust D which has a 60</w:t>
      </w:r>
      <w:r w:rsidR="00370B0E">
        <w:t xml:space="preserve"> percent</w:t>
      </w:r>
      <w:r>
        <w:t xml:space="preserve"> shareholding in Company Z and Steve, who holds a 40</w:t>
      </w:r>
      <w:r w:rsidR="00370B0E">
        <w:t xml:space="preserve"> percent</w:t>
      </w:r>
      <w:r>
        <w:t xml:space="preserve"> shareholding.</w:t>
      </w:r>
    </w:p>
    <w:p w:rsidR="009A2749" w:rsidRDefault="00960DF5" w:rsidP="005B4FAE">
      <w:pPr>
        <w:pStyle w:val="Exampletext"/>
        <w:pBdr>
          <w:top w:val="single" w:sz="4" w:space="10" w:color="auto"/>
          <w:left w:val="single" w:sz="4" w:space="10" w:color="auto"/>
          <w:bottom w:val="single" w:sz="4" w:space="10" w:color="auto"/>
          <w:right w:val="single" w:sz="4" w:space="10" w:color="auto"/>
        </w:pBdr>
        <w:spacing w:after="140"/>
      </w:pPr>
      <w:r>
        <w:t xml:space="preserve">Steve is an individual who is resident in New Zealand. </w:t>
      </w:r>
    </w:p>
    <w:p w:rsidR="00960DF5" w:rsidRDefault="00960DF5" w:rsidP="005B4FAE">
      <w:pPr>
        <w:pStyle w:val="Exampletext"/>
        <w:pBdr>
          <w:top w:val="single" w:sz="4" w:space="10" w:color="auto"/>
          <w:left w:val="single" w:sz="4" w:space="10" w:color="auto"/>
          <w:bottom w:val="single" w:sz="4" w:space="10" w:color="auto"/>
          <w:right w:val="single" w:sz="4" w:space="10" w:color="auto"/>
        </w:pBdr>
        <w:spacing w:after="140"/>
      </w:pPr>
      <w:r>
        <w:t xml:space="preserve">Trust D is a trust which received $100,000 in cash settlements, $60,000 of the settlements </w:t>
      </w:r>
      <w:r w:rsidR="007800C2">
        <w:t>were made</w:t>
      </w:r>
      <w:r>
        <w:t xml:space="preserve"> by a non-resident settlor and $40,000 </w:t>
      </w:r>
      <w:r w:rsidR="007800C2">
        <w:t>were made</w:t>
      </w:r>
      <w:r>
        <w:t xml:space="preserve"> by a resident settlor.</w:t>
      </w:r>
      <w:r w:rsidR="009A2749">
        <w:t xml:space="preserve"> </w:t>
      </w:r>
      <w:r w:rsidR="00474151">
        <w:t xml:space="preserve"> </w:t>
      </w:r>
      <w:r>
        <w:t>Trust D’s 60</w:t>
      </w:r>
      <w:r w:rsidR="00474151">
        <w:t xml:space="preserve"> percent</w:t>
      </w:r>
      <w:r>
        <w:t xml:space="preserve"> shareholding in Company Z</w:t>
      </w:r>
      <w:r w:rsidR="009A2749">
        <w:t xml:space="preserve"> is therefore split between treated as being held by non-residents and residents </w:t>
      </w:r>
      <w:proofErr w:type="gramStart"/>
      <w:r w:rsidR="009A2749">
        <w:t>on a 36:24 basis</w:t>
      </w:r>
      <w:proofErr w:type="gramEnd"/>
      <w:r w:rsidR="009A2749">
        <w:t>.</w:t>
      </w:r>
    </w:p>
    <w:p w:rsidR="00960DF5" w:rsidRDefault="009A2749" w:rsidP="001F3E9B">
      <w:pPr>
        <w:pStyle w:val="Exampletext"/>
        <w:pBdr>
          <w:top w:val="single" w:sz="4" w:space="10" w:color="auto"/>
          <w:left w:val="single" w:sz="4" w:space="10" w:color="auto"/>
          <w:bottom w:val="single" w:sz="4" w:space="10" w:color="auto"/>
          <w:right w:val="single" w:sz="4" w:space="10" w:color="auto"/>
        </w:pBdr>
      </w:pPr>
      <w:r>
        <w:t>Overall</w:t>
      </w:r>
      <w:r w:rsidR="00474151">
        <w:t>,</w:t>
      </w:r>
      <w:r>
        <w:t xml:space="preserve"> 36</w:t>
      </w:r>
      <w:r w:rsidR="00474151">
        <w:t xml:space="preserve"> percent</w:t>
      </w:r>
      <w:r>
        <w:t xml:space="preserve"> of Company Z’s shares are considered to be</w:t>
      </w:r>
      <w:r w:rsidR="007800C2">
        <w:t xml:space="preserve"> held by foreign LTC holders</w:t>
      </w:r>
      <w:r>
        <w:t xml:space="preserve"> and 64</w:t>
      </w:r>
      <w:r w:rsidR="00474151">
        <w:t xml:space="preserve"> percent</w:t>
      </w:r>
      <w:r>
        <w:t xml:space="preserve"> (40</w:t>
      </w:r>
      <w:r w:rsidR="00474151">
        <w:t xml:space="preserve"> percent</w:t>
      </w:r>
      <w:r>
        <w:t xml:space="preserve"> and 24</w:t>
      </w:r>
      <w:r w:rsidR="00474151">
        <w:t xml:space="preserve"> percent</w:t>
      </w:r>
      <w:r>
        <w:t>) held by residents</w:t>
      </w:r>
      <w:r w:rsidR="00960DF5">
        <w:t xml:space="preserve">. </w:t>
      </w:r>
      <w:r w:rsidR="00474151">
        <w:t xml:space="preserve"> </w:t>
      </w:r>
      <w:r w:rsidR="00960DF5">
        <w:t xml:space="preserve">Because of this, the foreign income restrictions will not apply to Company Z. </w:t>
      </w:r>
    </w:p>
    <w:p w:rsidR="00B571CC" w:rsidRPr="00960DF5" w:rsidRDefault="00B571CC" w:rsidP="00F119D5">
      <w:pPr>
        <w:pStyle w:val="Heading2"/>
      </w:pPr>
      <w:r w:rsidRPr="00960DF5">
        <w:t>Transitional rule</w:t>
      </w:r>
    </w:p>
    <w:p w:rsidR="00B571CC" w:rsidRDefault="00B571CC">
      <w:pPr>
        <w:jc w:val="left"/>
      </w:pPr>
    </w:p>
    <w:p w:rsidR="000A5F97" w:rsidRDefault="009A2749" w:rsidP="00F939A3">
      <w:r>
        <w:t xml:space="preserve">Section </w:t>
      </w:r>
      <w:r w:rsidR="00B571CC">
        <w:t>HZ 4E provides a transitional rule for companies that will lose LTC status as a result of the</w:t>
      </w:r>
      <w:r w:rsidR="000A5F97">
        <w:t xml:space="preserve"> amendments to the eligibility criteria</w:t>
      </w:r>
      <w:r w:rsidR="009D343E">
        <w:t xml:space="preserve"> for LTCs</w:t>
      </w:r>
      <w:r w:rsidR="00B571CC">
        <w:t>.</w:t>
      </w:r>
      <w:r>
        <w:t xml:space="preserve"> </w:t>
      </w:r>
      <w:r w:rsidR="00E23927">
        <w:t xml:space="preserve"> </w:t>
      </w:r>
      <w:r>
        <w:t>Section</w:t>
      </w:r>
      <w:r w:rsidR="00B571CC">
        <w:t xml:space="preserve"> </w:t>
      </w:r>
      <w:r w:rsidR="009D343E">
        <w:t>HB 4(6)</w:t>
      </w:r>
      <w:r w:rsidR="000A5F97">
        <w:t xml:space="preserve"> provides that these LTCs will be able to transition to </w:t>
      </w:r>
      <w:r w:rsidR="00E23927">
        <w:t xml:space="preserve">being </w:t>
      </w:r>
      <w:r w:rsidR="000A5F97">
        <w:t>ordinary companies without triggering the</w:t>
      </w:r>
      <w:r>
        <w:t xml:space="preserve"> exit adjustment requirements in</w:t>
      </w:r>
      <w:r w:rsidR="000A5F97">
        <w:t xml:space="preserve"> </w:t>
      </w:r>
      <w:r w:rsidR="00E23927">
        <w:t xml:space="preserve">section </w:t>
      </w:r>
      <w:r w:rsidR="000A5F97">
        <w:t>HB 4(6).</w:t>
      </w:r>
    </w:p>
    <w:p w:rsidR="000A5F97" w:rsidRDefault="000A5F97" w:rsidP="00F939A3"/>
    <w:p w:rsidR="000A5F97" w:rsidRDefault="000A5F97" w:rsidP="00F939A3">
      <w:r>
        <w:t>This transitional rule applies when an entity is a look-through company at the end of the 2016</w:t>
      </w:r>
      <w:r w:rsidR="001774A5">
        <w:t>–</w:t>
      </w:r>
      <w:r>
        <w:t xml:space="preserve">17 income </w:t>
      </w:r>
      <w:proofErr w:type="gramStart"/>
      <w:r>
        <w:t>year</w:t>
      </w:r>
      <w:proofErr w:type="gramEnd"/>
      <w:r>
        <w:t xml:space="preserve"> and ceases to be a LTC because of one of the eligibility changes referred to above.</w:t>
      </w:r>
    </w:p>
    <w:p w:rsidR="000A5F97" w:rsidRDefault="000A5F97" w:rsidP="00F939A3"/>
    <w:p w:rsidR="000A5F97" w:rsidRDefault="000A5F97" w:rsidP="00F939A3">
      <w:r>
        <w:t xml:space="preserve">In this situation the section provides that section HB 4(6) does not apply. </w:t>
      </w:r>
      <w:r w:rsidR="00626C73">
        <w:t xml:space="preserve"> Section </w:t>
      </w:r>
      <w:r w:rsidR="002C747C">
        <w:t>HB 4(6)</w:t>
      </w:r>
      <w:r>
        <w:t xml:space="preserve"> ordinarily treats</w:t>
      </w:r>
      <w:r w:rsidR="00B1122F">
        <w:t xml:space="preserve"> a LTC that transitions to an ordinary company as selling</w:t>
      </w:r>
      <w:r>
        <w:t xml:space="preserve"> </w:t>
      </w:r>
      <w:r w:rsidR="00B1122F">
        <w:t>all of its assets to a third party</w:t>
      </w:r>
      <w:r w:rsidR="00B30DC1">
        <w:t xml:space="preserve"> at market value</w:t>
      </w:r>
      <w:r w:rsidR="00B1122F">
        <w:t xml:space="preserve"> and then reacquiring them as an ordinary company. </w:t>
      </w:r>
      <w:r w:rsidR="00626C73">
        <w:t xml:space="preserve"> </w:t>
      </w:r>
      <w:r w:rsidR="00B1122F">
        <w:t>This results in a realisation of any revenue account gains</w:t>
      </w:r>
      <w:r w:rsidR="00B30DC1">
        <w:t xml:space="preserve"> on the LTC’s assets, which becomes income of the owners</w:t>
      </w:r>
      <w:r w:rsidR="00B1122F">
        <w:t>.</w:t>
      </w:r>
    </w:p>
    <w:p w:rsidR="00B1122F" w:rsidRDefault="00B1122F" w:rsidP="00F939A3"/>
    <w:p w:rsidR="009D4B71" w:rsidRDefault="00B1122F" w:rsidP="00F939A3">
      <w:r>
        <w:t>Instead</w:t>
      </w:r>
      <w:r w:rsidR="00245ECF">
        <w:t xml:space="preserve"> section</w:t>
      </w:r>
      <w:r>
        <w:t xml:space="preserve"> HZ 4E</w:t>
      </w:r>
      <w:r w:rsidR="00D4489D">
        <w:t xml:space="preserve"> provides that </w:t>
      </w:r>
      <w:r w:rsidR="009D4B71">
        <w:t>th</w:t>
      </w:r>
      <w:r w:rsidR="00D4489D">
        <w:t>e</w:t>
      </w:r>
      <w:r w:rsidR="00245ECF">
        <w:t xml:space="preserve"> company is treated as having</w:t>
      </w:r>
      <w:r w:rsidR="009D4B71">
        <w:t xml:space="preserve"> the same tax position it had as a LTC. </w:t>
      </w:r>
      <w:r w:rsidR="00B97A0F">
        <w:t xml:space="preserve"> </w:t>
      </w:r>
      <w:r w:rsidR="009D4B71">
        <w:t>This means that any assets of the LTC are transferred at book value, and the company is treated as having acquired them on the same date as the LTC and with the same intention.</w:t>
      </w:r>
    </w:p>
    <w:p w:rsidR="009D4B71" w:rsidRDefault="009D4B71">
      <w:pPr>
        <w:jc w:val="left"/>
      </w:pPr>
    </w:p>
    <w:p w:rsidR="00EA65AF" w:rsidRDefault="00EA65AF">
      <w:pPr>
        <w:jc w:val="left"/>
      </w:pPr>
    </w:p>
    <w:p w:rsidR="009D4B71" w:rsidRPr="006A3D15" w:rsidRDefault="009D4B71" w:rsidP="005E41A7">
      <w:pPr>
        <w:pBdr>
          <w:top w:val="single" w:sz="4" w:space="10" w:color="auto"/>
          <w:left w:val="single" w:sz="4" w:space="10" w:color="auto"/>
          <w:bottom w:val="single" w:sz="4" w:space="10" w:color="auto"/>
          <w:right w:val="single" w:sz="4" w:space="10" w:color="auto"/>
        </w:pBdr>
        <w:jc w:val="left"/>
        <w:rPr>
          <w:b/>
          <w:sz w:val="20"/>
          <w:szCs w:val="20"/>
        </w:rPr>
      </w:pPr>
      <w:r w:rsidRPr="006A3D15">
        <w:rPr>
          <w:b/>
          <w:sz w:val="20"/>
          <w:szCs w:val="20"/>
        </w:rPr>
        <w:t>Example</w:t>
      </w:r>
    </w:p>
    <w:p w:rsidR="009D4B71" w:rsidRDefault="009D4B71" w:rsidP="005E41A7">
      <w:pPr>
        <w:pBdr>
          <w:top w:val="single" w:sz="4" w:space="10" w:color="auto"/>
          <w:left w:val="single" w:sz="4" w:space="10" w:color="auto"/>
          <w:bottom w:val="single" w:sz="4" w:space="10" w:color="auto"/>
          <w:right w:val="single" w:sz="4" w:space="10" w:color="auto"/>
        </w:pBdr>
        <w:jc w:val="left"/>
      </w:pPr>
    </w:p>
    <w:p w:rsidR="009D4B71" w:rsidRPr="00D4489D" w:rsidRDefault="009D4B71" w:rsidP="005E41A7">
      <w:pPr>
        <w:pBdr>
          <w:top w:val="single" w:sz="4" w:space="10" w:color="auto"/>
          <w:left w:val="single" w:sz="4" w:space="10" w:color="auto"/>
          <w:bottom w:val="single" w:sz="4" w:space="10" w:color="auto"/>
          <w:right w:val="single" w:sz="4" w:space="10" w:color="auto"/>
        </w:pBdr>
        <w:rPr>
          <w:sz w:val="20"/>
          <w:szCs w:val="20"/>
        </w:rPr>
      </w:pPr>
      <w:r w:rsidRPr="00D4489D">
        <w:rPr>
          <w:sz w:val="20"/>
          <w:szCs w:val="20"/>
        </w:rPr>
        <w:t xml:space="preserve">Speculator Ltd is a LTC that is involved in property renting and speculation. </w:t>
      </w:r>
      <w:r w:rsidR="00C35130">
        <w:rPr>
          <w:sz w:val="20"/>
          <w:szCs w:val="20"/>
        </w:rPr>
        <w:t xml:space="preserve"> </w:t>
      </w:r>
      <w:r w:rsidRPr="00D4489D">
        <w:rPr>
          <w:sz w:val="20"/>
          <w:szCs w:val="20"/>
        </w:rPr>
        <w:t xml:space="preserve">On 1 May 2015, Speculator Ltd acquired land for $500,000 </w:t>
      </w:r>
      <w:r w:rsidR="00DA6DCC">
        <w:rPr>
          <w:sz w:val="20"/>
          <w:szCs w:val="20"/>
        </w:rPr>
        <w:t>with the intention of reselling</w:t>
      </w:r>
      <w:r w:rsidRPr="00D4489D">
        <w:rPr>
          <w:sz w:val="20"/>
          <w:szCs w:val="20"/>
        </w:rPr>
        <w:t>.</w:t>
      </w:r>
      <w:r w:rsidR="00491DB1">
        <w:rPr>
          <w:sz w:val="20"/>
          <w:szCs w:val="20"/>
        </w:rPr>
        <w:t xml:space="preserve"> </w:t>
      </w:r>
      <w:r w:rsidR="00C35130">
        <w:rPr>
          <w:sz w:val="20"/>
          <w:szCs w:val="20"/>
        </w:rPr>
        <w:t xml:space="preserve"> </w:t>
      </w:r>
      <w:r w:rsidR="00491DB1">
        <w:rPr>
          <w:sz w:val="20"/>
          <w:szCs w:val="20"/>
        </w:rPr>
        <w:t>Speculator Ltd sells the land on 5 August 2020 for $700,000.</w:t>
      </w:r>
    </w:p>
    <w:p w:rsidR="009D4B71" w:rsidRPr="00D4489D" w:rsidRDefault="009D4B71" w:rsidP="005E41A7">
      <w:pPr>
        <w:pBdr>
          <w:top w:val="single" w:sz="4" w:space="10" w:color="auto"/>
          <w:left w:val="single" w:sz="4" w:space="10" w:color="auto"/>
          <w:bottom w:val="single" w:sz="4" w:space="10" w:color="auto"/>
          <w:right w:val="single" w:sz="4" w:space="10" w:color="auto"/>
        </w:pBdr>
        <w:rPr>
          <w:sz w:val="20"/>
          <w:szCs w:val="20"/>
        </w:rPr>
      </w:pPr>
    </w:p>
    <w:p w:rsidR="009D4B71" w:rsidRPr="00D4489D" w:rsidRDefault="009D4B71" w:rsidP="005E41A7">
      <w:pPr>
        <w:pBdr>
          <w:top w:val="single" w:sz="4" w:space="10" w:color="auto"/>
          <w:left w:val="single" w:sz="4" w:space="10" w:color="auto"/>
          <w:bottom w:val="single" w:sz="4" w:space="10" w:color="auto"/>
          <w:right w:val="single" w:sz="4" w:space="10" w:color="auto"/>
        </w:pBdr>
        <w:rPr>
          <w:sz w:val="20"/>
          <w:szCs w:val="20"/>
        </w:rPr>
      </w:pPr>
      <w:r w:rsidRPr="00D4489D">
        <w:rPr>
          <w:sz w:val="20"/>
          <w:szCs w:val="20"/>
        </w:rPr>
        <w:t>On 1 June 2017, Speculator Ltd. made a distribution to a corporate beneficiary.</w:t>
      </w:r>
      <w:r w:rsidR="00C175CC">
        <w:rPr>
          <w:sz w:val="20"/>
          <w:szCs w:val="20"/>
        </w:rPr>
        <w:t xml:space="preserve"> </w:t>
      </w:r>
      <w:r w:rsidRPr="00D4489D">
        <w:rPr>
          <w:sz w:val="20"/>
          <w:szCs w:val="20"/>
        </w:rPr>
        <w:t xml:space="preserve"> As a result, Speculator Ltd will lose LTC status as a result of the eligibility changes in the </w:t>
      </w:r>
      <w:r w:rsidR="00C175CC">
        <w:rPr>
          <w:sz w:val="20"/>
          <w:szCs w:val="20"/>
        </w:rPr>
        <w:t>new rules.</w:t>
      </w:r>
    </w:p>
    <w:p w:rsidR="009D4B71" w:rsidRPr="00D4489D" w:rsidRDefault="009D4B71" w:rsidP="005E41A7">
      <w:pPr>
        <w:pBdr>
          <w:top w:val="single" w:sz="4" w:space="10" w:color="auto"/>
          <w:left w:val="single" w:sz="4" w:space="10" w:color="auto"/>
          <w:bottom w:val="single" w:sz="4" w:space="10" w:color="auto"/>
          <w:right w:val="single" w:sz="4" w:space="10" w:color="auto"/>
        </w:pBdr>
        <w:rPr>
          <w:sz w:val="20"/>
          <w:szCs w:val="20"/>
        </w:rPr>
      </w:pPr>
    </w:p>
    <w:p w:rsidR="000A5F97" w:rsidRPr="00D4489D" w:rsidRDefault="00491DB1" w:rsidP="005E41A7">
      <w:pPr>
        <w:pBdr>
          <w:top w:val="single" w:sz="4" w:space="10" w:color="auto"/>
          <w:left w:val="single" w:sz="4" w:space="10" w:color="auto"/>
          <w:bottom w:val="single" w:sz="4" w:space="10" w:color="auto"/>
          <w:right w:val="single" w:sz="4" w:space="10" w:color="auto"/>
        </w:pBdr>
        <w:rPr>
          <w:sz w:val="20"/>
          <w:szCs w:val="20"/>
        </w:rPr>
      </w:pPr>
      <w:r>
        <w:rPr>
          <w:sz w:val="20"/>
          <w:szCs w:val="20"/>
        </w:rPr>
        <w:t>W</w:t>
      </w:r>
      <w:r w:rsidR="009D4B71" w:rsidRPr="00D4489D">
        <w:rPr>
          <w:sz w:val="20"/>
          <w:szCs w:val="20"/>
        </w:rPr>
        <w:t>hen</w:t>
      </w:r>
      <w:r>
        <w:rPr>
          <w:sz w:val="20"/>
          <w:szCs w:val="20"/>
        </w:rPr>
        <w:t xml:space="preserve"> Speculator Ltd</w:t>
      </w:r>
      <w:r w:rsidR="009D4B71" w:rsidRPr="00D4489D">
        <w:rPr>
          <w:sz w:val="20"/>
          <w:szCs w:val="20"/>
        </w:rPr>
        <w:t xml:space="preserve"> becomes an ordinary company </w:t>
      </w:r>
      <w:r>
        <w:rPr>
          <w:sz w:val="20"/>
          <w:szCs w:val="20"/>
        </w:rPr>
        <w:t>it</w:t>
      </w:r>
      <w:r w:rsidR="009D4B71" w:rsidRPr="00D4489D">
        <w:rPr>
          <w:sz w:val="20"/>
          <w:szCs w:val="20"/>
        </w:rPr>
        <w:t xml:space="preserve"> will be treated as having acquired the land on 1 May 2015 for $500,000 and with the intention of resale. </w:t>
      </w:r>
      <w:r w:rsidR="00233CA0">
        <w:rPr>
          <w:sz w:val="20"/>
          <w:szCs w:val="20"/>
        </w:rPr>
        <w:t xml:space="preserve"> </w:t>
      </w:r>
      <w:r w:rsidR="009D4B71" w:rsidRPr="00D4489D">
        <w:rPr>
          <w:sz w:val="20"/>
          <w:szCs w:val="20"/>
        </w:rPr>
        <w:t xml:space="preserve">Any increase in the value of the property will not </w:t>
      </w:r>
      <w:r>
        <w:rPr>
          <w:sz w:val="20"/>
          <w:szCs w:val="20"/>
        </w:rPr>
        <w:t>be realised upon Speculator Ltd</w:t>
      </w:r>
      <w:r w:rsidR="009D4B71" w:rsidRPr="00D4489D">
        <w:rPr>
          <w:sz w:val="20"/>
          <w:szCs w:val="20"/>
        </w:rPr>
        <w:t xml:space="preserve"> exit</w:t>
      </w:r>
      <w:r w:rsidR="00D70451">
        <w:rPr>
          <w:sz w:val="20"/>
          <w:szCs w:val="20"/>
        </w:rPr>
        <w:t>ing</w:t>
      </w:r>
      <w:r w:rsidR="009D4B71" w:rsidRPr="00D4489D">
        <w:rPr>
          <w:sz w:val="20"/>
          <w:szCs w:val="20"/>
        </w:rPr>
        <w:t xml:space="preserve"> the LTC rules.</w:t>
      </w:r>
      <w:r w:rsidR="00805D69">
        <w:rPr>
          <w:sz w:val="20"/>
          <w:szCs w:val="20"/>
        </w:rPr>
        <w:t xml:space="preserve"> </w:t>
      </w:r>
      <w:r>
        <w:rPr>
          <w:sz w:val="20"/>
          <w:szCs w:val="20"/>
        </w:rPr>
        <w:t xml:space="preserve"> Instead any revenue account gains will be brought to account when Speculator Ltd</w:t>
      </w:r>
      <w:r w:rsidR="00AB4981">
        <w:rPr>
          <w:sz w:val="20"/>
          <w:szCs w:val="20"/>
        </w:rPr>
        <w:t xml:space="preserve"> actually sells the land</w:t>
      </w:r>
      <w:r w:rsidR="00805D69">
        <w:rPr>
          <w:sz w:val="20"/>
          <w:szCs w:val="20"/>
        </w:rPr>
        <w:t xml:space="preserve"> –</w:t>
      </w:r>
      <w:r>
        <w:rPr>
          <w:sz w:val="20"/>
          <w:szCs w:val="20"/>
        </w:rPr>
        <w:t xml:space="preserve"> in this case on 5 August 2020</w:t>
      </w:r>
      <w:r w:rsidR="00805D69">
        <w:rPr>
          <w:sz w:val="20"/>
          <w:szCs w:val="20"/>
        </w:rPr>
        <w:t xml:space="preserve"> –</w:t>
      </w:r>
      <w:r>
        <w:rPr>
          <w:sz w:val="20"/>
          <w:szCs w:val="20"/>
        </w:rPr>
        <w:t xml:space="preserve"> realising a $200,000 revenue account gain.</w:t>
      </w:r>
    </w:p>
    <w:p w:rsidR="009D4B71" w:rsidRPr="009D4B71" w:rsidRDefault="009D4B71" w:rsidP="009D4B71">
      <w:pPr>
        <w:jc w:val="left"/>
      </w:pPr>
    </w:p>
    <w:p w:rsidR="00EB6ED1" w:rsidRDefault="00EB6ED1">
      <w:pPr>
        <w:jc w:val="left"/>
        <w:rPr>
          <w:b/>
          <w:caps/>
        </w:rPr>
      </w:pPr>
      <w:r>
        <w:br w:type="page"/>
      </w:r>
    </w:p>
    <w:p w:rsidR="002279EB" w:rsidRDefault="00625E36" w:rsidP="002279EB">
      <w:pPr>
        <w:pStyle w:val="Heading1"/>
      </w:pPr>
      <w:r>
        <w:t>look-through company entry tax</w:t>
      </w:r>
    </w:p>
    <w:p w:rsidR="002279EB" w:rsidRPr="00670619" w:rsidRDefault="002279EB" w:rsidP="002279EB"/>
    <w:p w:rsidR="002279EB" w:rsidRPr="009F4DD7" w:rsidRDefault="002279EB" w:rsidP="002279EB">
      <w:pPr>
        <w:pStyle w:val="Sections"/>
        <w:rPr>
          <w:b w:val="0"/>
        </w:rPr>
      </w:pPr>
      <w:r w:rsidRPr="009F4DD7">
        <w:rPr>
          <w:b w:val="0"/>
        </w:rPr>
        <w:t xml:space="preserve">Sections </w:t>
      </w:r>
      <w:r w:rsidR="00967A8E" w:rsidRPr="009F4DD7">
        <w:rPr>
          <w:b w:val="0"/>
        </w:rPr>
        <w:t>CB 32C, HB 13, OB 6</w:t>
      </w:r>
      <w:r w:rsidR="00E80169" w:rsidRPr="009F4DD7">
        <w:rPr>
          <w:b w:val="0"/>
        </w:rPr>
        <w:t>, RE 2 and</w:t>
      </w:r>
      <w:r w:rsidR="00967A8E" w:rsidRPr="009F4DD7">
        <w:rPr>
          <w:b w:val="0"/>
        </w:rPr>
        <w:t xml:space="preserve"> YA 1</w:t>
      </w:r>
      <w:r w:rsidR="00E80169" w:rsidRPr="009F4DD7">
        <w:rPr>
          <w:b w:val="0"/>
        </w:rPr>
        <w:t xml:space="preserve"> of the Income Tax Act 2007</w:t>
      </w:r>
    </w:p>
    <w:p w:rsidR="002279EB" w:rsidRDefault="002279EB" w:rsidP="002279EB"/>
    <w:p w:rsidR="00F119D5" w:rsidRPr="00670DFA" w:rsidRDefault="00F119D5" w:rsidP="002279EB"/>
    <w:p w:rsidR="002251F5" w:rsidRDefault="002251F5" w:rsidP="002251F5">
      <w:r>
        <w:t>A</w:t>
      </w:r>
      <w:r w:rsidRPr="00E36545">
        <w:t>mendments to section CB 32C</w:t>
      </w:r>
      <w:r>
        <w:t xml:space="preserve"> have been made</w:t>
      </w:r>
      <w:r w:rsidR="00365FCC">
        <w:t>,</w:t>
      </w:r>
      <w:r>
        <w:t xml:space="preserve"> which</w:t>
      </w:r>
      <w:r w:rsidRPr="00E36545">
        <w:t xml:space="preserve"> modify the income adjustment calculation (commonly known as the entry tax) done when a company converts to a LTC to ensure that:</w:t>
      </w:r>
    </w:p>
    <w:p w:rsidR="002251F5" w:rsidRPr="00E36545" w:rsidRDefault="002251F5" w:rsidP="002251F5"/>
    <w:p w:rsidR="002251F5" w:rsidRPr="00E36545" w:rsidRDefault="002251F5" w:rsidP="00F119D5">
      <w:pPr>
        <w:pStyle w:val="Bullets"/>
      </w:pPr>
      <w:r w:rsidRPr="00E36545">
        <w:t>the taxable income that arises to LTC owners as a result of the calculation is taxed at each shareholder’</w:t>
      </w:r>
      <w:r>
        <w:t>s personal tax rate; and</w:t>
      </w:r>
    </w:p>
    <w:p w:rsidR="002251F5" w:rsidRDefault="002251F5" w:rsidP="00F119D5">
      <w:pPr>
        <w:pStyle w:val="Bullets"/>
        <w:spacing w:after="0"/>
      </w:pPr>
      <w:proofErr w:type="gramStart"/>
      <w:r w:rsidRPr="00E36545">
        <w:t>for</w:t>
      </w:r>
      <w:proofErr w:type="gramEnd"/>
      <w:r w:rsidRPr="00E36545">
        <w:t xml:space="preserve"> QCs converting to LTCs, that the entry tax formula does not tax owners of QCs any more than they would be if they liquidated </w:t>
      </w:r>
      <w:r>
        <w:t xml:space="preserve">before the </w:t>
      </w:r>
      <w:r w:rsidRPr="00E36545">
        <w:t>conversion.</w:t>
      </w:r>
    </w:p>
    <w:p w:rsidR="002251F5" w:rsidRDefault="002251F5" w:rsidP="002251F5">
      <w:pPr>
        <w:rPr>
          <w:lang w:eastAsia="en-US"/>
        </w:rPr>
      </w:pPr>
    </w:p>
    <w:p w:rsidR="002251F5" w:rsidRPr="00E36545" w:rsidRDefault="002251F5" w:rsidP="002251F5">
      <w:r w:rsidRPr="00E36545">
        <w:t xml:space="preserve">An associated amendment to section HB 13 </w:t>
      </w:r>
      <w:r>
        <w:t>clarifies</w:t>
      </w:r>
      <w:r w:rsidRPr="00E36545">
        <w:t xml:space="preserve"> that a company that elects to become a LTC effectively steps into the shoes of the company</w:t>
      </w:r>
      <w:r w:rsidR="0073408E">
        <w:t xml:space="preserve"> it converted from and must use the tax book</w:t>
      </w:r>
      <w:r w:rsidRPr="00E36545">
        <w:t xml:space="preserve"> values of the company at the time of entry for all purposes under the LTC rules.</w:t>
      </w:r>
    </w:p>
    <w:p w:rsidR="002279EB" w:rsidRDefault="002279EB" w:rsidP="002279EB"/>
    <w:p w:rsidR="005E41A7" w:rsidRPr="00670DFA" w:rsidRDefault="005E41A7" w:rsidP="002279EB"/>
    <w:p w:rsidR="002279EB" w:rsidRPr="00670619" w:rsidRDefault="002279EB" w:rsidP="00F119D5">
      <w:pPr>
        <w:pStyle w:val="Heading2"/>
      </w:pPr>
      <w:r w:rsidRPr="00670DFA">
        <w:t>Background</w:t>
      </w:r>
    </w:p>
    <w:p w:rsidR="002279EB" w:rsidRPr="00670DFA" w:rsidRDefault="002279EB" w:rsidP="002279EB"/>
    <w:p w:rsidR="003E2A94" w:rsidRPr="00E36545" w:rsidRDefault="003E2A94" w:rsidP="003E2A94">
      <w:r w:rsidRPr="00E36545">
        <w:t xml:space="preserve">The LTC entry tax adjustment applies when a company elects to become a LTC.  It triggers a tax liability on un-imputed retained earnings by deeming the company to have been liquidated immediately prior to conversion.  This adjustment is intended to ensure that reserves that would generate taxable income for shareholders if distributed before entering the LTC regime and that would be able to be distributed tax-free once the company becomes a LTC, are taxed </w:t>
      </w:r>
      <w:r>
        <w:t>to owners at the time of entry.</w:t>
      </w:r>
    </w:p>
    <w:p w:rsidR="003E2A94" w:rsidRPr="00E36545" w:rsidRDefault="003E2A94" w:rsidP="003E2A94">
      <w:pPr>
        <w:rPr>
          <w:lang w:val="en-AU" w:eastAsia="en-US"/>
        </w:rPr>
      </w:pPr>
    </w:p>
    <w:p w:rsidR="003E2A94" w:rsidRPr="00E36545" w:rsidRDefault="003E2A94" w:rsidP="003E2A94">
      <w:pPr>
        <w:rPr>
          <w:lang w:val="en-AU" w:eastAsia="en-US"/>
        </w:rPr>
      </w:pPr>
      <w:r w:rsidRPr="00E36545">
        <w:rPr>
          <w:lang w:val="en-AU" w:eastAsia="en-US"/>
        </w:rPr>
        <w:t xml:space="preserve">The </w:t>
      </w:r>
      <w:r>
        <w:rPr>
          <w:lang w:val="en-AU" w:eastAsia="en-US"/>
        </w:rPr>
        <w:t xml:space="preserve">tax </w:t>
      </w:r>
      <w:r w:rsidRPr="00E36545">
        <w:rPr>
          <w:lang w:val="en-AU" w:eastAsia="en-US"/>
        </w:rPr>
        <w:t xml:space="preserve">rate used in the </w:t>
      </w:r>
      <w:r w:rsidR="00BC47D6">
        <w:rPr>
          <w:lang w:val="en-AU" w:eastAsia="en-US"/>
        </w:rPr>
        <w:t>old</w:t>
      </w:r>
      <w:r w:rsidRPr="00E36545">
        <w:rPr>
          <w:lang w:val="en-AU" w:eastAsia="en-US"/>
        </w:rPr>
        <w:t xml:space="preserve"> formula </w:t>
      </w:r>
      <w:r w:rsidR="00BC47D6">
        <w:rPr>
          <w:lang w:val="en-AU" w:eastAsia="en-US"/>
        </w:rPr>
        <w:t>was</w:t>
      </w:r>
      <w:r w:rsidRPr="00E36545">
        <w:rPr>
          <w:lang w:val="en-AU" w:eastAsia="en-US"/>
        </w:rPr>
        <w:t xml:space="preserve"> 28%, which means that no further tax </w:t>
      </w:r>
      <w:r w:rsidR="00BC47D6">
        <w:rPr>
          <w:lang w:val="en-AU" w:eastAsia="en-US"/>
        </w:rPr>
        <w:t>was</w:t>
      </w:r>
      <w:r w:rsidRPr="00E36545">
        <w:rPr>
          <w:lang w:val="en-AU" w:eastAsia="en-US"/>
        </w:rPr>
        <w:t xml:space="preserve"> paid on the company’s retained earnings. </w:t>
      </w:r>
      <w:r w:rsidR="00740AD6">
        <w:rPr>
          <w:lang w:val="en-AU" w:eastAsia="en-US"/>
        </w:rPr>
        <w:t xml:space="preserve"> </w:t>
      </w:r>
      <w:r w:rsidRPr="00E36545">
        <w:rPr>
          <w:lang w:val="en-AU" w:eastAsia="en-US"/>
        </w:rPr>
        <w:t xml:space="preserve">The 28% rate was used in the formula to reduce compliance costs, but this </w:t>
      </w:r>
      <w:r w:rsidR="00BC47D6">
        <w:rPr>
          <w:lang w:val="en-AU" w:eastAsia="en-US"/>
        </w:rPr>
        <w:t>could</w:t>
      </w:r>
      <w:r w:rsidRPr="00E36545">
        <w:rPr>
          <w:lang w:val="en-AU" w:eastAsia="en-US"/>
        </w:rPr>
        <w:t xml:space="preserve"> provide a tax advantage for shareholders whose top personal tax rate exceed</w:t>
      </w:r>
      <w:r w:rsidR="00BC47D6">
        <w:rPr>
          <w:lang w:val="en-AU" w:eastAsia="en-US"/>
        </w:rPr>
        <w:t>ed</w:t>
      </w:r>
      <w:r w:rsidRPr="00E36545">
        <w:rPr>
          <w:lang w:val="en-AU" w:eastAsia="en-US"/>
        </w:rPr>
        <w:t xml:space="preserve"> 28% (that is, those on the 30% or 33% marginal tax rate) as well as a disadvantage for shareholders whose personal tax rates </w:t>
      </w:r>
      <w:r w:rsidR="00BC47D6">
        <w:rPr>
          <w:lang w:val="en-AU" w:eastAsia="en-US"/>
        </w:rPr>
        <w:t>were</w:t>
      </w:r>
      <w:r w:rsidRPr="00E36545">
        <w:rPr>
          <w:lang w:val="en-AU" w:eastAsia="en-US"/>
        </w:rPr>
        <w:t xml:space="preserve"> below 28%.</w:t>
      </w:r>
    </w:p>
    <w:p w:rsidR="003E2A94" w:rsidRPr="00E36545" w:rsidRDefault="003E2A94" w:rsidP="003E2A94">
      <w:pPr>
        <w:rPr>
          <w:lang w:val="en-AU" w:eastAsia="en-US"/>
        </w:rPr>
      </w:pPr>
    </w:p>
    <w:p w:rsidR="002279EB" w:rsidRPr="003E2A94" w:rsidRDefault="003E2A94" w:rsidP="002279EB">
      <w:pPr>
        <w:rPr>
          <w:lang w:val="en-AU" w:eastAsia="en-US"/>
        </w:rPr>
      </w:pPr>
      <w:r w:rsidRPr="00E36545">
        <w:rPr>
          <w:lang w:val="en-AU" w:eastAsia="en-US"/>
        </w:rPr>
        <w:t>Further, the entry tax formula applie</w:t>
      </w:r>
      <w:r w:rsidR="00A80177">
        <w:rPr>
          <w:lang w:val="en-AU" w:eastAsia="en-US"/>
        </w:rPr>
        <w:t>d</w:t>
      </w:r>
      <w:r w:rsidRPr="00E36545">
        <w:rPr>
          <w:lang w:val="en-AU" w:eastAsia="en-US"/>
        </w:rPr>
        <w:t xml:space="preserve"> to tax all un-imputed retained earnings except eligible capital profits.  For QCs that elect</w:t>
      </w:r>
      <w:r w:rsidR="00A80177">
        <w:rPr>
          <w:lang w:val="en-AU" w:eastAsia="en-US"/>
        </w:rPr>
        <w:t>ed</w:t>
      </w:r>
      <w:r w:rsidRPr="00E36545">
        <w:rPr>
          <w:lang w:val="en-AU" w:eastAsia="en-US"/>
        </w:rPr>
        <w:t xml:space="preserve"> into the LTC rules</w:t>
      </w:r>
      <w:r>
        <w:rPr>
          <w:lang w:val="en-AU" w:eastAsia="en-US"/>
        </w:rPr>
        <w:t>,</w:t>
      </w:r>
      <w:r w:rsidRPr="00E36545">
        <w:rPr>
          <w:lang w:val="en-AU" w:eastAsia="en-US"/>
        </w:rPr>
        <w:t xml:space="preserve"> this mean</w:t>
      </w:r>
      <w:r w:rsidR="00A80177">
        <w:rPr>
          <w:lang w:val="en-AU" w:eastAsia="en-US"/>
        </w:rPr>
        <w:t>t</w:t>
      </w:r>
      <w:r w:rsidRPr="00E36545">
        <w:rPr>
          <w:lang w:val="en-AU" w:eastAsia="en-US"/>
        </w:rPr>
        <w:t xml:space="preserve"> tax </w:t>
      </w:r>
      <w:r w:rsidR="00A80177">
        <w:rPr>
          <w:lang w:val="en-AU" w:eastAsia="en-US"/>
        </w:rPr>
        <w:t>was</w:t>
      </w:r>
      <w:r w:rsidRPr="00E36545">
        <w:rPr>
          <w:lang w:val="en-AU" w:eastAsia="en-US"/>
        </w:rPr>
        <w:t xml:space="preserve"> charged to the extent that the earnings </w:t>
      </w:r>
      <w:r w:rsidR="00A80177">
        <w:rPr>
          <w:lang w:val="en-AU" w:eastAsia="en-US"/>
        </w:rPr>
        <w:t>were</w:t>
      </w:r>
      <w:r w:rsidRPr="00E36545">
        <w:rPr>
          <w:lang w:val="en-AU" w:eastAsia="en-US"/>
        </w:rPr>
        <w:t xml:space="preserve"> not eligible capital </w:t>
      </w:r>
      <w:r w:rsidR="00491DB1">
        <w:rPr>
          <w:lang w:val="en-AU" w:eastAsia="en-US"/>
        </w:rPr>
        <w:t>gains</w:t>
      </w:r>
      <w:r w:rsidRPr="00E36545">
        <w:rPr>
          <w:lang w:val="en-AU" w:eastAsia="en-US"/>
        </w:rPr>
        <w:t xml:space="preserve">.  This </w:t>
      </w:r>
      <w:r w:rsidR="00491DB1">
        <w:rPr>
          <w:lang w:val="en-AU" w:eastAsia="en-US"/>
        </w:rPr>
        <w:t xml:space="preserve">approach </w:t>
      </w:r>
      <w:r w:rsidR="00A80177">
        <w:rPr>
          <w:lang w:val="en-AU" w:eastAsia="en-US"/>
        </w:rPr>
        <w:t>was</w:t>
      </w:r>
      <w:r w:rsidRPr="00E36545">
        <w:rPr>
          <w:lang w:val="en-AU" w:eastAsia="en-US"/>
        </w:rPr>
        <w:t xml:space="preserve"> inconsistent with the QC rules</w:t>
      </w:r>
      <w:r>
        <w:rPr>
          <w:lang w:val="en-AU" w:eastAsia="en-US"/>
        </w:rPr>
        <w:t>,</w:t>
      </w:r>
      <w:r w:rsidRPr="00E36545">
        <w:rPr>
          <w:lang w:val="en-AU" w:eastAsia="en-US"/>
        </w:rPr>
        <w:t xml:space="preserve"> which allow for tax-free distribution of un-imputed earnings as exempt dividends to QC shareholders.  As a result, the entry tax formula </w:t>
      </w:r>
      <w:r w:rsidR="00A80177">
        <w:rPr>
          <w:lang w:val="en-AU" w:eastAsia="en-US"/>
        </w:rPr>
        <w:t>could</w:t>
      </w:r>
      <w:r w:rsidRPr="00E36545">
        <w:rPr>
          <w:lang w:val="en-AU" w:eastAsia="en-US"/>
        </w:rPr>
        <w:t xml:space="preserve"> over-charge tax on the un-imputed reserves, which may </w:t>
      </w:r>
      <w:r w:rsidR="00A80177">
        <w:rPr>
          <w:lang w:val="en-AU" w:eastAsia="en-US"/>
        </w:rPr>
        <w:t>have</w:t>
      </w:r>
      <w:r w:rsidRPr="00E36545">
        <w:rPr>
          <w:lang w:val="en-AU" w:eastAsia="en-US"/>
        </w:rPr>
        <w:t xml:space="preserve"> deterr</w:t>
      </w:r>
      <w:r w:rsidR="00A80177">
        <w:rPr>
          <w:lang w:val="en-AU" w:eastAsia="en-US"/>
        </w:rPr>
        <w:t>ed</w:t>
      </w:r>
      <w:r w:rsidRPr="00E36545">
        <w:rPr>
          <w:lang w:val="en-AU" w:eastAsia="en-US"/>
        </w:rPr>
        <w:t xml:space="preserve"> so</w:t>
      </w:r>
      <w:r>
        <w:rPr>
          <w:lang w:val="en-AU" w:eastAsia="en-US"/>
        </w:rPr>
        <w:t>me QCs from converting to LTCs.</w:t>
      </w:r>
    </w:p>
    <w:p w:rsidR="002279EB" w:rsidRDefault="002279EB" w:rsidP="002279EB"/>
    <w:p w:rsidR="005E41A7" w:rsidRPr="00670DFA" w:rsidRDefault="005E41A7" w:rsidP="002279EB"/>
    <w:p w:rsidR="002279EB" w:rsidRPr="00670DFA" w:rsidRDefault="002279EB" w:rsidP="00F119D5">
      <w:pPr>
        <w:pStyle w:val="Heading2"/>
      </w:pPr>
      <w:r w:rsidRPr="00670DFA">
        <w:t>Key features</w:t>
      </w:r>
    </w:p>
    <w:p w:rsidR="002279EB" w:rsidRPr="00670DFA" w:rsidRDefault="002279EB" w:rsidP="002279EB"/>
    <w:p w:rsidR="003E2A94" w:rsidRPr="00E36545" w:rsidRDefault="00D229E9" w:rsidP="003E2A94">
      <w:r>
        <w:t>A</w:t>
      </w:r>
      <w:r w:rsidR="003E2A94" w:rsidRPr="00E36545">
        <w:t xml:space="preserve"> revised formula </w:t>
      </w:r>
      <w:r w:rsidR="003E2A94">
        <w:t>treats</w:t>
      </w:r>
      <w:r w:rsidR="003E2A94" w:rsidRPr="00E36545">
        <w:t xml:space="preserve"> the resulting income that flows through to the LTC owners </w:t>
      </w:r>
      <w:r w:rsidR="003E2A94">
        <w:t>as</w:t>
      </w:r>
      <w:r w:rsidR="003E2A94" w:rsidRPr="00E36545">
        <w:t xml:space="preserve"> a dividend, with imputation credits attached where available, thereby ensuring that the income is taxed at the owners’ personal tax rates in all cases.</w:t>
      </w:r>
    </w:p>
    <w:p w:rsidR="003E2A94" w:rsidRPr="00E36545" w:rsidRDefault="003E2A94" w:rsidP="003E2A94"/>
    <w:p w:rsidR="003E2A94" w:rsidRPr="00E36545" w:rsidRDefault="003E2A94" w:rsidP="003E2A94">
      <w:r w:rsidRPr="00E36545">
        <w:t xml:space="preserve">This overcomes a problem with the </w:t>
      </w:r>
      <w:r w:rsidR="00BE7889">
        <w:t>p</w:t>
      </w:r>
      <w:r w:rsidR="009F4DD7">
        <w:t>r</w:t>
      </w:r>
      <w:r w:rsidR="00BE7889">
        <w:t>evious</w:t>
      </w:r>
      <w:r w:rsidRPr="00E36545">
        <w:t xml:space="preserve"> formula</w:t>
      </w:r>
      <w:r>
        <w:t>,</w:t>
      </w:r>
      <w:r w:rsidRPr="00E36545">
        <w:t xml:space="preserve"> which base</w:t>
      </w:r>
      <w:r w:rsidR="00BE7889">
        <w:t>d</w:t>
      </w:r>
      <w:r w:rsidRPr="00E36545">
        <w:t xml:space="preserve"> the calculation on the company tax rate and c</w:t>
      </w:r>
      <w:r w:rsidR="00BE7889">
        <w:t xml:space="preserve">ould </w:t>
      </w:r>
      <w:r w:rsidRPr="00E36545">
        <w:t>lead to under</w:t>
      </w:r>
      <w:r>
        <w:t>-</w:t>
      </w:r>
      <w:r w:rsidRPr="00E36545">
        <w:t xml:space="preserve"> or over</w:t>
      </w:r>
      <w:r>
        <w:t>-</w:t>
      </w:r>
      <w:r w:rsidRPr="00E36545">
        <w:t>taxation</w:t>
      </w:r>
      <w:r>
        <w:t>,</w:t>
      </w:r>
      <w:r w:rsidRPr="00E36545">
        <w:t xml:space="preserve"> depending on an owner’s marginal tax rate.</w:t>
      </w:r>
    </w:p>
    <w:p w:rsidR="003E2A94" w:rsidRPr="00E36545" w:rsidRDefault="003E2A94" w:rsidP="003E2A94">
      <w:pPr>
        <w:rPr>
          <w:lang w:eastAsia="en-US"/>
        </w:rPr>
      </w:pPr>
      <w:r w:rsidRPr="00E36545">
        <w:rPr>
          <w:lang w:eastAsia="en-US"/>
        </w:rPr>
        <w:t xml:space="preserve">A further formula </w:t>
      </w:r>
      <w:r w:rsidR="00885D77">
        <w:rPr>
          <w:lang w:eastAsia="en-US"/>
        </w:rPr>
        <w:t>covers</w:t>
      </w:r>
      <w:r w:rsidRPr="00E36545">
        <w:rPr>
          <w:lang w:eastAsia="en-US"/>
        </w:rPr>
        <w:t xml:space="preserve"> situations when a QC has insufficient tax credits to cover distributions of all reserves.</w:t>
      </w:r>
    </w:p>
    <w:p w:rsidR="003E2A94" w:rsidRPr="00E36545" w:rsidRDefault="003E2A94" w:rsidP="003E2A94">
      <w:pPr>
        <w:rPr>
          <w:lang w:eastAsia="en-US"/>
        </w:rPr>
      </w:pPr>
    </w:p>
    <w:p w:rsidR="00E2266B" w:rsidRDefault="00BE7889" w:rsidP="003E2A94">
      <w:pPr>
        <w:rPr>
          <w:lang w:eastAsia="en-US"/>
        </w:rPr>
      </w:pPr>
      <w:r>
        <w:rPr>
          <w:lang w:eastAsia="en-US"/>
        </w:rPr>
        <w:t>An</w:t>
      </w:r>
      <w:r w:rsidR="003E2A94" w:rsidRPr="00E36545">
        <w:rPr>
          <w:lang w:eastAsia="en-US"/>
        </w:rPr>
        <w:t xml:space="preserve"> amendment</w:t>
      </w:r>
      <w:r>
        <w:rPr>
          <w:lang w:eastAsia="en-US"/>
        </w:rPr>
        <w:t xml:space="preserve"> also</w:t>
      </w:r>
      <w:r w:rsidR="003E2A94" w:rsidRPr="00E36545">
        <w:rPr>
          <w:lang w:eastAsia="en-US"/>
        </w:rPr>
        <w:t xml:space="preserve"> </w:t>
      </w:r>
      <w:r w:rsidR="00885D77">
        <w:rPr>
          <w:lang w:eastAsia="en-US"/>
        </w:rPr>
        <w:t>clarifies</w:t>
      </w:r>
      <w:r w:rsidR="003E2A94" w:rsidRPr="00E36545">
        <w:rPr>
          <w:lang w:eastAsia="en-US"/>
        </w:rPr>
        <w:t xml:space="preserve"> that the tax book value of assets and liabilities of a company that elects into the LTC regime become the opening book values for the LTC, for the avoidance of doubt.  For example, revenue account property transfers at tax book value, and not market value, meaning that unrealised gains and losses are not </w:t>
      </w:r>
      <w:r w:rsidR="003E2A94">
        <w:rPr>
          <w:lang w:eastAsia="en-US"/>
        </w:rPr>
        <w:t>recognised</w:t>
      </w:r>
      <w:r w:rsidR="003E2A94" w:rsidRPr="00E36545">
        <w:rPr>
          <w:lang w:eastAsia="en-US"/>
        </w:rPr>
        <w:t xml:space="preserve"> at that point.</w:t>
      </w:r>
    </w:p>
    <w:p w:rsidR="00E2266B" w:rsidRDefault="00E2266B" w:rsidP="003E2A94">
      <w:pPr>
        <w:rPr>
          <w:lang w:eastAsia="en-US"/>
        </w:rPr>
      </w:pPr>
    </w:p>
    <w:p w:rsidR="003E2A94" w:rsidRPr="00A929AC" w:rsidRDefault="005538D9" w:rsidP="003E2A94">
      <w:pPr>
        <w:rPr>
          <w:lang w:eastAsia="en-US"/>
        </w:rPr>
      </w:pPr>
      <w:r>
        <w:rPr>
          <w:lang w:eastAsia="en-US"/>
        </w:rPr>
        <w:t>The amendment also clarifies</w:t>
      </w:r>
      <w:r w:rsidR="00E2266B">
        <w:rPr>
          <w:lang w:eastAsia="en-US"/>
        </w:rPr>
        <w:t xml:space="preserve"> that the LTC has the same status, intention and purpose in respect of its assets, liabilities and associated legal rights and obligations.</w:t>
      </w:r>
      <w:r w:rsidR="008C7031">
        <w:rPr>
          <w:lang w:eastAsia="en-US"/>
        </w:rPr>
        <w:t xml:space="preserve"> </w:t>
      </w:r>
      <w:r w:rsidR="00E2266B">
        <w:rPr>
          <w:lang w:eastAsia="en-US"/>
        </w:rPr>
        <w:t xml:space="preserve"> For example, if a company acquired land on 8 August 2017 with </w:t>
      </w:r>
      <w:r w:rsidR="001B1675">
        <w:rPr>
          <w:lang w:eastAsia="en-US"/>
        </w:rPr>
        <w:t>an</w:t>
      </w:r>
      <w:r w:rsidR="00E2266B">
        <w:rPr>
          <w:lang w:eastAsia="en-US"/>
        </w:rPr>
        <w:t xml:space="preserve"> intention of resale</w:t>
      </w:r>
      <w:r w:rsidR="00885D77">
        <w:rPr>
          <w:lang w:eastAsia="en-US"/>
        </w:rPr>
        <w:t xml:space="preserve"> and subsequently</w:t>
      </w:r>
      <w:r w:rsidR="009F4DD7">
        <w:rPr>
          <w:lang w:eastAsia="en-US"/>
        </w:rPr>
        <w:t xml:space="preserve"> converts</w:t>
      </w:r>
      <w:r w:rsidR="00885D77">
        <w:rPr>
          <w:lang w:eastAsia="en-US"/>
        </w:rPr>
        <w:t xml:space="preserve"> to a</w:t>
      </w:r>
      <w:r w:rsidR="00E2266B">
        <w:rPr>
          <w:lang w:eastAsia="en-US"/>
        </w:rPr>
        <w:t xml:space="preserve"> LTC</w:t>
      </w:r>
      <w:r w:rsidR="00885D77">
        <w:rPr>
          <w:lang w:eastAsia="en-US"/>
        </w:rPr>
        <w:t>,</w:t>
      </w:r>
      <w:r w:rsidR="00E2266B">
        <w:rPr>
          <w:lang w:eastAsia="en-US"/>
        </w:rPr>
        <w:t xml:space="preserve"> the LTC will be treated as also acquiring the land on 8 August 2017 with an intention of resale.</w:t>
      </w:r>
    </w:p>
    <w:p w:rsidR="002279EB" w:rsidRDefault="002279EB" w:rsidP="002279EB"/>
    <w:p w:rsidR="005E41A7" w:rsidRDefault="005E41A7" w:rsidP="002279EB"/>
    <w:p w:rsidR="002279EB" w:rsidRPr="00670DFA" w:rsidRDefault="002279EB" w:rsidP="00F119D5">
      <w:pPr>
        <w:pStyle w:val="Heading2"/>
      </w:pPr>
      <w:r w:rsidRPr="00670DFA">
        <w:t>Application date</w:t>
      </w:r>
    </w:p>
    <w:p w:rsidR="002279EB" w:rsidRPr="00670DFA" w:rsidRDefault="002279EB" w:rsidP="002279EB"/>
    <w:p w:rsidR="002279EB" w:rsidRPr="00670DFA" w:rsidRDefault="00885D77" w:rsidP="002279EB">
      <w:r>
        <w:t>The amendments apply</w:t>
      </w:r>
      <w:r w:rsidR="007A0D61">
        <w:t xml:space="preserve"> </w:t>
      </w:r>
      <w:r w:rsidR="008C7031">
        <w:t>for</w:t>
      </w:r>
      <w:r w:rsidR="007A0D61">
        <w:t xml:space="preserve"> the 201</w:t>
      </w:r>
      <w:r w:rsidR="00775720">
        <w:t>7</w:t>
      </w:r>
      <w:r w:rsidR="008C7031">
        <w:t>–</w:t>
      </w:r>
      <w:r w:rsidR="007A0D61">
        <w:t>1</w:t>
      </w:r>
      <w:r w:rsidR="00775720">
        <w:t>8</w:t>
      </w:r>
      <w:r w:rsidR="007A0D61">
        <w:t xml:space="preserve"> and subsequent income years.</w:t>
      </w:r>
    </w:p>
    <w:p w:rsidR="002279EB" w:rsidRDefault="002279EB" w:rsidP="002279EB"/>
    <w:p w:rsidR="00EA65AF" w:rsidRDefault="00EA65AF" w:rsidP="002279EB"/>
    <w:p w:rsidR="002279EB" w:rsidRPr="00670DFA" w:rsidRDefault="002279EB" w:rsidP="00F119D5">
      <w:pPr>
        <w:pStyle w:val="Heading2"/>
      </w:pPr>
      <w:r w:rsidRPr="00670DFA">
        <w:t>Detailed analysis</w:t>
      </w:r>
    </w:p>
    <w:p w:rsidR="002279EB" w:rsidRPr="00670DFA" w:rsidRDefault="002279EB" w:rsidP="002279EB"/>
    <w:p w:rsidR="003E2A94" w:rsidRPr="00E36545" w:rsidRDefault="003E2A94" w:rsidP="003E2A94">
      <w:r w:rsidRPr="00E36545">
        <w:t xml:space="preserve">The current formula in section CB </w:t>
      </w:r>
      <w:proofErr w:type="gramStart"/>
      <w:r w:rsidRPr="00E36545">
        <w:t>32C(</w:t>
      </w:r>
      <w:proofErr w:type="gramEnd"/>
      <w:r w:rsidRPr="00E36545">
        <w:t>5) is:</w:t>
      </w:r>
    </w:p>
    <w:p w:rsidR="003E2A94" w:rsidRPr="00E36545" w:rsidRDefault="003E2A94" w:rsidP="003E2A94"/>
    <w:p w:rsidR="003E2A94" w:rsidRPr="00E36545" w:rsidRDefault="003E2A94" w:rsidP="003E2A94">
      <w:pPr>
        <w:ind w:left="851" w:hanging="851"/>
        <w:jc w:val="center"/>
        <w:rPr>
          <w:i/>
        </w:rPr>
      </w:pPr>
      <w:proofErr w:type="gramStart"/>
      <w:r w:rsidRPr="00E36545">
        <w:rPr>
          <w:i/>
        </w:rPr>
        <w:t>dividends</w:t>
      </w:r>
      <w:proofErr w:type="gramEnd"/>
      <w:r w:rsidRPr="00E36545">
        <w:rPr>
          <w:i/>
        </w:rPr>
        <w:t xml:space="preserve"> + balances – assessable income – </w:t>
      </w:r>
      <w:r w:rsidRPr="00E36545">
        <w:rPr>
          <w:i/>
          <w:u w:val="single"/>
        </w:rPr>
        <w:t>balances</w:t>
      </w:r>
      <w:r w:rsidRPr="00E36545">
        <w:rPr>
          <w:i/>
        </w:rPr>
        <w:t xml:space="preserve"> – exit exemption</w:t>
      </w:r>
    </w:p>
    <w:p w:rsidR="003E2A94" w:rsidRPr="00E36545" w:rsidRDefault="003E2A94" w:rsidP="003E2A94">
      <w:pPr>
        <w:tabs>
          <w:tab w:val="left" w:pos="5103"/>
        </w:tabs>
        <w:ind w:left="851" w:hanging="851"/>
        <w:jc w:val="left"/>
        <w:rPr>
          <w:i/>
        </w:rPr>
      </w:pPr>
      <w:r>
        <w:rPr>
          <w:i/>
        </w:rPr>
        <w:tab/>
      </w:r>
      <w:r>
        <w:rPr>
          <w:i/>
        </w:rPr>
        <w:tab/>
      </w:r>
      <w:r w:rsidR="00F119D5">
        <w:rPr>
          <w:i/>
        </w:rPr>
        <w:t xml:space="preserve">      </w:t>
      </w:r>
      <w:proofErr w:type="gramStart"/>
      <w:r w:rsidRPr="00E36545">
        <w:rPr>
          <w:i/>
        </w:rPr>
        <w:t>tax</w:t>
      </w:r>
      <w:proofErr w:type="gramEnd"/>
      <w:r w:rsidRPr="00E36545">
        <w:rPr>
          <w:i/>
        </w:rPr>
        <w:t xml:space="preserve"> rate</w:t>
      </w:r>
    </w:p>
    <w:p w:rsidR="003E2A94" w:rsidRPr="00E36545" w:rsidRDefault="003E2A94" w:rsidP="003E2A94">
      <w:pPr>
        <w:ind w:left="851" w:hanging="851"/>
      </w:pPr>
      <w:proofErr w:type="gramStart"/>
      <w:r w:rsidRPr="00E36545">
        <w:t>where</w:t>
      </w:r>
      <w:proofErr w:type="gramEnd"/>
      <w:r w:rsidRPr="00E36545">
        <w:t>:</w:t>
      </w:r>
    </w:p>
    <w:p w:rsidR="003E2A94" w:rsidRPr="00E36545" w:rsidRDefault="003E2A94" w:rsidP="003E2A94"/>
    <w:p w:rsidR="003E2A94" w:rsidRPr="00E36545" w:rsidRDefault="003E2A94" w:rsidP="003E2A94">
      <w:pPr>
        <w:ind w:left="567"/>
      </w:pPr>
      <w:r w:rsidRPr="00E36545">
        <w:rPr>
          <w:i/>
        </w:rPr>
        <w:t>dividends</w:t>
      </w:r>
      <w:r w:rsidRPr="00E36545">
        <w:t xml:space="preserve"> is the sum of the amounts that would be dividends if</w:t>
      </w:r>
      <w:r w:rsidR="00ED30A9">
        <w:t>,</w:t>
      </w:r>
      <w:r w:rsidRPr="00E36545">
        <w:t xml:space="preserve"> immediately before becoming a LTC</w:t>
      </w:r>
      <w:r w:rsidR="00ED30A9">
        <w:t>,</w:t>
      </w:r>
      <w:r w:rsidRPr="00E36545">
        <w:t xml:space="preserve"> the property of the company, other than cash, were disposed of at market value</w:t>
      </w:r>
      <w:r w:rsidR="00ED30A9">
        <w:t xml:space="preserve">, </w:t>
      </w:r>
      <w:r w:rsidRPr="00E36545">
        <w:t>the company met all its liabilities at market value and it was liquidated</w:t>
      </w:r>
      <w:r w:rsidR="00ED30A9">
        <w:t>,</w:t>
      </w:r>
      <w:r w:rsidRPr="00E36545">
        <w:t xml:space="preserve"> and the net cash amount was distributed to shareholders without imputation credits or foreign dividend payment credits attached.  In other words </w:t>
      </w:r>
      <w:proofErr w:type="gramStart"/>
      <w:r w:rsidRPr="00E36545">
        <w:t>a liquidation</w:t>
      </w:r>
      <w:proofErr w:type="gramEnd"/>
      <w:r w:rsidRPr="00E36545">
        <w:t xml:space="preserve"> took place;</w:t>
      </w:r>
    </w:p>
    <w:p w:rsidR="003E2A94" w:rsidRPr="00E36545" w:rsidRDefault="003E2A94" w:rsidP="003E2A94">
      <w:pPr>
        <w:ind w:left="567"/>
      </w:pPr>
    </w:p>
    <w:p w:rsidR="003E2A94" w:rsidRPr="00E36545" w:rsidRDefault="003E2A94" w:rsidP="003E2A94">
      <w:pPr>
        <w:ind w:left="567"/>
      </w:pPr>
      <w:r w:rsidRPr="00E36545">
        <w:rPr>
          <w:i/>
        </w:rPr>
        <w:t>balances</w:t>
      </w:r>
      <w:r w:rsidRPr="00E36545">
        <w:t xml:space="preserve"> is the sum of the balances in the imputation credit account and foreign dividend payment credit account immediately before becoming a LTC, plus amounts of income tax payable for an earlier income year but not paid before the relevant date, less refunds due for the earlier income year but paid after the relevant date;</w:t>
      </w:r>
    </w:p>
    <w:p w:rsidR="003E2A94" w:rsidRPr="00E36545" w:rsidRDefault="003E2A94" w:rsidP="003E2A94">
      <w:pPr>
        <w:ind w:left="567" w:hanging="567"/>
      </w:pPr>
    </w:p>
    <w:p w:rsidR="003E2A94" w:rsidRPr="00E36545" w:rsidRDefault="003E2A94" w:rsidP="003E2A94">
      <w:pPr>
        <w:ind w:left="567"/>
      </w:pPr>
      <w:proofErr w:type="gramStart"/>
      <w:r w:rsidRPr="00E36545">
        <w:rPr>
          <w:i/>
        </w:rPr>
        <w:t>assessable</w:t>
      </w:r>
      <w:proofErr w:type="gramEnd"/>
      <w:r w:rsidRPr="00E36545">
        <w:rPr>
          <w:i/>
        </w:rPr>
        <w:t xml:space="preserve"> income</w:t>
      </w:r>
      <w:r w:rsidRPr="00E36545">
        <w:t xml:space="preserve"> is the amount of income that would arise as a result of liquidation less any deductions that the company would have as a result of liquidating.  This includes depreciation gains or losses, bad debts and disposals of revenue account property;</w:t>
      </w:r>
    </w:p>
    <w:p w:rsidR="003E2A94" w:rsidRPr="00E36545" w:rsidRDefault="003E2A94" w:rsidP="003E2A94">
      <w:pPr>
        <w:ind w:left="567"/>
      </w:pPr>
    </w:p>
    <w:p w:rsidR="003E2A94" w:rsidRPr="00E36545" w:rsidRDefault="003E2A94" w:rsidP="003E2A94">
      <w:pPr>
        <w:ind w:left="567"/>
      </w:pPr>
      <w:proofErr w:type="gramStart"/>
      <w:r w:rsidRPr="00E36545">
        <w:rPr>
          <w:i/>
        </w:rPr>
        <w:t>tax</w:t>
      </w:r>
      <w:proofErr w:type="gramEnd"/>
      <w:r w:rsidRPr="00E36545">
        <w:rPr>
          <w:i/>
        </w:rPr>
        <w:t xml:space="preserve"> rate</w:t>
      </w:r>
      <w:r w:rsidRPr="00E36545">
        <w:t xml:space="preserve"> is the company tax rate in the income year before the income year in which the company becomes a LTC;</w:t>
      </w:r>
    </w:p>
    <w:p w:rsidR="003E2A94" w:rsidRPr="00E36545" w:rsidRDefault="003E2A94" w:rsidP="003E2A94">
      <w:pPr>
        <w:ind w:left="567"/>
      </w:pPr>
    </w:p>
    <w:p w:rsidR="003E2A94" w:rsidRPr="00E36545" w:rsidRDefault="003E2A94" w:rsidP="003E2A94">
      <w:pPr>
        <w:ind w:left="567"/>
      </w:pPr>
      <w:proofErr w:type="gramStart"/>
      <w:r w:rsidRPr="00E36545">
        <w:rPr>
          <w:i/>
        </w:rPr>
        <w:t>exit</w:t>
      </w:r>
      <w:proofErr w:type="gramEnd"/>
      <w:r w:rsidRPr="00E36545">
        <w:rPr>
          <w:i/>
        </w:rPr>
        <w:t xml:space="preserve"> exemption</w:t>
      </w:r>
      <w:r w:rsidRPr="00E36545">
        <w:t xml:space="preserve"> is the exit dividends that, if the company had previously been a LTC and is now re-entering the LTC rules, would be attributed to any retained reserves from the previous LTC period that have not since been distributed.</w:t>
      </w:r>
    </w:p>
    <w:p w:rsidR="003E2A94" w:rsidRPr="00E36545" w:rsidRDefault="003E2A94" w:rsidP="003E2A94"/>
    <w:p w:rsidR="00F119D5" w:rsidRDefault="00F119D5">
      <w:pPr>
        <w:jc w:val="left"/>
      </w:pPr>
      <w:r>
        <w:br w:type="page"/>
      </w:r>
    </w:p>
    <w:p w:rsidR="003E2A94" w:rsidRPr="00E36545" w:rsidRDefault="003E2A94" w:rsidP="003E2A94">
      <w:r w:rsidRPr="00E36545">
        <w:t>The new f</w:t>
      </w:r>
      <w:r>
        <w:t xml:space="preserve">ormula in section CB </w:t>
      </w:r>
      <w:proofErr w:type="gramStart"/>
      <w:r>
        <w:t>32C(</w:t>
      </w:r>
      <w:proofErr w:type="gramEnd"/>
      <w:r>
        <w:t>4) is:</w:t>
      </w:r>
    </w:p>
    <w:p w:rsidR="003E2A94" w:rsidRPr="00E36545" w:rsidRDefault="003E2A94" w:rsidP="003E2A94"/>
    <w:p w:rsidR="003E2A94" w:rsidRPr="00E36545" w:rsidRDefault="003E2A94" w:rsidP="003E2A94">
      <w:pPr>
        <w:ind w:left="851" w:hanging="131"/>
        <w:jc w:val="center"/>
        <w:rPr>
          <w:i/>
        </w:rPr>
      </w:pPr>
      <w:r w:rsidRPr="00E36545">
        <w:rPr>
          <w:i/>
        </w:rPr>
        <w:t>(</w:t>
      </w:r>
      <w:proofErr w:type="gramStart"/>
      <w:r w:rsidRPr="00E36545">
        <w:rPr>
          <w:i/>
        </w:rPr>
        <w:t>untaxed</w:t>
      </w:r>
      <w:proofErr w:type="gramEnd"/>
      <w:r w:rsidRPr="00E36545">
        <w:rPr>
          <w:i/>
        </w:rPr>
        <w:t xml:space="preserve"> reserves + reserves imputation credit) </w:t>
      </w:r>
      <w:r w:rsidR="00F119D5" w:rsidRPr="00E36545">
        <w:rPr>
          <w:i/>
        </w:rPr>
        <w:t>×</w:t>
      </w:r>
      <w:r>
        <w:rPr>
          <w:i/>
        </w:rPr>
        <w:t xml:space="preserve"> </w:t>
      </w:r>
      <w:proofErr w:type="gramStart"/>
      <w:r>
        <w:rPr>
          <w:i/>
        </w:rPr>
        <w:t>effective</w:t>
      </w:r>
      <w:proofErr w:type="gramEnd"/>
      <w:r>
        <w:rPr>
          <w:i/>
        </w:rPr>
        <w:t xml:space="preserve"> interest</w:t>
      </w:r>
    </w:p>
    <w:p w:rsidR="003E2A94" w:rsidRPr="00E36545" w:rsidRDefault="003E2A94" w:rsidP="003E2A94"/>
    <w:p w:rsidR="003E2A94" w:rsidRPr="00E36545" w:rsidRDefault="003E2A94" w:rsidP="003E2A94">
      <w:proofErr w:type="gramStart"/>
      <w:r w:rsidRPr="00E36545">
        <w:t>where</w:t>
      </w:r>
      <w:proofErr w:type="gramEnd"/>
      <w:r w:rsidRPr="00E36545">
        <w:t>:</w:t>
      </w:r>
    </w:p>
    <w:p w:rsidR="003E2A94" w:rsidRPr="00E36545" w:rsidRDefault="003E2A94" w:rsidP="003E2A94"/>
    <w:p w:rsidR="003E2A94" w:rsidRPr="00E36545" w:rsidRDefault="003E2A94" w:rsidP="003E2A94">
      <w:pPr>
        <w:autoSpaceDE w:val="0"/>
        <w:autoSpaceDN w:val="0"/>
        <w:adjustRightInd w:val="0"/>
        <w:ind w:left="567"/>
      </w:pPr>
      <w:r w:rsidRPr="00E36545">
        <w:rPr>
          <w:i/>
        </w:rPr>
        <w:t xml:space="preserve">reserves imputation credit </w:t>
      </w:r>
      <w:r w:rsidRPr="00E36545">
        <w:t>is the total amount of credits in the company’s imputation account, up to the maximum permitted ratio for the untaxed reserves under section OA 18 (Calculation of maximum permitted ratios) and is treated as an attached imputation credit included in the dividend calculated;</w:t>
      </w:r>
    </w:p>
    <w:p w:rsidR="003E2A94" w:rsidRPr="00E36545" w:rsidRDefault="003E2A94" w:rsidP="003E2A94">
      <w:pPr>
        <w:autoSpaceDE w:val="0"/>
        <w:autoSpaceDN w:val="0"/>
        <w:adjustRightInd w:val="0"/>
        <w:ind w:left="567"/>
        <w:rPr>
          <w:i/>
        </w:rPr>
      </w:pPr>
    </w:p>
    <w:p w:rsidR="003E2A94" w:rsidRPr="00E36545" w:rsidRDefault="003E2A94" w:rsidP="003E2A94">
      <w:pPr>
        <w:autoSpaceDE w:val="0"/>
        <w:autoSpaceDN w:val="0"/>
        <w:adjustRightInd w:val="0"/>
        <w:ind w:left="567"/>
        <w:jc w:val="left"/>
      </w:pPr>
      <w:proofErr w:type="gramStart"/>
      <w:r w:rsidRPr="00E36545">
        <w:rPr>
          <w:i/>
        </w:rPr>
        <w:t>effective</w:t>
      </w:r>
      <w:proofErr w:type="gramEnd"/>
      <w:r w:rsidRPr="00E36545">
        <w:rPr>
          <w:i/>
        </w:rPr>
        <w:t xml:space="preserve"> interest </w:t>
      </w:r>
      <w:r w:rsidRPr="00E36545">
        <w:t>is the person’s effective look-through interest for the look-through company on the relevant day; and</w:t>
      </w:r>
    </w:p>
    <w:p w:rsidR="003E2A94" w:rsidRPr="00E36545" w:rsidRDefault="003E2A94" w:rsidP="003E2A94">
      <w:pPr>
        <w:ind w:left="567"/>
      </w:pPr>
    </w:p>
    <w:p w:rsidR="003E2A94" w:rsidRPr="00E36545" w:rsidRDefault="003E2A94" w:rsidP="003E2A94">
      <w:pPr>
        <w:ind w:left="567"/>
      </w:pPr>
      <w:proofErr w:type="gramStart"/>
      <w:r w:rsidRPr="00E36545">
        <w:rPr>
          <w:i/>
        </w:rPr>
        <w:t>untaxed</w:t>
      </w:r>
      <w:proofErr w:type="gramEnd"/>
      <w:r w:rsidRPr="00E36545">
        <w:rPr>
          <w:i/>
        </w:rPr>
        <w:t xml:space="preserve"> reserves </w:t>
      </w:r>
      <w:r w:rsidRPr="00E36545">
        <w:t>is calculated using the following formula:</w:t>
      </w:r>
    </w:p>
    <w:p w:rsidR="003E2A94" w:rsidRPr="00E36545" w:rsidRDefault="003E2A94" w:rsidP="003E2A94">
      <w:pPr>
        <w:ind w:left="851" w:hanging="851"/>
      </w:pPr>
    </w:p>
    <w:p w:rsidR="003E2A94" w:rsidRPr="00E36545" w:rsidRDefault="003E2A94" w:rsidP="003E2A94">
      <w:pPr>
        <w:ind w:left="851" w:hanging="851"/>
        <w:jc w:val="center"/>
        <w:rPr>
          <w:i/>
        </w:rPr>
      </w:pPr>
      <w:proofErr w:type="gramStart"/>
      <w:r w:rsidRPr="00E36545">
        <w:rPr>
          <w:i/>
        </w:rPr>
        <w:t>dividends</w:t>
      </w:r>
      <w:proofErr w:type="gramEnd"/>
      <w:r w:rsidRPr="00E36545">
        <w:rPr>
          <w:i/>
        </w:rPr>
        <w:t xml:space="preserve"> – assessable income – exit exemption</w:t>
      </w:r>
    </w:p>
    <w:p w:rsidR="003E2A94" w:rsidRPr="00E36545" w:rsidRDefault="003E2A94" w:rsidP="003E2A94"/>
    <w:p w:rsidR="003E2A94" w:rsidRPr="00E36545" w:rsidRDefault="003E2A94" w:rsidP="003E2A94">
      <w:proofErr w:type="gramStart"/>
      <w:r w:rsidRPr="00E36545">
        <w:t>where</w:t>
      </w:r>
      <w:proofErr w:type="gramEnd"/>
      <w:r w:rsidRPr="00E36545">
        <w:t>:</w:t>
      </w:r>
    </w:p>
    <w:p w:rsidR="003E2A94" w:rsidRPr="00E36545" w:rsidRDefault="003E2A94" w:rsidP="003E2A94"/>
    <w:p w:rsidR="003E2A94" w:rsidRPr="00E36545" w:rsidRDefault="003E2A94" w:rsidP="003E2A94">
      <w:pPr>
        <w:tabs>
          <w:tab w:val="left" w:pos="567"/>
        </w:tabs>
        <w:autoSpaceDE w:val="0"/>
        <w:autoSpaceDN w:val="0"/>
        <w:adjustRightInd w:val="0"/>
        <w:ind w:left="567"/>
      </w:pPr>
      <w:r w:rsidRPr="00E36545">
        <w:rPr>
          <w:i/>
        </w:rPr>
        <w:t>dividends</w:t>
      </w:r>
      <w:r w:rsidRPr="00E36545">
        <w:t xml:space="preserve"> is the sum of the amounts that would be dividends if the following events occurred for the company or the amalgamating company, immediately before it became a look-through company or amalgamated with a look-through company:</w:t>
      </w:r>
    </w:p>
    <w:p w:rsidR="003E2A94" w:rsidRPr="00E36545" w:rsidRDefault="003E2A94" w:rsidP="003E2A94">
      <w:pPr>
        <w:autoSpaceDE w:val="0"/>
        <w:autoSpaceDN w:val="0"/>
        <w:adjustRightInd w:val="0"/>
      </w:pPr>
    </w:p>
    <w:p w:rsidR="003E2A94" w:rsidRPr="00E36545" w:rsidRDefault="003E2A94" w:rsidP="003E2A94">
      <w:pPr>
        <w:numPr>
          <w:ilvl w:val="0"/>
          <w:numId w:val="33"/>
        </w:numPr>
        <w:autoSpaceDE w:val="0"/>
        <w:autoSpaceDN w:val="0"/>
        <w:adjustRightInd w:val="0"/>
        <w:spacing w:after="80"/>
        <w:ind w:left="1134" w:hanging="567"/>
        <w:rPr>
          <w:lang w:eastAsia="en-US"/>
        </w:rPr>
      </w:pPr>
      <w:r w:rsidRPr="00E36545">
        <w:rPr>
          <w:lang w:eastAsia="en-US"/>
        </w:rPr>
        <w:t>it disposed of all of its property, other than cash, to an unrelated person at market value for cash; and</w:t>
      </w:r>
    </w:p>
    <w:p w:rsidR="003E2A94" w:rsidRPr="00E36545" w:rsidRDefault="003E2A94" w:rsidP="003E2A94">
      <w:pPr>
        <w:numPr>
          <w:ilvl w:val="0"/>
          <w:numId w:val="33"/>
        </w:numPr>
        <w:autoSpaceDE w:val="0"/>
        <w:autoSpaceDN w:val="0"/>
        <w:adjustRightInd w:val="0"/>
        <w:spacing w:after="80"/>
        <w:ind w:left="1134" w:hanging="567"/>
        <w:rPr>
          <w:lang w:eastAsia="en-US"/>
        </w:rPr>
      </w:pPr>
      <w:r w:rsidRPr="00E36545">
        <w:rPr>
          <w:lang w:eastAsia="en-US"/>
        </w:rPr>
        <w:t>it met all of its liabilities at market value, excluding income tax payable through disposing of the property or meeting the liabilities; and</w:t>
      </w:r>
    </w:p>
    <w:p w:rsidR="003E2A94" w:rsidRPr="00E36545" w:rsidRDefault="003E2A94" w:rsidP="003E2A94">
      <w:pPr>
        <w:numPr>
          <w:ilvl w:val="0"/>
          <w:numId w:val="33"/>
        </w:numPr>
        <w:autoSpaceDE w:val="0"/>
        <w:autoSpaceDN w:val="0"/>
        <w:adjustRightInd w:val="0"/>
        <w:ind w:left="1134" w:hanging="567"/>
        <w:rPr>
          <w:lang w:eastAsia="en-US"/>
        </w:rPr>
      </w:pPr>
      <w:r w:rsidRPr="00E36545">
        <w:rPr>
          <w:lang w:eastAsia="en-US"/>
        </w:rPr>
        <w:t>it was liquidated, with the amount of cash remaining being distributed to shareholders without imputation credits attached;</w:t>
      </w:r>
    </w:p>
    <w:p w:rsidR="003E2A94" w:rsidRPr="00E36545" w:rsidRDefault="003E2A94" w:rsidP="003E2A94">
      <w:pPr>
        <w:autoSpaceDE w:val="0"/>
        <w:autoSpaceDN w:val="0"/>
        <w:adjustRightInd w:val="0"/>
      </w:pPr>
    </w:p>
    <w:p w:rsidR="003E2A94" w:rsidRPr="00E36545" w:rsidRDefault="003E2A94" w:rsidP="003E2A94">
      <w:pPr>
        <w:autoSpaceDE w:val="0"/>
        <w:autoSpaceDN w:val="0"/>
        <w:adjustRightInd w:val="0"/>
        <w:ind w:left="567"/>
      </w:pPr>
      <w:r w:rsidRPr="00E36545">
        <w:rPr>
          <w:i/>
        </w:rPr>
        <w:t>assessable income</w:t>
      </w:r>
      <w:r w:rsidRPr="00E36545">
        <w:t xml:space="preserve"> is the total assessable income that the company would derive by taking the actions described in subparagraphs (i) and (ii) above; less the amount of any deduction that the company would have for taking those actions;</w:t>
      </w:r>
    </w:p>
    <w:p w:rsidR="003E2A94" w:rsidRPr="00E36545" w:rsidRDefault="003E2A94" w:rsidP="003E2A94">
      <w:pPr>
        <w:autoSpaceDE w:val="0"/>
        <w:autoSpaceDN w:val="0"/>
        <w:adjustRightInd w:val="0"/>
        <w:ind w:left="567"/>
      </w:pPr>
    </w:p>
    <w:p w:rsidR="003E2A94" w:rsidRPr="00E36545" w:rsidRDefault="003E2A94" w:rsidP="003E2A94">
      <w:pPr>
        <w:autoSpaceDE w:val="0"/>
        <w:autoSpaceDN w:val="0"/>
        <w:adjustRightInd w:val="0"/>
        <w:ind w:left="567"/>
      </w:pPr>
      <w:r w:rsidRPr="00E36545">
        <w:rPr>
          <w:i/>
        </w:rPr>
        <w:t>exit exemption</w:t>
      </w:r>
      <w:r w:rsidRPr="00E36545">
        <w:t xml:space="preserve"> is the amount given by the formula in section CX 63(2) (Dividends derived after ceasing to be </w:t>
      </w:r>
      <w:r w:rsidR="00240645">
        <w:t xml:space="preserve">a </w:t>
      </w:r>
      <w:r w:rsidRPr="00E36545">
        <w:t>look-th</w:t>
      </w:r>
      <w:r>
        <w:t>r</w:t>
      </w:r>
      <w:r w:rsidRPr="00E36545">
        <w:t>ough company), treating the amount as a dividend paid by the company for the purposes of section CX 63(1), if section CX 63 would apply to a dividend paid by the company.</w:t>
      </w:r>
    </w:p>
    <w:p w:rsidR="003E2A94" w:rsidRPr="00E36545" w:rsidRDefault="003E2A94" w:rsidP="003E2A94"/>
    <w:p w:rsidR="003E2A94" w:rsidRPr="00E36545" w:rsidRDefault="003E2A94" w:rsidP="003E2A94">
      <w:r w:rsidRPr="00E36545">
        <w:t xml:space="preserve">The terms “dividends, “assessable income” and “exit exemption” are therefore the same as in the </w:t>
      </w:r>
      <w:r w:rsidR="009F4DD7">
        <w:t>previous</w:t>
      </w:r>
      <w:r w:rsidR="009F4DD7" w:rsidRPr="00E36545">
        <w:t xml:space="preserve"> </w:t>
      </w:r>
      <w:r w:rsidRPr="00E36545">
        <w:t>formula.</w:t>
      </w:r>
    </w:p>
    <w:p w:rsidR="003E2A94" w:rsidRPr="00E36545" w:rsidRDefault="003E2A94" w:rsidP="003E2A94"/>
    <w:p w:rsidR="003E2A94" w:rsidRPr="00E36545" w:rsidRDefault="003E2A94" w:rsidP="003E2A94">
      <w:r w:rsidRPr="00E36545">
        <w:t>This proposed formula will treat the retained income and imputation credits that would arise on liquidation of the company as being distributed to the individual LTC owners who will need to include the income and imputation credits in their return of income.  This approach leaves it to each individual shareholder to determine what tax rate applies to their share of the income, and results in a fairer tax outcome.</w:t>
      </w:r>
    </w:p>
    <w:p w:rsidR="003E2A94" w:rsidRPr="00E36545" w:rsidRDefault="003E2A94" w:rsidP="003E2A94"/>
    <w:p w:rsidR="00F119D5" w:rsidRDefault="00F119D5">
      <w:pPr>
        <w:jc w:val="left"/>
      </w:pPr>
      <w:r>
        <w:br w:type="page"/>
      </w:r>
    </w:p>
    <w:p w:rsidR="003E2A94" w:rsidRPr="00E36545" w:rsidRDefault="003E2A94" w:rsidP="003E2A94">
      <w:r w:rsidRPr="00E36545">
        <w:t>The formula will apply to companies converting to LTCs, including QCs with sufficient imputation credits to fully impute the dividend, as well as companies that amalgamate with LTCs.  However, it will not apply to those QCs converting to LTCs for which the entry tax formula would result in a dividend which is not fully imputed.</w:t>
      </w:r>
    </w:p>
    <w:p w:rsidR="003E2A94" w:rsidRPr="00E36545" w:rsidRDefault="003E2A94" w:rsidP="003E2A94"/>
    <w:p w:rsidR="003E2A94" w:rsidRPr="00E36545" w:rsidRDefault="003E2A94" w:rsidP="003E2A94">
      <w:pPr>
        <w:pStyle w:val="Heading3"/>
      </w:pPr>
      <w:r w:rsidRPr="00E36545">
        <w:t>Qualifying companies with limited imputation credits</w:t>
      </w:r>
    </w:p>
    <w:p w:rsidR="003E2A94" w:rsidRPr="00E36545" w:rsidRDefault="003E2A94" w:rsidP="003E2A94"/>
    <w:p w:rsidR="003E2A94" w:rsidRPr="00E36545" w:rsidRDefault="003E2A94" w:rsidP="003E2A94">
      <w:r w:rsidRPr="00E36545">
        <w:t xml:space="preserve">Instead the proposed additional formula in section CB </w:t>
      </w:r>
      <w:proofErr w:type="gramStart"/>
      <w:r w:rsidRPr="00E36545">
        <w:t>32C(</w:t>
      </w:r>
      <w:proofErr w:type="gramEnd"/>
      <w:r w:rsidRPr="00E36545">
        <w:t>8) is to be used to calculate the entry tax payable when a dividend by a QC on liquidation would be only partially imputed and, therefore, only partially a taxable distribution.  The proposed formula in this case is:</w:t>
      </w:r>
    </w:p>
    <w:p w:rsidR="003E2A94" w:rsidRPr="00E36545" w:rsidRDefault="003E2A94" w:rsidP="003E2A94"/>
    <w:p w:rsidR="003E2A94" w:rsidRPr="00E36545" w:rsidRDefault="003E2A94" w:rsidP="003E2A94">
      <w:pPr>
        <w:ind w:left="851" w:hanging="131"/>
        <w:jc w:val="center"/>
        <w:rPr>
          <w:i/>
        </w:rPr>
      </w:pPr>
      <w:r w:rsidRPr="00E36545">
        <w:rPr>
          <w:i/>
        </w:rPr>
        <w:t>(</w:t>
      </w:r>
      <w:proofErr w:type="gramStart"/>
      <w:r w:rsidRPr="00E36545">
        <w:rPr>
          <w:i/>
          <w:u w:val="single"/>
        </w:rPr>
        <w:t>balances</w:t>
      </w:r>
      <w:proofErr w:type="gramEnd"/>
      <w:r w:rsidRPr="00E36545">
        <w:rPr>
          <w:i/>
        </w:rPr>
        <w:t xml:space="preserve"> – balances) + balances imputation credit) × effective interest</w:t>
      </w:r>
    </w:p>
    <w:p w:rsidR="003E2A94" w:rsidRPr="00E36545" w:rsidRDefault="003E2A94" w:rsidP="003E2A94">
      <w:pPr>
        <w:tabs>
          <w:tab w:val="left" w:pos="1134"/>
          <w:tab w:val="left" w:pos="5529"/>
        </w:tabs>
        <w:ind w:left="851" w:hanging="851"/>
        <w:rPr>
          <w:i/>
        </w:rPr>
      </w:pPr>
      <w:r>
        <w:rPr>
          <w:i/>
        </w:rPr>
        <w:tab/>
      </w:r>
      <w:r>
        <w:rPr>
          <w:i/>
        </w:rPr>
        <w:tab/>
      </w:r>
      <w:r w:rsidR="00F119D5">
        <w:rPr>
          <w:i/>
        </w:rPr>
        <w:t xml:space="preserve">       </w:t>
      </w:r>
      <w:proofErr w:type="gramStart"/>
      <w:r w:rsidRPr="00E36545">
        <w:rPr>
          <w:i/>
        </w:rPr>
        <w:t>tax</w:t>
      </w:r>
      <w:proofErr w:type="gramEnd"/>
      <w:r w:rsidRPr="00E36545">
        <w:rPr>
          <w:i/>
        </w:rPr>
        <w:t xml:space="preserve"> rate</w:t>
      </w:r>
    </w:p>
    <w:p w:rsidR="003E2A94" w:rsidRPr="00E36545" w:rsidRDefault="003E2A94" w:rsidP="003E2A94"/>
    <w:p w:rsidR="003E2A94" w:rsidRPr="00E36545" w:rsidRDefault="003E2A94" w:rsidP="003E2A94">
      <w:proofErr w:type="gramStart"/>
      <w:r w:rsidRPr="00E36545">
        <w:t>where</w:t>
      </w:r>
      <w:proofErr w:type="gramEnd"/>
      <w:r w:rsidRPr="00E36545">
        <w:t>:</w:t>
      </w:r>
    </w:p>
    <w:p w:rsidR="003E2A94" w:rsidRPr="00E36545" w:rsidRDefault="003E2A94" w:rsidP="003E2A94"/>
    <w:p w:rsidR="003E2A94" w:rsidRDefault="003E2A94" w:rsidP="003E2A94">
      <w:pPr>
        <w:autoSpaceDE w:val="0"/>
        <w:autoSpaceDN w:val="0"/>
        <w:adjustRightInd w:val="0"/>
        <w:ind w:left="567"/>
      </w:pPr>
      <w:proofErr w:type="gramStart"/>
      <w:r w:rsidRPr="00E36545">
        <w:rPr>
          <w:i/>
        </w:rPr>
        <w:t>balances</w:t>
      </w:r>
      <w:proofErr w:type="gramEnd"/>
      <w:r w:rsidRPr="00E36545">
        <w:t xml:space="preserve"> is the sum of the following amounts:</w:t>
      </w:r>
    </w:p>
    <w:p w:rsidR="003E2A94" w:rsidRPr="00E36545" w:rsidRDefault="003E2A94" w:rsidP="003E2A94">
      <w:pPr>
        <w:autoSpaceDE w:val="0"/>
        <w:autoSpaceDN w:val="0"/>
        <w:adjustRightInd w:val="0"/>
      </w:pPr>
    </w:p>
    <w:p w:rsidR="003E2A94" w:rsidRPr="000B2956" w:rsidRDefault="003E2A94" w:rsidP="003E2A94">
      <w:pPr>
        <w:pStyle w:val="ListParagraph"/>
        <w:numPr>
          <w:ilvl w:val="0"/>
          <w:numId w:val="34"/>
        </w:numPr>
        <w:tabs>
          <w:tab w:val="left" w:pos="1134"/>
        </w:tabs>
        <w:autoSpaceDE w:val="0"/>
        <w:autoSpaceDN w:val="0"/>
        <w:adjustRightInd w:val="0"/>
        <w:spacing w:after="80"/>
        <w:ind w:left="1134" w:hanging="567"/>
        <w:contextualSpacing w:val="0"/>
        <w:jc w:val="left"/>
      </w:pPr>
      <w:r w:rsidRPr="000B2956">
        <w:t>the balance in the compa</w:t>
      </w:r>
      <w:r>
        <w:t>ny’s imputation credit account;</w:t>
      </w:r>
    </w:p>
    <w:p w:rsidR="003E2A94" w:rsidRPr="000B2956" w:rsidRDefault="003E2A94" w:rsidP="003E2A94">
      <w:pPr>
        <w:pStyle w:val="ListParagraph"/>
        <w:numPr>
          <w:ilvl w:val="0"/>
          <w:numId w:val="34"/>
        </w:numPr>
        <w:tabs>
          <w:tab w:val="left" w:pos="1134"/>
        </w:tabs>
        <w:autoSpaceDE w:val="0"/>
        <w:autoSpaceDN w:val="0"/>
        <w:adjustRightInd w:val="0"/>
        <w:ind w:left="1134" w:hanging="567"/>
        <w:contextualSpacing w:val="0"/>
        <w:jc w:val="left"/>
      </w:pPr>
      <w:r w:rsidRPr="000B2956">
        <w:t>an amount of income tax payable for an earlier income year but not paid before the relevant date, less refunds due for the earlier income year but paid after the relevant date;</w:t>
      </w:r>
    </w:p>
    <w:p w:rsidR="003E2A94" w:rsidRPr="00E36545" w:rsidRDefault="003E2A94" w:rsidP="003E2A94">
      <w:pPr>
        <w:autoSpaceDE w:val="0"/>
        <w:autoSpaceDN w:val="0"/>
        <w:adjustRightInd w:val="0"/>
      </w:pPr>
    </w:p>
    <w:p w:rsidR="003E2A94" w:rsidRPr="00E36545" w:rsidRDefault="003E2A94" w:rsidP="003E2A94">
      <w:pPr>
        <w:autoSpaceDE w:val="0"/>
        <w:autoSpaceDN w:val="0"/>
        <w:adjustRightInd w:val="0"/>
        <w:ind w:left="567"/>
      </w:pPr>
      <w:proofErr w:type="gramStart"/>
      <w:r w:rsidRPr="00E36545">
        <w:rPr>
          <w:i/>
        </w:rPr>
        <w:t>tax</w:t>
      </w:r>
      <w:proofErr w:type="gramEnd"/>
      <w:r w:rsidRPr="00E36545">
        <w:rPr>
          <w:i/>
        </w:rPr>
        <w:t xml:space="preserve"> rate</w:t>
      </w:r>
      <w:r w:rsidRPr="00E36545">
        <w:t xml:space="preserve"> is the basic tax rate for the income year of the company that contains the relevant day;</w:t>
      </w:r>
    </w:p>
    <w:p w:rsidR="003E2A94" w:rsidRPr="00E36545" w:rsidRDefault="003E2A94" w:rsidP="003E2A94">
      <w:pPr>
        <w:autoSpaceDE w:val="0"/>
        <w:autoSpaceDN w:val="0"/>
        <w:adjustRightInd w:val="0"/>
        <w:ind w:left="567"/>
      </w:pPr>
    </w:p>
    <w:p w:rsidR="003E2A94" w:rsidRPr="00E36545" w:rsidRDefault="003E2A94" w:rsidP="003E2A94">
      <w:pPr>
        <w:autoSpaceDE w:val="0"/>
        <w:autoSpaceDN w:val="0"/>
        <w:adjustRightInd w:val="0"/>
        <w:ind w:left="567"/>
      </w:pPr>
      <w:proofErr w:type="gramStart"/>
      <w:r w:rsidRPr="00E36545">
        <w:rPr>
          <w:i/>
        </w:rPr>
        <w:t>balances</w:t>
      </w:r>
      <w:proofErr w:type="gramEnd"/>
      <w:r w:rsidRPr="00E36545">
        <w:rPr>
          <w:i/>
        </w:rPr>
        <w:t xml:space="preserve"> imputation credit</w:t>
      </w:r>
      <w:r w:rsidRPr="00E36545">
        <w:t xml:space="preserve"> is the same as the amount of the item balances, and is treated as an attached imputation credit inclu</w:t>
      </w:r>
      <w:r>
        <w:t>ded in the dividend calculated;</w:t>
      </w:r>
    </w:p>
    <w:p w:rsidR="003E2A94" w:rsidRPr="00E36545" w:rsidRDefault="003E2A94" w:rsidP="003E2A94">
      <w:pPr>
        <w:autoSpaceDE w:val="0"/>
        <w:autoSpaceDN w:val="0"/>
        <w:adjustRightInd w:val="0"/>
        <w:ind w:left="567"/>
      </w:pPr>
    </w:p>
    <w:p w:rsidR="003E2A94" w:rsidRPr="00E36545" w:rsidRDefault="003E2A94" w:rsidP="003E2A94">
      <w:pPr>
        <w:autoSpaceDE w:val="0"/>
        <w:autoSpaceDN w:val="0"/>
        <w:adjustRightInd w:val="0"/>
        <w:ind w:left="567"/>
      </w:pPr>
      <w:proofErr w:type="gramStart"/>
      <w:r w:rsidRPr="00E36545">
        <w:rPr>
          <w:i/>
        </w:rPr>
        <w:t>effective</w:t>
      </w:r>
      <w:proofErr w:type="gramEnd"/>
      <w:r w:rsidRPr="00E36545">
        <w:rPr>
          <w:i/>
        </w:rPr>
        <w:t xml:space="preserve"> interest</w:t>
      </w:r>
      <w:r w:rsidRPr="00E36545">
        <w:t xml:space="preserve"> is the person’s effective look-through interest for a look-through company on the relevant day.</w:t>
      </w:r>
    </w:p>
    <w:p w:rsidR="003E2A94" w:rsidRPr="00E36545" w:rsidRDefault="003E2A94" w:rsidP="003E2A94">
      <w:pPr>
        <w:jc w:val="left"/>
      </w:pPr>
    </w:p>
    <w:p w:rsidR="003E2A94" w:rsidRPr="00E36545" w:rsidRDefault="003E2A94" w:rsidP="003E2A94">
      <w:pPr>
        <w:pStyle w:val="Heading3"/>
      </w:pPr>
      <w:r w:rsidRPr="00E36545">
        <w:t>Benchmark dividends</w:t>
      </w:r>
    </w:p>
    <w:p w:rsidR="003E2A94" w:rsidRPr="00E36545" w:rsidRDefault="003E2A94" w:rsidP="003E2A94"/>
    <w:p w:rsidR="003E2A94" w:rsidRPr="00E36545" w:rsidRDefault="003E2A94" w:rsidP="003E2A94">
      <w:r w:rsidRPr="00E36545">
        <w:t>An amendment to section section OB 61 (ICA benchmark dividend rules) ensures that the dividend which results from the entry tax formula is disregarded for the purposes of the benchmark dividend rules.  This amendment is for the avoidance of doubt that the level of imputation attaching to the entry tax deemed dividend does not require a benchmark dividend ratio change declaration as the company is not an imputation credit account (ICA) company as defined in section OB 1 of the Income Tax Act at the</w:t>
      </w:r>
      <w:r>
        <w:t xml:space="preserve"> time that the dividend arises.</w:t>
      </w:r>
    </w:p>
    <w:p w:rsidR="00EA65AF" w:rsidRDefault="00EA65AF">
      <w:pPr>
        <w:jc w:val="left"/>
      </w:pPr>
      <w:r>
        <w:br w:type="page"/>
      </w:r>
    </w:p>
    <w:p w:rsidR="002279EB" w:rsidRDefault="002279EB" w:rsidP="002279EB">
      <w:pPr>
        <w:pStyle w:val="Exampleheading"/>
        <w:pBdr>
          <w:top w:val="single" w:sz="4" w:space="10" w:color="auto"/>
          <w:left w:val="single" w:sz="4" w:space="10" w:color="auto"/>
          <w:bottom w:val="single" w:sz="4" w:space="10" w:color="auto"/>
          <w:right w:val="single" w:sz="4" w:space="10" w:color="auto"/>
        </w:pBdr>
      </w:pPr>
      <w:r>
        <w:t>Example</w:t>
      </w:r>
    </w:p>
    <w:p w:rsidR="002279EB" w:rsidRDefault="002279EB" w:rsidP="002279EB">
      <w:pPr>
        <w:pStyle w:val="Exampletext"/>
        <w:pBdr>
          <w:top w:val="single" w:sz="4" w:space="10" w:color="auto"/>
          <w:left w:val="single" w:sz="4" w:space="10" w:color="auto"/>
          <w:bottom w:val="single" w:sz="4" w:space="10" w:color="auto"/>
          <w:right w:val="single" w:sz="4" w:space="10" w:color="auto"/>
        </w:pBdr>
      </w:pPr>
    </w:p>
    <w:p w:rsidR="00937B85" w:rsidRDefault="00937B85" w:rsidP="002279EB">
      <w:pPr>
        <w:pStyle w:val="Exampletext"/>
        <w:pBdr>
          <w:top w:val="single" w:sz="4" w:space="10" w:color="auto"/>
          <w:left w:val="single" w:sz="4" w:space="10" w:color="auto"/>
          <w:bottom w:val="single" w:sz="4" w:space="10" w:color="auto"/>
          <w:right w:val="single" w:sz="4" w:space="10" w:color="auto"/>
        </w:pBdr>
      </w:pPr>
      <w:r>
        <w:t xml:space="preserve">X </w:t>
      </w:r>
      <w:r w:rsidR="00A368A7">
        <w:t>C</w:t>
      </w:r>
      <w:r>
        <w:t xml:space="preserve">o is an ordinary company. </w:t>
      </w:r>
      <w:r w:rsidR="00240645">
        <w:t xml:space="preserve"> </w:t>
      </w:r>
      <w:r>
        <w:t>It has two shareholders</w:t>
      </w:r>
      <w:r w:rsidR="00945A66">
        <w:t xml:space="preserve">: </w:t>
      </w:r>
      <w:r>
        <w:t xml:space="preserve"> Amy</w:t>
      </w:r>
      <w:r w:rsidR="00945A66">
        <w:t>,</w:t>
      </w:r>
      <w:r>
        <w:t xml:space="preserve"> who has 40 </w:t>
      </w:r>
      <w:r w:rsidR="00945A66">
        <w:t xml:space="preserve">percent </w:t>
      </w:r>
      <w:r>
        <w:t xml:space="preserve">of the shareholding in X </w:t>
      </w:r>
      <w:r w:rsidR="00A368A7">
        <w:t>C</w:t>
      </w:r>
      <w:r>
        <w:t>o</w:t>
      </w:r>
      <w:r w:rsidR="00945A66">
        <w:t>,</w:t>
      </w:r>
      <w:r>
        <w:t xml:space="preserve"> and Ben</w:t>
      </w:r>
      <w:r w:rsidR="00945A66">
        <w:t>,</w:t>
      </w:r>
      <w:r>
        <w:t xml:space="preserve"> who hold</w:t>
      </w:r>
      <w:r w:rsidR="00A368A7">
        <w:t>s 60</w:t>
      </w:r>
      <w:r w:rsidR="00945A66">
        <w:t xml:space="preserve"> percent</w:t>
      </w:r>
      <w:r w:rsidR="00A368A7">
        <w:t xml:space="preserve"> of the shareholding in X C</w:t>
      </w:r>
      <w:r>
        <w:t>o.</w:t>
      </w:r>
    </w:p>
    <w:p w:rsidR="00937B85" w:rsidRDefault="00937B85" w:rsidP="002279EB">
      <w:pPr>
        <w:pStyle w:val="Exampletext"/>
        <w:pBdr>
          <w:top w:val="single" w:sz="4" w:space="10" w:color="auto"/>
          <w:left w:val="single" w:sz="4" w:space="10" w:color="auto"/>
          <w:bottom w:val="single" w:sz="4" w:space="10" w:color="auto"/>
          <w:right w:val="single" w:sz="4" w:space="10" w:color="auto"/>
        </w:pBdr>
      </w:pPr>
    </w:p>
    <w:p w:rsidR="00937B85" w:rsidRDefault="00937B85" w:rsidP="002279EB">
      <w:pPr>
        <w:pStyle w:val="Exampletext"/>
        <w:pBdr>
          <w:top w:val="single" w:sz="4" w:space="10" w:color="auto"/>
          <w:left w:val="single" w:sz="4" w:space="10" w:color="auto"/>
          <w:bottom w:val="single" w:sz="4" w:space="10" w:color="auto"/>
          <w:right w:val="single" w:sz="4" w:space="10" w:color="auto"/>
        </w:pBdr>
      </w:pPr>
      <w:r>
        <w:t xml:space="preserve">$500,000 of equity was put into X </w:t>
      </w:r>
      <w:r w:rsidR="00A368A7">
        <w:t>C</w:t>
      </w:r>
      <w:r>
        <w:t>o</w:t>
      </w:r>
      <w:r w:rsidR="009149BC">
        <w:t>,</w:t>
      </w:r>
      <w:r>
        <w:t xml:space="preserve"> which X </w:t>
      </w:r>
      <w:r w:rsidR="00A368A7">
        <w:t>C</w:t>
      </w:r>
      <w:r>
        <w:t xml:space="preserve">o used to purchase a $500,000 house it acquired with the intention of resale. </w:t>
      </w:r>
      <w:r w:rsidR="009149BC">
        <w:t xml:space="preserve"> </w:t>
      </w:r>
      <w:r>
        <w:t>The house is now worth $</w:t>
      </w:r>
      <w:r w:rsidR="00F939A3">
        <w:t>7</w:t>
      </w:r>
      <w:r>
        <w:t xml:space="preserve">00,000.  X </w:t>
      </w:r>
      <w:r w:rsidR="00A368A7">
        <w:t>C</w:t>
      </w:r>
      <w:r>
        <w:t>o also has $72,000 of retained earnings and $28,000 of imputation credits from rent received from the house.</w:t>
      </w:r>
    </w:p>
    <w:p w:rsidR="00937B85" w:rsidRDefault="00937B85" w:rsidP="002279EB">
      <w:pPr>
        <w:pStyle w:val="Exampletext"/>
        <w:pBdr>
          <w:top w:val="single" w:sz="4" w:space="10" w:color="auto"/>
          <w:left w:val="single" w:sz="4" w:space="10" w:color="auto"/>
          <w:bottom w:val="single" w:sz="4" w:space="10" w:color="auto"/>
          <w:right w:val="single" w:sz="4" w:space="10" w:color="auto"/>
        </w:pBdr>
      </w:pPr>
    </w:p>
    <w:p w:rsidR="00937B85" w:rsidRDefault="00937B85" w:rsidP="002279EB">
      <w:pPr>
        <w:pStyle w:val="Exampletext"/>
        <w:pBdr>
          <w:top w:val="single" w:sz="4" w:space="10" w:color="auto"/>
          <w:left w:val="single" w:sz="4" w:space="10" w:color="auto"/>
          <w:bottom w:val="single" w:sz="4" w:space="10" w:color="auto"/>
          <w:right w:val="single" w:sz="4" w:space="10" w:color="auto"/>
        </w:pBdr>
      </w:pPr>
      <w:r>
        <w:t xml:space="preserve">X </w:t>
      </w:r>
      <w:r w:rsidR="00A368A7">
        <w:t>C</w:t>
      </w:r>
      <w:r>
        <w:t xml:space="preserve">o converts to a LTC. </w:t>
      </w:r>
      <w:r w:rsidR="009149BC">
        <w:t xml:space="preserve"> </w:t>
      </w:r>
      <w:r>
        <w:t>As a result, an entry tax calculation is required.</w:t>
      </w:r>
      <w:r w:rsidR="009149BC">
        <w:t xml:space="preserve"> </w:t>
      </w:r>
      <w:r>
        <w:t xml:space="preserve"> The formula is:</w:t>
      </w:r>
    </w:p>
    <w:p w:rsidR="00937B85" w:rsidRDefault="00937B85" w:rsidP="002279EB">
      <w:pPr>
        <w:pStyle w:val="Exampletext"/>
        <w:pBdr>
          <w:top w:val="single" w:sz="4" w:space="10" w:color="auto"/>
          <w:left w:val="single" w:sz="4" w:space="10" w:color="auto"/>
          <w:bottom w:val="single" w:sz="4" w:space="10" w:color="auto"/>
          <w:right w:val="single" w:sz="4" w:space="10" w:color="auto"/>
        </w:pBdr>
      </w:pPr>
    </w:p>
    <w:p w:rsidR="00937B85" w:rsidRPr="00A368A7" w:rsidRDefault="00937B85" w:rsidP="00A368A7">
      <w:pPr>
        <w:pStyle w:val="Exampletext"/>
        <w:pBdr>
          <w:top w:val="single" w:sz="4" w:space="10" w:color="auto"/>
          <w:left w:val="single" w:sz="4" w:space="10" w:color="auto"/>
          <w:bottom w:val="single" w:sz="4" w:space="10" w:color="auto"/>
          <w:right w:val="single" w:sz="4" w:space="10" w:color="auto"/>
        </w:pBdr>
        <w:jc w:val="center"/>
        <w:rPr>
          <w:i/>
        </w:rPr>
      </w:pPr>
      <w:r w:rsidRPr="00A368A7">
        <w:rPr>
          <w:i/>
        </w:rPr>
        <w:t>(</w:t>
      </w:r>
      <w:proofErr w:type="gramStart"/>
      <w:r w:rsidRPr="00A368A7">
        <w:rPr>
          <w:i/>
        </w:rPr>
        <w:t>untaxed</w:t>
      </w:r>
      <w:proofErr w:type="gramEnd"/>
      <w:r w:rsidRPr="00A368A7">
        <w:rPr>
          <w:i/>
        </w:rPr>
        <w:t xml:space="preserve"> reserves + reserves imputation credit) </w:t>
      </w:r>
      <w:r w:rsidR="00F119D5" w:rsidRPr="00E36545">
        <w:rPr>
          <w:i/>
        </w:rPr>
        <w:t>×</w:t>
      </w:r>
      <w:r w:rsidRPr="00A368A7">
        <w:rPr>
          <w:i/>
        </w:rPr>
        <w:t xml:space="preserve"> </w:t>
      </w:r>
      <w:proofErr w:type="gramStart"/>
      <w:r w:rsidRPr="00A368A7">
        <w:rPr>
          <w:i/>
        </w:rPr>
        <w:t>effective</w:t>
      </w:r>
      <w:proofErr w:type="gramEnd"/>
      <w:r w:rsidRPr="00A368A7">
        <w:rPr>
          <w:i/>
        </w:rPr>
        <w:t xml:space="preserve"> interest</w:t>
      </w:r>
    </w:p>
    <w:p w:rsidR="00937B85" w:rsidRDefault="00937B85" w:rsidP="002279EB">
      <w:pPr>
        <w:pStyle w:val="Exampletext"/>
        <w:pBdr>
          <w:top w:val="single" w:sz="4" w:space="10" w:color="auto"/>
          <w:left w:val="single" w:sz="4" w:space="10" w:color="auto"/>
          <w:bottom w:val="single" w:sz="4" w:space="10" w:color="auto"/>
          <w:right w:val="single" w:sz="4" w:space="10" w:color="auto"/>
        </w:pBdr>
      </w:pPr>
    </w:p>
    <w:p w:rsidR="00937B85" w:rsidRDefault="00937B85" w:rsidP="002279EB">
      <w:pPr>
        <w:pStyle w:val="Exampletext"/>
        <w:pBdr>
          <w:top w:val="single" w:sz="4" w:space="10" w:color="auto"/>
          <w:left w:val="single" w:sz="4" w:space="10" w:color="auto"/>
          <w:bottom w:val="single" w:sz="4" w:space="10" w:color="auto"/>
          <w:right w:val="single" w:sz="4" w:space="10" w:color="auto"/>
        </w:pBdr>
      </w:pPr>
      <w:r>
        <w:t xml:space="preserve">The reserves imputation credit is $28,000. </w:t>
      </w:r>
      <w:r w:rsidR="009149BC">
        <w:t xml:space="preserve"> </w:t>
      </w:r>
      <w:r>
        <w:t xml:space="preserve">Amy’s effective interest is </w:t>
      </w:r>
      <w:r w:rsidR="009F4DD7">
        <w:t>40 percent</w:t>
      </w:r>
      <w:r>
        <w:t xml:space="preserve"> and Ben’s effective interest is </w:t>
      </w:r>
      <w:r w:rsidR="009F4DD7">
        <w:t>60 percent</w:t>
      </w:r>
      <w:r>
        <w:t>.</w:t>
      </w:r>
    </w:p>
    <w:p w:rsidR="00937B85" w:rsidRDefault="00937B85" w:rsidP="002279EB">
      <w:pPr>
        <w:pStyle w:val="Exampletext"/>
        <w:pBdr>
          <w:top w:val="single" w:sz="4" w:space="10" w:color="auto"/>
          <w:left w:val="single" w:sz="4" w:space="10" w:color="auto"/>
          <w:bottom w:val="single" w:sz="4" w:space="10" w:color="auto"/>
          <w:right w:val="single" w:sz="4" w:space="10" w:color="auto"/>
        </w:pBdr>
      </w:pPr>
    </w:p>
    <w:p w:rsidR="006D2BB4" w:rsidRPr="006D2BB4" w:rsidRDefault="006D2BB4" w:rsidP="002279EB">
      <w:pPr>
        <w:pStyle w:val="Exampletext"/>
        <w:pBdr>
          <w:top w:val="single" w:sz="4" w:space="10" w:color="auto"/>
          <w:left w:val="single" w:sz="4" w:space="10" w:color="auto"/>
          <w:bottom w:val="single" w:sz="4" w:space="10" w:color="auto"/>
          <w:right w:val="single" w:sz="4" w:space="10" w:color="auto"/>
        </w:pBdr>
        <w:rPr>
          <w:i/>
        </w:rPr>
      </w:pPr>
      <w:r>
        <w:rPr>
          <w:i/>
        </w:rPr>
        <w:t>Untaxed reserves</w:t>
      </w:r>
    </w:p>
    <w:p w:rsidR="006D2BB4" w:rsidRDefault="006D2BB4" w:rsidP="002279EB">
      <w:pPr>
        <w:pStyle w:val="Exampletext"/>
        <w:pBdr>
          <w:top w:val="single" w:sz="4" w:space="10" w:color="auto"/>
          <w:left w:val="single" w:sz="4" w:space="10" w:color="auto"/>
          <w:bottom w:val="single" w:sz="4" w:space="10" w:color="auto"/>
          <w:right w:val="single" w:sz="4" w:space="10" w:color="auto"/>
        </w:pBdr>
      </w:pPr>
    </w:p>
    <w:p w:rsidR="00937B85" w:rsidRDefault="00937B85" w:rsidP="002279EB">
      <w:pPr>
        <w:pStyle w:val="Exampletext"/>
        <w:pBdr>
          <w:top w:val="single" w:sz="4" w:space="10" w:color="auto"/>
          <w:left w:val="single" w:sz="4" w:space="10" w:color="auto"/>
          <w:bottom w:val="single" w:sz="4" w:space="10" w:color="auto"/>
          <w:right w:val="single" w:sz="4" w:space="10" w:color="auto"/>
        </w:pBdr>
      </w:pPr>
      <w:r>
        <w:t>Untaxed reserves are calculated using the formula</w:t>
      </w:r>
      <w:r w:rsidR="009149BC">
        <w:t>:</w:t>
      </w:r>
    </w:p>
    <w:p w:rsidR="00937B85" w:rsidRDefault="00937B85" w:rsidP="002279EB">
      <w:pPr>
        <w:pStyle w:val="Exampletext"/>
        <w:pBdr>
          <w:top w:val="single" w:sz="4" w:space="10" w:color="auto"/>
          <w:left w:val="single" w:sz="4" w:space="10" w:color="auto"/>
          <w:bottom w:val="single" w:sz="4" w:space="10" w:color="auto"/>
          <w:right w:val="single" w:sz="4" w:space="10" w:color="auto"/>
        </w:pBdr>
      </w:pPr>
    </w:p>
    <w:p w:rsidR="00937B85" w:rsidRPr="00CF039C" w:rsidRDefault="00937B85" w:rsidP="006D2BB4">
      <w:pPr>
        <w:pStyle w:val="Exampletext"/>
        <w:pBdr>
          <w:top w:val="single" w:sz="4" w:space="10" w:color="auto"/>
          <w:left w:val="single" w:sz="4" w:space="10" w:color="auto"/>
          <w:bottom w:val="single" w:sz="4" w:space="10" w:color="auto"/>
          <w:right w:val="single" w:sz="4" w:space="10" w:color="auto"/>
        </w:pBdr>
        <w:jc w:val="center"/>
        <w:rPr>
          <w:i/>
        </w:rPr>
      </w:pPr>
      <w:r w:rsidRPr="00CF039C">
        <w:rPr>
          <w:i/>
        </w:rPr>
        <w:t>Dividends – assessable income – exit exemption</w:t>
      </w:r>
    </w:p>
    <w:p w:rsidR="00937B85" w:rsidRDefault="00937B85" w:rsidP="002279EB">
      <w:pPr>
        <w:pStyle w:val="Exampletext"/>
        <w:pBdr>
          <w:top w:val="single" w:sz="4" w:space="10" w:color="auto"/>
          <w:left w:val="single" w:sz="4" w:space="10" w:color="auto"/>
          <w:bottom w:val="single" w:sz="4" w:space="10" w:color="auto"/>
          <w:right w:val="single" w:sz="4" w:space="10" w:color="auto"/>
        </w:pBdr>
      </w:pPr>
    </w:p>
    <w:p w:rsidR="00937B85" w:rsidRDefault="00937B85" w:rsidP="002279EB">
      <w:pPr>
        <w:pStyle w:val="Exampletext"/>
        <w:pBdr>
          <w:top w:val="single" w:sz="4" w:space="10" w:color="auto"/>
          <w:left w:val="single" w:sz="4" w:space="10" w:color="auto"/>
          <w:bottom w:val="single" w:sz="4" w:space="10" w:color="auto"/>
          <w:right w:val="single" w:sz="4" w:space="10" w:color="auto"/>
        </w:pBdr>
      </w:pPr>
      <w:r>
        <w:t>The dividends are the amount</w:t>
      </w:r>
      <w:r w:rsidR="00A368A7">
        <w:t>s that would be dividends if X C</w:t>
      </w:r>
      <w:r>
        <w:t xml:space="preserve">o sold </w:t>
      </w:r>
      <w:r w:rsidR="00CF039C">
        <w:t>its</w:t>
      </w:r>
      <w:r>
        <w:t xml:space="preserve"> $</w:t>
      </w:r>
      <w:r w:rsidR="00F939A3">
        <w:t>7</w:t>
      </w:r>
      <w:r>
        <w:t xml:space="preserve">00,000 house, </w:t>
      </w:r>
      <w:proofErr w:type="gramStart"/>
      <w:r>
        <w:t>then</w:t>
      </w:r>
      <w:proofErr w:type="gramEnd"/>
      <w:r>
        <w:t xml:space="preserve"> liquidated</w:t>
      </w:r>
      <w:r w:rsidR="009E7CD7">
        <w:t>.  I</w:t>
      </w:r>
      <w:r>
        <w:t xml:space="preserve">f X </w:t>
      </w:r>
      <w:r w:rsidR="00A368A7">
        <w:t>C</w:t>
      </w:r>
      <w:r>
        <w:t>o liquidated it would have $</w:t>
      </w:r>
      <w:r w:rsidR="00F939A3">
        <w:t>272,000 of dividends</w:t>
      </w:r>
      <w:r w:rsidR="00356C5D">
        <w:t>,</w:t>
      </w:r>
      <w:r w:rsidR="00F939A3">
        <w:t xml:space="preserve"> being the $7</w:t>
      </w:r>
      <w:r>
        <w:t>00,000 cash from the property, the $72,000 of retained earnings</w:t>
      </w:r>
      <w:r w:rsidR="00356C5D">
        <w:t>,</w:t>
      </w:r>
      <w:r>
        <w:t xml:space="preserve"> minus the subscribed capital of $500,000.</w:t>
      </w:r>
    </w:p>
    <w:p w:rsidR="00937B85" w:rsidRDefault="00937B85" w:rsidP="002279EB">
      <w:pPr>
        <w:pStyle w:val="Exampletext"/>
        <w:pBdr>
          <w:top w:val="single" w:sz="4" w:space="10" w:color="auto"/>
          <w:left w:val="single" w:sz="4" w:space="10" w:color="auto"/>
          <w:bottom w:val="single" w:sz="4" w:space="10" w:color="auto"/>
          <w:right w:val="single" w:sz="4" w:space="10" w:color="auto"/>
        </w:pBdr>
      </w:pPr>
    </w:p>
    <w:p w:rsidR="00937B85" w:rsidRDefault="00937B85" w:rsidP="002279EB">
      <w:pPr>
        <w:pStyle w:val="Exampletext"/>
        <w:pBdr>
          <w:top w:val="single" w:sz="4" w:space="10" w:color="auto"/>
          <w:left w:val="single" w:sz="4" w:space="10" w:color="auto"/>
          <w:bottom w:val="single" w:sz="4" w:space="10" w:color="auto"/>
          <w:right w:val="single" w:sz="4" w:space="10" w:color="auto"/>
        </w:pBdr>
      </w:pPr>
      <w:r>
        <w:t>The assess</w:t>
      </w:r>
      <w:r w:rsidR="00F939A3">
        <w:t xml:space="preserve">able income of X </w:t>
      </w:r>
      <w:r w:rsidR="00A368A7">
        <w:t>C</w:t>
      </w:r>
      <w:r w:rsidR="00F939A3">
        <w:t>o would be $2</w:t>
      </w:r>
      <w:r>
        <w:t xml:space="preserve">00,000, being the total assessable income that X </w:t>
      </w:r>
      <w:r w:rsidR="00A368A7">
        <w:t>C</w:t>
      </w:r>
      <w:r>
        <w:t>o received from the sale of the house (as it was held on revenue account).</w:t>
      </w:r>
    </w:p>
    <w:p w:rsidR="00937B85" w:rsidRDefault="00937B85" w:rsidP="002279EB">
      <w:pPr>
        <w:pStyle w:val="Exampletext"/>
        <w:pBdr>
          <w:top w:val="single" w:sz="4" w:space="10" w:color="auto"/>
          <w:left w:val="single" w:sz="4" w:space="10" w:color="auto"/>
          <w:bottom w:val="single" w:sz="4" w:space="10" w:color="auto"/>
          <w:right w:val="single" w:sz="4" w:space="10" w:color="auto"/>
        </w:pBdr>
      </w:pPr>
    </w:p>
    <w:p w:rsidR="00937B85" w:rsidRDefault="00937B85" w:rsidP="002279EB">
      <w:pPr>
        <w:pStyle w:val="Exampletext"/>
        <w:pBdr>
          <w:top w:val="single" w:sz="4" w:space="10" w:color="auto"/>
          <w:left w:val="single" w:sz="4" w:space="10" w:color="auto"/>
          <w:bottom w:val="single" w:sz="4" w:space="10" w:color="auto"/>
          <w:right w:val="single" w:sz="4" w:space="10" w:color="auto"/>
        </w:pBdr>
      </w:pPr>
      <w:r>
        <w:t xml:space="preserve">The exit exemption would not apply as X </w:t>
      </w:r>
      <w:r w:rsidR="00A368A7">
        <w:t>C</w:t>
      </w:r>
      <w:r>
        <w:t>o</w:t>
      </w:r>
      <w:r w:rsidR="00F939A3">
        <w:t xml:space="preserve"> has not previously been a LTC.</w:t>
      </w:r>
    </w:p>
    <w:p w:rsidR="00937B85" w:rsidRDefault="00937B85" w:rsidP="002279EB">
      <w:pPr>
        <w:pStyle w:val="Exampletext"/>
        <w:pBdr>
          <w:top w:val="single" w:sz="4" w:space="10" w:color="auto"/>
          <w:left w:val="single" w:sz="4" w:space="10" w:color="auto"/>
          <w:bottom w:val="single" w:sz="4" w:space="10" w:color="auto"/>
          <w:right w:val="single" w:sz="4" w:space="10" w:color="auto"/>
        </w:pBdr>
      </w:pPr>
    </w:p>
    <w:p w:rsidR="00937B85" w:rsidRDefault="00937B85" w:rsidP="002279EB">
      <w:pPr>
        <w:pStyle w:val="Exampletext"/>
        <w:pBdr>
          <w:top w:val="single" w:sz="4" w:space="10" w:color="auto"/>
          <w:left w:val="single" w:sz="4" w:space="10" w:color="auto"/>
          <w:bottom w:val="single" w:sz="4" w:space="10" w:color="auto"/>
          <w:right w:val="single" w:sz="4" w:space="10" w:color="auto"/>
        </w:pBdr>
      </w:pPr>
      <w:r>
        <w:t xml:space="preserve">As a result, the untaxed reserves are </w:t>
      </w:r>
      <w:r w:rsidR="008D0513">
        <w:t>$72,000.</w:t>
      </w:r>
    </w:p>
    <w:p w:rsidR="00937B85" w:rsidRDefault="00937B85" w:rsidP="002279EB">
      <w:pPr>
        <w:pStyle w:val="Exampletext"/>
        <w:pBdr>
          <w:top w:val="single" w:sz="4" w:space="10" w:color="auto"/>
          <w:left w:val="single" w:sz="4" w:space="10" w:color="auto"/>
          <w:bottom w:val="single" w:sz="4" w:space="10" w:color="auto"/>
          <w:right w:val="single" w:sz="4" w:space="10" w:color="auto"/>
        </w:pBdr>
      </w:pPr>
    </w:p>
    <w:p w:rsidR="005166EC" w:rsidRDefault="00937B85" w:rsidP="002279EB">
      <w:pPr>
        <w:pStyle w:val="Exampletext"/>
        <w:pBdr>
          <w:top w:val="single" w:sz="4" w:space="10" w:color="auto"/>
          <w:left w:val="single" w:sz="4" w:space="10" w:color="auto"/>
          <w:bottom w:val="single" w:sz="4" w:space="10" w:color="auto"/>
          <w:right w:val="single" w:sz="4" w:space="10" w:color="auto"/>
        </w:pBdr>
      </w:pPr>
      <w:r>
        <w:t>As a result, the entry tax</w:t>
      </w:r>
      <w:r w:rsidR="005166EC">
        <w:t xml:space="preserve"> calculations are:</w:t>
      </w:r>
    </w:p>
    <w:p w:rsidR="00356C5D" w:rsidRDefault="00356C5D" w:rsidP="002279EB">
      <w:pPr>
        <w:pStyle w:val="Exampletext"/>
        <w:pBdr>
          <w:top w:val="single" w:sz="4" w:space="10" w:color="auto"/>
          <w:left w:val="single" w:sz="4" w:space="10" w:color="auto"/>
          <w:bottom w:val="single" w:sz="4" w:space="10" w:color="auto"/>
          <w:right w:val="single" w:sz="4" w:space="10" w:color="auto"/>
        </w:pBdr>
      </w:pPr>
    </w:p>
    <w:p w:rsidR="00937B85" w:rsidRDefault="00937B85" w:rsidP="00F119D5">
      <w:pPr>
        <w:pStyle w:val="Exampletext"/>
        <w:pBdr>
          <w:top w:val="single" w:sz="4" w:space="10" w:color="auto"/>
          <w:left w:val="single" w:sz="4" w:space="10" w:color="auto"/>
          <w:bottom w:val="single" w:sz="4" w:space="10" w:color="auto"/>
          <w:right w:val="single" w:sz="4" w:space="10" w:color="auto"/>
        </w:pBdr>
        <w:tabs>
          <w:tab w:val="left" w:pos="567"/>
        </w:tabs>
      </w:pPr>
      <w:r w:rsidRPr="005166EC">
        <w:rPr>
          <w:b/>
          <w:i/>
        </w:rPr>
        <w:t>Amy</w:t>
      </w:r>
      <w:r w:rsidRPr="00F119D5">
        <w:t>:</w:t>
      </w:r>
      <w:r>
        <w:t xml:space="preserve"> </w:t>
      </w:r>
      <w:r w:rsidR="00F119D5">
        <w:tab/>
      </w:r>
      <w:r>
        <w:t xml:space="preserve">(72,000 + 28,000) </w:t>
      </w:r>
      <w:r w:rsidR="00F119D5" w:rsidRPr="00E36545">
        <w:rPr>
          <w:i/>
        </w:rPr>
        <w:t>×</w:t>
      </w:r>
      <w:r>
        <w:t xml:space="preserve"> 0.4 = $40,000</w:t>
      </w:r>
    </w:p>
    <w:p w:rsidR="00937B85" w:rsidRDefault="008D0513" w:rsidP="00F119D5">
      <w:pPr>
        <w:pStyle w:val="Exampletext"/>
        <w:pBdr>
          <w:top w:val="single" w:sz="4" w:space="10" w:color="auto"/>
          <w:left w:val="single" w:sz="4" w:space="10" w:color="auto"/>
          <w:bottom w:val="single" w:sz="4" w:space="10" w:color="auto"/>
          <w:right w:val="single" w:sz="4" w:space="10" w:color="auto"/>
        </w:pBdr>
        <w:tabs>
          <w:tab w:val="left" w:pos="567"/>
        </w:tabs>
      </w:pPr>
      <w:r w:rsidRPr="005166EC">
        <w:rPr>
          <w:b/>
          <w:i/>
        </w:rPr>
        <w:t>Ben</w:t>
      </w:r>
      <w:r w:rsidRPr="00F119D5">
        <w:rPr>
          <w:b/>
          <w:i/>
        </w:rPr>
        <w:t>:</w:t>
      </w:r>
      <w:r w:rsidRPr="00F119D5">
        <w:rPr>
          <w:b/>
        </w:rPr>
        <w:t xml:space="preserve"> </w:t>
      </w:r>
      <w:r w:rsidR="00F119D5">
        <w:rPr>
          <w:b/>
        </w:rPr>
        <w:tab/>
      </w:r>
      <w:r>
        <w:t xml:space="preserve">(72,000 + 28,000) </w:t>
      </w:r>
      <w:r w:rsidR="00F119D5" w:rsidRPr="00E36545">
        <w:rPr>
          <w:i/>
        </w:rPr>
        <w:t>×</w:t>
      </w:r>
      <w:r>
        <w:t xml:space="preserve"> 0.</w:t>
      </w:r>
      <w:r w:rsidR="009F4DD7">
        <w:t>6</w:t>
      </w:r>
      <w:r>
        <w:t xml:space="preserve"> = $60,000</w:t>
      </w:r>
    </w:p>
    <w:p w:rsidR="002279EB" w:rsidRDefault="002279EB" w:rsidP="002279EB">
      <w:pPr>
        <w:pStyle w:val="Exampletext"/>
        <w:pBdr>
          <w:top w:val="single" w:sz="4" w:space="10" w:color="auto"/>
          <w:left w:val="single" w:sz="4" w:space="10" w:color="auto"/>
          <w:bottom w:val="single" w:sz="4" w:space="10" w:color="auto"/>
          <w:right w:val="single" w:sz="4" w:space="10" w:color="auto"/>
        </w:pBdr>
      </w:pPr>
    </w:p>
    <w:p w:rsidR="002528D2" w:rsidRDefault="008F134B" w:rsidP="002279EB">
      <w:pPr>
        <w:pStyle w:val="Exampletext"/>
        <w:pBdr>
          <w:top w:val="single" w:sz="4" w:space="10" w:color="auto"/>
          <w:left w:val="single" w:sz="4" w:space="10" w:color="auto"/>
          <w:bottom w:val="single" w:sz="4" w:space="10" w:color="auto"/>
          <w:right w:val="single" w:sz="4" w:space="10" w:color="auto"/>
        </w:pBdr>
      </w:pPr>
      <w:r>
        <w:t>These are treated as dividends</w:t>
      </w:r>
      <w:r w:rsidR="004B5054">
        <w:t xml:space="preserve"> and </w:t>
      </w:r>
      <w:r>
        <w:t xml:space="preserve">imputation credits may be attached to them. </w:t>
      </w:r>
      <w:r w:rsidR="00F26EF5">
        <w:t xml:space="preserve"> </w:t>
      </w:r>
      <w:r>
        <w:t>Amy may have</w:t>
      </w:r>
      <w:r w:rsidR="004B5054">
        <w:t xml:space="preserve"> up</w:t>
      </w:r>
      <w:r>
        <w:t xml:space="preserve"> </w:t>
      </w:r>
      <w:r w:rsidR="00F26EF5">
        <w:t xml:space="preserve">to </w:t>
      </w:r>
      <w:r>
        <w:t xml:space="preserve">$11,200 of imputation credits </w:t>
      </w:r>
      <w:r w:rsidR="004B5054">
        <w:t>attached</w:t>
      </w:r>
      <w:r w:rsidR="00F26EF5">
        <w:t>,</w:t>
      </w:r>
      <w:r>
        <w:t xml:space="preserve"> and Ben may have</w:t>
      </w:r>
      <w:r w:rsidR="004B5054">
        <w:t xml:space="preserve"> up to</w:t>
      </w:r>
      <w:r>
        <w:t xml:space="preserve"> $16,800 of imputation credits attached.</w:t>
      </w:r>
    </w:p>
    <w:p w:rsidR="002279EB" w:rsidRPr="00670DFA" w:rsidRDefault="002279EB" w:rsidP="002279EB"/>
    <w:p w:rsidR="003E4EF5" w:rsidRDefault="003E4EF5" w:rsidP="003E4EF5">
      <w:pPr>
        <w:jc w:val="left"/>
      </w:pPr>
    </w:p>
    <w:p w:rsidR="002279EB" w:rsidRDefault="002279EB">
      <w:pPr>
        <w:jc w:val="left"/>
      </w:pPr>
      <w:r>
        <w:br w:type="page"/>
      </w:r>
    </w:p>
    <w:p w:rsidR="002279EB" w:rsidRDefault="00625E36" w:rsidP="002279EB">
      <w:pPr>
        <w:pStyle w:val="Heading1"/>
      </w:pPr>
      <w:r>
        <w:t>deduction limitation rule</w:t>
      </w:r>
    </w:p>
    <w:p w:rsidR="002279EB" w:rsidRPr="002B6000" w:rsidRDefault="002279EB" w:rsidP="002279EB"/>
    <w:p w:rsidR="002279EB" w:rsidRPr="009F4DD7" w:rsidRDefault="002279EB" w:rsidP="002279EB">
      <w:pPr>
        <w:pStyle w:val="Sections"/>
        <w:rPr>
          <w:b w:val="0"/>
        </w:rPr>
      </w:pPr>
      <w:r w:rsidRPr="009F4DD7">
        <w:rPr>
          <w:b w:val="0"/>
        </w:rPr>
        <w:t xml:space="preserve">Sections </w:t>
      </w:r>
      <w:r w:rsidR="00E80169" w:rsidRPr="009F4DD7">
        <w:rPr>
          <w:b w:val="0"/>
        </w:rPr>
        <w:t>GB 50 and H</w:t>
      </w:r>
      <w:r w:rsidR="005E3652" w:rsidRPr="009F4DD7">
        <w:rPr>
          <w:b w:val="0"/>
        </w:rPr>
        <w:t>B 11 of the Income Tax Act 2007</w:t>
      </w:r>
    </w:p>
    <w:p w:rsidR="002279EB" w:rsidRDefault="002279EB" w:rsidP="002279EB"/>
    <w:p w:rsidR="00F119D5" w:rsidRPr="00670DFA" w:rsidRDefault="00F119D5" w:rsidP="002279EB"/>
    <w:p w:rsidR="006F471E" w:rsidRPr="00E36545" w:rsidRDefault="006F471E" w:rsidP="006F471E">
      <w:r w:rsidRPr="00E36545">
        <w:t xml:space="preserve">The </w:t>
      </w:r>
      <w:r w:rsidR="00F119D5">
        <w:t>coverage</w:t>
      </w:r>
      <w:r w:rsidR="00F119D5" w:rsidRPr="00E36545">
        <w:t xml:space="preserve"> </w:t>
      </w:r>
      <w:r w:rsidRPr="00E36545">
        <w:t xml:space="preserve">of the deduction limitation rule, which limits a LTC owner’s LTC deductions to the amount that they have economically at risk, </w:t>
      </w:r>
      <w:r w:rsidR="00E351DA">
        <w:t>has been</w:t>
      </w:r>
      <w:r w:rsidRPr="00E36545">
        <w:t xml:space="preserve"> restricted to LTCs i</w:t>
      </w:r>
      <w:r>
        <w:t>n partnership or joint venture.</w:t>
      </w:r>
    </w:p>
    <w:p w:rsidR="006F471E" w:rsidRPr="00E36545" w:rsidRDefault="006F471E" w:rsidP="006F471E"/>
    <w:p w:rsidR="006F471E" w:rsidRPr="00E36545" w:rsidRDefault="006F471E" w:rsidP="006F471E">
      <w:r w:rsidRPr="00E36545">
        <w:t xml:space="preserve">To bolster the other rules in the Income Tax Act that help to stop LTC owners claiming excessive deductions, the existing anti-avoidance rule that deems a partner’s transactions to be at market value </w:t>
      </w:r>
      <w:r w:rsidR="00E351DA">
        <w:t>has</w:t>
      </w:r>
      <w:r>
        <w:t xml:space="preserve"> be</w:t>
      </w:r>
      <w:r w:rsidR="00E351DA">
        <w:t>en</w:t>
      </w:r>
      <w:r>
        <w:t xml:space="preserve"> extended to owners of LTCs.</w:t>
      </w:r>
    </w:p>
    <w:p w:rsidR="002279EB" w:rsidRPr="00670DFA" w:rsidRDefault="002279EB" w:rsidP="002279EB"/>
    <w:p w:rsidR="002279EB" w:rsidRPr="00670DFA" w:rsidRDefault="002279EB" w:rsidP="002279EB"/>
    <w:p w:rsidR="002279EB" w:rsidRPr="00670619" w:rsidRDefault="002279EB" w:rsidP="00B27D4A">
      <w:pPr>
        <w:pStyle w:val="Heading2"/>
      </w:pPr>
      <w:r w:rsidRPr="00670DFA">
        <w:t>Background</w:t>
      </w:r>
    </w:p>
    <w:p w:rsidR="002279EB" w:rsidRPr="00670DFA" w:rsidRDefault="002279EB" w:rsidP="002279EB"/>
    <w:p w:rsidR="006F471E" w:rsidRPr="00E36545" w:rsidRDefault="006F471E" w:rsidP="006F471E">
      <w:pPr>
        <w:rPr>
          <w:lang w:val="en-AU" w:eastAsia="en-US"/>
        </w:rPr>
      </w:pPr>
      <w:r w:rsidRPr="00E36545">
        <w:rPr>
          <w:lang w:val="en-AU" w:eastAsia="en-US"/>
        </w:rPr>
        <w:t xml:space="preserve">The deduction limitation rule was designed to ensure that LTCs cannot be used to generate deductions in excess of the money that owners have at risk in the company.  It was based on a comparable rule that applies to limited partnerships.  It works by restricting an owner’s ability to </w:t>
      </w:r>
      <w:r>
        <w:rPr>
          <w:lang w:val="en-AU" w:eastAsia="en-US"/>
        </w:rPr>
        <w:t>use</w:t>
      </w:r>
      <w:r w:rsidRPr="00E36545">
        <w:rPr>
          <w:lang w:val="en-AU" w:eastAsia="en-US"/>
        </w:rPr>
        <w:t xml:space="preserve"> LTC deductions against their other income when the deductions are greater than the owner’s economic contribution to the LTC (referred</w:t>
      </w:r>
      <w:r w:rsidR="00CA62B3">
        <w:rPr>
          <w:lang w:val="en-AU" w:eastAsia="en-US"/>
        </w:rPr>
        <w:t xml:space="preserve"> to</w:t>
      </w:r>
      <w:r w:rsidRPr="00E36545">
        <w:rPr>
          <w:lang w:val="en-AU" w:eastAsia="en-US"/>
        </w:rPr>
        <w:t xml:space="preserve"> as “owner’s basis”).</w:t>
      </w:r>
    </w:p>
    <w:p w:rsidR="006F471E" w:rsidRDefault="006F471E" w:rsidP="006F471E">
      <w:pPr>
        <w:jc w:val="left"/>
        <w:rPr>
          <w:lang w:val="en-AU" w:eastAsia="en-US"/>
        </w:rPr>
      </w:pPr>
    </w:p>
    <w:p w:rsidR="006F471E" w:rsidRPr="00E36545" w:rsidRDefault="006F471E" w:rsidP="006F471E">
      <w:pPr>
        <w:rPr>
          <w:lang w:val="en-AU" w:eastAsia="en-US"/>
        </w:rPr>
      </w:pPr>
      <w:r w:rsidRPr="00E36545">
        <w:rPr>
          <w:lang w:val="en-AU" w:eastAsia="en-US"/>
        </w:rPr>
        <w:t>The rule results in undue compliance costs in many cases</w:t>
      </w:r>
      <w:r>
        <w:rPr>
          <w:lang w:val="en-AU" w:eastAsia="en-US"/>
        </w:rPr>
        <w:t>,</w:t>
      </w:r>
      <w:r w:rsidRPr="00E36545">
        <w:rPr>
          <w:lang w:val="en-AU" w:eastAsia="en-US"/>
        </w:rPr>
        <w:t xml:space="preserve"> as it requires each LTC owner to calculate their “owner’s basis” annually, which requires owners to keep track of what they have invested in and withdrawn from the business</w:t>
      </w:r>
      <w:r>
        <w:rPr>
          <w:lang w:val="en-AU" w:eastAsia="en-US"/>
        </w:rPr>
        <w:t>,</w:t>
      </w:r>
      <w:r w:rsidRPr="00E36545">
        <w:rPr>
          <w:lang w:val="en-AU" w:eastAsia="en-US"/>
        </w:rPr>
        <w:t xml:space="preserve"> and all income and expenditure attributed to them while they have been an owner.  Over time this would require LTC owners to maintain records well beyond the standard record</w:t>
      </w:r>
      <w:r>
        <w:rPr>
          <w:lang w:val="en-AU" w:eastAsia="en-US"/>
        </w:rPr>
        <w:t>-</w:t>
      </w:r>
      <w:r w:rsidRPr="00E36545">
        <w:rPr>
          <w:lang w:val="en-AU" w:eastAsia="en-US"/>
        </w:rPr>
        <w:t xml:space="preserve">keeping period for tax information.  Furthermore, each owner must complete the calculation even though most will not have their deductions constrained by it because their share of </w:t>
      </w:r>
      <w:r w:rsidR="006727EB">
        <w:rPr>
          <w:lang w:val="en-AU" w:eastAsia="en-US"/>
        </w:rPr>
        <w:t xml:space="preserve">net </w:t>
      </w:r>
      <w:r w:rsidRPr="00E36545">
        <w:rPr>
          <w:lang w:val="en-AU" w:eastAsia="en-US"/>
        </w:rPr>
        <w:t>expenditure is less than their owner’s basis.</w:t>
      </w:r>
    </w:p>
    <w:p w:rsidR="006F471E" w:rsidRPr="00E36545" w:rsidRDefault="006F471E" w:rsidP="006F471E">
      <w:pPr>
        <w:rPr>
          <w:lang w:val="en-AU" w:eastAsia="en-US"/>
        </w:rPr>
      </w:pPr>
    </w:p>
    <w:p w:rsidR="006F471E" w:rsidRPr="00E36545" w:rsidRDefault="006F471E" w:rsidP="006F471E">
      <w:r w:rsidRPr="00E36545">
        <w:t>Overall, given that this rule results in compliance costs that appear to outweigh the benefits provided from the operation of the rule, the rule is largely unnecessary in the LTC context.  However, for LTCs working together in partnership or as a joint venture</w:t>
      </w:r>
      <w:r>
        <w:t>,</w:t>
      </w:r>
      <w:r w:rsidRPr="00E36545">
        <w:t xml:space="preserve"> the rule has relevance.  This is because partnerships and joint ventures of LTCs are in many respects an alternative to limited partnerships where a deduction limitation rule is appropriate.  They can also be poten</w:t>
      </w:r>
      <w:r>
        <w:t xml:space="preserve">tially widely held </w:t>
      </w:r>
      <w:r w:rsidR="00075431">
        <w:t>vehicles</w:t>
      </w:r>
      <w:r>
        <w:t>.</w:t>
      </w:r>
    </w:p>
    <w:p w:rsidR="006F471E" w:rsidRPr="00E36545" w:rsidRDefault="006F471E" w:rsidP="006F471E"/>
    <w:p w:rsidR="006F471E" w:rsidRPr="00E36545" w:rsidRDefault="006F471E" w:rsidP="006F471E">
      <w:r w:rsidRPr="00E36545">
        <w:t xml:space="preserve">The removal of the rule for other LTCs </w:t>
      </w:r>
      <w:r w:rsidR="00F939A3">
        <w:t>is considered</w:t>
      </w:r>
      <w:r w:rsidRPr="00E36545">
        <w:t xml:space="preserve"> appropriate</w:t>
      </w:r>
      <w:r w:rsidR="004D2EC2">
        <w:t>,</w:t>
      </w:r>
      <w:r w:rsidRPr="00E36545">
        <w:t xml:space="preserve"> given that the risk of LTCs being used to generate excessive deductions is ameliorated by other rules in the Income Tax Act, including the general and specific anti-avoidance provisions and the debt remissi</w:t>
      </w:r>
      <w:r>
        <w:t>on amendments discussed in the following item.</w:t>
      </w:r>
    </w:p>
    <w:p w:rsidR="002279EB" w:rsidRDefault="002279EB" w:rsidP="002279EB"/>
    <w:p w:rsidR="005E41A7" w:rsidRPr="00670DFA" w:rsidRDefault="005E41A7" w:rsidP="002279EB"/>
    <w:p w:rsidR="002279EB" w:rsidRPr="00670DFA" w:rsidRDefault="002279EB" w:rsidP="00B27D4A">
      <w:pPr>
        <w:pStyle w:val="Heading2"/>
      </w:pPr>
      <w:r w:rsidRPr="00670DFA">
        <w:t>Key features</w:t>
      </w:r>
    </w:p>
    <w:p w:rsidR="002279EB" w:rsidRPr="00670DFA" w:rsidRDefault="002279EB" w:rsidP="002279EB"/>
    <w:p w:rsidR="006F471E" w:rsidRPr="00E36545" w:rsidRDefault="006F471E" w:rsidP="006F471E">
      <w:r w:rsidRPr="00E36545">
        <w:t xml:space="preserve">The first </w:t>
      </w:r>
      <w:r w:rsidR="00D10ADF">
        <w:t>amendment</w:t>
      </w:r>
      <w:r w:rsidRPr="00E36545">
        <w:t xml:space="preserve"> mean</w:t>
      </w:r>
      <w:r w:rsidR="00D10ADF">
        <w:t>s</w:t>
      </w:r>
      <w:r w:rsidRPr="00E36545">
        <w:t xml:space="preserve"> that the deduction limitation rule in section HB 11 will not apply for most LTCs.  The provision will be changed to specifically cover </w:t>
      </w:r>
      <w:r>
        <w:t xml:space="preserve">only </w:t>
      </w:r>
      <w:r w:rsidRPr="00E36545">
        <w:t>LTCs that are in partnership</w:t>
      </w:r>
      <w:r w:rsidR="007443C3">
        <w:t xml:space="preserve"> or are members of a joint venture under section HG 1</w:t>
      </w:r>
      <w:r w:rsidRPr="00E36545">
        <w:t>.  The formula determining the “owner’s basis” in section HB 11 will otherwise be unchanged, although officials are continuing to explore options for simplify</w:t>
      </w:r>
      <w:r>
        <w:t>ing and clarifying the formula.</w:t>
      </w:r>
    </w:p>
    <w:p w:rsidR="006F471E" w:rsidRPr="00E36545" w:rsidRDefault="006F471E" w:rsidP="006F471E"/>
    <w:p w:rsidR="006F471E" w:rsidRPr="00E36545" w:rsidRDefault="006F471E" w:rsidP="006F471E">
      <w:r w:rsidRPr="00E36545">
        <w:t xml:space="preserve">For those no longer covered by the rule, deductions previously restricted </w:t>
      </w:r>
      <w:r>
        <w:t xml:space="preserve">and carried-forward </w:t>
      </w:r>
      <w:r w:rsidRPr="00E36545">
        <w:t xml:space="preserve">by the rule will be </w:t>
      </w:r>
      <w:r>
        <w:t xml:space="preserve">automatically </w:t>
      </w:r>
      <w:r w:rsidRPr="00E36545">
        <w:t>freed up from the 2017</w:t>
      </w:r>
      <w:r>
        <w:t>–</w:t>
      </w:r>
      <w:r w:rsidRPr="00E36545">
        <w:t>18 income year, and will be available for offsetting against their income from that year onwards.</w:t>
      </w:r>
    </w:p>
    <w:p w:rsidR="006F471E" w:rsidRPr="00E36545" w:rsidRDefault="006F471E" w:rsidP="006F471E"/>
    <w:p w:rsidR="006F471E" w:rsidRPr="00E36545" w:rsidRDefault="006F471E" w:rsidP="006F471E">
      <w:r w:rsidRPr="00E36545">
        <w:t xml:space="preserve">The specific anti-avoidance rule in section GB 50 </w:t>
      </w:r>
      <w:r w:rsidR="00BA3E54">
        <w:t>has</w:t>
      </w:r>
      <w:r w:rsidRPr="00E36545">
        <w:t xml:space="preserve"> be</w:t>
      </w:r>
      <w:r w:rsidR="00BA3E54">
        <w:t>en</w:t>
      </w:r>
      <w:r w:rsidRPr="00E36545">
        <w:t xml:space="preserve"> extended to LTCs and their owners.  The rule is designed to ensure that transactions between partners and their partnerships that have the effect of defeating the rules in sub-part HG (joint ventures, partners and partnerships) are </w:t>
      </w:r>
      <w:r>
        <w:t>treated as taking</w:t>
      </w:r>
      <w:r w:rsidRPr="00E36545">
        <w:t xml:space="preserve"> place at market value.</w:t>
      </w:r>
    </w:p>
    <w:p w:rsidR="002279EB" w:rsidRDefault="002279EB" w:rsidP="002279EB"/>
    <w:p w:rsidR="005E41A7" w:rsidRDefault="005E41A7" w:rsidP="002279EB"/>
    <w:p w:rsidR="002279EB" w:rsidRPr="00670DFA" w:rsidRDefault="00F939A3" w:rsidP="00B27D4A">
      <w:pPr>
        <w:pStyle w:val="Heading2"/>
      </w:pPr>
      <w:r>
        <w:t>Application date</w:t>
      </w:r>
    </w:p>
    <w:p w:rsidR="002279EB" w:rsidRPr="00670DFA" w:rsidRDefault="002279EB" w:rsidP="002279EB"/>
    <w:p w:rsidR="004D2EC2" w:rsidRDefault="005D5AA9" w:rsidP="002279EB">
      <w:r>
        <w:t xml:space="preserve">The amendment </w:t>
      </w:r>
      <w:r w:rsidR="009B1B04">
        <w:t xml:space="preserve">to </w:t>
      </w:r>
      <w:r w:rsidR="004D2EC2">
        <w:t xml:space="preserve">section </w:t>
      </w:r>
      <w:r w:rsidR="009B1B04">
        <w:t>HB 11 applies from the beginning of the 2017</w:t>
      </w:r>
      <w:r w:rsidR="004D2EC2">
        <w:t>–</w:t>
      </w:r>
      <w:r w:rsidR="009B1B04">
        <w:t xml:space="preserve">18 income </w:t>
      </w:r>
      <w:proofErr w:type="gramStart"/>
      <w:r w:rsidR="009B1B04">
        <w:t>year</w:t>
      </w:r>
      <w:proofErr w:type="gramEnd"/>
      <w:r w:rsidR="004D2EC2">
        <w:t>.</w:t>
      </w:r>
    </w:p>
    <w:p w:rsidR="004D2EC2" w:rsidRDefault="004D2EC2" w:rsidP="002279EB"/>
    <w:p w:rsidR="002279EB" w:rsidRPr="00670DFA" w:rsidRDefault="004D2EC2" w:rsidP="002279EB">
      <w:r>
        <w:t>T</w:t>
      </w:r>
      <w:r w:rsidR="009B1B04">
        <w:t>he amendment to section GB 50 applies from 1 April 2017.</w:t>
      </w:r>
    </w:p>
    <w:p w:rsidR="002279EB" w:rsidRDefault="002279EB" w:rsidP="002279EB"/>
    <w:p w:rsidR="00845790" w:rsidRDefault="00845790">
      <w:pPr>
        <w:jc w:val="left"/>
        <w:rPr>
          <w:b/>
          <w:caps/>
        </w:rPr>
      </w:pPr>
      <w:r>
        <w:br w:type="page"/>
      </w:r>
    </w:p>
    <w:p w:rsidR="002279EB" w:rsidRDefault="00625E36" w:rsidP="002279EB">
      <w:pPr>
        <w:pStyle w:val="Heading1"/>
      </w:pPr>
      <w:r>
        <w:t>debt remission</w:t>
      </w:r>
    </w:p>
    <w:p w:rsidR="002279EB" w:rsidRPr="00670619" w:rsidRDefault="002279EB" w:rsidP="002279EB"/>
    <w:p w:rsidR="002279EB" w:rsidRPr="009F4DD7" w:rsidRDefault="002279EB" w:rsidP="002279EB">
      <w:pPr>
        <w:pStyle w:val="Sections"/>
        <w:rPr>
          <w:b w:val="0"/>
        </w:rPr>
      </w:pPr>
      <w:r w:rsidRPr="009F4DD7">
        <w:rPr>
          <w:b w:val="0"/>
        </w:rPr>
        <w:t xml:space="preserve">Sections </w:t>
      </w:r>
      <w:r w:rsidR="005D5AA9" w:rsidRPr="009F4DD7">
        <w:rPr>
          <w:b w:val="0"/>
        </w:rPr>
        <w:t>DB 11, EW 31, EW 39, HZ 8 and YA 1 of the Income Tax Act 2007</w:t>
      </w:r>
    </w:p>
    <w:p w:rsidR="002279EB" w:rsidRDefault="002279EB" w:rsidP="002279EB"/>
    <w:p w:rsidR="00E377F6" w:rsidRPr="001B6257" w:rsidRDefault="00E377F6" w:rsidP="002279EB"/>
    <w:p w:rsidR="00932193" w:rsidRPr="00AF3B0F" w:rsidRDefault="00932193" w:rsidP="00932193">
      <w:r w:rsidRPr="00AF3B0F">
        <w:t xml:space="preserve">Amendments to the debt remission rules </w:t>
      </w:r>
      <w:r>
        <w:t>have been made</w:t>
      </w:r>
      <w:r w:rsidRPr="00AF3B0F">
        <w:t xml:space="preserve"> to deal with specific concerns about the way the rules work in relation to LTCs and partnerships.</w:t>
      </w:r>
    </w:p>
    <w:p w:rsidR="002279EB" w:rsidRDefault="002279EB" w:rsidP="002279EB"/>
    <w:p w:rsidR="005E41A7" w:rsidRPr="00670DFA" w:rsidRDefault="005E41A7" w:rsidP="002279EB"/>
    <w:p w:rsidR="002279EB" w:rsidRPr="00670619" w:rsidRDefault="002279EB" w:rsidP="00B27D4A">
      <w:pPr>
        <w:pStyle w:val="Heading2"/>
      </w:pPr>
      <w:r w:rsidRPr="00670DFA">
        <w:t>Background</w:t>
      </w:r>
    </w:p>
    <w:p w:rsidR="002279EB" w:rsidRPr="00670DFA" w:rsidRDefault="002279EB" w:rsidP="002279EB"/>
    <w:p w:rsidR="00D10ADF" w:rsidRPr="008F32DC" w:rsidRDefault="00D10ADF" w:rsidP="00B27D4A">
      <w:pPr>
        <w:pStyle w:val="Heading3"/>
      </w:pPr>
      <w:r w:rsidRPr="008F32DC">
        <w:t>Debt arrangements with owners</w:t>
      </w:r>
    </w:p>
    <w:p w:rsidR="00D10ADF" w:rsidRPr="00AF3B0F" w:rsidRDefault="00D10ADF" w:rsidP="00D10ADF"/>
    <w:p w:rsidR="00D10ADF" w:rsidRPr="00AF3B0F" w:rsidRDefault="00D10ADF" w:rsidP="00D10ADF">
      <w:pPr>
        <w:rPr>
          <w:lang w:val="en-AU" w:eastAsia="en-US"/>
        </w:rPr>
      </w:pPr>
      <w:r w:rsidRPr="00AF3B0F">
        <w:rPr>
          <w:lang w:val="en-AU" w:eastAsia="en-US"/>
        </w:rPr>
        <w:t>Debt remission, being the extinguishing of a debtor’s liability by operation of law or forgiveness by the creditor, gives rise to debt remission income to the debtor under the financial arrangement rules.  Under current tax law, debt remission produces taxable income to the debtor.</w:t>
      </w:r>
    </w:p>
    <w:p w:rsidR="00D10ADF" w:rsidRPr="00AF3B0F" w:rsidRDefault="00D10ADF" w:rsidP="00D10ADF">
      <w:pPr>
        <w:rPr>
          <w:lang w:val="en-AU" w:eastAsia="en-US"/>
        </w:rPr>
      </w:pPr>
    </w:p>
    <w:p w:rsidR="00D10ADF" w:rsidRPr="00AF3B0F" w:rsidRDefault="00D10ADF" w:rsidP="00D10ADF">
      <w:pPr>
        <w:rPr>
          <w:lang w:val="en-AU" w:eastAsia="en-US"/>
        </w:rPr>
      </w:pPr>
      <w:r w:rsidRPr="00AF3B0F">
        <w:rPr>
          <w:lang w:val="en-AU" w:eastAsia="en-US"/>
        </w:rPr>
        <w:t>Problems arise from the interaction of the LTC (and partnership) rules with the financial arrangement rules that produce remission income in circumstances when, as a result of the transparency of the LTC or partnership, the debt is effectively self-remitted.  When an owner of a LTC remits debt owed to them by the LTC, all the LTC owners derive debt remission income given the look-through nature of a LTC.  This includes the owner that remitted the debt who is required to pay tax on their share of the remission income despite making an economic loss (to the extent of the portion</w:t>
      </w:r>
      <w:r w:rsidR="00A66B53">
        <w:rPr>
          <w:lang w:val="en-AU" w:eastAsia="en-US"/>
        </w:rPr>
        <w:t xml:space="preserve"> of the loan</w:t>
      </w:r>
      <w:r w:rsidRPr="00AF3B0F">
        <w:rPr>
          <w:lang w:val="en-AU" w:eastAsia="en-US"/>
        </w:rPr>
        <w:t xml:space="preserve"> that is attributed to the other shareholders).  Generally, they are unable to claim a deduction for the bad debt</w:t>
      </w:r>
      <w:r>
        <w:rPr>
          <w:lang w:val="en-AU" w:eastAsia="en-US"/>
        </w:rPr>
        <w:t>.  O</w:t>
      </w:r>
      <w:r w:rsidRPr="00AF3B0F">
        <w:rPr>
          <w:lang w:val="en-AU" w:eastAsia="en-US"/>
        </w:rPr>
        <w:t>verall, this results in over-taxation of the owner who remitted the debt, which is not an appropriate policy outcome.</w:t>
      </w:r>
    </w:p>
    <w:p w:rsidR="00D10ADF" w:rsidRPr="00AF3B0F" w:rsidRDefault="00D10ADF" w:rsidP="00D10ADF">
      <w:pPr>
        <w:rPr>
          <w:lang w:val="en-AU" w:eastAsia="en-US"/>
        </w:rPr>
      </w:pPr>
    </w:p>
    <w:p w:rsidR="00D10ADF" w:rsidRPr="008F32DC" w:rsidRDefault="00D10ADF" w:rsidP="00B27D4A">
      <w:pPr>
        <w:pStyle w:val="Heading3"/>
        <w:rPr>
          <w:lang w:val="en-AU" w:eastAsia="en-US"/>
        </w:rPr>
      </w:pPr>
      <w:r w:rsidRPr="008F32DC">
        <w:rPr>
          <w:lang w:val="en-AU" w:eastAsia="en-US"/>
        </w:rPr>
        <w:t>Market value of debts</w:t>
      </w:r>
    </w:p>
    <w:p w:rsidR="00D10ADF" w:rsidRPr="00AF3B0F" w:rsidRDefault="00D10ADF" w:rsidP="00D10ADF">
      <w:pPr>
        <w:rPr>
          <w:lang w:val="en-AU" w:eastAsia="en-US"/>
        </w:rPr>
      </w:pPr>
    </w:p>
    <w:p w:rsidR="00D10ADF" w:rsidRPr="00AF3B0F" w:rsidRDefault="00D10ADF" w:rsidP="00D10ADF">
      <w:r w:rsidRPr="00AF3B0F">
        <w:t>The other change</w:t>
      </w:r>
      <w:r w:rsidR="00257B15">
        <w:t xml:space="preserve"> amends</w:t>
      </w:r>
      <w:r w:rsidRPr="00AF3B0F">
        <w:t xml:space="preserve"> the LTC rules to clarify that when calculating the market value of an owner’s interest as debtor in a financial arrangement with a third party, the amount of any adjustment for credit impairment must be taken into account.  This clarification is necessary as Inland Revenue officials have become aware of certain interpretations being taken to the contrary.</w:t>
      </w:r>
    </w:p>
    <w:p w:rsidR="00D10ADF" w:rsidRPr="00AF3B0F" w:rsidRDefault="00D10ADF" w:rsidP="00D10ADF"/>
    <w:p w:rsidR="00D10ADF" w:rsidRPr="00AF3B0F" w:rsidRDefault="00D10ADF" w:rsidP="00D10ADF">
      <w:r w:rsidRPr="00AF3B0F">
        <w:t>The amendment will ensure that the debt remission rules apply as intended so that debt remission income arises when a LTC is either liquidated or elects out of the LTC rules.  This is important given the proposed limiting of the scope of the deduction limitation rules, as the debt remission rules are one of the backstops in the Income Tax Act that help to preclude excessive deductions.</w:t>
      </w:r>
    </w:p>
    <w:p w:rsidR="002279EB" w:rsidRDefault="002279EB" w:rsidP="002279EB"/>
    <w:p w:rsidR="005E41A7" w:rsidRPr="00670DFA" w:rsidRDefault="005E41A7" w:rsidP="002279EB"/>
    <w:p w:rsidR="002279EB" w:rsidRPr="00670DFA" w:rsidRDefault="002279EB" w:rsidP="00B27D4A">
      <w:pPr>
        <w:pStyle w:val="Heading2"/>
      </w:pPr>
      <w:r w:rsidRPr="00670DFA">
        <w:t>Key features</w:t>
      </w:r>
    </w:p>
    <w:p w:rsidR="002279EB" w:rsidRPr="00670DFA" w:rsidRDefault="002279EB" w:rsidP="002279EB"/>
    <w:p w:rsidR="00932193" w:rsidRDefault="00932193" w:rsidP="00932193">
      <w:r w:rsidRPr="00AF3B0F">
        <w:t>The first amendment ensures that remission income does not arise to either a LTC owner or a partner who remits a debt owed to them</w:t>
      </w:r>
      <w:r w:rsidR="004C3D51">
        <w:t xml:space="preserve"> </w:t>
      </w:r>
      <w:r w:rsidR="004C3D51" w:rsidRPr="00AF3B0F">
        <w:t>(referred to in the amendment as “self-remission”)</w:t>
      </w:r>
      <w:r w:rsidRPr="00AF3B0F">
        <w:t xml:space="preserve"> by the LTC or partnership, including a limited partnership.</w:t>
      </w:r>
      <w:r w:rsidR="007443C3">
        <w:t xml:space="preserve"> </w:t>
      </w:r>
      <w:r w:rsidR="00F52A7B">
        <w:t xml:space="preserve"> </w:t>
      </w:r>
      <w:r w:rsidR="007443C3">
        <w:t xml:space="preserve">This also applies </w:t>
      </w:r>
      <w:r w:rsidR="007B54CD">
        <w:t>when</w:t>
      </w:r>
      <w:r w:rsidR="007443C3">
        <w:t xml:space="preserve"> an owner effectively remits the debt through</w:t>
      </w:r>
      <w:r w:rsidR="007B54CD">
        <w:t xml:space="preserve"> an entity ceasing to be a LTC or similar deemed disposals of owners’ interests.</w:t>
      </w:r>
    </w:p>
    <w:p w:rsidR="00932193" w:rsidRPr="00AF3B0F" w:rsidRDefault="00932193" w:rsidP="00932193"/>
    <w:p w:rsidR="00932193" w:rsidRPr="00AF3B0F" w:rsidRDefault="00932193" w:rsidP="00932193">
      <w:r w:rsidRPr="00AF3B0F">
        <w:t>The second clarifies that in respect of a debt owed by a LTC to a third party, the market value of the debtor’s interest in the debt is adjusted for any credit impairment.  While this was always the intention, some practitioners have argued otherwise.</w:t>
      </w:r>
    </w:p>
    <w:p w:rsidR="00932193" w:rsidRPr="00AF3B0F" w:rsidRDefault="00932193" w:rsidP="00932193"/>
    <w:p w:rsidR="00932193" w:rsidRPr="00AF3B0F" w:rsidRDefault="00932193" w:rsidP="00932193">
      <w:pPr>
        <w:rPr>
          <w:lang w:val="en-AU" w:eastAsia="en-US"/>
        </w:rPr>
      </w:pPr>
      <w:r w:rsidRPr="00AF3B0F">
        <w:rPr>
          <w:lang w:val="en-AU" w:eastAsia="en-US"/>
        </w:rPr>
        <w:t>Both amendments are necessary to ensure that the debt remission rules operate as intended.</w:t>
      </w:r>
    </w:p>
    <w:p w:rsidR="00932193" w:rsidRPr="00AF3B0F" w:rsidRDefault="00932193" w:rsidP="00932193">
      <w:pPr>
        <w:rPr>
          <w:lang w:val="en-AU" w:eastAsia="en-US"/>
        </w:rPr>
      </w:pPr>
    </w:p>
    <w:p w:rsidR="00932193" w:rsidRPr="00AF3B0F" w:rsidRDefault="00932193" w:rsidP="00932193">
      <w:pPr>
        <w:rPr>
          <w:lang w:val="en-AU" w:eastAsia="en-US"/>
        </w:rPr>
      </w:pPr>
      <w:r w:rsidRPr="00AF3B0F">
        <w:rPr>
          <w:lang w:val="en-AU" w:eastAsia="en-US"/>
        </w:rPr>
        <w:t>Any refunds of overpaid tax as a result of the retrospective application can be claimed by taxpayers reopening past returns, but we do not anticipate many will need to do this.  Any additional income that may arise as a result of retrospective application will only need to be brought to account in the 2017–18 income year (a transitional amendment achieves this).</w:t>
      </w:r>
    </w:p>
    <w:p w:rsidR="002279EB" w:rsidRDefault="002279EB" w:rsidP="002279EB"/>
    <w:p w:rsidR="005E41A7" w:rsidRDefault="005E41A7" w:rsidP="002279EB"/>
    <w:p w:rsidR="002279EB" w:rsidRPr="00670DFA" w:rsidRDefault="00B159AB" w:rsidP="00B27D4A">
      <w:pPr>
        <w:pStyle w:val="Heading2"/>
      </w:pPr>
      <w:r>
        <w:t>Application dates</w:t>
      </w:r>
    </w:p>
    <w:p w:rsidR="002279EB" w:rsidRPr="00670DFA" w:rsidRDefault="002279EB" w:rsidP="002279EB"/>
    <w:p w:rsidR="002279EB" w:rsidRDefault="007443C3" w:rsidP="002279EB">
      <w:r>
        <w:t xml:space="preserve">The first amendment to remission income applies </w:t>
      </w:r>
      <w:r w:rsidR="00426C7B">
        <w:t>to income years beginning on or after</w:t>
      </w:r>
      <w:r>
        <w:t xml:space="preserve"> 1 April 2011, the start date of the LTC rules.</w:t>
      </w:r>
    </w:p>
    <w:p w:rsidR="00893432" w:rsidRDefault="00893432" w:rsidP="002279EB"/>
    <w:p w:rsidR="00893432" w:rsidRPr="00670DFA" w:rsidRDefault="00893432" w:rsidP="002279EB">
      <w:r>
        <w:t xml:space="preserve">The </w:t>
      </w:r>
      <w:r w:rsidR="00426C7B">
        <w:t xml:space="preserve">second amendment to the valuation of </w:t>
      </w:r>
      <w:r>
        <w:t>credit impairment applies from 1 April 2011</w:t>
      </w:r>
      <w:r w:rsidR="009E7CD7">
        <w:t>.  H</w:t>
      </w:r>
      <w:r>
        <w:t>owever, to avoid reopening past returns, any additional income and associated penalties and interest from those earlier years is brought to account in 2017</w:t>
      </w:r>
      <w:r w:rsidR="00BD2FB2">
        <w:t>–</w:t>
      </w:r>
      <w:r>
        <w:t>18 income returns.</w:t>
      </w:r>
    </w:p>
    <w:p w:rsidR="002279EB" w:rsidRDefault="002279EB" w:rsidP="002279EB"/>
    <w:p w:rsidR="00EA65AF" w:rsidRDefault="00EA65AF" w:rsidP="002279EB"/>
    <w:p w:rsidR="002279EB" w:rsidRPr="00670DFA" w:rsidRDefault="002279EB" w:rsidP="00B27D4A">
      <w:pPr>
        <w:pStyle w:val="Heading2"/>
      </w:pPr>
      <w:r w:rsidRPr="00670DFA">
        <w:t>Detailed analysis</w:t>
      </w:r>
    </w:p>
    <w:p w:rsidR="002279EB" w:rsidRPr="00670DFA" w:rsidRDefault="002279EB" w:rsidP="002279EB"/>
    <w:p w:rsidR="00D10ADF" w:rsidRPr="00D10ADF" w:rsidRDefault="00D10ADF" w:rsidP="00B27D4A">
      <w:pPr>
        <w:pStyle w:val="Heading3"/>
      </w:pPr>
      <w:r>
        <w:t>Debt remission</w:t>
      </w:r>
    </w:p>
    <w:p w:rsidR="00D10ADF" w:rsidRDefault="00D10ADF" w:rsidP="00D10ADF"/>
    <w:p w:rsidR="009119E0" w:rsidRDefault="009119E0" w:rsidP="00D10ADF">
      <w:r>
        <w:t xml:space="preserve">The </w:t>
      </w:r>
      <w:r w:rsidR="00BD2FB2">
        <w:t xml:space="preserve">new </w:t>
      </w:r>
      <w:r>
        <w:t xml:space="preserve">Act amends the financial arrangement rules to exclude self-remission by a shareholder of a LTC or a partner in a partnership. </w:t>
      </w:r>
      <w:r w:rsidR="00BD2FB2">
        <w:t xml:space="preserve"> </w:t>
      </w:r>
      <w:r>
        <w:t>This is achieved by introducing the concept of a “self-remission” into the Act and</w:t>
      </w:r>
      <w:r w:rsidRPr="009119E0">
        <w:rPr>
          <w:lang w:val="en-AU" w:eastAsia="en-US"/>
        </w:rPr>
        <w:t xml:space="preserve"> </w:t>
      </w:r>
      <w:r>
        <w:rPr>
          <w:lang w:val="en-AU" w:eastAsia="en-US"/>
        </w:rPr>
        <w:t>enabling the shareholder or partner who has lent money to a LTC or partnership a deduction equal to their proportion of debt remission income of the LTC or partnership.</w:t>
      </w:r>
    </w:p>
    <w:p w:rsidR="009119E0" w:rsidRDefault="009119E0" w:rsidP="00D10ADF">
      <w:pPr>
        <w:rPr>
          <w:lang w:val="en-AU" w:eastAsia="en-US"/>
        </w:rPr>
      </w:pPr>
    </w:p>
    <w:p w:rsidR="00D10ADF" w:rsidRDefault="009119E0" w:rsidP="00D10ADF">
      <w:pPr>
        <w:rPr>
          <w:lang w:val="en-AU" w:eastAsia="en-US"/>
        </w:rPr>
      </w:pPr>
      <w:r>
        <w:rPr>
          <w:lang w:val="en-AU" w:eastAsia="en-US"/>
        </w:rPr>
        <w:t>Section EW 31(11) has been amended so that the definition of “amount remitted” excludes a “self-remission”.</w:t>
      </w:r>
      <w:r w:rsidR="00C970BA">
        <w:rPr>
          <w:lang w:val="en-AU" w:eastAsia="en-US"/>
        </w:rPr>
        <w:t xml:space="preserve"> </w:t>
      </w:r>
      <w:r w:rsidR="00D10ADF" w:rsidRPr="00AF3B0F">
        <w:rPr>
          <w:lang w:val="en-AU" w:eastAsia="en-US"/>
        </w:rPr>
        <w:t xml:space="preserve"> “Self-remission” is defined as an amount of remission for a person and a financial arrangement under which, and to the extent to which, because of the operation of sections HB 1 or HG 2 (which relate to LTCs and partnerships), the person is also liable as debtor in their capacity of owner or partner.</w:t>
      </w:r>
    </w:p>
    <w:p w:rsidR="00D10ADF" w:rsidRDefault="00D10ADF" w:rsidP="00D10ADF">
      <w:pPr>
        <w:rPr>
          <w:lang w:val="en-AU" w:eastAsia="en-US"/>
        </w:rPr>
      </w:pPr>
    </w:p>
    <w:p w:rsidR="00D10ADF" w:rsidRPr="00AF3B0F" w:rsidRDefault="009119E0" w:rsidP="00D10ADF">
      <w:pPr>
        <w:rPr>
          <w:lang w:val="en-AU" w:eastAsia="en-US"/>
        </w:rPr>
      </w:pPr>
      <w:r>
        <w:rPr>
          <w:lang w:val="en-AU" w:eastAsia="en-US"/>
        </w:rPr>
        <w:t xml:space="preserve">This exclusion means that a shareholder or partner of a LTC or partnership will have a negative base price adjustment in their capacity as a creditor that neutralises out any income attributed to them as debtor in their capacity </w:t>
      </w:r>
      <w:r w:rsidR="001807F6">
        <w:rPr>
          <w:lang w:val="en-AU" w:eastAsia="en-US"/>
        </w:rPr>
        <w:t>as</w:t>
      </w:r>
      <w:r>
        <w:rPr>
          <w:lang w:val="en-AU" w:eastAsia="en-US"/>
        </w:rPr>
        <w:t xml:space="preserve"> owner or partner.</w:t>
      </w:r>
    </w:p>
    <w:p w:rsidR="00D10ADF" w:rsidRPr="00AF3B0F" w:rsidRDefault="00D10ADF" w:rsidP="00D10ADF">
      <w:pPr>
        <w:rPr>
          <w:lang w:val="en-AU" w:eastAsia="en-US"/>
        </w:rPr>
      </w:pPr>
    </w:p>
    <w:p w:rsidR="00B27D4A" w:rsidRDefault="00B27D4A">
      <w:pPr>
        <w:jc w:val="left"/>
        <w:rPr>
          <w:b/>
          <w:sz w:val="20"/>
          <w:lang w:val="en-AU" w:eastAsia="en-US"/>
        </w:rPr>
      </w:pPr>
      <w:r>
        <w:rPr>
          <w:b/>
          <w:sz w:val="20"/>
          <w:lang w:val="en-AU" w:eastAsia="en-US"/>
        </w:rPr>
        <w:br w:type="page"/>
      </w:r>
    </w:p>
    <w:p w:rsidR="00D10ADF" w:rsidRDefault="00D10ADF" w:rsidP="00D10ADF">
      <w:pPr>
        <w:keepNext/>
        <w:pBdr>
          <w:top w:val="single" w:sz="4" w:space="10" w:color="auto"/>
          <w:left w:val="single" w:sz="4" w:space="10" w:color="auto"/>
          <w:bottom w:val="single" w:sz="4" w:space="10" w:color="auto"/>
          <w:right w:val="single" w:sz="4" w:space="10" w:color="auto"/>
        </w:pBdr>
        <w:outlineLvl w:val="2"/>
        <w:rPr>
          <w:b/>
          <w:sz w:val="20"/>
          <w:lang w:val="en-AU" w:eastAsia="en-US"/>
        </w:rPr>
      </w:pPr>
      <w:r w:rsidRPr="008F32DC">
        <w:rPr>
          <w:b/>
          <w:sz w:val="20"/>
          <w:lang w:val="en-AU" w:eastAsia="en-US"/>
        </w:rPr>
        <w:t>Example</w:t>
      </w:r>
    </w:p>
    <w:p w:rsidR="00D10ADF" w:rsidRDefault="00D10ADF" w:rsidP="00D10ADF">
      <w:pPr>
        <w:keepNext/>
        <w:pBdr>
          <w:top w:val="single" w:sz="4" w:space="10" w:color="auto"/>
          <w:left w:val="single" w:sz="4" w:space="10" w:color="auto"/>
          <w:bottom w:val="single" w:sz="4" w:space="10" w:color="auto"/>
          <w:right w:val="single" w:sz="4" w:space="10" w:color="auto"/>
        </w:pBdr>
        <w:outlineLvl w:val="2"/>
        <w:rPr>
          <w:b/>
          <w:sz w:val="20"/>
          <w:lang w:val="en-AU" w:eastAsia="en-US"/>
        </w:rPr>
      </w:pPr>
    </w:p>
    <w:p w:rsidR="00D10ADF" w:rsidRPr="008F32DC" w:rsidRDefault="00D10ADF" w:rsidP="00D10ADF">
      <w:pPr>
        <w:keepNext/>
        <w:pBdr>
          <w:top w:val="single" w:sz="4" w:space="10" w:color="auto"/>
          <w:left w:val="single" w:sz="4" w:space="10" w:color="auto"/>
          <w:bottom w:val="single" w:sz="4" w:space="10" w:color="auto"/>
          <w:right w:val="single" w:sz="4" w:space="10" w:color="auto"/>
        </w:pBdr>
        <w:outlineLvl w:val="2"/>
        <w:rPr>
          <w:b/>
          <w:sz w:val="20"/>
          <w:lang w:val="en-AU" w:eastAsia="en-US"/>
        </w:rPr>
      </w:pPr>
      <w:r>
        <w:rPr>
          <w:b/>
          <w:noProof/>
          <w:sz w:val="20"/>
        </w:rPr>
        <mc:AlternateContent>
          <mc:Choice Requires="wpc">
            <w:drawing>
              <wp:inline distT="0" distB="0" distL="0" distR="0" wp14:anchorId="60FB4AB4" wp14:editId="236DC351">
                <wp:extent cx="5400675" cy="12954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 name="Text Box 6"/>
                        <wps:cNvSpPr txBox="1"/>
                        <wps:spPr>
                          <a:xfrm>
                            <a:off x="1825920" y="564487"/>
                            <a:ext cx="742352" cy="20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Default="0050054A" w:rsidP="000E75F4">
                              <w:pPr>
                                <w:pStyle w:val="NormalWeb"/>
                                <w:spacing w:before="0" w:beforeAutospacing="0" w:after="0" w:afterAutospacing="0"/>
                                <w:jc w:val="both"/>
                              </w:pPr>
                              <w:r>
                                <w:rPr>
                                  <w:rFonts w:eastAsia="Times New Roman"/>
                                  <w:sz w:val="16"/>
                                  <w:szCs w:val="16"/>
                                </w:rPr>
                                <w:t>Lends $100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 Box 11"/>
                        <wps:cNvSpPr txBox="1"/>
                        <wps:spPr>
                          <a:xfrm>
                            <a:off x="1084963" y="172049"/>
                            <a:ext cx="913765" cy="269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Default="0050054A" w:rsidP="000E75F4">
                              <w:pPr>
                                <w:pStyle w:val="NormalWeb"/>
                                <w:spacing w:before="0" w:beforeAutospacing="0" w:after="0" w:afterAutospacing="0"/>
                                <w:jc w:val="both"/>
                              </w:pPr>
                              <w:r>
                                <w:rPr>
                                  <w:rFonts w:eastAsia="Times New Roman"/>
                                  <w:color w:val="000000"/>
                                  <w:sz w:val="16"/>
                                  <w:szCs w:val="16"/>
                                </w:rPr>
                                <w:t>50% owns LTC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482676" y="177183"/>
                            <a:ext cx="914396" cy="269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Default="0050054A">
                              <w:r w:rsidRPr="000E75F4">
                                <w:rPr>
                                  <w:color w:val="000000"/>
                                  <w:sz w:val="16"/>
                                  <w:szCs w:val="16"/>
                                </w:rPr>
                                <w:t xml:space="preserve">50% </w:t>
                              </w:r>
                              <w:r>
                                <w:rPr>
                                  <w:color w:val="000000"/>
                                  <w:sz w:val="16"/>
                                  <w:szCs w:val="16"/>
                                </w:rPr>
                                <w:t>owns LTC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342175" y="846750"/>
                            <a:ext cx="733425" cy="381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D10ADF">
                              <w:pPr>
                                <w:pStyle w:val="NormalWeb"/>
                                <w:spacing w:before="0" w:beforeAutospacing="0" w:after="0" w:afterAutospacing="0"/>
                                <w:jc w:val="center"/>
                              </w:pPr>
                              <w:r>
                                <w:rPr>
                                  <w:rFonts w:eastAsia="Times New Roman"/>
                                  <w:color w:val="000000"/>
                                  <w:sz w:val="16"/>
                                  <w:szCs w:val="16"/>
                                </w:rPr>
                                <w:t>LTC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903316" y="148885"/>
                            <a:ext cx="733425" cy="273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D10ADF">
                              <w:pPr>
                                <w:pStyle w:val="NormalWeb"/>
                                <w:spacing w:before="0" w:beforeAutospacing="0" w:after="0" w:afterAutospacing="0"/>
                                <w:jc w:val="center"/>
                              </w:pPr>
                              <w:r>
                                <w:rPr>
                                  <w:rFonts w:eastAsia="Times New Roman"/>
                                  <w:color w:val="000000"/>
                                  <w:sz w:val="16"/>
                                  <w:szCs w:val="16"/>
                                </w:rPr>
                                <w:t>Shareholder A</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35" name="Rectangle 35"/>
                        <wps:cNvSpPr/>
                        <wps:spPr>
                          <a:xfrm>
                            <a:off x="2786473" y="148885"/>
                            <a:ext cx="733425" cy="273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0E75F4">
                              <w:pPr>
                                <w:pStyle w:val="NormalWeb"/>
                                <w:spacing w:before="0" w:beforeAutospacing="0" w:after="0" w:afterAutospacing="0"/>
                                <w:jc w:val="center"/>
                              </w:pPr>
                              <w:r>
                                <w:rPr>
                                  <w:rFonts w:eastAsia="Times New Roman"/>
                                  <w:color w:val="000000"/>
                                  <w:sz w:val="16"/>
                                  <w:szCs w:val="16"/>
                                </w:rPr>
                                <w:t>Shareholder B</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7" name="Straight Arrow Connector 7"/>
                        <wps:cNvCnPr>
                          <a:stCxn id="31" idx="2"/>
                          <a:endCxn id="29" idx="0"/>
                        </wps:cNvCnPr>
                        <wps:spPr>
                          <a:xfrm>
                            <a:off x="2270029" y="422570"/>
                            <a:ext cx="438859" cy="4241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 o:spid="_x0000_s1053" editas="canvas" style="width:425.25pt;height:102pt;mso-position-horizontal-relative:char;mso-position-vertical-relative:line" coordsize="54006,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">
                <v:shape id="_x0000_s1054" type="#_x0000_t75" style="position:absolute;width:54006;height:12954;visibility:visible;mso-wrap-style:square">
                  <v:fill o:detectmouseclick="t"/>
                  <v:path o:connecttype="none"/>
                </v:shape>
                <v:shape id="Text Box 6" o:spid="_x0000_s1055" type="#_x0000_t202" style="position:absolute;left:18259;top:5644;width:7423;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50054A" w:rsidRDefault="0050054A" w:rsidP="000E75F4">
                        <w:pPr>
                          <w:pStyle w:val="NormalWeb"/>
                          <w:spacing w:before="0" w:beforeAutospacing="0" w:after="0" w:afterAutospacing="0"/>
                          <w:jc w:val="both"/>
                        </w:pPr>
                        <w:r>
                          <w:rPr>
                            <w:rFonts w:eastAsia="Times New Roman"/>
                            <w:sz w:val="16"/>
                            <w:szCs w:val="16"/>
                          </w:rPr>
                          <w:t>Lends $100</w:t>
                        </w:r>
                      </w:p>
                    </w:txbxContent>
                  </v:textbox>
                </v:shape>
                <v:shape id="Text Box 11" o:spid="_x0000_s1056" type="#_x0000_t202" style="position:absolute;left:10849;top:1720;width:9138;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rsidR="0050054A" w:rsidRDefault="0050054A" w:rsidP="000E75F4">
                        <w:pPr>
                          <w:pStyle w:val="NormalWeb"/>
                          <w:spacing w:before="0" w:beforeAutospacing="0" w:after="0" w:afterAutospacing="0"/>
                          <w:jc w:val="both"/>
                        </w:pPr>
                        <w:r>
                          <w:rPr>
                            <w:rFonts w:eastAsia="Times New Roman"/>
                            <w:color w:val="000000"/>
                            <w:sz w:val="16"/>
                            <w:szCs w:val="16"/>
                          </w:rPr>
                          <w:t>50% owns LTC</w:t>
                        </w:r>
                      </w:p>
                    </w:txbxContent>
                  </v:textbox>
                </v:shape>
                <v:shape id="Text Box 11" o:spid="_x0000_s1057" type="#_x0000_t202" style="position:absolute;left:34826;top:1771;width:9144;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50054A" w:rsidRDefault="0050054A">
                        <w:r w:rsidRPr="000E75F4">
                          <w:rPr>
                            <w:color w:val="000000"/>
                            <w:sz w:val="16"/>
                            <w:szCs w:val="16"/>
                          </w:rPr>
                          <w:t xml:space="preserve">50% </w:t>
                        </w:r>
                        <w:r>
                          <w:rPr>
                            <w:color w:val="000000"/>
                            <w:sz w:val="16"/>
                            <w:szCs w:val="16"/>
                          </w:rPr>
                          <w:t>owns LTC</w:t>
                        </w:r>
                      </w:p>
                    </w:txbxContent>
                  </v:textbox>
                </v:shape>
                <v:rect id="Rectangle 29" o:spid="_x0000_s1058" style="position:absolute;left:23421;top:8467;width:733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textbox>
                    <w:txbxContent>
                      <w:p w:rsidR="0050054A" w:rsidRDefault="0050054A" w:rsidP="00D10ADF">
                        <w:pPr>
                          <w:pStyle w:val="NormalWeb"/>
                          <w:spacing w:before="0" w:beforeAutospacing="0" w:after="0" w:afterAutospacing="0"/>
                          <w:jc w:val="center"/>
                        </w:pPr>
                        <w:r>
                          <w:rPr>
                            <w:rFonts w:eastAsia="Times New Roman"/>
                            <w:color w:val="000000"/>
                            <w:sz w:val="16"/>
                            <w:szCs w:val="16"/>
                          </w:rPr>
                          <w:t>LTC</w:t>
                        </w:r>
                      </w:p>
                    </w:txbxContent>
                  </v:textbox>
                </v:rect>
                <v:rect id="Rectangle 31" o:spid="_x0000_s1059" style="position:absolute;left:19033;top:1488;width:7334;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JJcMA&#10;AADbAAAADwAAAGRycy9kb3ducmV2LnhtbESPT4vCMBTE74LfITzBi2iqCyLVtIgg7GURu3vY46N5&#10;tsXmpTTpH/30RljY4zAzv2EO6Whq0VPrKssK1qsIBHFudcWFgp/v83IHwnlkjbVlUvAgB2kynRww&#10;1nbgK/WZL0SAsItRQel9E0vp8pIMupVtiIN3s61BH2RbSN3iEOCmlpso2kqDFYeFEhs6lZTfs84o&#10;MJtxyL66x6/dXp7RwHW36A0pNZ+Nxz0IT6P/D/+1P7WCjz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gJJcMAAADbAAAADwAAAAAAAAAAAAAAAACYAgAAZHJzL2Rv&#10;d25yZXYueG1sUEsFBgAAAAAEAAQA9QAAAIgDAAAAAA==&#10;" filled="f" strokecolor="black [3213]" strokeweight="1pt">
                  <v:textbox inset="0,,0">
                    <w:txbxContent>
                      <w:p w:rsidR="0050054A" w:rsidRDefault="0050054A" w:rsidP="00D10ADF">
                        <w:pPr>
                          <w:pStyle w:val="NormalWeb"/>
                          <w:spacing w:before="0" w:beforeAutospacing="0" w:after="0" w:afterAutospacing="0"/>
                          <w:jc w:val="center"/>
                        </w:pPr>
                        <w:r>
                          <w:rPr>
                            <w:rFonts w:eastAsia="Times New Roman"/>
                            <w:color w:val="000000"/>
                            <w:sz w:val="16"/>
                            <w:szCs w:val="16"/>
                          </w:rPr>
                          <w:t>Shareholder A</w:t>
                        </w:r>
                      </w:p>
                    </w:txbxContent>
                  </v:textbox>
                </v:rect>
                <v:rect id="Rectangle 35" o:spid="_x0000_s1060" style="position:absolute;left:27864;top:1488;width:7334;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PJsQA&#10;AADbAAAADwAAAGRycy9kb3ducmV2LnhtbESPzWrDMBCE74G+g9hCLyGWmxITXCshBAq9lFC3hxwX&#10;a2OZWitjyT/p00eFQo7DzHzDFPvZtmKk3jeOFTwnKQjiyumGawXfX2+rLQgfkDW2jknBlTzsdw+L&#10;AnPtJv6ksQy1iBD2OSowIXS5lL4yZNEnriOO3sX1FkOUfS11j1OE21au0zSTFhuOCwY7OhqqfsrB&#10;KrDreSo/huvZZaffdOJ2WI6WlHp6nA+vIALN4R7+b79rBS8b+PsSf4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TDybEAAAA2wAAAA8AAAAAAAAAAAAAAAAAmAIAAGRycy9k&#10;b3ducmV2LnhtbFBLBQYAAAAABAAEAPUAAACJAwAAAAA=&#10;" filled="f" strokecolor="black [3213]" strokeweight="1pt">
                  <v:textbox inset="0,,0">
                    <w:txbxContent>
                      <w:p w:rsidR="0050054A" w:rsidRDefault="0050054A" w:rsidP="000E75F4">
                        <w:pPr>
                          <w:pStyle w:val="NormalWeb"/>
                          <w:spacing w:before="0" w:beforeAutospacing="0" w:after="0" w:afterAutospacing="0"/>
                          <w:jc w:val="center"/>
                        </w:pPr>
                        <w:r>
                          <w:rPr>
                            <w:rFonts w:eastAsia="Times New Roman"/>
                            <w:color w:val="000000"/>
                            <w:sz w:val="16"/>
                            <w:szCs w:val="16"/>
                          </w:rPr>
                          <w:t>Shareholder B</w:t>
                        </w:r>
                      </w:p>
                    </w:txbxContent>
                  </v:textbox>
                </v:rect>
                <v:shape id="Straight Arrow Connector 7" o:spid="_x0000_s1061" type="#_x0000_t32" style="position:absolute;left:22700;top:4225;width:4388;height:4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1fsEAAADaAAAADwAAAGRycy9kb3ducmV2LnhtbESPwWrDMBBE74H+g9hCb7GcGOriWgmh&#10;raHklsT0vFhb29haGUl13L+vAoUch5l5w5T7xYxiJud7ywo2SQqCuLG651ZBfanWLyB8QNY4WiYF&#10;v+Rhv3tYlVhoe+UTzefQighhX6CCLoSpkNI3HRn0iZ2Io/dtncEQpWuldniNcDPKbZo+S4M9x4UO&#10;J3rrqBnOP0ZBz1ng7XtW0fFjcHn7Ncw2q5V6elwOryACLeEe/m9/agU53K7EG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PV+wQAAANoAAAAPAAAAAAAAAAAAAAAA&#10;AKECAABkcnMvZG93bnJldi54bWxQSwUGAAAAAAQABAD5AAAAjwMAAAAA&#10;" strokecolor="black [3213]">
                  <v:stroke endarrow="open"/>
                </v:shape>
                <w10:anchorlock/>
              </v:group>
            </w:pict>
          </mc:Fallback>
        </mc:AlternateContent>
      </w:r>
    </w:p>
    <w:p w:rsidR="00D10ADF" w:rsidRPr="00AF3B0F" w:rsidRDefault="00D10ADF" w:rsidP="00D10ADF">
      <w:pPr>
        <w:pBdr>
          <w:top w:val="single" w:sz="4" w:space="10" w:color="auto"/>
          <w:left w:val="single" w:sz="4" w:space="10" w:color="auto"/>
          <w:bottom w:val="single" w:sz="4" w:space="10" w:color="auto"/>
          <w:right w:val="single" w:sz="4" w:space="10" w:color="auto"/>
        </w:pBdr>
        <w:rPr>
          <w:sz w:val="20"/>
          <w:lang w:val="en-AU" w:eastAsia="en-US"/>
        </w:rPr>
      </w:pP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A LTC is 50</w:t>
      </w:r>
      <w:r w:rsidR="00A46304">
        <w:rPr>
          <w:sz w:val="20"/>
          <w:lang w:val="en-AU" w:eastAsia="en-US"/>
        </w:rPr>
        <w:t xml:space="preserve"> percent</w:t>
      </w:r>
      <w:r>
        <w:rPr>
          <w:sz w:val="20"/>
          <w:lang w:val="en-AU" w:eastAsia="en-US"/>
        </w:rPr>
        <w:t xml:space="preserve"> owned by two shareholders</w:t>
      </w:r>
      <w:r w:rsidR="00AC055E">
        <w:rPr>
          <w:sz w:val="20"/>
          <w:lang w:val="en-AU" w:eastAsia="en-US"/>
        </w:rPr>
        <w:t xml:space="preserve"> –</w:t>
      </w:r>
      <w:r>
        <w:rPr>
          <w:sz w:val="20"/>
          <w:lang w:val="en-AU" w:eastAsia="en-US"/>
        </w:rPr>
        <w:t xml:space="preserve"> Shareholder A and Shareholder B. </w:t>
      </w:r>
      <w:r w:rsidR="00A46304">
        <w:rPr>
          <w:sz w:val="20"/>
          <w:lang w:val="en-AU" w:eastAsia="en-US"/>
        </w:rPr>
        <w:t xml:space="preserve"> </w:t>
      </w:r>
      <w:r>
        <w:rPr>
          <w:sz w:val="20"/>
          <w:lang w:val="en-AU" w:eastAsia="en-US"/>
        </w:rPr>
        <w:t>Shareholder A lends $100 to the LTC.</w:t>
      </w:r>
      <w:r w:rsidR="00901F54">
        <w:rPr>
          <w:sz w:val="20"/>
          <w:lang w:val="en-AU" w:eastAsia="en-US"/>
        </w:rPr>
        <w:t xml:space="preserve"> </w:t>
      </w:r>
      <w:r w:rsidR="00A46304">
        <w:rPr>
          <w:sz w:val="20"/>
          <w:lang w:val="en-AU" w:eastAsia="en-US"/>
        </w:rPr>
        <w:t xml:space="preserve"> </w:t>
      </w:r>
      <w:r>
        <w:rPr>
          <w:sz w:val="20"/>
          <w:lang w:val="en-AU" w:eastAsia="en-US"/>
        </w:rPr>
        <w:t>Shareholder A</w:t>
      </w:r>
      <w:r w:rsidR="00901F54">
        <w:rPr>
          <w:sz w:val="20"/>
          <w:lang w:val="en-AU" w:eastAsia="en-US"/>
        </w:rPr>
        <w:t xml:space="preserve"> </w:t>
      </w:r>
      <w:r w:rsidR="001659BC">
        <w:rPr>
          <w:sz w:val="20"/>
          <w:lang w:val="en-AU" w:eastAsia="en-US"/>
        </w:rPr>
        <w:t xml:space="preserve">subsequently </w:t>
      </w:r>
      <w:r>
        <w:rPr>
          <w:sz w:val="20"/>
          <w:lang w:val="en-AU" w:eastAsia="en-US"/>
        </w:rPr>
        <w:t xml:space="preserve">remits the $100 debt it owes to the LTC. </w:t>
      </w: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 xml:space="preserve">As a result of the remission both Shareholder </w:t>
      </w:r>
      <w:proofErr w:type="gramStart"/>
      <w:r>
        <w:rPr>
          <w:sz w:val="20"/>
          <w:lang w:val="en-AU" w:eastAsia="en-US"/>
        </w:rPr>
        <w:t>A</w:t>
      </w:r>
      <w:proofErr w:type="gramEnd"/>
      <w:r>
        <w:rPr>
          <w:sz w:val="20"/>
          <w:lang w:val="en-AU" w:eastAsia="en-US"/>
        </w:rPr>
        <w:t xml:space="preserve"> and the LTC need to make a base price adjustment</w:t>
      </w:r>
      <w:r w:rsidR="00571D44">
        <w:rPr>
          <w:sz w:val="20"/>
          <w:lang w:val="en-AU" w:eastAsia="en-US"/>
        </w:rPr>
        <w:t xml:space="preserve"> (BPA)</w:t>
      </w:r>
      <w:r>
        <w:rPr>
          <w:sz w:val="20"/>
          <w:lang w:val="en-AU" w:eastAsia="en-US"/>
        </w:rPr>
        <w:t>.</w:t>
      </w: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p>
    <w:p w:rsidR="000E75F4" w:rsidRPr="009119E0" w:rsidRDefault="000E75F4" w:rsidP="00D10ADF">
      <w:pPr>
        <w:pBdr>
          <w:top w:val="single" w:sz="4" w:space="10" w:color="auto"/>
          <w:left w:val="single" w:sz="4" w:space="10" w:color="auto"/>
          <w:bottom w:val="single" w:sz="4" w:space="10" w:color="auto"/>
          <w:right w:val="single" w:sz="4" w:space="10" w:color="auto"/>
        </w:pBdr>
        <w:rPr>
          <w:b/>
          <w:i/>
          <w:sz w:val="20"/>
          <w:lang w:val="en-AU" w:eastAsia="en-US"/>
        </w:rPr>
      </w:pPr>
      <w:r w:rsidRPr="009119E0">
        <w:rPr>
          <w:b/>
          <w:i/>
          <w:sz w:val="20"/>
          <w:lang w:val="en-AU" w:eastAsia="en-US"/>
        </w:rPr>
        <w:t>LTC’s base price adjustment</w:t>
      </w: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p>
    <w:p w:rsidR="00235351" w:rsidRDefault="00235351" w:rsidP="00D10ADF">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The base price adjustment formula is:</w:t>
      </w:r>
    </w:p>
    <w:p w:rsidR="00235351" w:rsidRDefault="00235351" w:rsidP="00D10ADF">
      <w:pPr>
        <w:pBdr>
          <w:top w:val="single" w:sz="4" w:space="10" w:color="auto"/>
          <w:left w:val="single" w:sz="4" w:space="10" w:color="auto"/>
          <w:bottom w:val="single" w:sz="4" w:space="10" w:color="auto"/>
          <w:right w:val="single" w:sz="4" w:space="10" w:color="auto"/>
        </w:pBdr>
        <w:rPr>
          <w:sz w:val="20"/>
          <w:lang w:val="en-AU" w:eastAsia="en-US"/>
        </w:rPr>
      </w:pPr>
    </w:p>
    <w:p w:rsidR="000E75F4" w:rsidRPr="00235351" w:rsidRDefault="000E75F4" w:rsidP="00235351">
      <w:pPr>
        <w:pBdr>
          <w:top w:val="single" w:sz="4" w:space="10" w:color="auto"/>
          <w:left w:val="single" w:sz="4" w:space="10" w:color="auto"/>
          <w:bottom w:val="single" w:sz="4" w:space="10" w:color="auto"/>
          <w:right w:val="single" w:sz="4" w:space="10" w:color="auto"/>
        </w:pBdr>
        <w:jc w:val="center"/>
        <w:rPr>
          <w:i/>
          <w:sz w:val="20"/>
          <w:lang w:val="en-AU" w:eastAsia="en-US"/>
        </w:rPr>
      </w:pPr>
      <w:r w:rsidRPr="00235351">
        <w:rPr>
          <w:i/>
          <w:sz w:val="20"/>
          <w:lang w:val="en-AU" w:eastAsia="en-US"/>
        </w:rPr>
        <w:t>Consid</w:t>
      </w:r>
      <w:r w:rsidR="00231206">
        <w:rPr>
          <w:i/>
          <w:sz w:val="20"/>
          <w:lang w:val="en-AU" w:eastAsia="en-US"/>
        </w:rPr>
        <w:t xml:space="preserve">eration in – consideration out </w:t>
      </w:r>
      <w:r w:rsidRPr="00235351">
        <w:rPr>
          <w:i/>
          <w:sz w:val="20"/>
          <w:lang w:val="en-AU" w:eastAsia="en-US"/>
        </w:rPr>
        <w:t>– income + expenditure + amount remitted</w:t>
      </w: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 xml:space="preserve">The LTC has received $100 in consideration and as a result </w:t>
      </w:r>
      <w:r w:rsidR="00EA6BA6">
        <w:rPr>
          <w:sz w:val="20"/>
          <w:lang w:val="en-AU" w:eastAsia="en-US"/>
        </w:rPr>
        <w:t>its</w:t>
      </w:r>
      <w:r>
        <w:rPr>
          <w:sz w:val="20"/>
          <w:lang w:val="en-AU" w:eastAsia="en-US"/>
        </w:rPr>
        <w:t xml:space="preserve"> BPA is a positive amount of $100.</w:t>
      </w: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p>
    <w:p w:rsidR="00B27D4A" w:rsidRDefault="009119E0" w:rsidP="00D10ADF">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This $100</w:t>
      </w:r>
      <w:r w:rsidR="000E75F4">
        <w:rPr>
          <w:sz w:val="20"/>
          <w:lang w:val="en-AU" w:eastAsia="en-US"/>
        </w:rPr>
        <w:t xml:space="preserve"> is attributed equally to the two shareholders under the LTC look through rules in</w:t>
      </w:r>
      <w:r w:rsidR="00A46304">
        <w:rPr>
          <w:sz w:val="20"/>
          <w:lang w:val="en-AU" w:eastAsia="en-US"/>
        </w:rPr>
        <w:t xml:space="preserve"> section</w:t>
      </w:r>
      <w:r w:rsidR="000E75F4">
        <w:rPr>
          <w:sz w:val="20"/>
          <w:lang w:val="en-AU" w:eastAsia="en-US"/>
        </w:rPr>
        <w:t xml:space="preserve"> HB 1. </w:t>
      </w:r>
      <w:r w:rsidR="00A46304">
        <w:rPr>
          <w:sz w:val="20"/>
          <w:lang w:val="en-AU" w:eastAsia="en-US"/>
        </w:rPr>
        <w:t xml:space="preserve"> </w:t>
      </w:r>
      <w:r w:rsidR="000E75F4">
        <w:rPr>
          <w:sz w:val="20"/>
          <w:lang w:val="en-AU" w:eastAsia="en-US"/>
        </w:rPr>
        <w:t>As a result, Shareholder A has income of $50 and Shareholder B has income of $50.</w:t>
      </w: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p>
    <w:p w:rsidR="000E75F4" w:rsidRPr="009119E0" w:rsidRDefault="000E75F4" w:rsidP="00D10ADF">
      <w:pPr>
        <w:pBdr>
          <w:top w:val="single" w:sz="4" w:space="10" w:color="auto"/>
          <w:left w:val="single" w:sz="4" w:space="10" w:color="auto"/>
          <w:bottom w:val="single" w:sz="4" w:space="10" w:color="auto"/>
          <w:right w:val="single" w:sz="4" w:space="10" w:color="auto"/>
        </w:pBdr>
        <w:rPr>
          <w:b/>
          <w:i/>
          <w:sz w:val="20"/>
          <w:lang w:val="en-AU" w:eastAsia="en-US"/>
        </w:rPr>
      </w:pPr>
      <w:r w:rsidRPr="009119E0">
        <w:rPr>
          <w:b/>
          <w:i/>
          <w:sz w:val="20"/>
          <w:lang w:val="en-AU" w:eastAsia="en-US"/>
        </w:rPr>
        <w:t>Shareholder A’s base price adjustment</w:t>
      </w: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p>
    <w:p w:rsidR="000E75F4" w:rsidRPr="00235351" w:rsidRDefault="000E75F4" w:rsidP="00235351">
      <w:pPr>
        <w:pBdr>
          <w:top w:val="single" w:sz="4" w:space="10" w:color="auto"/>
          <w:left w:val="single" w:sz="4" w:space="10" w:color="auto"/>
          <w:bottom w:val="single" w:sz="4" w:space="10" w:color="auto"/>
          <w:right w:val="single" w:sz="4" w:space="10" w:color="auto"/>
        </w:pBdr>
        <w:jc w:val="center"/>
        <w:rPr>
          <w:i/>
          <w:sz w:val="20"/>
          <w:lang w:val="en-AU" w:eastAsia="en-US"/>
        </w:rPr>
      </w:pPr>
      <w:r w:rsidRPr="00235351">
        <w:rPr>
          <w:i/>
          <w:sz w:val="20"/>
          <w:lang w:val="en-AU" w:eastAsia="en-US"/>
        </w:rPr>
        <w:t>Consid</w:t>
      </w:r>
      <w:r w:rsidR="00231206">
        <w:rPr>
          <w:i/>
          <w:sz w:val="20"/>
          <w:lang w:val="en-AU" w:eastAsia="en-US"/>
        </w:rPr>
        <w:t>eration in – consideration out</w:t>
      </w:r>
      <w:r w:rsidRPr="00235351">
        <w:rPr>
          <w:i/>
          <w:sz w:val="20"/>
          <w:lang w:val="en-AU" w:eastAsia="en-US"/>
        </w:rPr>
        <w:t xml:space="preserve"> – income + expenditure + amount remitted</w:t>
      </w: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Shareholder A has paid out consideration of $100 and has made a debt remission of $100.</w:t>
      </w:r>
      <w:r w:rsidR="00A46304">
        <w:rPr>
          <w:sz w:val="20"/>
          <w:lang w:val="en-AU" w:eastAsia="en-US"/>
        </w:rPr>
        <w:t xml:space="preserve"> </w:t>
      </w:r>
      <w:r>
        <w:rPr>
          <w:sz w:val="20"/>
          <w:lang w:val="en-AU" w:eastAsia="en-US"/>
        </w:rPr>
        <w:t xml:space="preserve"> However, $50 of this debt remission is a “self-remission” under the amendments to </w:t>
      </w:r>
      <w:r w:rsidR="00A46304">
        <w:rPr>
          <w:sz w:val="20"/>
          <w:lang w:val="en-AU" w:eastAsia="en-US"/>
        </w:rPr>
        <w:t xml:space="preserve">section </w:t>
      </w:r>
      <w:r>
        <w:rPr>
          <w:sz w:val="20"/>
          <w:lang w:val="en-AU" w:eastAsia="en-US"/>
        </w:rPr>
        <w:t xml:space="preserve">EW 31 as they are also liable as a debtor in </w:t>
      </w:r>
      <w:r w:rsidR="00EA6BA6">
        <w:rPr>
          <w:sz w:val="20"/>
          <w:lang w:val="en-AU" w:eastAsia="en-US"/>
        </w:rPr>
        <w:t>their capacity as an owner of a</w:t>
      </w:r>
      <w:r>
        <w:rPr>
          <w:sz w:val="20"/>
          <w:lang w:val="en-AU" w:eastAsia="en-US"/>
        </w:rPr>
        <w:t xml:space="preserve"> LTC. </w:t>
      </w: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As a result, Shareholder A has a negative base price adjustment of $50.</w:t>
      </w: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p>
    <w:p w:rsidR="000E75F4" w:rsidRDefault="000E75F4" w:rsidP="00D10ADF">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 xml:space="preserve">Shareholder A is entitled to a deduction for this negative base price adjustment under section DB 11(1B) </w:t>
      </w:r>
      <w:r w:rsidR="0040491E">
        <w:rPr>
          <w:sz w:val="20"/>
          <w:lang w:val="en-AU" w:eastAsia="en-US"/>
        </w:rPr>
        <w:t>up to the amount of the self-remission ($50).</w:t>
      </w:r>
    </w:p>
    <w:p w:rsidR="0040491E" w:rsidRDefault="0040491E" w:rsidP="00D10ADF">
      <w:pPr>
        <w:pBdr>
          <w:top w:val="single" w:sz="4" w:space="10" w:color="auto"/>
          <w:left w:val="single" w:sz="4" w:space="10" w:color="auto"/>
          <w:bottom w:val="single" w:sz="4" w:space="10" w:color="auto"/>
          <w:right w:val="single" w:sz="4" w:space="10" w:color="auto"/>
        </w:pBdr>
        <w:rPr>
          <w:sz w:val="20"/>
          <w:lang w:val="en-AU" w:eastAsia="en-US"/>
        </w:rPr>
      </w:pPr>
    </w:p>
    <w:p w:rsidR="0040491E" w:rsidRDefault="0040491E" w:rsidP="00D10ADF">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As a result, Shareholder A has income of $50 attributed from the LTC and a deduction of $50 and as a result has no net income</w:t>
      </w:r>
      <w:r w:rsidR="00B159AB">
        <w:rPr>
          <w:sz w:val="20"/>
          <w:lang w:val="en-AU" w:eastAsia="en-US"/>
        </w:rPr>
        <w:t xml:space="preserve"> from the remission</w:t>
      </w:r>
      <w:r>
        <w:rPr>
          <w:sz w:val="20"/>
          <w:lang w:val="en-AU" w:eastAsia="en-US"/>
        </w:rPr>
        <w:t xml:space="preserve">. </w:t>
      </w:r>
      <w:r w:rsidR="00A46304">
        <w:rPr>
          <w:sz w:val="20"/>
          <w:lang w:val="en-AU" w:eastAsia="en-US"/>
        </w:rPr>
        <w:t xml:space="preserve"> </w:t>
      </w:r>
      <w:r>
        <w:rPr>
          <w:sz w:val="20"/>
          <w:lang w:val="en-AU" w:eastAsia="en-US"/>
        </w:rPr>
        <w:t>Shareholder B has income of $50 attributed from the LTC.</w:t>
      </w:r>
    </w:p>
    <w:p w:rsidR="00D10ADF" w:rsidRDefault="00D10ADF" w:rsidP="00D10ADF">
      <w:pPr>
        <w:rPr>
          <w:lang w:val="en-AU" w:eastAsia="en-US"/>
        </w:rPr>
      </w:pPr>
    </w:p>
    <w:p w:rsidR="00B27D4A" w:rsidRDefault="00B27D4A" w:rsidP="00D10ADF">
      <w:pPr>
        <w:rPr>
          <w:lang w:val="en-AU" w:eastAsia="en-US"/>
        </w:rPr>
      </w:pPr>
    </w:p>
    <w:p w:rsidR="004C49CC" w:rsidRDefault="004C49CC" w:rsidP="00D10ADF">
      <w:pPr>
        <w:rPr>
          <w:lang w:val="en-AU" w:eastAsia="en-US"/>
        </w:rPr>
      </w:pPr>
      <w:r>
        <w:rPr>
          <w:lang w:val="en-AU" w:eastAsia="en-US"/>
        </w:rPr>
        <w:t xml:space="preserve">An amendment has been made to section EW 8 to allow taxpayers to treat arrangements that are excepted financial arrangements under </w:t>
      </w:r>
      <w:r w:rsidR="00B27D4A">
        <w:rPr>
          <w:lang w:val="en-AU" w:eastAsia="en-US"/>
        </w:rPr>
        <w:t xml:space="preserve">section </w:t>
      </w:r>
      <w:r>
        <w:rPr>
          <w:lang w:val="en-AU" w:eastAsia="en-US"/>
        </w:rPr>
        <w:t>EW 5(10) as financial arrangements</w:t>
      </w:r>
      <w:r w:rsidR="009E7CD7">
        <w:rPr>
          <w:lang w:val="en-AU" w:eastAsia="en-US"/>
        </w:rPr>
        <w:t>.  T</w:t>
      </w:r>
      <w:r w:rsidR="00194170">
        <w:rPr>
          <w:lang w:val="en-AU" w:eastAsia="en-US"/>
        </w:rPr>
        <w:t>his applies to persons who have made an interest-free loan in New Zealand currency that is repayable on demand</w:t>
      </w:r>
      <w:r w:rsidR="009E7CD7">
        <w:rPr>
          <w:lang w:val="en-AU" w:eastAsia="en-US"/>
        </w:rPr>
        <w:t>.  T</w:t>
      </w:r>
      <w:r w:rsidR="00194170">
        <w:rPr>
          <w:lang w:val="en-AU" w:eastAsia="en-US"/>
        </w:rPr>
        <w:t xml:space="preserve">he ability to treat the loan as a financial arrangement enables </w:t>
      </w:r>
      <w:r w:rsidR="00CF2A7A">
        <w:rPr>
          <w:lang w:val="en-AU" w:eastAsia="en-US"/>
        </w:rPr>
        <w:t xml:space="preserve">a person who loans money to a LTC to get the benefit of the self-remission amendments when it would ordinarily be </w:t>
      </w:r>
      <w:r w:rsidR="00F57E5E">
        <w:rPr>
          <w:lang w:val="en-AU" w:eastAsia="en-US"/>
        </w:rPr>
        <w:t>unavailable due to the loan being an excepted</w:t>
      </w:r>
      <w:r w:rsidR="00F96CC0">
        <w:rPr>
          <w:lang w:val="en-AU" w:eastAsia="en-US"/>
        </w:rPr>
        <w:t xml:space="preserve"> financial arrangement</w:t>
      </w:r>
      <w:r w:rsidR="00F57E5E">
        <w:rPr>
          <w:lang w:val="en-AU" w:eastAsia="en-US"/>
        </w:rPr>
        <w:t xml:space="preserve"> under</w:t>
      </w:r>
      <w:r w:rsidR="00CF2A7A">
        <w:rPr>
          <w:lang w:val="en-AU" w:eastAsia="en-US"/>
        </w:rPr>
        <w:t xml:space="preserve"> </w:t>
      </w:r>
      <w:r w:rsidR="00B27D4A">
        <w:rPr>
          <w:lang w:val="en-AU" w:eastAsia="en-US"/>
        </w:rPr>
        <w:t xml:space="preserve">section </w:t>
      </w:r>
      <w:r w:rsidR="00CF2A7A">
        <w:rPr>
          <w:lang w:val="en-AU" w:eastAsia="en-US"/>
        </w:rPr>
        <w:t>EW 5(10)</w:t>
      </w:r>
      <w:r w:rsidR="00194170">
        <w:rPr>
          <w:lang w:val="en-AU" w:eastAsia="en-US"/>
        </w:rPr>
        <w:t>.</w:t>
      </w:r>
    </w:p>
    <w:p w:rsidR="00EA65AF" w:rsidRDefault="00EA65AF" w:rsidP="00D10ADF">
      <w:pPr>
        <w:rPr>
          <w:lang w:val="en-AU" w:eastAsia="en-US"/>
        </w:rPr>
      </w:pPr>
    </w:p>
    <w:p w:rsidR="00B27D4A" w:rsidRDefault="00B27D4A">
      <w:pPr>
        <w:jc w:val="left"/>
        <w:rPr>
          <w:b/>
          <w:i/>
        </w:rPr>
      </w:pPr>
      <w:r>
        <w:br w:type="page"/>
      </w:r>
    </w:p>
    <w:p w:rsidR="002C42BA" w:rsidRDefault="002C42BA" w:rsidP="00B27D4A">
      <w:pPr>
        <w:pStyle w:val="Heading3"/>
        <w:rPr>
          <w:lang w:val="en-AU" w:eastAsia="en-US"/>
        </w:rPr>
      </w:pPr>
      <w:r>
        <w:t>Disposals of financial arrangements</w:t>
      </w:r>
    </w:p>
    <w:p w:rsidR="002C42BA" w:rsidRDefault="002C42BA" w:rsidP="00D10ADF">
      <w:pPr>
        <w:rPr>
          <w:lang w:val="en-AU" w:eastAsia="en-US"/>
        </w:rPr>
      </w:pPr>
    </w:p>
    <w:p w:rsidR="0070307B" w:rsidRDefault="002C42BA" w:rsidP="00D10ADF">
      <w:pPr>
        <w:rPr>
          <w:lang w:val="en-AU" w:eastAsia="en-US"/>
        </w:rPr>
      </w:pPr>
      <w:r>
        <w:rPr>
          <w:lang w:val="en-AU" w:eastAsia="en-US"/>
        </w:rPr>
        <w:t xml:space="preserve">An equivalent amendment has been made to </w:t>
      </w:r>
      <w:r w:rsidR="00A46304">
        <w:rPr>
          <w:lang w:val="en-AU" w:eastAsia="en-US"/>
        </w:rPr>
        <w:t xml:space="preserve">section </w:t>
      </w:r>
      <w:r>
        <w:rPr>
          <w:lang w:val="en-AU" w:eastAsia="en-US"/>
        </w:rPr>
        <w:t>EW 39 to ensure that the same result is a</w:t>
      </w:r>
      <w:r w:rsidR="0078137D">
        <w:rPr>
          <w:lang w:val="en-AU" w:eastAsia="en-US"/>
        </w:rPr>
        <w:t>chieved in circumstances when a</w:t>
      </w:r>
      <w:r>
        <w:rPr>
          <w:lang w:val="en-AU" w:eastAsia="en-US"/>
        </w:rPr>
        <w:t xml:space="preserve"> LTC owner or </w:t>
      </w:r>
      <w:proofErr w:type="gramStart"/>
      <w:r>
        <w:rPr>
          <w:lang w:val="en-AU" w:eastAsia="en-US"/>
        </w:rPr>
        <w:t>a partner in a part</w:t>
      </w:r>
      <w:r w:rsidR="0070307B">
        <w:rPr>
          <w:lang w:val="en-AU" w:eastAsia="en-US"/>
        </w:rPr>
        <w:t>nership dispose</w:t>
      </w:r>
      <w:proofErr w:type="gramEnd"/>
      <w:r w:rsidR="0070307B">
        <w:rPr>
          <w:lang w:val="en-AU" w:eastAsia="en-US"/>
        </w:rPr>
        <w:t xml:space="preserve"> of the</w:t>
      </w:r>
      <w:r w:rsidR="0078137D">
        <w:rPr>
          <w:lang w:val="en-AU" w:eastAsia="en-US"/>
        </w:rPr>
        <w:t>ir</w:t>
      </w:r>
      <w:r w:rsidR="0070307B">
        <w:rPr>
          <w:lang w:val="en-AU" w:eastAsia="en-US"/>
        </w:rPr>
        <w:t xml:space="preserve"> interests in the financial arrangement.</w:t>
      </w:r>
      <w:r w:rsidR="00434170">
        <w:rPr>
          <w:lang w:val="en-AU" w:eastAsia="en-US"/>
        </w:rPr>
        <w:t xml:space="preserve"> </w:t>
      </w:r>
      <w:r w:rsidR="00A46304">
        <w:rPr>
          <w:lang w:val="en-AU" w:eastAsia="en-US"/>
        </w:rPr>
        <w:t xml:space="preserve"> </w:t>
      </w:r>
      <w:r w:rsidR="00434170">
        <w:rPr>
          <w:lang w:val="en-AU" w:eastAsia="en-US"/>
        </w:rPr>
        <w:t>For a LTC</w:t>
      </w:r>
      <w:r w:rsidR="0070307B">
        <w:rPr>
          <w:lang w:val="en-AU" w:eastAsia="en-US"/>
        </w:rPr>
        <w:t xml:space="preserve"> </w:t>
      </w:r>
      <w:r w:rsidR="00434170">
        <w:rPr>
          <w:lang w:val="en-AU" w:eastAsia="en-US"/>
        </w:rPr>
        <w:t>t</w:t>
      </w:r>
      <w:r w:rsidR="0070307B">
        <w:rPr>
          <w:lang w:val="en-AU" w:eastAsia="en-US"/>
        </w:rPr>
        <w:t xml:space="preserve">his can occur </w:t>
      </w:r>
      <w:r w:rsidR="00434170">
        <w:rPr>
          <w:lang w:val="en-AU" w:eastAsia="en-US"/>
        </w:rPr>
        <w:t xml:space="preserve">upon permanent cessation, capital reduction, or revocation of LTC status. </w:t>
      </w:r>
      <w:r w:rsidR="00A46304">
        <w:rPr>
          <w:lang w:val="en-AU" w:eastAsia="en-US"/>
        </w:rPr>
        <w:t xml:space="preserve"> </w:t>
      </w:r>
      <w:r w:rsidR="00434170">
        <w:rPr>
          <w:lang w:val="en-AU" w:eastAsia="en-US"/>
        </w:rPr>
        <w:t>For partnerships this can occur on sale of partnership interests by a partner or upon dissolution of a partnership</w:t>
      </w:r>
      <w:r w:rsidR="0070307B">
        <w:rPr>
          <w:lang w:val="en-AU" w:eastAsia="en-US"/>
        </w:rPr>
        <w:t>.</w:t>
      </w:r>
    </w:p>
    <w:p w:rsidR="0070307B" w:rsidRPr="00B27D4A" w:rsidRDefault="0070307B" w:rsidP="00D10ADF">
      <w:pPr>
        <w:rPr>
          <w:sz w:val="20"/>
          <w:szCs w:val="20"/>
          <w:lang w:val="en-AU" w:eastAsia="en-US"/>
        </w:rPr>
      </w:pPr>
    </w:p>
    <w:p w:rsidR="00B27D4A" w:rsidRPr="00B27D4A" w:rsidRDefault="00B27D4A" w:rsidP="00D10ADF">
      <w:pPr>
        <w:rPr>
          <w:sz w:val="20"/>
          <w:szCs w:val="20"/>
          <w:lang w:val="en-AU" w:eastAsia="en-US"/>
        </w:rPr>
      </w:pPr>
    </w:p>
    <w:p w:rsidR="00E53127" w:rsidRPr="000E3183" w:rsidRDefault="00E53127" w:rsidP="000E3183">
      <w:pPr>
        <w:keepNext/>
        <w:pBdr>
          <w:top w:val="single" w:sz="4" w:space="10" w:color="auto"/>
          <w:left w:val="single" w:sz="4" w:space="10" w:color="auto"/>
          <w:bottom w:val="single" w:sz="4" w:space="10" w:color="auto"/>
          <w:right w:val="single" w:sz="4" w:space="10" w:color="auto"/>
        </w:pBdr>
        <w:outlineLvl w:val="2"/>
        <w:rPr>
          <w:b/>
          <w:sz w:val="20"/>
          <w:lang w:val="en-AU" w:eastAsia="en-US"/>
        </w:rPr>
      </w:pPr>
      <w:r w:rsidRPr="008F32DC">
        <w:rPr>
          <w:b/>
          <w:sz w:val="20"/>
          <w:lang w:val="en-AU" w:eastAsia="en-US"/>
        </w:rPr>
        <w:t>Example</w:t>
      </w:r>
      <w:r>
        <w:rPr>
          <w:b/>
          <w:noProof/>
          <w:sz w:val="20"/>
        </w:rPr>
        <mc:AlternateContent>
          <mc:Choice Requires="wpc">
            <w:drawing>
              <wp:inline distT="0" distB="0" distL="0" distR="0" wp14:anchorId="44EAD1CB" wp14:editId="7F7F2AA4">
                <wp:extent cx="5398718" cy="1465545"/>
                <wp:effectExtent l="0" t="0" r="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Text Box 6"/>
                        <wps:cNvSpPr txBox="1"/>
                        <wps:spPr>
                          <a:xfrm>
                            <a:off x="1830345" y="595290"/>
                            <a:ext cx="742315" cy="202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Default="0050054A" w:rsidP="00991DAA">
                              <w:pPr>
                                <w:pStyle w:val="NormalWeb"/>
                                <w:spacing w:before="0" w:beforeAutospacing="0" w:after="0" w:afterAutospacing="0"/>
                                <w:jc w:val="both"/>
                              </w:pPr>
                              <w:r>
                                <w:rPr>
                                  <w:rFonts w:eastAsia="Times New Roman"/>
                                  <w:sz w:val="16"/>
                                  <w:szCs w:val="16"/>
                                </w:rPr>
                                <w:t>Lends $100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Text Box 11"/>
                        <wps:cNvSpPr txBox="1"/>
                        <wps:spPr>
                          <a:xfrm>
                            <a:off x="1089300" y="202860"/>
                            <a:ext cx="913765" cy="269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Default="0050054A" w:rsidP="00991DAA">
                              <w:pPr>
                                <w:pStyle w:val="NormalWeb"/>
                                <w:spacing w:before="0" w:beforeAutospacing="0" w:after="0" w:afterAutospacing="0"/>
                                <w:jc w:val="both"/>
                              </w:pPr>
                              <w:r>
                                <w:rPr>
                                  <w:rFonts w:eastAsia="Times New Roman"/>
                                  <w:color w:val="000000"/>
                                  <w:sz w:val="16"/>
                                  <w:szCs w:val="16"/>
                                </w:rPr>
                                <w:t>50% owns LTC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11"/>
                        <wps:cNvSpPr txBox="1"/>
                        <wps:spPr>
                          <a:xfrm>
                            <a:off x="3487060" y="208575"/>
                            <a:ext cx="913765" cy="269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Default="0050054A" w:rsidP="00991DAA">
                              <w:pPr>
                                <w:pStyle w:val="NormalWeb"/>
                                <w:spacing w:before="0" w:beforeAutospacing="0" w:after="0" w:afterAutospacing="0"/>
                                <w:jc w:val="both"/>
                              </w:pPr>
                              <w:r>
                                <w:rPr>
                                  <w:rFonts w:eastAsia="Times New Roman"/>
                                  <w:color w:val="000000"/>
                                  <w:sz w:val="16"/>
                                  <w:szCs w:val="16"/>
                                </w:rPr>
                                <w:t>50% owns LTC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Rectangle 54"/>
                        <wps:cNvSpPr/>
                        <wps:spPr>
                          <a:xfrm>
                            <a:off x="2346600" y="877865"/>
                            <a:ext cx="733425" cy="381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991DAA">
                              <w:pPr>
                                <w:pStyle w:val="NormalWeb"/>
                                <w:spacing w:before="0" w:beforeAutospacing="0" w:after="0" w:afterAutospacing="0"/>
                                <w:jc w:val="center"/>
                              </w:pPr>
                              <w:r>
                                <w:rPr>
                                  <w:rFonts w:eastAsia="Times New Roman"/>
                                  <w:color w:val="000000"/>
                                  <w:sz w:val="16"/>
                                  <w:szCs w:val="16"/>
                                </w:rPr>
                                <w:t>LTC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907815" y="180000"/>
                            <a:ext cx="733425" cy="273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991DAA">
                              <w:pPr>
                                <w:pStyle w:val="NormalWeb"/>
                                <w:spacing w:before="0" w:beforeAutospacing="0" w:after="0" w:afterAutospacing="0"/>
                                <w:jc w:val="center"/>
                              </w:pPr>
                              <w:r>
                                <w:rPr>
                                  <w:rFonts w:eastAsia="Times New Roman"/>
                                  <w:color w:val="000000"/>
                                  <w:sz w:val="16"/>
                                  <w:szCs w:val="16"/>
                                </w:rPr>
                                <w:t>Shareholder A</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57" name="Rectangle 57"/>
                        <wps:cNvSpPr/>
                        <wps:spPr>
                          <a:xfrm>
                            <a:off x="2791100" y="180000"/>
                            <a:ext cx="733425" cy="273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991DAA">
                              <w:pPr>
                                <w:pStyle w:val="NormalWeb"/>
                                <w:spacing w:before="0" w:beforeAutospacing="0" w:after="0" w:afterAutospacing="0"/>
                                <w:jc w:val="center"/>
                              </w:pPr>
                              <w:r>
                                <w:rPr>
                                  <w:rFonts w:eastAsia="Times New Roman"/>
                                  <w:color w:val="000000"/>
                                  <w:sz w:val="16"/>
                                  <w:szCs w:val="16"/>
                                </w:rPr>
                                <w:t>Shareholder B</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58" name="Straight Arrow Connector 58"/>
                        <wps:cNvCnPr/>
                        <wps:spPr>
                          <a:xfrm>
                            <a:off x="2274210" y="453685"/>
                            <a:ext cx="438785" cy="4241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7" o:spid="_x0000_s1062" editas="canvas" style="width:425.1pt;height:115.4pt;mso-position-horizontal-relative:char;mso-position-vertical-relative:line" coordsize="53981,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">
                <v:shape id="_x0000_s1063" type="#_x0000_t75" style="position:absolute;width:53981;height:14649;visibility:visible;mso-wrap-style:square">
                  <v:fill o:detectmouseclick="t"/>
                  <v:path o:connecttype="none"/>
                </v:shape>
                <v:shape id="Text Box 6" o:spid="_x0000_s1064" type="#_x0000_t202" style="position:absolute;left:18303;top:5952;width:7423;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w:txbxContent>
                      <w:p w:rsidR="0050054A" w:rsidRDefault="0050054A" w:rsidP="00991DAA">
                        <w:pPr>
                          <w:pStyle w:val="NormalWeb"/>
                          <w:spacing w:before="0" w:beforeAutospacing="0" w:after="0" w:afterAutospacing="0"/>
                          <w:jc w:val="both"/>
                        </w:pPr>
                        <w:r>
                          <w:rPr>
                            <w:rFonts w:eastAsia="Times New Roman"/>
                            <w:sz w:val="16"/>
                            <w:szCs w:val="16"/>
                          </w:rPr>
                          <w:t>Lends $100</w:t>
                        </w:r>
                      </w:p>
                    </w:txbxContent>
                  </v:textbox>
                </v:shape>
                <v:shape id="Text Box 11" o:spid="_x0000_s1065" type="#_x0000_t202" style="position:absolute;left:10893;top:2028;width:9137;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50054A" w:rsidRDefault="0050054A" w:rsidP="00991DAA">
                        <w:pPr>
                          <w:pStyle w:val="NormalWeb"/>
                          <w:spacing w:before="0" w:beforeAutospacing="0" w:after="0" w:afterAutospacing="0"/>
                          <w:jc w:val="both"/>
                        </w:pPr>
                        <w:r>
                          <w:rPr>
                            <w:rFonts w:eastAsia="Times New Roman"/>
                            <w:color w:val="000000"/>
                            <w:sz w:val="16"/>
                            <w:szCs w:val="16"/>
                          </w:rPr>
                          <w:t>50% owns LTC</w:t>
                        </w:r>
                      </w:p>
                    </w:txbxContent>
                  </v:textbox>
                </v:shape>
                <v:shape id="Text Box 11" o:spid="_x0000_s1066" type="#_x0000_t202" style="position:absolute;left:34870;top:2085;width:9138;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rsidR="0050054A" w:rsidRDefault="0050054A" w:rsidP="00991DAA">
                        <w:pPr>
                          <w:pStyle w:val="NormalWeb"/>
                          <w:spacing w:before="0" w:beforeAutospacing="0" w:after="0" w:afterAutospacing="0"/>
                          <w:jc w:val="both"/>
                        </w:pPr>
                        <w:r>
                          <w:rPr>
                            <w:rFonts w:eastAsia="Times New Roman"/>
                            <w:color w:val="000000"/>
                            <w:sz w:val="16"/>
                            <w:szCs w:val="16"/>
                          </w:rPr>
                          <w:t>50% owns LTC</w:t>
                        </w:r>
                      </w:p>
                    </w:txbxContent>
                  </v:textbox>
                </v:shape>
                <v:rect id="Rectangle 54" o:spid="_x0000_s1067" style="position:absolute;left:23466;top:8778;width:733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pVsYA&#10;AADbAAAADwAAAGRycy9kb3ducmV2LnhtbESPQWvCQBSE74X+h+UVehHdKK1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6pVsYAAADbAAAADwAAAAAAAAAAAAAAAACYAgAAZHJz&#10;L2Rvd25yZXYueG1sUEsFBgAAAAAEAAQA9QAAAIsDAAAAAA==&#10;" filled="f" strokecolor="black [3213]" strokeweight="1pt">
                  <v:textbox>
                    <w:txbxContent>
                      <w:p w:rsidR="0050054A" w:rsidRDefault="0050054A" w:rsidP="00991DAA">
                        <w:pPr>
                          <w:pStyle w:val="NormalWeb"/>
                          <w:spacing w:before="0" w:beforeAutospacing="0" w:after="0" w:afterAutospacing="0"/>
                          <w:jc w:val="center"/>
                        </w:pPr>
                        <w:r>
                          <w:rPr>
                            <w:rFonts w:eastAsia="Times New Roman"/>
                            <w:color w:val="000000"/>
                            <w:sz w:val="16"/>
                            <w:szCs w:val="16"/>
                          </w:rPr>
                          <w:t>LTC</w:t>
                        </w:r>
                      </w:p>
                    </w:txbxContent>
                  </v:textbox>
                </v:rect>
                <v:rect id="Rectangle 56" o:spid="_x0000_s1068" style="position:absolute;left:19078;top:1800;width:7334;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08cMA&#10;AADbAAAADwAAAGRycy9kb3ducmV2LnhtbESPzWrDMBCE74G+g9hCLqGWG6gJrmVTCoVeSomTQ46L&#10;tbVNrZWx5L88fRUo5DjMzDdMViymExMNrrWs4DmKQRBXVrdcKzifPp4OIJxH1thZJgUrOSjyh02G&#10;qbYzH2kqfS0ChF2KChrv+1RKVzVk0EW2Jw7ejx0M+iCHWuoB5wA3ndzHcSINthwWGuzpvaHqtxyN&#10;ArNf5vJrXC82+b7GM3fjbjKk1PZxeXsF4Wnx9/B/+1MreEng9i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508cMAAADbAAAADwAAAAAAAAAAAAAAAACYAgAAZHJzL2Rv&#10;d25yZXYueG1sUEsFBgAAAAAEAAQA9QAAAIgDAAAAAA==&#10;" filled="f" strokecolor="black [3213]" strokeweight="1pt">
                  <v:textbox inset="0,,0">
                    <w:txbxContent>
                      <w:p w:rsidR="0050054A" w:rsidRDefault="0050054A" w:rsidP="00991DAA">
                        <w:pPr>
                          <w:pStyle w:val="NormalWeb"/>
                          <w:spacing w:before="0" w:beforeAutospacing="0" w:after="0" w:afterAutospacing="0"/>
                          <w:jc w:val="center"/>
                        </w:pPr>
                        <w:r>
                          <w:rPr>
                            <w:rFonts w:eastAsia="Times New Roman"/>
                            <w:color w:val="000000"/>
                            <w:sz w:val="16"/>
                            <w:szCs w:val="16"/>
                          </w:rPr>
                          <w:t>Shareholder A</w:t>
                        </w:r>
                      </w:p>
                    </w:txbxContent>
                  </v:textbox>
                </v:rect>
                <v:rect id="Rectangle 57" o:spid="_x0000_s1069" style="position:absolute;left:27911;top:1800;width:7334;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LRasQA&#10;AADbAAAADwAAAGRycy9kb3ducmV2LnhtbESPQWvCQBSE7wX/w/IEL0U3FRoluooUBC+lNO3B4yP7&#10;TILZtyG7ySb++m6h0OMwM98w++NoGjFQ52rLCl5WCQjiwuqaSwXfX+flFoTzyBoby6RgIgfHw+xp&#10;j5m2gT9pyH0pIoRdhgoq79tMSldUZNCtbEscvZvtDPoou1LqDkOEm0aukySVBmuOCxW29FZRcc97&#10;o8Csx5C/99PVph+PJHDTPw+GlFrMx9MOhKfR/4f/2het4HUDv1/iD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0WrEAAAA2wAAAA8AAAAAAAAAAAAAAAAAmAIAAGRycy9k&#10;b3ducmV2LnhtbFBLBQYAAAAABAAEAPUAAACJAwAAAAA=&#10;" filled="f" strokecolor="black [3213]" strokeweight="1pt">
                  <v:textbox inset="0,,0">
                    <w:txbxContent>
                      <w:p w:rsidR="0050054A" w:rsidRDefault="0050054A" w:rsidP="00991DAA">
                        <w:pPr>
                          <w:pStyle w:val="NormalWeb"/>
                          <w:spacing w:before="0" w:beforeAutospacing="0" w:after="0" w:afterAutospacing="0"/>
                          <w:jc w:val="center"/>
                        </w:pPr>
                        <w:r>
                          <w:rPr>
                            <w:rFonts w:eastAsia="Times New Roman"/>
                            <w:color w:val="000000"/>
                            <w:sz w:val="16"/>
                            <w:szCs w:val="16"/>
                          </w:rPr>
                          <w:t>Shareholder B</w:t>
                        </w:r>
                      </w:p>
                    </w:txbxContent>
                  </v:textbox>
                </v:rect>
                <v:shape id="Straight Arrow Connector 58" o:spid="_x0000_s1070" type="#_x0000_t32" style="position:absolute;left:22742;top:4536;width:4387;height:4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Grar8AAADbAAAADwAAAGRycy9kb3ducmV2LnhtbERPyWrDMBC9F/oPYgq5NXJt0hQ3iilN&#10;DCG3LPQ8WFPb2BoZSbWdv48OgR4fb98Us+nFSM63lhW8LRMQxJXVLdcKrpfy9QOED8gae8uk4EYe&#10;iu3z0wZzbSc+0XgOtYgh7HNU0IQw5FL6qiGDfmkH4sj9WmcwROhqqR1OMdz0Mk2Sd2mw5djQ4EDf&#10;DVXd+c8oaDkLnO6yko77zq3rn2602VWpxcv89Qki0Bz+xQ/3QStYxbH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0Grar8AAADbAAAADwAAAAAAAAAAAAAAAACh&#10;AgAAZHJzL2Rvd25yZXYueG1sUEsFBgAAAAAEAAQA+QAAAI0DAAAAAA==&#10;" strokecolor="black [3213]">
                  <v:stroke endarrow="open"/>
                </v:shape>
                <w10:anchorlock/>
              </v:group>
            </w:pict>
          </mc:Fallback>
        </mc:AlternateContent>
      </w:r>
    </w:p>
    <w:p w:rsidR="00991DAA" w:rsidRDefault="00991DAA" w:rsidP="00991DAA">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A LTC is 50</w:t>
      </w:r>
      <w:r w:rsidR="00AC055E">
        <w:rPr>
          <w:sz w:val="20"/>
          <w:lang w:val="en-AU" w:eastAsia="en-US"/>
        </w:rPr>
        <w:t xml:space="preserve"> percent</w:t>
      </w:r>
      <w:r>
        <w:rPr>
          <w:sz w:val="20"/>
          <w:lang w:val="en-AU" w:eastAsia="en-US"/>
        </w:rPr>
        <w:t xml:space="preserve"> owned by two shareholders</w:t>
      </w:r>
      <w:r w:rsidR="00AC055E">
        <w:rPr>
          <w:sz w:val="20"/>
          <w:lang w:val="en-AU" w:eastAsia="en-US"/>
        </w:rPr>
        <w:t xml:space="preserve"> –</w:t>
      </w:r>
      <w:r>
        <w:rPr>
          <w:sz w:val="20"/>
          <w:lang w:val="en-AU" w:eastAsia="en-US"/>
        </w:rPr>
        <w:t xml:space="preserve"> Shareholder A and Shareholder B.</w:t>
      </w:r>
      <w:r w:rsidR="00AC055E">
        <w:rPr>
          <w:sz w:val="20"/>
          <w:lang w:val="en-AU" w:eastAsia="en-US"/>
        </w:rPr>
        <w:t xml:space="preserve"> </w:t>
      </w:r>
      <w:r>
        <w:rPr>
          <w:sz w:val="20"/>
          <w:lang w:val="en-AU" w:eastAsia="en-US"/>
        </w:rPr>
        <w:t xml:space="preserve"> Shareh</w:t>
      </w:r>
      <w:r w:rsidR="007B2E4A">
        <w:rPr>
          <w:sz w:val="20"/>
          <w:lang w:val="en-AU" w:eastAsia="en-US"/>
        </w:rPr>
        <w:t>older A lends $100 to the LTC.</w:t>
      </w:r>
    </w:p>
    <w:p w:rsidR="00991DAA" w:rsidRDefault="00991DAA" w:rsidP="00991DAA">
      <w:pPr>
        <w:pBdr>
          <w:top w:val="single" w:sz="4" w:space="10" w:color="auto"/>
          <w:left w:val="single" w:sz="4" w:space="10" w:color="auto"/>
          <w:bottom w:val="single" w:sz="4" w:space="10" w:color="auto"/>
          <w:right w:val="single" w:sz="4" w:space="10" w:color="auto"/>
        </w:pBdr>
        <w:rPr>
          <w:sz w:val="20"/>
          <w:lang w:val="en-AU" w:eastAsia="en-US"/>
        </w:rPr>
      </w:pPr>
    </w:p>
    <w:p w:rsidR="00991DAA" w:rsidRDefault="00991DAA" w:rsidP="00991DAA">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The LTC</w:t>
      </w:r>
      <w:r w:rsidR="002057B5">
        <w:rPr>
          <w:sz w:val="20"/>
          <w:lang w:val="en-AU" w:eastAsia="en-US"/>
        </w:rPr>
        <w:t xml:space="preserve"> </w:t>
      </w:r>
      <w:r w:rsidR="00446C0B">
        <w:rPr>
          <w:sz w:val="20"/>
          <w:lang w:val="en-AU" w:eastAsia="en-US"/>
        </w:rPr>
        <w:t>becomes</w:t>
      </w:r>
      <w:r w:rsidR="002057B5">
        <w:rPr>
          <w:sz w:val="20"/>
          <w:lang w:val="en-AU" w:eastAsia="en-US"/>
        </w:rPr>
        <w:t xml:space="preserve"> insolvent and cannot repay its debts.</w:t>
      </w:r>
      <w:r w:rsidR="001659BC">
        <w:rPr>
          <w:sz w:val="20"/>
          <w:lang w:val="en-AU" w:eastAsia="en-US"/>
        </w:rPr>
        <w:t xml:space="preserve"> </w:t>
      </w:r>
      <w:r w:rsidR="009E7CD7">
        <w:rPr>
          <w:sz w:val="20"/>
          <w:lang w:val="en-AU" w:eastAsia="en-US"/>
        </w:rPr>
        <w:t xml:space="preserve"> </w:t>
      </w:r>
      <w:r w:rsidR="001659BC">
        <w:rPr>
          <w:sz w:val="20"/>
          <w:lang w:val="en-AU" w:eastAsia="en-US"/>
        </w:rPr>
        <w:t>As part of a restructure</w:t>
      </w:r>
      <w:r w:rsidR="00446C0B">
        <w:rPr>
          <w:sz w:val="20"/>
          <w:lang w:val="en-AU" w:eastAsia="en-US"/>
        </w:rPr>
        <w:t xml:space="preserve"> </w:t>
      </w:r>
      <w:r w:rsidR="001659BC">
        <w:rPr>
          <w:sz w:val="20"/>
          <w:lang w:val="en-AU" w:eastAsia="en-US"/>
        </w:rPr>
        <w:t>t</w:t>
      </w:r>
      <w:r w:rsidR="00446C0B">
        <w:rPr>
          <w:sz w:val="20"/>
          <w:lang w:val="en-AU" w:eastAsia="en-US"/>
        </w:rPr>
        <w:t>he shareholder</w:t>
      </w:r>
      <w:r w:rsidR="000510A9">
        <w:rPr>
          <w:sz w:val="20"/>
          <w:lang w:val="en-AU" w:eastAsia="en-US"/>
        </w:rPr>
        <w:t>s</w:t>
      </w:r>
      <w:r w:rsidR="00446C0B">
        <w:rPr>
          <w:sz w:val="20"/>
          <w:lang w:val="en-AU" w:eastAsia="en-US"/>
        </w:rPr>
        <w:t xml:space="preserve"> decide to convert the</w:t>
      </w:r>
      <w:r w:rsidR="002057B5">
        <w:rPr>
          <w:sz w:val="20"/>
          <w:lang w:val="en-AU" w:eastAsia="en-US"/>
        </w:rPr>
        <w:t xml:space="preserve"> LTC</w:t>
      </w:r>
      <w:r>
        <w:rPr>
          <w:sz w:val="20"/>
          <w:lang w:val="en-AU" w:eastAsia="en-US"/>
        </w:rPr>
        <w:t xml:space="preserve"> </w:t>
      </w:r>
      <w:r w:rsidR="002057B5">
        <w:rPr>
          <w:sz w:val="20"/>
          <w:lang w:val="en-AU" w:eastAsia="en-US"/>
        </w:rPr>
        <w:t>to an ordinary company</w:t>
      </w:r>
      <w:r w:rsidR="00446C0B">
        <w:rPr>
          <w:sz w:val="20"/>
          <w:lang w:val="en-AU" w:eastAsia="en-US"/>
        </w:rPr>
        <w:t xml:space="preserve"> and</w:t>
      </w:r>
      <w:r>
        <w:rPr>
          <w:sz w:val="20"/>
          <w:lang w:val="en-AU" w:eastAsia="en-US"/>
        </w:rPr>
        <w:t xml:space="preserve"> </w:t>
      </w:r>
      <w:r w:rsidR="00446C0B">
        <w:rPr>
          <w:sz w:val="20"/>
          <w:lang w:val="en-AU" w:eastAsia="en-US"/>
        </w:rPr>
        <w:t>a</w:t>
      </w:r>
      <w:r>
        <w:rPr>
          <w:sz w:val="20"/>
          <w:lang w:val="en-AU" w:eastAsia="en-US"/>
        </w:rPr>
        <w:t>s a result a base price adjustment is required for both the LTC and Shareholder A.</w:t>
      </w:r>
    </w:p>
    <w:p w:rsidR="00991DAA" w:rsidRDefault="00991DAA" w:rsidP="00E53127">
      <w:pPr>
        <w:pBdr>
          <w:top w:val="single" w:sz="4" w:space="10" w:color="auto"/>
          <w:left w:val="single" w:sz="4" w:space="10" w:color="auto"/>
          <w:bottom w:val="single" w:sz="4" w:space="10" w:color="auto"/>
          <w:right w:val="single" w:sz="4" w:space="10" w:color="auto"/>
        </w:pBdr>
        <w:rPr>
          <w:sz w:val="20"/>
          <w:lang w:val="en-AU" w:eastAsia="en-US"/>
        </w:rPr>
      </w:pPr>
    </w:p>
    <w:p w:rsidR="00991DAA" w:rsidRPr="00446C0B" w:rsidRDefault="00991DAA" w:rsidP="00E53127">
      <w:pPr>
        <w:pBdr>
          <w:top w:val="single" w:sz="4" w:space="10" w:color="auto"/>
          <w:left w:val="single" w:sz="4" w:space="10" w:color="auto"/>
          <w:bottom w:val="single" w:sz="4" w:space="10" w:color="auto"/>
          <w:right w:val="single" w:sz="4" w:space="10" w:color="auto"/>
        </w:pBdr>
        <w:rPr>
          <w:b/>
          <w:i/>
          <w:sz w:val="20"/>
          <w:lang w:val="en-AU" w:eastAsia="en-US"/>
        </w:rPr>
      </w:pPr>
      <w:r w:rsidRPr="00446C0B">
        <w:rPr>
          <w:b/>
          <w:i/>
          <w:sz w:val="20"/>
          <w:lang w:val="en-AU" w:eastAsia="en-US"/>
        </w:rPr>
        <w:t>Base price adjustment for LTC</w:t>
      </w:r>
    </w:p>
    <w:p w:rsidR="00991DAA" w:rsidRDefault="00991DAA" w:rsidP="00E53127">
      <w:pPr>
        <w:pBdr>
          <w:top w:val="single" w:sz="4" w:space="10" w:color="auto"/>
          <w:left w:val="single" w:sz="4" w:space="10" w:color="auto"/>
          <w:bottom w:val="single" w:sz="4" w:space="10" w:color="auto"/>
          <w:right w:val="single" w:sz="4" w:space="10" w:color="auto"/>
        </w:pBdr>
        <w:rPr>
          <w:sz w:val="20"/>
          <w:lang w:val="en-AU" w:eastAsia="en-US"/>
        </w:rPr>
      </w:pPr>
    </w:p>
    <w:p w:rsidR="00991DAA" w:rsidRDefault="00FC7378" w:rsidP="00E53127">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 xml:space="preserve">Similar to </w:t>
      </w:r>
      <w:r w:rsidR="003746CE">
        <w:rPr>
          <w:sz w:val="20"/>
          <w:lang w:val="en-AU" w:eastAsia="en-US"/>
        </w:rPr>
        <w:t xml:space="preserve">the previous </w:t>
      </w:r>
      <w:r w:rsidR="00991DAA">
        <w:rPr>
          <w:sz w:val="20"/>
          <w:lang w:val="en-AU" w:eastAsia="en-US"/>
        </w:rPr>
        <w:t>example, the LTC has income of $100 which is attributed equally to Shareholder A and Shareholder B.</w:t>
      </w:r>
    </w:p>
    <w:p w:rsidR="00991DAA" w:rsidRDefault="00991DAA" w:rsidP="00E53127">
      <w:pPr>
        <w:pBdr>
          <w:top w:val="single" w:sz="4" w:space="10" w:color="auto"/>
          <w:left w:val="single" w:sz="4" w:space="10" w:color="auto"/>
          <w:bottom w:val="single" w:sz="4" w:space="10" w:color="auto"/>
          <w:right w:val="single" w:sz="4" w:space="10" w:color="auto"/>
        </w:pBdr>
        <w:rPr>
          <w:sz w:val="20"/>
          <w:lang w:val="en-AU" w:eastAsia="en-US"/>
        </w:rPr>
      </w:pPr>
    </w:p>
    <w:p w:rsidR="00991DAA" w:rsidRPr="00446C0B" w:rsidRDefault="00991DAA" w:rsidP="00E53127">
      <w:pPr>
        <w:pBdr>
          <w:top w:val="single" w:sz="4" w:space="10" w:color="auto"/>
          <w:left w:val="single" w:sz="4" w:space="10" w:color="auto"/>
          <w:bottom w:val="single" w:sz="4" w:space="10" w:color="auto"/>
          <w:right w:val="single" w:sz="4" w:space="10" w:color="auto"/>
        </w:pBdr>
        <w:rPr>
          <w:b/>
          <w:i/>
          <w:sz w:val="20"/>
          <w:lang w:val="en-AU" w:eastAsia="en-US"/>
        </w:rPr>
      </w:pPr>
      <w:r w:rsidRPr="00446C0B">
        <w:rPr>
          <w:b/>
          <w:i/>
          <w:sz w:val="20"/>
          <w:lang w:val="en-AU" w:eastAsia="en-US"/>
        </w:rPr>
        <w:t>Base price adjustment for</w:t>
      </w:r>
      <w:r w:rsidR="00E621B0">
        <w:rPr>
          <w:b/>
          <w:i/>
          <w:sz w:val="20"/>
          <w:lang w:val="en-AU" w:eastAsia="en-US"/>
        </w:rPr>
        <w:t xml:space="preserve"> Shareholder A</w:t>
      </w:r>
    </w:p>
    <w:p w:rsidR="002057B5" w:rsidRDefault="002057B5" w:rsidP="00E53127">
      <w:pPr>
        <w:pBdr>
          <w:top w:val="single" w:sz="4" w:space="10" w:color="auto"/>
          <w:left w:val="single" w:sz="4" w:space="10" w:color="auto"/>
          <w:bottom w:val="single" w:sz="4" w:space="10" w:color="auto"/>
          <w:right w:val="single" w:sz="4" w:space="10" w:color="auto"/>
        </w:pBdr>
        <w:rPr>
          <w:sz w:val="20"/>
          <w:lang w:val="en-AU" w:eastAsia="en-US"/>
        </w:rPr>
      </w:pPr>
    </w:p>
    <w:p w:rsidR="002057B5" w:rsidRPr="00892B02" w:rsidRDefault="002057B5" w:rsidP="00892B02">
      <w:pPr>
        <w:pBdr>
          <w:top w:val="single" w:sz="4" w:space="10" w:color="auto"/>
          <w:left w:val="single" w:sz="4" w:space="10" w:color="auto"/>
          <w:bottom w:val="single" w:sz="4" w:space="10" w:color="auto"/>
          <w:right w:val="single" w:sz="4" w:space="10" w:color="auto"/>
        </w:pBdr>
        <w:jc w:val="center"/>
        <w:rPr>
          <w:i/>
          <w:sz w:val="20"/>
          <w:lang w:val="en-AU" w:eastAsia="en-US"/>
        </w:rPr>
      </w:pPr>
      <w:r w:rsidRPr="00892B02">
        <w:rPr>
          <w:i/>
          <w:sz w:val="20"/>
          <w:lang w:val="en-AU" w:eastAsia="en-US"/>
        </w:rPr>
        <w:t>Consid</w:t>
      </w:r>
      <w:r w:rsidR="00FC7378">
        <w:rPr>
          <w:i/>
          <w:sz w:val="20"/>
          <w:lang w:val="en-AU" w:eastAsia="en-US"/>
        </w:rPr>
        <w:t>eration in – consideration out</w:t>
      </w:r>
      <w:r w:rsidRPr="00892B02">
        <w:rPr>
          <w:i/>
          <w:sz w:val="20"/>
          <w:lang w:val="en-AU" w:eastAsia="en-US"/>
        </w:rPr>
        <w:t xml:space="preserve"> – income + expenditure + amount remitted</w:t>
      </w:r>
    </w:p>
    <w:p w:rsidR="002057B5" w:rsidRDefault="002057B5" w:rsidP="00E53127">
      <w:pPr>
        <w:pBdr>
          <w:top w:val="single" w:sz="4" w:space="10" w:color="auto"/>
          <w:left w:val="single" w:sz="4" w:space="10" w:color="auto"/>
          <w:bottom w:val="single" w:sz="4" w:space="10" w:color="auto"/>
          <w:right w:val="single" w:sz="4" w:space="10" w:color="auto"/>
        </w:pBdr>
        <w:rPr>
          <w:sz w:val="20"/>
          <w:lang w:val="en-AU" w:eastAsia="en-US"/>
        </w:rPr>
      </w:pPr>
    </w:p>
    <w:p w:rsidR="002057B5" w:rsidRDefault="002057B5" w:rsidP="00E53127">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 xml:space="preserve">Under the old </w:t>
      </w:r>
      <w:r w:rsidR="00F54B26">
        <w:rPr>
          <w:sz w:val="20"/>
          <w:lang w:val="en-AU" w:eastAsia="en-US"/>
        </w:rPr>
        <w:t xml:space="preserve">section </w:t>
      </w:r>
      <w:r>
        <w:rPr>
          <w:sz w:val="20"/>
          <w:lang w:val="en-AU" w:eastAsia="en-US"/>
        </w:rPr>
        <w:t>EW 39, Shareholder A would be treated as having been paid the full market value of the $100 debt as if the LTC was not insolvent.</w:t>
      </w:r>
    </w:p>
    <w:p w:rsidR="002057B5" w:rsidRDefault="002057B5" w:rsidP="00E53127">
      <w:pPr>
        <w:pBdr>
          <w:top w:val="single" w:sz="4" w:space="10" w:color="auto"/>
          <w:left w:val="single" w:sz="4" w:space="10" w:color="auto"/>
          <w:bottom w:val="single" w:sz="4" w:space="10" w:color="auto"/>
          <w:right w:val="single" w:sz="4" w:space="10" w:color="auto"/>
        </w:pBdr>
        <w:rPr>
          <w:sz w:val="20"/>
          <w:lang w:val="en-AU" w:eastAsia="en-US"/>
        </w:rPr>
      </w:pPr>
    </w:p>
    <w:p w:rsidR="002057B5" w:rsidRDefault="002057B5" w:rsidP="00E53127">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 xml:space="preserve">Under the amendment to </w:t>
      </w:r>
      <w:r w:rsidR="00F54B26">
        <w:rPr>
          <w:sz w:val="20"/>
          <w:lang w:val="en-AU" w:eastAsia="en-US"/>
        </w:rPr>
        <w:t xml:space="preserve">section </w:t>
      </w:r>
      <w:r>
        <w:rPr>
          <w:sz w:val="20"/>
          <w:lang w:val="en-AU" w:eastAsia="en-US"/>
        </w:rPr>
        <w:t xml:space="preserve">EW 39, </w:t>
      </w:r>
      <w:r w:rsidR="00B450E9">
        <w:rPr>
          <w:sz w:val="20"/>
          <w:lang w:val="en-AU" w:eastAsia="en-US"/>
        </w:rPr>
        <w:t>Shareholder A may subtract the amount of “self-remission” from this market value.</w:t>
      </w:r>
      <w:r w:rsidR="00F54B26">
        <w:rPr>
          <w:sz w:val="20"/>
          <w:lang w:val="en-AU" w:eastAsia="en-US"/>
        </w:rPr>
        <w:t xml:space="preserve"> </w:t>
      </w:r>
      <w:r w:rsidR="00B450E9">
        <w:rPr>
          <w:sz w:val="20"/>
          <w:lang w:val="en-AU" w:eastAsia="en-US"/>
        </w:rPr>
        <w:t xml:space="preserve"> As a result, shareholder A is treated as having been paid $50 for the debt.</w:t>
      </w:r>
    </w:p>
    <w:p w:rsidR="00B450E9" w:rsidRDefault="00B450E9" w:rsidP="00E53127">
      <w:pPr>
        <w:pBdr>
          <w:top w:val="single" w:sz="4" w:space="10" w:color="auto"/>
          <w:left w:val="single" w:sz="4" w:space="10" w:color="auto"/>
          <w:bottom w:val="single" w:sz="4" w:space="10" w:color="auto"/>
          <w:right w:val="single" w:sz="4" w:space="10" w:color="auto"/>
        </w:pBdr>
        <w:rPr>
          <w:sz w:val="20"/>
          <w:lang w:val="en-AU" w:eastAsia="en-US"/>
        </w:rPr>
      </w:pPr>
    </w:p>
    <w:p w:rsidR="00B450E9" w:rsidRDefault="00B450E9" w:rsidP="00E53127">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As a result, Shareholder A has a negative base price adjustment of $50</w:t>
      </w:r>
      <w:r w:rsidR="00F54B26">
        <w:rPr>
          <w:sz w:val="20"/>
          <w:lang w:val="en-AU" w:eastAsia="en-US"/>
        </w:rPr>
        <w:t>,</w:t>
      </w:r>
      <w:r>
        <w:rPr>
          <w:sz w:val="20"/>
          <w:lang w:val="en-AU" w:eastAsia="en-US"/>
        </w:rPr>
        <w:t xml:space="preserve"> </w:t>
      </w:r>
      <w:r w:rsidR="00D67E07">
        <w:rPr>
          <w:sz w:val="20"/>
          <w:lang w:val="en-AU" w:eastAsia="en-US"/>
        </w:rPr>
        <w:t xml:space="preserve">which offsets the $50 of remission income so that </w:t>
      </w:r>
      <w:r w:rsidR="00F54B26">
        <w:rPr>
          <w:sz w:val="20"/>
          <w:lang w:val="en-AU" w:eastAsia="en-US"/>
        </w:rPr>
        <w:t>its</w:t>
      </w:r>
      <w:r w:rsidR="00D67E07">
        <w:rPr>
          <w:sz w:val="20"/>
          <w:lang w:val="en-AU" w:eastAsia="en-US"/>
        </w:rPr>
        <w:t xml:space="preserve"> net income is $0</w:t>
      </w:r>
      <w:r w:rsidR="00F54B26">
        <w:rPr>
          <w:sz w:val="20"/>
          <w:lang w:val="en-AU" w:eastAsia="en-US"/>
        </w:rPr>
        <w:t>.</w:t>
      </w:r>
    </w:p>
    <w:p w:rsidR="00B450E9" w:rsidRDefault="00B450E9" w:rsidP="00E53127">
      <w:pPr>
        <w:pBdr>
          <w:top w:val="single" w:sz="4" w:space="10" w:color="auto"/>
          <w:left w:val="single" w:sz="4" w:space="10" w:color="auto"/>
          <w:bottom w:val="single" w:sz="4" w:space="10" w:color="auto"/>
          <w:right w:val="single" w:sz="4" w:space="10" w:color="auto"/>
        </w:pBdr>
        <w:rPr>
          <w:sz w:val="20"/>
          <w:lang w:val="en-AU" w:eastAsia="en-US"/>
        </w:rPr>
      </w:pPr>
    </w:p>
    <w:p w:rsidR="007A5BC1" w:rsidRDefault="00B450E9" w:rsidP="00E53127">
      <w:pPr>
        <w:pBdr>
          <w:top w:val="single" w:sz="4" w:space="10" w:color="auto"/>
          <w:left w:val="single" w:sz="4" w:space="10" w:color="auto"/>
          <w:bottom w:val="single" w:sz="4" w:space="10" w:color="auto"/>
          <w:right w:val="single" w:sz="4" w:space="10" w:color="auto"/>
        </w:pBdr>
        <w:rPr>
          <w:sz w:val="20"/>
          <w:lang w:val="en-AU" w:eastAsia="en-US"/>
        </w:rPr>
      </w:pPr>
      <w:r>
        <w:rPr>
          <w:sz w:val="20"/>
          <w:lang w:val="en-AU" w:eastAsia="en-US"/>
        </w:rPr>
        <w:t>Shareholder B</w:t>
      </w:r>
      <w:r w:rsidR="00AC4552">
        <w:rPr>
          <w:sz w:val="20"/>
          <w:lang w:val="en-AU" w:eastAsia="en-US"/>
        </w:rPr>
        <w:t xml:space="preserve"> on the other hand has income of $50 from </w:t>
      </w:r>
      <w:r w:rsidR="00F54B26">
        <w:rPr>
          <w:sz w:val="20"/>
          <w:lang w:val="en-AU" w:eastAsia="en-US"/>
        </w:rPr>
        <w:t>its</w:t>
      </w:r>
      <w:r w:rsidR="00AC4552">
        <w:rPr>
          <w:sz w:val="20"/>
          <w:lang w:val="en-AU" w:eastAsia="en-US"/>
        </w:rPr>
        <w:t xml:space="preserve"> share of the remission income.</w:t>
      </w:r>
    </w:p>
    <w:p w:rsidR="002C42BA" w:rsidRPr="00B27D4A" w:rsidRDefault="002C42BA" w:rsidP="00D10ADF">
      <w:pPr>
        <w:rPr>
          <w:sz w:val="20"/>
          <w:szCs w:val="20"/>
          <w:lang w:val="en-AU" w:eastAsia="en-US"/>
        </w:rPr>
      </w:pPr>
    </w:p>
    <w:p w:rsidR="00EA65AF" w:rsidRPr="00B27D4A" w:rsidRDefault="00EA65AF" w:rsidP="00D10ADF">
      <w:pPr>
        <w:rPr>
          <w:sz w:val="20"/>
          <w:szCs w:val="20"/>
          <w:lang w:val="en-AU" w:eastAsia="en-US"/>
        </w:rPr>
      </w:pPr>
    </w:p>
    <w:p w:rsidR="009119E0" w:rsidRPr="00295A5B" w:rsidRDefault="009119E0" w:rsidP="00D10ADF">
      <w:pPr>
        <w:rPr>
          <w:b/>
          <w:i/>
        </w:rPr>
      </w:pPr>
      <w:r w:rsidRPr="00295A5B">
        <w:rPr>
          <w:b/>
          <w:i/>
        </w:rPr>
        <w:t>Market value of an owner’s interest as a debtor</w:t>
      </w:r>
    </w:p>
    <w:p w:rsidR="009119E0" w:rsidRPr="00AF3B0F" w:rsidRDefault="009119E0" w:rsidP="00D10ADF"/>
    <w:p w:rsidR="00D10ADF" w:rsidRDefault="000D1C59" w:rsidP="00D10ADF">
      <w:r>
        <w:t>An amendment to section HB 4 has been made that clarifies that</w:t>
      </w:r>
      <w:r w:rsidR="00D10ADF" w:rsidRPr="00AF3B0F">
        <w:t xml:space="preserve"> when calculating the market value of an owner’s interest as</w:t>
      </w:r>
      <w:r w:rsidR="00362F36">
        <w:t xml:space="preserve"> a</w:t>
      </w:r>
      <w:r w:rsidR="00D10ADF" w:rsidRPr="00AF3B0F">
        <w:t xml:space="preserve"> debtor in a financial arrangement, the amount of any adjustment for credit impairme</w:t>
      </w:r>
      <w:r>
        <w:t>nt must be taken into account.</w:t>
      </w:r>
      <w:r w:rsidR="00052C5D">
        <w:t xml:space="preserve"> </w:t>
      </w:r>
      <w:r w:rsidR="00362F36">
        <w:t xml:space="preserve"> </w:t>
      </w:r>
      <w:r w:rsidR="00052C5D">
        <w:t>This ensures the debt remission rules work as intended so that when a debtor sells their interest in a financial arrangement that they will not be able to repay in full, they are treated the same as if the amount they are unable to repay was remitted.</w:t>
      </w:r>
    </w:p>
    <w:p w:rsidR="00295A5B" w:rsidRDefault="00295A5B" w:rsidP="00D10ADF"/>
    <w:p w:rsidR="005B4FAE" w:rsidRDefault="005B4FAE">
      <w:pPr>
        <w:jc w:val="left"/>
        <w:rPr>
          <w:i/>
        </w:rPr>
      </w:pPr>
      <w:r>
        <w:rPr>
          <w:i/>
        </w:rPr>
        <w:br w:type="page"/>
      </w:r>
    </w:p>
    <w:p w:rsidR="00B711DB" w:rsidRPr="00B711DB" w:rsidRDefault="00B711DB" w:rsidP="00D10ADF">
      <w:pPr>
        <w:rPr>
          <w:i/>
        </w:rPr>
      </w:pPr>
      <w:r w:rsidRPr="00B711DB">
        <w:rPr>
          <w:i/>
        </w:rPr>
        <w:t>Determining the amount of credit impairment</w:t>
      </w:r>
    </w:p>
    <w:p w:rsidR="00B711DB" w:rsidRDefault="00B711DB" w:rsidP="00D10ADF"/>
    <w:p w:rsidR="00295A5B" w:rsidRDefault="00295A5B" w:rsidP="00D10ADF">
      <w:r>
        <w:t xml:space="preserve">Under the </w:t>
      </w:r>
      <w:r w:rsidR="00362F36">
        <w:t>new rules</w:t>
      </w:r>
      <w:r>
        <w:t>, debtors will not need to rely on information from the creditor to determine the amount of credit impairment.</w:t>
      </w:r>
      <w:r w:rsidR="00362F36">
        <w:t xml:space="preserve"> </w:t>
      </w:r>
      <w:r>
        <w:t xml:space="preserve"> Instead, the debtors will need to make a fair and reasonable estimate of the credit impairment based on the information they have available.</w:t>
      </w:r>
    </w:p>
    <w:p w:rsidR="00295A5B" w:rsidRDefault="00295A5B" w:rsidP="00D10ADF"/>
    <w:p w:rsidR="00295A5B" w:rsidRDefault="00295A5B" w:rsidP="00D10ADF">
      <w:r>
        <w:t>To determine the credit impairment, the key question to ask is “if the LTC was sold or liquidated, how much of the debt would be repaid to the creditor?”</w:t>
      </w:r>
      <w:r w:rsidR="00362F36">
        <w:t xml:space="preserve"> </w:t>
      </w:r>
      <w:r>
        <w:t xml:space="preserve"> In most cases, determining this would involve looking at the balance sheet of the LTC to determine the net assets of the LTC.</w:t>
      </w:r>
    </w:p>
    <w:p w:rsidR="0079532A" w:rsidRDefault="0079532A" w:rsidP="00D10ADF"/>
    <w:p w:rsidR="00EA65AF" w:rsidRDefault="00EA65AF" w:rsidP="00D10ADF"/>
    <w:p w:rsidR="00295A5B" w:rsidRDefault="00295A5B" w:rsidP="00295A5B">
      <w:pPr>
        <w:pStyle w:val="Exampleheading"/>
        <w:pBdr>
          <w:top w:val="single" w:sz="4" w:space="10" w:color="auto"/>
          <w:left w:val="single" w:sz="4" w:space="10" w:color="auto"/>
          <w:bottom w:val="single" w:sz="4" w:space="10" w:color="auto"/>
          <w:right w:val="single" w:sz="4" w:space="10" w:color="auto"/>
        </w:pBdr>
      </w:pPr>
      <w:r>
        <w:t>Example</w:t>
      </w:r>
    </w:p>
    <w:p w:rsidR="00295A5B" w:rsidRDefault="00295A5B" w:rsidP="00295A5B">
      <w:pPr>
        <w:pStyle w:val="Exampletext"/>
        <w:pBdr>
          <w:top w:val="single" w:sz="4" w:space="10" w:color="auto"/>
          <w:left w:val="single" w:sz="4" w:space="10" w:color="auto"/>
          <w:bottom w:val="single" w:sz="4" w:space="10" w:color="auto"/>
          <w:right w:val="single" w:sz="4" w:space="10" w:color="auto"/>
        </w:pBdr>
      </w:pPr>
    </w:p>
    <w:p w:rsidR="00295A5B" w:rsidRDefault="00295A5B" w:rsidP="00295A5B">
      <w:pPr>
        <w:pStyle w:val="Exampletext"/>
        <w:pBdr>
          <w:top w:val="single" w:sz="4" w:space="10" w:color="auto"/>
          <w:left w:val="single" w:sz="4" w:space="10" w:color="auto"/>
          <w:bottom w:val="single" w:sz="4" w:space="10" w:color="auto"/>
          <w:right w:val="single" w:sz="4" w:space="10" w:color="auto"/>
        </w:pBdr>
      </w:pPr>
      <w:r>
        <w:t>Tara sets up a LTC to hold a rental investment property.</w:t>
      </w:r>
      <w:r w:rsidR="00362F36">
        <w:t xml:space="preserve"> </w:t>
      </w:r>
      <w:r>
        <w:t xml:space="preserve"> The LTC gets a mortgage of $500,000 to finance the purchase of the property. </w:t>
      </w:r>
      <w:r w:rsidR="00362F36">
        <w:t xml:space="preserve"> </w:t>
      </w:r>
      <w:r w:rsidR="007E2ED4">
        <w:t>The LTC has no insurance for the property.</w:t>
      </w:r>
    </w:p>
    <w:p w:rsidR="00295A5B" w:rsidRDefault="00295A5B" w:rsidP="00295A5B">
      <w:pPr>
        <w:pStyle w:val="Exampletext"/>
        <w:pBdr>
          <w:top w:val="single" w:sz="4" w:space="10" w:color="auto"/>
          <w:left w:val="single" w:sz="4" w:space="10" w:color="auto"/>
          <w:bottom w:val="single" w:sz="4" w:space="10" w:color="auto"/>
          <w:right w:val="single" w:sz="4" w:space="10" w:color="auto"/>
        </w:pBdr>
      </w:pPr>
    </w:p>
    <w:p w:rsidR="00295A5B" w:rsidRDefault="00295A5B" w:rsidP="00295A5B">
      <w:pPr>
        <w:pStyle w:val="Exampletext"/>
        <w:pBdr>
          <w:top w:val="single" w:sz="4" w:space="10" w:color="auto"/>
          <w:left w:val="single" w:sz="4" w:space="10" w:color="auto"/>
          <w:bottom w:val="single" w:sz="4" w:space="10" w:color="auto"/>
          <w:right w:val="single" w:sz="4" w:space="10" w:color="auto"/>
        </w:pBdr>
      </w:pPr>
      <w:r>
        <w:t xml:space="preserve">Due to flooding, the rental property declines in value to $300,000.  The LTC also has $50,000 in cash reserves. </w:t>
      </w:r>
      <w:r w:rsidR="00362F36">
        <w:t xml:space="preserve"> </w:t>
      </w:r>
      <w:r>
        <w:t>The</w:t>
      </w:r>
      <w:r w:rsidR="00097E39">
        <w:t xml:space="preserve"> only liability of the LTC is the</w:t>
      </w:r>
      <w:r>
        <w:t xml:space="preserve"> mortgage</w:t>
      </w:r>
      <w:r w:rsidR="00097E39">
        <w:t xml:space="preserve"> which</w:t>
      </w:r>
      <w:r>
        <w:t xml:space="preserve"> still has $5</w:t>
      </w:r>
      <w:r w:rsidR="003852C0">
        <w:t>0</w:t>
      </w:r>
      <w:r w:rsidR="005E41A7">
        <w:t>0,000 outstanding.</w:t>
      </w:r>
    </w:p>
    <w:p w:rsidR="00295A5B" w:rsidRDefault="00295A5B" w:rsidP="00295A5B">
      <w:pPr>
        <w:pStyle w:val="Exampletext"/>
        <w:pBdr>
          <w:top w:val="single" w:sz="4" w:space="10" w:color="auto"/>
          <w:left w:val="single" w:sz="4" w:space="10" w:color="auto"/>
          <w:bottom w:val="single" w:sz="4" w:space="10" w:color="auto"/>
          <w:right w:val="single" w:sz="4" w:space="10" w:color="auto"/>
        </w:pBdr>
      </w:pPr>
    </w:p>
    <w:p w:rsidR="00147B10" w:rsidRDefault="00295A5B" w:rsidP="00295A5B">
      <w:pPr>
        <w:pStyle w:val="Exampletext"/>
        <w:pBdr>
          <w:top w:val="single" w:sz="4" w:space="10" w:color="auto"/>
          <w:left w:val="single" w:sz="4" w:space="10" w:color="auto"/>
          <w:bottom w:val="single" w:sz="4" w:space="10" w:color="auto"/>
          <w:right w:val="single" w:sz="4" w:space="10" w:color="auto"/>
        </w:pBdr>
      </w:pPr>
      <w:r>
        <w:t xml:space="preserve">Tara decides to liquidate the </w:t>
      </w:r>
      <w:r w:rsidR="006C5775">
        <w:t>LTC</w:t>
      </w:r>
      <w:r>
        <w:t>.</w:t>
      </w:r>
      <w:r w:rsidR="00F912B0">
        <w:t xml:space="preserve"> </w:t>
      </w:r>
      <w:r>
        <w:t xml:space="preserve"> In deter</w:t>
      </w:r>
      <w:r w:rsidR="00AC3C16">
        <w:t>mining the market value of the mortgage</w:t>
      </w:r>
      <w:r>
        <w:t xml:space="preserve">, Tara must ask “if the LTC was sold or liquidated, how much of the debt would be repaid to the creditor?” </w:t>
      </w:r>
      <w:r w:rsidR="00F912B0">
        <w:t xml:space="preserve"> </w:t>
      </w:r>
      <w:r>
        <w:t>As the LTC has $350,000 in assets and no other liabilities other than the mortgage</w:t>
      </w:r>
      <w:r w:rsidR="00F912B0">
        <w:t>,</w:t>
      </w:r>
      <w:r>
        <w:t xml:space="preserve"> the answ</w:t>
      </w:r>
      <w:r w:rsidR="002417FD">
        <w:t xml:space="preserve">er to this question is $350,000. </w:t>
      </w:r>
      <w:r w:rsidR="00F912B0">
        <w:t xml:space="preserve"> </w:t>
      </w:r>
      <w:r w:rsidR="002417FD">
        <w:t>When making the base price adjustment, this is the value of the arrangement for the LTC to use.</w:t>
      </w:r>
    </w:p>
    <w:p w:rsidR="00295A5B" w:rsidRDefault="00295A5B" w:rsidP="00295A5B"/>
    <w:p w:rsidR="00EA65AF" w:rsidRPr="00670DFA" w:rsidRDefault="00EA65AF" w:rsidP="00295A5B"/>
    <w:p w:rsidR="009119E0" w:rsidRPr="00630A64" w:rsidRDefault="00630A64" w:rsidP="00D10ADF">
      <w:pPr>
        <w:rPr>
          <w:i/>
        </w:rPr>
      </w:pPr>
      <w:r w:rsidRPr="00630A64">
        <w:rPr>
          <w:i/>
        </w:rPr>
        <w:t>Transitional rule for market value amendment</w:t>
      </w:r>
    </w:p>
    <w:p w:rsidR="00D10ADF" w:rsidRPr="00AF3B0F" w:rsidRDefault="00D10ADF" w:rsidP="00D10ADF"/>
    <w:p w:rsidR="00D10ADF" w:rsidRPr="00AF3B0F" w:rsidRDefault="00D10ADF" w:rsidP="00D10ADF">
      <w:r w:rsidRPr="00AF3B0F">
        <w:t>A transitional rule ensure</w:t>
      </w:r>
      <w:r w:rsidR="00630A64">
        <w:t>s</w:t>
      </w:r>
      <w:r w:rsidRPr="00AF3B0F">
        <w:t xml:space="preserve"> that any income that would have arisen in earlier income years through the retrospective application of this remedial clarification will be recognised prospectively in the 2017–18 tax year.  This will reduce the consequences for taxpayers who should have had income arise in line with the intended operation of the disposal rules but who took</w:t>
      </w:r>
      <w:r w:rsidR="007E2ED4">
        <w:t xml:space="preserve"> a different tax interpretation and avoids the need to reopen past returns.</w:t>
      </w:r>
    </w:p>
    <w:p w:rsidR="00D10ADF" w:rsidRDefault="00D10ADF" w:rsidP="00D10ADF">
      <w:pPr>
        <w:jc w:val="left"/>
      </w:pPr>
    </w:p>
    <w:p w:rsidR="00D10ADF" w:rsidRPr="00AF3B0F" w:rsidRDefault="00F639F8" w:rsidP="00D10ADF">
      <w:r>
        <w:t>T</w:t>
      </w:r>
      <w:r w:rsidR="00D10ADF" w:rsidRPr="00AF3B0F">
        <w:t>he formula under the transitional rule in section HZ 8 is:</w:t>
      </w:r>
    </w:p>
    <w:p w:rsidR="00D10ADF" w:rsidRPr="00AF3B0F" w:rsidRDefault="00D10ADF" w:rsidP="00D10ADF"/>
    <w:p w:rsidR="00D10ADF" w:rsidRPr="00AF3B0F" w:rsidRDefault="00D10ADF" w:rsidP="00D10ADF">
      <w:pPr>
        <w:spacing w:before="320"/>
        <w:contextualSpacing/>
        <w:jc w:val="center"/>
        <w:rPr>
          <w:i/>
        </w:rPr>
      </w:pPr>
      <w:proofErr w:type="gramStart"/>
      <w:r w:rsidRPr="00AF3B0F">
        <w:rPr>
          <w:i/>
        </w:rPr>
        <w:t>retrospective</w:t>
      </w:r>
      <w:proofErr w:type="gramEnd"/>
      <w:r w:rsidRPr="00AF3B0F">
        <w:rPr>
          <w:i/>
        </w:rPr>
        <w:t xml:space="preserve"> amount – current amount</w:t>
      </w:r>
    </w:p>
    <w:p w:rsidR="00D10ADF" w:rsidRPr="00AF3B0F" w:rsidRDefault="00D10ADF" w:rsidP="00D10ADF"/>
    <w:p w:rsidR="00D10ADF" w:rsidRPr="00AF3B0F" w:rsidRDefault="00D10ADF" w:rsidP="00D10ADF">
      <w:proofErr w:type="gramStart"/>
      <w:r w:rsidRPr="00AF3B0F">
        <w:t>where</w:t>
      </w:r>
      <w:proofErr w:type="gramEnd"/>
      <w:r w:rsidRPr="00AF3B0F">
        <w:t>:</w:t>
      </w:r>
    </w:p>
    <w:p w:rsidR="00D10ADF" w:rsidRPr="00AF3B0F" w:rsidRDefault="00D10ADF" w:rsidP="00D10ADF"/>
    <w:p w:rsidR="00D10ADF" w:rsidRPr="00AF3B0F" w:rsidRDefault="00D10ADF" w:rsidP="00D10ADF">
      <w:pPr>
        <w:autoSpaceDE w:val="0"/>
        <w:autoSpaceDN w:val="0"/>
        <w:adjustRightInd w:val="0"/>
        <w:ind w:left="567"/>
      </w:pPr>
      <w:r w:rsidRPr="00AF3B0F">
        <w:rPr>
          <w:bCs/>
          <w:i/>
        </w:rPr>
        <w:t>retrospective amount</w:t>
      </w:r>
      <w:r w:rsidRPr="00AF3B0F">
        <w:rPr>
          <w:b/>
          <w:bCs/>
        </w:rPr>
        <w:t xml:space="preserve"> </w:t>
      </w:r>
      <w:r w:rsidRPr="00AF3B0F">
        <w:t>is the amount of income, for the person’s owner’s interest in financial arrangements as debtor, that would result from the application of section HB 4 for income years before the 2017–18 income year, treating that section as amended by the clarification that the market value of the interest must take into account the amount of any adjustment for credit impairment, for those income years;</w:t>
      </w:r>
    </w:p>
    <w:p w:rsidR="00D10ADF" w:rsidRPr="00AF3B0F" w:rsidRDefault="00D10ADF" w:rsidP="00D10ADF">
      <w:pPr>
        <w:autoSpaceDE w:val="0"/>
        <w:autoSpaceDN w:val="0"/>
        <w:adjustRightInd w:val="0"/>
        <w:ind w:left="567"/>
      </w:pPr>
    </w:p>
    <w:p w:rsidR="00D10ADF" w:rsidRPr="00AF3B0F" w:rsidRDefault="00D10ADF" w:rsidP="00D10ADF">
      <w:pPr>
        <w:autoSpaceDE w:val="0"/>
        <w:autoSpaceDN w:val="0"/>
        <w:adjustRightInd w:val="0"/>
        <w:ind w:left="567"/>
      </w:pPr>
      <w:proofErr w:type="gramStart"/>
      <w:r w:rsidRPr="00AF3B0F">
        <w:rPr>
          <w:bCs/>
          <w:i/>
        </w:rPr>
        <w:t>current</w:t>
      </w:r>
      <w:proofErr w:type="gramEnd"/>
      <w:r w:rsidRPr="00AF3B0F">
        <w:rPr>
          <w:bCs/>
          <w:i/>
        </w:rPr>
        <w:t xml:space="preserve"> amount</w:t>
      </w:r>
      <w:r w:rsidRPr="00AF3B0F">
        <w:rPr>
          <w:b/>
          <w:bCs/>
        </w:rPr>
        <w:t xml:space="preserve"> </w:t>
      </w:r>
      <w:r w:rsidRPr="00AF3B0F">
        <w:t>is the amount of income, for the person’s owner’s interest in financial arrangements as debtor from the application of section HB 4 that the person returned for income years before the 2017–18 income year.</w:t>
      </w:r>
    </w:p>
    <w:p w:rsidR="00932193" w:rsidRDefault="00932193" w:rsidP="00932193">
      <w:pPr>
        <w:jc w:val="left"/>
      </w:pPr>
    </w:p>
    <w:p w:rsidR="002279EB" w:rsidRDefault="002279EB">
      <w:pPr>
        <w:jc w:val="left"/>
      </w:pPr>
      <w:r>
        <w:br w:type="page"/>
      </w:r>
    </w:p>
    <w:p w:rsidR="002279EB" w:rsidRDefault="00625E36" w:rsidP="002279EB">
      <w:pPr>
        <w:pStyle w:val="Heading1"/>
      </w:pPr>
      <w:r>
        <w:t>qualifying companies – continuity of ownership</w:t>
      </w:r>
    </w:p>
    <w:p w:rsidR="002279EB" w:rsidRPr="00670619" w:rsidRDefault="002279EB" w:rsidP="002279EB"/>
    <w:p w:rsidR="002279EB" w:rsidRPr="00A61D34" w:rsidRDefault="002279EB" w:rsidP="002279EB">
      <w:pPr>
        <w:pStyle w:val="Sections"/>
        <w:rPr>
          <w:b w:val="0"/>
        </w:rPr>
      </w:pPr>
      <w:r w:rsidRPr="00A61D34">
        <w:rPr>
          <w:b w:val="0"/>
        </w:rPr>
        <w:t xml:space="preserve">Sections </w:t>
      </w:r>
      <w:r w:rsidR="00662B5C" w:rsidRPr="00A61D34">
        <w:rPr>
          <w:b w:val="0"/>
        </w:rPr>
        <w:t>HA 6 and YA 1 of the Income Tax Act 2007</w:t>
      </w:r>
    </w:p>
    <w:p w:rsidR="002279EB" w:rsidRDefault="002279EB" w:rsidP="002279EB"/>
    <w:p w:rsidR="00B27D4A" w:rsidRPr="00670DFA" w:rsidRDefault="00B27D4A" w:rsidP="002279EB"/>
    <w:p w:rsidR="00352A8C" w:rsidRPr="00E36545" w:rsidRDefault="00352A8C" w:rsidP="00352A8C">
      <w:r>
        <w:t>An amendment to the qualifying company (QC) rules provides that q</w:t>
      </w:r>
      <w:r w:rsidRPr="00E36545">
        <w:t>ualifying company status will cease if there is a change in control of the company.</w:t>
      </w:r>
    </w:p>
    <w:p w:rsidR="002279EB" w:rsidRDefault="002279EB" w:rsidP="002279EB"/>
    <w:p w:rsidR="005E41A7" w:rsidRPr="00670DFA" w:rsidRDefault="005E41A7" w:rsidP="002279EB"/>
    <w:p w:rsidR="002279EB" w:rsidRPr="00670619" w:rsidRDefault="002279EB" w:rsidP="00B27D4A">
      <w:pPr>
        <w:pStyle w:val="Heading2"/>
      </w:pPr>
      <w:r w:rsidRPr="00670DFA">
        <w:t>Background</w:t>
      </w:r>
    </w:p>
    <w:p w:rsidR="002279EB" w:rsidRPr="00670DFA" w:rsidRDefault="002279EB" w:rsidP="002279EB"/>
    <w:p w:rsidR="00352A8C" w:rsidRPr="00E36545" w:rsidRDefault="00352A8C" w:rsidP="00352A8C">
      <w:r w:rsidRPr="00E36545">
        <w:t>Qualifying companies are partial look-through vehicles that allow for the profits of the company to be taxed in the same way as a standard company but, unlike a standard company, capital gains and un-imputed dividends can be distributed tax-free to shareholders during the course of business.  QCs in place when the new LTC regime came into force on 1 April 2011 were allowed to continue</w:t>
      </w:r>
      <w:r>
        <w:t>,</w:t>
      </w:r>
      <w:r w:rsidRPr="00E36545">
        <w:t xml:space="preserve"> pending an ultimate decision on the future of QCs.  There are still around 70,000 QCs.</w:t>
      </w:r>
    </w:p>
    <w:p w:rsidR="00352A8C" w:rsidRPr="00E36545" w:rsidRDefault="00352A8C" w:rsidP="00352A8C"/>
    <w:p w:rsidR="00352A8C" w:rsidRPr="00E36545" w:rsidRDefault="00352A8C" w:rsidP="00352A8C">
      <w:r w:rsidRPr="00E36545">
        <w:t>As part of the Government’s decisions from the review of closely held company taxation, it was confirmed that these QCs could continue.  Requiring all remaining QCs to convert to LTCs, or failing that to ordinary companies, would not only impose significant compliance costs on those businesses but would also not be practical as the LTC requirements might not be suitable for many QCs.</w:t>
      </w:r>
    </w:p>
    <w:p w:rsidR="00352A8C" w:rsidRPr="00E36545" w:rsidRDefault="00352A8C" w:rsidP="00352A8C">
      <w:pPr>
        <w:rPr>
          <w:lang w:val="en-AU" w:eastAsia="en-US"/>
        </w:rPr>
      </w:pPr>
    </w:p>
    <w:p w:rsidR="00352A8C" w:rsidRPr="00E36545" w:rsidRDefault="00352A8C" w:rsidP="00352A8C">
      <w:pPr>
        <w:rPr>
          <w:lang w:val="en-AU" w:eastAsia="en-US"/>
        </w:rPr>
      </w:pPr>
      <w:r w:rsidRPr="00E36545">
        <w:rPr>
          <w:lang w:val="en-AU" w:eastAsia="en-US"/>
        </w:rPr>
        <w:t>This mean</w:t>
      </w:r>
      <w:r w:rsidR="00A61D34">
        <w:rPr>
          <w:lang w:val="en-AU" w:eastAsia="en-US"/>
        </w:rPr>
        <w:t>s</w:t>
      </w:r>
      <w:r w:rsidRPr="00E36545">
        <w:rPr>
          <w:lang w:val="en-AU" w:eastAsia="en-US"/>
        </w:rPr>
        <w:t xml:space="preserve"> that while no new QCs </w:t>
      </w:r>
      <w:r w:rsidR="00A61D34">
        <w:rPr>
          <w:lang w:val="en-AU" w:eastAsia="en-US"/>
        </w:rPr>
        <w:t>can</w:t>
      </w:r>
      <w:r w:rsidR="00A61D34" w:rsidRPr="00E36545">
        <w:rPr>
          <w:lang w:val="en-AU" w:eastAsia="en-US"/>
        </w:rPr>
        <w:t xml:space="preserve"> </w:t>
      </w:r>
      <w:r w:rsidRPr="00E36545">
        <w:rPr>
          <w:lang w:val="en-AU" w:eastAsia="en-US"/>
        </w:rPr>
        <w:t xml:space="preserve">be created, existing QCs </w:t>
      </w:r>
      <w:r w:rsidR="00A61D34">
        <w:rPr>
          <w:lang w:val="en-AU" w:eastAsia="en-US"/>
        </w:rPr>
        <w:t>can</w:t>
      </w:r>
      <w:r w:rsidR="00A61D34" w:rsidRPr="00E36545">
        <w:rPr>
          <w:lang w:val="en-AU" w:eastAsia="en-US"/>
        </w:rPr>
        <w:t xml:space="preserve"> </w:t>
      </w:r>
      <w:r w:rsidRPr="00E36545">
        <w:rPr>
          <w:lang w:val="en-AU" w:eastAsia="en-US"/>
        </w:rPr>
        <w:t xml:space="preserve">continue until they are either liquidated, elect out of the QC regime or fail to meet the QC </w:t>
      </w:r>
      <w:r w:rsidRPr="00E36545">
        <w:t xml:space="preserve">eligibility </w:t>
      </w:r>
      <w:r w:rsidRPr="00E36545">
        <w:rPr>
          <w:lang w:val="en-AU" w:eastAsia="en-US"/>
        </w:rPr>
        <w:t xml:space="preserve">criteria.  </w:t>
      </w:r>
      <w:r>
        <w:rPr>
          <w:lang w:val="en-AU" w:eastAsia="en-US"/>
        </w:rPr>
        <w:t>I</w:t>
      </w:r>
      <w:r w:rsidRPr="00E36545">
        <w:rPr>
          <w:lang w:val="en-AU" w:eastAsia="en-US"/>
        </w:rPr>
        <w:t>n effect</w:t>
      </w:r>
      <w:r>
        <w:rPr>
          <w:lang w:val="en-AU" w:eastAsia="en-US"/>
        </w:rPr>
        <w:t>, this</w:t>
      </w:r>
      <w:r w:rsidRPr="00E36545">
        <w:rPr>
          <w:lang w:val="en-AU" w:eastAsia="en-US"/>
        </w:rPr>
        <w:t xml:space="preserve"> provides the grandparented QCs with some degree of permanent tax advantage, due primarily to the opportunity for tax deferral on income through the taxing of the income in the first instance at the company rate, which is often lower than the top personal rate, or the favourable treatment of capital gains relative to ordinary companies.</w:t>
      </w:r>
    </w:p>
    <w:p w:rsidR="00352A8C" w:rsidRPr="00E36545" w:rsidRDefault="00352A8C" w:rsidP="00352A8C"/>
    <w:p w:rsidR="002279EB" w:rsidRPr="00670DFA" w:rsidRDefault="00352A8C" w:rsidP="002279EB">
      <w:r w:rsidRPr="00E36545">
        <w:t xml:space="preserve">The effective limitation on trading of QCs by ensuring </w:t>
      </w:r>
      <w:r w:rsidRPr="00E36545">
        <w:rPr>
          <w:rFonts w:eastAsiaTheme="minorHAnsi"/>
          <w:lang w:eastAsia="en-US"/>
        </w:rPr>
        <w:t>that QC status is lost if there is a change in control of the company,</w:t>
      </w:r>
      <w:r w:rsidRPr="00E36545">
        <w:t xml:space="preserve"> supports the 2010 decision to grandparent QCs.  This outcome ensures that existing QC owners are able to make some shareholder changes without sacrificing QC status while preventing the current owners from trading any tax advantage.</w:t>
      </w:r>
    </w:p>
    <w:p w:rsidR="002279EB" w:rsidRDefault="002279EB" w:rsidP="002279EB"/>
    <w:p w:rsidR="005E41A7" w:rsidRPr="00670DFA" w:rsidRDefault="005E41A7" w:rsidP="002279EB"/>
    <w:p w:rsidR="002279EB" w:rsidRPr="00670DFA" w:rsidRDefault="002279EB" w:rsidP="00B27D4A">
      <w:pPr>
        <w:pStyle w:val="Heading2"/>
      </w:pPr>
      <w:r w:rsidRPr="00670DFA">
        <w:t>Key features</w:t>
      </w:r>
    </w:p>
    <w:p w:rsidR="002279EB" w:rsidRPr="00670DFA" w:rsidRDefault="002279EB" w:rsidP="002279EB"/>
    <w:p w:rsidR="00352A8C" w:rsidRPr="00E36545" w:rsidRDefault="00352A8C" w:rsidP="00352A8C">
      <w:r w:rsidRPr="00E36545">
        <w:t>A change of control will be measured using a continuity test.  The new shareholder continuity limitation in section HA 6 of the Income Tax Act requires a “minimum continuity interest” of at least 50</w:t>
      </w:r>
      <w:r>
        <w:t xml:space="preserve"> percent</w:t>
      </w:r>
      <w:r w:rsidRPr="00E36545">
        <w:t xml:space="preserve"> for the “QC continuity period”.  The continuity period will extend from the date </w:t>
      </w:r>
      <w:r w:rsidR="000F6009">
        <w:t>of</w:t>
      </w:r>
      <w:r w:rsidRPr="00E36545">
        <w:t xml:space="preserve"> Royal assent </w:t>
      </w:r>
      <w:r w:rsidR="000F6009">
        <w:t>(</w:t>
      </w:r>
      <w:r w:rsidR="00A61D34">
        <w:t>30</w:t>
      </w:r>
      <w:r w:rsidR="000F6009">
        <w:t xml:space="preserve"> </w:t>
      </w:r>
      <w:r w:rsidR="00A61D34">
        <w:t>March</w:t>
      </w:r>
      <w:r w:rsidR="000F6009">
        <w:t xml:space="preserve">2017) </w:t>
      </w:r>
      <w:r w:rsidRPr="00E36545">
        <w:t>to the last day in the relevant income year.  The “minimum QC interest” is defined to mean the lowest voting interest or market value interest during the continuity period.</w:t>
      </w:r>
    </w:p>
    <w:p w:rsidR="00352A8C" w:rsidRPr="00E36545" w:rsidRDefault="00352A8C" w:rsidP="00352A8C"/>
    <w:p w:rsidR="00352A8C" w:rsidRPr="00E36545" w:rsidRDefault="00352A8C" w:rsidP="00352A8C">
      <w:r w:rsidRPr="00E36545">
        <w:t>A breach of this requirement will trigger the loss of QC stat</w:t>
      </w:r>
      <w:r>
        <w:t>us under the standard QC rules.</w:t>
      </w:r>
    </w:p>
    <w:p w:rsidR="00352A8C" w:rsidRPr="00E36545" w:rsidRDefault="00352A8C" w:rsidP="00352A8C"/>
    <w:p w:rsidR="00352A8C" w:rsidRDefault="00352A8C" w:rsidP="00352A8C">
      <w:pPr>
        <w:rPr>
          <w:lang w:val="en-AU" w:eastAsia="en-US"/>
        </w:rPr>
      </w:pPr>
      <w:r w:rsidRPr="00E36545">
        <w:rPr>
          <w:lang w:val="en-AU" w:eastAsia="en-US"/>
        </w:rPr>
        <w:t xml:space="preserve">To ease compliance, the continuity test will apply prospectively to changes in shareholding from the date of </w:t>
      </w:r>
      <w:r>
        <w:rPr>
          <w:lang w:val="en-AU" w:eastAsia="en-US"/>
        </w:rPr>
        <w:t>enactment</w:t>
      </w:r>
      <w:r w:rsidR="000A1C36">
        <w:rPr>
          <w:lang w:val="en-AU" w:eastAsia="en-US"/>
        </w:rPr>
        <w:t xml:space="preserve"> (</w:t>
      </w:r>
      <w:r w:rsidR="00627EC1">
        <w:rPr>
          <w:lang w:val="en-AU" w:eastAsia="en-US"/>
        </w:rPr>
        <w:t>30 March</w:t>
      </w:r>
      <w:r w:rsidR="000A1C36">
        <w:rPr>
          <w:lang w:val="en-AU" w:eastAsia="en-US"/>
        </w:rPr>
        <w:t xml:space="preserve"> 2017)</w:t>
      </w:r>
      <w:r w:rsidRPr="00E36545">
        <w:rPr>
          <w:lang w:val="en-AU" w:eastAsia="en-US"/>
        </w:rPr>
        <w:t>.</w:t>
      </w:r>
    </w:p>
    <w:p w:rsidR="00EA1447" w:rsidRDefault="00EA1447" w:rsidP="00352A8C">
      <w:pPr>
        <w:rPr>
          <w:lang w:val="en-AU" w:eastAsia="en-US"/>
        </w:rPr>
      </w:pPr>
    </w:p>
    <w:p w:rsidR="00B27D4A" w:rsidRDefault="00B27D4A">
      <w:pPr>
        <w:jc w:val="left"/>
        <w:rPr>
          <w:b/>
          <w:i/>
          <w:lang w:val="en-AU" w:eastAsia="en-US"/>
        </w:rPr>
      </w:pPr>
      <w:r>
        <w:rPr>
          <w:b/>
          <w:i/>
          <w:lang w:val="en-AU" w:eastAsia="en-US"/>
        </w:rPr>
        <w:br w:type="page"/>
      </w:r>
    </w:p>
    <w:p w:rsidR="00EA1447" w:rsidRDefault="00EA1447" w:rsidP="00B27D4A">
      <w:pPr>
        <w:pStyle w:val="Heading3"/>
        <w:rPr>
          <w:lang w:val="en-AU" w:eastAsia="en-US"/>
        </w:rPr>
      </w:pPr>
      <w:r>
        <w:rPr>
          <w:lang w:val="en-AU" w:eastAsia="en-US"/>
        </w:rPr>
        <w:t>Exceptions</w:t>
      </w:r>
    </w:p>
    <w:p w:rsidR="00EA1447" w:rsidRDefault="00EA1447" w:rsidP="00352A8C">
      <w:pPr>
        <w:rPr>
          <w:b/>
          <w:i/>
          <w:lang w:val="en-AU" w:eastAsia="en-US"/>
        </w:rPr>
      </w:pPr>
    </w:p>
    <w:p w:rsidR="00EA1447" w:rsidRDefault="00EA1447" w:rsidP="00EA1447">
      <w:r w:rsidRPr="00E36545">
        <w:t>For the purposes of the shareholder continuity measurement, changes to shareholding resulting from property relationship settlements or the death of a shareholder will be ignored when measuring a change of control.</w:t>
      </w:r>
    </w:p>
    <w:p w:rsidR="00EA1447" w:rsidRDefault="00EA1447" w:rsidP="00EA1447"/>
    <w:p w:rsidR="00EA1447" w:rsidRPr="00E36545" w:rsidRDefault="00EA1447" w:rsidP="00EA1447">
      <w:r>
        <w:t>In addition</w:t>
      </w:r>
      <w:r w:rsidR="0090321E">
        <w:t>,</w:t>
      </w:r>
      <w:r>
        <w:t xml:space="preserve"> transfers between close relatives are ignored when measuring a change in control. </w:t>
      </w:r>
      <w:r w:rsidR="0090321E">
        <w:t xml:space="preserve"> </w:t>
      </w:r>
      <w:r>
        <w:t xml:space="preserve">The amendments achieve this </w:t>
      </w:r>
      <w:r w:rsidR="0090321E">
        <w:t xml:space="preserve">by </w:t>
      </w:r>
      <w:r>
        <w:t>treating shares that have been transferred to a close relative as being held by a single notional person.</w:t>
      </w:r>
    </w:p>
    <w:p w:rsidR="00EA1447" w:rsidRDefault="00EA1447" w:rsidP="00352A8C">
      <w:pPr>
        <w:rPr>
          <w:b/>
          <w:i/>
          <w:lang w:val="en-AU" w:eastAsia="en-US"/>
        </w:rPr>
      </w:pPr>
    </w:p>
    <w:p w:rsidR="007E2ED4" w:rsidRPr="007E2ED4" w:rsidRDefault="007E2ED4" w:rsidP="00352A8C">
      <w:pPr>
        <w:rPr>
          <w:lang w:val="en-AU" w:eastAsia="en-US"/>
        </w:rPr>
      </w:pPr>
      <w:r w:rsidRPr="007E2ED4">
        <w:rPr>
          <w:lang w:val="en-AU" w:eastAsia="en-US"/>
        </w:rPr>
        <w:t xml:space="preserve">For this purpose </w:t>
      </w:r>
      <w:r w:rsidR="0056548F">
        <w:rPr>
          <w:lang w:val="en-AU" w:eastAsia="en-US"/>
        </w:rPr>
        <w:t>“</w:t>
      </w:r>
      <w:r w:rsidRPr="007E2ED4">
        <w:rPr>
          <w:lang w:val="en-AU" w:eastAsia="en-US"/>
        </w:rPr>
        <w:t xml:space="preserve">close </w:t>
      </w:r>
      <w:r w:rsidR="00997180" w:rsidRPr="007E2ED4">
        <w:rPr>
          <w:lang w:val="en-AU" w:eastAsia="en-US"/>
        </w:rPr>
        <w:t>relative</w:t>
      </w:r>
      <w:r w:rsidR="0056548F">
        <w:rPr>
          <w:lang w:val="en-AU" w:eastAsia="en-US"/>
        </w:rPr>
        <w:t>”</w:t>
      </w:r>
      <w:r w:rsidRPr="007E2ED4">
        <w:rPr>
          <w:lang w:val="en-AU" w:eastAsia="en-US"/>
        </w:rPr>
        <w:t xml:space="preserve"> is defined as a spouse, civil union partner or de facto partner of the person or </w:t>
      </w:r>
      <w:r w:rsidR="00997180">
        <w:rPr>
          <w:lang w:val="en-AU" w:eastAsia="en-US"/>
        </w:rPr>
        <w:t>a</w:t>
      </w:r>
      <w:r w:rsidRPr="007E2ED4">
        <w:rPr>
          <w:lang w:val="en-AU" w:eastAsia="en-US"/>
        </w:rPr>
        <w:t xml:space="preserve"> person who is within the second degree of relationship to the person.</w:t>
      </w:r>
    </w:p>
    <w:p w:rsidR="00EA1447" w:rsidRDefault="00EA1447" w:rsidP="00EA1447"/>
    <w:p w:rsidR="00EA65AF" w:rsidRDefault="00EA65AF" w:rsidP="00EA1447"/>
    <w:p w:rsidR="00EA1447" w:rsidRDefault="00EA1447" w:rsidP="00EA1447">
      <w:pPr>
        <w:pStyle w:val="Exampleheading"/>
        <w:pBdr>
          <w:top w:val="single" w:sz="4" w:space="10" w:color="auto"/>
          <w:left w:val="single" w:sz="4" w:space="10" w:color="auto"/>
          <w:bottom w:val="single" w:sz="4" w:space="10" w:color="auto"/>
          <w:right w:val="single" w:sz="4" w:space="10" w:color="auto"/>
        </w:pBdr>
      </w:pPr>
      <w:r>
        <w:t>Example</w:t>
      </w:r>
    </w:p>
    <w:p w:rsidR="00EA1447" w:rsidRDefault="00EA1447" w:rsidP="00EA1447">
      <w:pPr>
        <w:pStyle w:val="Exampletext"/>
        <w:pBdr>
          <w:top w:val="single" w:sz="4" w:space="10" w:color="auto"/>
          <w:left w:val="single" w:sz="4" w:space="10" w:color="auto"/>
          <w:bottom w:val="single" w:sz="4" w:space="10" w:color="auto"/>
          <w:right w:val="single" w:sz="4" w:space="10" w:color="auto"/>
        </w:pBdr>
      </w:pPr>
    </w:p>
    <w:p w:rsidR="00EA1447" w:rsidRDefault="00EA1447" w:rsidP="00EA1447">
      <w:pPr>
        <w:pStyle w:val="Exampletext"/>
        <w:pBdr>
          <w:top w:val="single" w:sz="4" w:space="10" w:color="auto"/>
          <w:left w:val="single" w:sz="4" w:space="10" w:color="auto"/>
          <w:bottom w:val="single" w:sz="4" w:space="10" w:color="auto"/>
          <w:right w:val="single" w:sz="4" w:space="10" w:color="auto"/>
        </w:pBdr>
      </w:pPr>
      <w:r>
        <w:t>A QC has two shareholders</w:t>
      </w:r>
      <w:r w:rsidR="00547EB0">
        <w:t>:</w:t>
      </w:r>
      <w:r>
        <w:t xml:space="preserve"> Tara</w:t>
      </w:r>
      <w:r w:rsidR="00547EB0">
        <w:t>,</w:t>
      </w:r>
      <w:r>
        <w:t xml:space="preserve"> who holds 40</w:t>
      </w:r>
      <w:r w:rsidR="00547EB0">
        <w:t xml:space="preserve"> percent</w:t>
      </w:r>
      <w:r>
        <w:t xml:space="preserve"> of the shares in the QC and Uri</w:t>
      </w:r>
      <w:r w:rsidR="00547EB0">
        <w:t>,</w:t>
      </w:r>
      <w:r>
        <w:t xml:space="preserve"> who holds 60</w:t>
      </w:r>
      <w:r w:rsidR="00547EB0">
        <w:t xml:space="preserve"> percent</w:t>
      </w:r>
      <w:r>
        <w:t xml:space="preserve"> of the shares in the QC.</w:t>
      </w:r>
    </w:p>
    <w:p w:rsidR="00EA1447" w:rsidRDefault="00EA1447" w:rsidP="00EA1447">
      <w:pPr>
        <w:pStyle w:val="Exampletext"/>
        <w:pBdr>
          <w:top w:val="single" w:sz="4" w:space="10" w:color="auto"/>
          <w:left w:val="single" w:sz="4" w:space="10" w:color="auto"/>
          <w:bottom w:val="single" w:sz="4" w:space="10" w:color="auto"/>
          <w:right w:val="single" w:sz="4" w:space="10" w:color="auto"/>
        </w:pBdr>
      </w:pPr>
    </w:p>
    <w:p w:rsidR="00C04D09" w:rsidRDefault="00C04D09" w:rsidP="00EA1447">
      <w:pPr>
        <w:pStyle w:val="Exampletext"/>
        <w:pBdr>
          <w:top w:val="single" w:sz="4" w:space="10" w:color="auto"/>
          <w:left w:val="single" w:sz="4" w:space="10" w:color="auto"/>
          <w:bottom w:val="single" w:sz="4" w:space="10" w:color="auto"/>
          <w:right w:val="single" w:sz="4" w:space="10" w:color="auto"/>
        </w:pBdr>
      </w:pPr>
      <w:r>
        <w:t xml:space="preserve">Uri transfers his shares in the QC to Velma, his daughter. </w:t>
      </w:r>
      <w:r w:rsidR="00B10E86">
        <w:t xml:space="preserve"> </w:t>
      </w:r>
      <w:r>
        <w:t>Velma then transfers half of her 60</w:t>
      </w:r>
      <w:r w:rsidR="00B10E86">
        <w:t xml:space="preserve"> percent</w:t>
      </w:r>
      <w:r>
        <w:t xml:space="preserve"> share</w:t>
      </w:r>
      <w:r w:rsidR="00627EC1">
        <w:t>holding</w:t>
      </w:r>
      <w:r>
        <w:t xml:space="preserve"> to Walter, her spouse.</w:t>
      </w:r>
    </w:p>
    <w:p w:rsidR="00C04D09" w:rsidRDefault="00C04D09" w:rsidP="00EA1447">
      <w:pPr>
        <w:pStyle w:val="Exampletext"/>
        <w:pBdr>
          <w:top w:val="single" w:sz="4" w:space="10" w:color="auto"/>
          <w:left w:val="single" w:sz="4" w:space="10" w:color="auto"/>
          <w:bottom w:val="single" w:sz="4" w:space="10" w:color="auto"/>
          <w:right w:val="single" w:sz="4" w:space="10" w:color="auto"/>
        </w:pBdr>
      </w:pPr>
    </w:p>
    <w:p w:rsidR="00EA1447" w:rsidRDefault="00C04D09" w:rsidP="00EA1447">
      <w:pPr>
        <w:pStyle w:val="Exampletext"/>
        <w:pBdr>
          <w:top w:val="single" w:sz="4" w:space="10" w:color="auto"/>
          <w:left w:val="single" w:sz="4" w:space="10" w:color="auto"/>
          <w:bottom w:val="single" w:sz="4" w:space="10" w:color="auto"/>
          <w:right w:val="single" w:sz="4" w:space="10" w:color="auto"/>
        </w:pBdr>
      </w:pPr>
      <w:r>
        <w:t>As the transfers between Uri, Velma and Walter have all been between close relatives they are treated as being held by a single notional person and so will not affect the QC continuity test.</w:t>
      </w:r>
    </w:p>
    <w:p w:rsidR="00EA1447" w:rsidRPr="00EA65AF" w:rsidRDefault="00EA1447" w:rsidP="00352A8C">
      <w:pPr>
        <w:rPr>
          <w:lang w:val="en-AU" w:eastAsia="en-US"/>
        </w:rPr>
      </w:pPr>
    </w:p>
    <w:p w:rsidR="002279EB" w:rsidRDefault="002279EB" w:rsidP="002279EB"/>
    <w:p w:rsidR="002279EB" w:rsidRPr="00670DFA" w:rsidRDefault="00FC7378" w:rsidP="00B27D4A">
      <w:pPr>
        <w:pStyle w:val="Heading2"/>
      </w:pPr>
      <w:r>
        <w:t>Application date</w:t>
      </w:r>
    </w:p>
    <w:p w:rsidR="002279EB" w:rsidRPr="00670DFA" w:rsidRDefault="002279EB" w:rsidP="002279EB"/>
    <w:p w:rsidR="002279EB" w:rsidRPr="00670DFA" w:rsidRDefault="00662B5C" w:rsidP="002279EB">
      <w:r>
        <w:t>The amendments apply for the 2017</w:t>
      </w:r>
      <w:r w:rsidR="00F36BF9">
        <w:t>–</w:t>
      </w:r>
      <w:r>
        <w:t>18 and later income years.</w:t>
      </w:r>
    </w:p>
    <w:p w:rsidR="005F4624" w:rsidRDefault="005F4624">
      <w:pPr>
        <w:jc w:val="left"/>
      </w:pPr>
    </w:p>
    <w:p w:rsidR="005F4624" w:rsidRDefault="005F4624">
      <w:pPr>
        <w:jc w:val="left"/>
      </w:pPr>
      <w:r>
        <w:br w:type="page"/>
      </w:r>
    </w:p>
    <w:p w:rsidR="005F4624" w:rsidRDefault="005F4624" w:rsidP="005F4624">
      <w:pPr>
        <w:pStyle w:val="Heading1"/>
      </w:pPr>
      <w:r>
        <w:t>Ex-qualifying companies and inter-corporate dividend exemption</w:t>
      </w:r>
    </w:p>
    <w:p w:rsidR="005F4624" w:rsidRPr="00670619" w:rsidRDefault="005F4624" w:rsidP="005F4624"/>
    <w:p w:rsidR="005F4624" w:rsidRPr="00627EC1" w:rsidRDefault="005F4624" w:rsidP="005F4624">
      <w:pPr>
        <w:pStyle w:val="Sections"/>
        <w:rPr>
          <w:b w:val="0"/>
        </w:rPr>
      </w:pPr>
      <w:r w:rsidRPr="00627EC1">
        <w:rPr>
          <w:b w:val="0"/>
        </w:rPr>
        <w:t>Sections CW 14 and HA 17 of the Income Tax Act 2007</w:t>
      </w:r>
      <w:r w:rsidR="003672B7">
        <w:rPr>
          <w:b w:val="0"/>
        </w:rPr>
        <w:t xml:space="preserve"> and sections</w:t>
      </w:r>
      <w:r w:rsidRPr="00627EC1">
        <w:rPr>
          <w:b w:val="0"/>
        </w:rPr>
        <w:t xml:space="preserve"> HG 10 and HG 10B of the Income Tax Act 2004</w:t>
      </w:r>
    </w:p>
    <w:p w:rsidR="005F4624" w:rsidRPr="00B27D4A" w:rsidRDefault="005F4624" w:rsidP="005F4624">
      <w:pPr>
        <w:rPr>
          <w:sz w:val="20"/>
          <w:szCs w:val="20"/>
        </w:rPr>
      </w:pPr>
    </w:p>
    <w:p w:rsidR="00B27D4A" w:rsidRPr="00B27D4A" w:rsidRDefault="00B27D4A" w:rsidP="005F4624">
      <w:pPr>
        <w:rPr>
          <w:sz w:val="20"/>
          <w:szCs w:val="20"/>
        </w:rPr>
      </w:pPr>
    </w:p>
    <w:p w:rsidR="005F4624" w:rsidRPr="00B27D4A" w:rsidRDefault="005F4624" w:rsidP="005F4624">
      <w:pPr>
        <w:rPr>
          <w:spacing w:val="-2"/>
        </w:rPr>
      </w:pPr>
      <w:r w:rsidRPr="00B27D4A">
        <w:rPr>
          <w:spacing w:val="-2"/>
        </w:rPr>
        <w:t xml:space="preserve">An amendment has been made to limit the scope of </w:t>
      </w:r>
      <w:r w:rsidR="00BD6010" w:rsidRPr="00B27D4A">
        <w:rPr>
          <w:spacing w:val="-2"/>
        </w:rPr>
        <w:t xml:space="preserve">section </w:t>
      </w:r>
      <w:r w:rsidRPr="00B27D4A">
        <w:rPr>
          <w:spacing w:val="-2"/>
        </w:rPr>
        <w:t>CW 10</w:t>
      </w:r>
      <w:r w:rsidR="00BD6010" w:rsidRPr="00B27D4A">
        <w:rPr>
          <w:spacing w:val="-2"/>
        </w:rPr>
        <w:t>,</w:t>
      </w:r>
      <w:r w:rsidRPr="00B27D4A">
        <w:rPr>
          <w:spacing w:val="-2"/>
        </w:rPr>
        <w:t xml:space="preserve"> which prevents companies that were once qualifying companies from utilising the inter-corporate dividend exemption.</w:t>
      </w:r>
    </w:p>
    <w:p w:rsidR="005F4624" w:rsidRPr="00B27D4A" w:rsidRDefault="005F4624" w:rsidP="005F4624">
      <w:pPr>
        <w:rPr>
          <w:sz w:val="20"/>
          <w:szCs w:val="20"/>
        </w:rPr>
      </w:pPr>
    </w:p>
    <w:p w:rsidR="005E41A7" w:rsidRPr="00B27D4A" w:rsidRDefault="005E41A7" w:rsidP="005F4624">
      <w:pPr>
        <w:rPr>
          <w:sz w:val="20"/>
          <w:szCs w:val="20"/>
        </w:rPr>
      </w:pPr>
    </w:p>
    <w:p w:rsidR="005F4624" w:rsidRPr="00670619" w:rsidRDefault="005F4624" w:rsidP="005F4624">
      <w:pPr>
        <w:pStyle w:val="Heading2"/>
      </w:pPr>
      <w:r w:rsidRPr="00670DFA">
        <w:t>Background</w:t>
      </w:r>
    </w:p>
    <w:p w:rsidR="005F4624" w:rsidRPr="00B27D4A" w:rsidRDefault="005F4624" w:rsidP="005F4624">
      <w:pPr>
        <w:rPr>
          <w:sz w:val="20"/>
          <w:szCs w:val="20"/>
        </w:rPr>
      </w:pPr>
    </w:p>
    <w:p w:rsidR="005F4624" w:rsidRDefault="005F4624" w:rsidP="005F4624">
      <w:r>
        <w:t xml:space="preserve">When the qualifying company regime was being considered, the Consultative Committee on the Taxation of Income from Capital (the Valabh Committee) recommended that qualifying companies not be able to utilise the inter-corporate dividend exemption. </w:t>
      </w:r>
      <w:r w:rsidR="00A77FF4">
        <w:t xml:space="preserve"> </w:t>
      </w:r>
      <w:r>
        <w:t>This was intended to prevent ordinary companies from providing exempt dividends to qualifying companies</w:t>
      </w:r>
      <w:r w:rsidR="00A77FF4">
        <w:t>,</w:t>
      </w:r>
      <w:r>
        <w:t xml:space="preserve"> which could then be distributed tax-free to shareholders due to qualifying companies being able to pay un-imputed dividends tax free.</w:t>
      </w:r>
    </w:p>
    <w:p w:rsidR="005F4624" w:rsidRPr="00B27D4A" w:rsidRDefault="005F4624" w:rsidP="005F4624">
      <w:pPr>
        <w:rPr>
          <w:sz w:val="20"/>
          <w:szCs w:val="20"/>
        </w:rPr>
      </w:pPr>
    </w:p>
    <w:p w:rsidR="005F4624" w:rsidRDefault="005F4624" w:rsidP="005F4624">
      <w:r>
        <w:t xml:space="preserve">The Valabh Committee also recommended that companies that </w:t>
      </w:r>
      <w:r w:rsidR="00627EC1">
        <w:t xml:space="preserve">had </w:t>
      </w:r>
      <w:r>
        <w:t xml:space="preserve">previously been qualifying companies should </w:t>
      </w:r>
      <w:r w:rsidR="00627EC1">
        <w:t xml:space="preserve">similarly </w:t>
      </w:r>
      <w:r>
        <w:t>not be able to utilise the inte</w:t>
      </w:r>
      <w:r w:rsidR="005E41A7">
        <w:t>r-corporate dividend exemption.</w:t>
      </w:r>
    </w:p>
    <w:p w:rsidR="005F4624" w:rsidRPr="00B27D4A" w:rsidRDefault="005F4624" w:rsidP="005F4624">
      <w:pPr>
        <w:rPr>
          <w:sz w:val="20"/>
          <w:szCs w:val="20"/>
        </w:rPr>
      </w:pPr>
    </w:p>
    <w:p w:rsidR="005F4624" w:rsidRPr="00670DFA" w:rsidRDefault="005F4624" w:rsidP="005F4624">
      <w:r>
        <w:t xml:space="preserve">This was because there is a potential avoidance risk through a QC creating capital gains through revaluing the shares they hold in a non-qualifying company. </w:t>
      </w:r>
      <w:r w:rsidR="00481CDD">
        <w:t xml:space="preserve"> </w:t>
      </w:r>
      <w:r>
        <w:t xml:space="preserve">These capital gains can be passed to shareholders as exempt dividends and funded by a loan back to the QC. </w:t>
      </w:r>
      <w:r w:rsidR="00481CDD">
        <w:t xml:space="preserve"> </w:t>
      </w:r>
      <w:r>
        <w:t>If the QC then converts to an ordinary company, the company can, if the inter-corporate dividend exemption is available, receive an exempt dividend from other companies in a wholly owned group</w:t>
      </w:r>
      <w:r w:rsidR="00481CDD">
        <w:t>,</w:t>
      </w:r>
      <w:r>
        <w:t xml:space="preserve"> which could be used to repay the loan from the shareholder without a tax cost.</w:t>
      </w:r>
    </w:p>
    <w:p w:rsidR="005F4624" w:rsidRPr="00B27D4A" w:rsidRDefault="005F4624" w:rsidP="005F4624">
      <w:pPr>
        <w:rPr>
          <w:sz w:val="20"/>
          <w:szCs w:val="20"/>
        </w:rPr>
      </w:pPr>
    </w:p>
    <w:p w:rsidR="005F4624" w:rsidRDefault="005F4624" w:rsidP="005F4624">
      <w:r>
        <w:t xml:space="preserve">However, this rule extends too far and prevents the use of the inter-corporate dividend exemption in circumstances when the avoidance risks are minimal. </w:t>
      </w:r>
      <w:r w:rsidR="00536A30">
        <w:t xml:space="preserve"> </w:t>
      </w:r>
      <w:r>
        <w:t>As a result, amendments have been made to limit the scope of the rule.</w:t>
      </w:r>
    </w:p>
    <w:p w:rsidR="005F4624" w:rsidRPr="00B27D4A" w:rsidRDefault="005F4624" w:rsidP="005F4624">
      <w:pPr>
        <w:rPr>
          <w:sz w:val="20"/>
          <w:szCs w:val="20"/>
        </w:rPr>
      </w:pPr>
    </w:p>
    <w:p w:rsidR="00EA65AF" w:rsidRPr="00B27D4A" w:rsidRDefault="00EA65AF" w:rsidP="005F4624">
      <w:pPr>
        <w:rPr>
          <w:sz w:val="20"/>
          <w:szCs w:val="20"/>
        </w:rPr>
      </w:pPr>
    </w:p>
    <w:p w:rsidR="005F4624" w:rsidRPr="00670DFA" w:rsidRDefault="005F4624" w:rsidP="00B27D4A">
      <w:pPr>
        <w:pStyle w:val="Heading2"/>
      </w:pPr>
      <w:r w:rsidRPr="00670DFA">
        <w:t>Key features</w:t>
      </w:r>
    </w:p>
    <w:p w:rsidR="005F4624" w:rsidRPr="00670DFA" w:rsidRDefault="005F4624" w:rsidP="005F4624"/>
    <w:p w:rsidR="005F4624" w:rsidRDefault="005F4624" w:rsidP="005F4624">
      <w:r>
        <w:t>Amendments to section</w:t>
      </w:r>
      <w:r w:rsidR="001F2EF7">
        <w:t>s</w:t>
      </w:r>
      <w:r>
        <w:t xml:space="preserve"> CW 14 and HA 16 have been made so that the inter-corporate dividend exemption is available to companies that have previously been qualifying companies when either:</w:t>
      </w:r>
    </w:p>
    <w:p w:rsidR="005E41A7" w:rsidRPr="00B27D4A" w:rsidRDefault="005E41A7" w:rsidP="005F4624">
      <w:pPr>
        <w:rPr>
          <w:sz w:val="20"/>
          <w:szCs w:val="20"/>
        </w:rPr>
      </w:pPr>
    </w:p>
    <w:p w:rsidR="005F4624" w:rsidRDefault="005F4624" w:rsidP="00B27D4A">
      <w:pPr>
        <w:pStyle w:val="Bullets"/>
      </w:pPr>
      <w:r>
        <w:t>the dividend is derived at least seven years after the company ceased to be a qualifying company; or</w:t>
      </w:r>
    </w:p>
    <w:p w:rsidR="005F4624" w:rsidRPr="00670DFA" w:rsidRDefault="005F4624" w:rsidP="00B27D4A">
      <w:pPr>
        <w:pStyle w:val="Bullets"/>
        <w:spacing w:after="0"/>
      </w:pPr>
      <w:proofErr w:type="gramStart"/>
      <w:r>
        <w:t>the</w:t>
      </w:r>
      <w:proofErr w:type="gramEnd"/>
      <w:r>
        <w:t xml:space="preserve"> company never paid an un-imputed dividend while it was a qualifying company.</w:t>
      </w:r>
    </w:p>
    <w:p w:rsidR="005F4624" w:rsidRPr="00B27D4A" w:rsidRDefault="005F4624" w:rsidP="005F4624">
      <w:pPr>
        <w:rPr>
          <w:sz w:val="20"/>
          <w:szCs w:val="20"/>
        </w:rPr>
      </w:pPr>
    </w:p>
    <w:p w:rsidR="005F4624" w:rsidRDefault="005F4624" w:rsidP="005F4624">
      <w:r>
        <w:t>The amendment is retrospective to the 2005</w:t>
      </w:r>
      <w:r w:rsidR="00E83CBB">
        <w:t>–</w:t>
      </w:r>
      <w:r>
        <w:t xml:space="preserve">06 income </w:t>
      </w:r>
      <w:proofErr w:type="gramStart"/>
      <w:r>
        <w:t>year</w:t>
      </w:r>
      <w:proofErr w:type="gramEnd"/>
      <w:r>
        <w:t xml:space="preserve">. </w:t>
      </w:r>
      <w:r w:rsidR="00E83CBB">
        <w:t xml:space="preserve"> </w:t>
      </w:r>
      <w:r>
        <w:t>To achieve this, corresponding amendments to sections HG 10 and HG 10B of the Income Tax Act 2004 have been made.</w:t>
      </w:r>
    </w:p>
    <w:p w:rsidR="005F4624" w:rsidRPr="00B27D4A" w:rsidRDefault="005F4624" w:rsidP="005F4624">
      <w:pPr>
        <w:rPr>
          <w:sz w:val="20"/>
          <w:szCs w:val="20"/>
        </w:rPr>
      </w:pPr>
    </w:p>
    <w:p w:rsidR="005E41A7" w:rsidRPr="00B27D4A" w:rsidRDefault="005E41A7" w:rsidP="005F4624">
      <w:pPr>
        <w:rPr>
          <w:sz w:val="20"/>
          <w:szCs w:val="20"/>
        </w:rPr>
      </w:pPr>
    </w:p>
    <w:p w:rsidR="005F4624" w:rsidRPr="00670DFA" w:rsidRDefault="005F4624" w:rsidP="005F4624">
      <w:pPr>
        <w:pStyle w:val="Heading2"/>
      </w:pPr>
      <w:r w:rsidRPr="00670DFA">
        <w:t>Application date</w:t>
      </w:r>
    </w:p>
    <w:p w:rsidR="005F4624" w:rsidRPr="00B27D4A" w:rsidRDefault="005F4624" w:rsidP="005F4624">
      <w:pPr>
        <w:rPr>
          <w:sz w:val="20"/>
          <w:szCs w:val="20"/>
        </w:rPr>
      </w:pPr>
    </w:p>
    <w:p w:rsidR="005F4624" w:rsidRPr="00670DFA" w:rsidRDefault="005F4624" w:rsidP="005F4624">
      <w:r>
        <w:t>The amendment applies for the 2005</w:t>
      </w:r>
      <w:r w:rsidR="00E83CBB">
        <w:t>–</w:t>
      </w:r>
      <w:r>
        <w:t>06 and later income years.</w:t>
      </w:r>
    </w:p>
    <w:p w:rsidR="00E621B0" w:rsidRDefault="00E621B0">
      <w:pPr>
        <w:jc w:val="left"/>
        <w:rPr>
          <w:b/>
          <w:caps/>
        </w:rPr>
      </w:pPr>
      <w:r>
        <w:br w:type="page"/>
      </w:r>
    </w:p>
    <w:p w:rsidR="002279EB" w:rsidRDefault="00625E36" w:rsidP="002279EB">
      <w:pPr>
        <w:pStyle w:val="Heading1"/>
      </w:pPr>
      <w:r>
        <w:t>tainted capital gains</w:t>
      </w:r>
    </w:p>
    <w:p w:rsidR="002279EB" w:rsidRPr="00670619" w:rsidRDefault="002279EB" w:rsidP="002279EB"/>
    <w:p w:rsidR="002279EB" w:rsidRPr="00627EC1" w:rsidRDefault="00662B5C" w:rsidP="002279EB">
      <w:pPr>
        <w:pStyle w:val="Sections"/>
        <w:rPr>
          <w:b w:val="0"/>
        </w:rPr>
      </w:pPr>
      <w:r w:rsidRPr="00627EC1">
        <w:rPr>
          <w:b w:val="0"/>
        </w:rPr>
        <w:t>Section</w:t>
      </w:r>
      <w:r w:rsidR="0034511F" w:rsidRPr="00627EC1">
        <w:rPr>
          <w:b w:val="0"/>
        </w:rPr>
        <w:t>s</w:t>
      </w:r>
      <w:r w:rsidRPr="00627EC1">
        <w:rPr>
          <w:b w:val="0"/>
        </w:rPr>
        <w:t xml:space="preserve"> CD 44</w:t>
      </w:r>
      <w:r w:rsidR="00FC7378" w:rsidRPr="00627EC1">
        <w:rPr>
          <w:b w:val="0"/>
        </w:rPr>
        <w:t xml:space="preserve"> and CZ 9B</w:t>
      </w:r>
      <w:r w:rsidRPr="00627EC1">
        <w:rPr>
          <w:b w:val="0"/>
        </w:rPr>
        <w:t xml:space="preserve"> of the Income Tax Act 2007 </w:t>
      </w:r>
    </w:p>
    <w:p w:rsidR="002279EB" w:rsidRDefault="002279EB" w:rsidP="002279EB"/>
    <w:p w:rsidR="00173233" w:rsidRPr="00670DFA" w:rsidRDefault="00173233" w:rsidP="002279EB"/>
    <w:p w:rsidR="000C5E76" w:rsidRPr="00E36545" w:rsidRDefault="000C5E76" w:rsidP="000C5E76">
      <w:r w:rsidRPr="00E36545">
        <w:t xml:space="preserve">The scope of the “tainted capital gains” rule is being narrowed to address </w:t>
      </w:r>
      <w:r w:rsidR="0034511F">
        <w:t>a previous</w:t>
      </w:r>
      <w:r w:rsidRPr="00E36545">
        <w:t xml:space="preserve"> overreach of the rule</w:t>
      </w:r>
      <w:r>
        <w:t>,</w:t>
      </w:r>
      <w:r w:rsidRPr="00E36545">
        <w:t xml:space="preserve"> and </w:t>
      </w:r>
      <w:r>
        <w:t>make it much more targeted</w:t>
      </w:r>
      <w:r w:rsidRPr="00E36545">
        <w:t>.</w:t>
      </w:r>
    </w:p>
    <w:p w:rsidR="000C5E76" w:rsidRPr="00E36545" w:rsidRDefault="000C5E76" w:rsidP="000C5E76"/>
    <w:p w:rsidR="000C5E76" w:rsidRPr="00E36545" w:rsidRDefault="000C5E76" w:rsidP="000C5E76">
      <w:r w:rsidRPr="00E36545">
        <w:t>Specifically, the rule will only apply to asset sales between companies that have at least 85</w:t>
      </w:r>
      <w:r>
        <w:t xml:space="preserve"> percent</w:t>
      </w:r>
      <w:r w:rsidRPr="00E36545">
        <w:t xml:space="preserve"> common ownership, with the original owner</w:t>
      </w:r>
      <w:r>
        <w:t>s</w:t>
      </w:r>
      <w:r w:rsidRPr="00E36545">
        <w:t xml:space="preserve"> still retaining at least 85</w:t>
      </w:r>
      <w:r>
        <w:t xml:space="preserve"> percent</w:t>
      </w:r>
      <w:r w:rsidRPr="00E36545">
        <w:t xml:space="preserve"> interest in the asset at the time of liquidation.  </w:t>
      </w:r>
      <w:r w:rsidR="0034511F">
        <w:t>Previously, t</w:t>
      </w:r>
      <w:r w:rsidRPr="00E36545">
        <w:t>he rule applie</w:t>
      </w:r>
      <w:r w:rsidR="0034511F">
        <w:t>d</w:t>
      </w:r>
      <w:r w:rsidRPr="00E36545">
        <w:t xml:space="preserve"> to</w:t>
      </w:r>
      <w:r w:rsidR="00627EC1">
        <w:t xml:space="preserve"> any</w:t>
      </w:r>
      <w:r w:rsidRPr="00E36545">
        <w:t xml:space="preserve"> associated party transactions.</w:t>
      </w:r>
    </w:p>
    <w:p w:rsidR="002279EB" w:rsidRDefault="002279EB" w:rsidP="002279EB"/>
    <w:p w:rsidR="005E41A7" w:rsidRPr="00670DFA" w:rsidRDefault="005E41A7" w:rsidP="002279EB"/>
    <w:p w:rsidR="002279EB" w:rsidRPr="00670619" w:rsidRDefault="002279EB" w:rsidP="00857E7C">
      <w:pPr>
        <w:pStyle w:val="Heading2"/>
      </w:pPr>
      <w:r w:rsidRPr="00670DFA">
        <w:t>Background</w:t>
      </w:r>
    </w:p>
    <w:p w:rsidR="002279EB" w:rsidRPr="00670DFA" w:rsidRDefault="002279EB" w:rsidP="002279EB"/>
    <w:p w:rsidR="000C5E76" w:rsidRPr="00E36545" w:rsidRDefault="000C5E76" w:rsidP="000C5E76">
      <w:r w:rsidRPr="00E36545">
        <w:t>Capital gains derived at the company level cannot be distributed tax</w:t>
      </w:r>
      <w:r w:rsidR="00401CB0">
        <w:t>-</w:t>
      </w:r>
      <w:r w:rsidRPr="00E36545">
        <w:t xml:space="preserve">free by ordinary companies, except upon liquidation.  </w:t>
      </w:r>
      <w:r w:rsidR="00627EC1">
        <w:t>Previously t</w:t>
      </w:r>
      <w:r w:rsidRPr="00E36545">
        <w:t>he tainted capital gain</w:t>
      </w:r>
      <w:r w:rsidR="00BC1576">
        <w:t>s</w:t>
      </w:r>
      <w:r w:rsidRPr="00E36545">
        <w:t xml:space="preserve"> rule (in section CD 44(10B) of the Income Tax Act) taints a capital profit if it </w:t>
      </w:r>
      <w:r w:rsidR="00627EC1">
        <w:t>was</w:t>
      </w:r>
      <w:r w:rsidR="00627EC1" w:rsidRPr="00E36545">
        <w:t xml:space="preserve"> </w:t>
      </w:r>
      <w:r w:rsidRPr="00E36545">
        <w:t xml:space="preserve">realised through a sale of a capital asset to an associated person, making the gain taxable when distributed to shareholders in a liquidation.  There </w:t>
      </w:r>
      <w:r w:rsidR="00627EC1">
        <w:t>was</w:t>
      </w:r>
      <w:r w:rsidR="00627EC1" w:rsidRPr="00E36545">
        <w:t xml:space="preserve"> </w:t>
      </w:r>
      <w:r w:rsidRPr="00E36545">
        <w:t>one exception to the rule which applies to gains derived by a close company (as defined in section YA 1) that arise during the course of liquidation.</w:t>
      </w:r>
    </w:p>
    <w:p w:rsidR="000C5E76" w:rsidRPr="00E36545" w:rsidRDefault="000C5E76" w:rsidP="000C5E76">
      <w:pPr>
        <w:rPr>
          <w:lang w:val="en-AU" w:eastAsia="en-US"/>
        </w:rPr>
      </w:pPr>
    </w:p>
    <w:p w:rsidR="000C5E76" w:rsidRPr="00E36545" w:rsidRDefault="000C5E76" w:rsidP="000C5E76">
      <w:pPr>
        <w:rPr>
          <w:lang w:val="en-AU" w:eastAsia="en-US"/>
        </w:rPr>
      </w:pPr>
      <w:r w:rsidRPr="00E36545">
        <w:rPr>
          <w:lang w:val="en-AU" w:eastAsia="en-US"/>
        </w:rPr>
        <w:t xml:space="preserve">The </w:t>
      </w:r>
      <w:r w:rsidR="00BC1576">
        <w:rPr>
          <w:lang w:val="en-AU" w:eastAsia="en-US"/>
        </w:rPr>
        <w:t xml:space="preserve">policy rationale for </w:t>
      </w:r>
      <w:r w:rsidR="00627EC1">
        <w:rPr>
          <w:lang w:val="en-AU" w:eastAsia="en-US"/>
        </w:rPr>
        <w:t xml:space="preserve">the previous </w:t>
      </w:r>
      <w:r w:rsidR="00BC1576">
        <w:rPr>
          <w:lang w:val="en-AU" w:eastAsia="en-US"/>
        </w:rPr>
        <w:t>rule wa</w:t>
      </w:r>
      <w:r w:rsidRPr="00E36545">
        <w:rPr>
          <w:lang w:val="en-AU" w:eastAsia="en-US"/>
        </w:rPr>
        <w:t>s that sales of assets between associated persons (for example</w:t>
      </w:r>
      <w:r>
        <w:rPr>
          <w:lang w:val="en-AU" w:eastAsia="en-US"/>
        </w:rPr>
        <w:t>,</w:t>
      </w:r>
      <w:r w:rsidRPr="00E36545">
        <w:rPr>
          <w:lang w:val="en-AU" w:eastAsia="en-US"/>
        </w:rPr>
        <w:t xml:space="preserve"> sales within a group of companies) </w:t>
      </w:r>
      <w:r w:rsidR="00BC1576">
        <w:rPr>
          <w:lang w:val="en-AU" w:eastAsia="en-US"/>
        </w:rPr>
        <w:t>could</w:t>
      </w:r>
      <w:r w:rsidRPr="00E36545">
        <w:rPr>
          <w:lang w:val="en-AU" w:eastAsia="en-US"/>
        </w:rPr>
        <w:t xml:space="preserve"> be for the purposes of creating additional amounts of capital reserves for tax-free distribution, rather than for general commercial reasons.  </w:t>
      </w:r>
      <w:r w:rsidR="00BC1576">
        <w:rPr>
          <w:lang w:val="en-AU" w:eastAsia="en-US"/>
        </w:rPr>
        <w:t>The concern was that this</w:t>
      </w:r>
      <w:r w:rsidRPr="00E36545">
        <w:rPr>
          <w:lang w:val="en-AU" w:eastAsia="en-US"/>
        </w:rPr>
        <w:t xml:space="preserve"> would allow a company to distribute </w:t>
      </w:r>
      <w:r>
        <w:rPr>
          <w:lang w:val="en-AU" w:eastAsia="en-US"/>
        </w:rPr>
        <w:t>“</w:t>
      </w:r>
      <w:r w:rsidRPr="00E36545">
        <w:rPr>
          <w:lang w:val="en-AU" w:eastAsia="en-US"/>
        </w:rPr>
        <w:t>capital profits</w:t>
      </w:r>
      <w:r>
        <w:rPr>
          <w:lang w:val="en-AU" w:eastAsia="en-US"/>
        </w:rPr>
        <w:t>”</w:t>
      </w:r>
      <w:r w:rsidRPr="00E36545">
        <w:rPr>
          <w:lang w:val="en-AU" w:eastAsia="en-US"/>
        </w:rPr>
        <w:t xml:space="preserve"> tax</w:t>
      </w:r>
      <w:r w:rsidR="00401CB0">
        <w:rPr>
          <w:lang w:val="en-AU" w:eastAsia="en-US"/>
        </w:rPr>
        <w:t>-</w:t>
      </w:r>
      <w:r w:rsidRPr="00E36545">
        <w:rPr>
          <w:lang w:val="en-AU" w:eastAsia="en-US"/>
        </w:rPr>
        <w:t>free in lieu of dividends,</w:t>
      </w:r>
      <w:r>
        <w:rPr>
          <w:lang w:val="en-AU" w:eastAsia="en-US"/>
        </w:rPr>
        <w:t xml:space="preserve"> which would have been taxable.</w:t>
      </w:r>
    </w:p>
    <w:p w:rsidR="000C5E76" w:rsidRPr="00E36545" w:rsidRDefault="000C5E76" w:rsidP="000C5E76">
      <w:pPr>
        <w:rPr>
          <w:lang w:val="en-AU" w:eastAsia="en-US"/>
        </w:rPr>
      </w:pPr>
    </w:p>
    <w:p w:rsidR="000C5E76" w:rsidRPr="00E36545" w:rsidRDefault="000C5E76" w:rsidP="000C5E76">
      <w:pPr>
        <w:rPr>
          <w:lang w:val="en-AU" w:eastAsia="en-US"/>
        </w:rPr>
      </w:pPr>
      <w:r w:rsidRPr="00E36545">
        <w:rPr>
          <w:lang w:val="en-AU" w:eastAsia="en-US"/>
        </w:rPr>
        <w:t>The rule ha</w:t>
      </w:r>
      <w:r w:rsidR="00627EC1">
        <w:rPr>
          <w:lang w:val="en-AU" w:eastAsia="en-US"/>
        </w:rPr>
        <w:t>d</w:t>
      </w:r>
      <w:r w:rsidRPr="00E36545">
        <w:rPr>
          <w:lang w:val="en-AU" w:eastAsia="en-US"/>
        </w:rPr>
        <w:t xml:space="preserve"> its origins in the mid-1980s when some companies </w:t>
      </w:r>
      <w:r w:rsidR="00BC1576">
        <w:rPr>
          <w:lang w:val="en-AU" w:eastAsia="en-US"/>
        </w:rPr>
        <w:t>were selling</w:t>
      </w:r>
      <w:r w:rsidRPr="00E36545">
        <w:rPr>
          <w:lang w:val="en-AU" w:eastAsia="en-US"/>
        </w:rPr>
        <w:t xml:space="preserve"> assets to associated companies to generate capital gains that they could</w:t>
      </w:r>
      <w:r w:rsidR="00BC1576">
        <w:rPr>
          <w:lang w:val="en-AU" w:eastAsia="en-US"/>
        </w:rPr>
        <w:t xml:space="preserve"> at the time</w:t>
      </w:r>
      <w:r w:rsidRPr="00E36545">
        <w:rPr>
          <w:lang w:val="en-AU" w:eastAsia="en-US"/>
        </w:rPr>
        <w:t xml:space="preserve"> use to pay out tax-free dividends.  Major changes to tax settings since </w:t>
      </w:r>
      <w:r w:rsidR="00BC1576">
        <w:rPr>
          <w:lang w:val="en-AU" w:eastAsia="en-US"/>
        </w:rPr>
        <w:t>then</w:t>
      </w:r>
      <w:r w:rsidRPr="00E36545">
        <w:rPr>
          <w:lang w:val="en-AU" w:eastAsia="en-US"/>
        </w:rPr>
        <w:t>, in particular the introduction of the imputation regime and a comprehensive definition of what is a “dividend”, made the rule less relevant.</w:t>
      </w:r>
    </w:p>
    <w:p w:rsidR="000C5E76" w:rsidRPr="00E36545" w:rsidRDefault="000C5E76" w:rsidP="000C5E76">
      <w:pPr>
        <w:rPr>
          <w:lang w:val="en-AU" w:eastAsia="en-US"/>
        </w:rPr>
      </w:pPr>
    </w:p>
    <w:p w:rsidR="000C5E76" w:rsidRPr="00E36545" w:rsidRDefault="000C5E76" w:rsidP="000C5E76">
      <w:pPr>
        <w:rPr>
          <w:lang w:val="en-AU" w:eastAsia="en-US"/>
        </w:rPr>
      </w:pPr>
      <w:r w:rsidRPr="00E36545">
        <w:rPr>
          <w:lang w:val="en-AU" w:eastAsia="en-US"/>
        </w:rPr>
        <w:t>In practice, the</w:t>
      </w:r>
      <w:r w:rsidR="00627EC1">
        <w:rPr>
          <w:lang w:val="en-AU" w:eastAsia="en-US"/>
        </w:rPr>
        <w:t xml:space="preserve"> previous</w:t>
      </w:r>
      <w:r w:rsidRPr="00E36545">
        <w:rPr>
          <w:lang w:val="en-AU" w:eastAsia="en-US"/>
        </w:rPr>
        <w:t xml:space="preserve"> rule c</w:t>
      </w:r>
      <w:r w:rsidR="00627EC1">
        <w:rPr>
          <w:lang w:val="en-AU" w:eastAsia="en-US"/>
        </w:rPr>
        <w:t>ould</w:t>
      </w:r>
      <w:r w:rsidRPr="00E36545">
        <w:rPr>
          <w:lang w:val="en-AU" w:eastAsia="en-US"/>
        </w:rPr>
        <w:t xml:space="preserve"> capture genuine transactions when the sale </w:t>
      </w:r>
      <w:r w:rsidR="00627EC1">
        <w:rPr>
          <w:lang w:val="en-AU" w:eastAsia="en-US"/>
        </w:rPr>
        <w:t>wa</w:t>
      </w:r>
      <w:r w:rsidRPr="00E36545">
        <w:rPr>
          <w:lang w:val="en-AU" w:eastAsia="en-US"/>
        </w:rPr>
        <w:t>s not tax driven</w:t>
      </w:r>
      <w:r>
        <w:rPr>
          <w:lang w:val="en-AU" w:eastAsia="en-US"/>
        </w:rPr>
        <w:t xml:space="preserve"> –</w:t>
      </w:r>
      <w:r w:rsidRPr="00E36545">
        <w:rPr>
          <w:lang w:val="en-AU" w:eastAsia="en-US"/>
        </w:rPr>
        <w:t xml:space="preserve"> for example, the transfer of an asset as part of a genuine commercial restructure.  The restriction, therefore, extend</w:t>
      </w:r>
      <w:r w:rsidR="00627EC1">
        <w:rPr>
          <w:lang w:val="en-AU" w:eastAsia="en-US"/>
        </w:rPr>
        <w:t>ed</w:t>
      </w:r>
      <w:r w:rsidRPr="00E36545">
        <w:rPr>
          <w:lang w:val="en-AU" w:eastAsia="en-US"/>
        </w:rPr>
        <w:t xml:space="preserve"> beyond its intended ambit and applie</w:t>
      </w:r>
      <w:r w:rsidR="00627EC1">
        <w:rPr>
          <w:lang w:val="en-AU" w:eastAsia="en-US"/>
        </w:rPr>
        <w:t>d</w:t>
      </w:r>
      <w:r w:rsidRPr="00E36545">
        <w:rPr>
          <w:lang w:val="en-AU" w:eastAsia="en-US"/>
        </w:rPr>
        <w:t xml:space="preserve"> to gains made on sales to any associated party, not just an associated company.  Companies </w:t>
      </w:r>
      <w:r w:rsidR="00627EC1">
        <w:rPr>
          <w:lang w:val="en-AU" w:eastAsia="en-US"/>
        </w:rPr>
        <w:t>could</w:t>
      </w:r>
      <w:r w:rsidR="00627EC1" w:rsidRPr="00E36545">
        <w:rPr>
          <w:lang w:val="en-AU" w:eastAsia="en-US"/>
        </w:rPr>
        <w:t xml:space="preserve"> </w:t>
      </w:r>
      <w:r w:rsidRPr="00E36545">
        <w:rPr>
          <w:lang w:val="en-AU" w:eastAsia="en-US"/>
        </w:rPr>
        <w:t>often be inadvertently caught by the rule, resulting in their being unable to be subsequently liquidated without a tax impost.</w:t>
      </w:r>
    </w:p>
    <w:p w:rsidR="000C5E76" w:rsidRPr="00E36545" w:rsidRDefault="000C5E76" w:rsidP="000C5E76">
      <w:pPr>
        <w:rPr>
          <w:lang w:val="en-AU" w:eastAsia="en-US"/>
        </w:rPr>
      </w:pPr>
    </w:p>
    <w:p w:rsidR="000C5E76" w:rsidRPr="00E36545" w:rsidRDefault="000C5E76" w:rsidP="000C5E76">
      <w:pPr>
        <w:rPr>
          <w:lang w:val="en-AU" w:eastAsia="en-US"/>
        </w:rPr>
      </w:pPr>
      <w:r w:rsidRPr="00E36545">
        <w:rPr>
          <w:lang w:val="en-AU" w:eastAsia="en-US"/>
        </w:rPr>
        <w:t xml:space="preserve">The rule still has a role in the case of sales between companies that have significant commonality of ownership, where it provides protection against arrangements that are in effect in lieu of a taxable dividend.  The rule </w:t>
      </w:r>
      <w:r w:rsidR="00627EC1">
        <w:rPr>
          <w:lang w:val="en-AU" w:eastAsia="en-US"/>
        </w:rPr>
        <w:t>has</w:t>
      </w:r>
      <w:r w:rsidRPr="00E36545">
        <w:rPr>
          <w:lang w:val="en-AU" w:eastAsia="en-US"/>
        </w:rPr>
        <w:t>, therefore, be</w:t>
      </w:r>
      <w:r w:rsidR="00627EC1">
        <w:rPr>
          <w:lang w:val="en-AU" w:eastAsia="en-US"/>
        </w:rPr>
        <w:t>en</w:t>
      </w:r>
      <w:r w:rsidRPr="00E36545">
        <w:rPr>
          <w:lang w:val="en-AU" w:eastAsia="en-US"/>
        </w:rPr>
        <w:t xml:space="preserve"> confined to such instances.</w:t>
      </w:r>
    </w:p>
    <w:p w:rsidR="002279EB" w:rsidRDefault="002279EB" w:rsidP="002279EB"/>
    <w:p w:rsidR="005E41A7" w:rsidRPr="00670DFA" w:rsidRDefault="005E41A7" w:rsidP="002279EB"/>
    <w:p w:rsidR="00173233" w:rsidRDefault="00173233">
      <w:pPr>
        <w:jc w:val="left"/>
        <w:rPr>
          <w:b/>
        </w:rPr>
      </w:pPr>
      <w:r>
        <w:br w:type="page"/>
      </w:r>
    </w:p>
    <w:p w:rsidR="002279EB" w:rsidRPr="00670DFA" w:rsidRDefault="002279EB" w:rsidP="00857E7C">
      <w:pPr>
        <w:pStyle w:val="Heading2"/>
      </w:pPr>
      <w:r w:rsidRPr="00670DFA">
        <w:t>Key features</w:t>
      </w:r>
    </w:p>
    <w:p w:rsidR="002279EB" w:rsidRPr="00670DFA" w:rsidRDefault="002279EB" w:rsidP="002279EB"/>
    <w:p w:rsidR="000C5E76" w:rsidRPr="00E36545" w:rsidRDefault="000C5E76" w:rsidP="000C5E76">
      <w:r w:rsidRPr="00E36545">
        <w:t>The</w:t>
      </w:r>
      <w:r w:rsidR="00E621B0">
        <w:t xml:space="preserve"> previous</w:t>
      </w:r>
      <w:r w:rsidRPr="00E36545">
        <w:t xml:space="preserve"> rule and exception relating to capital gains (and capital losses) made on asset sales between associated companies (sections CD 44(10B) and (10C)) </w:t>
      </w:r>
      <w:r w:rsidR="00E621B0">
        <w:t>have been</w:t>
      </w:r>
      <w:r w:rsidRPr="00E36545">
        <w:t xml:space="preserve"> replaced with a rule that measures commonality of ownership interest both at the time the asset is sold and at the time of the liquidation distribution.</w:t>
      </w:r>
    </w:p>
    <w:p w:rsidR="000C5E76" w:rsidRPr="00E36545" w:rsidRDefault="000C5E76" w:rsidP="000C5E76"/>
    <w:p w:rsidR="000C5E76" w:rsidRPr="00E36545" w:rsidRDefault="000C5E76" w:rsidP="000C5E76">
      <w:pPr>
        <w:rPr>
          <w:rFonts w:eastAsiaTheme="minorHAnsi"/>
        </w:rPr>
      </w:pPr>
      <w:r w:rsidRPr="00E36545">
        <w:rPr>
          <w:rFonts w:eastAsiaTheme="minorHAnsi"/>
        </w:rPr>
        <w:t>A capital gain or capital loss amount will not arise (in other words, the amount is tainted) if:</w:t>
      </w:r>
    </w:p>
    <w:p w:rsidR="000C5E76" w:rsidRPr="00E36545" w:rsidRDefault="000C5E76" w:rsidP="000C5E76">
      <w:pPr>
        <w:rPr>
          <w:rFonts w:eastAsiaTheme="minorHAnsi"/>
        </w:rPr>
      </w:pPr>
    </w:p>
    <w:p w:rsidR="000C5E76" w:rsidRPr="00E36545" w:rsidRDefault="000C5E76" w:rsidP="000C5E76">
      <w:pPr>
        <w:spacing w:after="140"/>
        <w:ind w:left="567" w:hanging="567"/>
        <w:rPr>
          <w:rFonts w:eastAsiaTheme="minorHAnsi"/>
        </w:rPr>
      </w:pPr>
      <w:r w:rsidRPr="00E36545">
        <w:rPr>
          <w:rFonts w:eastAsiaTheme="minorHAnsi"/>
        </w:rPr>
        <w:t xml:space="preserve">(i) </w:t>
      </w:r>
      <w:r w:rsidRPr="00E36545">
        <w:rPr>
          <w:rFonts w:eastAsiaTheme="minorHAnsi"/>
        </w:rPr>
        <w:tab/>
        <w:t>at the time of disposal, a group of persons holds, in relation to the seller company (company A) and the buyer company, common voting interests or common market value</w:t>
      </w:r>
      <w:r>
        <w:rPr>
          <w:rFonts w:eastAsiaTheme="minorHAnsi"/>
        </w:rPr>
        <w:t xml:space="preserve"> interests of at least 85 percent; and</w:t>
      </w:r>
    </w:p>
    <w:p w:rsidR="000C5E76" w:rsidRPr="00E36545" w:rsidRDefault="000C5E76" w:rsidP="000C5E76">
      <w:pPr>
        <w:ind w:left="567" w:hanging="567"/>
        <w:rPr>
          <w:rFonts w:eastAsiaTheme="minorHAnsi"/>
        </w:rPr>
      </w:pPr>
      <w:r w:rsidRPr="00E36545">
        <w:rPr>
          <w:rFonts w:eastAsiaTheme="minorHAnsi"/>
        </w:rPr>
        <w:t xml:space="preserve">(ii) </w:t>
      </w:r>
      <w:r w:rsidRPr="00E36545">
        <w:rPr>
          <w:rFonts w:eastAsiaTheme="minorHAnsi"/>
        </w:rPr>
        <w:tab/>
      </w:r>
      <w:proofErr w:type="gramStart"/>
      <w:r w:rsidR="00E621B0">
        <w:rPr>
          <w:rFonts w:eastAsiaTheme="minorHAnsi"/>
        </w:rPr>
        <w:t>on</w:t>
      </w:r>
      <w:proofErr w:type="gramEnd"/>
      <w:r w:rsidR="00E621B0">
        <w:rPr>
          <w:rFonts w:eastAsiaTheme="minorHAnsi"/>
        </w:rPr>
        <w:t xml:space="preserve"> the</w:t>
      </w:r>
      <w:r w:rsidRPr="00E36545">
        <w:rPr>
          <w:rFonts w:eastAsiaTheme="minorHAnsi"/>
        </w:rPr>
        <w:t xml:space="preserve"> liquidation of company A, the company that owns the asset is company A or, if it is not company A, the percentage given by the following formula is 85</w:t>
      </w:r>
      <w:r>
        <w:rPr>
          <w:rFonts w:eastAsiaTheme="minorHAnsi"/>
        </w:rPr>
        <w:t xml:space="preserve"> percent</w:t>
      </w:r>
      <w:r w:rsidRPr="00E36545">
        <w:rPr>
          <w:rFonts w:eastAsiaTheme="minorHAnsi"/>
        </w:rPr>
        <w:t xml:space="preserve"> or more:</w:t>
      </w:r>
    </w:p>
    <w:p w:rsidR="000C5E76" w:rsidRPr="00E36545" w:rsidRDefault="000C5E76" w:rsidP="000C5E76">
      <w:pPr>
        <w:rPr>
          <w:rFonts w:eastAsiaTheme="minorHAnsi"/>
        </w:rPr>
      </w:pPr>
    </w:p>
    <w:p w:rsidR="000C5E76" w:rsidRPr="00A929AC" w:rsidRDefault="000C5E76" w:rsidP="000C5E76">
      <w:pPr>
        <w:jc w:val="center"/>
        <w:rPr>
          <w:rFonts w:eastAsiaTheme="minorHAnsi"/>
          <w:i/>
        </w:rPr>
      </w:pPr>
      <w:proofErr w:type="gramStart"/>
      <w:r w:rsidRPr="00A929AC">
        <w:rPr>
          <w:rFonts w:eastAsiaTheme="minorHAnsi"/>
          <w:i/>
        </w:rPr>
        <w:t>commonality</w:t>
      </w:r>
      <w:proofErr w:type="gramEnd"/>
      <w:r w:rsidRPr="00A929AC">
        <w:rPr>
          <w:rFonts w:eastAsiaTheme="minorHAnsi"/>
          <w:i/>
        </w:rPr>
        <w:t xml:space="preserve"> interest  </w:t>
      </w:r>
      <w:r w:rsidRPr="00E36545">
        <w:rPr>
          <w:i/>
        </w:rPr>
        <w:t>×</w:t>
      </w:r>
      <w:r w:rsidRPr="00A929AC">
        <w:rPr>
          <w:rFonts w:eastAsiaTheme="minorHAnsi"/>
          <w:i/>
        </w:rPr>
        <w:t xml:space="preserve">  ownership interest</w:t>
      </w:r>
    </w:p>
    <w:p w:rsidR="000C5E76" w:rsidRPr="00E36545" w:rsidRDefault="000C5E76" w:rsidP="000C5E76">
      <w:pPr>
        <w:jc w:val="center"/>
        <w:rPr>
          <w:rFonts w:eastAsiaTheme="minorHAnsi"/>
        </w:rPr>
      </w:pPr>
    </w:p>
    <w:p w:rsidR="000C5E76" w:rsidRPr="00E36545" w:rsidRDefault="000C5E76" w:rsidP="000C5E76">
      <w:pPr>
        <w:rPr>
          <w:rFonts w:eastAsiaTheme="minorHAnsi"/>
        </w:rPr>
      </w:pPr>
      <w:proofErr w:type="gramStart"/>
      <w:r w:rsidRPr="00E36545">
        <w:rPr>
          <w:rFonts w:eastAsiaTheme="minorHAnsi"/>
        </w:rPr>
        <w:t>where</w:t>
      </w:r>
      <w:proofErr w:type="gramEnd"/>
      <w:r w:rsidRPr="00E36545">
        <w:rPr>
          <w:rFonts w:eastAsiaTheme="minorHAnsi"/>
        </w:rPr>
        <w:t>:</w:t>
      </w:r>
    </w:p>
    <w:p w:rsidR="000C5E76" w:rsidRPr="00E36545" w:rsidRDefault="000C5E76" w:rsidP="000C5E76">
      <w:pPr>
        <w:rPr>
          <w:rFonts w:eastAsiaTheme="minorHAnsi"/>
        </w:rPr>
      </w:pPr>
    </w:p>
    <w:p w:rsidR="000C5E76" w:rsidRPr="00E36545" w:rsidRDefault="000C5E76" w:rsidP="000C5E76">
      <w:pPr>
        <w:ind w:left="567"/>
        <w:rPr>
          <w:rFonts w:eastAsiaTheme="minorHAnsi"/>
        </w:rPr>
      </w:pPr>
      <w:r w:rsidRPr="00E36545">
        <w:rPr>
          <w:rFonts w:eastAsiaTheme="minorHAnsi"/>
          <w:i/>
        </w:rPr>
        <w:t>commonality interest</w:t>
      </w:r>
      <w:r w:rsidRPr="00E36545">
        <w:rPr>
          <w:rFonts w:eastAsiaTheme="minorHAnsi"/>
        </w:rPr>
        <w:t xml:space="preserve"> is the percentage of common holding by a group of persons, for the owning company and company A, of common voting interests or common market value interests (if they are greater tha</w:t>
      </w:r>
      <w:r>
        <w:rPr>
          <w:rFonts w:eastAsiaTheme="minorHAnsi"/>
        </w:rPr>
        <w:t>n the common voting interests);</w:t>
      </w:r>
    </w:p>
    <w:p w:rsidR="000C5E76" w:rsidRPr="00E36545" w:rsidRDefault="000C5E76" w:rsidP="000C5E76">
      <w:pPr>
        <w:ind w:left="567"/>
        <w:rPr>
          <w:rFonts w:eastAsiaTheme="minorHAnsi"/>
        </w:rPr>
      </w:pPr>
    </w:p>
    <w:p w:rsidR="000C5E76" w:rsidRPr="00E36545" w:rsidRDefault="000C5E76" w:rsidP="000C5E76">
      <w:pPr>
        <w:ind w:left="567"/>
        <w:rPr>
          <w:rFonts w:eastAsiaTheme="minorHAnsi"/>
        </w:rPr>
      </w:pPr>
      <w:proofErr w:type="gramStart"/>
      <w:r w:rsidRPr="00E36545">
        <w:rPr>
          <w:rFonts w:eastAsiaTheme="minorHAnsi"/>
          <w:i/>
        </w:rPr>
        <w:t>ownership</w:t>
      </w:r>
      <w:proofErr w:type="gramEnd"/>
      <w:r w:rsidRPr="00E36545">
        <w:rPr>
          <w:rFonts w:eastAsiaTheme="minorHAnsi"/>
          <w:i/>
        </w:rPr>
        <w:t xml:space="preserve"> interest</w:t>
      </w:r>
      <w:r w:rsidRPr="00E36545">
        <w:rPr>
          <w:rFonts w:eastAsiaTheme="minorHAnsi"/>
        </w:rPr>
        <w:t xml:space="preserve"> is the percentage of ownership of the asset, by market</w:t>
      </w:r>
      <w:r>
        <w:rPr>
          <w:rFonts w:eastAsiaTheme="minorHAnsi"/>
        </w:rPr>
        <w:t xml:space="preserve"> value, for the owning company.</w:t>
      </w:r>
    </w:p>
    <w:p w:rsidR="000C5E76" w:rsidRPr="00E36545" w:rsidRDefault="000C5E76" w:rsidP="000C5E76"/>
    <w:p w:rsidR="000C5E76" w:rsidRDefault="000C5E76" w:rsidP="000C5E76">
      <w:r w:rsidRPr="00E36545">
        <w:t>For example, an asset of a company (company A) may be sold to another company (company B) in the same wholly owned group for a capital gain and at a later stage be on-sold to a non-associated company for a further capital gain, with both companies being liquidated.  Both gains will be non-taxable as the outcome of the series of transactions is that by the time of the liquidation distribution the asset has been sold to a company that has no common own</w:t>
      </w:r>
      <w:r>
        <w:t>ership with companies A and B.</w:t>
      </w:r>
    </w:p>
    <w:p w:rsidR="000C5E76" w:rsidRPr="00E36545" w:rsidRDefault="000C5E76" w:rsidP="000C5E76"/>
    <w:p w:rsidR="000C5E76" w:rsidRDefault="000C5E76" w:rsidP="000C5E76">
      <w:pPr>
        <w:rPr>
          <w:rFonts w:eastAsiaTheme="minorHAnsi"/>
        </w:rPr>
      </w:pPr>
      <w:r>
        <w:rPr>
          <w:rFonts w:eastAsiaTheme="minorHAnsi"/>
        </w:rPr>
        <w:t>If the owner at the time of liquidation is a non-corporate, (ii) above is not relevant (as that leg of the test requires some portion of the asset to be owned by a company).  The gain or loss will, therefore, not be tainted.</w:t>
      </w:r>
    </w:p>
    <w:p w:rsidR="000C5E76" w:rsidRDefault="000C5E76" w:rsidP="000C5E76">
      <w:pPr>
        <w:rPr>
          <w:rFonts w:eastAsiaTheme="minorHAnsi"/>
        </w:rPr>
      </w:pPr>
    </w:p>
    <w:p w:rsidR="000C5E76" w:rsidRDefault="000C5E76" w:rsidP="000C5E76">
      <w:pPr>
        <w:rPr>
          <w:rFonts w:eastAsiaTheme="minorHAnsi"/>
        </w:rPr>
      </w:pPr>
      <w:r w:rsidRPr="00E36545">
        <w:rPr>
          <w:rFonts w:eastAsiaTheme="minorHAnsi"/>
        </w:rPr>
        <w:t>The proposed threshold is set at 85</w:t>
      </w:r>
      <w:r>
        <w:rPr>
          <w:rFonts w:eastAsiaTheme="minorHAnsi"/>
        </w:rPr>
        <w:t xml:space="preserve"> percent</w:t>
      </w:r>
      <w:r w:rsidRPr="00E36545">
        <w:rPr>
          <w:rFonts w:eastAsiaTheme="minorHAnsi"/>
        </w:rPr>
        <w:t xml:space="preserve"> because a change of ownership to an unrelated third party of more than 15</w:t>
      </w:r>
      <w:r>
        <w:rPr>
          <w:rFonts w:eastAsiaTheme="minorHAnsi"/>
        </w:rPr>
        <w:t xml:space="preserve"> percent</w:t>
      </w:r>
      <w:r w:rsidRPr="00E36545">
        <w:rPr>
          <w:rFonts w:eastAsiaTheme="minorHAnsi"/>
        </w:rPr>
        <w:t xml:space="preserve"> provides sufficient assurance that the transaction is genuine and involves a real transfer of the underlying assets rather than</w:t>
      </w:r>
      <w:r>
        <w:rPr>
          <w:rFonts w:eastAsiaTheme="minorHAnsi"/>
        </w:rPr>
        <w:t xml:space="preserve">, say </w:t>
      </w:r>
      <w:r w:rsidRPr="00E36545">
        <w:rPr>
          <w:rFonts w:eastAsiaTheme="minorHAnsi"/>
        </w:rPr>
        <w:t>being in lieu of a dividend.</w:t>
      </w:r>
    </w:p>
    <w:p w:rsidR="00BC1576" w:rsidRDefault="00BC1576" w:rsidP="000C5E76">
      <w:pPr>
        <w:rPr>
          <w:rFonts w:eastAsiaTheme="minorHAnsi"/>
        </w:rPr>
      </w:pPr>
    </w:p>
    <w:p w:rsidR="005E41A7" w:rsidRDefault="005E41A7" w:rsidP="000C5E76">
      <w:pPr>
        <w:rPr>
          <w:rFonts w:eastAsiaTheme="minorHAnsi"/>
        </w:rPr>
      </w:pPr>
    </w:p>
    <w:p w:rsidR="00BC1576" w:rsidRPr="00670DFA" w:rsidRDefault="00BC1576" w:rsidP="00857E7C">
      <w:pPr>
        <w:pStyle w:val="Heading2"/>
      </w:pPr>
      <w:r>
        <w:t>Application date</w:t>
      </w:r>
    </w:p>
    <w:p w:rsidR="00BC1576" w:rsidRPr="00670DFA" w:rsidRDefault="00BC1576" w:rsidP="00BC1576"/>
    <w:p w:rsidR="00BC1576" w:rsidRPr="00670DFA" w:rsidRDefault="00BC1576" w:rsidP="00BC1576">
      <w:r>
        <w:t>The amendments come into force on the date of enactment and apply to distributions made on or after that date.</w:t>
      </w:r>
    </w:p>
    <w:p w:rsidR="00BC1576" w:rsidRDefault="00BC1576" w:rsidP="000C5E76">
      <w:pPr>
        <w:rPr>
          <w:rFonts w:eastAsiaTheme="minorHAnsi"/>
        </w:rPr>
      </w:pPr>
    </w:p>
    <w:p w:rsidR="005E41A7" w:rsidRDefault="005E41A7" w:rsidP="000C5E76">
      <w:pPr>
        <w:rPr>
          <w:rFonts w:eastAsiaTheme="minorHAnsi"/>
        </w:rPr>
      </w:pPr>
    </w:p>
    <w:p w:rsidR="00EA65AF" w:rsidRDefault="00EA65AF">
      <w:pPr>
        <w:jc w:val="left"/>
        <w:rPr>
          <w:rFonts w:eastAsiaTheme="minorHAnsi"/>
          <w:b/>
        </w:rPr>
      </w:pPr>
      <w:r>
        <w:rPr>
          <w:rFonts w:eastAsiaTheme="minorHAnsi"/>
          <w:b/>
        </w:rPr>
        <w:br w:type="page"/>
      </w:r>
    </w:p>
    <w:p w:rsidR="00BC1576" w:rsidRPr="00BC1576" w:rsidRDefault="00BC1576" w:rsidP="00857E7C">
      <w:pPr>
        <w:pStyle w:val="Heading2"/>
        <w:rPr>
          <w:rFonts w:eastAsiaTheme="minorHAnsi"/>
        </w:rPr>
      </w:pPr>
      <w:r w:rsidRPr="00BC1576">
        <w:rPr>
          <w:rFonts w:eastAsiaTheme="minorHAnsi"/>
        </w:rPr>
        <w:t>Detailed analysis</w:t>
      </w:r>
    </w:p>
    <w:p w:rsidR="00C04D09" w:rsidRDefault="00C04D09" w:rsidP="002279EB"/>
    <w:p w:rsidR="006D7A6A" w:rsidRDefault="006D7A6A" w:rsidP="00857E7C">
      <w:pPr>
        <w:pStyle w:val="Heading3"/>
      </w:pPr>
      <w:r>
        <w:t xml:space="preserve">Gains prior to </w:t>
      </w:r>
      <w:r w:rsidR="00BC1576">
        <w:t>date of enactment</w:t>
      </w:r>
    </w:p>
    <w:p w:rsidR="006D7A6A" w:rsidRDefault="006D7A6A" w:rsidP="002279EB">
      <w:pPr>
        <w:rPr>
          <w:b/>
          <w:i/>
        </w:rPr>
      </w:pPr>
    </w:p>
    <w:p w:rsidR="006D7A6A" w:rsidRDefault="006D7A6A" w:rsidP="002279EB">
      <w:r>
        <w:t>The new rules apply to liquidations of</w:t>
      </w:r>
      <w:r w:rsidR="00BC1576">
        <w:t xml:space="preserve"> a</w:t>
      </w:r>
      <w:r>
        <w:t xml:space="preserve"> company </w:t>
      </w:r>
      <w:r w:rsidR="00BC1576">
        <w:t>from the date of enactment</w:t>
      </w:r>
      <w:r>
        <w:t xml:space="preserve">. </w:t>
      </w:r>
      <w:r w:rsidR="00E10A54">
        <w:t xml:space="preserve"> </w:t>
      </w:r>
      <w:r>
        <w:t xml:space="preserve">This means the new formula applies to capital gain or loss amounts that were made prior to the </w:t>
      </w:r>
      <w:r w:rsidR="00BC1576">
        <w:t>date of enactment</w:t>
      </w:r>
      <w:r>
        <w:t xml:space="preserve"> as long as the liquidation occurred after</w:t>
      </w:r>
      <w:r w:rsidR="00BC1576">
        <w:t xml:space="preserve"> the date of enactment</w:t>
      </w:r>
      <w:r>
        <w:t>.</w:t>
      </w:r>
    </w:p>
    <w:p w:rsidR="006D7A6A" w:rsidRDefault="006D7A6A" w:rsidP="002279EB"/>
    <w:p w:rsidR="00FC7378" w:rsidRDefault="00FC7378" w:rsidP="002279EB">
      <w:r>
        <w:t xml:space="preserve">This includes gains made between 1988 and 2010 to which the “related persons” test previously applied. </w:t>
      </w:r>
      <w:r w:rsidR="00E10A54">
        <w:t xml:space="preserve"> </w:t>
      </w:r>
      <w:r>
        <w:t>To achieve this, section CZ 9B, which contains the related persons test</w:t>
      </w:r>
      <w:r w:rsidR="00E10A54">
        <w:t>,</w:t>
      </w:r>
      <w:r w:rsidR="00BC1576">
        <w:t xml:space="preserve"> and section CD </w:t>
      </w:r>
      <w:r w:rsidR="00CD228E">
        <w:t>44(</w:t>
      </w:r>
      <w:r w:rsidR="00BC1576">
        <w:t>14B</w:t>
      </w:r>
      <w:r w:rsidR="00CD228E">
        <w:t>)</w:t>
      </w:r>
      <w:r w:rsidR="00E10A54">
        <w:t>,</w:t>
      </w:r>
      <w:r w:rsidR="00BC1576">
        <w:t xml:space="preserve"> which cross</w:t>
      </w:r>
      <w:r w:rsidR="00E10A54">
        <w:t>-</w:t>
      </w:r>
      <w:r w:rsidR="00BC1576">
        <w:t>refers to section CZ 9B</w:t>
      </w:r>
      <w:r w:rsidR="00E10A54">
        <w:t>,</w:t>
      </w:r>
      <w:r>
        <w:t xml:space="preserve"> ha</w:t>
      </w:r>
      <w:r w:rsidR="00E10A54">
        <w:t>ve</w:t>
      </w:r>
      <w:r>
        <w:t xml:space="preserve"> been repealed.</w:t>
      </w:r>
    </w:p>
    <w:p w:rsidR="006D7A6A" w:rsidRDefault="006D7A6A" w:rsidP="006D7A6A"/>
    <w:p w:rsidR="00EA65AF" w:rsidRDefault="00EA65AF" w:rsidP="006D7A6A"/>
    <w:p w:rsidR="006D7A6A" w:rsidRDefault="006D7A6A" w:rsidP="006D7A6A">
      <w:pPr>
        <w:pStyle w:val="Exampleheading"/>
        <w:pBdr>
          <w:top w:val="single" w:sz="4" w:space="10" w:color="auto"/>
          <w:left w:val="single" w:sz="4" w:space="10" w:color="auto"/>
          <w:bottom w:val="single" w:sz="4" w:space="10" w:color="auto"/>
          <w:right w:val="single" w:sz="4" w:space="10" w:color="auto"/>
        </w:pBdr>
      </w:pPr>
      <w:r>
        <w:t>Example</w:t>
      </w:r>
    </w:p>
    <w:p w:rsidR="006D7A6A" w:rsidRDefault="006D7A6A" w:rsidP="006D7A6A">
      <w:pPr>
        <w:pStyle w:val="Exampletext"/>
        <w:pBdr>
          <w:top w:val="single" w:sz="4" w:space="10" w:color="auto"/>
          <w:left w:val="single" w:sz="4" w:space="10" w:color="auto"/>
          <w:bottom w:val="single" w:sz="4" w:space="10" w:color="auto"/>
          <w:right w:val="single" w:sz="4" w:space="10" w:color="auto"/>
        </w:pBdr>
      </w:pPr>
    </w:p>
    <w:p w:rsidR="006D7A6A" w:rsidRDefault="006D7A6A" w:rsidP="006D7A6A">
      <w:pPr>
        <w:pStyle w:val="Exampletext"/>
        <w:pBdr>
          <w:top w:val="single" w:sz="4" w:space="10" w:color="auto"/>
          <w:left w:val="single" w:sz="4" w:space="10" w:color="auto"/>
          <w:bottom w:val="single" w:sz="4" w:space="10" w:color="auto"/>
          <w:right w:val="single" w:sz="4" w:space="10" w:color="auto"/>
        </w:pBdr>
      </w:pPr>
      <w:r>
        <w:rPr>
          <w:b/>
          <w:noProof/>
        </w:rPr>
        <mc:AlternateContent>
          <mc:Choice Requires="wpc">
            <w:drawing>
              <wp:inline distT="0" distB="0" distL="0" distR="0" wp14:anchorId="68DF271D" wp14:editId="53EC7EF1">
                <wp:extent cx="5403272" cy="1330037"/>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0" name="Text Box 55"/>
                        <wps:cNvSpPr txBox="1"/>
                        <wps:spPr>
                          <a:xfrm>
                            <a:off x="2151303" y="514849"/>
                            <a:ext cx="427355"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Default="0050054A" w:rsidP="006D7A6A">
                              <w:pPr>
                                <w:pStyle w:val="NormalWeb"/>
                                <w:spacing w:before="0" w:beforeAutospacing="0" w:after="0" w:afterAutospacing="0"/>
                                <w:jc w:val="both"/>
                              </w:pPr>
                              <w:r>
                                <w:rPr>
                                  <w:rFonts w:eastAsia="Times New Roman"/>
                                  <w:color w:val="000000"/>
                                  <w:sz w:val="16"/>
                                  <w:szCs w:val="16"/>
                                </w:rPr>
                                <w:t>60%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924457" y="512905"/>
                            <a:ext cx="427633" cy="260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Pr="006D7A6A" w:rsidRDefault="0050054A" w:rsidP="006D7A6A">
                              <w:pPr>
                                <w:pStyle w:val="NormalWeb"/>
                                <w:spacing w:before="0" w:beforeAutospacing="0" w:after="0" w:afterAutospacing="0"/>
                                <w:jc w:val="both"/>
                                <w:rPr>
                                  <w:rFonts w:eastAsia="Times New Roman"/>
                                  <w:color w:val="000000"/>
                                  <w:sz w:val="16"/>
                                  <w:szCs w:val="16"/>
                                </w:rPr>
                              </w:pPr>
                              <w:r>
                                <w:rPr>
                                  <w:rFonts w:eastAsia="Times New Roman"/>
                                  <w:color w:val="000000"/>
                                  <w:sz w:val="16"/>
                                  <w:szCs w:val="16"/>
                                </w:rPr>
                                <w:t>6</w:t>
                              </w:r>
                              <w:r w:rsidRPr="006D7A6A">
                                <w:rPr>
                                  <w:rFonts w:eastAsia="Times New Roman"/>
                                  <w:color w:val="000000"/>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49"/>
                        <wps:cNvSpPr txBox="1"/>
                        <wps:spPr>
                          <a:xfrm>
                            <a:off x="3605718" y="567524"/>
                            <a:ext cx="48641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Default="0050054A" w:rsidP="006D7A6A">
                              <w:pPr>
                                <w:pStyle w:val="NormalWeb"/>
                                <w:spacing w:before="0" w:beforeAutospacing="0" w:after="0" w:afterAutospacing="0"/>
                                <w:jc w:val="both"/>
                              </w:pPr>
                              <w:r>
                                <w:rPr>
                                  <w:rFonts w:eastAsia="Times New Roman"/>
                                  <w:color w:val="000000"/>
                                  <w:sz w:val="16"/>
                                  <w:szCs w:val="16"/>
                                </w:rPr>
                                <w:t>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560536" y="567663"/>
                            <a:ext cx="487014" cy="249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054A" w:rsidRPr="006D7A6A" w:rsidRDefault="0050054A">
                              <w:pPr>
                                <w:rPr>
                                  <w:color w:val="000000"/>
                                  <w:sz w:val="16"/>
                                  <w:szCs w:val="16"/>
                                </w:rPr>
                              </w:pPr>
                              <w:r>
                                <w:rPr>
                                  <w:color w:val="000000"/>
                                  <w:sz w:val="16"/>
                                  <w:szCs w:val="16"/>
                                </w:rPr>
                                <w:t>4</w:t>
                              </w:r>
                              <w:r w:rsidRPr="006D7A6A">
                                <w:rPr>
                                  <w:color w:val="000000"/>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1907208" y="864765"/>
                            <a:ext cx="733425" cy="381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6D7A6A">
                              <w:pPr>
                                <w:pStyle w:val="NormalWeb"/>
                                <w:spacing w:before="0" w:beforeAutospacing="0" w:after="0" w:afterAutospacing="0"/>
                                <w:jc w:val="center"/>
                              </w:pPr>
                              <w:r>
                                <w:rPr>
                                  <w:rFonts w:eastAsia="Times New Roman"/>
                                  <w:color w:val="000000"/>
                                  <w:sz w:val="16"/>
                                  <w:szCs w:val="16"/>
                                </w:rPr>
                                <w:t>Beach Resort Ltd.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302172" y="227881"/>
                            <a:ext cx="733425" cy="273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6D7A6A">
                              <w:pPr>
                                <w:pStyle w:val="NormalWeb"/>
                                <w:spacing w:before="0" w:beforeAutospacing="0" w:after="0" w:afterAutospacing="0"/>
                                <w:jc w:val="center"/>
                              </w:pPr>
                              <w:r>
                                <w:rPr>
                                  <w:rFonts w:eastAsia="Times New Roman"/>
                                  <w:color w:val="000000"/>
                                  <w:sz w:val="16"/>
                                  <w:szCs w:val="16"/>
                                </w:rPr>
                                <w:t>Shareholder A</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20" name="Rectangle 20"/>
                        <wps:cNvSpPr/>
                        <wps:spPr>
                          <a:xfrm>
                            <a:off x="2351713" y="191875"/>
                            <a:ext cx="733425" cy="273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6D7A6A">
                              <w:pPr>
                                <w:pStyle w:val="NormalWeb"/>
                                <w:spacing w:before="0" w:beforeAutospacing="0" w:after="0" w:afterAutospacing="0"/>
                                <w:jc w:val="center"/>
                              </w:pPr>
                              <w:r>
                                <w:rPr>
                                  <w:rFonts w:eastAsia="Times New Roman"/>
                                  <w:color w:val="000000"/>
                                  <w:sz w:val="16"/>
                                  <w:szCs w:val="16"/>
                                </w:rPr>
                                <w:t>Shareholder B</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51" name="Rectangle 51"/>
                        <wps:cNvSpPr/>
                        <wps:spPr>
                          <a:xfrm>
                            <a:off x="2873033" y="877865"/>
                            <a:ext cx="732790" cy="3803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6D7A6A">
                              <w:pPr>
                                <w:pStyle w:val="NormalWeb"/>
                                <w:spacing w:before="0" w:beforeAutospacing="0" w:after="0" w:afterAutospacing="0"/>
                                <w:jc w:val="center"/>
                              </w:pPr>
                              <w:proofErr w:type="gramStart"/>
                              <w:r>
                                <w:rPr>
                                  <w:rFonts w:eastAsia="Times New Roman"/>
                                  <w:color w:val="000000"/>
                                  <w:sz w:val="16"/>
                                  <w:szCs w:val="16"/>
                                </w:rPr>
                                <w:t>Ice Cream Deluxe Ltd.</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3486971" y="191875"/>
                            <a:ext cx="732790" cy="273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54A" w:rsidRDefault="0050054A" w:rsidP="006D7A6A">
                              <w:pPr>
                                <w:pStyle w:val="NormalWeb"/>
                                <w:spacing w:before="0" w:beforeAutospacing="0" w:after="0" w:afterAutospacing="0"/>
                                <w:jc w:val="center"/>
                              </w:pPr>
                              <w:r>
                                <w:rPr>
                                  <w:rFonts w:eastAsia="Times New Roman"/>
                                  <w:color w:val="000000"/>
                                  <w:sz w:val="16"/>
                                  <w:szCs w:val="16"/>
                                </w:rPr>
                                <w:t>Shareholder C</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32" name="Straight Arrow Connector 32"/>
                        <wps:cNvCnPr>
                          <a:stCxn id="20" idx="2"/>
                          <a:endCxn id="8" idx="0"/>
                        </wps:cNvCnPr>
                        <wps:spPr>
                          <a:xfrm flipH="1">
                            <a:off x="2273921" y="465560"/>
                            <a:ext cx="444505" cy="3992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stCxn id="20" idx="2"/>
                          <a:endCxn id="51" idx="0"/>
                        </wps:cNvCnPr>
                        <wps:spPr>
                          <a:xfrm>
                            <a:off x="2718426" y="465560"/>
                            <a:ext cx="521002" cy="4123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a:stCxn id="52" idx="2"/>
                          <a:endCxn id="51" idx="0"/>
                        </wps:cNvCnPr>
                        <wps:spPr>
                          <a:xfrm flipH="1">
                            <a:off x="3239428" y="464925"/>
                            <a:ext cx="613938" cy="4129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stCxn id="12" idx="2"/>
                        </wps:cNvCnPr>
                        <wps:spPr>
                          <a:xfrm>
                            <a:off x="1668885" y="501566"/>
                            <a:ext cx="528050" cy="3628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7" o:spid="_x0000_s1071" editas="canvas" style="width:425.45pt;height:104.75pt;mso-position-horizontal-relative:char;mso-position-vertical-relative:line" coordsize="54032,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">
                <v:shape id="_x0000_s1072" type="#_x0000_t75" style="position:absolute;width:54032;height:13296;visibility:visible;mso-wrap-style:square">
                  <v:fill o:detectmouseclick="t"/>
                  <v:path o:connecttype="none"/>
                </v:shape>
                <v:shape id="Text Box 55" o:spid="_x0000_s1073" type="#_x0000_t202" style="position:absolute;left:21513;top:5148;width:4273;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50054A" w:rsidRDefault="0050054A" w:rsidP="006D7A6A">
                        <w:pPr>
                          <w:pStyle w:val="NormalWeb"/>
                          <w:spacing w:before="0" w:beforeAutospacing="0" w:after="0" w:afterAutospacing="0"/>
                          <w:jc w:val="both"/>
                        </w:pPr>
                        <w:r>
                          <w:rPr>
                            <w:rFonts w:eastAsia="Times New Roman"/>
                            <w:color w:val="000000"/>
                            <w:sz w:val="16"/>
                            <w:szCs w:val="16"/>
                          </w:rPr>
                          <w:t>60%</w:t>
                        </w:r>
                      </w:p>
                    </w:txbxContent>
                  </v:textbox>
                </v:shape>
                <v:shape id="Text Box 55" o:spid="_x0000_s1074" type="#_x0000_t202" style="position:absolute;left:29244;top:5129;width:4276;height:2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dgMYA&#10;AADbAAAADwAAAGRycy9kb3ducmV2LnhtbESPT2vCQBTE70K/w/IKvUjdWEkrqatIqX/wpqktvT2y&#10;r0lo9m3Irkn89q4geBxm5jfMbNGbSrTUuNKygvEoAkGcWV1yruArXT1PQTiPrLGyTArO5GAxfxjM&#10;MNG24z21B5+LAGGXoILC+zqR0mUFGXQjWxMH7882Bn2QTS51g12Am0q+RNGrNFhyWCiwpo+Csv/D&#10;ySj4HeY/O9evj90kntSfmzZ9+9apUk+P/fIdhKfe38O39lYriGO4fgk/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dgMYAAADbAAAADwAAAAAAAAAAAAAAAACYAgAAZHJz&#10;L2Rvd25yZXYueG1sUEsFBgAAAAAEAAQA9QAAAIsDAAAAAA==&#10;" fillcolor="white [3201]" stroked="f" strokeweight=".5pt">
                  <v:textbox>
                    <w:txbxContent>
                      <w:p w:rsidR="0050054A" w:rsidRPr="006D7A6A" w:rsidRDefault="0050054A" w:rsidP="006D7A6A">
                        <w:pPr>
                          <w:pStyle w:val="NormalWeb"/>
                          <w:spacing w:before="0" w:beforeAutospacing="0" w:after="0" w:afterAutospacing="0"/>
                          <w:jc w:val="both"/>
                          <w:rPr>
                            <w:rFonts w:eastAsia="Times New Roman"/>
                            <w:color w:val="000000"/>
                            <w:sz w:val="16"/>
                            <w:szCs w:val="16"/>
                          </w:rPr>
                        </w:pPr>
                        <w:r>
                          <w:rPr>
                            <w:rFonts w:eastAsia="Times New Roman"/>
                            <w:color w:val="000000"/>
                            <w:sz w:val="16"/>
                            <w:szCs w:val="16"/>
                          </w:rPr>
                          <w:t>6</w:t>
                        </w:r>
                        <w:r w:rsidRPr="006D7A6A">
                          <w:rPr>
                            <w:rFonts w:eastAsia="Times New Roman"/>
                            <w:color w:val="000000"/>
                            <w:sz w:val="16"/>
                            <w:szCs w:val="16"/>
                          </w:rPr>
                          <w:t>0%</w:t>
                        </w:r>
                      </w:p>
                    </w:txbxContent>
                  </v:textbox>
                </v:shape>
                <v:shape id="Text Box 49" o:spid="_x0000_s1075" type="#_x0000_t202" style="position:absolute;left:36057;top:5675;width:486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Xhc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k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XhcYAAADbAAAADwAAAAAAAAAAAAAAAACYAgAAZHJz&#10;L2Rvd25yZXYueG1sUEsFBgAAAAAEAAQA9QAAAIsDAAAAAA==&#10;" fillcolor="white [3201]" stroked="f" strokeweight=".5pt">
                  <v:textbox>
                    <w:txbxContent>
                      <w:p w:rsidR="0050054A" w:rsidRDefault="0050054A" w:rsidP="006D7A6A">
                        <w:pPr>
                          <w:pStyle w:val="NormalWeb"/>
                          <w:spacing w:before="0" w:beforeAutospacing="0" w:after="0" w:afterAutospacing="0"/>
                          <w:jc w:val="both"/>
                        </w:pPr>
                        <w:r>
                          <w:rPr>
                            <w:rFonts w:eastAsia="Times New Roman"/>
                            <w:color w:val="000000"/>
                            <w:sz w:val="16"/>
                            <w:szCs w:val="16"/>
                          </w:rPr>
                          <w:t>40%</w:t>
                        </w:r>
                      </w:p>
                    </w:txbxContent>
                  </v:textbox>
                </v:shape>
                <v:shape id="Text Box 49" o:spid="_x0000_s1076" type="#_x0000_t202" style="position:absolute;left:15605;top:5676;width:4870;height:2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50054A" w:rsidRPr="006D7A6A" w:rsidRDefault="0050054A">
                        <w:pPr>
                          <w:rPr>
                            <w:color w:val="000000"/>
                            <w:sz w:val="16"/>
                            <w:szCs w:val="16"/>
                          </w:rPr>
                        </w:pPr>
                        <w:r>
                          <w:rPr>
                            <w:color w:val="000000"/>
                            <w:sz w:val="16"/>
                            <w:szCs w:val="16"/>
                          </w:rPr>
                          <w:t>4</w:t>
                        </w:r>
                        <w:r w:rsidRPr="006D7A6A">
                          <w:rPr>
                            <w:color w:val="000000"/>
                            <w:sz w:val="16"/>
                            <w:szCs w:val="16"/>
                          </w:rPr>
                          <w:t>0%</w:t>
                        </w:r>
                      </w:p>
                    </w:txbxContent>
                  </v:textbox>
                </v:shape>
                <v:rect id="Rectangle 8" o:spid="_x0000_s1077" style="position:absolute;left:19072;top:8647;width:733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textbox>
                    <w:txbxContent>
                      <w:p w:rsidR="0050054A" w:rsidRDefault="0050054A" w:rsidP="006D7A6A">
                        <w:pPr>
                          <w:pStyle w:val="NormalWeb"/>
                          <w:spacing w:before="0" w:beforeAutospacing="0" w:after="0" w:afterAutospacing="0"/>
                          <w:jc w:val="center"/>
                        </w:pPr>
                        <w:r>
                          <w:rPr>
                            <w:rFonts w:eastAsia="Times New Roman"/>
                            <w:color w:val="000000"/>
                            <w:sz w:val="16"/>
                            <w:szCs w:val="16"/>
                          </w:rPr>
                          <w:t>Beach Resort Ltd.</w:t>
                        </w:r>
                      </w:p>
                    </w:txbxContent>
                  </v:textbox>
                </v:rect>
                <v:rect id="Rectangle 12" o:spid="_x0000_s1078" style="position:absolute;left:13021;top:2278;width:7334;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MsAA&#10;AADbAAAADwAAAGRycy9kb3ducmV2LnhtbERPS4vCMBC+L/gfwgheRNPtoUg1igjCXkTs7sHj0Ixt&#10;sZmUJn35683Cwt7m43vO7jCaWvTUusqygs91BII4t7riQsHP93m1AeE8ssbaMimYyMFhP/vYYart&#10;wDfqM1+IEMIuRQWl900qpctLMujWtiEO3MO2Bn2AbSF1i0MIN7WMoyiRBisODSU2dCopf2adUWDi&#10;ccgu3XS3yfUVDVx3y96QUov5eNyC8DT6f/Gf+0uH+TH8/hIOkP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LMsAAAADbAAAADwAAAAAAAAAAAAAAAACYAgAAZHJzL2Rvd25y&#10;ZXYueG1sUEsFBgAAAAAEAAQA9QAAAIUDAAAAAA==&#10;" filled="f" strokecolor="black [3213]" strokeweight="1pt">
                  <v:textbox inset="0,,0">
                    <w:txbxContent>
                      <w:p w:rsidR="0050054A" w:rsidRDefault="0050054A" w:rsidP="006D7A6A">
                        <w:pPr>
                          <w:pStyle w:val="NormalWeb"/>
                          <w:spacing w:before="0" w:beforeAutospacing="0" w:after="0" w:afterAutospacing="0"/>
                          <w:jc w:val="center"/>
                        </w:pPr>
                        <w:r>
                          <w:rPr>
                            <w:rFonts w:eastAsia="Times New Roman"/>
                            <w:color w:val="000000"/>
                            <w:sz w:val="16"/>
                            <w:szCs w:val="16"/>
                          </w:rPr>
                          <w:t>Shareholder A</w:t>
                        </w:r>
                      </w:p>
                    </w:txbxContent>
                  </v:textbox>
                </v:rect>
                <v:rect id="Rectangle 20" o:spid="_x0000_s1079" style="position:absolute;left:23517;top:1918;width:7334;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06Y78A&#10;AADbAAAADwAAAGRycy9kb3ducmV2LnhtbERPy4rCMBTdC/5DuMJsRNPpQobaWEQQ3AxiZxYuL821&#10;LTY3pUlffv1kIczycN5pNplGDNS52rKCz20EgriwuuZSwe/PefMFwnlkjY1lUjCTg+ywXKSYaDvy&#10;jYbclyKEsEtQQeV9m0jpiooMuq1tiQP3sJ1BH2BXSt3hGMJNI+Mo2kmDNYeGCls6VVQ8894oMPE0&#10;5t/9fLe76ysauenXgyGlPlbTcQ/C0+T/xW/3RSuIw/rwJfwAe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fTpjvwAAANsAAAAPAAAAAAAAAAAAAAAAAJgCAABkcnMvZG93bnJl&#10;di54bWxQSwUGAAAAAAQABAD1AAAAhAMAAAAA&#10;" filled="f" strokecolor="black [3213]" strokeweight="1pt">
                  <v:textbox inset="0,,0">
                    <w:txbxContent>
                      <w:p w:rsidR="0050054A" w:rsidRDefault="0050054A" w:rsidP="006D7A6A">
                        <w:pPr>
                          <w:pStyle w:val="NormalWeb"/>
                          <w:spacing w:before="0" w:beforeAutospacing="0" w:after="0" w:afterAutospacing="0"/>
                          <w:jc w:val="center"/>
                        </w:pPr>
                        <w:r>
                          <w:rPr>
                            <w:rFonts w:eastAsia="Times New Roman"/>
                            <w:color w:val="000000"/>
                            <w:sz w:val="16"/>
                            <w:szCs w:val="16"/>
                          </w:rPr>
                          <w:t>Shareholder B</w:t>
                        </w:r>
                      </w:p>
                    </w:txbxContent>
                  </v:textbox>
                </v:rect>
                <v:rect id="Rectangle 51" o:spid="_x0000_s1080" style="position:absolute;left:28730;top:8778;width:7328;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textbox>
                    <w:txbxContent>
                      <w:p w:rsidR="0050054A" w:rsidRDefault="0050054A" w:rsidP="006D7A6A">
                        <w:pPr>
                          <w:pStyle w:val="NormalWeb"/>
                          <w:spacing w:before="0" w:beforeAutospacing="0" w:after="0" w:afterAutospacing="0"/>
                          <w:jc w:val="center"/>
                        </w:pPr>
                        <w:proofErr w:type="gramStart"/>
                        <w:r>
                          <w:rPr>
                            <w:rFonts w:eastAsia="Times New Roman"/>
                            <w:color w:val="000000"/>
                            <w:sz w:val="16"/>
                            <w:szCs w:val="16"/>
                          </w:rPr>
                          <w:t>Ice Cream Deluxe Ltd.</w:t>
                        </w:r>
                        <w:proofErr w:type="gramEnd"/>
                      </w:p>
                    </w:txbxContent>
                  </v:textbox>
                </v:rect>
                <v:rect id="Rectangle 52" o:spid="_x0000_s1081" style="position:absolute;left:34869;top:1918;width:7328;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8sMA&#10;AADbAAAADwAAAGRycy9kb3ducmV2LnhtbESPzWrDMBCE74W+g9hCLiWWY2gIjmVTCoFeSqmbQ46L&#10;tbFNrJWx5L88fVUo9DjMzDdMViymExMNrrWsYBfFIIgrq1uuFZy/T9sDCOeRNXaWScFKDor88SHD&#10;VNuZv2gqfS0ChF2KChrv+1RKVzVk0EW2Jw7e1Q4GfZBDLfWAc4CbTiZxvJcGWw4LDfb01lB1K0ej&#10;wCTLXH6M68XuP+/xzN34PBlSavO0vB5BeFr8f/iv/a4VvCT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y8sMAAADbAAAADwAAAAAAAAAAAAAAAACYAgAAZHJzL2Rv&#10;d25yZXYueG1sUEsFBgAAAAAEAAQA9QAAAIgDAAAAAA==&#10;" filled="f" strokecolor="black [3213]" strokeweight="1pt">
                  <v:textbox inset="0,,0">
                    <w:txbxContent>
                      <w:p w:rsidR="0050054A" w:rsidRDefault="0050054A" w:rsidP="006D7A6A">
                        <w:pPr>
                          <w:pStyle w:val="NormalWeb"/>
                          <w:spacing w:before="0" w:beforeAutospacing="0" w:after="0" w:afterAutospacing="0"/>
                          <w:jc w:val="center"/>
                        </w:pPr>
                        <w:r>
                          <w:rPr>
                            <w:rFonts w:eastAsia="Times New Roman"/>
                            <w:color w:val="000000"/>
                            <w:sz w:val="16"/>
                            <w:szCs w:val="16"/>
                          </w:rPr>
                          <w:t>Shareholder C</w:t>
                        </w:r>
                      </w:p>
                    </w:txbxContent>
                  </v:textbox>
                </v:rect>
                <v:shape id="Straight Arrow Connector 32" o:spid="_x0000_s1082" type="#_x0000_t32" style="position:absolute;left:22739;top:4655;width:4445;height:39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oO9MAAAADbAAAADwAAAGRycy9kb3ducmV2LnhtbESP3WoCMRCF7wu+QxjBu5pVaZHVKKIV&#10;vGurPsC4GTfRzWRJUt2+fVMQvDycn48zX3auETcK0XpWMBoWIIgrry3XCo6H7esUREzIGhvPpOCX&#10;IiwXvZc5ltrf+Ztu+1SLPMKxRAUmpbaUMlaGHMahb4mzd/bBYcoy1FIHvOdx18hxUbxLh5YzwWBL&#10;a0PVdf/jMndlL2+boLn6OF3sVzD4eW5QqUG/W81AJOrSM/xo77SCyRj+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DvTAAAAA2wAAAA8AAAAAAAAAAAAAAAAA&#10;oQIAAGRycy9kb3ducmV2LnhtbFBLBQYAAAAABAAEAPkAAACOAwAAAAA=&#10;" strokecolor="black [3213]">
                  <v:stroke endarrow="open"/>
                </v:shape>
                <v:shape id="Straight Arrow Connector 37" o:spid="_x0000_s1083" type="#_x0000_t32" style="position:absolute;left:27184;top:4655;width:5210;height:4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auMAAAADbAAAADwAAAGRycy9kb3ducmV2LnhtbESPT4vCMBTE7wt+h/AEb2uqBZVqFPEP&#10;yN5WxfOjebalzUtJYq3f3iwIexxm5jfMatObRnTkfGVZwWScgCDOra64UHC9HL8XIHxA1thYJgUv&#10;8rBZD75WmGn75F/qzqEQEcI+QwVlCG0mpc9LMujHtiWO3t06gyFKV0jt8BnhppHTJJlJgxXHhRJb&#10;2pWU1+eHUVBxGni6T4/0c6jdvLjVnU2vSo2G/XYJIlAf/sOf9kkrSOfw9y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B2rjAAAAA2wAAAA8AAAAAAAAAAAAAAAAA&#10;oQIAAGRycy9kb3ducmV2LnhtbFBLBQYAAAAABAAEAPkAAACOAwAAAAA=&#10;" strokecolor="black [3213]">
                  <v:stroke endarrow="open"/>
                </v:shape>
                <v:shape id="Straight Arrow Connector 39" o:spid="_x0000_s1084" type="#_x0000_t32" style="position:absolute;left:32394;top:4649;width:6139;height:41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chcEAAADbAAAADwAAAGRycy9kb3ducmV2LnhtbESP3WoCMRCF7wu+QxihdzVbxaJbo4ha&#10;6J315wGmm3ETu5ksSdTt2xuh0MvD+fk4s0XnGnGlEK1nBa+DAgRx5bXlWsHx8PEyARETssbGMyn4&#10;pQiLee9phqX2N97RdZ9qkUc4lqjApNSWUsbKkMM48C1x9k4+OExZhlrqgLc87ho5LIo36dByJhhs&#10;aWWo+tlfXOYu7Xm8DpqrzffZfgWD21ODSj33u+U7iERd+g//tT+1gtEU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LpyFwQAAANsAAAAPAAAAAAAAAAAAAAAA&#10;AKECAABkcnMvZG93bnJldi54bWxQSwUGAAAAAAQABAD5AAAAjwMAAAAA&#10;" strokecolor="black [3213]">
                  <v:stroke endarrow="open"/>
                </v:shape>
                <v:shape id="Straight Arrow Connector 48" o:spid="_x0000_s1085" type="#_x0000_t32" style="position:absolute;left:16688;top:5015;width:5281;height:3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9t78AAADbAAAADwAAAGRycy9kb3ducmV2LnhtbERPyWrDMBC9F/oPYgq5NXLt0BQ3iilN&#10;DCG3LPQ8WFPb2BoZSbWdv48OgR4fb98Us+nFSM63lhW8LRMQxJXVLdcKrpfy9QOED8gae8uk4EYe&#10;iu3z0wZzbSc+0XgOtYgh7HNU0IQw5FL6qiGDfmkH4sj9WmcwROhqqR1OMdz0Mk2Sd2mw5djQ4EDf&#10;DVXd+c8oaDkLnO6yko77zq3rn2602VWpxcv89Qki0Bz+xQ/3QStYxbH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g9t78AAADbAAAADwAAAAAAAAAAAAAAAACh&#10;AgAAZHJzL2Rvd25yZXYueG1sUEsFBgAAAAAEAAQA+QAAAI0DAAAAAA==&#10;" strokecolor="black [3213]">
                  <v:stroke endarrow="open"/>
                </v:shape>
                <w10:anchorlock/>
              </v:group>
            </w:pict>
          </mc:Fallback>
        </mc:AlternateContent>
      </w:r>
    </w:p>
    <w:p w:rsidR="006D7A6A" w:rsidRDefault="006D7A6A" w:rsidP="006D7A6A">
      <w:pPr>
        <w:pStyle w:val="Exampletext"/>
        <w:pBdr>
          <w:top w:val="single" w:sz="4" w:space="10" w:color="auto"/>
          <w:left w:val="single" w:sz="4" w:space="10" w:color="auto"/>
          <w:bottom w:val="single" w:sz="4" w:space="10" w:color="auto"/>
          <w:right w:val="single" w:sz="4" w:space="10" w:color="auto"/>
        </w:pBdr>
      </w:pPr>
    </w:p>
    <w:p w:rsidR="006D7A6A" w:rsidRDefault="006D7A6A" w:rsidP="006D7A6A">
      <w:pPr>
        <w:pStyle w:val="Exampletext"/>
        <w:pBdr>
          <w:top w:val="single" w:sz="4" w:space="10" w:color="auto"/>
          <w:left w:val="single" w:sz="4" w:space="10" w:color="auto"/>
          <w:bottom w:val="single" w:sz="4" w:space="10" w:color="auto"/>
          <w:right w:val="single" w:sz="4" w:space="10" w:color="auto"/>
        </w:pBdr>
      </w:pPr>
      <w:r>
        <w:t>Beach Resort</w:t>
      </w:r>
      <w:r w:rsidR="00BC39EE">
        <w:t xml:space="preserve"> </w:t>
      </w:r>
      <w:r w:rsidR="00BC1576">
        <w:t>L</w:t>
      </w:r>
      <w:r>
        <w:t xml:space="preserve">td and Ice Cream Deluxe </w:t>
      </w:r>
      <w:r w:rsidR="00BC1576">
        <w:t>L</w:t>
      </w:r>
      <w:r>
        <w:t xml:space="preserve">td are associates due to having a shareholder with voting interests in each company of 60%. </w:t>
      </w:r>
      <w:r w:rsidR="00BC39EE">
        <w:t xml:space="preserve"> </w:t>
      </w:r>
      <w:r>
        <w:t>The remaining 40% of shareholdings are held by different persons for each company.</w:t>
      </w:r>
    </w:p>
    <w:p w:rsidR="006D7A6A" w:rsidRDefault="006D7A6A" w:rsidP="006D7A6A">
      <w:pPr>
        <w:pStyle w:val="Exampletext"/>
        <w:pBdr>
          <w:top w:val="single" w:sz="4" w:space="10" w:color="auto"/>
          <w:left w:val="single" w:sz="4" w:space="10" w:color="auto"/>
          <w:bottom w:val="single" w:sz="4" w:space="10" w:color="auto"/>
          <w:right w:val="single" w:sz="4" w:space="10" w:color="auto"/>
        </w:pBdr>
      </w:pPr>
    </w:p>
    <w:p w:rsidR="006D7A6A" w:rsidRDefault="006D7A6A" w:rsidP="006D7A6A">
      <w:pPr>
        <w:pStyle w:val="Exampletext"/>
        <w:pBdr>
          <w:top w:val="single" w:sz="4" w:space="10" w:color="auto"/>
          <w:left w:val="single" w:sz="4" w:space="10" w:color="auto"/>
          <w:bottom w:val="single" w:sz="4" w:space="10" w:color="auto"/>
          <w:right w:val="single" w:sz="4" w:space="10" w:color="auto"/>
        </w:pBdr>
      </w:pPr>
      <w:r>
        <w:t>O</w:t>
      </w:r>
      <w:r w:rsidR="00BC1576">
        <w:t>n 1 May 2005, Ice Cream Deluxe L</w:t>
      </w:r>
      <w:r>
        <w:t xml:space="preserve">td </w:t>
      </w:r>
      <w:r w:rsidR="001C123E">
        <w:t>sold its</w:t>
      </w:r>
      <w:r>
        <w:t xml:space="preserve"> ice cream cart to Beach Resort </w:t>
      </w:r>
      <w:r w:rsidR="00BC1576">
        <w:t>L</w:t>
      </w:r>
      <w:r>
        <w:t>td</w:t>
      </w:r>
      <w:r w:rsidR="00BC1576">
        <w:t xml:space="preserve"> with</w:t>
      </w:r>
      <w:r>
        <w:t xml:space="preserve"> Ice Cream Deluxe </w:t>
      </w:r>
      <w:r w:rsidR="00BC1576">
        <w:t>L</w:t>
      </w:r>
      <w:r>
        <w:t xml:space="preserve">td </w:t>
      </w:r>
      <w:r w:rsidR="00BC1576">
        <w:t>making</w:t>
      </w:r>
      <w:r>
        <w:t xml:space="preserve"> a capital gain of $10,000</w:t>
      </w:r>
      <w:r w:rsidR="00BC1576">
        <w:t xml:space="preserve"> on the transaction</w:t>
      </w:r>
      <w:r>
        <w:t>.</w:t>
      </w:r>
    </w:p>
    <w:p w:rsidR="006D7A6A" w:rsidRDefault="006D7A6A" w:rsidP="006D7A6A">
      <w:pPr>
        <w:pStyle w:val="Exampletext"/>
        <w:pBdr>
          <w:top w:val="single" w:sz="4" w:space="10" w:color="auto"/>
          <w:left w:val="single" w:sz="4" w:space="10" w:color="auto"/>
          <w:bottom w:val="single" w:sz="4" w:space="10" w:color="auto"/>
          <w:right w:val="single" w:sz="4" w:space="10" w:color="auto"/>
        </w:pBdr>
      </w:pPr>
    </w:p>
    <w:p w:rsidR="001B1B56" w:rsidRDefault="006D7A6A" w:rsidP="006D7A6A">
      <w:pPr>
        <w:pStyle w:val="Exampletext"/>
        <w:pBdr>
          <w:top w:val="single" w:sz="4" w:space="10" w:color="auto"/>
          <w:left w:val="single" w:sz="4" w:space="10" w:color="auto"/>
          <w:bottom w:val="single" w:sz="4" w:space="10" w:color="auto"/>
          <w:right w:val="single" w:sz="4" w:space="10" w:color="auto"/>
        </w:pBdr>
      </w:pPr>
      <w:r>
        <w:t>On 1 Se</w:t>
      </w:r>
      <w:r w:rsidR="00BC1576">
        <w:t>ptember 2018, Ice Cream Deluxe L</w:t>
      </w:r>
      <w:r>
        <w:t>td is liquidated.</w:t>
      </w:r>
      <w:r w:rsidR="002C7915">
        <w:t xml:space="preserve"> </w:t>
      </w:r>
      <w:r>
        <w:t xml:space="preserve"> The $10,000 capital gain is not tainted as </w:t>
      </w:r>
      <w:proofErr w:type="gramStart"/>
      <w:r>
        <w:t>no</w:t>
      </w:r>
      <w:proofErr w:type="gramEnd"/>
      <w:r>
        <w:t xml:space="preserve"> group of persons hold common voting interests of 85% or more in both companies.</w:t>
      </w:r>
    </w:p>
    <w:p w:rsidR="006D7A6A" w:rsidRDefault="006D7A6A" w:rsidP="002279EB"/>
    <w:p w:rsidR="00EA65AF" w:rsidRDefault="00EA65AF" w:rsidP="002279EB"/>
    <w:p w:rsidR="00E621B0" w:rsidRDefault="00E621B0" w:rsidP="00857E7C">
      <w:pPr>
        <w:pStyle w:val="Heading3"/>
      </w:pPr>
      <w:r>
        <w:t>Timing of liquidation</w:t>
      </w:r>
    </w:p>
    <w:p w:rsidR="00E621B0" w:rsidRPr="005E41A7" w:rsidRDefault="00E621B0" w:rsidP="002279EB"/>
    <w:p w:rsidR="00E621B0" w:rsidRPr="006D7A6A" w:rsidRDefault="00E621B0" w:rsidP="002279EB">
      <w:r>
        <w:t xml:space="preserve">The second part of the test looks at the ownership of the asset “on the liquidation of company A”. </w:t>
      </w:r>
      <w:r w:rsidR="00622969">
        <w:t xml:space="preserve"> </w:t>
      </w:r>
      <w:r>
        <w:t>The tim</w:t>
      </w:r>
      <w:r w:rsidR="00622969">
        <w:t xml:space="preserve">ing of </w:t>
      </w:r>
      <w:r>
        <w:t xml:space="preserve">this test </w:t>
      </w:r>
      <w:r w:rsidR="007811B9">
        <w:t>occurs</w:t>
      </w:r>
      <w:r>
        <w:t xml:space="preserve"> when</w:t>
      </w:r>
      <w:r w:rsidR="00544040">
        <w:t xml:space="preserve"> an</w:t>
      </w:r>
      <w:r w:rsidR="00040CC7">
        <w:t xml:space="preserve"> amount is</w:t>
      </w:r>
      <w:r>
        <w:t xml:space="preserve"> distributed on the liquidation of the company.</w:t>
      </w:r>
    </w:p>
    <w:p w:rsidR="006D7A6A" w:rsidRDefault="006D7A6A" w:rsidP="002279EB"/>
    <w:p w:rsidR="00C04D09" w:rsidRDefault="00C04D09" w:rsidP="00857E7C">
      <w:pPr>
        <w:pStyle w:val="Heading3"/>
      </w:pPr>
      <w:r>
        <w:t>Asset that has ceased to exist</w:t>
      </w:r>
    </w:p>
    <w:p w:rsidR="00C04D09" w:rsidRPr="005E41A7" w:rsidRDefault="00C04D09" w:rsidP="002279EB"/>
    <w:p w:rsidR="007C653F" w:rsidRDefault="00C04D09" w:rsidP="002279EB">
      <w:r>
        <w:t xml:space="preserve">If an asset ceases to exist </w:t>
      </w:r>
      <w:r w:rsidR="00E621B0">
        <w:t>on the liquidation</w:t>
      </w:r>
      <w:r w:rsidR="00DB6FD5">
        <w:t>,</w:t>
      </w:r>
      <w:r w:rsidR="007C653F">
        <w:t xml:space="preserve"> any capital gains or losses from the asset will not be tainted. </w:t>
      </w:r>
      <w:r w:rsidR="00DB6FD5">
        <w:t xml:space="preserve"> </w:t>
      </w:r>
      <w:r w:rsidR="007C653F">
        <w:t>This is because</w:t>
      </w:r>
      <w:r w:rsidR="00E621B0">
        <w:t>, at the time</w:t>
      </w:r>
      <w:r w:rsidR="00C417DC">
        <w:t>, no</w:t>
      </w:r>
      <w:r w:rsidR="007C653F">
        <w:t xml:space="preserve"> company owns the asset and so the second limb of the test above will not be met (company A will not own the asset and the ownership interest will be 0%).</w:t>
      </w:r>
    </w:p>
    <w:p w:rsidR="00EA65AF" w:rsidRDefault="00EA65AF">
      <w:pPr>
        <w:jc w:val="left"/>
      </w:pPr>
      <w:r>
        <w:br w:type="page"/>
      </w:r>
    </w:p>
    <w:p w:rsidR="007C653F" w:rsidRDefault="007C653F" w:rsidP="00EA65AF">
      <w:pPr>
        <w:pStyle w:val="Exampleheading"/>
        <w:pBdr>
          <w:top w:val="single" w:sz="4" w:space="10" w:color="auto"/>
          <w:left w:val="single" w:sz="4" w:space="10" w:color="auto"/>
          <w:bottom w:val="single" w:sz="4" w:space="10" w:color="auto"/>
          <w:right w:val="single" w:sz="4" w:space="10" w:color="auto"/>
        </w:pBdr>
      </w:pPr>
      <w:r>
        <w:t>Example</w:t>
      </w:r>
    </w:p>
    <w:p w:rsidR="007C653F" w:rsidRDefault="007C653F" w:rsidP="00EA65AF">
      <w:pPr>
        <w:pStyle w:val="Exampletext"/>
        <w:pBdr>
          <w:top w:val="single" w:sz="4" w:space="10" w:color="auto"/>
          <w:left w:val="single" w:sz="4" w:space="10" w:color="auto"/>
          <w:bottom w:val="single" w:sz="4" w:space="10" w:color="auto"/>
          <w:right w:val="single" w:sz="4" w:space="10" w:color="auto"/>
        </w:pBdr>
      </w:pPr>
    </w:p>
    <w:p w:rsidR="007C653F" w:rsidRDefault="0066236C" w:rsidP="00EA65AF">
      <w:pPr>
        <w:pStyle w:val="Exampletext"/>
        <w:pBdr>
          <w:top w:val="single" w:sz="4" w:space="10" w:color="auto"/>
          <w:left w:val="single" w:sz="4" w:space="10" w:color="auto"/>
          <w:bottom w:val="single" w:sz="4" w:space="10" w:color="auto"/>
          <w:right w:val="single" w:sz="4" w:space="10" w:color="auto"/>
        </w:pBdr>
      </w:pPr>
      <w:r>
        <w:t>Company A</w:t>
      </w:r>
      <w:r w:rsidR="007C653F">
        <w:t xml:space="preserve"> acquires a boat </w:t>
      </w:r>
      <w:r w:rsidR="00040CC7">
        <w:t>for $400,000</w:t>
      </w:r>
      <w:r w:rsidR="007C653F">
        <w:t xml:space="preserve">. </w:t>
      </w:r>
      <w:r w:rsidR="006C2C2E">
        <w:t xml:space="preserve"> </w:t>
      </w:r>
      <w:r>
        <w:t xml:space="preserve">Company A </w:t>
      </w:r>
      <w:r w:rsidR="007C653F">
        <w:t>sells the boat to</w:t>
      </w:r>
      <w:r>
        <w:t xml:space="preserve"> Company B</w:t>
      </w:r>
      <w:r w:rsidR="007C653F">
        <w:t xml:space="preserve"> for $500,000. </w:t>
      </w:r>
      <w:r w:rsidR="006C2C2E">
        <w:t xml:space="preserve"> </w:t>
      </w:r>
      <w:r>
        <w:t xml:space="preserve">Company A </w:t>
      </w:r>
      <w:r w:rsidR="007C653F">
        <w:t>and</w:t>
      </w:r>
      <w:r>
        <w:t xml:space="preserve"> Company B</w:t>
      </w:r>
      <w:r w:rsidR="007C653F">
        <w:t xml:space="preserve"> </w:t>
      </w:r>
      <w:proofErr w:type="gramStart"/>
      <w:r w:rsidR="007C653F">
        <w:t>have</w:t>
      </w:r>
      <w:proofErr w:type="gramEnd"/>
      <w:r w:rsidR="007C653F">
        <w:t xml:space="preserve"> common voting interests of 90%. </w:t>
      </w:r>
    </w:p>
    <w:p w:rsidR="007C653F" w:rsidRDefault="007C653F" w:rsidP="00EA65AF">
      <w:pPr>
        <w:pStyle w:val="Exampletext"/>
        <w:pBdr>
          <w:top w:val="single" w:sz="4" w:space="10" w:color="auto"/>
          <w:left w:val="single" w:sz="4" w:space="10" w:color="auto"/>
          <w:bottom w:val="single" w:sz="4" w:space="10" w:color="auto"/>
          <w:right w:val="single" w:sz="4" w:space="10" w:color="auto"/>
        </w:pBdr>
      </w:pPr>
    </w:p>
    <w:p w:rsidR="007C653F" w:rsidRDefault="007C653F" w:rsidP="00EA65AF">
      <w:pPr>
        <w:pStyle w:val="Exampletext"/>
        <w:pBdr>
          <w:top w:val="single" w:sz="4" w:space="10" w:color="auto"/>
          <w:left w:val="single" w:sz="4" w:space="10" w:color="auto"/>
          <w:bottom w:val="single" w:sz="4" w:space="10" w:color="auto"/>
          <w:right w:val="single" w:sz="4" w:space="10" w:color="auto"/>
        </w:pBdr>
      </w:pPr>
      <w:r>
        <w:t xml:space="preserve">The boat </w:t>
      </w:r>
      <w:r w:rsidR="00040CC7">
        <w:t>sinks</w:t>
      </w:r>
      <w:r>
        <w:t xml:space="preserve"> and</w:t>
      </w:r>
      <w:r w:rsidR="0066236C">
        <w:t xml:space="preserve"> Company B</w:t>
      </w:r>
      <w:r>
        <w:t xml:space="preserve"> has to write off the asset</w:t>
      </w:r>
      <w:r w:rsidR="00040CC7">
        <w:t xml:space="preserve"> as it is neither salvageable nor insured</w:t>
      </w:r>
      <w:r w:rsidR="009E7CD7">
        <w:t>.  C</w:t>
      </w:r>
      <w:r w:rsidR="0066236C">
        <w:t>ompany A</w:t>
      </w:r>
      <w:r>
        <w:t xml:space="preserve"> and</w:t>
      </w:r>
      <w:r w:rsidR="0066236C">
        <w:t xml:space="preserve"> Company B</w:t>
      </w:r>
      <w:r>
        <w:t xml:space="preserve"> subsequently </w:t>
      </w:r>
      <w:proofErr w:type="gramStart"/>
      <w:r>
        <w:t>liquidate</w:t>
      </w:r>
      <w:proofErr w:type="gramEnd"/>
      <w:r>
        <w:t>.</w:t>
      </w:r>
    </w:p>
    <w:p w:rsidR="007C653F" w:rsidRDefault="007C653F" w:rsidP="00EA65AF">
      <w:pPr>
        <w:pStyle w:val="Exampletext"/>
        <w:pBdr>
          <w:top w:val="single" w:sz="4" w:space="10" w:color="auto"/>
          <w:left w:val="single" w:sz="4" w:space="10" w:color="auto"/>
          <w:bottom w:val="single" w:sz="4" w:space="10" w:color="auto"/>
          <w:right w:val="single" w:sz="4" w:space="10" w:color="auto"/>
        </w:pBdr>
      </w:pPr>
    </w:p>
    <w:p w:rsidR="007C653F" w:rsidRPr="00C04D09" w:rsidRDefault="007C653F" w:rsidP="005E7967">
      <w:pPr>
        <w:pStyle w:val="Exampletext"/>
        <w:pBdr>
          <w:top w:val="single" w:sz="4" w:space="10" w:color="auto"/>
          <w:left w:val="single" w:sz="4" w:space="10" w:color="auto"/>
          <w:bottom w:val="single" w:sz="4" w:space="10" w:color="auto"/>
          <w:right w:val="single" w:sz="4" w:space="10" w:color="auto"/>
        </w:pBdr>
      </w:pPr>
      <w:r>
        <w:t>The $100,000 capital gain for</w:t>
      </w:r>
      <w:r w:rsidR="0066236C">
        <w:t xml:space="preserve"> Company A</w:t>
      </w:r>
      <w:r>
        <w:t xml:space="preserve"> and the $500,000 capital loss for </w:t>
      </w:r>
      <w:r w:rsidR="0066236C">
        <w:t>Company B</w:t>
      </w:r>
      <w:r>
        <w:t xml:space="preserve"> will not be tainted. </w:t>
      </w:r>
      <w:r w:rsidR="00541ED0">
        <w:t xml:space="preserve"> </w:t>
      </w:r>
      <w:r>
        <w:t xml:space="preserve">This is because </w:t>
      </w:r>
      <w:r w:rsidR="00E621B0">
        <w:t>on the liquidation</w:t>
      </w:r>
      <w:r w:rsidR="00541ED0">
        <w:t>,</w:t>
      </w:r>
      <w:r>
        <w:t xml:space="preserve"> </w:t>
      </w:r>
      <w:proofErr w:type="gramStart"/>
      <w:r>
        <w:t>neither</w:t>
      </w:r>
      <w:r w:rsidR="0066236C">
        <w:t xml:space="preserve"> Company A</w:t>
      </w:r>
      <w:r>
        <w:t xml:space="preserve"> nor</w:t>
      </w:r>
      <w:r w:rsidR="0066236C">
        <w:t xml:space="preserve"> Company B</w:t>
      </w:r>
      <w:r>
        <w:t xml:space="preserve"> own the asset and</w:t>
      </w:r>
      <w:proofErr w:type="gramEnd"/>
      <w:r>
        <w:t xml:space="preserve"> the ownership interest for the asset is 0% as </w:t>
      </w:r>
      <w:r w:rsidR="00130694">
        <w:t xml:space="preserve">no one </w:t>
      </w:r>
      <w:r>
        <w:t>own</w:t>
      </w:r>
      <w:r w:rsidR="00130694">
        <w:t>s it</w:t>
      </w:r>
      <w:r w:rsidR="00367CD0">
        <w:t>.</w:t>
      </w:r>
    </w:p>
    <w:p w:rsidR="000C5E76" w:rsidRDefault="000C5E76" w:rsidP="002279EB"/>
    <w:p w:rsidR="00857E7C" w:rsidRDefault="00857E7C" w:rsidP="002279EB"/>
    <w:p w:rsidR="002279EB" w:rsidRPr="00670DFA" w:rsidRDefault="00EB3E64" w:rsidP="002279EB">
      <w:pPr>
        <w:pStyle w:val="Heading2"/>
      </w:pPr>
      <w:r>
        <w:t>Application date</w:t>
      </w:r>
    </w:p>
    <w:p w:rsidR="002279EB" w:rsidRPr="00670DFA" w:rsidRDefault="002279EB" w:rsidP="002279EB"/>
    <w:p w:rsidR="002279EB" w:rsidRPr="00670DFA" w:rsidRDefault="00F867D0" w:rsidP="002279EB">
      <w:r>
        <w:t>The amendments c</w:t>
      </w:r>
      <w:r w:rsidR="00367CD0">
        <w:t>a</w:t>
      </w:r>
      <w:r>
        <w:t xml:space="preserve">me into force on </w:t>
      </w:r>
      <w:r w:rsidR="0089129E">
        <w:t xml:space="preserve">30 March 2017, being </w:t>
      </w:r>
      <w:r>
        <w:t>the date of enactment</w:t>
      </w:r>
      <w:r w:rsidR="0089129E">
        <w:t>,</w:t>
      </w:r>
      <w:r>
        <w:t xml:space="preserve"> and apply to distributions made on or after that date.</w:t>
      </w:r>
    </w:p>
    <w:p w:rsidR="00E621B0" w:rsidRDefault="00E621B0">
      <w:pPr>
        <w:jc w:val="left"/>
        <w:rPr>
          <w:b/>
          <w:caps/>
        </w:rPr>
      </w:pPr>
      <w:r>
        <w:br w:type="page"/>
      </w:r>
    </w:p>
    <w:p w:rsidR="002279EB" w:rsidRDefault="00625E36" w:rsidP="002279EB">
      <w:pPr>
        <w:pStyle w:val="Heading1"/>
      </w:pPr>
      <w:r>
        <w:t>rwt on dividends</w:t>
      </w:r>
    </w:p>
    <w:p w:rsidR="002279EB" w:rsidRPr="00670619" w:rsidRDefault="002279EB" w:rsidP="002279EB"/>
    <w:p w:rsidR="002279EB" w:rsidRPr="00FF169E" w:rsidRDefault="002279EB" w:rsidP="002279EB">
      <w:pPr>
        <w:pStyle w:val="Sections"/>
        <w:rPr>
          <w:b w:val="0"/>
        </w:rPr>
      </w:pPr>
      <w:r w:rsidRPr="00FF169E">
        <w:rPr>
          <w:b w:val="0"/>
        </w:rPr>
        <w:t xml:space="preserve">Sections </w:t>
      </w:r>
      <w:r w:rsidR="00662B5C" w:rsidRPr="00FF169E">
        <w:rPr>
          <w:b w:val="0"/>
        </w:rPr>
        <w:t>CD 39, RD 36, RE 2, RE 13, RE 14 and RE 14B of the Income Tax Act 2007</w:t>
      </w:r>
    </w:p>
    <w:p w:rsidR="002279EB" w:rsidRDefault="002279EB" w:rsidP="002279EB"/>
    <w:p w:rsidR="0089129E" w:rsidRPr="00670DFA" w:rsidRDefault="0089129E" w:rsidP="002279EB"/>
    <w:p w:rsidR="000C5E76" w:rsidRDefault="00E04F60" w:rsidP="000C5E76">
      <w:r>
        <w:t>A</w:t>
      </w:r>
      <w:r w:rsidR="000C5E76" w:rsidRPr="00E36545">
        <w:t>mendments</w:t>
      </w:r>
      <w:r>
        <w:t xml:space="preserve"> have been made</w:t>
      </w:r>
      <w:r w:rsidR="000C5E76" w:rsidRPr="00E36545">
        <w:t xml:space="preserve"> to </w:t>
      </w:r>
      <w:r w:rsidR="000C5E76">
        <w:t xml:space="preserve">deal with </w:t>
      </w:r>
      <w:r w:rsidR="000C5E76" w:rsidRPr="00E36545">
        <w:t>the over-taxation of certain dividends under the residen</w:t>
      </w:r>
      <w:r w:rsidR="000C5E76">
        <w:t>t withholding tax (RWT) rules:</w:t>
      </w:r>
    </w:p>
    <w:p w:rsidR="000C5E76" w:rsidRPr="00E36545" w:rsidRDefault="000C5E76" w:rsidP="000C5E76"/>
    <w:p w:rsidR="000C5E76" w:rsidRPr="00E36545" w:rsidRDefault="000C5E76" w:rsidP="0089129E">
      <w:pPr>
        <w:pStyle w:val="Bullets"/>
      </w:pPr>
      <w:r w:rsidRPr="00E36545">
        <w:t xml:space="preserve">The first </w:t>
      </w:r>
      <w:r w:rsidR="00C916C3">
        <w:t xml:space="preserve">change </w:t>
      </w:r>
      <w:r w:rsidRPr="00E36545">
        <w:t>allow</w:t>
      </w:r>
      <w:r w:rsidR="00A50BFD">
        <w:t>s</w:t>
      </w:r>
      <w:r w:rsidRPr="00E36545">
        <w:t xml:space="preserve"> a company to opt out of deducting RWT from a fully imputed dividend paid to corporate shareholders.</w:t>
      </w:r>
    </w:p>
    <w:p w:rsidR="000C5E76" w:rsidRPr="00E36545" w:rsidRDefault="000C5E76" w:rsidP="0089129E">
      <w:pPr>
        <w:pStyle w:val="Bullets"/>
        <w:spacing w:after="0"/>
      </w:pPr>
      <w:r w:rsidRPr="00E36545">
        <w:t xml:space="preserve">The second </w:t>
      </w:r>
      <w:r w:rsidR="00C916C3">
        <w:t xml:space="preserve">change </w:t>
      </w:r>
      <w:r w:rsidRPr="00E36545">
        <w:t>provides a new formula for determining the RWT obligation when cash and non-cash divide</w:t>
      </w:r>
      <w:r>
        <w:t>nds are paid contemporaneously.</w:t>
      </w:r>
    </w:p>
    <w:p w:rsidR="000C5E76" w:rsidRPr="00E36545" w:rsidRDefault="000C5E76" w:rsidP="000C5E76"/>
    <w:p w:rsidR="000C5E76" w:rsidRPr="00E36545" w:rsidRDefault="000C5E76" w:rsidP="000C5E76">
      <w:r w:rsidRPr="00E36545">
        <w:t xml:space="preserve">A third amendment </w:t>
      </w:r>
      <w:r>
        <w:t xml:space="preserve">deals with </w:t>
      </w:r>
      <w:r w:rsidRPr="00E36545">
        <w:t>an unintended restriction, because of the need to deduct RWT, on the rule which allows a dividend to be backdated to clear a shareholder’s current account.</w:t>
      </w:r>
    </w:p>
    <w:p w:rsidR="002279EB" w:rsidRDefault="002279EB" w:rsidP="002279EB"/>
    <w:p w:rsidR="00EA65AF" w:rsidRPr="00670DFA" w:rsidRDefault="00EA65AF" w:rsidP="002279EB"/>
    <w:p w:rsidR="002279EB" w:rsidRPr="00670619" w:rsidRDefault="002279EB" w:rsidP="0089129E">
      <w:pPr>
        <w:pStyle w:val="Heading2"/>
      </w:pPr>
      <w:r w:rsidRPr="00670DFA">
        <w:t>Background</w:t>
      </w:r>
    </w:p>
    <w:p w:rsidR="002279EB" w:rsidRPr="00670DFA" w:rsidRDefault="002279EB" w:rsidP="002279EB"/>
    <w:p w:rsidR="000C5E76" w:rsidRPr="00E36545" w:rsidRDefault="000C5E76" w:rsidP="0089129E">
      <w:pPr>
        <w:pStyle w:val="Heading3"/>
        <w:rPr>
          <w:lang w:val="en-AU" w:eastAsia="en-US"/>
        </w:rPr>
      </w:pPr>
      <w:r w:rsidRPr="00E36545">
        <w:rPr>
          <w:lang w:val="en-AU" w:eastAsia="en-US"/>
        </w:rPr>
        <w:t>RWT on dividends between companies</w:t>
      </w:r>
    </w:p>
    <w:p w:rsidR="000C5E76" w:rsidRPr="00E36545" w:rsidRDefault="000C5E76" w:rsidP="000C5E76">
      <w:pPr>
        <w:rPr>
          <w:lang w:eastAsia="en-US"/>
        </w:rPr>
      </w:pPr>
    </w:p>
    <w:p w:rsidR="000C5E76" w:rsidRPr="00E36545" w:rsidRDefault="000C5E76" w:rsidP="000C5E76">
      <w:pPr>
        <w:rPr>
          <w:lang w:val="en-AU" w:eastAsia="en-US"/>
        </w:rPr>
      </w:pPr>
      <w:r w:rsidRPr="00E36545">
        <w:rPr>
          <w:lang w:val="en-AU" w:eastAsia="en-US"/>
        </w:rPr>
        <w:t>The payment of passive income, such as dividends and interest to resident recipients is subject to an obligation to account for RWT, which is withheld by the company at the time of payment and paid to Inland Revenue in the month following payment.  For dividends, a flat rate of 33% applies (less any imputation credits)</w:t>
      </w:r>
      <w:r w:rsidR="009339B7">
        <w:rPr>
          <w:lang w:val="en-AU" w:eastAsia="en-US"/>
        </w:rPr>
        <w:t>.</w:t>
      </w:r>
      <w:r w:rsidR="004A0E5D">
        <w:rPr>
          <w:lang w:val="en-AU" w:eastAsia="en-US"/>
        </w:rPr>
        <w:t xml:space="preserve"> </w:t>
      </w:r>
      <w:r w:rsidRPr="00E36545">
        <w:rPr>
          <w:lang w:val="en-AU" w:eastAsia="en-US"/>
        </w:rPr>
        <w:t xml:space="preserve"> </w:t>
      </w:r>
      <w:r w:rsidR="009339B7">
        <w:rPr>
          <w:lang w:val="en-AU" w:eastAsia="en-US"/>
        </w:rPr>
        <w:t>F</w:t>
      </w:r>
      <w:r w:rsidRPr="00E36545">
        <w:rPr>
          <w:lang w:val="en-AU" w:eastAsia="en-US"/>
        </w:rPr>
        <w:t>or interest, the RWT rate varies according to the recipient’s personal marginal tax rate.</w:t>
      </w:r>
    </w:p>
    <w:p w:rsidR="000C5E76" w:rsidRPr="00E36545" w:rsidRDefault="000C5E76" w:rsidP="000C5E76">
      <w:pPr>
        <w:rPr>
          <w:lang w:val="en-AU" w:eastAsia="en-US"/>
        </w:rPr>
      </w:pPr>
    </w:p>
    <w:p w:rsidR="000C5E76" w:rsidRPr="0089129E" w:rsidRDefault="000C5E76" w:rsidP="000C5E76">
      <w:pPr>
        <w:rPr>
          <w:spacing w:val="-2"/>
          <w:lang w:val="en-AU" w:eastAsia="en-US"/>
        </w:rPr>
      </w:pPr>
      <w:r w:rsidRPr="0089129E">
        <w:rPr>
          <w:spacing w:val="-2"/>
          <w:lang w:val="en-AU" w:eastAsia="en-US"/>
        </w:rPr>
        <w:t>As a result of the lowering of the company tax rate to 28%,</w:t>
      </w:r>
      <w:r w:rsidRPr="0089129E">
        <w:rPr>
          <w:spacing w:val="-2"/>
          <w:vertAlign w:val="superscript"/>
          <w:lang w:val="en-AU" w:eastAsia="en-US"/>
        </w:rPr>
        <w:footnoteReference w:id="3"/>
      </w:r>
      <w:r w:rsidRPr="0089129E">
        <w:rPr>
          <w:spacing w:val="-2"/>
          <w:lang w:val="en-AU" w:eastAsia="en-US"/>
        </w:rPr>
        <w:t xml:space="preserve"> even when a company pays a fully imputed dividend the dividend is still subject to an additional 5% RWT.  For dividends paid to corporate shareholders (who will be subject to the company tax rate of 28%) this obligation to withhold RWT result</w:t>
      </w:r>
      <w:r w:rsidR="004A0E5D" w:rsidRPr="0089129E">
        <w:rPr>
          <w:spacing w:val="-2"/>
          <w:lang w:val="en-AU" w:eastAsia="en-US"/>
        </w:rPr>
        <w:t>ed</w:t>
      </w:r>
      <w:r w:rsidRPr="0089129E">
        <w:rPr>
          <w:spacing w:val="-2"/>
          <w:lang w:val="en-AU" w:eastAsia="en-US"/>
        </w:rPr>
        <w:t xml:space="preserve"> in an initial over-taxation of these dividends.</w:t>
      </w:r>
      <w:r w:rsidRPr="0089129E">
        <w:rPr>
          <w:spacing w:val="-2"/>
          <w:vertAlign w:val="superscript"/>
          <w:lang w:val="en-AU" w:eastAsia="en-US"/>
        </w:rPr>
        <w:footnoteReference w:id="4"/>
      </w:r>
      <w:r w:rsidRPr="0089129E">
        <w:rPr>
          <w:spacing w:val="-2"/>
          <w:lang w:val="en-AU" w:eastAsia="en-US"/>
        </w:rPr>
        <w:t xml:space="preserve">  </w:t>
      </w:r>
      <w:r w:rsidR="004A0E5D" w:rsidRPr="0089129E">
        <w:rPr>
          <w:spacing w:val="-2"/>
          <w:lang w:val="en-AU" w:eastAsia="en-US"/>
        </w:rPr>
        <w:t>Before the amendment, t</w:t>
      </w:r>
      <w:r w:rsidRPr="0089129E">
        <w:rPr>
          <w:spacing w:val="-2"/>
          <w:lang w:val="en-AU" w:eastAsia="en-US"/>
        </w:rPr>
        <w:t xml:space="preserve">his over-taxation </w:t>
      </w:r>
      <w:r w:rsidR="004A0E5D" w:rsidRPr="0089129E">
        <w:rPr>
          <w:spacing w:val="-2"/>
          <w:lang w:val="en-AU" w:eastAsia="en-US"/>
        </w:rPr>
        <w:t>could</w:t>
      </w:r>
      <w:r w:rsidRPr="0089129E">
        <w:rPr>
          <w:spacing w:val="-2"/>
          <w:lang w:val="en-AU" w:eastAsia="en-US"/>
        </w:rPr>
        <w:t xml:space="preserve"> give rise to additional compliance costs for both the paying company, which </w:t>
      </w:r>
      <w:r w:rsidR="005E7967" w:rsidRPr="0089129E">
        <w:rPr>
          <w:spacing w:val="-2"/>
          <w:lang w:val="en-AU" w:eastAsia="en-US"/>
        </w:rPr>
        <w:t xml:space="preserve">had to </w:t>
      </w:r>
      <w:r w:rsidRPr="0089129E">
        <w:rPr>
          <w:spacing w:val="-2"/>
          <w:lang w:val="en-AU" w:eastAsia="en-US"/>
        </w:rPr>
        <w:t xml:space="preserve">account for the additional RWT to Inland Revenue, and the recipient company, which </w:t>
      </w:r>
      <w:r w:rsidR="005E7967" w:rsidRPr="0089129E">
        <w:rPr>
          <w:spacing w:val="-2"/>
          <w:lang w:val="en-AU" w:eastAsia="en-US"/>
        </w:rPr>
        <w:t>wa</w:t>
      </w:r>
      <w:r w:rsidRPr="0089129E">
        <w:rPr>
          <w:spacing w:val="-2"/>
          <w:lang w:val="en-AU" w:eastAsia="en-US"/>
        </w:rPr>
        <w:t xml:space="preserve">s required to seek a refund when the RWT credit </w:t>
      </w:r>
      <w:r w:rsidR="00436AFF" w:rsidRPr="0089129E">
        <w:rPr>
          <w:spacing w:val="-2"/>
          <w:lang w:val="en-AU" w:eastAsia="en-US"/>
        </w:rPr>
        <w:t xml:space="preserve">could not </w:t>
      </w:r>
      <w:r w:rsidRPr="0089129E">
        <w:rPr>
          <w:spacing w:val="-2"/>
          <w:lang w:val="en-AU" w:eastAsia="en-US"/>
        </w:rPr>
        <w:t>be used.</w:t>
      </w:r>
    </w:p>
    <w:p w:rsidR="000C5E76" w:rsidRPr="00EA65AF" w:rsidRDefault="000C5E76" w:rsidP="000C5E76">
      <w:pPr>
        <w:jc w:val="left"/>
        <w:rPr>
          <w:lang w:val="en-AU" w:eastAsia="en-US"/>
        </w:rPr>
      </w:pPr>
    </w:p>
    <w:p w:rsidR="000C5E76" w:rsidRPr="00E36545" w:rsidRDefault="000C5E76" w:rsidP="0089129E">
      <w:pPr>
        <w:pStyle w:val="Heading3"/>
        <w:rPr>
          <w:lang w:val="en-AU" w:eastAsia="en-US"/>
        </w:rPr>
      </w:pPr>
      <w:r w:rsidRPr="00E36545">
        <w:rPr>
          <w:lang w:val="en-AU" w:eastAsia="en-US"/>
        </w:rPr>
        <w:t>RWT on concurrent cash and non-cash dividends</w:t>
      </w:r>
    </w:p>
    <w:p w:rsidR="000C5E76" w:rsidRPr="00E36545" w:rsidRDefault="000C5E76" w:rsidP="000C5E76">
      <w:pPr>
        <w:rPr>
          <w:lang w:val="en-AU" w:eastAsia="en-US"/>
        </w:rPr>
      </w:pPr>
    </w:p>
    <w:p w:rsidR="000C5E76" w:rsidRPr="00E36545" w:rsidRDefault="000C5E76" w:rsidP="000C5E76">
      <w:pPr>
        <w:rPr>
          <w:lang w:val="en-AU" w:eastAsia="en-US"/>
        </w:rPr>
      </w:pPr>
      <w:r w:rsidRPr="00E36545">
        <w:rPr>
          <w:lang w:val="en-AU" w:eastAsia="en-US"/>
        </w:rPr>
        <w:t>When a company pays a non-cash dividend, such as a taxable bonus issue, the dividend is still subject to RWT.  The non-cash dividend is required to be grossed up because the RWT cannot practically be withheld from the non-cash amount.</w:t>
      </w:r>
    </w:p>
    <w:p w:rsidR="000C5E76" w:rsidRPr="00E36545" w:rsidRDefault="000C5E76" w:rsidP="000C5E76">
      <w:pPr>
        <w:rPr>
          <w:lang w:val="en-AU" w:eastAsia="en-US"/>
        </w:rPr>
      </w:pPr>
    </w:p>
    <w:p w:rsidR="000C5E76" w:rsidRPr="00E36545" w:rsidRDefault="000C5E76" w:rsidP="000C5E76">
      <w:pPr>
        <w:rPr>
          <w:lang w:val="en-AU" w:eastAsia="en-US"/>
        </w:rPr>
      </w:pPr>
      <w:r w:rsidRPr="00E36545">
        <w:rPr>
          <w:lang w:val="en-AU" w:eastAsia="en-US"/>
        </w:rPr>
        <w:t>When a company pays a non-cash dividend concurrently with a cash dividend</w:t>
      </w:r>
      <w:r>
        <w:rPr>
          <w:lang w:val="en-AU" w:eastAsia="en-US"/>
        </w:rPr>
        <w:t>,</w:t>
      </w:r>
      <w:r w:rsidRPr="00E36545">
        <w:rPr>
          <w:lang w:val="en-AU" w:eastAsia="en-US"/>
        </w:rPr>
        <w:t xml:space="preserve"> both dividends are subject to RWT. </w:t>
      </w:r>
      <w:r w:rsidR="004A0D45">
        <w:rPr>
          <w:lang w:val="en-AU" w:eastAsia="en-US"/>
        </w:rPr>
        <w:t xml:space="preserve"> Before the amendments,</w:t>
      </w:r>
      <w:r w:rsidRPr="00E36545">
        <w:rPr>
          <w:lang w:val="en-AU" w:eastAsia="en-US"/>
        </w:rPr>
        <w:t xml:space="preserve"> </w:t>
      </w:r>
      <w:r w:rsidR="004A0D45">
        <w:rPr>
          <w:lang w:val="en-AU" w:eastAsia="en-US"/>
        </w:rPr>
        <w:t>t</w:t>
      </w:r>
      <w:r w:rsidRPr="00E36545">
        <w:rPr>
          <w:lang w:val="en-AU" w:eastAsia="en-US"/>
        </w:rPr>
        <w:t xml:space="preserve">he two dividends </w:t>
      </w:r>
      <w:r w:rsidR="004A0D45">
        <w:rPr>
          <w:lang w:val="en-AU" w:eastAsia="en-US"/>
        </w:rPr>
        <w:t>were</w:t>
      </w:r>
      <w:r w:rsidR="004A0D45" w:rsidRPr="00E36545">
        <w:rPr>
          <w:lang w:val="en-AU" w:eastAsia="en-US"/>
        </w:rPr>
        <w:t xml:space="preserve"> </w:t>
      </w:r>
      <w:r w:rsidRPr="00E36545">
        <w:rPr>
          <w:lang w:val="en-AU" w:eastAsia="en-US"/>
        </w:rPr>
        <w:t>treated as separate dividends</w:t>
      </w:r>
      <w:r w:rsidR="00DE38A2">
        <w:rPr>
          <w:lang w:val="en-AU" w:eastAsia="en-US"/>
        </w:rPr>
        <w:t>,</w:t>
      </w:r>
      <w:r w:rsidRPr="00E36545">
        <w:rPr>
          <w:lang w:val="en-AU" w:eastAsia="en-US"/>
        </w:rPr>
        <w:t xml:space="preserve"> meaning that the non-cash dividend </w:t>
      </w:r>
      <w:r w:rsidR="00166D8E">
        <w:rPr>
          <w:lang w:val="en-AU" w:eastAsia="en-US"/>
        </w:rPr>
        <w:t>wa</w:t>
      </w:r>
      <w:r w:rsidRPr="00E36545">
        <w:rPr>
          <w:lang w:val="en-AU" w:eastAsia="en-US"/>
        </w:rPr>
        <w:t xml:space="preserve">s still subject to the gross-up even when the concurrent cash dividend </w:t>
      </w:r>
      <w:r w:rsidR="00067D45">
        <w:rPr>
          <w:lang w:val="en-AU" w:eastAsia="en-US"/>
        </w:rPr>
        <w:t>wa</w:t>
      </w:r>
      <w:r w:rsidRPr="00E36545">
        <w:rPr>
          <w:lang w:val="en-AU" w:eastAsia="en-US"/>
        </w:rPr>
        <w:t xml:space="preserve">s sufficient to cover the RWT obligation on both dividends.  </w:t>
      </w:r>
      <w:r w:rsidR="00067D45">
        <w:rPr>
          <w:lang w:val="en-AU" w:eastAsia="en-US"/>
        </w:rPr>
        <w:t>T</w:t>
      </w:r>
      <w:r w:rsidRPr="00E36545">
        <w:rPr>
          <w:lang w:val="en-AU" w:eastAsia="en-US"/>
        </w:rPr>
        <w:t xml:space="preserve">his </w:t>
      </w:r>
      <w:r w:rsidR="007407E4">
        <w:rPr>
          <w:lang w:val="en-AU" w:eastAsia="en-US"/>
        </w:rPr>
        <w:t>could</w:t>
      </w:r>
      <w:r w:rsidRPr="00E36545">
        <w:rPr>
          <w:lang w:val="en-AU" w:eastAsia="en-US"/>
        </w:rPr>
        <w:t xml:space="preserve"> result in the RWT obligation across both dividends being higher than it should be.</w:t>
      </w:r>
    </w:p>
    <w:p w:rsidR="000C5E76" w:rsidRPr="00E36545" w:rsidRDefault="000C5E76" w:rsidP="000C5E76"/>
    <w:p w:rsidR="000C5E76" w:rsidRPr="00E36545" w:rsidRDefault="000C5E76" w:rsidP="0089129E">
      <w:pPr>
        <w:pStyle w:val="Heading3"/>
      </w:pPr>
      <w:r w:rsidRPr="00E36545">
        <w:t>RWT impact on backdating a dividend</w:t>
      </w:r>
    </w:p>
    <w:p w:rsidR="000C5E76" w:rsidRDefault="000C5E76" w:rsidP="000C5E76"/>
    <w:p w:rsidR="00E851A4" w:rsidRDefault="000C5E76" w:rsidP="000C5E76">
      <w:r w:rsidRPr="00E36545">
        <w:t xml:space="preserve">Under the dividend rules, shareholders who have overdrawn current accounts at year end are treated as having received a deemed dividend based on the interest they would have had to pay </w:t>
      </w:r>
      <w:r w:rsidR="00954FBD">
        <w:t>if</w:t>
      </w:r>
      <w:r w:rsidRPr="00E36545">
        <w:t xml:space="preserve"> the overdrawn account</w:t>
      </w:r>
      <w:r w:rsidR="0013693B">
        <w:t xml:space="preserve"> had</w:t>
      </w:r>
      <w:r w:rsidRPr="00E36545">
        <w:t xml:space="preserve"> been a loan.</w:t>
      </w:r>
    </w:p>
    <w:p w:rsidR="00E851A4" w:rsidRDefault="00E851A4" w:rsidP="000C5E76"/>
    <w:p w:rsidR="000C5E76" w:rsidRPr="00E36545" w:rsidRDefault="000C5E76" w:rsidP="000C5E76">
      <w:r w:rsidRPr="00E36545">
        <w:t>To simplify matters for taxpayers, the rule</w:t>
      </w:r>
      <w:r w:rsidR="00E851A4">
        <w:t>s</w:t>
      </w:r>
      <w:r w:rsidRPr="00E36545">
        <w:t xml:space="preserve"> in section</w:t>
      </w:r>
      <w:r w:rsidR="00E851A4">
        <w:t>s</w:t>
      </w:r>
      <w:r w:rsidRPr="00E36545">
        <w:t xml:space="preserve"> CD 39(5)</w:t>
      </w:r>
      <w:r w:rsidR="00E851A4">
        <w:t xml:space="preserve"> and RD 36(2</w:t>
      </w:r>
      <w:proofErr w:type="gramStart"/>
      <w:r w:rsidR="00E851A4">
        <w:t>)(</w:t>
      </w:r>
      <w:proofErr w:type="gramEnd"/>
      <w:r w:rsidR="00E851A4">
        <w:t>b)</w:t>
      </w:r>
      <w:r w:rsidRPr="00E36545">
        <w:t xml:space="preserve"> w</w:t>
      </w:r>
      <w:r w:rsidR="00E851A4">
        <w:t>ere</w:t>
      </w:r>
      <w:r w:rsidRPr="00E36545">
        <w:t xml:space="preserve"> introduced</w:t>
      </w:r>
      <w:r>
        <w:t>,</w:t>
      </w:r>
      <w:r w:rsidRPr="00E36545">
        <w:t xml:space="preserve"> which allow a company to pay a backdated fully</w:t>
      </w:r>
      <w:r>
        <w:t xml:space="preserve"> </w:t>
      </w:r>
      <w:r w:rsidRPr="00E36545">
        <w:t>imputed dividend to clear</w:t>
      </w:r>
      <w:r>
        <w:t>, or at least reduce,</w:t>
      </w:r>
      <w:r w:rsidRPr="00E36545">
        <w:t xml:space="preserve"> an overdrawn current account.  For dividends to qualify for backdating there must be no further tax owing.</w:t>
      </w:r>
    </w:p>
    <w:p w:rsidR="000C5E76" w:rsidRPr="00E36545" w:rsidRDefault="000C5E76" w:rsidP="000C5E76"/>
    <w:p w:rsidR="000C5E76" w:rsidRPr="00E36545" w:rsidRDefault="000C5E76" w:rsidP="000C5E76">
      <w:r w:rsidRPr="00E36545">
        <w:t>The application of th</w:t>
      </w:r>
      <w:r w:rsidR="00B973B7">
        <w:t>e</w:t>
      </w:r>
      <w:r w:rsidRPr="00E36545">
        <w:t>s</w:t>
      </w:r>
      <w:r w:rsidR="00B973B7">
        <w:t>e</w:t>
      </w:r>
      <w:r w:rsidRPr="00E36545">
        <w:t xml:space="preserve"> rule</w:t>
      </w:r>
      <w:r w:rsidR="00EC4488">
        <w:t>s</w:t>
      </w:r>
      <w:r w:rsidRPr="00E36545">
        <w:t xml:space="preserve"> was unintentionally limited as a result of the </w:t>
      </w:r>
      <w:r w:rsidR="009339B7">
        <w:t>company</w:t>
      </w:r>
      <w:r w:rsidRPr="00E36545">
        <w:t xml:space="preserve"> tax rate change</w:t>
      </w:r>
      <w:r w:rsidR="00E763FD">
        <w:t>s</w:t>
      </w:r>
      <w:r w:rsidRPr="00E36545">
        <w:t xml:space="preserve">.  </w:t>
      </w:r>
      <w:r w:rsidR="00627EA5">
        <w:t>They</w:t>
      </w:r>
      <w:r w:rsidRPr="00E36545">
        <w:t xml:space="preserve"> technically d</w:t>
      </w:r>
      <w:r w:rsidR="00EC4488">
        <w:t>id</w:t>
      </w:r>
      <w:r w:rsidRPr="00E36545">
        <w:t xml:space="preserve"> not work</w:t>
      </w:r>
      <w:r>
        <w:t>,</w:t>
      </w:r>
      <w:r w:rsidRPr="00E36545">
        <w:t xml:space="preserve"> as a dividend </w:t>
      </w:r>
      <w:r w:rsidR="00A34472">
        <w:t>could</w:t>
      </w:r>
      <w:r w:rsidR="00A34472" w:rsidRPr="00E36545">
        <w:t xml:space="preserve"> </w:t>
      </w:r>
      <w:r w:rsidRPr="00E36545">
        <w:t>only be backdated if there is no RWT obligation on the dividend and, in practice, any dividend will have a RWT obligation, even a fully imputed dividend (which ha</w:t>
      </w:r>
      <w:r w:rsidR="00A34472">
        <w:t>d</w:t>
      </w:r>
      <w:r w:rsidRPr="00E36545">
        <w:t xml:space="preserve"> a 5% RWT obligation).</w:t>
      </w:r>
    </w:p>
    <w:p w:rsidR="002279EB" w:rsidRPr="00670DFA" w:rsidRDefault="002279EB" w:rsidP="002279EB"/>
    <w:p w:rsidR="002279EB" w:rsidRPr="00670DFA" w:rsidRDefault="002279EB" w:rsidP="002279EB"/>
    <w:p w:rsidR="002279EB" w:rsidRPr="00670DFA" w:rsidRDefault="002279EB" w:rsidP="0089129E">
      <w:pPr>
        <w:pStyle w:val="Heading2"/>
      </w:pPr>
      <w:r w:rsidRPr="00670DFA">
        <w:t>Key features</w:t>
      </w:r>
    </w:p>
    <w:p w:rsidR="002279EB" w:rsidRDefault="002279EB" w:rsidP="002279EB"/>
    <w:p w:rsidR="008E3E06" w:rsidRPr="008E3E06" w:rsidRDefault="008E3E06" w:rsidP="0089129E">
      <w:pPr>
        <w:pStyle w:val="Heading3"/>
      </w:pPr>
      <w:r w:rsidRPr="008E3E06">
        <w:t>RWT on dividends between companies</w:t>
      </w:r>
    </w:p>
    <w:p w:rsidR="008E3E06" w:rsidRPr="00670DFA" w:rsidRDefault="008E3E06" w:rsidP="002279EB"/>
    <w:p w:rsidR="000C5E76" w:rsidRPr="00E36545" w:rsidRDefault="00EB3E64" w:rsidP="000C5E76">
      <w:pPr>
        <w:rPr>
          <w:lang w:val="en-AU" w:eastAsia="en-US"/>
        </w:rPr>
      </w:pPr>
      <w:r>
        <w:rPr>
          <w:lang w:val="en-AU" w:eastAsia="en-US"/>
        </w:rPr>
        <w:t>An amendment has been made which limits</w:t>
      </w:r>
      <w:r w:rsidR="000C5E76" w:rsidRPr="00E36545">
        <w:rPr>
          <w:lang w:val="en-AU" w:eastAsia="en-US"/>
        </w:rPr>
        <w:t xml:space="preserve"> the definition of “resident passive income” in section RE 2(5) to exclude fully</w:t>
      </w:r>
      <w:r w:rsidR="000C5E76">
        <w:rPr>
          <w:lang w:val="en-AU" w:eastAsia="en-US"/>
        </w:rPr>
        <w:t xml:space="preserve"> </w:t>
      </w:r>
      <w:r w:rsidR="000C5E76" w:rsidRPr="00E36545">
        <w:rPr>
          <w:lang w:val="en-AU" w:eastAsia="en-US"/>
        </w:rPr>
        <w:t>imputed dividends paid to a corporate shareholder if the paying company chooses to exclude the dividend from the definition.</w:t>
      </w:r>
    </w:p>
    <w:p w:rsidR="000C5E76" w:rsidRPr="00E36545" w:rsidRDefault="000C5E76" w:rsidP="000C5E76">
      <w:pPr>
        <w:rPr>
          <w:lang w:val="en-AU" w:eastAsia="en-US"/>
        </w:rPr>
      </w:pPr>
    </w:p>
    <w:p w:rsidR="000C5E76" w:rsidRDefault="000C5E76" w:rsidP="000C5E76">
      <w:r w:rsidRPr="00E36545">
        <w:rPr>
          <w:lang w:val="en-AU" w:eastAsia="en-US"/>
        </w:rPr>
        <w:t xml:space="preserve">In effect this allows a company to opt out of withholding RWT on a fully imputed dividend paid to another company.  This </w:t>
      </w:r>
      <w:r w:rsidR="006826FB">
        <w:rPr>
          <w:lang w:val="en-AU" w:eastAsia="en-US"/>
        </w:rPr>
        <w:t>amendment</w:t>
      </w:r>
      <w:r w:rsidR="006826FB" w:rsidRPr="00E36545">
        <w:rPr>
          <w:lang w:val="en-AU" w:eastAsia="en-US"/>
        </w:rPr>
        <w:t xml:space="preserve"> </w:t>
      </w:r>
      <w:r w:rsidRPr="00E36545">
        <w:rPr>
          <w:lang w:val="en-AU" w:eastAsia="en-US"/>
        </w:rPr>
        <w:t>reflects the fact that the obligation to withhold RWT on a fully</w:t>
      </w:r>
      <w:r>
        <w:rPr>
          <w:lang w:val="en-AU" w:eastAsia="en-US"/>
        </w:rPr>
        <w:t xml:space="preserve"> </w:t>
      </w:r>
      <w:r w:rsidRPr="00E36545">
        <w:rPr>
          <w:lang w:val="en-AU" w:eastAsia="en-US"/>
        </w:rPr>
        <w:t>imputed dividend paid to another company over-taxes the dividend.</w:t>
      </w:r>
    </w:p>
    <w:p w:rsidR="000C5E76" w:rsidRPr="00E36545" w:rsidRDefault="000C5E76" w:rsidP="000C5E76">
      <w:pPr>
        <w:rPr>
          <w:i/>
        </w:rPr>
      </w:pPr>
    </w:p>
    <w:p w:rsidR="000C5E76" w:rsidRPr="00E36545" w:rsidRDefault="000C5E76" w:rsidP="000C5E76">
      <w:pPr>
        <w:rPr>
          <w:lang w:val="en-AU" w:eastAsia="en-US"/>
        </w:rPr>
      </w:pPr>
      <w:r w:rsidRPr="00E36545">
        <w:rPr>
          <w:lang w:val="en-AU" w:eastAsia="en-US"/>
        </w:rPr>
        <w:t xml:space="preserve">The ability not </w:t>
      </w:r>
      <w:r>
        <w:rPr>
          <w:lang w:val="en-AU" w:eastAsia="en-US"/>
        </w:rPr>
        <w:t xml:space="preserve">to </w:t>
      </w:r>
      <w:r w:rsidRPr="00E36545">
        <w:rPr>
          <w:lang w:val="en-AU" w:eastAsia="en-US"/>
        </w:rPr>
        <w:t>withhold has been made optional because for some</w:t>
      </w:r>
      <w:r w:rsidR="00C0128A">
        <w:rPr>
          <w:lang w:val="en-AU" w:eastAsia="en-US"/>
        </w:rPr>
        <w:t xml:space="preserve"> paying</w:t>
      </w:r>
      <w:r w:rsidRPr="00E36545">
        <w:rPr>
          <w:lang w:val="en-AU" w:eastAsia="en-US"/>
        </w:rPr>
        <w:t xml:space="preserve"> companies (particularly those that are widely held) an outright requirement not </w:t>
      </w:r>
      <w:r>
        <w:rPr>
          <w:lang w:val="en-AU" w:eastAsia="en-US"/>
        </w:rPr>
        <w:t xml:space="preserve">to </w:t>
      </w:r>
      <w:r w:rsidRPr="00E36545">
        <w:rPr>
          <w:lang w:val="en-AU" w:eastAsia="en-US"/>
        </w:rPr>
        <w:t>withhold RWT on fully</w:t>
      </w:r>
      <w:r>
        <w:rPr>
          <w:lang w:val="en-AU" w:eastAsia="en-US"/>
        </w:rPr>
        <w:t xml:space="preserve"> </w:t>
      </w:r>
      <w:r w:rsidRPr="00E36545">
        <w:rPr>
          <w:lang w:val="en-AU" w:eastAsia="en-US"/>
        </w:rPr>
        <w:t xml:space="preserve">imputed dividends may raise compliance costs.  This is because they will need first </w:t>
      </w:r>
      <w:r>
        <w:rPr>
          <w:lang w:val="en-AU" w:eastAsia="en-US"/>
        </w:rPr>
        <w:t xml:space="preserve">to </w:t>
      </w:r>
      <w:r w:rsidRPr="00E36545">
        <w:rPr>
          <w:lang w:val="en-AU" w:eastAsia="en-US"/>
        </w:rPr>
        <w:t xml:space="preserve">establish which shareholders are corporates and </w:t>
      </w:r>
      <w:r>
        <w:rPr>
          <w:lang w:val="en-AU" w:eastAsia="en-US"/>
        </w:rPr>
        <w:t>those that</w:t>
      </w:r>
      <w:r w:rsidRPr="00E36545">
        <w:rPr>
          <w:lang w:val="en-AU" w:eastAsia="en-US"/>
        </w:rPr>
        <w:t xml:space="preserve"> are not, and differentiate between these two groups within their systems.</w:t>
      </w:r>
    </w:p>
    <w:p w:rsidR="000C5E76" w:rsidRPr="00E36545" w:rsidRDefault="000C5E76" w:rsidP="000C5E76">
      <w:pPr>
        <w:rPr>
          <w:i/>
          <w:lang w:val="en-AU" w:eastAsia="en-US"/>
        </w:rPr>
      </w:pPr>
    </w:p>
    <w:p w:rsidR="000C5E76" w:rsidRPr="00E36545" w:rsidRDefault="000C5E76" w:rsidP="0089129E">
      <w:pPr>
        <w:pStyle w:val="Heading3"/>
        <w:rPr>
          <w:lang w:val="en-AU" w:eastAsia="en-US"/>
        </w:rPr>
      </w:pPr>
      <w:r w:rsidRPr="00E36545">
        <w:rPr>
          <w:lang w:val="en-AU" w:eastAsia="en-US"/>
        </w:rPr>
        <w:t>RWT on concurrent cash and non-cash dividends</w:t>
      </w:r>
    </w:p>
    <w:p w:rsidR="000C5E76" w:rsidRPr="00E36545" w:rsidRDefault="000C5E76" w:rsidP="000C5E76">
      <w:pPr>
        <w:rPr>
          <w:lang w:val="en-AU" w:eastAsia="en-US"/>
        </w:rPr>
      </w:pPr>
    </w:p>
    <w:p w:rsidR="000C5E76" w:rsidRPr="00E36545" w:rsidRDefault="000C5E76" w:rsidP="000C5E76">
      <w:r w:rsidRPr="00E36545">
        <w:rPr>
          <w:lang w:val="en-AU" w:eastAsia="en-US"/>
        </w:rPr>
        <w:t xml:space="preserve">To </w:t>
      </w:r>
      <w:r>
        <w:rPr>
          <w:lang w:val="en-AU" w:eastAsia="en-US"/>
        </w:rPr>
        <w:t xml:space="preserve">deal with </w:t>
      </w:r>
      <w:r w:rsidRPr="00E36545">
        <w:rPr>
          <w:lang w:val="en-AU" w:eastAsia="en-US"/>
        </w:rPr>
        <w:t xml:space="preserve">the </w:t>
      </w:r>
      <w:r w:rsidR="00C0128A">
        <w:rPr>
          <w:lang w:val="en-AU" w:eastAsia="en-US"/>
        </w:rPr>
        <w:t>previous</w:t>
      </w:r>
      <w:r w:rsidR="00C0128A" w:rsidRPr="00E36545">
        <w:rPr>
          <w:lang w:val="en-AU" w:eastAsia="en-US"/>
        </w:rPr>
        <w:t xml:space="preserve"> </w:t>
      </w:r>
      <w:r w:rsidRPr="00E36545">
        <w:rPr>
          <w:lang w:val="en-AU" w:eastAsia="en-US"/>
        </w:rPr>
        <w:t xml:space="preserve">potential over-taxation of cash and non-cash dividends paid contemporaneously, new section RE 14B </w:t>
      </w:r>
      <w:r w:rsidRPr="00E36545">
        <w:t>streamline</w:t>
      </w:r>
      <w:r w:rsidR="005F4624">
        <w:t>s</w:t>
      </w:r>
      <w:r w:rsidRPr="00E36545">
        <w:t xml:space="preserve"> the RWT obligations by treating the two dividends as a single dividend.</w:t>
      </w:r>
      <w:r w:rsidRPr="00E36545">
        <w:rPr>
          <w:lang w:val="en-AU" w:eastAsia="en-US"/>
        </w:rPr>
        <w:t xml:space="preserve">  The amendment introduces a new formula to calculate the amount of RWT owing on the dividends, which</w:t>
      </w:r>
      <w:r w:rsidRPr="00E36545">
        <w:t xml:space="preserve"> applies only if the cash dividend is equal to or greater than the amount of RWT payable under the formula.</w:t>
      </w:r>
    </w:p>
    <w:p w:rsidR="000C5E76" w:rsidRPr="00E36545" w:rsidRDefault="000C5E76" w:rsidP="000C5E76"/>
    <w:p w:rsidR="000C5E76" w:rsidRPr="00E36545" w:rsidRDefault="005F4624" w:rsidP="000C5E76">
      <w:r>
        <w:t>Consequently</w:t>
      </w:r>
      <w:r w:rsidR="000C5E76" w:rsidRPr="00E36545">
        <w:t xml:space="preserve"> amendments</w:t>
      </w:r>
      <w:r>
        <w:t xml:space="preserve"> have also been made</w:t>
      </w:r>
      <w:r w:rsidR="000C5E76" w:rsidRPr="00E36545">
        <w:t xml:space="preserve"> to sections RE 13 (Dividends other than non-cash dividends) and RE 14</w:t>
      </w:r>
      <w:r w:rsidR="000C5E76">
        <w:t xml:space="preserve"> </w:t>
      </w:r>
      <w:r w:rsidR="000C5E76" w:rsidRPr="00E36545">
        <w:t>(Non-cash dividends other than certain non-share issues)</w:t>
      </w:r>
      <w:r w:rsidR="00EA65AF">
        <w:t>.</w:t>
      </w:r>
    </w:p>
    <w:p w:rsidR="000C5E76" w:rsidRDefault="000C5E76" w:rsidP="000C5E76"/>
    <w:p w:rsidR="0089129E" w:rsidRDefault="0089129E">
      <w:pPr>
        <w:jc w:val="left"/>
        <w:rPr>
          <w:b/>
          <w:i/>
        </w:rPr>
      </w:pPr>
      <w:r>
        <w:br w:type="page"/>
      </w:r>
    </w:p>
    <w:p w:rsidR="000C5E76" w:rsidRPr="00E36545" w:rsidRDefault="000C5E76" w:rsidP="0089129E">
      <w:pPr>
        <w:pStyle w:val="Heading3"/>
      </w:pPr>
      <w:r w:rsidRPr="00E36545">
        <w:t>RWT impact on backdating a dividend</w:t>
      </w:r>
    </w:p>
    <w:p w:rsidR="000C5E76" w:rsidRDefault="000C5E76" w:rsidP="000C5E76"/>
    <w:p w:rsidR="000C5E76" w:rsidRPr="00E36545" w:rsidRDefault="00DE182B" w:rsidP="000C5E76">
      <w:r>
        <w:t>A</w:t>
      </w:r>
      <w:r w:rsidR="000C5E76" w:rsidRPr="00E36545">
        <w:t>mendment</w:t>
      </w:r>
      <w:r>
        <w:t>s</w:t>
      </w:r>
      <w:r w:rsidR="000C5E76" w:rsidRPr="00E36545">
        <w:t xml:space="preserve"> to section CD 39(9)</w:t>
      </w:r>
      <w:r>
        <w:t xml:space="preserve"> and RD 26(2</w:t>
      </w:r>
      <w:proofErr w:type="gramStart"/>
      <w:r>
        <w:t>)(</w:t>
      </w:r>
      <w:proofErr w:type="gramEnd"/>
      <w:r>
        <w:t>b) have been made to ensure the rules work as intended</w:t>
      </w:r>
      <w:r w:rsidR="000C5E76" w:rsidRPr="00E36545">
        <w:t>.  The intention is to allow for a dividend that had no further tax owing (that is, it is fully imputed) to be backdated, to expunge</w:t>
      </w:r>
      <w:r w:rsidR="000C5E76">
        <w:t xml:space="preserve">, or at least reduce, an </w:t>
      </w:r>
      <w:r w:rsidR="000C5E76" w:rsidRPr="00E36545">
        <w:t>overdrawn current account balance</w:t>
      </w:r>
      <w:r w:rsidR="000C5E76">
        <w:t>.  T</w:t>
      </w:r>
      <w:r w:rsidR="000C5E76" w:rsidRPr="00E36545">
        <w:t>his avoids</w:t>
      </w:r>
      <w:r w:rsidR="000C5E76">
        <w:t xml:space="preserve"> or limits the</w:t>
      </w:r>
      <w:r w:rsidR="000C5E76" w:rsidRPr="00E36545">
        <w:t xml:space="preserve"> deemed dividend arising and reduces compliance costs.  However, a </w:t>
      </w:r>
      <w:r w:rsidR="0089129E">
        <w:t xml:space="preserve">previous </w:t>
      </w:r>
      <w:r w:rsidR="000C5E76" w:rsidRPr="00E36545">
        <w:t xml:space="preserve">requirement </w:t>
      </w:r>
      <w:r w:rsidR="00565D35">
        <w:t>was</w:t>
      </w:r>
      <w:r w:rsidR="00565D35" w:rsidRPr="00E36545">
        <w:t xml:space="preserve"> </w:t>
      </w:r>
      <w:r w:rsidR="000C5E76" w:rsidRPr="00E36545">
        <w:t>that there ha</w:t>
      </w:r>
      <w:r w:rsidR="00565D35">
        <w:t>d</w:t>
      </w:r>
      <w:r w:rsidR="000C5E76" w:rsidRPr="00E36545">
        <w:t xml:space="preserve"> to be no RWT obligation.</w:t>
      </w:r>
    </w:p>
    <w:p w:rsidR="000C5E76" w:rsidRPr="00E36545" w:rsidRDefault="000C5E76" w:rsidP="000C5E76"/>
    <w:p w:rsidR="000C5E76" w:rsidRPr="00E36545" w:rsidRDefault="000C5E76" w:rsidP="000C5E76">
      <w:r w:rsidRPr="00E36545">
        <w:t>Taxpayers continued to use the rule but due to an oversight at the time the company tax rate was changed, it technically d</w:t>
      </w:r>
      <w:r w:rsidR="00E73D72">
        <w:t>id</w:t>
      </w:r>
      <w:r w:rsidRPr="00E36545">
        <w:t xml:space="preserve"> not work given the need to deduct RWT.  The amendment provides certainty by clarifying that the rule should apply to dividends that are fully imputed, irrespective of any RWT obligation.</w:t>
      </w:r>
    </w:p>
    <w:p w:rsidR="002279EB" w:rsidRDefault="002279EB" w:rsidP="002279EB"/>
    <w:p w:rsidR="00EA65AF" w:rsidRDefault="00EA65AF" w:rsidP="002279EB"/>
    <w:p w:rsidR="002279EB" w:rsidRPr="00670DFA" w:rsidRDefault="009B367C" w:rsidP="0089129E">
      <w:pPr>
        <w:pStyle w:val="Heading2"/>
      </w:pPr>
      <w:r>
        <w:t>Application dates</w:t>
      </w:r>
    </w:p>
    <w:p w:rsidR="002279EB" w:rsidRPr="00670DFA" w:rsidRDefault="002279EB" w:rsidP="002279EB"/>
    <w:p w:rsidR="002279EB" w:rsidRDefault="004F3B08" w:rsidP="002279EB">
      <w:r>
        <w:t>The first two amendment</w:t>
      </w:r>
      <w:r w:rsidR="005F4624">
        <w:t>s</w:t>
      </w:r>
      <w:r>
        <w:t xml:space="preserve"> to enable companies to opt out of deducting RWT from fully imputed dividends paid to corporate shareholders and providing a new formula for determining the RWT obligation when cash and non-cash dividends are paid contemporaneously</w:t>
      </w:r>
      <w:r w:rsidR="005E2F27">
        <w:t>,</w:t>
      </w:r>
      <w:r>
        <w:t xml:space="preserve"> apply from the date of enactment</w:t>
      </w:r>
      <w:r w:rsidR="005E2F27">
        <w:t xml:space="preserve">, being </w:t>
      </w:r>
      <w:r w:rsidR="00236300">
        <w:t xml:space="preserve">30 March </w:t>
      </w:r>
      <w:r w:rsidR="002D5A10">
        <w:t>2</w:t>
      </w:r>
      <w:r w:rsidR="00236300">
        <w:t>017</w:t>
      </w:r>
      <w:r>
        <w:t>.</w:t>
      </w:r>
    </w:p>
    <w:p w:rsidR="004F3B08" w:rsidRDefault="004F3B08" w:rsidP="002279EB"/>
    <w:p w:rsidR="004F3B08" w:rsidRPr="00670DFA" w:rsidRDefault="004F3B08" w:rsidP="002279EB">
      <w:r>
        <w:t>The third amendment to allow dividends to be backdated appl</w:t>
      </w:r>
      <w:r w:rsidR="005F4624">
        <w:t>ies</w:t>
      </w:r>
      <w:r>
        <w:t xml:space="preserve"> from 1 April 2008 for the 2008</w:t>
      </w:r>
      <w:r w:rsidR="00FB2B74">
        <w:t>–</w:t>
      </w:r>
      <w:r w:rsidR="005F4624">
        <w:t>09 and subsequent income years.</w:t>
      </w:r>
    </w:p>
    <w:p w:rsidR="002279EB" w:rsidRDefault="002279EB" w:rsidP="002279EB"/>
    <w:p w:rsidR="00EA65AF" w:rsidRDefault="00EA65AF" w:rsidP="002279EB"/>
    <w:p w:rsidR="002279EB" w:rsidRPr="00670DFA" w:rsidRDefault="002279EB" w:rsidP="0089129E">
      <w:pPr>
        <w:pStyle w:val="Heading2"/>
      </w:pPr>
      <w:r w:rsidRPr="00670DFA">
        <w:t>Detailed analysis</w:t>
      </w:r>
    </w:p>
    <w:p w:rsidR="002279EB" w:rsidRPr="00670DFA" w:rsidRDefault="002279EB" w:rsidP="002279EB"/>
    <w:p w:rsidR="000C5E76" w:rsidRDefault="000C5E76" w:rsidP="000C5E76">
      <w:r>
        <w:t>S</w:t>
      </w:r>
      <w:r w:rsidRPr="00E36545">
        <w:t>ections RE 13 and RE 14 calculate the RWT required to be withheld on cash and non-cash dividend</w:t>
      </w:r>
      <w:r>
        <w:t xml:space="preserve"> respectively</w:t>
      </w:r>
      <w:r w:rsidR="009E7CD7">
        <w:t>.  P</w:t>
      </w:r>
      <w:r w:rsidR="002D5A10">
        <w:t>reviously,</w:t>
      </w:r>
      <w:r w:rsidRPr="00E36545">
        <w:t xml:space="preserve"> </w:t>
      </w:r>
      <w:r w:rsidR="002D5A10">
        <w:t>w</w:t>
      </w:r>
      <w:r w:rsidRPr="00E36545">
        <w:t xml:space="preserve">hen cash and non-cash dividends </w:t>
      </w:r>
      <w:r w:rsidR="003C7D67">
        <w:t>were</w:t>
      </w:r>
      <w:r w:rsidR="003C7D67" w:rsidRPr="00E36545">
        <w:t xml:space="preserve"> </w:t>
      </w:r>
      <w:r w:rsidRPr="00E36545">
        <w:t xml:space="preserve">paid contemporaneously, with the objective of the cash dividend being used to account for the RWT owing on the non-cash dividend, there </w:t>
      </w:r>
      <w:r w:rsidR="003C7D67">
        <w:t>wa</w:t>
      </w:r>
      <w:r w:rsidRPr="00E36545">
        <w:t>s potential over-taxation because the two dividends are treated separately under these two sections.</w:t>
      </w:r>
    </w:p>
    <w:p w:rsidR="003C7D67" w:rsidRPr="00E36545" w:rsidRDefault="003C7D67" w:rsidP="000C5E76"/>
    <w:p w:rsidR="000C5E76" w:rsidRPr="00E36545" w:rsidRDefault="000C5E76" w:rsidP="000C5E76">
      <w:r>
        <w:t>N</w:t>
      </w:r>
      <w:r w:rsidRPr="00E36545">
        <w:t>ew section RE 14B provide</w:t>
      </w:r>
      <w:r w:rsidR="00F746EE">
        <w:t>s</w:t>
      </w:r>
      <w:r w:rsidRPr="00E36545">
        <w:t xml:space="preserve"> the payer with the option of combining cash and non-cash dividend payments and accounting for RWT as though they were a single dividend.  The new section only appl</w:t>
      </w:r>
      <w:r w:rsidR="003C7D67">
        <w:t>ies</w:t>
      </w:r>
      <w:r w:rsidRPr="00E36545">
        <w:t xml:space="preserve"> when the cash dividend alone is sufficient to cover the total RWT owing</w:t>
      </w:r>
      <w:r>
        <w:t>,</w:t>
      </w:r>
      <w:r w:rsidRPr="00E36545">
        <w:t xml:space="preserve"> meaning that RWT will be paid by deduction rather than gross-up, and the payer has elected for the section to apply.</w:t>
      </w:r>
    </w:p>
    <w:p w:rsidR="000C5E76" w:rsidRPr="00E36545" w:rsidRDefault="000C5E76" w:rsidP="000C5E76"/>
    <w:p w:rsidR="000C5E76" w:rsidRPr="00E36545" w:rsidRDefault="000C5E76" w:rsidP="000C5E76">
      <w:r w:rsidRPr="00E36545">
        <w:t>The amount of RWT that the payer must withhold is calculated using the following formula:</w:t>
      </w:r>
    </w:p>
    <w:p w:rsidR="000C5E76" w:rsidRPr="00E36545" w:rsidRDefault="000C5E76" w:rsidP="000C5E76"/>
    <w:p w:rsidR="000C5E76" w:rsidRPr="00E36545" w:rsidRDefault="000C5E76" w:rsidP="000C5E76">
      <w:pPr>
        <w:autoSpaceDE w:val="0"/>
        <w:autoSpaceDN w:val="0"/>
        <w:adjustRightInd w:val="0"/>
        <w:jc w:val="center"/>
        <w:rPr>
          <w:i/>
        </w:rPr>
      </w:pPr>
      <w:r w:rsidRPr="00E36545">
        <w:rPr>
          <w:i/>
        </w:rPr>
        <w:t>(</w:t>
      </w:r>
      <w:proofErr w:type="gramStart"/>
      <w:r w:rsidRPr="00E36545">
        <w:rPr>
          <w:i/>
        </w:rPr>
        <w:t>tax</w:t>
      </w:r>
      <w:proofErr w:type="gramEnd"/>
      <w:r w:rsidRPr="00E36545">
        <w:rPr>
          <w:i/>
        </w:rPr>
        <w:t xml:space="preserve"> rate × (dividends + tax paid or credit attached)</w:t>
      </w:r>
      <w:r>
        <w:rPr>
          <w:i/>
        </w:rPr>
        <w:t xml:space="preserve">) − </w:t>
      </w:r>
      <w:proofErr w:type="gramStart"/>
      <w:r>
        <w:rPr>
          <w:i/>
        </w:rPr>
        <w:t>tax</w:t>
      </w:r>
      <w:proofErr w:type="gramEnd"/>
      <w:r>
        <w:rPr>
          <w:i/>
        </w:rPr>
        <w:t xml:space="preserve"> paid or credit attached</w:t>
      </w:r>
    </w:p>
    <w:p w:rsidR="000C5E76" w:rsidRDefault="000C5E76" w:rsidP="000C5E76">
      <w:pPr>
        <w:jc w:val="left"/>
      </w:pPr>
    </w:p>
    <w:p w:rsidR="000C5E76" w:rsidRPr="00E36545" w:rsidRDefault="000C5E76" w:rsidP="000C5E76">
      <w:proofErr w:type="gramStart"/>
      <w:r w:rsidRPr="00E36545">
        <w:t>where</w:t>
      </w:r>
      <w:proofErr w:type="gramEnd"/>
      <w:r w:rsidRPr="00E36545">
        <w:t>:</w:t>
      </w:r>
    </w:p>
    <w:p w:rsidR="000C5E76" w:rsidRPr="00E36545" w:rsidRDefault="000C5E76" w:rsidP="000C5E76"/>
    <w:p w:rsidR="000C5E76" w:rsidRPr="00E36545" w:rsidRDefault="000C5E76" w:rsidP="000C5E76">
      <w:pPr>
        <w:autoSpaceDE w:val="0"/>
        <w:autoSpaceDN w:val="0"/>
        <w:adjustRightInd w:val="0"/>
        <w:ind w:left="567"/>
      </w:pPr>
      <w:proofErr w:type="gramStart"/>
      <w:r w:rsidRPr="00B120C2">
        <w:rPr>
          <w:i/>
        </w:rPr>
        <w:t>tax</w:t>
      </w:r>
      <w:proofErr w:type="gramEnd"/>
      <w:r w:rsidRPr="00B120C2">
        <w:rPr>
          <w:i/>
        </w:rPr>
        <w:t xml:space="preserve"> rate</w:t>
      </w:r>
      <w:r w:rsidRPr="00E36545">
        <w:t xml:space="preserve"> is the basic rate set out in schedule 1, part D, clause 5 (Basic tax rates: income tax, ESCT, RSCT, RWT, and attributed fringe benefits)</w:t>
      </w:r>
      <w:r>
        <w:t>;</w:t>
      </w:r>
    </w:p>
    <w:p w:rsidR="000C5E76" w:rsidRPr="00E36545" w:rsidRDefault="000C5E76" w:rsidP="000C5E76">
      <w:pPr>
        <w:autoSpaceDE w:val="0"/>
        <w:autoSpaceDN w:val="0"/>
        <w:adjustRightInd w:val="0"/>
        <w:ind w:left="567"/>
      </w:pPr>
    </w:p>
    <w:p w:rsidR="000C5E76" w:rsidRPr="00E36545" w:rsidRDefault="000C5E76" w:rsidP="000C5E76">
      <w:pPr>
        <w:autoSpaceDE w:val="0"/>
        <w:autoSpaceDN w:val="0"/>
        <w:adjustRightInd w:val="0"/>
        <w:ind w:left="567"/>
      </w:pPr>
      <w:proofErr w:type="gramStart"/>
      <w:r w:rsidRPr="00B120C2">
        <w:rPr>
          <w:i/>
        </w:rPr>
        <w:t>dividends</w:t>
      </w:r>
      <w:proofErr w:type="gramEnd"/>
      <w:r w:rsidRPr="00B120C2">
        <w:t xml:space="preserve"> </w:t>
      </w:r>
      <w:r w:rsidRPr="00E36545">
        <w:t>is the total amount of the cash dividend and the non-cash dividend paid before the amount of tax is determined</w:t>
      </w:r>
      <w:r>
        <w:t>;</w:t>
      </w:r>
    </w:p>
    <w:p w:rsidR="000C5E76" w:rsidRPr="00E36545" w:rsidRDefault="000C5E76" w:rsidP="000C5E76">
      <w:pPr>
        <w:autoSpaceDE w:val="0"/>
        <w:autoSpaceDN w:val="0"/>
        <w:adjustRightInd w:val="0"/>
        <w:ind w:left="567" w:hanging="567"/>
      </w:pPr>
    </w:p>
    <w:p w:rsidR="005B4FAE" w:rsidRDefault="005B4FAE">
      <w:pPr>
        <w:jc w:val="left"/>
        <w:rPr>
          <w:i/>
        </w:rPr>
      </w:pPr>
      <w:r>
        <w:rPr>
          <w:i/>
        </w:rPr>
        <w:br w:type="page"/>
      </w:r>
    </w:p>
    <w:p w:rsidR="000C5E76" w:rsidRPr="00E36545" w:rsidRDefault="000C5E76" w:rsidP="000C5E76">
      <w:pPr>
        <w:autoSpaceDE w:val="0"/>
        <w:autoSpaceDN w:val="0"/>
        <w:adjustRightInd w:val="0"/>
        <w:ind w:left="567"/>
      </w:pPr>
      <w:proofErr w:type="gramStart"/>
      <w:r w:rsidRPr="00B120C2">
        <w:rPr>
          <w:i/>
        </w:rPr>
        <w:t>tax</w:t>
      </w:r>
      <w:proofErr w:type="gramEnd"/>
      <w:r w:rsidRPr="00B120C2">
        <w:rPr>
          <w:i/>
        </w:rPr>
        <w:t xml:space="preserve"> paid or credit attached</w:t>
      </w:r>
      <w:r w:rsidRPr="00E36545">
        <w:t xml:space="preserve"> is the total of the following amounts:</w:t>
      </w:r>
    </w:p>
    <w:p w:rsidR="000C5E76" w:rsidRPr="00E36545" w:rsidRDefault="000C5E76" w:rsidP="000C5E76">
      <w:pPr>
        <w:autoSpaceDE w:val="0"/>
        <w:autoSpaceDN w:val="0"/>
        <w:adjustRightInd w:val="0"/>
        <w:ind w:left="567" w:hanging="567"/>
      </w:pPr>
    </w:p>
    <w:p w:rsidR="000C5E76" w:rsidRPr="001948C3" w:rsidRDefault="000C5E76" w:rsidP="000C5E76">
      <w:pPr>
        <w:pStyle w:val="ListParagraph"/>
        <w:numPr>
          <w:ilvl w:val="0"/>
          <w:numId w:val="35"/>
        </w:numPr>
        <w:autoSpaceDE w:val="0"/>
        <w:autoSpaceDN w:val="0"/>
        <w:adjustRightInd w:val="0"/>
        <w:spacing w:after="80"/>
        <w:contextualSpacing w:val="0"/>
      </w:pPr>
      <w:r w:rsidRPr="001948C3">
        <w:t>if a dividend is paid in relation to shares issued by an ICA company, the total amount of imputation credits attached to the dividends;</w:t>
      </w:r>
    </w:p>
    <w:p w:rsidR="000C5E76" w:rsidRPr="001948C3" w:rsidRDefault="000C5E76" w:rsidP="000C5E76">
      <w:pPr>
        <w:pStyle w:val="ListParagraph"/>
        <w:numPr>
          <w:ilvl w:val="0"/>
          <w:numId w:val="35"/>
        </w:numPr>
        <w:autoSpaceDE w:val="0"/>
        <w:autoSpaceDN w:val="0"/>
        <w:adjustRightInd w:val="0"/>
        <w:spacing w:after="80"/>
      </w:pPr>
      <w:r w:rsidRPr="001948C3">
        <w:t>if a dividend is paid in relation to shares issued by a company not resident in New Zealand, the amount of foreign withholding tax paid or payable on the total amount of the dividends.</w:t>
      </w:r>
    </w:p>
    <w:p w:rsidR="000C5E76" w:rsidRPr="00E36545" w:rsidRDefault="000C5E76" w:rsidP="000C5E76"/>
    <w:p w:rsidR="000C5E76" w:rsidRPr="00E36545" w:rsidRDefault="000C5E76" w:rsidP="000C5E76">
      <w:r w:rsidRPr="00E36545">
        <w:t>To ensure there is no overlap of the rules, neither section RE 13 nor section RE 14 will apply to the dividends if the payer chooses to apply section RE 14B.</w:t>
      </w:r>
    </w:p>
    <w:p w:rsidR="002279EB" w:rsidRPr="00670DFA" w:rsidRDefault="002279EB" w:rsidP="002279EB"/>
    <w:p w:rsidR="004F17A2" w:rsidRDefault="004F17A2" w:rsidP="004F17A2">
      <w:r>
        <w:rPr>
          <w:i/>
        </w:rPr>
        <w:t>Amount of cash dividend required to satisfy the RWT liability</w:t>
      </w:r>
    </w:p>
    <w:p w:rsidR="004F17A2" w:rsidRDefault="004F17A2" w:rsidP="004F17A2"/>
    <w:p w:rsidR="004F17A2" w:rsidRDefault="004F17A2" w:rsidP="004F17A2">
      <w:r>
        <w:t>If a taxpayer provides a non-cash dividend and wishes to provide a cash dividend simply to satisfy the RWT liability on the non-cash dividend then the following formula provides how much cash dividend is required:</w:t>
      </w:r>
    </w:p>
    <w:p w:rsidR="004F17A2" w:rsidRDefault="004F17A2" w:rsidP="004F17A2"/>
    <w:p w:rsidR="004F17A2" w:rsidRPr="009153BB" w:rsidRDefault="004F17A2" w:rsidP="0089129E">
      <w:pPr>
        <w:jc w:val="center"/>
        <w:rPr>
          <w:i/>
        </w:rPr>
      </w:pPr>
      <w:proofErr w:type="gramStart"/>
      <w:r>
        <w:rPr>
          <w:i/>
        </w:rPr>
        <w:t>c</w:t>
      </w:r>
      <w:r w:rsidRPr="009153BB">
        <w:rPr>
          <w:i/>
        </w:rPr>
        <w:t>ash</w:t>
      </w:r>
      <w:proofErr w:type="gramEnd"/>
      <w:r w:rsidRPr="009153BB">
        <w:rPr>
          <w:i/>
        </w:rPr>
        <w:t xml:space="preserve"> dividend = 0.4925* </w:t>
      </w:r>
      <w:r>
        <w:rPr>
          <w:i/>
        </w:rPr>
        <w:t>n</w:t>
      </w:r>
      <w:r w:rsidRPr="009153BB">
        <w:rPr>
          <w:i/>
        </w:rPr>
        <w:t xml:space="preserve">on-cash dividend – </w:t>
      </w:r>
      <w:r>
        <w:rPr>
          <w:i/>
        </w:rPr>
        <w:t>t</w:t>
      </w:r>
      <w:r w:rsidRPr="009153BB">
        <w:rPr>
          <w:i/>
        </w:rPr>
        <w:t>ax paid or credit attached</w:t>
      </w:r>
    </w:p>
    <w:p w:rsidR="004F17A2" w:rsidRDefault="004F17A2" w:rsidP="004F17A2"/>
    <w:p w:rsidR="004F17A2" w:rsidRDefault="004F17A2" w:rsidP="004F17A2"/>
    <w:p w:rsidR="004F17A2" w:rsidRDefault="004F17A2" w:rsidP="004F17A2">
      <w:pPr>
        <w:pStyle w:val="Exampleheading"/>
        <w:pBdr>
          <w:top w:val="single" w:sz="4" w:space="10" w:color="auto"/>
          <w:left w:val="single" w:sz="4" w:space="10" w:color="auto"/>
          <w:bottom w:val="single" w:sz="4" w:space="10" w:color="auto"/>
          <w:right w:val="single" w:sz="4" w:space="10" w:color="auto"/>
        </w:pBdr>
      </w:pPr>
      <w:r>
        <w:t>Example</w:t>
      </w:r>
    </w:p>
    <w:p w:rsidR="004F17A2" w:rsidRDefault="004F17A2" w:rsidP="004F17A2">
      <w:pPr>
        <w:pStyle w:val="Exampletext"/>
        <w:pBdr>
          <w:top w:val="single" w:sz="4" w:space="10" w:color="auto"/>
          <w:left w:val="single" w:sz="4" w:space="10" w:color="auto"/>
          <w:bottom w:val="single" w:sz="4" w:space="10" w:color="auto"/>
          <w:right w:val="single" w:sz="4" w:space="10" w:color="auto"/>
        </w:pBdr>
      </w:pPr>
    </w:p>
    <w:p w:rsidR="004F17A2" w:rsidRDefault="004F17A2" w:rsidP="004F17A2">
      <w:pPr>
        <w:pStyle w:val="Exampletext"/>
        <w:pBdr>
          <w:top w:val="single" w:sz="4" w:space="10" w:color="auto"/>
          <w:left w:val="single" w:sz="4" w:space="10" w:color="auto"/>
          <w:bottom w:val="single" w:sz="4" w:space="10" w:color="auto"/>
          <w:right w:val="single" w:sz="4" w:space="10" w:color="auto"/>
        </w:pBdr>
      </w:pPr>
      <w:r>
        <w:t>Co. X wishes to provide a non-cash dividend of $360.  The non-cash dividend has imputation credits of $140 attached.  Co. X wishes to provide a cash dividend solely to satisfy the RWT liability.</w:t>
      </w:r>
    </w:p>
    <w:p w:rsidR="004F17A2" w:rsidRDefault="004F17A2" w:rsidP="004F17A2">
      <w:pPr>
        <w:pStyle w:val="Exampletext"/>
        <w:pBdr>
          <w:top w:val="single" w:sz="4" w:space="10" w:color="auto"/>
          <w:left w:val="single" w:sz="4" w:space="10" w:color="auto"/>
          <w:bottom w:val="single" w:sz="4" w:space="10" w:color="auto"/>
          <w:right w:val="single" w:sz="4" w:space="10" w:color="auto"/>
        </w:pBdr>
      </w:pPr>
    </w:p>
    <w:p w:rsidR="004F17A2" w:rsidRPr="0089129E" w:rsidRDefault="004F17A2" w:rsidP="0089129E">
      <w:pPr>
        <w:pStyle w:val="Exampletext"/>
        <w:pBdr>
          <w:top w:val="single" w:sz="4" w:space="10" w:color="auto"/>
          <w:left w:val="single" w:sz="4" w:space="10" w:color="auto"/>
          <w:bottom w:val="single" w:sz="4" w:space="10" w:color="auto"/>
          <w:right w:val="single" w:sz="4" w:space="10" w:color="auto"/>
        </w:pBdr>
        <w:jc w:val="center"/>
        <w:rPr>
          <w:i/>
        </w:rPr>
      </w:pPr>
      <w:proofErr w:type="gramStart"/>
      <w:r w:rsidRPr="0089129E">
        <w:rPr>
          <w:i/>
        </w:rPr>
        <w:t>cash</w:t>
      </w:r>
      <w:proofErr w:type="gramEnd"/>
      <w:r w:rsidRPr="0089129E">
        <w:rPr>
          <w:i/>
        </w:rPr>
        <w:t xml:space="preserve"> dividend = 0.4925 * 360 – 140 = $37.30</w:t>
      </w:r>
    </w:p>
    <w:p w:rsidR="004F17A2" w:rsidRDefault="004F17A2" w:rsidP="004F17A2">
      <w:pPr>
        <w:pStyle w:val="Exampletext"/>
        <w:pBdr>
          <w:top w:val="single" w:sz="4" w:space="10" w:color="auto"/>
          <w:left w:val="single" w:sz="4" w:space="10" w:color="auto"/>
          <w:bottom w:val="single" w:sz="4" w:space="10" w:color="auto"/>
          <w:right w:val="single" w:sz="4" w:space="10" w:color="auto"/>
        </w:pBdr>
      </w:pPr>
    </w:p>
    <w:p w:rsidR="004F17A2" w:rsidRDefault="004F17A2" w:rsidP="004F17A2">
      <w:pPr>
        <w:pStyle w:val="Exampletext"/>
        <w:pBdr>
          <w:top w:val="single" w:sz="4" w:space="10" w:color="auto"/>
          <w:left w:val="single" w:sz="4" w:space="10" w:color="auto"/>
          <w:bottom w:val="single" w:sz="4" w:space="10" w:color="auto"/>
          <w:right w:val="single" w:sz="4" w:space="10" w:color="auto"/>
        </w:pBdr>
      </w:pPr>
      <w:r>
        <w:t>If Co. X provides a cash dividend of $37.30, the RWT payable is also $37.30.</w:t>
      </w:r>
    </w:p>
    <w:p w:rsidR="002279EB" w:rsidRDefault="002279EB">
      <w:pPr>
        <w:jc w:val="left"/>
      </w:pPr>
      <w:r>
        <w:br w:type="page"/>
      </w:r>
    </w:p>
    <w:p w:rsidR="002279EB" w:rsidRDefault="00A108AE" w:rsidP="002279EB">
      <w:pPr>
        <w:pStyle w:val="Heading1"/>
      </w:pPr>
      <w:r>
        <w:t>paye on shareholder-employee salaries</w:t>
      </w:r>
    </w:p>
    <w:p w:rsidR="002279EB" w:rsidRPr="00670619" w:rsidRDefault="002279EB" w:rsidP="002279EB"/>
    <w:p w:rsidR="002279EB" w:rsidRPr="00FE2DC3" w:rsidRDefault="002279EB" w:rsidP="002279EB">
      <w:pPr>
        <w:pStyle w:val="Sections"/>
        <w:rPr>
          <w:b w:val="0"/>
        </w:rPr>
      </w:pPr>
      <w:r w:rsidRPr="00FE2DC3">
        <w:rPr>
          <w:b w:val="0"/>
        </w:rPr>
        <w:t xml:space="preserve">Sections </w:t>
      </w:r>
      <w:r w:rsidR="00662B5C" w:rsidRPr="00FE2DC3">
        <w:rPr>
          <w:b w:val="0"/>
        </w:rPr>
        <w:t>RD 3, RD 3B, RD 3C and YA 1 of the Income Tax Act 2007</w:t>
      </w:r>
    </w:p>
    <w:p w:rsidR="002279EB" w:rsidRDefault="002279EB" w:rsidP="002279EB"/>
    <w:p w:rsidR="005B4FAE" w:rsidRPr="00670DFA" w:rsidRDefault="005B4FAE" w:rsidP="002279EB"/>
    <w:p w:rsidR="00A060B9" w:rsidRPr="00E36545" w:rsidRDefault="00A060B9" w:rsidP="00A060B9">
      <w:r>
        <w:t>An amendment has been made so that s</w:t>
      </w:r>
      <w:r w:rsidRPr="00E36545">
        <w:t xml:space="preserve">hareholder-employees of close companies who receive </w:t>
      </w:r>
      <w:proofErr w:type="gramStart"/>
      <w:r w:rsidRPr="00E36545">
        <w:t>both regular salary or</w:t>
      </w:r>
      <w:proofErr w:type="gramEnd"/>
      <w:r w:rsidRPr="00E36545">
        <w:t xml:space="preserve"> wages throughout the year and variable amounts of other employment income </w:t>
      </w:r>
      <w:r>
        <w:t>are</w:t>
      </w:r>
      <w:r w:rsidRPr="00E36545">
        <w:t xml:space="preserve"> able to elect to split their income so that the base salary is subject to PAYE and the variable amount is paid out before tax.</w:t>
      </w:r>
    </w:p>
    <w:p w:rsidR="002279EB" w:rsidRPr="005B4FAE" w:rsidRDefault="002279EB" w:rsidP="002279EB"/>
    <w:p w:rsidR="002279EB" w:rsidRPr="005B4FAE" w:rsidRDefault="002279EB" w:rsidP="002279EB"/>
    <w:p w:rsidR="002279EB" w:rsidRPr="00670619" w:rsidRDefault="002279EB" w:rsidP="0089129E">
      <w:pPr>
        <w:pStyle w:val="Heading2"/>
      </w:pPr>
      <w:r w:rsidRPr="00670DFA">
        <w:t>Background</w:t>
      </w:r>
    </w:p>
    <w:p w:rsidR="002279EB" w:rsidRPr="00670DFA" w:rsidRDefault="002279EB" w:rsidP="002279EB"/>
    <w:p w:rsidR="00A060B9" w:rsidRPr="00E36545" w:rsidRDefault="00A060B9" w:rsidP="00A060B9">
      <w:pPr>
        <w:rPr>
          <w:lang w:val="en-AU" w:eastAsia="en-US"/>
        </w:rPr>
      </w:pPr>
      <w:r w:rsidRPr="00E36545">
        <w:rPr>
          <w:lang w:val="en-AU" w:eastAsia="en-US"/>
        </w:rPr>
        <w:t>Shareholder-employees of close companies often do not derive regular amounts of salary or wages, or do not get paid in regular periods throughout the income year.  For smaller companies, the remuneration of shareholder-employees also often depends on the performance of the business and, therefore, the annual salary will not be known until well after year end.  This can make compliance with the PAYE rules difficult because the rules are designed for circumstances when employees’ salaries are known at the start of the income year and payments are made regularly (monthly, fortnightly or weekly) throughout the year</w:t>
      </w:r>
      <w:r>
        <w:rPr>
          <w:lang w:val="en-AU" w:eastAsia="en-US"/>
        </w:rPr>
        <w:t>.</w:t>
      </w:r>
    </w:p>
    <w:p w:rsidR="00A060B9" w:rsidRPr="00E36545" w:rsidRDefault="00A060B9" w:rsidP="00A060B9">
      <w:pPr>
        <w:rPr>
          <w:lang w:val="en-AU" w:eastAsia="en-US"/>
        </w:rPr>
      </w:pPr>
    </w:p>
    <w:p w:rsidR="00A060B9" w:rsidRPr="00E36545" w:rsidRDefault="00A060B9" w:rsidP="00A060B9">
      <w:pPr>
        <w:rPr>
          <w:lang w:val="en-AU" w:eastAsia="en-US"/>
        </w:rPr>
      </w:pPr>
      <w:r w:rsidRPr="00E36545">
        <w:rPr>
          <w:lang w:val="en-AU" w:eastAsia="en-US"/>
        </w:rPr>
        <w:t xml:space="preserve">To alleviate this </w:t>
      </w:r>
      <w:r>
        <w:rPr>
          <w:lang w:val="en-AU" w:eastAsia="en-US"/>
        </w:rPr>
        <w:t>problem,</w:t>
      </w:r>
      <w:r w:rsidRPr="00E36545">
        <w:rPr>
          <w:lang w:val="en-AU" w:eastAsia="en-US"/>
        </w:rPr>
        <w:t xml:space="preserve"> the </w:t>
      </w:r>
      <w:r w:rsidR="001A0498">
        <w:rPr>
          <w:lang w:val="en-AU" w:eastAsia="en-US"/>
        </w:rPr>
        <w:t>previous</w:t>
      </w:r>
      <w:r w:rsidRPr="00E36545">
        <w:rPr>
          <w:lang w:val="en-AU" w:eastAsia="en-US"/>
        </w:rPr>
        <w:t xml:space="preserve"> rules allow</w:t>
      </w:r>
      <w:r w:rsidR="001A0498">
        <w:rPr>
          <w:lang w:val="en-AU" w:eastAsia="en-US"/>
        </w:rPr>
        <w:t>ed</w:t>
      </w:r>
      <w:r w:rsidRPr="00E36545">
        <w:rPr>
          <w:lang w:val="en-AU" w:eastAsia="en-US"/>
        </w:rPr>
        <w:t xml:space="preserve"> for shareholder-employees who do not derive regular amounts of salary or wages or </w:t>
      </w:r>
      <w:r>
        <w:rPr>
          <w:lang w:val="en-AU" w:eastAsia="en-US"/>
        </w:rPr>
        <w:t xml:space="preserve">who </w:t>
      </w:r>
      <w:r w:rsidRPr="00E36545">
        <w:rPr>
          <w:lang w:val="en-AU" w:eastAsia="en-US"/>
        </w:rPr>
        <w:t>do not get paid for regular periods, to treat all amounts of income they receive through the year as not subject to PAYE, subject to certain conditions (</w:t>
      </w:r>
      <w:r w:rsidR="005F4624">
        <w:rPr>
          <w:lang w:val="en-AU" w:eastAsia="en-US"/>
        </w:rPr>
        <w:t xml:space="preserve">see </w:t>
      </w:r>
      <w:r w:rsidRPr="00E36545">
        <w:rPr>
          <w:lang w:val="en-AU" w:eastAsia="en-US"/>
        </w:rPr>
        <w:t>section RD 3)</w:t>
      </w:r>
      <w:r>
        <w:rPr>
          <w:lang w:val="en-AU" w:eastAsia="en-US"/>
        </w:rPr>
        <w:t>.</w:t>
      </w:r>
      <w:r w:rsidRPr="00E36545">
        <w:rPr>
          <w:lang w:val="en-AU" w:eastAsia="en-US"/>
        </w:rPr>
        <w:t xml:space="preserve">  As a result, the amounts received </w:t>
      </w:r>
      <w:r w:rsidR="001A0498">
        <w:rPr>
          <w:lang w:val="en-AU" w:eastAsia="en-US"/>
        </w:rPr>
        <w:t>would be</w:t>
      </w:r>
      <w:r w:rsidRPr="00E36545">
        <w:rPr>
          <w:lang w:val="en-AU" w:eastAsia="en-US"/>
        </w:rPr>
        <w:t xml:space="preserve"> taxable in the employee’s tax return and </w:t>
      </w:r>
      <w:r w:rsidR="001A0498">
        <w:rPr>
          <w:lang w:val="en-AU" w:eastAsia="en-US"/>
        </w:rPr>
        <w:t>could</w:t>
      </w:r>
      <w:r w:rsidRPr="00E36545">
        <w:rPr>
          <w:lang w:val="en-AU" w:eastAsia="en-US"/>
        </w:rPr>
        <w:t xml:space="preserve"> give rise </w:t>
      </w:r>
      <w:r>
        <w:rPr>
          <w:lang w:val="en-AU" w:eastAsia="en-US"/>
        </w:rPr>
        <w:t>to provisional tax obligations.</w:t>
      </w:r>
    </w:p>
    <w:p w:rsidR="00A060B9" w:rsidRPr="00E36545" w:rsidRDefault="00A060B9" w:rsidP="00A060B9">
      <w:pPr>
        <w:rPr>
          <w:lang w:val="en-AU" w:eastAsia="en-US"/>
        </w:rPr>
      </w:pPr>
    </w:p>
    <w:p w:rsidR="00A060B9" w:rsidRPr="00E36545" w:rsidRDefault="00A060B9" w:rsidP="00A060B9">
      <w:r w:rsidRPr="00E36545">
        <w:t xml:space="preserve">The </w:t>
      </w:r>
      <w:r w:rsidR="001A0498">
        <w:t>previous</w:t>
      </w:r>
      <w:r w:rsidRPr="00E36545">
        <w:t xml:space="preserve"> rules may not </w:t>
      </w:r>
      <w:r w:rsidR="001A0498">
        <w:t xml:space="preserve">have </w:t>
      </w:r>
      <w:r w:rsidRPr="00E36545">
        <w:t>adequately relieve</w:t>
      </w:r>
      <w:r w:rsidR="001A0498">
        <w:t>d</w:t>
      </w:r>
      <w:r w:rsidRPr="00E36545">
        <w:t xml:space="preserve"> the compliance costs incurred by shareholder-employees </w:t>
      </w:r>
      <w:r w:rsidR="0089129E">
        <w:t xml:space="preserve">and </w:t>
      </w:r>
      <w:r w:rsidRPr="00E36545">
        <w:t xml:space="preserve">may not </w:t>
      </w:r>
      <w:r w:rsidR="001A0498">
        <w:t xml:space="preserve">have </w:t>
      </w:r>
      <w:r w:rsidRPr="00E36545">
        <w:t>suit</w:t>
      </w:r>
      <w:r w:rsidR="001A0498">
        <w:t>ed</w:t>
      </w:r>
      <w:r w:rsidRPr="00E36545">
        <w:t xml:space="preserve"> the myriad of shareholder-employee circumstances</w:t>
      </w:r>
      <w:r w:rsidR="0089129E">
        <w:t>,</w:t>
      </w:r>
      <w:r w:rsidRPr="00E36545">
        <w:t xml:space="preserve"> </w:t>
      </w:r>
      <w:r>
        <w:t>when</w:t>
      </w:r>
      <w:r w:rsidRPr="00E36545">
        <w:t xml:space="preserve"> paying a combination of PAYE and provisional tax might </w:t>
      </w:r>
      <w:r w:rsidR="0089129E">
        <w:t xml:space="preserve">have </w:t>
      </w:r>
      <w:r w:rsidRPr="00E36545">
        <w:t>be</w:t>
      </w:r>
      <w:r w:rsidR="0089129E">
        <w:t>en</w:t>
      </w:r>
      <w:r w:rsidRPr="00E36545">
        <w:t xml:space="preserve"> preferable.  There </w:t>
      </w:r>
      <w:r w:rsidR="00FE2DC3">
        <w:t>was</w:t>
      </w:r>
      <w:r w:rsidR="00FE2DC3" w:rsidRPr="00E36545">
        <w:t xml:space="preserve"> </w:t>
      </w:r>
      <w:r w:rsidRPr="00E36545">
        <w:t>no option to pay a combination of PAYE and provisional tax</w:t>
      </w:r>
      <w:r w:rsidR="000E5690">
        <w:t>;</w:t>
      </w:r>
      <w:r w:rsidRPr="00E36545">
        <w:t xml:space="preserve"> the rule </w:t>
      </w:r>
      <w:r w:rsidR="00FE2DC3">
        <w:t>was</w:t>
      </w:r>
      <w:r w:rsidR="00FE2DC3" w:rsidRPr="00E36545">
        <w:t xml:space="preserve"> </w:t>
      </w:r>
      <w:r w:rsidRPr="00E36545">
        <w:t>all or nothing.</w:t>
      </w:r>
    </w:p>
    <w:p w:rsidR="002279EB" w:rsidRPr="005B4FAE" w:rsidRDefault="002279EB" w:rsidP="002279EB"/>
    <w:p w:rsidR="002279EB" w:rsidRPr="005B4FAE" w:rsidRDefault="002279EB" w:rsidP="002279EB"/>
    <w:p w:rsidR="002279EB" w:rsidRPr="00670DFA" w:rsidRDefault="002279EB" w:rsidP="000E5690">
      <w:pPr>
        <w:pStyle w:val="Heading2"/>
      </w:pPr>
      <w:r w:rsidRPr="00670DFA">
        <w:t>Key features</w:t>
      </w:r>
    </w:p>
    <w:p w:rsidR="002279EB" w:rsidRPr="00670DFA" w:rsidRDefault="002279EB" w:rsidP="002279EB"/>
    <w:p w:rsidR="00A060B9" w:rsidRPr="00E36545" w:rsidRDefault="00A060B9" w:rsidP="00A060B9">
      <w:r w:rsidRPr="00E36545">
        <w:t xml:space="preserve">New section RD 3C allows for a shareholder-employee of a close company to choose to split their earnings so that the base salary is subject to PAYE and the variable amount is paid out pre-tax, and is therefore likely </w:t>
      </w:r>
      <w:r>
        <w:t xml:space="preserve">to be </w:t>
      </w:r>
      <w:r w:rsidRPr="00E36545">
        <w:t>subject to provisional tax instead.</w:t>
      </w:r>
    </w:p>
    <w:p w:rsidR="00A060B9" w:rsidRDefault="00A060B9" w:rsidP="00A060B9"/>
    <w:p w:rsidR="001D442B" w:rsidRDefault="001D442B" w:rsidP="001D442B">
      <w:r>
        <w:t>To be able to treat any payments as not subject to PAYE under these rules, the shareholder-employee must meet one of the following three requirements:</w:t>
      </w:r>
    </w:p>
    <w:p w:rsidR="00EA65AF" w:rsidRDefault="00EA65AF" w:rsidP="001D442B"/>
    <w:p w:rsidR="001D442B" w:rsidRDefault="001D442B" w:rsidP="000E5690">
      <w:pPr>
        <w:pStyle w:val="Bullets"/>
      </w:pPr>
      <w:r>
        <w:t>the shareholder employee does not derive salary and wages of a regular amount for regular pay periods of one month or less; or</w:t>
      </w:r>
    </w:p>
    <w:p w:rsidR="001D442B" w:rsidRDefault="001D442B" w:rsidP="000E5690">
      <w:pPr>
        <w:pStyle w:val="Bullets"/>
      </w:pPr>
      <w:r>
        <w:t>less than 66</w:t>
      </w:r>
      <w:r w:rsidR="002B2172">
        <w:t xml:space="preserve"> percent</w:t>
      </w:r>
      <w:r>
        <w:t xml:space="preserve"> of their annual gross income is salary or wages; or</w:t>
      </w:r>
    </w:p>
    <w:p w:rsidR="001D442B" w:rsidRDefault="001D442B" w:rsidP="000E5690">
      <w:pPr>
        <w:pStyle w:val="Bullets"/>
        <w:spacing w:after="0"/>
      </w:pPr>
      <w:proofErr w:type="gramStart"/>
      <w:r>
        <w:t>an</w:t>
      </w:r>
      <w:proofErr w:type="gramEnd"/>
      <w:r>
        <w:t xml:space="preserve"> amount is paid to them as income that may later be allocated to them as an employee for the income year.</w:t>
      </w:r>
    </w:p>
    <w:p w:rsidR="001D442B" w:rsidRDefault="001D442B" w:rsidP="00A060B9"/>
    <w:p w:rsidR="005B4FAE" w:rsidRDefault="005B4FAE">
      <w:pPr>
        <w:jc w:val="left"/>
      </w:pPr>
      <w:r>
        <w:br w:type="page"/>
      </w:r>
    </w:p>
    <w:p w:rsidR="007B2E4A" w:rsidRDefault="001D442B" w:rsidP="00A060B9">
      <w:r>
        <w:t>If the shareholder-employee does not meet these requirements, the</w:t>
      </w:r>
      <w:r w:rsidR="00AA7FC6">
        <w:t xml:space="preserve"> full </w:t>
      </w:r>
      <w:proofErr w:type="gramStart"/>
      <w:r w:rsidR="00AA7FC6">
        <w:t>amount of payments to them</w:t>
      </w:r>
      <w:r>
        <w:t xml:space="preserve"> are</w:t>
      </w:r>
      <w:proofErr w:type="gramEnd"/>
      <w:r>
        <w:t xml:space="preserve"> subject to PAYE.</w:t>
      </w:r>
    </w:p>
    <w:p w:rsidR="005B4FAE" w:rsidRDefault="005B4FAE" w:rsidP="00A060B9"/>
    <w:p w:rsidR="00A060B9" w:rsidRPr="00E36545" w:rsidRDefault="005F4624" w:rsidP="00A060B9">
      <w:r>
        <w:t>This amendment</w:t>
      </w:r>
      <w:r w:rsidR="00A060B9" w:rsidRPr="00E36545">
        <w:t xml:space="preserve"> allow</w:t>
      </w:r>
      <w:r>
        <w:t>s</w:t>
      </w:r>
      <w:r w:rsidR="00A060B9" w:rsidRPr="00E36545">
        <w:t xml:space="preserve"> additional flexibility for shareholder-employees who may be unduly constrained by the current rules.</w:t>
      </w:r>
    </w:p>
    <w:p w:rsidR="00A060B9" w:rsidRPr="00E36545" w:rsidRDefault="00A060B9" w:rsidP="00A060B9"/>
    <w:p w:rsidR="00A060B9" w:rsidRDefault="00A060B9" w:rsidP="00A060B9">
      <w:r>
        <w:t>To</w:t>
      </w:r>
      <w:r w:rsidRPr="00E36545">
        <w:t xml:space="preserve"> ensure that the ability to switch between provisional tax and the PAYE system is not used inappropriately, </w:t>
      </w:r>
      <w:r>
        <w:t xml:space="preserve">there are rules to prevent taxpayers “flip flopping” between the options. </w:t>
      </w:r>
      <w:r w:rsidR="00F67D07">
        <w:t xml:space="preserve"> </w:t>
      </w:r>
      <w:r>
        <w:t>These rules provide that:</w:t>
      </w:r>
    </w:p>
    <w:p w:rsidR="005F4624" w:rsidRDefault="005F4624" w:rsidP="00A060B9"/>
    <w:p w:rsidR="00427B4B" w:rsidRDefault="009B367C" w:rsidP="00EA65AF">
      <w:pPr>
        <w:pStyle w:val="Bullets"/>
      </w:pPr>
      <w:r>
        <w:t>i</w:t>
      </w:r>
      <w:r w:rsidR="00427B4B">
        <w:t>f a taxpayer has previously elected to use either the provisional tax method (</w:t>
      </w:r>
      <w:r w:rsidR="00AF0465">
        <w:t xml:space="preserve">section </w:t>
      </w:r>
      <w:r w:rsidR="00427B4B">
        <w:t>RD 3B) or the split provisional tax and PAYE method (</w:t>
      </w:r>
      <w:r w:rsidR="00AF0465">
        <w:t xml:space="preserve">section </w:t>
      </w:r>
      <w:r w:rsidR="00427B4B">
        <w:t>RD 3C) for their shareholder salary payments; and</w:t>
      </w:r>
    </w:p>
    <w:p w:rsidR="00427B4B" w:rsidRDefault="009B367C" w:rsidP="00EA65AF">
      <w:pPr>
        <w:pStyle w:val="Bullets"/>
      </w:pPr>
      <w:r>
        <w:t>t</w:t>
      </w:r>
      <w:r w:rsidR="00427B4B">
        <w:t>he taxpayer then elected a different treatment for their shareholder salary payments; then</w:t>
      </w:r>
    </w:p>
    <w:p w:rsidR="00A060B9" w:rsidRDefault="009B367C" w:rsidP="00EA65AF">
      <w:pPr>
        <w:pStyle w:val="Bullets"/>
        <w:spacing w:after="0"/>
      </w:pPr>
      <w:proofErr w:type="gramStart"/>
      <w:r>
        <w:t>t</w:t>
      </w:r>
      <w:r w:rsidR="00427B4B">
        <w:t>he</w:t>
      </w:r>
      <w:proofErr w:type="gramEnd"/>
      <w:r w:rsidR="00427B4B">
        <w:t xml:space="preserve"> taxpayer cannot elect to use either of the provisional tax methods for three income years.</w:t>
      </w:r>
    </w:p>
    <w:p w:rsidR="00427B4B" w:rsidRDefault="00427B4B" w:rsidP="00427B4B"/>
    <w:p w:rsidR="00EA65AF" w:rsidRDefault="00EA65AF" w:rsidP="00427B4B"/>
    <w:p w:rsidR="00427B4B" w:rsidRDefault="00427B4B" w:rsidP="00427B4B">
      <w:pPr>
        <w:pStyle w:val="Exampleheading"/>
        <w:pBdr>
          <w:top w:val="single" w:sz="4" w:space="10" w:color="auto"/>
          <w:left w:val="single" w:sz="4" w:space="10" w:color="auto"/>
          <w:bottom w:val="single" w:sz="4" w:space="10" w:color="auto"/>
          <w:right w:val="single" w:sz="4" w:space="10" w:color="auto"/>
        </w:pBdr>
      </w:pPr>
      <w:r>
        <w:t>Example</w:t>
      </w:r>
    </w:p>
    <w:p w:rsidR="00427B4B" w:rsidRDefault="00427B4B" w:rsidP="00427B4B">
      <w:pPr>
        <w:pStyle w:val="Exampletext"/>
        <w:pBdr>
          <w:top w:val="single" w:sz="4" w:space="10" w:color="auto"/>
          <w:left w:val="single" w:sz="4" w:space="10" w:color="auto"/>
          <w:bottom w:val="single" w:sz="4" w:space="10" w:color="auto"/>
          <w:right w:val="single" w:sz="4" w:space="10" w:color="auto"/>
        </w:pBdr>
      </w:pPr>
    </w:p>
    <w:p w:rsidR="00427B4B" w:rsidRDefault="00427B4B" w:rsidP="00427B4B">
      <w:pPr>
        <w:pStyle w:val="Exampletext"/>
        <w:pBdr>
          <w:top w:val="single" w:sz="4" w:space="10" w:color="auto"/>
          <w:left w:val="single" w:sz="4" w:space="10" w:color="auto"/>
          <w:bottom w:val="single" w:sz="4" w:space="10" w:color="auto"/>
          <w:right w:val="single" w:sz="4" w:space="10" w:color="auto"/>
        </w:pBdr>
      </w:pPr>
      <w:r>
        <w:t xml:space="preserve">Steve is a shareholder employee of Steve </w:t>
      </w:r>
      <w:r w:rsidR="00F67D07">
        <w:t>C</w:t>
      </w:r>
      <w:r>
        <w:t xml:space="preserve">o. </w:t>
      </w:r>
      <w:r w:rsidR="00F67D07">
        <w:t xml:space="preserve"> </w:t>
      </w:r>
      <w:r>
        <w:t>In the 2018</w:t>
      </w:r>
      <w:r w:rsidR="00F67D07">
        <w:t>–</w:t>
      </w:r>
      <w:r>
        <w:t xml:space="preserve">19 income </w:t>
      </w:r>
      <w:proofErr w:type="gramStart"/>
      <w:r>
        <w:t>year</w:t>
      </w:r>
      <w:proofErr w:type="gramEnd"/>
      <w:r>
        <w:t>, Steve receives a shareholder salary of $50,000 which he elects to have treated under the provisional tax rules</w:t>
      </w:r>
      <w:r w:rsidR="00725B2B">
        <w:t>.</w:t>
      </w:r>
    </w:p>
    <w:p w:rsidR="00427B4B" w:rsidRDefault="00427B4B" w:rsidP="00427B4B">
      <w:pPr>
        <w:pStyle w:val="Exampletext"/>
        <w:pBdr>
          <w:top w:val="single" w:sz="4" w:space="10" w:color="auto"/>
          <w:left w:val="single" w:sz="4" w:space="10" w:color="auto"/>
          <w:bottom w:val="single" w:sz="4" w:space="10" w:color="auto"/>
          <w:right w:val="single" w:sz="4" w:space="10" w:color="auto"/>
        </w:pBdr>
      </w:pPr>
    </w:p>
    <w:p w:rsidR="00A152F8" w:rsidRDefault="00A152F8" w:rsidP="00427B4B">
      <w:pPr>
        <w:pStyle w:val="Exampletext"/>
        <w:pBdr>
          <w:top w:val="single" w:sz="4" w:space="10" w:color="auto"/>
          <w:left w:val="single" w:sz="4" w:space="10" w:color="auto"/>
          <w:bottom w:val="single" w:sz="4" w:space="10" w:color="auto"/>
          <w:right w:val="single" w:sz="4" w:space="10" w:color="auto"/>
        </w:pBdr>
      </w:pPr>
      <w:r>
        <w:t>In the 2019</w:t>
      </w:r>
      <w:r w:rsidR="001A037B">
        <w:t>–</w:t>
      </w:r>
      <w:r>
        <w:t xml:space="preserve">20 income </w:t>
      </w:r>
      <w:proofErr w:type="gramStart"/>
      <w:r>
        <w:t>year</w:t>
      </w:r>
      <w:proofErr w:type="gramEnd"/>
      <w:r>
        <w:t>, Steve receives shareholder salary of $50,000 which he elects to have treated under the PAYE rules.</w:t>
      </w:r>
    </w:p>
    <w:p w:rsidR="00A152F8" w:rsidRDefault="00A152F8" w:rsidP="00427B4B">
      <w:pPr>
        <w:pStyle w:val="Exampletext"/>
        <w:pBdr>
          <w:top w:val="single" w:sz="4" w:space="10" w:color="auto"/>
          <w:left w:val="single" w:sz="4" w:space="10" w:color="auto"/>
          <w:bottom w:val="single" w:sz="4" w:space="10" w:color="auto"/>
          <w:right w:val="single" w:sz="4" w:space="10" w:color="auto"/>
        </w:pBdr>
      </w:pPr>
    </w:p>
    <w:p w:rsidR="00A152F8" w:rsidRDefault="00A152F8" w:rsidP="00427B4B">
      <w:pPr>
        <w:pStyle w:val="Exampletext"/>
        <w:pBdr>
          <w:top w:val="single" w:sz="4" w:space="10" w:color="auto"/>
          <w:left w:val="single" w:sz="4" w:space="10" w:color="auto"/>
          <w:bottom w:val="single" w:sz="4" w:space="10" w:color="auto"/>
          <w:right w:val="single" w:sz="4" w:space="10" w:color="auto"/>
        </w:pBdr>
      </w:pPr>
      <w:r>
        <w:t xml:space="preserve">As Steve has elected out of the </w:t>
      </w:r>
      <w:r w:rsidR="001A037B">
        <w:t xml:space="preserve">section </w:t>
      </w:r>
      <w:r>
        <w:t>RD 3B provisional tax option, Steve cannot elect to use the</w:t>
      </w:r>
      <w:r w:rsidR="001A037B">
        <w:t xml:space="preserve"> section</w:t>
      </w:r>
      <w:r>
        <w:t xml:space="preserve"> RD 3B and RD 3C provisional tax options until the 2023</w:t>
      </w:r>
      <w:r w:rsidR="001A037B">
        <w:t>–</w:t>
      </w:r>
      <w:r>
        <w:t>24 income year.</w:t>
      </w:r>
    </w:p>
    <w:p w:rsidR="00427B4B" w:rsidRDefault="00427B4B" w:rsidP="00427B4B"/>
    <w:p w:rsidR="00EA65AF" w:rsidRPr="00670DFA" w:rsidRDefault="00EA65AF" w:rsidP="00427B4B"/>
    <w:p w:rsidR="002279EB" w:rsidRPr="00670DFA" w:rsidRDefault="009B367C" w:rsidP="002279EB">
      <w:pPr>
        <w:pStyle w:val="Heading2"/>
      </w:pPr>
      <w:r>
        <w:t>Application date</w:t>
      </w:r>
    </w:p>
    <w:p w:rsidR="002279EB" w:rsidRPr="00670DFA" w:rsidRDefault="002279EB" w:rsidP="002279EB"/>
    <w:p w:rsidR="002279EB" w:rsidRPr="00670DFA" w:rsidRDefault="00BF3ED1" w:rsidP="002279EB">
      <w:r>
        <w:t>The amendment</w:t>
      </w:r>
      <w:r w:rsidR="005F4624">
        <w:t>s</w:t>
      </w:r>
      <w:r>
        <w:t xml:space="preserve"> c</w:t>
      </w:r>
      <w:r w:rsidR="00795384">
        <w:t>a</w:t>
      </w:r>
      <w:r>
        <w:t>me into force on the date of enactment</w:t>
      </w:r>
      <w:r w:rsidR="00FE2DC3">
        <w:t xml:space="preserve">, </w:t>
      </w:r>
      <w:r w:rsidR="00795384">
        <w:t xml:space="preserve">being </w:t>
      </w:r>
      <w:r w:rsidR="00FE2DC3">
        <w:t>30 March 2017</w:t>
      </w:r>
      <w:r>
        <w:t>.</w:t>
      </w:r>
    </w:p>
    <w:p w:rsidR="002279EB" w:rsidRDefault="002279EB">
      <w:pPr>
        <w:jc w:val="left"/>
      </w:pPr>
    </w:p>
    <w:sectPr w:rsidR="002279EB" w:rsidSect="0050054A">
      <w:footerReference w:type="even" r:id="rId10"/>
      <w:footerReference w:type="default" r:id="rId11"/>
      <w:footerReference w:type="first" r:id="rId12"/>
      <w:type w:val="nextColumn"/>
      <w:pgSz w:w="11906" w:h="16838" w:code="9"/>
      <w:pgMar w:top="1134" w:right="1418" w:bottom="1134" w:left="1418" w:header="720"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32">
      <wne:acd wne:acdName="acd0"/>
    </wne:keymap>
    <wne:keymap wne:kcmPrimary="02BE">
      <wne:acd wne:acdName="acd1"/>
    </wne:keymap>
  </wne:keymaps>
  <wne:toolbars>
    <wne:acdManifest>
      <wne:acdEntry wne:acdName="acd0"/>
      <wne:acdEntry wne:acdName="acd1"/>
    </wne:acdManifest>
  </wne:toolbars>
  <wne:acds>
    <wne:acd wne:argValue="AQAAAAIA" wne:acdName="acd0" wne:fciIndexBasedOn="0065"/>
    <wne:acd wne:argValue="AgBCAHUAbABsAGUAdABz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4A" w:rsidRDefault="0050054A">
      <w:r>
        <w:separator/>
      </w:r>
    </w:p>
  </w:endnote>
  <w:endnote w:type="continuationSeparator" w:id="0">
    <w:p w:rsidR="0050054A" w:rsidRDefault="0050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4A" w:rsidRDefault="0050054A"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837479">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4A" w:rsidRDefault="0050054A"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sidR="00837479">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4A" w:rsidRDefault="0050054A" w:rsidP="00F92496">
    <w:pPr>
      <w:jc w:val="center"/>
    </w:pPr>
    <w:r>
      <w:rPr>
        <w:rStyle w:val="PageNumber"/>
      </w:rPr>
      <w:fldChar w:fldCharType="begin"/>
    </w:r>
    <w:r>
      <w:rPr>
        <w:rStyle w:val="PageNumber"/>
      </w:rPr>
      <w:instrText xml:space="preserve"> PAGE </w:instrText>
    </w:r>
    <w:r>
      <w:rPr>
        <w:rStyle w:val="PageNumber"/>
      </w:rPr>
      <w:fldChar w:fldCharType="separate"/>
    </w:r>
    <w:r w:rsidR="0083747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4A" w:rsidRDefault="0050054A">
      <w:r>
        <w:separator/>
      </w:r>
    </w:p>
  </w:footnote>
  <w:footnote w:type="continuationSeparator" w:id="0">
    <w:p w:rsidR="0050054A" w:rsidRDefault="0050054A">
      <w:r>
        <w:continuationSeparator/>
      </w:r>
    </w:p>
  </w:footnote>
  <w:footnote w:id="1">
    <w:p w:rsidR="0050054A" w:rsidRPr="00FF169E" w:rsidRDefault="0050054A">
      <w:pPr>
        <w:pStyle w:val="FootnoteText"/>
        <w:rPr>
          <w:lang w:val="en-NZ"/>
        </w:rPr>
      </w:pPr>
      <w:r>
        <w:rPr>
          <w:rStyle w:val="FootnoteReference"/>
        </w:rPr>
        <w:footnoteRef/>
      </w:r>
      <w:r>
        <w:t xml:space="preserve"> For a trust, corpus means an amount that is equal to the market value of a settlement of property on the trust measured at the date of the settlement.</w:t>
      </w:r>
    </w:p>
  </w:footnote>
  <w:footnote w:id="2">
    <w:p w:rsidR="0050054A" w:rsidRPr="00CA0E5B" w:rsidRDefault="0050054A">
      <w:pPr>
        <w:pStyle w:val="FootnoteText"/>
        <w:rPr>
          <w:lang w:val="en-NZ"/>
        </w:rPr>
      </w:pPr>
      <w:r>
        <w:rPr>
          <w:rStyle w:val="FootnoteReference"/>
        </w:rPr>
        <w:footnoteRef/>
      </w:r>
      <w:r>
        <w:t xml:space="preserve"> </w:t>
      </w:r>
      <w:r>
        <w:rPr>
          <w:lang w:val="en-NZ"/>
        </w:rPr>
        <w:t>This includes arrangements entered into before 3 May 2016 to become an owner in a LTC.</w:t>
      </w:r>
    </w:p>
  </w:footnote>
  <w:footnote w:id="3">
    <w:p w:rsidR="0050054A" w:rsidRPr="00BE760F" w:rsidRDefault="0050054A" w:rsidP="000C5E76">
      <w:pPr>
        <w:pStyle w:val="FootnoteText"/>
        <w:rPr>
          <w:lang w:val="en-NZ"/>
        </w:rPr>
      </w:pPr>
      <w:r>
        <w:rPr>
          <w:rStyle w:val="FootnoteReference"/>
        </w:rPr>
        <w:footnoteRef/>
      </w:r>
      <w:r>
        <w:t xml:space="preserve"> </w:t>
      </w:r>
      <w:r>
        <w:rPr>
          <w:lang w:val="en-NZ"/>
        </w:rPr>
        <w:t>This was as a result of two tax cuts – from 33% to 30% from the 2008–09 income year and to 28% from the 2011–12 income year.</w:t>
      </w:r>
    </w:p>
  </w:footnote>
  <w:footnote w:id="4">
    <w:p w:rsidR="0050054A" w:rsidRPr="00FB4A12" w:rsidRDefault="0050054A" w:rsidP="000C5E76">
      <w:pPr>
        <w:pStyle w:val="FootnoteText"/>
        <w:rPr>
          <w:lang w:val="en-NZ"/>
        </w:rPr>
      </w:pPr>
      <w:r>
        <w:rPr>
          <w:rStyle w:val="FootnoteReference"/>
        </w:rPr>
        <w:footnoteRef/>
      </w:r>
      <w:r>
        <w:t xml:space="preserve"> </w:t>
      </w:r>
      <w:r>
        <w:rPr>
          <w:lang w:val="en-NZ"/>
        </w:rPr>
        <w:t xml:space="preserve">The exception is if </w:t>
      </w:r>
      <w:r w:rsidRPr="00FB4A12">
        <w:t>the two companies are part of the same wholly</w:t>
      </w:r>
      <w:r>
        <w:t xml:space="preserve"> </w:t>
      </w:r>
      <w:r w:rsidRPr="00FB4A12">
        <w:t>owned group</w:t>
      </w:r>
      <w:r>
        <w:t>, in which case the dividend is exempt from tax,</w:t>
      </w:r>
      <w:r w:rsidRPr="00FB4A12">
        <w:t xml:space="preserve"> or the recipient company holds a certificate of exemption from RWT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8AF8F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567"/>
        </w:tabs>
        <w:ind w:left="567" w:hanging="283"/>
      </w:pPr>
      <w:rPr>
        <w:rFonts w:ascii="Symbol" w:hAnsi="Symbol"/>
        <w:sz w:val="21"/>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7">
    <w:nsid w:val="00000007"/>
    <w:multiLevelType w:val="multilevel"/>
    <w:tmpl w:val="00000007"/>
    <w:name w:val="WW8Num7"/>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8">
    <w:nsid w:val="00000008"/>
    <w:multiLevelType w:val="multilevel"/>
    <w:tmpl w:val="00000008"/>
    <w:name w:val="WW8Num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9">
    <w:nsid w:val="00000009"/>
    <w:multiLevelType w:val="multilevel"/>
    <w:tmpl w:val="00000009"/>
    <w:name w:val="WW8Num9"/>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567"/>
        </w:tabs>
        <w:ind w:left="567" w:hanging="283"/>
      </w:pPr>
      <w:rPr>
        <w:rFonts w:ascii="Symbol" w:hAnsi="Symbol" w:cs="Wingdings"/>
        <w:sz w:val="18"/>
        <w:szCs w:val="18"/>
      </w:rPr>
    </w:lvl>
    <w:lvl w:ilvl="2">
      <w:start w:val="1"/>
      <w:numFmt w:val="bullet"/>
      <w:lvlText w:val="·"/>
      <w:lvlJc w:val="left"/>
      <w:pPr>
        <w:tabs>
          <w:tab w:val="num" w:pos="850"/>
        </w:tabs>
        <w:ind w:left="850" w:hanging="283"/>
      </w:pPr>
      <w:rPr>
        <w:rFonts w:ascii="Symbol" w:hAnsi="Symbol" w:cs="Wingdings"/>
        <w:sz w:val="18"/>
        <w:szCs w:val="18"/>
      </w:rPr>
    </w:lvl>
    <w:lvl w:ilvl="3">
      <w:start w:val="1"/>
      <w:numFmt w:val="bullet"/>
      <w:lvlText w:val="·"/>
      <w:lvlJc w:val="left"/>
      <w:pPr>
        <w:tabs>
          <w:tab w:val="num" w:pos="1134"/>
        </w:tabs>
        <w:ind w:left="1134" w:hanging="283"/>
      </w:pPr>
      <w:rPr>
        <w:rFonts w:ascii="Symbol" w:hAnsi="Symbol" w:cs="Wingdings"/>
        <w:sz w:val="18"/>
        <w:szCs w:val="18"/>
      </w:rPr>
    </w:lvl>
    <w:lvl w:ilvl="4">
      <w:start w:val="1"/>
      <w:numFmt w:val="bullet"/>
      <w:lvlText w:val="·"/>
      <w:lvlJc w:val="left"/>
      <w:pPr>
        <w:tabs>
          <w:tab w:val="num" w:pos="1417"/>
        </w:tabs>
        <w:ind w:left="1417" w:hanging="283"/>
      </w:pPr>
      <w:rPr>
        <w:rFonts w:ascii="Symbol" w:hAnsi="Symbol" w:cs="Wingdings"/>
        <w:sz w:val="18"/>
        <w:szCs w:val="18"/>
      </w:rPr>
    </w:lvl>
    <w:lvl w:ilvl="5">
      <w:start w:val="1"/>
      <w:numFmt w:val="bullet"/>
      <w:lvlText w:val="·"/>
      <w:lvlJc w:val="left"/>
      <w:pPr>
        <w:tabs>
          <w:tab w:val="num" w:pos="1701"/>
        </w:tabs>
        <w:ind w:left="1701" w:hanging="283"/>
      </w:pPr>
      <w:rPr>
        <w:rFonts w:ascii="Symbol" w:hAnsi="Symbol" w:cs="Wingdings"/>
        <w:sz w:val="18"/>
        <w:szCs w:val="18"/>
      </w:rPr>
    </w:lvl>
    <w:lvl w:ilvl="6">
      <w:start w:val="1"/>
      <w:numFmt w:val="bullet"/>
      <w:lvlText w:val="·"/>
      <w:lvlJc w:val="left"/>
      <w:pPr>
        <w:tabs>
          <w:tab w:val="num" w:pos="1984"/>
        </w:tabs>
        <w:ind w:left="1984" w:hanging="283"/>
      </w:pPr>
      <w:rPr>
        <w:rFonts w:ascii="Symbol" w:hAnsi="Symbol" w:cs="Wingdings"/>
        <w:sz w:val="18"/>
        <w:szCs w:val="18"/>
      </w:rPr>
    </w:lvl>
    <w:lvl w:ilvl="7">
      <w:start w:val="1"/>
      <w:numFmt w:val="bullet"/>
      <w:lvlText w:val="·"/>
      <w:lvlJc w:val="left"/>
      <w:pPr>
        <w:tabs>
          <w:tab w:val="num" w:pos="2268"/>
        </w:tabs>
        <w:ind w:left="2268" w:hanging="283"/>
      </w:pPr>
      <w:rPr>
        <w:rFonts w:ascii="Symbol" w:hAnsi="Symbol" w:cs="Wingdings"/>
        <w:sz w:val="18"/>
        <w:szCs w:val="18"/>
      </w:rPr>
    </w:lvl>
    <w:lvl w:ilvl="8">
      <w:start w:val="1"/>
      <w:numFmt w:val="bullet"/>
      <w:lvlText w:val="·"/>
      <w:lvlJc w:val="left"/>
      <w:pPr>
        <w:tabs>
          <w:tab w:val="num" w:pos="2551"/>
        </w:tabs>
        <w:ind w:left="2551" w:hanging="283"/>
      </w:pPr>
      <w:rPr>
        <w:rFonts w:ascii="Symbol" w:hAnsi="Symbol" w:cs="Wingdings"/>
        <w:sz w:val="18"/>
        <w:szCs w:val="18"/>
      </w:rPr>
    </w:lvl>
  </w:abstractNum>
  <w:abstractNum w:abstractNumId="10">
    <w:nsid w:val="04904A6E"/>
    <w:multiLevelType w:val="hybridMultilevel"/>
    <w:tmpl w:val="02D05912"/>
    <w:lvl w:ilvl="0" w:tplc="F2E6EB38">
      <w:start w:val="1"/>
      <w:numFmt w:val="bullet"/>
      <w:lvlText w:val=""/>
      <w:lvlJc w:val="left"/>
      <w:pPr>
        <w:tabs>
          <w:tab w:val="num" w:pos="283"/>
        </w:tabs>
        <w:ind w:left="283" w:hanging="283"/>
      </w:pPr>
      <w:rPr>
        <w:rFonts w:ascii="Symbol" w:hAnsi="Symbol" w:hint="default"/>
        <w:sz w:val="21"/>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4F73411"/>
    <w:multiLevelType w:val="hybridMultilevel"/>
    <w:tmpl w:val="4B161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6E76E7D"/>
    <w:multiLevelType w:val="hybridMultilevel"/>
    <w:tmpl w:val="1F704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4">
    <w:nsid w:val="06FA5C4A"/>
    <w:multiLevelType w:val="hybridMultilevel"/>
    <w:tmpl w:val="8B3AA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6">
    <w:nsid w:val="10676216"/>
    <w:multiLevelType w:val="singleLevel"/>
    <w:tmpl w:val="5C36E62A"/>
    <w:lvl w:ilvl="0">
      <w:start w:val="1"/>
      <w:numFmt w:val="bullet"/>
      <w:lvlText w:val=""/>
      <w:lvlJc w:val="left"/>
      <w:pPr>
        <w:tabs>
          <w:tab w:val="num" w:pos="567"/>
        </w:tabs>
        <w:ind w:left="567" w:hanging="567"/>
      </w:pPr>
      <w:rPr>
        <w:rFonts w:ascii="Symbol" w:hAnsi="Symbol" w:hint="default"/>
        <w:b w:val="0"/>
        <w:i w:val="0"/>
      </w:rPr>
    </w:lvl>
  </w:abstractNum>
  <w:abstractNum w:abstractNumId="17">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8">
    <w:nsid w:val="1382183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18337FE2"/>
    <w:multiLevelType w:val="hybridMultilevel"/>
    <w:tmpl w:val="87487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8884A2D"/>
    <w:multiLevelType w:val="hybridMultilevel"/>
    <w:tmpl w:val="B7BAF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23">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29A019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6">
    <w:nsid w:val="343222DE"/>
    <w:multiLevelType w:val="singleLevel"/>
    <w:tmpl w:val="E4A63E30"/>
    <w:lvl w:ilvl="0">
      <w:start w:val="1"/>
      <w:numFmt w:val="decimal"/>
      <w:lvlText w:val="6.%1"/>
      <w:lvlJc w:val="left"/>
      <w:pPr>
        <w:tabs>
          <w:tab w:val="num" w:pos="851"/>
        </w:tabs>
        <w:ind w:left="851" w:hanging="851"/>
      </w:pPr>
      <w:rPr>
        <w:rFonts w:hint="default"/>
      </w:rPr>
    </w:lvl>
  </w:abstractNum>
  <w:abstractNum w:abstractNumId="27">
    <w:nsid w:val="35972FF1"/>
    <w:multiLevelType w:val="hybridMultilevel"/>
    <w:tmpl w:val="CDAE0618"/>
    <w:lvl w:ilvl="0" w:tplc="B6428B4C">
      <w:start w:val="1"/>
      <w:numFmt w:val="decimal"/>
      <w:lvlText w:val="4.%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9">
    <w:nsid w:val="38FE376B"/>
    <w:multiLevelType w:val="singleLevel"/>
    <w:tmpl w:val="3E42CD4E"/>
    <w:lvl w:ilvl="0">
      <w:start w:val="1"/>
      <w:numFmt w:val="decimal"/>
      <w:lvlText w:val="17.%1"/>
      <w:lvlJc w:val="left"/>
      <w:pPr>
        <w:tabs>
          <w:tab w:val="num" w:pos="992"/>
        </w:tabs>
        <w:ind w:left="992" w:hanging="992"/>
      </w:pPr>
    </w:lvl>
  </w:abstractNum>
  <w:abstractNum w:abstractNumId="30">
    <w:nsid w:val="3C7F0A82"/>
    <w:multiLevelType w:val="hybridMultilevel"/>
    <w:tmpl w:val="CF348914"/>
    <w:lvl w:ilvl="0" w:tplc="EACAC58A">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32">
    <w:nsid w:val="40205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40385FB6"/>
    <w:multiLevelType w:val="hybridMultilevel"/>
    <w:tmpl w:val="15941E36"/>
    <w:lvl w:ilvl="0" w:tplc="3C144AC8">
      <w:start w:val="1"/>
      <w:numFmt w:val="bullet"/>
      <w:lvlText w:val=""/>
      <w:lvlJc w:val="left"/>
      <w:pPr>
        <w:tabs>
          <w:tab w:val="num" w:pos="720"/>
        </w:tabs>
        <w:ind w:left="720" w:hanging="360"/>
      </w:pPr>
      <w:rPr>
        <w:rFonts w:ascii="Symbol" w:hAnsi="Symbol" w:hint="default"/>
      </w:rPr>
    </w:lvl>
    <w:lvl w:ilvl="1" w:tplc="6736F252">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6864BCC"/>
    <w:multiLevelType w:val="hybridMultilevel"/>
    <w:tmpl w:val="B96CE2B4"/>
    <w:lvl w:ilvl="0" w:tplc="CB0ADE2E">
      <w:start w:val="1"/>
      <w:numFmt w:val="bullet"/>
      <w:lvlText w:val=""/>
      <w:lvlJc w:val="left"/>
      <w:pPr>
        <w:tabs>
          <w:tab w:val="num" w:pos="567"/>
        </w:tabs>
        <w:ind w:left="1418" w:hanging="567"/>
      </w:pPr>
      <w:rPr>
        <w:rFonts w:ascii="Symbol" w:hAnsi="Symbol" w:hint="default"/>
        <w:b w:val="0"/>
        <w:i w:val="0"/>
        <w:sz w:val="20"/>
        <w:szCs w:val="20"/>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5">
    <w:nsid w:val="4A9E4C39"/>
    <w:multiLevelType w:val="hybridMultilevel"/>
    <w:tmpl w:val="AB0211D8"/>
    <w:lvl w:ilvl="0" w:tplc="297848DC">
      <w:start w:val="1"/>
      <w:numFmt w:val="decimal"/>
      <w:lvlText w:val="5.%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4F70518E"/>
    <w:multiLevelType w:val="singleLevel"/>
    <w:tmpl w:val="CAAA5C7C"/>
    <w:lvl w:ilvl="0">
      <w:start w:val="1"/>
      <w:numFmt w:val="bullet"/>
      <w:lvlText w:val=""/>
      <w:lvlJc w:val="left"/>
      <w:pPr>
        <w:tabs>
          <w:tab w:val="num" w:pos="1418"/>
        </w:tabs>
        <w:ind w:left="1418" w:hanging="567"/>
      </w:pPr>
      <w:rPr>
        <w:rFonts w:ascii="Symbol" w:hAnsi="Symbol" w:hint="default"/>
        <w:sz w:val="21"/>
      </w:rPr>
    </w:lvl>
  </w:abstractNum>
  <w:abstractNum w:abstractNumId="37">
    <w:nsid w:val="5AA652A0"/>
    <w:multiLevelType w:val="hybridMultilevel"/>
    <w:tmpl w:val="A5682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C41785E"/>
    <w:multiLevelType w:val="hybridMultilevel"/>
    <w:tmpl w:val="9A44C072"/>
    <w:lvl w:ilvl="0" w:tplc="467EA23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nsid w:val="5D886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5E482EA0"/>
    <w:multiLevelType w:val="hybridMultilevel"/>
    <w:tmpl w:val="EF74F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008540F"/>
    <w:multiLevelType w:val="hybridMultilevel"/>
    <w:tmpl w:val="FD4E2A30"/>
    <w:lvl w:ilvl="0" w:tplc="F8928102">
      <w:start w:val="1"/>
      <w:numFmt w:val="decimal"/>
      <w:lvlText w:val="7.%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64AA0ACC"/>
    <w:multiLevelType w:val="hybridMultilevel"/>
    <w:tmpl w:val="DCD2E360"/>
    <w:lvl w:ilvl="0" w:tplc="173E0E94">
      <w:start w:val="1"/>
      <w:numFmt w:val="bullet"/>
      <w:lvlText w:val=""/>
      <w:lvlJc w:val="left"/>
      <w:pPr>
        <w:tabs>
          <w:tab w:val="num" w:pos="357"/>
        </w:tabs>
        <w:ind w:left="357" w:hanging="357"/>
      </w:pPr>
      <w:rPr>
        <w:rFonts w:ascii="Symbol" w:hAnsi="Symbol" w:hint="default"/>
      </w:rPr>
    </w:lvl>
    <w:lvl w:ilvl="1" w:tplc="9C34DEC6" w:tentative="1">
      <w:start w:val="1"/>
      <w:numFmt w:val="bullet"/>
      <w:lvlText w:val="o"/>
      <w:lvlJc w:val="left"/>
      <w:pPr>
        <w:tabs>
          <w:tab w:val="num" w:pos="1440"/>
        </w:tabs>
        <w:ind w:left="1440" w:hanging="360"/>
      </w:pPr>
      <w:rPr>
        <w:rFonts w:ascii="Courier New" w:hAnsi="Courier New" w:cs="Courier New" w:hint="default"/>
      </w:rPr>
    </w:lvl>
    <w:lvl w:ilvl="2" w:tplc="DDD6E854" w:tentative="1">
      <w:start w:val="1"/>
      <w:numFmt w:val="bullet"/>
      <w:lvlText w:val=""/>
      <w:lvlJc w:val="left"/>
      <w:pPr>
        <w:tabs>
          <w:tab w:val="num" w:pos="2160"/>
        </w:tabs>
        <w:ind w:left="2160" w:hanging="360"/>
      </w:pPr>
      <w:rPr>
        <w:rFonts w:ascii="Wingdings" w:hAnsi="Wingdings" w:hint="default"/>
      </w:rPr>
    </w:lvl>
    <w:lvl w:ilvl="3" w:tplc="6DDAD34C" w:tentative="1">
      <w:start w:val="1"/>
      <w:numFmt w:val="bullet"/>
      <w:lvlText w:val=""/>
      <w:lvlJc w:val="left"/>
      <w:pPr>
        <w:tabs>
          <w:tab w:val="num" w:pos="2880"/>
        </w:tabs>
        <w:ind w:left="2880" w:hanging="360"/>
      </w:pPr>
      <w:rPr>
        <w:rFonts w:ascii="Symbol" w:hAnsi="Symbol" w:hint="default"/>
      </w:rPr>
    </w:lvl>
    <w:lvl w:ilvl="4" w:tplc="90AE0E52" w:tentative="1">
      <w:start w:val="1"/>
      <w:numFmt w:val="bullet"/>
      <w:lvlText w:val="o"/>
      <w:lvlJc w:val="left"/>
      <w:pPr>
        <w:tabs>
          <w:tab w:val="num" w:pos="3600"/>
        </w:tabs>
        <w:ind w:left="3600" w:hanging="360"/>
      </w:pPr>
      <w:rPr>
        <w:rFonts w:ascii="Courier New" w:hAnsi="Courier New" w:cs="Courier New" w:hint="default"/>
      </w:rPr>
    </w:lvl>
    <w:lvl w:ilvl="5" w:tplc="C16E3A94" w:tentative="1">
      <w:start w:val="1"/>
      <w:numFmt w:val="bullet"/>
      <w:lvlText w:val=""/>
      <w:lvlJc w:val="left"/>
      <w:pPr>
        <w:tabs>
          <w:tab w:val="num" w:pos="4320"/>
        </w:tabs>
        <w:ind w:left="4320" w:hanging="360"/>
      </w:pPr>
      <w:rPr>
        <w:rFonts w:ascii="Wingdings" w:hAnsi="Wingdings" w:hint="default"/>
      </w:rPr>
    </w:lvl>
    <w:lvl w:ilvl="6" w:tplc="B6DED284" w:tentative="1">
      <w:start w:val="1"/>
      <w:numFmt w:val="bullet"/>
      <w:lvlText w:val=""/>
      <w:lvlJc w:val="left"/>
      <w:pPr>
        <w:tabs>
          <w:tab w:val="num" w:pos="5040"/>
        </w:tabs>
        <w:ind w:left="5040" w:hanging="360"/>
      </w:pPr>
      <w:rPr>
        <w:rFonts w:ascii="Symbol" w:hAnsi="Symbol" w:hint="default"/>
      </w:rPr>
    </w:lvl>
    <w:lvl w:ilvl="7" w:tplc="B4026752" w:tentative="1">
      <w:start w:val="1"/>
      <w:numFmt w:val="bullet"/>
      <w:lvlText w:val="o"/>
      <w:lvlJc w:val="left"/>
      <w:pPr>
        <w:tabs>
          <w:tab w:val="num" w:pos="5760"/>
        </w:tabs>
        <w:ind w:left="5760" w:hanging="360"/>
      </w:pPr>
      <w:rPr>
        <w:rFonts w:ascii="Courier New" w:hAnsi="Courier New" w:cs="Courier New" w:hint="default"/>
      </w:rPr>
    </w:lvl>
    <w:lvl w:ilvl="8" w:tplc="3AFC3AEA" w:tentative="1">
      <w:start w:val="1"/>
      <w:numFmt w:val="bullet"/>
      <w:lvlText w:val=""/>
      <w:lvlJc w:val="left"/>
      <w:pPr>
        <w:tabs>
          <w:tab w:val="num" w:pos="6480"/>
        </w:tabs>
        <w:ind w:left="6480" w:hanging="360"/>
      </w:pPr>
      <w:rPr>
        <w:rFonts w:ascii="Wingdings" w:hAnsi="Wingdings" w:hint="default"/>
      </w:rPr>
    </w:lvl>
  </w:abstractNum>
  <w:abstractNum w:abstractNumId="43">
    <w:nsid w:val="655D006B"/>
    <w:multiLevelType w:val="hybridMultilevel"/>
    <w:tmpl w:val="8A24E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45">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6">
    <w:nsid w:val="7720596C"/>
    <w:multiLevelType w:val="hybridMultilevel"/>
    <w:tmpl w:val="6BF0462A"/>
    <w:lvl w:ilvl="0" w:tplc="0DF4CED6">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7">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abstractNum w:abstractNumId="48">
    <w:nsid w:val="7F0B27F1"/>
    <w:multiLevelType w:val="hybridMultilevel"/>
    <w:tmpl w:val="DFB81B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F454707"/>
    <w:multiLevelType w:val="hybridMultilevel"/>
    <w:tmpl w:val="2FE6E82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abstractNumId w:val="32"/>
  </w:num>
  <w:num w:numId="2">
    <w:abstractNumId w:val="18"/>
  </w:num>
  <w:num w:numId="3">
    <w:abstractNumId w:val="24"/>
  </w:num>
  <w:num w:numId="4">
    <w:abstractNumId w:val="16"/>
  </w:num>
  <w:num w:numId="5">
    <w:abstractNumId w:val="39"/>
  </w:num>
  <w:num w:numId="6">
    <w:abstractNumId w:val="16"/>
  </w:num>
  <w:num w:numId="7">
    <w:abstractNumId w:val="17"/>
  </w:num>
  <w:num w:numId="8">
    <w:abstractNumId w:val="31"/>
  </w:num>
  <w:num w:numId="9">
    <w:abstractNumId w:val="25"/>
  </w:num>
  <w:num w:numId="10">
    <w:abstractNumId w:val="29"/>
  </w:num>
  <w:num w:numId="11">
    <w:abstractNumId w:val="44"/>
  </w:num>
  <w:num w:numId="12">
    <w:abstractNumId w:val="36"/>
  </w:num>
  <w:num w:numId="13">
    <w:abstractNumId w:val="16"/>
  </w:num>
  <w:num w:numId="14">
    <w:abstractNumId w:val="10"/>
  </w:num>
  <w:num w:numId="15">
    <w:abstractNumId w:val="45"/>
  </w:num>
  <w:num w:numId="16">
    <w:abstractNumId w:val="13"/>
  </w:num>
  <w:num w:numId="17">
    <w:abstractNumId w:val="42"/>
  </w:num>
  <w:num w:numId="18">
    <w:abstractNumId w:val="21"/>
  </w:num>
  <w:num w:numId="19">
    <w:abstractNumId w:val="28"/>
  </w:num>
  <w:num w:numId="20">
    <w:abstractNumId w:val="0"/>
  </w:num>
  <w:num w:numId="21">
    <w:abstractNumId w:val="22"/>
  </w:num>
  <w:num w:numId="22">
    <w:abstractNumId w:val="47"/>
  </w:num>
  <w:num w:numId="23">
    <w:abstractNumId w:val="15"/>
  </w:num>
  <w:num w:numId="24">
    <w:abstractNumId w:val="27"/>
  </w:num>
  <w:num w:numId="25">
    <w:abstractNumId w:val="35"/>
  </w:num>
  <w:num w:numId="26">
    <w:abstractNumId w:val="26"/>
  </w:num>
  <w:num w:numId="27">
    <w:abstractNumId w:val="41"/>
  </w:num>
  <w:num w:numId="28">
    <w:abstractNumId w:val="33"/>
  </w:num>
  <w:num w:numId="29">
    <w:abstractNumId w:val="34"/>
  </w:num>
  <w:num w:numId="30">
    <w:abstractNumId w:val="19"/>
  </w:num>
  <w:num w:numId="31">
    <w:abstractNumId w:val="23"/>
  </w:num>
  <w:num w:numId="32">
    <w:abstractNumId w:val="40"/>
  </w:num>
  <w:num w:numId="33">
    <w:abstractNumId w:val="38"/>
  </w:num>
  <w:num w:numId="34">
    <w:abstractNumId w:val="30"/>
  </w:num>
  <w:num w:numId="35">
    <w:abstractNumId w:val="46"/>
  </w:num>
  <w:num w:numId="36">
    <w:abstractNumId w:val="11"/>
  </w:num>
  <w:num w:numId="37">
    <w:abstractNumId w:val="43"/>
  </w:num>
  <w:num w:numId="38">
    <w:abstractNumId w:val="49"/>
  </w:num>
  <w:num w:numId="39">
    <w:abstractNumId w:val="48"/>
  </w:num>
  <w:num w:numId="40">
    <w:abstractNumId w:val="12"/>
  </w:num>
  <w:num w:numId="41">
    <w:abstractNumId w:val="14"/>
  </w:num>
  <w:num w:numId="42">
    <w:abstractNumId w:val="37"/>
  </w:num>
  <w:num w:numId="4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EB"/>
    <w:rsid w:val="000034E4"/>
    <w:rsid w:val="0000643E"/>
    <w:rsid w:val="00013243"/>
    <w:rsid w:val="00013308"/>
    <w:rsid w:val="000152EB"/>
    <w:rsid w:val="0001760E"/>
    <w:rsid w:val="00020711"/>
    <w:rsid w:val="00020744"/>
    <w:rsid w:val="0002221A"/>
    <w:rsid w:val="00025BE7"/>
    <w:rsid w:val="00026DAC"/>
    <w:rsid w:val="00033EED"/>
    <w:rsid w:val="0003488D"/>
    <w:rsid w:val="00035DBF"/>
    <w:rsid w:val="00040CC7"/>
    <w:rsid w:val="00042C14"/>
    <w:rsid w:val="00042F8F"/>
    <w:rsid w:val="00047717"/>
    <w:rsid w:val="000510A9"/>
    <w:rsid w:val="000521CA"/>
    <w:rsid w:val="00052C5D"/>
    <w:rsid w:val="0005341D"/>
    <w:rsid w:val="00053E45"/>
    <w:rsid w:val="00054716"/>
    <w:rsid w:val="000613C8"/>
    <w:rsid w:val="000618E3"/>
    <w:rsid w:val="00062429"/>
    <w:rsid w:val="00065D36"/>
    <w:rsid w:val="00065FE0"/>
    <w:rsid w:val="00067D45"/>
    <w:rsid w:val="000715D0"/>
    <w:rsid w:val="00075431"/>
    <w:rsid w:val="00080DB2"/>
    <w:rsid w:val="00083446"/>
    <w:rsid w:val="0008360C"/>
    <w:rsid w:val="000840FE"/>
    <w:rsid w:val="0008538B"/>
    <w:rsid w:val="000921B6"/>
    <w:rsid w:val="00092A59"/>
    <w:rsid w:val="00097E39"/>
    <w:rsid w:val="000A1493"/>
    <w:rsid w:val="000A1C36"/>
    <w:rsid w:val="000A232E"/>
    <w:rsid w:val="000A4D6B"/>
    <w:rsid w:val="000A5F97"/>
    <w:rsid w:val="000A7611"/>
    <w:rsid w:val="000B5A0C"/>
    <w:rsid w:val="000B7FDB"/>
    <w:rsid w:val="000C0A59"/>
    <w:rsid w:val="000C5E76"/>
    <w:rsid w:val="000C668D"/>
    <w:rsid w:val="000C71B4"/>
    <w:rsid w:val="000C7390"/>
    <w:rsid w:val="000C7FA6"/>
    <w:rsid w:val="000D1C59"/>
    <w:rsid w:val="000D41C2"/>
    <w:rsid w:val="000D7FED"/>
    <w:rsid w:val="000E0216"/>
    <w:rsid w:val="000E07C9"/>
    <w:rsid w:val="000E1A56"/>
    <w:rsid w:val="000E3183"/>
    <w:rsid w:val="000E3A2A"/>
    <w:rsid w:val="000E53E8"/>
    <w:rsid w:val="000E5690"/>
    <w:rsid w:val="000E66A3"/>
    <w:rsid w:val="000E689D"/>
    <w:rsid w:val="000E75F4"/>
    <w:rsid w:val="000F1790"/>
    <w:rsid w:val="000F4B2D"/>
    <w:rsid w:val="000F5374"/>
    <w:rsid w:val="000F6009"/>
    <w:rsid w:val="000F61A7"/>
    <w:rsid w:val="000F6464"/>
    <w:rsid w:val="000F7647"/>
    <w:rsid w:val="001020F5"/>
    <w:rsid w:val="00102934"/>
    <w:rsid w:val="00106525"/>
    <w:rsid w:val="00110357"/>
    <w:rsid w:val="0011207E"/>
    <w:rsid w:val="001140A6"/>
    <w:rsid w:val="001157AB"/>
    <w:rsid w:val="00115983"/>
    <w:rsid w:val="001202D8"/>
    <w:rsid w:val="0012047F"/>
    <w:rsid w:val="001206DF"/>
    <w:rsid w:val="00121BB5"/>
    <w:rsid w:val="001305AB"/>
    <w:rsid w:val="00130694"/>
    <w:rsid w:val="001312DC"/>
    <w:rsid w:val="00131F15"/>
    <w:rsid w:val="00132BA4"/>
    <w:rsid w:val="00134A41"/>
    <w:rsid w:val="0013693B"/>
    <w:rsid w:val="00136F70"/>
    <w:rsid w:val="00137E58"/>
    <w:rsid w:val="00141FF8"/>
    <w:rsid w:val="00143FA0"/>
    <w:rsid w:val="001453C8"/>
    <w:rsid w:val="00146187"/>
    <w:rsid w:val="00147B10"/>
    <w:rsid w:val="00151282"/>
    <w:rsid w:val="00151C88"/>
    <w:rsid w:val="001521EC"/>
    <w:rsid w:val="001550F6"/>
    <w:rsid w:val="001619FA"/>
    <w:rsid w:val="00162A1C"/>
    <w:rsid w:val="001637BE"/>
    <w:rsid w:val="001659BC"/>
    <w:rsid w:val="00166D8E"/>
    <w:rsid w:val="00167247"/>
    <w:rsid w:val="00170061"/>
    <w:rsid w:val="0017081C"/>
    <w:rsid w:val="00172990"/>
    <w:rsid w:val="00173233"/>
    <w:rsid w:val="001742FD"/>
    <w:rsid w:val="00174A1C"/>
    <w:rsid w:val="001774A5"/>
    <w:rsid w:val="001807F6"/>
    <w:rsid w:val="001827F0"/>
    <w:rsid w:val="00193B6E"/>
    <w:rsid w:val="00194170"/>
    <w:rsid w:val="001958BF"/>
    <w:rsid w:val="001A037B"/>
    <w:rsid w:val="001A0498"/>
    <w:rsid w:val="001B1675"/>
    <w:rsid w:val="001B1B56"/>
    <w:rsid w:val="001B48DF"/>
    <w:rsid w:val="001B4FE5"/>
    <w:rsid w:val="001B60AF"/>
    <w:rsid w:val="001B6257"/>
    <w:rsid w:val="001B7B4B"/>
    <w:rsid w:val="001C059C"/>
    <w:rsid w:val="001C123E"/>
    <w:rsid w:val="001C37BE"/>
    <w:rsid w:val="001C679B"/>
    <w:rsid w:val="001C6CDC"/>
    <w:rsid w:val="001D10E7"/>
    <w:rsid w:val="001D442B"/>
    <w:rsid w:val="001D5078"/>
    <w:rsid w:val="001E0014"/>
    <w:rsid w:val="001E02F4"/>
    <w:rsid w:val="001E4616"/>
    <w:rsid w:val="001E5865"/>
    <w:rsid w:val="001E6E11"/>
    <w:rsid w:val="001F1F14"/>
    <w:rsid w:val="001F2EF7"/>
    <w:rsid w:val="001F3E9B"/>
    <w:rsid w:val="001F6199"/>
    <w:rsid w:val="001F6E22"/>
    <w:rsid w:val="001F7A6C"/>
    <w:rsid w:val="001F7FD8"/>
    <w:rsid w:val="002029C2"/>
    <w:rsid w:val="002057B5"/>
    <w:rsid w:val="00210F91"/>
    <w:rsid w:val="00211E2F"/>
    <w:rsid w:val="0021228F"/>
    <w:rsid w:val="002126FE"/>
    <w:rsid w:val="002251F5"/>
    <w:rsid w:val="002279EB"/>
    <w:rsid w:val="00230529"/>
    <w:rsid w:val="00231206"/>
    <w:rsid w:val="00231DFE"/>
    <w:rsid w:val="00233778"/>
    <w:rsid w:val="00233CA0"/>
    <w:rsid w:val="00234552"/>
    <w:rsid w:val="002348EB"/>
    <w:rsid w:val="00235351"/>
    <w:rsid w:val="00235C30"/>
    <w:rsid w:val="00236300"/>
    <w:rsid w:val="002372F2"/>
    <w:rsid w:val="00240645"/>
    <w:rsid w:val="002417FD"/>
    <w:rsid w:val="002429FA"/>
    <w:rsid w:val="00244E87"/>
    <w:rsid w:val="00245ECF"/>
    <w:rsid w:val="00247EAF"/>
    <w:rsid w:val="002528D2"/>
    <w:rsid w:val="00252B0C"/>
    <w:rsid w:val="00253B19"/>
    <w:rsid w:val="00253DC2"/>
    <w:rsid w:val="002552F3"/>
    <w:rsid w:val="002577DA"/>
    <w:rsid w:val="002579B5"/>
    <w:rsid w:val="00257B15"/>
    <w:rsid w:val="002645D8"/>
    <w:rsid w:val="00264DC2"/>
    <w:rsid w:val="002650E4"/>
    <w:rsid w:val="00267BAE"/>
    <w:rsid w:val="00272A39"/>
    <w:rsid w:val="00274F48"/>
    <w:rsid w:val="00280070"/>
    <w:rsid w:val="00281F54"/>
    <w:rsid w:val="00285AED"/>
    <w:rsid w:val="002900F2"/>
    <w:rsid w:val="0029427E"/>
    <w:rsid w:val="00295A5B"/>
    <w:rsid w:val="00296585"/>
    <w:rsid w:val="00296F48"/>
    <w:rsid w:val="00297BF3"/>
    <w:rsid w:val="002A1AE7"/>
    <w:rsid w:val="002A4834"/>
    <w:rsid w:val="002B0BFC"/>
    <w:rsid w:val="002B2172"/>
    <w:rsid w:val="002B2224"/>
    <w:rsid w:val="002B2BC8"/>
    <w:rsid w:val="002B6000"/>
    <w:rsid w:val="002B631E"/>
    <w:rsid w:val="002C33E4"/>
    <w:rsid w:val="002C42BA"/>
    <w:rsid w:val="002C4F59"/>
    <w:rsid w:val="002C4F7D"/>
    <w:rsid w:val="002C6914"/>
    <w:rsid w:val="002C6E37"/>
    <w:rsid w:val="002C747C"/>
    <w:rsid w:val="002C7915"/>
    <w:rsid w:val="002D1029"/>
    <w:rsid w:val="002D23A4"/>
    <w:rsid w:val="002D592D"/>
    <w:rsid w:val="002D5A10"/>
    <w:rsid w:val="002D5D68"/>
    <w:rsid w:val="002D6816"/>
    <w:rsid w:val="002D73F6"/>
    <w:rsid w:val="002E3E30"/>
    <w:rsid w:val="002E6264"/>
    <w:rsid w:val="002E6EA8"/>
    <w:rsid w:val="002F0CE6"/>
    <w:rsid w:val="002F1050"/>
    <w:rsid w:val="002F1465"/>
    <w:rsid w:val="002F1979"/>
    <w:rsid w:val="002F48AE"/>
    <w:rsid w:val="002F4990"/>
    <w:rsid w:val="002F5D1B"/>
    <w:rsid w:val="0030080B"/>
    <w:rsid w:val="0030383F"/>
    <w:rsid w:val="00304F0A"/>
    <w:rsid w:val="00306B2A"/>
    <w:rsid w:val="003104EC"/>
    <w:rsid w:val="00312C16"/>
    <w:rsid w:val="00314334"/>
    <w:rsid w:val="003144F1"/>
    <w:rsid w:val="00314597"/>
    <w:rsid w:val="003234DC"/>
    <w:rsid w:val="00331584"/>
    <w:rsid w:val="00333745"/>
    <w:rsid w:val="00333EBA"/>
    <w:rsid w:val="003345E7"/>
    <w:rsid w:val="00336CEB"/>
    <w:rsid w:val="00337CC2"/>
    <w:rsid w:val="00341950"/>
    <w:rsid w:val="0034511F"/>
    <w:rsid w:val="0035123F"/>
    <w:rsid w:val="00352A8C"/>
    <w:rsid w:val="00353BD9"/>
    <w:rsid w:val="00356C5D"/>
    <w:rsid w:val="00357E34"/>
    <w:rsid w:val="0036085C"/>
    <w:rsid w:val="00362F36"/>
    <w:rsid w:val="003659E4"/>
    <w:rsid w:val="00365FCC"/>
    <w:rsid w:val="003672B7"/>
    <w:rsid w:val="0036735D"/>
    <w:rsid w:val="00367CD0"/>
    <w:rsid w:val="00370250"/>
    <w:rsid w:val="00370B0E"/>
    <w:rsid w:val="003746CE"/>
    <w:rsid w:val="003748A2"/>
    <w:rsid w:val="0038053F"/>
    <w:rsid w:val="003852C0"/>
    <w:rsid w:val="0038745F"/>
    <w:rsid w:val="00392649"/>
    <w:rsid w:val="00395DB4"/>
    <w:rsid w:val="003A2466"/>
    <w:rsid w:val="003A39DE"/>
    <w:rsid w:val="003A6385"/>
    <w:rsid w:val="003A7BF3"/>
    <w:rsid w:val="003B412E"/>
    <w:rsid w:val="003B6938"/>
    <w:rsid w:val="003C23D9"/>
    <w:rsid w:val="003C339D"/>
    <w:rsid w:val="003C50B9"/>
    <w:rsid w:val="003C7D67"/>
    <w:rsid w:val="003D29D3"/>
    <w:rsid w:val="003E1BDC"/>
    <w:rsid w:val="003E2A94"/>
    <w:rsid w:val="003E4EF5"/>
    <w:rsid w:val="003E6663"/>
    <w:rsid w:val="003E7D07"/>
    <w:rsid w:val="003F116A"/>
    <w:rsid w:val="003F14A8"/>
    <w:rsid w:val="003F152B"/>
    <w:rsid w:val="003F180F"/>
    <w:rsid w:val="003F6B9E"/>
    <w:rsid w:val="003F6FB8"/>
    <w:rsid w:val="00401CB0"/>
    <w:rsid w:val="00402AD2"/>
    <w:rsid w:val="00402F7A"/>
    <w:rsid w:val="004035E4"/>
    <w:rsid w:val="0040491E"/>
    <w:rsid w:val="00406ACE"/>
    <w:rsid w:val="00410E4D"/>
    <w:rsid w:val="00411C8A"/>
    <w:rsid w:val="00416157"/>
    <w:rsid w:val="00416605"/>
    <w:rsid w:val="00420B53"/>
    <w:rsid w:val="00421068"/>
    <w:rsid w:val="004257AA"/>
    <w:rsid w:val="00425D6F"/>
    <w:rsid w:val="004263BB"/>
    <w:rsid w:val="00426BA8"/>
    <w:rsid w:val="00426C7B"/>
    <w:rsid w:val="00427B4B"/>
    <w:rsid w:val="004313DF"/>
    <w:rsid w:val="00434170"/>
    <w:rsid w:val="0043594C"/>
    <w:rsid w:val="00436AFF"/>
    <w:rsid w:val="00436C4D"/>
    <w:rsid w:val="00437EE6"/>
    <w:rsid w:val="00445554"/>
    <w:rsid w:val="00445CC8"/>
    <w:rsid w:val="00446C0B"/>
    <w:rsid w:val="004535FD"/>
    <w:rsid w:val="00454D1C"/>
    <w:rsid w:val="0045718A"/>
    <w:rsid w:val="004632E4"/>
    <w:rsid w:val="004647CC"/>
    <w:rsid w:val="0046590D"/>
    <w:rsid w:val="00466490"/>
    <w:rsid w:val="004708CD"/>
    <w:rsid w:val="00470CFA"/>
    <w:rsid w:val="004740FA"/>
    <w:rsid w:val="00474151"/>
    <w:rsid w:val="004744F8"/>
    <w:rsid w:val="00476124"/>
    <w:rsid w:val="00477498"/>
    <w:rsid w:val="00477751"/>
    <w:rsid w:val="00481CDD"/>
    <w:rsid w:val="0048339D"/>
    <w:rsid w:val="00485089"/>
    <w:rsid w:val="00485DC9"/>
    <w:rsid w:val="00487734"/>
    <w:rsid w:val="00490382"/>
    <w:rsid w:val="00491DB1"/>
    <w:rsid w:val="004971D1"/>
    <w:rsid w:val="004A0D45"/>
    <w:rsid w:val="004A0E5D"/>
    <w:rsid w:val="004A15A3"/>
    <w:rsid w:val="004A35DB"/>
    <w:rsid w:val="004A3970"/>
    <w:rsid w:val="004A41C1"/>
    <w:rsid w:val="004A4B95"/>
    <w:rsid w:val="004B0475"/>
    <w:rsid w:val="004B0FD3"/>
    <w:rsid w:val="004B4C96"/>
    <w:rsid w:val="004B5054"/>
    <w:rsid w:val="004B5309"/>
    <w:rsid w:val="004B5C8D"/>
    <w:rsid w:val="004B6B22"/>
    <w:rsid w:val="004C131B"/>
    <w:rsid w:val="004C3D51"/>
    <w:rsid w:val="004C49CC"/>
    <w:rsid w:val="004C4FFD"/>
    <w:rsid w:val="004D019D"/>
    <w:rsid w:val="004D174C"/>
    <w:rsid w:val="004D2EC2"/>
    <w:rsid w:val="004D7880"/>
    <w:rsid w:val="004E02D5"/>
    <w:rsid w:val="004E0BB2"/>
    <w:rsid w:val="004E1587"/>
    <w:rsid w:val="004E29F6"/>
    <w:rsid w:val="004E2D30"/>
    <w:rsid w:val="004E3508"/>
    <w:rsid w:val="004E781C"/>
    <w:rsid w:val="004F0169"/>
    <w:rsid w:val="004F17A2"/>
    <w:rsid w:val="004F1930"/>
    <w:rsid w:val="004F2FEB"/>
    <w:rsid w:val="004F35AF"/>
    <w:rsid w:val="004F3B08"/>
    <w:rsid w:val="004F6CE5"/>
    <w:rsid w:val="004F7936"/>
    <w:rsid w:val="0050054A"/>
    <w:rsid w:val="00500EFA"/>
    <w:rsid w:val="00501301"/>
    <w:rsid w:val="00502548"/>
    <w:rsid w:val="00502FCC"/>
    <w:rsid w:val="005040ED"/>
    <w:rsid w:val="00505635"/>
    <w:rsid w:val="00506252"/>
    <w:rsid w:val="00507235"/>
    <w:rsid w:val="00507FFA"/>
    <w:rsid w:val="00512F6D"/>
    <w:rsid w:val="00513353"/>
    <w:rsid w:val="005141F3"/>
    <w:rsid w:val="005146F5"/>
    <w:rsid w:val="005166EC"/>
    <w:rsid w:val="00522148"/>
    <w:rsid w:val="00524EDD"/>
    <w:rsid w:val="005262E9"/>
    <w:rsid w:val="005271EE"/>
    <w:rsid w:val="005276F0"/>
    <w:rsid w:val="00527BE3"/>
    <w:rsid w:val="00530085"/>
    <w:rsid w:val="005313B5"/>
    <w:rsid w:val="00531F36"/>
    <w:rsid w:val="00532B43"/>
    <w:rsid w:val="005353F8"/>
    <w:rsid w:val="00536055"/>
    <w:rsid w:val="00536A30"/>
    <w:rsid w:val="00536A33"/>
    <w:rsid w:val="00541862"/>
    <w:rsid w:val="00541ED0"/>
    <w:rsid w:val="00543F0E"/>
    <w:rsid w:val="00544040"/>
    <w:rsid w:val="0054477B"/>
    <w:rsid w:val="0054555A"/>
    <w:rsid w:val="00547EB0"/>
    <w:rsid w:val="005538D9"/>
    <w:rsid w:val="00555CDE"/>
    <w:rsid w:val="00556B1D"/>
    <w:rsid w:val="00556F13"/>
    <w:rsid w:val="00560976"/>
    <w:rsid w:val="00562116"/>
    <w:rsid w:val="005626E0"/>
    <w:rsid w:val="0056487E"/>
    <w:rsid w:val="0056548F"/>
    <w:rsid w:val="00565B16"/>
    <w:rsid w:val="00565D35"/>
    <w:rsid w:val="00571D44"/>
    <w:rsid w:val="00577153"/>
    <w:rsid w:val="0057720D"/>
    <w:rsid w:val="00577A7D"/>
    <w:rsid w:val="005815DF"/>
    <w:rsid w:val="0058200E"/>
    <w:rsid w:val="00582060"/>
    <w:rsid w:val="00590622"/>
    <w:rsid w:val="00590ED6"/>
    <w:rsid w:val="0059127A"/>
    <w:rsid w:val="005912A8"/>
    <w:rsid w:val="00596E6D"/>
    <w:rsid w:val="005A036E"/>
    <w:rsid w:val="005A1BEC"/>
    <w:rsid w:val="005A70C0"/>
    <w:rsid w:val="005B25AD"/>
    <w:rsid w:val="005B3C01"/>
    <w:rsid w:val="005B4FAE"/>
    <w:rsid w:val="005C3A0C"/>
    <w:rsid w:val="005C4598"/>
    <w:rsid w:val="005C56EA"/>
    <w:rsid w:val="005D0580"/>
    <w:rsid w:val="005D2356"/>
    <w:rsid w:val="005D5AA9"/>
    <w:rsid w:val="005D79CE"/>
    <w:rsid w:val="005E11E4"/>
    <w:rsid w:val="005E2F27"/>
    <w:rsid w:val="005E3623"/>
    <w:rsid w:val="005E3652"/>
    <w:rsid w:val="005E3CFA"/>
    <w:rsid w:val="005E41A7"/>
    <w:rsid w:val="005E4B2F"/>
    <w:rsid w:val="005E505F"/>
    <w:rsid w:val="005E7967"/>
    <w:rsid w:val="005F0FAF"/>
    <w:rsid w:val="005F1417"/>
    <w:rsid w:val="005F1468"/>
    <w:rsid w:val="005F3C75"/>
    <w:rsid w:val="005F4624"/>
    <w:rsid w:val="005F5349"/>
    <w:rsid w:val="005F6F3C"/>
    <w:rsid w:val="005F79B3"/>
    <w:rsid w:val="00602953"/>
    <w:rsid w:val="00607131"/>
    <w:rsid w:val="00611E7F"/>
    <w:rsid w:val="00614075"/>
    <w:rsid w:val="0061552A"/>
    <w:rsid w:val="006164E6"/>
    <w:rsid w:val="006169E2"/>
    <w:rsid w:val="00616EC1"/>
    <w:rsid w:val="00617654"/>
    <w:rsid w:val="0062124B"/>
    <w:rsid w:val="00622969"/>
    <w:rsid w:val="00622F30"/>
    <w:rsid w:val="006252FC"/>
    <w:rsid w:val="00625501"/>
    <w:rsid w:val="00625E36"/>
    <w:rsid w:val="00626C73"/>
    <w:rsid w:val="00626E79"/>
    <w:rsid w:val="00627EA5"/>
    <w:rsid w:val="00627EC1"/>
    <w:rsid w:val="00630A64"/>
    <w:rsid w:val="0063216E"/>
    <w:rsid w:val="0063232A"/>
    <w:rsid w:val="00633F09"/>
    <w:rsid w:val="00634BD4"/>
    <w:rsid w:val="00634C1B"/>
    <w:rsid w:val="00636738"/>
    <w:rsid w:val="0064178E"/>
    <w:rsid w:val="00643C6D"/>
    <w:rsid w:val="00646F5F"/>
    <w:rsid w:val="0064751A"/>
    <w:rsid w:val="00650421"/>
    <w:rsid w:val="00653975"/>
    <w:rsid w:val="006542AB"/>
    <w:rsid w:val="0065542F"/>
    <w:rsid w:val="006554CF"/>
    <w:rsid w:val="00656D3D"/>
    <w:rsid w:val="00657AA6"/>
    <w:rsid w:val="0066117E"/>
    <w:rsid w:val="0066236C"/>
    <w:rsid w:val="00662B5C"/>
    <w:rsid w:val="00665CFF"/>
    <w:rsid w:val="00665F7B"/>
    <w:rsid w:val="00667CD1"/>
    <w:rsid w:val="00670619"/>
    <w:rsid w:val="00670DFA"/>
    <w:rsid w:val="00670F9B"/>
    <w:rsid w:val="006727EB"/>
    <w:rsid w:val="00675168"/>
    <w:rsid w:val="006753D2"/>
    <w:rsid w:val="00676307"/>
    <w:rsid w:val="0067649E"/>
    <w:rsid w:val="0067693A"/>
    <w:rsid w:val="00676C3E"/>
    <w:rsid w:val="006826FB"/>
    <w:rsid w:val="00683DE8"/>
    <w:rsid w:val="006855AC"/>
    <w:rsid w:val="0068588C"/>
    <w:rsid w:val="006859DA"/>
    <w:rsid w:val="00686272"/>
    <w:rsid w:val="00691B85"/>
    <w:rsid w:val="00691E4C"/>
    <w:rsid w:val="00691EEB"/>
    <w:rsid w:val="0069364F"/>
    <w:rsid w:val="00695B7A"/>
    <w:rsid w:val="00697054"/>
    <w:rsid w:val="00697D56"/>
    <w:rsid w:val="006A26ED"/>
    <w:rsid w:val="006A3D15"/>
    <w:rsid w:val="006B2156"/>
    <w:rsid w:val="006B4190"/>
    <w:rsid w:val="006B62D8"/>
    <w:rsid w:val="006C0D04"/>
    <w:rsid w:val="006C1E67"/>
    <w:rsid w:val="006C1EBC"/>
    <w:rsid w:val="006C2C2E"/>
    <w:rsid w:val="006C5775"/>
    <w:rsid w:val="006C5C71"/>
    <w:rsid w:val="006C66D9"/>
    <w:rsid w:val="006D2BB4"/>
    <w:rsid w:val="006D7A6A"/>
    <w:rsid w:val="006E0097"/>
    <w:rsid w:val="006E6730"/>
    <w:rsid w:val="006F05D7"/>
    <w:rsid w:val="006F36E0"/>
    <w:rsid w:val="006F471E"/>
    <w:rsid w:val="006F53A3"/>
    <w:rsid w:val="00700D79"/>
    <w:rsid w:val="0070307B"/>
    <w:rsid w:val="0070662A"/>
    <w:rsid w:val="00711177"/>
    <w:rsid w:val="00711B09"/>
    <w:rsid w:val="00712887"/>
    <w:rsid w:val="00725358"/>
    <w:rsid w:val="00725B2B"/>
    <w:rsid w:val="0072761D"/>
    <w:rsid w:val="007316A0"/>
    <w:rsid w:val="00733005"/>
    <w:rsid w:val="0073408E"/>
    <w:rsid w:val="00736776"/>
    <w:rsid w:val="00737828"/>
    <w:rsid w:val="007407E4"/>
    <w:rsid w:val="00740AD6"/>
    <w:rsid w:val="007443C3"/>
    <w:rsid w:val="00744847"/>
    <w:rsid w:val="00747FE0"/>
    <w:rsid w:val="00751709"/>
    <w:rsid w:val="00755913"/>
    <w:rsid w:val="007619F7"/>
    <w:rsid w:val="00765348"/>
    <w:rsid w:val="00765FBD"/>
    <w:rsid w:val="007706E1"/>
    <w:rsid w:val="007712D9"/>
    <w:rsid w:val="007718D4"/>
    <w:rsid w:val="00772E15"/>
    <w:rsid w:val="00773121"/>
    <w:rsid w:val="00773B70"/>
    <w:rsid w:val="00775720"/>
    <w:rsid w:val="00775A72"/>
    <w:rsid w:val="007800C2"/>
    <w:rsid w:val="00780C4C"/>
    <w:rsid w:val="007811B9"/>
    <w:rsid w:val="0078137D"/>
    <w:rsid w:val="00783B88"/>
    <w:rsid w:val="0078743A"/>
    <w:rsid w:val="00791D50"/>
    <w:rsid w:val="0079532A"/>
    <w:rsid w:val="00795384"/>
    <w:rsid w:val="00796EC3"/>
    <w:rsid w:val="007A0D61"/>
    <w:rsid w:val="007A174E"/>
    <w:rsid w:val="007A4380"/>
    <w:rsid w:val="007A508D"/>
    <w:rsid w:val="007A5931"/>
    <w:rsid w:val="007A5BC1"/>
    <w:rsid w:val="007A7433"/>
    <w:rsid w:val="007B29DC"/>
    <w:rsid w:val="007B2E4A"/>
    <w:rsid w:val="007B51CD"/>
    <w:rsid w:val="007B54CD"/>
    <w:rsid w:val="007B61F8"/>
    <w:rsid w:val="007B6EDE"/>
    <w:rsid w:val="007B7B70"/>
    <w:rsid w:val="007C06FF"/>
    <w:rsid w:val="007C4E48"/>
    <w:rsid w:val="007C54AD"/>
    <w:rsid w:val="007C653F"/>
    <w:rsid w:val="007C7F18"/>
    <w:rsid w:val="007D6549"/>
    <w:rsid w:val="007E2A82"/>
    <w:rsid w:val="007E2ED4"/>
    <w:rsid w:val="007E309C"/>
    <w:rsid w:val="007E42A1"/>
    <w:rsid w:val="007E638D"/>
    <w:rsid w:val="007E725C"/>
    <w:rsid w:val="007F14F1"/>
    <w:rsid w:val="007F334F"/>
    <w:rsid w:val="007F5AA3"/>
    <w:rsid w:val="007F6F69"/>
    <w:rsid w:val="008011D4"/>
    <w:rsid w:val="0080175D"/>
    <w:rsid w:val="00802098"/>
    <w:rsid w:val="00802747"/>
    <w:rsid w:val="00803AFD"/>
    <w:rsid w:val="0080466A"/>
    <w:rsid w:val="00805D69"/>
    <w:rsid w:val="008129BF"/>
    <w:rsid w:val="00820795"/>
    <w:rsid w:val="0082250A"/>
    <w:rsid w:val="00824F10"/>
    <w:rsid w:val="00826CE7"/>
    <w:rsid w:val="00826DB8"/>
    <w:rsid w:val="00830B68"/>
    <w:rsid w:val="0083194F"/>
    <w:rsid w:val="008343B0"/>
    <w:rsid w:val="0083554D"/>
    <w:rsid w:val="00837479"/>
    <w:rsid w:val="008379D0"/>
    <w:rsid w:val="00844755"/>
    <w:rsid w:val="00845790"/>
    <w:rsid w:val="00846ED5"/>
    <w:rsid w:val="00850356"/>
    <w:rsid w:val="008505C0"/>
    <w:rsid w:val="0085500B"/>
    <w:rsid w:val="008554EC"/>
    <w:rsid w:val="0085797E"/>
    <w:rsid w:val="00857E7C"/>
    <w:rsid w:val="00860659"/>
    <w:rsid w:val="0086144E"/>
    <w:rsid w:val="00864272"/>
    <w:rsid w:val="00871114"/>
    <w:rsid w:val="00872C00"/>
    <w:rsid w:val="0087610A"/>
    <w:rsid w:val="00880A2D"/>
    <w:rsid w:val="00882076"/>
    <w:rsid w:val="00883A9E"/>
    <w:rsid w:val="00885D77"/>
    <w:rsid w:val="008901BD"/>
    <w:rsid w:val="0089129E"/>
    <w:rsid w:val="008912A7"/>
    <w:rsid w:val="0089247D"/>
    <w:rsid w:val="00892B02"/>
    <w:rsid w:val="00892F41"/>
    <w:rsid w:val="00893432"/>
    <w:rsid w:val="00897357"/>
    <w:rsid w:val="008A7CBF"/>
    <w:rsid w:val="008A7D3D"/>
    <w:rsid w:val="008B2303"/>
    <w:rsid w:val="008B4EA9"/>
    <w:rsid w:val="008B5493"/>
    <w:rsid w:val="008B663F"/>
    <w:rsid w:val="008B6A2D"/>
    <w:rsid w:val="008B6ADE"/>
    <w:rsid w:val="008B7F9C"/>
    <w:rsid w:val="008C1F47"/>
    <w:rsid w:val="008C7031"/>
    <w:rsid w:val="008D0513"/>
    <w:rsid w:val="008D5149"/>
    <w:rsid w:val="008E10B0"/>
    <w:rsid w:val="008E2D4B"/>
    <w:rsid w:val="008E2E85"/>
    <w:rsid w:val="008E3E06"/>
    <w:rsid w:val="008E450F"/>
    <w:rsid w:val="008E6941"/>
    <w:rsid w:val="008F134B"/>
    <w:rsid w:val="008F2AF5"/>
    <w:rsid w:val="008F52C1"/>
    <w:rsid w:val="008F6628"/>
    <w:rsid w:val="0090087F"/>
    <w:rsid w:val="00901F54"/>
    <w:rsid w:val="0090321E"/>
    <w:rsid w:val="00904328"/>
    <w:rsid w:val="00905DF2"/>
    <w:rsid w:val="009119E0"/>
    <w:rsid w:val="009127B9"/>
    <w:rsid w:val="009149BC"/>
    <w:rsid w:val="0091570D"/>
    <w:rsid w:val="009163AC"/>
    <w:rsid w:val="00917076"/>
    <w:rsid w:val="00920DFD"/>
    <w:rsid w:val="00922ABD"/>
    <w:rsid w:val="0092301B"/>
    <w:rsid w:val="009273FD"/>
    <w:rsid w:val="00931404"/>
    <w:rsid w:val="00932193"/>
    <w:rsid w:val="009334B5"/>
    <w:rsid w:val="009339B7"/>
    <w:rsid w:val="00935540"/>
    <w:rsid w:val="00937B85"/>
    <w:rsid w:val="00942566"/>
    <w:rsid w:val="00945A66"/>
    <w:rsid w:val="00947420"/>
    <w:rsid w:val="00947EE5"/>
    <w:rsid w:val="00954FBD"/>
    <w:rsid w:val="00956D65"/>
    <w:rsid w:val="00957AE5"/>
    <w:rsid w:val="00957D9A"/>
    <w:rsid w:val="00960CD1"/>
    <w:rsid w:val="00960DF5"/>
    <w:rsid w:val="00963072"/>
    <w:rsid w:val="009632CA"/>
    <w:rsid w:val="00963A74"/>
    <w:rsid w:val="00963D76"/>
    <w:rsid w:val="0096599D"/>
    <w:rsid w:val="00967A8E"/>
    <w:rsid w:val="009732B3"/>
    <w:rsid w:val="00991DAA"/>
    <w:rsid w:val="00992E95"/>
    <w:rsid w:val="00995DCE"/>
    <w:rsid w:val="00997180"/>
    <w:rsid w:val="009A0D28"/>
    <w:rsid w:val="009A2749"/>
    <w:rsid w:val="009A62D3"/>
    <w:rsid w:val="009B1B04"/>
    <w:rsid w:val="009B367C"/>
    <w:rsid w:val="009B7DE1"/>
    <w:rsid w:val="009C3101"/>
    <w:rsid w:val="009C5FBE"/>
    <w:rsid w:val="009C7915"/>
    <w:rsid w:val="009C7DA0"/>
    <w:rsid w:val="009D02E3"/>
    <w:rsid w:val="009D343E"/>
    <w:rsid w:val="009D489A"/>
    <w:rsid w:val="009D4B71"/>
    <w:rsid w:val="009D519B"/>
    <w:rsid w:val="009D651F"/>
    <w:rsid w:val="009E217D"/>
    <w:rsid w:val="009E258B"/>
    <w:rsid w:val="009E2929"/>
    <w:rsid w:val="009E56D8"/>
    <w:rsid w:val="009E7CD7"/>
    <w:rsid w:val="009F1996"/>
    <w:rsid w:val="009F387B"/>
    <w:rsid w:val="009F437F"/>
    <w:rsid w:val="009F4DD7"/>
    <w:rsid w:val="00A01A4C"/>
    <w:rsid w:val="00A02E50"/>
    <w:rsid w:val="00A031CB"/>
    <w:rsid w:val="00A060B9"/>
    <w:rsid w:val="00A108AE"/>
    <w:rsid w:val="00A152F8"/>
    <w:rsid w:val="00A16536"/>
    <w:rsid w:val="00A16A17"/>
    <w:rsid w:val="00A17D38"/>
    <w:rsid w:val="00A20D7C"/>
    <w:rsid w:val="00A221EE"/>
    <w:rsid w:val="00A23AC0"/>
    <w:rsid w:val="00A27BF9"/>
    <w:rsid w:val="00A3195B"/>
    <w:rsid w:val="00A31C1F"/>
    <w:rsid w:val="00A32B96"/>
    <w:rsid w:val="00A32BB5"/>
    <w:rsid w:val="00A34472"/>
    <w:rsid w:val="00A368A7"/>
    <w:rsid w:val="00A37650"/>
    <w:rsid w:val="00A4013C"/>
    <w:rsid w:val="00A44C7D"/>
    <w:rsid w:val="00A44D2F"/>
    <w:rsid w:val="00A460C7"/>
    <w:rsid w:val="00A46304"/>
    <w:rsid w:val="00A50970"/>
    <w:rsid w:val="00A50BFD"/>
    <w:rsid w:val="00A51DDA"/>
    <w:rsid w:val="00A558F4"/>
    <w:rsid w:val="00A564AF"/>
    <w:rsid w:val="00A61D34"/>
    <w:rsid w:val="00A61DCA"/>
    <w:rsid w:val="00A62577"/>
    <w:rsid w:val="00A62E26"/>
    <w:rsid w:val="00A6470B"/>
    <w:rsid w:val="00A65654"/>
    <w:rsid w:val="00A65B11"/>
    <w:rsid w:val="00A66B53"/>
    <w:rsid w:val="00A74819"/>
    <w:rsid w:val="00A7540A"/>
    <w:rsid w:val="00A759EB"/>
    <w:rsid w:val="00A76BD6"/>
    <w:rsid w:val="00A77FF4"/>
    <w:rsid w:val="00A80177"/>
    <w:rsid w:val="00A824C3"/>
    <w:rsid w:val="00A82744"/>
    <w:rsid w:val="00A8571E"/>
    <w:rsid w:val="00A87113"/>
    <w:rsid w:val="00A91F9C"/>
    <w:rsid w:val="00A93E1C"/>
    <w:rsid w:val="00AA3141"/>
    <w:rsid w:val="00AA7FC6"/>
    <w:rsid w:val="00AB4981"/>
    <w:rsid w:val="00AB7613"/>
    <w:rsid w:val="00AB7782"/>
    <w:rsid w:val="00AB7CCC"/>
    <w:rsid w:val="00AC055E"/>
    <w:rsid w:val="00AC1BF4"/>
    <w:rsid w:val="00AC3C16"/>
    <w:rsid w:val="00AC4311"/>
    <w:rsid w:val="00AC4552"/>
    <w:rsid w:val="00AC478A"/>
    <w:rsid w:val="00AD6183"/>
    <w:rsid w:val="00AD7897"/>
    <w:rsid w:val="00AE0226"/>
    <w:rsid w:val="00AE5764"/>
    <w:rsid w:val="00AE74FB"/>
    <w:rsid w:val="00AE768B"/>
    <w:rsid w:val="00AF0465"/>
    <w:rsid w:val="00AF2600"/>
    <w:rsid w:val="00AF7FB0"/>
    <w:rsid w:val="00B02098"/>
    <w:rsid w:val="00B04C80"/>
    <w:rsid w:val="00B04CEE"/>
    <w:rsid w:val="00B05D9A"/>
    <w:rsid w:val="00B10609"/>
    <w:rsid w:val="00B10E86"/>
    <w:rsid w:val="00B1122F"/>
    <w:rsid w:val="00B1212F"/>
    <w:rsid w:val="00B12B60"/>
    <w:rsid w:val="00B14637"/>
    <w:rsid w:val="00B159AB"/>
    <w:rsid w:val="00B210BB"/>
    <w:rsid w:val="00B2524A"/>
    <w:rsid w:val="00B2623D"/>
    <w:rsid w:val="00B2716E"/>
    <w:rsid w:val="00B27D4A"/>
    <w:rsid w:val="00B300E9"/>
    <w:rsid w:val="00B30DC1"/>
    <w:rsid w:val="00B3100E"/>
    <w:rsid w:val="00B32A3D"/>
    <w:rsid w:val="00B34CCF"/>
    <w:rsid w:val="00B350C3"/>
    <w:rsid w:val="00B37616"/>
    <w:rsid w:val="00B43745"/>
    <w:rsid w:val="00B450E9"/>
    <w:rsid w:val="00B506B9"/>
    <w:rsid w:val="00B5154A"/>
    <w:rsid w:val="00B53948"/>
    <w:rsid w:val="00B53ED5"/>
    <w:rsid w:val="00B55084"/>
    <w:rsid w:val="00B55A74"/>
    <w:rsid w:val="00B55EE4"/>
    <w:rsid w:val="00B571CC"/>
    <w:rsid w:val="00B57395"/>
    <w:rsid w:val="00B603BA"/>
    <w:rsid w:val="00B63061"/>
    <w:rsid w:val="00B653A2"/>
    <w:rsid w:val="00B659A8"/>
    <w:rsid w:val="00B674E8"/>
    <w:rsid w:val="00B711DB"/>
    <w:rsid w:val="00B71708"/>
    <w:rsid w:val="00B72EA7"/>
    <w:rsid w:val="00B76B78"/>
    <w:rsid w:val="00B76CC5"/>
    <w:rsid w:val="00B83AE4"/>
    <w:rsid w:val="00B86B52"/>
    <w:rsid w:val="00B90B5E"/>
    <w:rsid w:val="00B9173A"/>
    <w:rsid w:val="00B95B8B"/>
    <w:rsid w:val="00B95E24"/>
    <w:rsid w:val="00B973B7"/>
    <w:rsid w:val="00B97A0F"/>
    <w:rsid w:val="00BA100C"/>
    <w:rsid w:val="00BA2DD1"/>
    <w:rsid w:val="00BA3E54"/>
    <w:rsid w:val="00BA504E"/>
    <w:rsid w:val="00BB2467"/>
    <w:rsid w:val="00BB3297"/>
    <w:rsid w:val="00BB6343"/>
    <w:rsid w:val="00BB6AFC"/>
    <w:rsid w:val="00BC08ED"/>
    <w:rsid w:val="00BC0E7E"/>
    <w:rsid w:val="00BC153C"/>
    <w:rsid w:val="00BC1576"/>
    <w:rsid w:val="00BC39EE"/>
    <w:rsid w:val="00BC47D6"/>
    <w:rsid w:val="00BD12E2"/>
    <w:rsid w:val="00BD2646"/>
    <w:rsid w:val="00BD2FB2"/>
    <w:rsid w:val="00BD4029"/>
    <w:rsid w:val="00BD5C19"/>
    <w:rsid w:val="00BD6010"/>
    <w:rsid w:val="00BE680B"/>
    <w:rsid w:val="00BE70BA"/>
    <w:rsid w:val="00BE7889"/>
    <w:rsid w:val="00BF1584"/>
    <w:rsid w:val="00BF17B6"/>
    <w:rsid w:val="00BF3492"/>
    <w:rsid w:val="00BF3ED1"/>
    <w:rsid w:val="00BF6774"/>
    <w:rsid w:val="00BF763C"/>
    <w:rsid w:val="00C006FC"/>
    <w:rsid w:val="00C0128A"/>
    <w:rsid w:val="00C01F32"/>
    <w:rsid w:val="00C02B73"/>
    <w:rsid w:val="00C04D09"/>
    <w:rsid w:val="00C0632E"/>
    <w:rsid w:val="00C175CC"/>
    <w:rsid w:val="00C2032F"/>
    <w:rsid w:val="00C20C28"/>
    <w:rsid w:val="00C20F0F"/>
    <w:rsid w:val="00C21BC7"/>
    <w:rsid w:val="00C22231"/>
    <w:rsid w:val="00C22D54"/>
    <w:rsid w:val="00C266A7"/>
    <w:rsid w:val="00C30DB5"/>
    <w:rsid w:val="00C30F1E"/>
    <w:rsid w:val="00C317C4"/>
    <w:rsid w:val="00C3250B"/>
    <w:rsid w:val="00C35130"/>
    <w:rsid w:val="00C35FD6"/>
    <w:rsid w:val="00C36260"/>
    <w:rsid w:val="00C36F1D"/>
    <w:rsid w:val="00C37D97"/>
    <w:rsid w:val="00C37FC5"/>
    <w:rsid w:val="00C417DC"/>
    <w:rsid w:val="00C422BC"/>
    <w:rsid w:val="00C43DB1"/>
    <w:rsid w:val="00C4646A"/>
    <w:rsid w:val="00C47628"/>
    <w:rsid w:val="00C478DD"/>
    <w:rsid w:val="00C50DBF"/>
    <w:rsid w:val="00C563CF"/>
    <w:rsid w:val="00C56AE1"/>
    <w:rsid w:val="00C576F2"/>
    <w:rsid w:val="00C66EF4"/>
    <w:rsid w:val="00C70FAC"/>
    <w:rsid w:val="00C7187F"/>
    <w:rsid w:val="00C73733"/>
    <w:rsid w:val="00C742E7"/>
    <w:rsid w:val="00C816AC"/>
    <w:rsid w:val="00C83450"/>
    <w:rsid w:val="00C867FC"/>
    <w:rsid w:val="00C86F21"/>
    <w:rsid w:val="00C9076F"/>
    <w:rsid w:val="00C90A24"/>
    <w:rsid w:val="00C916C3"/>
    <w:rsid w:val="00C9289F"/>
    <w:rsid w:val="00C93D77"/>
    <w:rsid w:val="00C9607D"/>
    <w:rsid w:val="00C970BA"/>
    <w:rsid w:val="00CA093E"/>
    <w:rsid w:val="00CA0E5B"/>
    <w:rsid w:val="00CA1C20"/>
    <w:rsid w:val="00CA1DF4"/>
    <w:rsid w:val="00CA2F25"/>
    <w:rsid w:val="00CA62B3"/>
    <w:rsid w:val="00CB3B52"/>
    <w:rsid w:val="00CB5A89"/>
    <w:rsid w:val="00CB60DF"/>
    <w:rsid w:val="00CB7881"/>
    <w:rsid w:val="00CB7EFD"/>
    <w:rsid w:val="00CC2DB1"/>
    <w:rsid w:val="00CC3F64"/>
    <w:rsid w:val="00CC503B"/>
    <w:rsid w:val="00CC6B45"/>
    <w:rsid w:val="00CC6D66"/>
    <w:rsid w:val="00CC7AFB"/>
    <w:rsid w:val="00CC7D26"/>
    <w:rsid w:val="00CD0D78"/>
    <w:rsid w:val="00CD228E"/>
    <w:rsid w:val="00CD66AC"/>
    <w:rsid w:val="00CD719E"/>
    <w:rsid w:val="00CD7EC8"/>
    <w:rsid w:val="00CE042B"/>
    <w:rsid w:val="00CE3CD4"/>
    <w:rsid w:val="00CF039C"/>
    <w:rsid w:val="00CF2A7A"/>
    <w:rsid w:val="00CF42A3"/>
    <w:rsid w:val="00CF478F"/>
    <w:rsid w:val="00CF5C26"/>
    <w:rsid w:val="00CF60BE"/>
    <w:rsid w:val="00D02DE3"/>
    <w:rsid w:val="00D02F61"/>
    <w:rsid w:val="00D0492A"/>
    <w:rsid w:val="00D04D09"/>
    <w:rsid w:val="00D05041"/>
    <w:rsid w:val="00D06447"/>
    <w:rsid w:val="00D07907"/>
    <w:rsid w:val="00D07C48"/>
    <w:rsid w:val="00D10ADF"/>
    <w:rsid w:val="00D113DE"/>
    <w:rsid w:val="00D163CA"/>
    <w:rsid w:val="00D229E9"/>
    <w:rsid w:val="00D236C9"/>
    <w:rsid w:val="00D243E3"/>
    <w:rsid w:val="00D25297"/>
    <w:rsid w:val="00D321C9"/>
    <w:rsid w:val="00D43AF4"/>
    <w:rsid w:val="00D4489D"/>
    <w:rsid w:val="00D45FFB"/>
    <w:rsid w:val="00D4679A"/>
    <w:rsid w:val="00D510A2"/>
    <w:rsid w:val="00D51DAB"/>
    <w:rsid w:val="00D55D20"/>
    <w:rsid w:val="00D57748"/>
    <w:rsid w:val="00D6358B"/>
    <w:rsid w:val="00D63816"/>
    <w:rsid w:val="00D676FB"/>
    <w:rsid w:val="00D67E07"/>
    <w:rsid w:val="00D70451"/>
    <w:rsid w:val="00D71E05"/>
    <w:rsid w:val="00D73528"/>
    <w:rsid w:val="00D73BD4"/>
    <w:rsid w:val="00D75AE4"/>
    <w:rsid w:val="00D833C9"/>
    <w:rsid w:val="00D83FDE"/>
    <w:rsid w:val="00D90911"/>
    <w:rsid w:val="00D923A3"/>
    <w:rsid w:val="00D93DC9"/>
    <w:rsid w:val="00D96BC7"/>
    <w:rsid w:val="00D9787E"/>
    <w:rsid w:val="00DA1663"/>
    <w:rsid w:val="00DA2694"/>
    <w:rsid w:val="00DA666A"/>
    <w:rsid w:val="00DA6DCC"/>
    <w:rsid w:val="00DB08C2"/>
    <w:rsid w:val="00DB1F10"/>
    <w:rsid w:val="00DB2119"/>
    <w:rsid w:val="00DB31F6"/>
    <w:rsid w:val="00DB42AC"/>
    <w:rsid w:val="00DB5397"/>
    <w:rsid w:val="00DB6FD5"/>
    <w:rsid w:val="00DC23E4"/>
    <w:rsid w:val="00DC348E"/>
    <w:rsid w:val="00DC533C"/>
    <w:rsid w:val="00DC5A96"/>
    <w:rsid w:val="00DC7399"/>
    <w:rsid w:val="00DD1E7A"/>
    <w:rsid w:val="00DD3FFF"/>
    <w:rsid w:val="00DD5236"/>
    <w:rsid w:val="00DD5444"/>
    <w:rsid w:val="00DD5886"/>
    <w:rsid w:val="00DD6DEC"/>
    <w:rsid w:val="00DD7ABB"/>
    <w:rsid w:val="00DE182B"/>
    <w:rsid w:val="00DE2EF7"/>
    <w:rsid w:val="00DE38A2"/>
    <w:rsid w:val="00DE3E9E"/>
    <w:rsid w:val="00DE79FD"/>
    <w:rsid w:val="00DF1EC4"/>
    <w:rsid w:val="00DF24A3"/>
    <w:rsid w:val="00DF4D0E"/>
    <w:rsid w:val="00DF627A"/>
    <w:rsid w:val="00E02C61"/>
    <w:rsid w:val="00E039E5"/>
    <w:rsid w:val="00E03BC1"/>
    <w:rsid w:val="00E043ED"/>
    <w:rsid w:val="00E04F60"/>
    <w:rsid w:val="00E10A54"/>
    <w:rsid w:val="00E126A7"/>
    <w:rsid w:val="00E1528D"/>
    <w:rsid w:val="00E15903"/>
    <w:rsid w:val="00E165D3"/>
    <w:rsid w:val="00E17C3F"/>
    <w:rsid w:val="00E2266B"/>
    <w:rsid w:val="00E22E67"/>
    <w:rsid w:val="00E2312D"/>
    <w:rsid w:val="00E23927"/>
    <w:rsid w:val="00E2484F"/>
    <w:rsid w:val="00E25D67"/>
    <w:rsid w:val="00E26FC8"/>
    <w:rsid w:val="00E273E9"/>
    <w:rsid w:val="00E317AA"/>
    <w:rsid w:val="00E33248"/>
    <w:rsid w:val="00E337D4"/>
    <w:rsid w:val="00E3497A"/>
    <w:rsid w:val="00E34CAA"/>
    <w:rsid w:val="00E351DA"/>
    <w:rsid w:val="00E377F6"/>
    <w:rsid w:val="00E40632"/>
    <w:rsid w:val="00E4519A"/>
    <w:rsid w:val="00E46141"/>
    <w:rsid w:val="00E52E47"/>
    <w:rsid w:val="00E53127"/>
    <w:rsid w:val="00E53D45"/>
    <w:rsid w:val="00E56E0A"/>
    <w:rsid w:val="00E6181C"/>
    <w:rsid w:val="00E621B0"/>
    <w:rsid w:val="00E62A0F"/>
    <w:rsid w:val="00E70954"/>
    <w:rsid w:val="00E72AA0"/>
    <w:rsid w:val="00E73731"/>
    <w:rsid w:val="00E73D72"/>
    <w:rsid w:val="00E763FD"/>
    <w:rsid w:val="00E80169"/>
    <w:rsid w:val="00E80F3F"/>
    <w:rsid w:val="00E817F5"/>
    <w:rsid w:val="00E82E30"/>
    <w:rsid w:val="00E83CBB"/>
    <w:rsid w:val="00E84F93"/>
    <w:rsid w:val="00E851A4"/>
    <w:rsid w:val="00E8743E"/>
    <w:rsid w:val="00E905BA"/>
    <w:rsid w:val="00E91A96"/>
    <w:rsid w:val="00E93C4E"/>
    <w:rsid w:val="00E9422A"/>
    <w:rsid w:val="00E97237"/>
    <w:rsid w:val="00EA1447"/>
    <w:rsid w:val="00EA2F4E"/>
    <w:rsid w:val="00EA555A"/>
    <w:rsid w:val="00EA5D44"/>
    <w:rsid w:val="00EA65AF"/>
    <w:rsid w:val="00EA6BA6"/>
    <w:rsid w:val="00EA6BDF"/>
    <w:rsid w:val="00EA6D34"/>
    <w:rsid w:val="00EB0F19"/>
    <w:rsid w:val="00EB1820"/>
    <w:rsid w:val="00EB3E64"/>
    <w:rsid w:val="00EB66F5"/>
    <w:rsid w:val="00EB6ED1"/>
    <w:rsid w:val="00EC1217"/>
    <w:rsid w:val="00EC374D"/>
    <w:rsid w:val="00EC4488"/>
    <w:rsid w:val="00EC587F"/>
    <w:rsid w:val="00ED12B5"/>
    <w:rsid w:val="00ED2AB3"/>
    <w:rsid w:val="00ED30A9"/>
    <w:rsid w:val="00ED3FC7"/>
    <w:rsid w:val="00ED4AAA"/>
    <w:rsid w:val="00ED5920"/>
    <w:rsid w:val="00ED5DB5"/>
    <w:rsid w:val="00EE0A85"/>
    <w:rsid w:val="00EE127E"/>
    <w:rsid w:val="00EE15FF"/>
    <w:rsid w:val="00EE1D0F"/>
    <w:rsid w:val="00EE2149"/>
    <w:rsid w:val="00EE3590"/>
    <w:rsid w:val="00EE3CE8"/>
    <w:rsid w:val="00EE3D41"/>
    <w:rsid w:val="00EE55ED"/>
    <w:rsid w:val="00EF18A2"/>
    <w:rsid w:val="00EF2232"/>
    <w:rsid w:val="00EF3D91"/>
    <w:rsid w:val="00F02D24"/>
    <w:rsid w:val="00F038DC"/>
    <w:rsid w:val="00F03C3D"/>
    <w:rsid w:val="00F03D1C"/>
    <w:rsid w:val="00F041B5"/>
    <w:rsid w:val="00F05B16"/>
    <w:rsid w:val="00F07274"/>
    <w:rsid w:val="00F119D5"/>
    <w:rsid w:val="00F12B22"/>
    <w:rsid w:val="00F12F91"/>
    <w:rsid w:val="00F20FEC"/>
    <w:rsid w:val="00F21C4C"/>
    <w:rsid w:val="00F2218D"/>
    <w:rsid w:val="00F26EF5"/>
    <w:rsid w:val="00F26F0F"/>
    <w:rsid w:val="00F35050"/>
    <w:rsid w:val="00F363D9"/>
    <w:rsid w:val="00F36BF9"/>
    <w:rsid w:val="00F40137"/>
    <w:rsid w:val="00F4387B"/>
    <w:rsid w:val="00F44BF5"/>
    <w:rsid w:val="00F52A7B"/>
    <w:rsid w:val="00F54B26"/>
    <w:rsid w:val="00F57E5E"/>
    <w:rsid w:val="00F60B32"/>
    <w:rsid w:val="00F639F8"/>
    <w:rsid w:val="00F64583"/>
    <w:rsid w:val="00F64DC4"/>
    <w:rsid w:val="00F66211"/>
    <w:rsid w:val="00F672A9"/>
    <w:rsid w:val="00F67D07"/>
    <w:rsid w:val="00F70FC2"/>
    <w:rsid w:val="00F7113E"/>
    <w:rsid w:val="00F73F78"/>
    <w:rsid w:val="00F746EE"/>
    <w:rsid w:val="00F74CBB"/>
    <w:rsid w:val="00F74EBF"/>
    <w:rsid w:val="00F774AF"/>
    <w:rsid w:val="00F80C29"/>
    <w:rsid w:val="00F81EA6"/>
    <w:rsid w:val="00F86315"/>
    <w:rsid w:val="00F867D0"/>
    <w:rsid w:val="00F86F85"/>
    <w:rsid w:val="00F912B0"/>
    <w:rsid w:val="00F91F59"/>
    <w:rsid w:val="00F92496"/>
    <w:rsid w:val="00F92E52"/>
    <w:rsid w:val="00F939A3"/>
    <w:rsid w:val="00F94A67"/>
    <w:rsid w:val="00F95703"/>
    <w:rsid w:val="00F95AF3"/>
    <w:rsid w:val="00F969BF"/>
    <w:rsid w:val="00F96CC0"/>
    <w:rsid w:val="00FA00A8"/>
    <w:rsid w:val="00FA2D4D"/>
    <w:rsid w:val="00FA4422"/>
    <w:rsid w:val="00FA57B1"/>
    <w:rsid w:val="00FA5833"/>
    <w:rsid w:val="00FA66F4"/>
    <w:rsid w:val="00FA6EF3"/>
    <w:rsid w:val="00FB2266"/>
    <w:rsid w:val="00FB2B74"/>
    <w:rsid w:val="00FB2FDA"/>
    <w:rsid w:val="00FB325B"/>
    <w:rsid w:val="00FC02F2"/>
    <w:rsid w:val="00FC0602"/>
    <w:rsid w:val="00FC2FE0"/>
    <w:rsid w:val="00FC36F8"/>
    <w:rsid w:val="00FC6930"/>
    <w:rsid w:val="00FC7378"/>
    <w:rsid w:val="00FC7502"/>
    <w:rsid w:val="00FD061B"/>
    <w:rsid w:val="00FD1F4D"/>
    <w:rsid w:val="00FE1813"/>
    <w:rsid w:val="00FE28C4"/>
    <w:rsid w:val="00FE2DC3"/>
    <w:rsid w:val="00FE48E6"/>
    <w:rsid w:val="00FE56F5"/>
    <w:rsid w:val="00FE648E"/>
    <w:rsid w:val="00FE72C7"/>
    <w:rsid w:val="00FF149A"/>
    <w:rsid w:val="00FF169E"/>
    <w:rsid w:val="00FF5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Normal"/>
    <w:next w:val="Normal"/>
    <w:link w:val="Heading1Char"/>
    <w:qFormat/>
    <w:rsid w:val="00EF18A2"/>
    <w:pPr>
      <w:keepNext/>
      <w:pBdr>
        <w:bottom w:val="single" w:sz="4" w:space="6" w:color="auto"/>
      </w:pBdr>
      <w:outlineLvl w:val="0"/>
    </w:pPr>
    <w:rPr>
      <w:b/>
      <w:caps/>
      <w:sz w:val="2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8A2"/>
    <w:rPr>
      <w:b/>
      <w:caps/>
      <w:sz w:val="26"/>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957AE5"/>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E337D4"/>
    <w:pPr>
      <w:ind w:left="720"/>
      <w:contextualSpacing/>
    </w:p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31"/>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2E26"/>
    <w:pPr>
      <w:jc w:val="both"/>
    </w:pPr>
  </w:style>
  <w:style w:type="paragraph" w:styleId="Heading1">
    <w:name w:val="heading 1"/>
    <w:basedOn w:val="Normal"/>
    <w:next w:val="Normal"/>
    <w:link w:val="Heading1Char"/>
    <w:qFormat/>
    <w:rsid w:val="00EF18A2"/>
    <w:pPr>
      <w:keepNext/>
      <w:pBdr>
        <w:bottom w:val="single" w:sz="4" w:space="6" w:color="auto"/>
      </w:pBdr>
      <w:outlineLvl w:val="0"/>
    </w:pPr>
    <w:rPr>
      <w:b/>
      <w:caps/>
      <w:sz w:val="2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outlineLvl w:val="3"/>
    </w:pPr>
    <w:rPr>
      <w:i/>
    </w:rPr>
  </w:style>
  <w:style w:type="paragraph" w:styleId="Heading5">
    <w:name w:val="heading 5"/>
    <w:basedOn w:val="Normal"/>
    <w:next w:val="Normal"/>
    <w:semiHidden/>
    <w:pPr>
      <w:keepNext/>
      <w:ind w:left="567"/>
      <w:outlineLvl w:val="4"/>
    </w:pPr>
    <w:rPr>
      <w:smallCaps/>
      <w:sz w:val="22"/>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8A2"/>
    <w:rPr>
      <w:b/>
      <w:caps/>
      <w:sz w:val="26"/>
    </w:rPr>
  </w:style>
  <w:style w:type="character" w:customStyle="1" w:styleId="Heading2Char">
    <w:name w:val="Heading 2 Char"/>
    <w:basedOn w:val="DefaultParagraphFont"/>
    <w:link w:val="Heading2"/>
    <w:rsid w:val="00FA5833"/>
    <w:rPr>
      <w:b/>
      <w:sz w:val="24"/>
      <w:lang w:val="en-GB" w:eastAsia="en-AU" w:bidi="ar-SA"/>
    </w:rPr>
  </w:style>
  <w:style w:type="character" w:customStyle="1" w:styleId="Heading3Char">
    <w:name w:val="Heading 3 Char"/>
    <w:basedOn w:val="DefaultParagraphFont"/>
    <w:link w:val="Heading3"/>
    <w:rsid w:val="0092301B"/>
    <w:rPr>
      <w:b/>
      <w:i/>
      <w:sz w:val="24"/>
      <w:lang w:val="en-GB" w:eastAsia="en-AU" w:bidi="ar-SA"/>
    </w:rPr>
  </w:style>
  <w:style w:type="paragraph" w:customStyle="1" w:styleId="List1">
    <w:name w:val="List 1"/>
    <w:basedOn w:val="Normal"/>
    <w:uiPriority w:val="1"/>
    <w:qFormat/>
    <w:pPr>
      <w:tabs>
        <w:tab w:val="num" w:pos="567"/>
      </w:tabs>
      <w:ind w:left="567" w:hanging="567"/>
    </w:pPr>
  </w:style>
  <w:style w:type="character" w:styleId="PageNumber">
    <w:name w:val="page number"/>
    <w:basedOn w:val="DefaultParagraphFont"/>
    <w:uiPriority w:val="3"/>
    <w:rsid w:val="00A62E26"/>
    <w:rPr>
      <w:rFonts w:ascii="Times New Roman" w:hAnsi="Times New Roman"/>
      <w:sz w:val="22"/>
    </w:rPr>
  </w:style>
  <w:style w:type="paragraph" w:styleId="Header">
    <w:name w:val="header"/>
    <w:basedOn w:val="Normal"/>
    <w:link w:val="HeaderChar"/>
    <w:uiPriority w:val="99"/>
    <w:unhideWhenUsed/>
    <w:rsid w:val="00A65B11"/>
    <w:pPr>
      <w:tabs>
        <w:tab w:val="center" w:pos="4513"/>
        <w:tab w:val="right" w:pos="9026"/>
      </w:tabs>
    </w:pPr>
  </w:style>
  <w:style w:type="character" w:styleId="FootnoteReference">
    <w:name w:val="footnote reference"/>
    <w:basedOn w:val="DefaultParagraphFont"/>
    <w:semiHidden/>
    <w:rPr>
      <w:rFonts w:ascii="Times New Roman" w:hAnsi="Times New Roman"/>
      <w:vertAlign w:val="superscript"/>
    </w:rPr>
  </w:style>
  <w:style w:type="paragraph" w:styleId="TOC1">
    <w:name w:val="toc 1"/>
    <w:basedOn w:val="Normal"/>
    <w:next w:val="Normal"/>
    <w:autoRedefine/>
    <w:semiHidden/>
    <w:pPr>
      <w:tabs>
        <w:tab w:val="right" w:pos="8222"/>
      </w:tabs>
      <w:spacing w:before="360" w:after="240"/>
    </w:pPr>
    <w:rPr>
      <w:b/>
      <w:noProof/>
      <w:sz w:val="32"/>
    </w:rPr>
  </w:style>
  <w:style w:type="paragraph" w:styleId="TOC2">
    <w:name w:val="toc 2"/>
    <w:basedOn w:val="Normal"/>
    <w:next w:val="Normal"/>
    <w:autoRedefine/>
    <w:semiHidden/>
    <w:rsid w:val="00233778"/>
    <w:pPr>
      <w:tabs>
        <w:tab w:val="right" w:pos="8222"/>
      </w:tabs>
      <w:spacing w:after="80"/>
      <w:ind w:left="851"/>
      <w:jc w:val="left"/>
    </w:pPr>
    <w:rPr>
      <w:noProof/>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DocumentMap">
    <w:name w:val="Document Map"/>
    <w:basedOn w:val="Normal"/>
    <w:semiHidden/>
    <w:pPr>
      <w:shd w:val="clear" w:color="auto" w:fill="000080"/>
    </w:pPr>
    <w:rPr>
      <w:rFonts w:ascii="Tahoma" w:hAnsi="Tahoma"/>
    </w:rPr>
  </w:style>
  <w:style w:type="paragraph" w:customStyle="1" w:styleId="Exampleheading">
    <w:name w:val="Example heading"/>
    <w:basedOn w:val="Normal"/>
    <w:next w:val="Exampletext"/>
    <w:link w:val="ExampleheadingChar"/>
    <w:uiPriority w:val="3"/>
    <w:qFormat/>
    <w:rsid w:val="00A62E26"/>
    <w:rPr>
      <w:b/>
      <w:sz w:val="20"/>
    </w:rPr>
  </w:style>
  <w:style w:type="paragraph" w:customStyle="1" w:styleId="Exampletext">
    <w:name w:val="Example text"/>
    <w:basedOn w:val="Exampleheading"/>
    <w:uiPriority w:val="3"/>
    <w:qFormat/>
    <w:rsid w:val="00957AE5"/>
    <w:rPr>
      <w:b w:val="0"/>
    </w:rPr>
  </w:style>
  <w:style w:type="character" w:customStyle="1" w:styleId="ExampleheadingChar">
    <w:name w:val="Example heading Char"/>
    <w:basedOn w:val="DefaultParagraphFont"/>
    <w:link w:val="Exampleheading"/>
    <w:uiPriority w:val="3"/>
    <w:rsid w:val="00A62E26"/>
    <w:rPr>
      <w:b/>
      <w:sz w:val="20"/>
    </w:rPr>
  </w:style>
  <w:style w:type="paragraph" w:styleId="BalloonText">
    <w:name w:val="Balloon Text"/>
    <w:basedOn w:val="Normal"/>
    <w:semiHidden/>
    <w:rsid w:val="00543F0E"/>
    <w:rPr>
      <w:rFonts w:ascii="Tahoma" w:hAnsi="Tahoma" w:cs="Tahoma"/>
      <w:sz w:val="16"/>
      <w:szCs w:val="16"/>
    </w:rPr>
  </w:style>
  <w:style w:type="table" w:styleId="TableGrid">
    <w:name w:val="Table Grid"/>
    <w:basedOn w:val="TableNormal"/>
    <w:uiPriority w:val="59"/>
    <w:rsid w:val="008C1F4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97BF3"/>
    <w:rPr>
      <w:sz w:val="16"/>
      <w:szCs w:val="16"/>
    </w:rPr>
  </w:style>
  <w:style w:type="paragraph" w:styleId="CommentText">
    <w:name w:val="annotation text"/>
    <w:basedOn w:val="Normal"/>
    <w:semiHidden/>
    <w:rsid w:val="00297BF3"/>
    <w:rPr>
      <w:sz w:val="20"/>
    </w:rPr>
  </w:style>
  <w:style w:type="paragraph" w:styleId="CommentSubject">
    <w:name w:val="annotation subject"/>
    <w:basedOn w:val="CommentText"/>
    <w:next w:val="CommentText"/>
    <w:semiHidden/>
    <w:rsid w:val="00297BF3"/>
    <w:rPr>
      <w:b/>
      <w:bCs/>
    </w:rPr>
  </w:style>
  <w:style w:type="paragraph" w:customStyle="1" w:styleId="Sections">
    <w:name w:val="Sections"/>
    <w:basedOn w:val="Normal"/>
    <w:link w:val="SectionsChar"/>
    <w:qFormat/>
    <w:rsid w:val="00670619"/>
    <w:rPr>
      <w:b/>
      <w:i/>
    </w:rPr>
  </w:style>
  <w:style w:type="character" w:customStyle="1" w:styleId="SectionsChar">
    <w:name w:val="Sections Char"/>
    <w:basedOn w:val="DefaultParagraphFont"/>
    <w:link w:val="Sections"/>
    <w:rsid w:val="00670619"/>
    <w:rPr>
      <w:b/>
      <w:i/>
      <w:sz w:val="24"/>
      <w:szCs w:val="24"/>
      <w:lang w:eastAsia="en-AU"/>
    </w:rPr>
  </w:style>
  <w:style w:type="character" w:customStyle="1" w:styleId="HeaderChar">
    <w:name w:val="Header Char"/>
    <w:basedOn w:val="DefaultParagraphFont"/>
    <w:link w:val="Header"/>
    <w:uiPriority w:val="99"/>
    <w:rsid w:val="00A65B11"/>
  </w:style>
  <w:style w:type="paragraph" w:styleId="ListParagraph">
    <w:name w:val="List Paragraph"/>
    <w:basedOn w:val="Normal"/>
    <w:uiPriority w:val="34"/>
    <w:qFormat/>
    <w:rsid w:val="00E337D4"/>
    <w:pPr>
      <w:ind w:left="720"/>
      <w:contextualSpacing/>
    </w:pPr>
  </w:style>
  <w:style w:type="paragraph" w:styleId="NormalWeb">
    <w:name w:val="Normal (Web)"/>
    <w:basedOn w:val="Normal"/>
    <w:uiPriority w:val="99"/>
    <w:semiHidden/>
    <w:unhideWhenUsed/>
    <w:rsid w:val="00FB325B"/>
    <w:pPr>
      <w:spacing w:before="100" w:beforeAutospacing="1" w:after="100" w:afterAutospacing="1"/>
      <w:jc w:val="left"/>
    </w:pPr>
    <w:rPr>
      <w:rFonts w:eastAsiaTheme="minorEastAsia"/>
    </w:rPr>
  </w:style>
  <w:style w:type="paragraph" w:customStyle="1" w:styleId="Bullets">
    <w:name w:val="Bullets"/>
    <w:basedOn w:val="Normal"/>
    <w:qFormat/>
    <w:rsid w:val="00755913"/>
    <w:pPr>
      <w:numPr>
        <w:numId w:val="31"/>
      </w:numPr>
      <w:spacing w:after="140"/>
      <w:ind w:left="567" w:hanging="567"/>
    </w:pPr>
    <w:rPr>
      <w:szCs w:val="20"/>
      <w:lang w:eastAsia="en-AU"/>
    </w:rPr>
  </w:style>
  <w:style w:type="paragraph" w:styleId="FootnoteText">
    <w:name w:val="footnote text"/>
    <w:basedOn w:val="Normal"/>
    <w:link w:val="FootnoteTextChar"/>
    <w:semiHidden/>
    <w:rsid w:val="000C5E76"/>
    <w:rPr>
      <w:sz w:val="20"/>
      <w:szCs w:val="20"/>
      <w:lang w:val="en-GB" w:eastAsia="en-AU"/>
    </w:rPr>
  </w:style>
  <w:style w:type="character" w:customStyle="1" w:styleId="FootnoteTextChar">
    <w:name w:val="Footnote Text Char"/>
    <w:basedOn w:val="DefaultParagraphFont"/>
    <w:link w:val="FootnoteText"/>
    <w:semiHidden/>
    <w:rsid w:val="000C5E76"/>
    <w:rPr>
      <w:sz w:val="20"/>
      <w:szCs w:val="20"/>
      <w:lang w:val="en-GB" w:eastAsia="en-AU"/>
    </w:rPr>
  </w:style>
  <w:style w:type="paragraph" w:customStyle="1" w:styleId="Title-Specialreport">
    <w:name w:val="Title - Special report"/>
    <w:basedOn w:val="Normal"/>
    <w:qFormat/>
    <w:rsid w:val="00E905BA"/>
    <w:pPr>
      <w:pBdr>
        <w:top w:val="single" w:sz="18" w:space="10" w:color="auto"/>
        <w:bottom w:val="single" w:sz="8" w:space="10" w:color="auto"/>
      </w:pBdr>
    </w:pPr>
    <w:rPr>
      <w:b/>
      <w:sz w:val="36"/>
      <w:szCs w:val="36"/>
      <w:lang w:eastAsia="en-US"/>
    </w:rPr>
  </w:style>
  <w:style w:type="paragraph" w:styleId="Revision">
    <w:name w:val="Revision"/>
    <w:hidden/>
    <w:uiPriority w:val="99"/>
    <w:semiHidden/>
    <w:rsid w:val="000E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4287">
      <w:bodyDiv w:val="1"/>
      <w:marLeft w:val="48"/>
      <w:marRight w:val="48"/>
      <w:marTop w:val="48"/>
      <w:marBottom w:val="12"/>
      <w:divBdr>
        <w:top w:val="none" w:sz="0" w:space="0" w:color="auto"/>
        <w:left w:val="none" w:sz="0" w:space="0" w:color="auto"/>
        <w:bottom w:val="none" w:sz="0" w:space="0" w:color="auto"/>
        <w:right w:val="none" w:sz="0" w:space="0" w:color="auto"/>
      </w:divBdr>
      <w:divsChild>
        <w:div w:id="660307869">
          <w:marLeft w:val="0"/>
          <w:marRight w:val="0"/>
          <w:marTop w:val="0"/>
          <w:marBottom w:val="0"/>
          <w:divBdr>
            <w:top w:val="none" w:sz="0" w:space="0" w:color="auto"/>
            <w:left w:val="none" w:sz="0" w:space="0" w:color="auto"/>
            <w:bottom w:val="none" w:sz="0" w:space="0" w:color="auto"/>
            <w:right w:val="none" w:sz="0" w:space="0" w:color="auto"/>
          </w:divBdr>
          <w:divsChild>
            <w:div w:id="882133585">
              <w:marLeft w:val="0"/>
              <w:marRight w:val="0"/>
              <w:marTop w:val="0"/>
              <w:marBottom w:val="0"/>
              <w:divBdr>
                <w:top w:val="none" w:sz="0" w:space="0" w:color="auto"/>
                <w:left w:val="none" w:sz="0" w:space="0" w:color="auto"/>
                <w:bottom w:val="single" w:sz="4" w:space="6"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3F64-9D6B-4CED-97CD-8D952FE5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12946</Words>
  <Characters>65505</Characters>
  <Application>Microsoft Office Word</Application>
  <DocSecurity>0</DocSecurity>
  <Lines>1679</Lines>
  <Paragraphs>598</Paragraphs>
  <ScaleCrop>false</ScaleCrop>
  <HeadingPairs>
    <vt:vector size="2" baseType="variant">
      <vt:variant>
        <vt:lpstr>Title</vt:lpstr>
      </vt:variant>
      <vt:variant>
        <vt:i4>1</vt:i4>
      </vt:variant>
    </vt:vector>
  </HeadingPairs>
  <TitlesOfParts>
    <vt:vector size="1" baseType="lpstr">
      <vt:lpstr>Special report on closely held companies</vt:lpstr>
    </vt:vector>
  </TitlesOfParts>
  <Company>Inland Revenue</Company>
  <LinksUpToDate>false</LinksUpToDate>
  <CharactersWithSpaces>77853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closely held companies</dc:title>
  <dc:creator>Policy and Strategy</dc:creator>
  <dc:description>Published on 11 April 2017</dc:description>
  <cp:lastModifiedBy>J Gillion</cp:lastModifiedBy>
  <cp:revision>2</cp:revision>
  <dcterms:created xsi:type="dcterms:W3CDTF">2017-04-10T20:58:00Z</dcterms:created>
  <dcterms:modified xsi:type="dcterms:W3CDTF">2017-04-10T20:58:00Z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