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D8" w:rsidRPr="008D208D" w:rsidRDefault="00BE76A2" w:rsidP="005A3CD8">
      <w:pPr>
        <w:autoSpaceDE w:val="0"/>
        <w:autoSpaceDN w:val="0"/>
        <w:adjustRightInd w:val="0"/>
        <w:rPr>
          <w:iCs/>
          <w:szCs w:val="24"/>
        </w:rPr>
      </w:pPr>
      <w:bookmarkStart w:id="0" w:name="_GoBack"/>
      <w:bookmarkEnd w:id="0"/>
      <w:r w:rsidRPr="008D208D">
        <w:rPr>
          <w:iCs/>
          <w:szCs w:val="24"/>
        </w:rPr>
        <w:t>February 2017</w:t>
      </w:r>
    </w:p>
    <w:p w:rsidR="005A3CD8" w:rsidRPr="008D208D" w:rsidRDefault="005A3CD8" w:rsidP="005A3CD8">
      <w:pPr>
        <w:autoSpaceDE w:val="0"/>
        <w:autoSpaceDN w:val="0"/>
        <w:adjustRightInd w:val="0"/>
        <w:rPr>
          <w:iCs/>
          <w:sz w:val="28"/>
          <w:szCs w:val="28"/>
        </w:rPr>
      </w:pPr>
    </w:p>
    <w:p w:rsidR="00BE76A2" w:rsidRPr="008D208D" w:rsidRDefault="00BE76A2" w:rsidP="005A3CD8">
      <w:pPr>
        <w:autoSpaceDE w:val="0"/>
        <w:autoSpaceDN w:val="0"/>
        <w:adjustRightInd w:val="0"/>
        <w:rPr>
          <w:iCs/>
          <w:sz w:val="28"/>
          <w:szCs w:val="28"/>
        </w:rPr>
      </w:pPr>
    </w:p>
    <w:p w:rsidR="005A3CD8" w:rsidRPr="008D208D" w:rsidRDefault="003110C5" w:rsidP="005A3CD8">
      <w:pPr>
        <w:autoSpaceDE w:val="0"/>
        <w:autoSpaceDN w:val="0"/>
        <w:adjustRightInd w:val="0"/>
        <w:rPr>
          <w:i/>
          <w:iCs/>
          <w:sz w:val="28"/>
          <w:szCs w:val="28"/>
        </w:rPr>
      </w:pPr>
      <w:r w:rsidRPr="008D208D">
        <w:rPr>
          <w:i/>
          <w:iCs/>
          <w:sz w:val="28"/>
          <w:szCs w:val="28"/>
        </w:rPr>
        <w:t>A special report from</w:t>
      </w:r>
    </w:p>
    <w:p w:rsidR="005A3CD8" w:rsidRPr="008D208D" w:rsidRDefault="005A3CD8" w:rsidP="005A3CD8">
      <w:pPr>
        <w:rPr>
          <w:sz w:val="28"/>
          <w:szCs w:val="28"/>
        </w:rPr>
      </w:pPr>
      <w:r w:rsidRPr="008D208D">
        <w:rPr>
          <w:sz w:val="28"/>
          <w:szCs w:val="28"/>
        </w:rPr>
        <w:t>Policy and Strategy, Inland Revenue</w:t>
      </w:r>
    </w:p>
    <w:p w:rsidR="00BE76A2" w:rsidRPr="008D208D" w:rsidRDefault="00BE76A2" w:rsidP="005A3CD8">
      <w:pPr>
        <w:rPr>
          <w:sz w:val="28"/>
          <w:szCs w:val="28"/>
        </w:rPr>
      </w:pPr>
    </w:p>
    <w:p w:rsidR="005A3CD8" w:rsidRPr="008D208D" w:rsidRDefault="005A3CD8" w:rsidP="005A3CD8">
      <w:pPr>
        <w:rPr>
          <w:sz w:val="28"/>
          <w:szCs w:val="28"/>
        </w:rPr>
      </w:pPr>
    </w:p>
    <w:p w:rsidR="005A3CD8" w:rsidRPr="008D208D" w:rsidRDefault="00492949" w:rsidP="007B23D5">
      <w:pPr>
        <w:pStyle w:val="Title-Specialreport"/>
      </w:pPr>
      <w:r w:rsidRPr="008D208D">
        <w:t>Simplified business tax processes</w:t>
      </w:r>
    </w:p>
    <w:p w:rsidR="005A3CD8" w:rsidRPr="008D208D" w:rsidRDefault="005A3CD8" w:rsidP="005A3CD8">
      <w:pPr>
        <w:rPr>
          <w:szCs w:val="24"/>
        </w:rPr>
      </w:pPr>
    </w:p>
    <w:p w:rsidR="00AB085C" w:rsidRPr="008D208D" w:rsidRDefault="00AB085C" w:rsidP="00AB085C"/>
    <w:p w:rsidR="005746B7" w:rsidRPr="008D208D" w:rsidRDefault="000509C9" w:rsidP="005A3CD8">
      <w:pPr>
        <w:rPr>
          <w:szCs w:val="24"/>
        </w:rPr>
      </w:pPr>
      <w:r w:rsidRPr="008D208D">
        <w:rPr>
          <w:szCs w:val="24"/>
        </w:rPr>
        <w:t xml:space="preserve">This special report provides </w:t>
      </w:r>
      <w:r w:rsidR="00492949" w:rsidRPr="008D208D">
        <w:rPr>
          <w:szCs w:val="24"/>
        </w:rPr>
        <w:t xml:space="preserve">early </w:t>
      </w:r>
      <w:r w:rsidR="00160FF1" w:rsidRPr="008D208D">
        <w:rPr>
          <w:szCs w:val="24"/>
        </w:rPr>
        <w:t xml:space="preserve">information on changes </w:t>
      </w:r>
      <w:r w:rsidR="00AB7FE2" w:rsidRPr="008D208D">
        <w:rPr>
          <w:szCs w:val="24"/>
        </w:rPr>
        <w:t xml:space="preserve">to business tax rules </w:t>
      </w:r>
      <w:r w:rsidR="00C6650C" w:rsidRPr="008D208D">
        <w:rPr>
          <w:szCs w:val="24"/>
        </w:rPr>
        <w:t>contained</w:t>
      </w:r>
      <w:r w:rsidR="00160FF1" w:rsidRPr="008D208D">
        <w:rPr>
          <w:szCs w:val="24"/>
        </w:rPr>
        <w:t xml:space="preserve"> in the </w:t>
      </w:r>
      <w:r w:rsidR="002874AD" w:rsidRPr="008D208D">
        <w:rPr>
          <w:szCs w:val="24"/>
        </w:rPr>
        <w:t>Taxation (</w:t>
      </w:r>
      <w:r w:rsidR="00446862" w:rsidRPr="008D208D">
        <w:rPr>
          <w:szCs w:val="24"/>
        </w:rPr>
        <w:t>Business Tax, Exchange of Information, and Remedial Matters) Act 2017</w:t>
      </w:r>
      <w:r w:rsidR="00D0016C" w:rsidRPr="008D208D">
        <w:rPr>
          <w:szCs w:val="24"/>
        </w:rPr>
        <w:t>,</w:t>
      </w:r>
      <w:r w:rsidR="00AB7FE2" w:rsidRPr="008D208D">
        <w:rPr>
          <w:szCs w:val="24"/>
        </w:rPr>
        <w:t xml:space="preserve"> enacted on </w:t>
      </w:r>
      <w:r w:rsidR="0022628B" w:rsidRPr="008D208D">
        <w:rPr>
          <w:szCs w:val="24"/>
        </w:rPr>
        <w:t>21 February 2017</w:t>
      </w:r>
      <w:r w:rsidR="00446862" w:rsidRPr="008D208D">
        <w:rPr>
          <w:szCs w:val="24"/>
        </w:rPr>
        <w:t>.</w:t>
      </w:r>
    </w:p>
    <w:p w:rsidR="005746B7" w:rsidRPr="008D208D" w:rsidRDefault="005746B7" w:rsidP="005A3CD8">
      <w:pPr>
        <w:rPr>
          <w:szCs w:val="24"/>
        </w:rPr>
      </w:pPr>
    </w:p>
    <w:p w:rsidR="007739A4" w:rsidRPr="008D208D" w:rsidRDefault="00446862" w:rsidP="005A3CD8">
      <w:pPr>
        <w:rPr>
          <w:szCs w:val="24"/>
        </w:rPr>
      </w:pPr>
      <w:r w:rsidRPr="008D208D">
        <w:rPr>
          <w:szCs w:val="24"/>
        </w:rPr>
        <w:t>This special report covers changes to:</w:t>
      </w:r>
    </w:p>
    <w:p w:rsidR="00AB7FE2" w:rsidRPr="008D208D" w:rsidRDefault="00AB7FE2" w:rsidP="005A3CD8">
      <w:pPr>
        <w:rPr>
          <w:szCs w:val="24"/>
        </w:rPr>
      </w:pPr>
    </w:p>
    <w:p w:rsidR="00446862" w:rsidRPr="008D208D" w:rsidRDefault="00AB6CF7" w:rsidP="00BE76A2">
      <w:pPr>
        <w:pStyle w:val="Bullets"/>
        <w:spacing w:after="160"/>
      </w:pPr>
      <w:r w:rsidRPr="008D208D">
        <w:t>m</w:t>
      </w:r>
      <w:r w:rsidR="00321900" w:rsidRPr="008D208D">
        <w:t>odify the application of use</w:t>
      </w:r>
      <w:r w:rsidR="00AB7FE2" w:rsidRPr="008D208D">
        <w:t>-</w:t>
      </w:r>
      <w:r w:rsidR="00321900" w:rsidRPr="008D208D">
        <w:t>of</w:t>
      </w:r>
      <w:r w:rsidR="00AB7FE2" w:rsidRPr="008D208D">
        <w:t>-</w:t>
      </w:r>
      <w:r w:rsidR="00321900" w:rsidRPr="008D208D">
        <w:t xml:space="preserve">money interest (UOMI) for taxpayers who make all but their last instalment of provisional tax using the standard </w:t>
      </w:r>
      <w:r w:rsidR="00643B49" w:rsidRPr="008D208D">
        <w:t>“</w:t>
      </w:r>
      <w:r w:rsidR="00321900" w:rsidRPr="008D208D">
        <w:t>uplift</w:t>
      </w:r>
      <w:r w:rsidR="00643B49" w:rsidRPr="008D208D">
        <w:t>”</w:t>
      </w:r>
      <w:r w:rsidR="00321900" w:rsidRPr="008D208D">
        <w:t xml:space="preserve"> method</w:t>
      </w:r>
      <w:r w:rsidRPr="008D208D">
        <w:t>;</w:t>
      </w:r>
    </w:p>
    <w:p w:rsidR="00321900" w:rsidRPr="008D208D" w:rsidRDefault="00AB6CF7" w:rsidP="00BE76A2">
      <w:pPr>
        <w:pStyle w:val="Bullets"/>
        <w:spacing w:after="160"/>
      </w:pPr>
      <w:r w:rsidRPr="008D208D">
        <w:t>i</w:t>
      </w:r>
      <w:r w:rsidR="00321900" w:rsidRPr="008D208D">
        <w:t>ncrease the safe harbour from UOMI from $50,000 to $60,000 of residual income tax and extend the safe harbour to non-individual taxpayers</w:t>
      </w:r>
      <w:r w:rsidRPr="008D208D">
        <w:t>;</w:t>
      </w:r>
    </w:p>
    <w:p w:rsidR="00446862" w:rsidRPr="008D208D" w:rsidRDefault="00AB6CF7" w:rsidP="00BE76A2">
      <w:pPr>
        <w:pStyle w:val="Bullets"/>
        <w:spacing w:after="160"/>
      </w:pPr>
      <w:r w:rsidRPr="008D208D">
        <w:t>a</w:t>
      </w:r>
      <w:r w:rsidR="00321900" w:rsidRPr="008D208D">
        <w:t>llow</w:t>
      </w:r>
      <w:r w:rsidR="002651F8" w:rsidRPr="008D208D">
        <w:t xml:space="preserve"> contractors subject to the schedular payment rules to elect their own withholding rate</w:t>
      </w:r>
      <w:r w:rsidRPr="008D208D">
        <w:t>;</w:t>
      </w:r>
    </w:p>
    <w:p w:rsidR="002651F8" w:rsidRPr="008D208D" w:rsidRDefault="00AB6CF7" w:rsidP="00BE76A2">
      <w:pPr>
        <w:pStyle w:val="Bullets"/>
        <w:spacing w:after="160"/>
      </w:pPr>
      <w:r w:rsidRPr="008D208D">
        <w:t>e</w:t>
      </w:r>
      <w:r w:rsidR="002651F8" w:rsidRPr="008D208D">
        <w:t>xtend the schedular payment rules to contractors who work for labour-hire firms</w:t>
      </w:r>
      <w:r w:rsidRPr="008D208D">
        <w:t>;</w:t>
      </w:r>
    </w:p>
    <w:p w:rsidR="002651F8" w:rsidRPr="008D208D" w:rsidRDefault="00AB6CF7" w:rsidP="00BE76A2">
      <w:pPr>
        <w:pStyle w:val="Bullets"/>
        <w:spacing w:after="160"/>
      </w:pPr>
      <w:r w:rsidRPr="008D208D">
        <w:t>a</w:t>
      </w:r>
      <w:r w:rsidR="00321900" w:rsidRPr="008D208D">
        <w:t>llow contractors not covered by the schedular payment rules to enter v</w:t>
      </w:r>
      <w:r w:rsidR="002651F8" w:rsidRPr="008D208D">
        <w:t>oluntary withholding agreements</w:t>
      </w:r>
      <w:r w:rsidRPr="008D208D">
        <w:t>;</w:t>
      </w:r>
    </w:p>
    <w:p w:rsidR="00AB6CF7" w:rsidRPr="008D208D" w:rsidRDefault="00AB6CF7" w:rsidP="00BE76A2">
      <w:pPr>
        <w:pStyle w:val="Bullets"/>
        <w:spacing w:after="160"/>
      </w:pPr>
      <w:r w:rsidRPr="008D208D">
        <w:t>prevent taxpayers from transferring tax to an earlier period that exceeds the amount in debt or in dispute in that period, and to clarify when UOMI starts and when a transfer takes effect for GST refunds and GST overpayments;</w:t>
      </w:r>
    </w:p>
    <w:p w:rsidR="00AB6CF7" w:rsidRPr="008D208D" w:rsidRDefault="00AB6CF7" w:rsidP="00BE76A2">
      <w:pPr>
        <w:pStyle w:val="Bullets"/>
        <w:spacing w:after="160"/>
      </w:pPr>
      <w:r w:rsidRPr="008D208D">
        <w:t>enable the Commissioner to offset any credits or refunds the taxpayer has against the taxpayer’s tax liability arising from a new or increased assessment by the Commissioner;</w:t>
      </w:r>
    </w:p>
    <w:p w:rsidR="002651F8" w:rsidRPr="008D208D" w:rsidRDefault="00AB6CF7" w:rsidP="00BE76A2">
      <w:pPr>
        <w:pStyle w:val="Bullets"/>
        <w:spacing w:after="160"/>
      </w:pPr>
      <w:r w:rsidRPr="008D208D">
        <w:t>confirm that information required under a prescribed form can be provided verbally whe</w:t>
      </w:r>
      <w:r w:rsidR="00EB3386" w:rsidRPr="008D208D">
        <w:t>n</w:t>
      </w:r>
      <w:r w:rsidRPr="008D208D">
        <w:t xml:space="preserve"> the Commissioner of Inland Revenue considers </w:t>
      </w:r>
      <w:r w:rsidR="00EB3386" w:rsidRPr="008D208D">
        <w:t>it to be</w:t>
      </w:r>
      <w:r w:rsidRPr="008D208D">
        <w:t xml:space="preserve"> appropriate;</w:t>
      </w:r>
    </w:p>
    <w:p w:rsidR="00AB6CF7" w:rsidRPr="008D208D" w:rsidRDefault="00AB6CF7" w:rsidP="00BE76A2">
      <w:pPr>
        <w:pStyle w:val="Bullets"/>
        <w:spacing w:after="160"/>
      </w:pPr>
      <w:r w:rsidRPr="008D208D">
        <w:t xml:space="preserve">enable Inland Revenue to continue to administer the late payment penalty grace period during the period in which tax types are </w:t>
      </w:r>
      <w:r w:rsidR="00EB3386" w:rsidRPr="008D208D">
        <w:t>transitioned between</w:t>
      </w:r>
      <w:r w:rsidRPr="008D208D">
        <w:t xml:space="preserve"> Inland Revenue</w:t>
      </w:r>
      <w:r w:rsidR="00EB3386" w:rsidRPr="008D208D">
        <w:t>’s old FIRST system and new START</w:t>
      </w:r>
      <w:r w:rsidRPr="008D208D">
        <w:t xml:space="preserve"> software </w:t>
      </w:r>
      <w:r w:rsidR="00EB3386" w:rsidRPr="008D208D">
        <w:t>systems</w:t>
      </w:r>
      <w:r w:rsidRPr="008D208D">
        <w:t>; and</w:t>
      </w:r>
    </w:p>
    <w:p w:rsidR="00446862" w:rsidRPr="008D208D" w:rsidRDefault="00AB6CF7" w:rsidP="00BE76A2">
      <w:pPr>
        <w:pStyle w:val="Bullets"/>
        <w:spacing w:after="0"/>
      </w:pPr>
      <w:proofErr w:type="gramStart"/>
      <w:r w:rsidRPr="008D208D">
        <w:t>modify</w:t>
      </w:r>
      <w:proofErr w:type="gramEnd"/>
      <w:r w:rsidRPr="008D208D">
        <w:t xml:space="preserve"> the cancellation of interest rules</w:t>
      </w:r>
      <w:r w:rsidR="00EB3386" w:rsidRPr="008D208D">
        <w:t>,</w:t>
      </w:r>
      <w:r w:rsidRPr="008D208D">
        <w:t xml:space="preserve"> in certain circumstances.</w:t>
      </w:r>
    </w:p>
    <w:p w:rsidR="00446862" w:rsidRPr="008D208D" w:rsidRDefault="00446862" w:rsidP="00446862">
      <w:pPr>
        <w:rPr>
          <w:szCs w:val="24"/>
        </w:rPr>
      </w:pPr>
    </w:p>
    <w:p w:rsidR="00A10436" w:rsidRPr="008D208D" w:rsidRDefault="000509C9" w:rsidP="005A3CD8">
      <w:pPr>
        <w:rPr>
          <w:szCs w:val="24"/>
        </w:rPr>
      </w:pPr>
      <w:r w:rsidRPr="008D208D">
        <w:rPr>
          <w:szCs w:val="24"/>
        </w:rPr>
        <w:t xml:space="preserve">Information in this special report precedes </w:t>
      </w:r>
      <w:r w:rsidR="00BE12FE" w:rsidRPr="008D208D">
        <w:rPr>
          <w:szCs w:val="24"/>
        </w:rPr>
        <w:t xml:space="preserve">complete </w:t>
      </w:r>
      <w:r w:rsidRPr="008D208D">
        <w:rPr>
          <w:szCs w:val="24"/>
        </w:rPr>
        <w:t xml:space="preserve">coverage of the new legislation that will be published in </w:t>
      </w:r>
      <w:r w:rsidR="000F4DED" w:rsidRPr="008D208D">
        <w:rPr>
          <w:szCs w:val="24"/>
        </w:rPr>
        <w:t xml:space="preserve">a </w:t>
      </w:r>
      <w:r w:rsidR="007E04FF" w:rsidRPr="008D208D">
        <w:rPr>
          <w:szCs w:val="24"/>
        </w:rPr>
        <w:t>future</w:t>
      </w:r>
      <w:r w:rsidRPr="008D208D">
        <w:rPr>
          <w:szCs w:val="24"/>
        </w:rPr>
        <w:t xml:space="preserve"> edition of the </w:t>
      </w:r>
      <w:r w:rsidRPr="008D208D">
        <w:rPr>
          <w:i/>
          <w:szCs w:val="24"/>
        </w:rPr>
        <w:t>Tax Information Bulletin</w:t>
      </w:r>
      <w:r w:rsidRPr="008D208D">
        <w:rPr>
          <w:szCs w:val="24"/>
        </w:rPr>
        <w:t>.</w:t>
      </w:r>
    </w:p>
    <w:p w:rsidR="00EA0C5E" w:rsidRPr="008D208D" w:rsidRDefault="00EA0C5E">
      <w:pPr>
        <w:jc w:val="left"/>
        <w:rPr>
          <w:b/>
          <w:bCs/>
          <w:sz w:val="28"/>
          <w:szCs w:val="28"/>
        </w:rPr>
      </w:pPr>
    </w:p>
    <w:p w:rsidR="00BE76A2" w:rsidRPr="008D208D" w:rsidRDefault="00BE76A2">
      <w:pPr>
        <w:jc w:val="left"/>
        <w:rPr>
          <w:b/>
          <w:bCs/>
          <w:sz w:val="28"/>
          <w:szCs w:val="28"/>
        </w:rPr>
      </w:pPr>
      <w:r w:rsidRPr="008D208D">
        <w:br w:type="page"/>
      </w:r>
    </w:p>
    <w:p w:rsidR="00446862" w:rsidRPr="008D208D" w:rsidRDefault="00321900" w:rsidP="006C05F2">
      <w:pPr>
        <w:pStyle w:val="Sectionheading"/>
      </w:pPr>
      <w:r w:rsidRPr="008D208D">
        <w:lastRenderedPageBreak/>
        <w:t xml:space="preserve">Safe </w:t>
      </w:r>
      <w:r w:rsidR="006D6D40" w:rsidRPr="008D208D">
        <w:t>h</w:t>
      </w:r>
      <w:r w:rsidRPr="008D208D">
        <w:t xml:space="preserve">arbour for all taxpayers using the standard </w:t>
      </w:r>
      <w:r w:rsidR="00F44391" w:rsidRPr="008D208D">
        <w:t xml:space="preserve">provisional tax </w:t>
      </w:r>
      <w:r w:rsidRPr="008D208D">
        <w:t>method</w:t>
      </w:r>
    </w:p>
    <w:p w:rsidR="00446862" w:rsidRPr="008D208D" w:rsidRDefault="00446862" w:rsidP="005A3CD8">
      <w:pPr>
        <w:rPr>
          <w:szCs w:val="24"/>
        </w:rPr>
      </w:pPr>
    </w:p>
    <w:p w:rsidR="00AB6CF7" w:rsidRPr="008D208D" w:rsidRDefault="00AB6CF7" w:rsidP="005A3CD8">
      <w:r w:rsidRPr="008D208D">
        <w:rPr>
          <w:szCs w:val="24"/>
        </w:rPr>
        <w:t>Amendments have been made which modify the application of UOMI to</w:t>
      </w:r>
      <w:r w:rsidRPr="008D208D">
        <w:t xml:space="preserve"> taxpayers who make all but their last instalment of provisional tax using the standard method</w:t>
      </w:r>
      <w:r w:rsidR="006D6D40" w:rsidRPr="008D208D">
        <w:t xml:space="preserve"> (commonly known as the standard “uplift” method)</w:t>
      </w:r>
      <w:r w:rsidRPr="008D208D">
        <w:t>.  For th</w:t>
      </w:r>
      <w:r w:rsidR="00AD6E0A" w:rsidRPr="008D208D">
        <w:t>e</w:t>
      </w:r>
      <w:r w:rsidRPr="008D208D">
        <w:t>se taxpayers</w:t>
      </w:r>
      <w:r w:rsidR="00AD6E0A" w:rsidRPr="008D208D">
        <w:t>,</w:t>
      </w:r>
      <w:r w:rsidRPr="008D208D">
        <w:t xml:space="preserve"> </w:t>
      </w:r>
      <w:r w:rsidR="00AD6E0A" w:rsidRPr="008D208D">
        <w:t>UOMI</w:t>
      </w:r>
      <w:r w:rsidRPr="008D208D">
        <w:t xml:space="preserve"> will no longer apply from the first instalment</w:t>
      </w:r>
      <w:r w:rsidR="00EA714D" w:rsidRPr="008D208D">
        <w:t xml:space="preserve">.  Instead, </w:t>
      </w:r>
      <w:r w:rsidRPr="008D208D">
        <w:t>it will commence from the date of the final instalment of provisional tax.</w:t>
      </w:r>
    </w:p>
    <w:p w:rsidR="00F64C06" w:rsidRPr="008D208D" w:rsidRDefault="00F64C06" w:rsidP="005A3CD8"/>
    <w:p w:rsidR="00BC71CE" w:rsidRPr="008D208D" w:rsidRDefault="00BC71CE" w:rsidP="006C05F2">
      <w:pPr>
        <w:pStyle w:val="Heading2"/>
      </w:pPr>
      <w:bookmarkStart w:id="1" w:name="_Toc381807317"/>
      <w:r w:rsidRPr="008D208D">
        <w:t>Background</w:t>
      </w:r>
      <w:bookmarkEnd w:id="1"/>
    </w:p>
    <w:p w:rsidR="00C77E0E" w:rsidRPr="008D208D" w:rsidRDefault="00C77E0E" w:rsidP="005A3CD8">
      <w:pPr>
        <w:tabs>
          <w:tab w:val="left" w:pos="567"/>
        </w:tabs>
        <w:rPr>
          <w:szCs w:val="24"/>
        </w:rPr>
      </w:pPr>
    </w:p>
    <w:p w:rsidR="002F5E10" w:rsidRPr="008D208D" w:rsidRDefault="00C77E0E" w:rsidP="002F5E10">
      <w:r w:rsidRPr="008D208D">
        <w:t>Under the previous rules,</w:t>
      </w:r>
      <w:r w:rsidR="002F5E10" w:rsidRPr="008D208D">
        <w:t xml:space="preserve"> taxpayers who use</w:t>
      </w:r>
      <w:r w:rsidRPr="008D208D">
        <w:t>d</w:t>
      </w:r>
      <w:r w:rsidR="002F5E10" w:rsidRPr="008D208D">
        <w:t xml:space="preserve"> the standard method for paying provisional tax but exceed</w:t>
      </w:r>
      <w:r w:rsidRPr="008D208D">
        <w:t>ed</w:t>
      </w:r>
      <w:r w:rsidR="002F5E10" w:rsidRPr="008D208D">
        <w:t xml:space="preserve"> the safe </w:t>
      </w:r>
      <w:r w:rsidR="00321900" w:rsidRPr="008D208D">
        <w:t>harbour</w:t>
      </w:r>
      <w:r w:rsidR="002F5E10" w:rsidRPr="008D208D">
        <w:t xml:space="preserve"> threshold of $60,000 residual income tax </w:t>
      </w:r>
      <w:r w:rsidRPr="008D208D">
        <w:t>were</w:t>
      </w:r>
      <w:r w:rsidR="002F5E10" w:rsidRPr="008D208D">
        <w:t xml:space="preserve"> liable to </w:t>
      </w:r>
      <w:r w:rsidRPr="008D208D">
        <w:t>UOMI</w:t>
      </w:r>
      <w:r w:rsidR="002F5E10" w:rsidRPr="008D208D">
        <w:t xml:space="preserve"> from the first instalment whe</w:t>
      </w:r>
      <w:r w:rsidRPr="008D208D">
        <w:t>n</w:t>
      </w:r>
      <w:r w:rsidR="002F5E10" w:rsidRPr="008D208D">
        <w:t xml:space="preserve"> their residual income tax for that instalment differ</w:t>
      </w:r>
      <w:r w:rsidRPr="008D208D">
        <w:t>ed</w:t>
      </w:r>
      <w:r w:rsidR="002F5E10" w:rsidRPr="008D208D">
        <w:t xml:space="preserve"> from the amount paid.</w:t>
      </w:r>
    </w:p>
    <w:p w:rsidR="002F5E10" w:rsidRPr="008D208D" w:rsidRDefault="002F5E10" w:rsidP="002F5E10"/>
    <w:p w:rsidR="002F5E10" w:rsidRPr="008D208D" w:rsidRDefault="002F5E10" w:rsidP="002F5E10">
      <w:r w:rsidRPr="008D208D">
        <w:t>For taxpayers who cannot reasonably estimate their income</w:t>
      </w:r>
      <w:r w:rsidR="00A90E94" w:rsidRPr="008D208D">
        <w:t xml:space="preserve"> (such as taxpayers with volatile or seasonal income)</w:t>
      </w:r>
      <w:r w:rsidRPr="008D208D">
        <w:t xml:space="preserve"> and </w:t>
      </w:r>
      <w:r w:rsidR="00F2534B" w:rsidRPr="008D208D">
        <w:t xml:space="preserve">who </w:t>
      </w:r>
      <w:r w:rsidRPr="008D208D">
        <w:t>use the standard method</w:t>
      </w:r>
      <w:r w:rsidR="00F2534B" w:rsidRPr="008D208D">
        <w:t>,</w:t>
      </w:r>
      <w:r w:rsidRPr="008D208D">
        <w:t xml:space="preserve"> th</w:t>
      </w:r>
      <w:r w:rsidR="00C042F0" w:rsidRPr="008D208D">
        <w:t>e previous</w:t>
      </w:r>
      <w:r w:rsidR="009D7C26" w:rsidRPr="008D208D">
        <w:t xml:space="preserve"> rule </w:t>
      </w:r>
      <w:r w:rsidR="00081B7F" w:rsidRPr="008D208D">
        <w:t>could be</w:t>
      </w:r>
      <w:r w:rsidRPr="008D208D">
        <w:t xml:space="preserve"> unfair as provisional tax assumes a straight</w:t>
      </w:r>
      <w:r w:rsidR="00F2534B" w:rsidRPr="008D208D">
        <w:t>-</w:t>
      </w:r>
      <w:r w:rsidRPr="008D208D">
        <w:t>line earning of income throughout a year.</w:t>
      </w:r>
    </w:p>
    <w:p w:rsidR="002F5E10" w:rsidRPr="008D208D" w:rsidRDefault="002F5E10" w:rsidP="002F5E10"/>
    <w:p w:rsidR="002F5E10" w:rsidRPr="008D208D" w:rsidRDefault="002F5E10" w:rsidP="002F5E10">
      <w:r w:rsidRPr="008D208D">
        <w:t xml:space="preserve">The </w:t>
      </w:r>
      <w:r w:rsidR="009D7C26" w:rsidRPr="008D208D">
        <w:t>new</w:t>
      </w:r>
      <w:r w:rsidRPr="008D208D">
        <w:t xml:space="preserve"> Act </w:t>
      </w:r>
      <w:r w:rsidR="00C46312" w:rsidRPr="008D208D">
        <w:t xml:space="preserve">introduces a new rule </w:t>
      </w:r>
      <w:r w:rsidRPr="008D208D">
        <w:t>so that where a taxpayer makes all their provisional tax instalments (except for the final instalment) using the standard method on the respective payment dates</w:t>
      </w:r>
      <w:r w:rsidR="000D588E" w:rsidRPr="008D208D">
        <w:t xml:space="preserve"> UOMI</w:t>
      </w:r>
      <w:r w:rsidRPr="008D208D">
        <w:t xml:space="preserve"> will</w:t>
      </w:r>
      <w:r w:rsidR="00F176E8" w:rsidRPr="008D208D">
        <w:t xml:space="preserve"> </w:t>
      </w:r>
      <w:r w:rsidRPr="008D208D">
        <w:t>only apply from the date of the final instalment on the difference between the residual inc</w:t>
      </w:r>
      <w:r w:rsidR="00047BBF" w:rsidRPr="008D208D">
        <w:t>ome tax and the payments made.</w:t>
      </w:r>
    </w:p>
    <w:p w:rsidR="002F5E10" w:rsidRPr="008D208D" w:rsidRDefault="002F5E10" w:rsidP="002F5E10"/>
    <w:p w:rsidR="002F5E10" w:rsidRPr="008D208D" w:rsidRDefault="002F5E10" w:rsidP="002F5E10">
      <w:r w:rsidRPr="008D208D">
        <w:t xml:space="preserve">This </w:t>
      </w:r>
      <w:r w:rsidR="00A95327" w:rsidRPr="008D208D">
        <w:t>change</w:t>
      </w:r>
      <w:r w:rsidRPr="008D208D">
        <w:t xml:space="preserve"> was announced by the Government in a pre-Budget release in April 2016 and the proposals consulted on in an officials</w:t>
      </w:r>
      <w:r w:rsidR="00A95327" w:rsidRPr="008D208D">
        <w:t>’</w:t>
      </w:r>
      <w:r w:rsidRPr="008D208D">
        <w:t xml:space="preserve"> issues paper</w:t>
      </w:r>
      <w:r w:rsidR="00A95327" w:rsidRPr="008D208D">
        <w:t>,</w:t>
      </w:r>
      <w:r w:rsidRPr="008D208D">
        <w:t xml:space="preserve"> </w:t>
      </w:r>
      <w:r w:rsidRPr="008D208D">
        <w:rPr>
          <w:i/>
        </w:rPr>
        <w:t>Making Tax Simpler – Better Business Tax</w:t>
      </w:r>
      <w:r w:rsidR="00A95327" w:rsidRPr="008D208D">
        <w:rPr>
          <w:i/>
        </w:rPr>
        <w:t>,</w:t>
      </w:r>
      <w:r w:rsidRPr="008D208D">
        <w:t xml:space="preserve"> released in April 2016.</w:t>
      </w:r>
    </w:p>
    <w:p w:rsidR="002F5E10" w:rsidRPr="008D208D" w:rsidRDefault="002F5E10" w:rsidP="002F5E10"/>
    <w:p w:rsidR="002F5E10" w:rsidRPr="008D208D" w:rsidRDefault="002F5E10" w:rsidP="002F5E10">
      <w:r w:rsidRPr="008D208D">
        <w:t xml:space="preserve">Feedback </w:t>
      </w:r>
      <w:r w:rsidR="00A95327" w:rsidRPr="008D208D">
        <w:t xml:space="preserve">following consultation </w:t>
      </w:r>
      <w:r w:rsidR="004F43EC" w:rsidRPr="008D208D">
        <w:t>at the s</w:t>
      </w:r>
      <w:r w:rsidR="00A95327" w:rsidRPr="008D208D">
        <w:t xml:space="preserve">elect committee stage of the bill resulted in </w:t>
      </w:r>
      <w:r w:rsidRPr="008D208D">
        <w:t xml:space="preserve">some changes to the </w:t>
      </w:r>
      <w:r w:rsidR="00A95327" w:rsidRPr="008D208D">
        <w:t>technical detail o</w:t>
      </w:r>
      <w:r w:rsidR="004F43EC" w:rsidRPr="008D208D">
        <w:t>f</w:t>
      </w:r>
      <w:r w:rsidR="00A95327" w:rsidRPr="008D208D">
        <w:t xml:space="preserve"> the</w:t>
      </w:r>
      <w:r w:rsidRPr="008D208D">
        <w:t xml:space="preserve"> proposal</w:t>
      </w:r>
      <w:r w:rsidR="00AC3485" w:rsidRPr="008D208D">
        <w:t>.  These do not alter</w:t>
      </w:r>
      <w:r w:rsidR="00CF60D1" w:rsidRPr="008D208D">
        <w:t xml:space="preserve"> the</w:t>
      </w:r>
      <w:r w:rsidR="00AC3485" w:rsidRPr="008D208D">
        <w:t xml:space="preserve"> </w:t>
      </w:r>
      <w:r w:rsidR="004F43EC" w:rsidRPr="008D208D">
        <w:t>policy intent</w:t>
      </w:r>
      <w:r w:rsidR="00AC3485" w:rsidRPr="008D208D">
        <w:t xml:space="preserve"> of the original proposal</w:t>
      </w:r>
      <w:r w:rsidRPr="008D208D">
        <w:t>.</w:t>
      </w:r>
    </w:p>
    <w:p w:rsidR="004F423F" w:rsidRPr="008D208D" w:rsidRDefault="004F423F" w:rsidP="006F2866">
      <w:pPr>
        <w:rPr>
          <w:color w:val="000000"/>
          <w:szCs w:val="24"/>
        </w:rPr>
      </w:pPr>
    </w:p>
    <w:p w:rsidR="00187D01" w:rsidRPr="008D208D" w:rsidRDefault="00187D01" w:rsidP="006C05F2">
      <w:pPr>
        <w:pStyle w:val="Heading2"/>
      </w:pPr>
      <w:bookmarkStart w:id="2" w:name="_Toc381807318"/>
      <w:r w:rsidRPr="008D208D">
        <w:t>Key features</w:t>
      </w:r>
    </w:p>
    <w:p w:rsidR="00187D01" w:rsidRPr="008D208D" w:rsidRDefault="00187D01" w:rsidP="00187D01"/>
    <w:p w:rsidR="002F5E10" w:rsidRPr="008D208D" w:rsidRDefault="002F5E10" w:rsidP="002F5E10">
      <w:bookmarkStart w:id="3" w:name="_Toc381807319"/>
      <w:bookmarkEnd w:id="2"/>
      <w:r w:rsidRPr="008D208D">
        <w:t xml:space="preserve">For taxpayers who pay their provisional tax using the standard method and </w:t>
      </w:r>
      <w:r w:rsidR="0094474B" w:rsidRPr="008D208D">
        <w:t>do not</w:t>
      </w:r>
      <w:r w:rsidR="00081B7F" w:rsidRPr="008D208D">
        <w:t xml:space="preserve"> qualify for the safe harbour,</w:t>
      </w:r>
      <w:r w:rsidRPr="008D208D">
        <w:t xml:space="preserve"> </w:t>
      </w:r>
      <w:r w:rsidR="000B73EC" w:rsidRPr="008D208D">
        <w:t>UOMI</w:t>
      </w:r>
      <w:r w:rsidRPr="008D208D">
        <w:t xml:space="preserve"> will only apply from the date of </w:t>
      </w:r>
      <w:r w:rsidR="000D588E" w:rsidRPr="008D208D">
        <w:t xml:space="preserve">the final </w:t>
      </w:r>
      <w:r w:rsidRPr="008D208D">
        <w:t>instalment whe</w:t>
      </w:r>
      <w:r w:rsidR="000B73EC" w:rsidRPr="008D208D">
        <w:t>n</w:t>
      </w:r>
      <w:r w:rsidRPr="008D208D">
        <w:t>:</w:t>
      </w:r>
    </w:p>
    <w:p w:rsidR="002F5E10" w:rsidRPr="008D208D" w:rsidRDefault="002F5E10" w:rsidP="002F5E10"/>
    <w:p w:rsidR="000B73EC" w:rsidRPr="008D208D" w:rsidRDefault="000B73EC" w:rsidP="00BE76A2">
      <w:pPr>
        <w:pStyle w:val="Bullets"/>
      </w:pPr>
      <w:r w:rsidRPr="008D208D">
        <w:t>t</w:t>
      </w:r>
      <w:r w:rsidR="002F5E10" w:rsidRPr="008D208D">
        <w:t xml:space="preserve">he taxpayer has made all </w:t>
      </w:r>
      <w:r w:rsidRPr="008D208D">
        <w:t xml:space="preserve">of </w:t>
      </w:r>
      <w:r w:rsidR="002F5E10" w:rsidRPr="008D208D">
        <w:t>their instalments (other than the final instalm</w:t>
      </w:r>
      <w:r w:rsidR="00F302FB" w:rsidRPr="008D208D">
        <w:t>ent) using the standard method;</w:t>
      </w:r>
    </w:p>
    <w:p w:rsidR="002F5E10" w:rsidRPr="008D208D" w:rsidRDefault="000B73EC" w:rsidP="00BE76A2">
      <w:pPr>
        <w:pStyle w:val="Bullets"/>
      </w:pPr>
      <w:r w:rsidRPr="008D208D">
        <w:t>h</w:t>
      </w:r>
      <w:r w:rsidR="002F5E10" w:rsidRPr="008D208D">
        <w:t>as paid those instalments on or before the due date;</w:t>
      </w:r>
    </w:p>
    <w:p w:rsidR="002F5E10" w:rsidRPr="008D208D" w:rsidRDefault="000B73EC" w:rsidP="00BE76A2">
      <w:pPr>
        <w:pStyle w:val="Bullets"/>
      </w:pPr>
      <w:r w:rsidRPr="008D208D">
        <w:t>a</w:t>
      </w:r>
      <w:r w:rsidR="002F5E10" w:rsidRPr="008D208D">
        <w:t>ny provisional tax associates have also use</w:t>
      </w:r>
      <w:r w:rsidRPr="008D208D">
        <w:t>d</w:t>
      </w:r>
      <w:r w:rsidR="002F5E10" w:rsidRPr="008D208D">
        <w:t xml:space="preserve"> the standard method for all</w:t>
      </w:r>
      <w:r w:rsidRPr="008D208D">
        <w:t xml:space="preserve"> of</w:t>
      </w:r>
      <w:r w:rsidR="002F5E10" w:rsidRPr="008D208D">
        <w:t xml:space="preserve"> their instalments (other than the final instalment); and</w:t>
      </w:r>
    </w:p>
    <w:p w:rsidR="002F5E10" w:rsidRPr="008D208D" w:rsidRDefault="000B73EC" w:rsidP="00BE76A2">
      <w:pPr>
        <w:pStyle w:val="Bullets"/>
        <w:spacing w:after="0"/>
      </w:pPr>
      <w:proofErr w:type="gramStart"/>
      <w:r w:rsidRPr="008D208D">
        <w:t>t</w:t>
      </w:r>
      <w:r w:rsidR="002F5E10" w:rsidRPr="008D208D">
        <w:t>here</w:t>
      </w:r>
      <w:proofErr w:type="gramEnd"/>
      <w:r w:rsidR="002F5E10" w:rsidRPr="008D208D">
        <w:t xml:space="preserve"> is no provisional tax interest avoidance arrangement.</w:t>
      </w:r>
    </w:p>
    <w:p w:rsidR="002F5E10" w:rsidRPr="008D208D" w:rsidRDefault="002F5E10" w:rsidP="002F5E10"/>
    <w:p w:rsidR="002F5E10" w:rsidRPr="008D208D" w:rsidRDefault="002F5E10" w:rsidP="002F5E10">
      <w:r w:rsidRPr="008D208D">
        <w:t>For taxpayers</w:t>
      </w:r>
      <w:r w:rsidR="00081B7F" w:rsidRPr="008D208D">
        <w:t xml:space="preserve"> using the standard method</w:t>
      </w:r>
      <w:r w:rsidRPr="008D208D">
        <w:t xml:space="preserve"> who do not meet the above criteria</w:t>
      </w:r>
      <w:r w:rsidR="000B73EC" w:rsidRPr="008D208D">
        <w:t>,</w:t>
      </w:r>
      <w:r w:rsidRPr="008D208D">
        <w:t xml:space="preserve"> </w:t>
      </w:r>
      <w:r w:rsidR="000B73EC" w:rsidRPr="008D208D">
        <w:t>UOMI</w:t>
      </w:r>
      <w:r w:rsidRPr="008D208D">
        <w:t xml:space="preserve"> will apply from the applicable instalment date on the </w:t>
      </w:r>
      <w:r w:rsidRPr="008D208D">
        <w:rPr>
          <w:i/>
        </w:rPr>
        <w:t>lesser</w:t>
      </w:r>
      <w:r w:rsidRPr="008D208D">
        <w:t xml:space="preserve"> of the difference between:</w:t>
      </w:r>
    </w:p>
    <w:p w:rsidR="00BE76A2" w:rsidRPr="008D208D" w:rsidRDefault="00BE76A2">
      <w:pPr>
        <w:jc w:val="left"/>
      </w:pPr>
    </w:p>
    <w:p w:rsidR="002F5E10" w:rsidRPr="008D208D" w:rsidRDefault="000B73EC" w:rsidP="00BE76A2">
      <w:pPr>
        <w:pStyle w:val="Bullets"/>
      </w:pPr>
      <w:r w:rsidRPr="008D208D">
        <w:t>t</w:t>
      </w:r>
      <w:r w:rsidR="002F5E10" w:rsidRPr="008D208D">
        <w:t>he amount of residual income tax apportioned to the particular instalment date and the amount paid by the taxpayer; or</w:t>
      </w:r>
    </w:p>
    <w:p w:rsidR="002F5E10" w:rsidRPr="008D208D" w:rsidRDefault="000B73EC" w:rsidP="00BE76A2">
      <w:pPr>
        <w:pStyle w:val="Bullets"/>
        <w:spacing w:after="0"/>
      </w:pPr>
      <w:proofErr w:type="gramStart"/>
      <w:r w:rsidRPr="008D208D">
        <w:lastRenderedPageBreak/>
        <w:t>t</w:t>
      </w:r>
      <w:r w:rsidR="002F5E10" w:rsidRPr="008D208D">
        <w:t>he</w:t>
      </w:r>
      <w:proofErr w:type="gramEnd"/>
      <w:r w:rsidR="002F5E10" w:rsidRPr="008D208D">
        <w:t xml:space="preserve"> amount of the standard method instalment for the particular instalment date and the amount paid by the taxpayer.</w:t>
      </w:r>
    </w:p>
    <w:p w:rsidR="002F5E10" w:rsidRPr="008D208D" w:rsidRDefault="002F5E10" w:rsidP="002F5E10"/>
    <w:p w:rsidR="002F5E10" w:rsidRPr="008D208D" w:rsidRDefault="002F5E10" w:rsidP="002F5E10">
      <w:r w:rsidRPr="008D208D">
        <w:t xml:space="preserve">A </w:t>
      </w:r>
      <w:r w:rsidR="000B73EC" w:rsidRPr="008D208D">
        <w:t>“</w:t>
      </w:r>
      <w:r w:rsidRPr="008D208D">
        <w:t>provisional tax associate</w:t>
      </w:r>
      <w:r w:rsidR="000B73EC" w:rsidRPr="008D208D">
        <w:t>”</w:t>
      </w:r>
      <w:r w:rsidRPr="008D208D">
        <w:t xml:space="preserve"> of a person (person A) is defined as</w:t>
      </w:r>
      <w:r w:rsidR="000B73EC" w:rsidRPr="008D208D">
        <w:t xml:space="preserve"> follows</w:t>
      </w:r>
      <w:r w:rsidRPr="008D208D">
        <w:t>:</w:t>
      </w:r>
    </w:p>
    <w:p w:rsidR="002F5E10" w:rsidRPr="008D208D" w:rsidRDefault="002F5E10" w:rsidP="002F5E10"/>
    <w:p w:rsidR="002F5E10" w:rsidRPr="008D208D" w:rsidRDefault="002F5E10" w:rsidP="00BE76A2">
      <w:pPr>
        <w:pStyle w:val="Bullets"/>
      </w:pPr>
      <w:r w:rsidRPr="008D208D">
        <w:t>If person A is a company</w:t>
      </w:r>
      <w:r w:rsidR="000B73EC" w:rsidRPr="008D208D">
        <w:t>,</w:t>
      </w:r>
      <w:r w:rsidRPr="008D208D">
        <w:t xml:space="preserve"> another company in the same wholly owned group as person A</w:t>
      </w:r>
      <w:r w:rsidR="000B73EC" w:rsidRPr="008D208D">
        <w:t xml:space="preserve"> is a “provisional tax associate”</w:t>
      </w:r>
      <w:r w:rsidR="00075FF5" w:rsidRPr="008D208D">
        <w:t>.</w:t>
      </w:r>
    </w:p>
    <w:p w:rsidR="002F5E10" w:rsidRPr="008D208D" w:rsidRDefault="002F5E10" w:rsidP="00BE76A2">
      <w:pPr>
        <w:pStyle w:val="Bullets"/>
      </w:pPr>
      <w:r w:rsidRPr="008D208D">
        <w:t>If person A is a company</w:t>
      </w:r>
      <w:r w:rsidR="000B73EC" w:rsidRPr="008D208D">
        <w:t>,</w:t>
      </w:r>
      <w:r w:rsidRPr="008D208D">
        <w:t xml:space="preserve"> another person who has a direct or indirect shareholding </w:t>
      </w:r>
      <w:r w:rsidR="000B73EC" w:rsidRPr="008D208D">
        <w:t>interest</w:t>
      </w:r>
      <w:r w:rsidRPr="008D208D">
        <w:t xml:space="preserve"> </w:t>
      </w:r>
      <w:r w:rsidR="000B73EC" w:rsidRPr="008D208D">
        <w:t xml:space="preserve">in the company </w:t>
      </w:r>
      <w:r w:rsidRPr="008D208D">
        <w:t>greater than 50</w:t>
      </w:r>
      <w:r w:rsidR="000B73EC" w:rsidRPr="008D208D">
        <w:t xml:space="preserve"> percent is a “provisional tax associate”</w:t>
      </w:r>
      <w:r w:rsidR="00075FF5" w:rsidRPr="008D208D">
        <w:t>.</w:t>
      </w:r>
    </w:p>
    <w:p w:rsidR="002F5E10" w:rsidRPr="008D208D" w:rsidRDefault="002F5E10" w:rsidP="00BE76A2">
      <w:pPr>
        <w:pStyle w:val="Bullets"/>
        <w:spacing w:after="0"/>
      </w:pPr>
      <w:r w:rsidRPr="008D208D">
        <w:t>If person A is not a company or is a company acting as a trustee</w:t>
      </w:r>
      <w:r w:rsidR="000B73EC" w:rsidRPr="008D208D">
        <w:t>,</w:t>
      </w:r>
      <w:r w:rsidRPr="008D208D">
        <w:t xml:space="preserve"> another person in which person A has a direct or indirect shareholding</w:t>
      </w:r>
      <w:r w:rsidR="000B73EC" w:rsidRPr="008D208D">
        <w:t xml:space="preserve"> interest </w:t>
      </w:r>
      <w:r w:rsidRPr="008D208D">
        <w:t>greater than 50</w:t>
      </w:r>
      <w:r w:rsidR="000B73EC" w:rsidRPr="008D208D">
        <w:t xml:space="preserve"> percent is a “provisional tax associate”</w:t>
      </w:r>
      <w:r w:rsidRPr="008D208D">
        <w:t>.</w:t>
      </w:r>
    </w:p>
    <w:p w:rsidR="002F5E10" w:rsidRPr="008D208D" w:rsidRDefault="002F5E10" w:rsidP="002F5E10"/>
    <w:p w:rsidR="002F5E10" w:rsidRPr="008D208D" w:rsidRDefault="002F5E10" w:rsidP="002F5E10">
      <w:r w:rsidRPr="008D208D">
        <w:t xml:space="preserve">A provisional tax avoidance arrangement is an arrangement involving the manipulation of one or more amounts of residual income tax, including a zero amount of residual income tax, with the purpose or effect of defeating the intent and application of the </w:t>
      </w:r>
      <w:r w:rsidR="00510B33" w:rsidRPr="008D208D">
        <w:t>UOMI</w:t>
      </w:r>
      <w:r w:rsidRPr="008D208D">
        <w:t xml:space="preserve"> provisions. </w:t>
      </w:r>
      <w:r w:rsidR="00510B33" w:rsidRPr="008D208D">
        <w:t xml:space="preserve"> </w:t>
      </w:r>
      <w:r w:rsidRPr="008D208D">
        <w:t xml:space="preserve">It is intended to capture situations where taxpayers who are outside the </w:t>
      </w:r>
      <w:r w:rsidR="00510B33" w:rsidRPr="008D208D">
        <w:t>“</w:t>
      </w:r>
      <w:r w:rsidRPr="008D208D">
        <w:t>provisional tax associate</w:t>
      </w:r>
      <w:r w:rsidR="00510B33" w:rsidRPr="008D208D">
        <w:t>”</w:t>
      </w:r>
      <w:r w:rsidRPr="008D208D">
        <w:t xml:space="preserve"> definition manipulate income between parties to avoid application of the </w:t>
      </w:r>
      <w:r w:rsidR="00510B33" w:rsidRPr="008D208D">
        <w:t>UOMI</w:t>
      </w:r>
      <w:r w:rsidRPr="008D208D">
        <w:t xml:space="preserve"> rules.  It is intended to apply only in cases of clear manipulation to remove parties from the </w:t>
      </w:r>
      <w:r w:rsidR="00BF2624" w:rsidRPr="008D208D">
        <w:t>UOMI</w:t>
      </w:r>
      <w:r w:rsidRPr="008D208D">
        <w:t xml:space="preserve"> rules.</w:t>
      </w:r>
    </w:p>
    <w:p w:rsidR="00634114" w:rsidRPr="008D208D" w:rsidRDefault="00634114" w:rsidP="000D1F56">
      <w:pPr>
        <w:pStyle w:val="Bullets"/>
        <w:numPr>
          <w:ilvl w:val="0"/>
          <w:numId w:val="0"/>
        </w:numPr>
        <w:spacing w:after="0"/>
      </w:pPr>
    </w:p>
    <w:p w:rsidR="00C53E3A" w:rsidRPr="008D208D" w:rsidRDefault="00C53E3A" w:rsidP="006C05F2">
      <w:pPr>
        <w:pStyle w:val="Heading2"/>
      </w:pPr>
      <w:r w:rsidRPr="008D208D">
        <w:t xml:space="preserve">Application </w:t>
      </w:r>
      <w:r w:rsidR="00754603" w:rsidRPr="008D208D">
        <w:t>d</w:t>
      </w:r>
      <w:r w:rsidRPr="008D208D">
        <w:t>ate</w:t>
      </w:r>
      <w:bookmarkEnd w:id="3"/>
    </w:p>
    <w:p w:rsidR="004679A9" w:rsidRPr="008D208D" w:rsidRDefault="004679A9" w:rsidP="005A3CD8"/>
    <w:p w:rsidR="002F5E10" w:rsidRPr="008D208D" w:rsidRDefault="002F5E10" w:rsidP="002F5E10">
      <w:bookmarkStart w:id="4" w:name="_Toc381807321"/>
      <w:r w:rsidRPr="008D208D">
        <w:t xml:space="preserve">The new </w:t>
      </w:r>
      <w:r w:rsidR="00BF2624" w:rsidRPr="008D208D">
        <w:t xml:space="preserve">UOMI </w:t>
      </w:r>
      <w:r w:rsidRPr="008D208D">
        <w:t>rules for standard method taxpayers in section 120KBB</w:t>
      </w:r>
      <w:r w:rsidR="00BF2624" w:rsidRPr="008D208D">
        <w:t xml:space="preserve"> of the Tax Administration Act 1994</w:t>
      </w:r>
      <w:r w:rsidRPr="008D208D">
        <w:t xml:space="preserve"> apply for the 2017</w:t>
      </w:r>
      <w:r w:rsidR="00BF2624" w:rsidRPr="008D208D">
        <w:t>–</w:t>
      </w:r>
      <w:r w:rsidRPr="008D208D">
        <w:t>18 and later income years.</w:t>
      </w:r>
    </w:p>
    <w:p w:rsidR="007753C5" w:rsidRPr="008D208D" w:rsidRDefault="007753C5" w:rsidP="00446862"/>
    <w:p w:rsidR="00C2713F" w:rsidRPr="008D208D" w:rsidRDefault="00516396" w:rsidP="006C05F2">
      <w:pPr>
        <w:pStyle w:val="Heading2"/>
      </w:pPr>
      <w:r w:rsidRPr="008D208D">
        <w:t>Detailed analysis</w:t>
      </w:r>
    </w:p>
    <w:p w:rsidR="002F5E10" w:rsidRPr="008D208D" w:rsidRDefault="002F5E10" w:rsidP="002F5E10">
      <w:pPr>
        <w:rPr>
          <w:i/>
        </w:rPr>
      </w:pPr>
    </w:p>
    <w:p w:rsidR="002F5E10" w:rsidRPr="008D208D" w:rsidRDefault="00827E05" w:rsidP="002F5E10">
      <w:r w:rsidRPr="008D208D">
        <w:t>A</w:t>
      </w:r>
      <w:r w:rsidR="002F5E10" w:rsidRPr="008D208D">
        <w:t xml:space="preserve"> comprehensive </w:t>
      </w:r>
      <w:r w:rsidR="00486787" w:rsidRPr="008D208D">
        <w:t xml:space="preserve">UOMI </w:t>
      </w:r>
      <w:r w:rsidR="002F5E10" w:rsidRPr="008D208D">
        <w:t xml:space="preserve">regime applies to all provisional taxpayers who do not fall within </w:t>
      </w:r>
      <w:r w:rsidR="00486787" w:rsidRPr="008D208D">
        <w:t xml:space="preserve">a specified </w:t>
      </w:r>
      <w:r w:rsidR="002F5E10" w:rsidRPr="008D208D">
        <w:t>safe harbour.  Where a taxpayer’s residual income tax apportioned over the number of provisional tax instalment dates differs from the amounts paid by the taxpayer</w:t>
      </w:r>
      <w:r w:rsidR="00D93E0E" w:rsidRPr="008D208D">
        <w:t>,</w:t>
      </w:r>
      <w:r w:rsidR="002F5E10" w:rsidRPr="008D208D">
        <w:t xml:space="preserve"> over or underpaid tax will arise and </w:t>
      </w:r>
      <w:r w:rsidR="00D93E0E" w:rsidRPr="008D208D">
        <w:t xml:space="preserve">UOMI </w:t>
      </w:r>
      <w:r w:rsidR="002F5E10" w:rsidRPr="008D208D">
        <w:t xml:space="preserve">will apply to the difference.  This </w:t>
      </w:r>
      <w:r w:rsidR="00D93E0E" w:rsidRPr="008D208D">
        <w:t>applies</w:t>
      </w:r>
      <w:r w:rsidR="002F5E10" w:rsidRPr="008D208D">
        <w:t xml:space="preserve"> even if a taxpayer has made the required instalments under the standard method.</w:t>
      </w:r>
    </w:p>
    <w:p w:rsidR="002F5E10" w:rsidRPr="008D208D" w:rsidRDefault="002F5E10" w:rsidP="002F5E10"/>
    <w:p w:rsidR="002F5E10" w:rsidRPr="008D208D" w:rsidRDefault="002F5E10" w:rsidP="002F5E10">
      <w:r w:rsidRPr="008D208D">
        <w:t>The standard method</w:t>
      </w:r>
      <w:r w:rsidR="00B31C10" w:rsidRPr="008D208D">
        <w:t xml:space="preserve"> </w:t>
      </w:r>
      <w:r w:rsidRPr="008D208D">
        <w:t>calculates instalments of provisional tax based on 105</w:t>
      </w:r>
      <w:r w:rsidR="00D83E30" w:rsidRPr="008D208D">
        <w:t xml:space="preserve"> percent</w:t>
      </w:r>
      <w:r w:rsidRPr="008D208D">
        <w:t xml:space="preserve"> of the prior year</w:t>
      </w:r>
      <w:r w:rsidR="00D83E30" w:rsidRPr="008D208D">
        <w:t>’s</w:t>
      </w:r>
      <w:r w:rsidRPr="008D208D">
        <w:t xml:space="preserve"> residual income tax liability or 110</w:t>
      </w:r>
      <w:r w:rsidR="00D83E30" w:rsidRPr="008D208D">
        <w:t xml:space="preserve"> percent</w:t>
      </w:r>
      <w:r w:rsidRPr="008D208D">
        <w:t xml:space="preserve"> of the year </w:t>
      </w:r>
      <w:proofErr w:type="gramStart"/>
      <w:r w:rsidRPr="008D208D">
        <w:t>preceding</w:t>
      </w:r>
      <w:proofErr w:type="gramEnd"/>
      <w:r w:rsidRPr="008D208D">
        <w:t xml:space="preserve"> the prior year depending on whether the taxpayer has filed their tax return for the prior year.</w:t>
      </w:r>
    </w:p>
    <w:p w:rsidR="00BE76A2" w:rsidRPr="008D208D" w:rsidRDefault="00BE76A2">
      <w:pPr>
        <w:jc w:val="left"/>
        <w:rPr>
          <w:b/>
          <w:sz w:val="20"/>
          <w:szCs w:val="24"/>
          <w:lang w:eastAsia="en-NZ"/>
        </w:rPr>
      </w:pPr>
    </w:p>
    <w:p w:rsidR="006C05F2" w:rsidRPr="008D208D" w:rsidRDefault="006C05F2">
      <w:pPr>
        <w:jc w:val="left"/>
        <w:rPr>
          <w:b/>
          <w:sz w:val="20"/>
          <w:szCs w:val="24"/>
          <w:lang w:eastAsia="en-NZ"/>
        </w:rPr>
      </w:pPr>
    </w:p>
    <w:p w:rsidR="002F5E10" w:rsidRPr="008D208D" w:rsidRDefault="002F5E10" w:rsidP="006C05F2">
      <w:pPr>
        <w:pStyle w:val="Exampleheading"/>
        <w:pBdr>
          <w:top w:val="single" w:sz="4" w:space="10" w:color="auto"/>
          <w:left w:val="single" w:sz="4" w:space="10" w:color="auto"/>
          <w:bottom w:val="single" w:sz="4" w:space="10" w:color="auto"/>
          <w:right w:val="single" w:sz="4" w:space="10" w:color="auto"/>
        </w:pBdr>
        <w:spacing w:after="100"/>
      </w:pPr>
      <w:r w:rsidRPr="008D208D">
        <w:t>Example</w:t>
      </w:r>
      <w:r w:rsidR="00BC2C04" w:rsidRPr="008D208D">
        <w:t xml:space="preserve"> 1</w:t>
      </w:r>
    </w:p>
    <w:p w:rsidR="002F5E10" w:rsidRPr="008D208D" w:rsidRDefault="002F5E10" w:rsidP="006C05F2">
      <w:pPr>
        <w:pStyle w:val="Exampletext"/>
        <w:pBdr>
          <w:top w:val="single" w:sz="4" w:space="10" w:color="auto"/>
          <w:left w:val="single" w:sz="4" w:space="10" w:color="auto"/>
          <w:bottom w:val="single" w:sz="4" w:space="10" w:color="auto"/>
          <w:right w:val="single" w:sz="4" w:space="10" w:color="auto"/>
        </w:pBdr>
        <w:spacing w:after="100"/>
      </w:pPr>
      <w:r w:rsidRPr="008D208D">
        <w:t xml:space="preserve">Wooley Shearers Limited (Wooley) provides shearing services to farmers.  </w:t>
      </w:r>
      <w:r w:rsidR="00DD6591" w:rsidRPr="008D208D">
        <w:t>The company</w:t>
      </w:r>
      <w:r w:rsidRPr="008D208D">
        <w:t xml:space="preserve"> ha</w:t>
      </w:r>
      <w:r w:rsidR="00DD6591" w:rsidRPr="008D208D">
        <w:t>s</w:t>
      </w:r>
      <w:r w:rsidRPr="008D208D">
        <w:t xml:space="preserve"> difficulty estimating </w:t>
      </w:r>
      <w:r w:rsidR="00DD6591" w:rsidRPr="008D208D">
        <w:t>its</w:t>
      </w:r>
      <w:r w:rsidRPr="008D208D">
        <w:t xml:space="preserve"> provisional tax for the year as </w:t>
      </w:r>
      <w:r w:rsidR="00DD6591" w:rsidRPr="008D208D">
        <w:t>it</w:t>
      </w:r>
      <w:r w:rsidRPr="008D208D">
        <w:t xml:space="preserve"> charge</w:t>
      </w:r>
      <w:r w:rsidR="00DD6591" w:rsidRPr="008D208D">
        <w:t>s</w:t>
      </w:r>
      <w:r w:rsidRPr="008D208D">
        <w:t xml:space="preserve"> by the weight of the wool</w:t>
      </w:r>
      <w:r w:rsidR="00D83E30" w:rsidRPr="008D208D">
        <w:t xml:space="preserve"> and the amount of income derive</w:t>
      </w:r>
      <w:r w:rsidR="00DD6591" w:rsidRPr="008D208D">
        <w:t>d</w:t>
      </w:r>
      <w:r w:rsidRPr="008D208D">
        <w:t xml:space="preserve"> depends on the growing rate of the sheep</w:t>
      </w:r>
      <w:r w:rsidR="00D83E30" w:rsidRPr="008D208D">
        <w:t>.</w:t>
      </w:r>
      <w:r w:rsidRPr="008D208D">
        <w:t xml:space="preserve">  In the 2017 income year Wooley has residual income tax of $260,000.  Wooley has filed </w:t>
      </w:r>
      <w:r w:rsidR="00D83E30" w:rsidRPr="008D208D">
        <w:t>its</w:t>
      </w:r>
      <w:r w:rsidRPr="008D208D">
        <w:t xml:space="preserve"> 2017 tax return prior to the first instalment of provisional tax </w:t>
      </w:r>
      <w:r w:rsidR="00DD6591" w:rsidRPr="008D208D">
        <w:t xml:space="preserve">and </w:t>
      </w:r>
      <w:r w:rsidRPr="008D208D">
        <w:t xml:space="preserve">decides to pay </w:t>
      </w:r>
      <w:r w:rsidR="00DD6591" w:rsidRPr="008D208D">
        <w:t>its</w:t>
      </w:r>
      <w:r w:rsidRPr="008D208D">
        <w:t xml:space="preserve"> 2018 provisional tax using the standard method.  This will require it to pay three instalments of $91,000</w:t>
      </w:r>
      <w:r w:rsidR="008E04DC" w:rsidRPr="008D208D">
        <w:t>,</w:t>
      </w:r>
      <w:r w:rsidRPr="008D208D">
        <w:t xml:space="preserve"> which </w:t>
      </w:r>
      <w:r w:rsidR="00DD6591" w:rsidRPr="008D208D">
        <w:t>it does</w:t>
      </w:r>
      <w:r w:rsidRPr="008D208D">
        <w:t xml:space="preserve"> on the respective dates.</w:t>
      </w:r>
    </w:p>
    <w:p w:rsidR="002F5E10" w:rsidRPr="008D208D" w:rsidRDefault="002F5E10" w:rsidP="002F5E10">
      <w:pPr>
        <w:pStyle w:val="Exampletext"/>
        <w:pBdr>
          <w:top w:val="single" w:sz="4" w:space="10" w:color="auto"/>
          <w:left w:val="single" w:sz="4" w:space="10" w:color="auto"/>
          <w:bottom w:val="single" w:sz="4" w:space="10" w:color="auto"/>
          <w:right w:val="single" w:sz="4" w:space="10" w:color="auto"/>
        </w:pBdr>
      </w:pPr>
      <w:r w:rsidRPr="008D208D">
        <w:t>Because of ideal wool</w:t>
      </w:r>
      <w:r w:rsidR="009A23DC" w:rsidRPr="008D208D">
        <w:t>-</w:t>
      </w:r>
      <w:r w:rsidRPr="008D208D">
        <w:t>growing conditions</w:t>
      </w:r>
      <w:r w:rsidR="009A23DC" w:rsidRPr="008D208D">
        <w:t>,</w:t>
      </w:r>
      <w:r w:rsidRPr="008D208D">
        <w:t xml:space="preserve"> Wooley has a standout 2018 year and at the end of the year Wooley calculates </w:t>
      </w:r>
      <w:r w:rsidR="006A5640" w:rsidRPr="008D208D">
        <w:t>its</w:t>
      </w:r>
      <w:r w:rsidRPr="008D208D">
        <w:t xml:space="preserve"> residual income tax as $390,000.  This means that Wooley should have paid instalments of $130,000.  Wooley will be charged </w:t>
      </w:r>
      <w:r w:rsidR="009A23DC" w:rsidRPr="008D208D">
        <w:t xml:space="preserve">UOMI </w:t>
      </w:r>
      <w:r w:rsidRPr="008D208D">
        <w:t>on the difference between the instalments calculated by reference to their residual income tax and what they paid</w:t>
      </w:r>
      <w:r w:rsidR="009A23DC" w:rsidRPr="008D208D">
        <w:t>,</w:t>
      </w:r>
      <w:r w:rsidRPr="008D208D">
        <w:t xml:space="preserve"> being $39,000 ($130,000</w:t>
      </w:r>
      <w:r w:rsidR="008942F0" w:rsidRPr="008D208D">
        <w:t xml:space="preserve"> </w:t>
      </w:r>
      <w:r w:rsidRPr="008D208D">
        <w:t>-</w:t>
      </w:r>
      <w:r w:rsidR="008942F0" w:rsidRPr="008D208D">
        <w:t xml:space="preserve"> </w:t>
      </w:r>
      <w:r w:rsidRPr="008D208D">
        <w:t xml:space="preserve">$91,000) for each instalment until the amount of the underlying tax and </w:t>
      </w:r>
      <w:r w:rsidR="009A23DC" w:rsidRPr="008D208D">
        <w:t xml:space="preserve">UOMI </w:t>
      </w:r>
      <w:r w:rsidR="00047BBF" w:rsidRPr="008D208D">
        <w:t>is paid.</w:t>
      </w:r>
    </w:p>
    <w:p w:rsidR="002F5E10" w:rsidRPr="008D208D" w:rsidRDefault="002F5E10" w:rsidP="002F5E10"/>
    <w:p w:rsidR="002F5E10" w:rsidRPr="008D208D" w:rsidRDefault="009A23DC" w:rsidP="002F5E10">
      <w:r w:rsidRPr="008D208D">
        <w:t>N</w:t>
      </w:r>
      <w:r w:rsidR="002F5E10" w:rsidRPr="008D208D">
        <w:t xml:space="preserve">ew section 120KBB </w:t>
      </w:r>
      <w:r w:rsidRPr="008D208D">
        <w:t>of</w:t>
      </w:r>
      <w:r w:rsidR="002F5E10" w:rsidRPr="008D208D">
        <w:t xml:space="preserve"> the Tax Administration Act 1994 </w:t>
      </w:r>
      <w:r w:rsidRPr="008D208D">
        <w:t>provides</w:t>
      </w:r>
      <w:r w:rsidR="002F5E10" w:rsidRPr="008D208D">
        <w:t xml:space="preserve"> a new method for </w:t>
      </w:r>
      <w:r w:rsidR="00081B7F" w:rsidRPr="008D208D">
        <w:t xml:space="preserve">applying </w:t>
      </w:r>
      <w:r w:rsidR="002F5E10" w:rsidRPr="008D208D">
        <w:t>use of money interest for most standard method and some estimation method provisional taxpayers.</w:t>
      </w:r>
    </w:p>
    <w:p w:rsidR="002F5E10" w:rsidRPr="008D208D" w:rsidRDefault="002F5E10" w:rsidP="002F5E10"/>
    <w:p w:rsidR="002F5E10" w:rsidRPr="008D208D" w:rsidRDefault="002F5E10" w:rsidP="002F5E10">
      <w:r w:rsidRPr="008D208D">
        <w:t>The effect of the changes is that whe</w:t>
      </w:r>
      <w:r w:rsidR="00520D8D" w:rsidRPr="008D208D">
        <w:t>n</w:t>
      </w:r>
      <w:r w:rsidRPr="008D208D">
        <w:t xml:space="preserve"> a taxpayer pays the required instalments of provisional tax (excluding the final instalment) based on the standard </w:t>
      </w:r>
      <w:r w:rsidR="00520D8D" w:rsidRPr="008D208D">
        <w:t>method</w:t>
      </w:r>
      <w:r w:rsidRPr="008D208D">
        <w:t xml:space="preserve"> amount</w:t>
      </w:r>
      <w:r w:rsidR="00520D8D" w:rsidRPr="008D208D">
        <w:t>,</w:t>
      </w:r>
      <w:r w:rsidRPr="008D208D">
        <w:t xml:space="preserve"> no </w:t>
      </w:r>
      <w:r w:rsidR="00520D8D" w:rsidRPr="008D208D">
        <w:t xml:space="preserve">UOMI </w:t>
      </w:r>
      <w:r w:rsidRPr="008D208D">
        <w:t>will apply to any over</w:t>
      </w:r>
      <w:r w:rsidR="00520D8D" w:rsidRPr="008D208D">
        <w:t>-</w:t>
      </w:r>
      <w:r w:rsidRPr="008D208D">
        <w:t xml:space="preserve"> or underpayment of tax until the due date for the final instalment.</w:t>
      </w:r>
    </w:p>
    <w:p w:rsidR="002F5E10" w:rsidRPr="008D208D" w:rsidRDefault="002F5E10" w:rsidP="002F5E10"/>
    <w:p w:rsidR="00BE76A2" w:rsidRPr="008D208D" w:rsidRDefault="00BE76A2" w:rsidP="002F5E10"/>
    <w:p w:rsidR="002F5E10" w:rsidRPr="008D208D" w:rsidRDefault="002F5E10" w:rsidP="006C05F2">
      <w:pPr>
        <w:pStyle w:val="Exampletext"/>
        <w:pBdr>
          <w:top w:val="single" w:sz="4" w:space="10" w:color="auto"/>
          <w:left w:val="single" w:sz="4" w:space="10" w:color="auto"/>
          <w:bottom w:val="single" w:sz="4" w:space="10" w:color="auto"/>
          <w:right w:val="single" w:sz="4" w:space="10" w:color="auto"/>
        </w:pBdr>
        <w:spacing w:after="100"/>
        <w:rPr>
          <w:b/>
        </w:rPr>
      </w:pPr>
      <w:r w:rsidRPr="008D208D">
        <w:rPr>
          <w:b/>
        </w:rPr>
        <w:t>Example</w:t>
      </w:r>
      <w:r w:rsidR="00BC2C04" w:rsidRPr="008D208D">
        <w:rPr>
          <w:b/>
        </w:rPr>
        <w:t xml:space="preserve"> 2</w:t>
      </w:r>
    </w:p>
    <w:p w:rsidR="002F5E10" w:rsidRPr="008D208D" w:rsidRDefault="002F5E10" w:rsidP="006C05F2">
      <w:pPr>
        <w:pStyle w:val="Exampletext"/>
        <w:pBdr>
          <w:top w:val="single" w:sz="4" w:space="10" w:color="auto"/>
          <w:left w:val="single" w:sz="4" w:space="10" w:color="auto"/>
          <w:bottom w:val="single" w:sz="4" w:space="10" w:color="auto"/>
          <w:right w:val="single" w:sz="4" w:space="10" w:color="auto"/>
        </w:pBdr>
        <w:spacing w:after="100"/>
      </w:pPr>
      <w:r w:rsidRPr="008D208D">
        <w:t xml:space="preserve">Assuming the same facts for Wooley above, the new rules in section 120KBB will apply to Wooley because </w:t>
      </w:r>
      <w:r w:rsidR="00520D8D" w:rsidRPr="008D208D">
        <w:t>it</w:t>
      </w:r>
      <w:r w:rsidRPr="008D208D">
        <w:t xml:space="preserve"> paid </w:t>
      </w:r>
      <w:r w:rsidR="00520D8D" w:rsidRPr="008D208D">
        <w:t>its</w:t>
      </w:r>
      <w:r w:rsidRPr="008D208D">
        <w:t xml:space="preserve"> first two instalments based on the standard method on time</w:t>
      </w:r>
      <w:r w:rsidR="00520D8D" w:rsidRPr="008D208D">
        <w:t>,</w:t>
      </w:r>
      <w:r w:rsidRPr="008D208D">
        <w:t xml:space="preserve"> and assuming all the other requirements of section 120KBB are met</w:t>
      </w:r>
      <w:r w:rsidR="00520D8D" w:rsidRPr="008D208D">
        <w:t>,</w:t>
      </w:r>
      <w:r w:rsidRPr="008D208D">
        <w:t xml:space="preserve"> </w:t>
      </w:r>
      <w:r w:rsidR="00520D8D" w:rsidRPr="008D208D">
        <w:t xml:space="preserve">UOMI </w:t>
      </w:r>
      <w:r w:rsidRPr="008D208D">
        <w:t xml:space="preserve">will still apply to Wooley because </w:t>
      </w:r>
      <w:r w:rsidR="00520D8D" w:rsidRPr="008D208D">
        <w:t>it has</w:t>
      </w:r>
      <w:r w:rsidRPr="008D208D">
        <w:t xml:space="preserve"> underpaid </w:t>
      </w:r>
      <w:r w:rsidR="00520D8D" w:rsidRPr="008D208D">
        <w:t>its</w:t>
      </w:r>
      <w:r w:rsidRPr="008D208D">
        <w:t xml:space="preserve"> tax at the final instalment date</w:t>
      </w:r>
      <w:r w:rsidR="00520D8D" w:rsidRPr="008D208D">
        <w:t xml:space="preserve">. </w:t>
      </w:r>
      <w:r w:rsidRPr="008D208D">
        <w:t xml:space="preserve"> </w:t>
      </w:r>
      <w:r w:rsidR="00520D8D" w:rsidRPr="008D208D">
        <w:t>H</w:t>
      </w:r>
      <w:r w:rsidRPr="008D208D">
        <w:t xml:space="preserve">owever, it will only apply from that date on the difference between </w:t>
      </w:r>
      <w:r w:rsidR="00520D8D" w:rsidRPr="008D208D">
        <w:t>Wooley’s</w:t>
      </w:r>
      <w:r w:rsidRPr="008D208D">
        <w:t xml:space="preserve"> residual income tax for the year and the amount paid to the final instalment date.</w:t>
      </w:r>
    </w:p>
    <w:p w:rsidR="002F5E10" w:rsidRPr="008D208D" w:rsidRDefault="002F5E10" w:rsidP="002F5E10">
      <w:pPr>
        <w:pStyle w:val="Exampletext"/>
        <w:pBdr>
          <w:top w:val="single" w:sz="4" w:space="10" w:color="auto"/>
          <w:left w:val="single" w:sz="4" w:space="10" w:color="auto"/>
          <w:bottom w:val="single" w:sz="4" w:space="10" w:color="auto"/>
          <w:right w:val="single" w:sz="4" w:space="10" w:color="auto"/>
        </w:pBdr>
      </w:pPr>
      <w:r w:rsidRPr="008D208D">
        <w:t xml:space="preserve">This means </w:t>
      </w:r>
      <w:r w:rsidR="006D5DE0" w:rsidRPr="008D208D">
        <w:t xml:space="preserve">UOMI </w:t>
      </w:r>
      <w:r w:rsidRPr="008D208D">
        <w:t>will be charged on the difference between $390,000 and $273,000</w:t>
      </w:r>
      <w:r w:rsidR="006D5DE0" w:rsidRPr="008D208D">
        <w:t>,</w:t>
      </w:r>
      <w:r w:rsidRPr="008D208D">
        <w:t xml:space="preserve"> being $117,000</w:t>
      </w:r>
      <w:r w:rsidR="006D5DE0" w:rsidRPr="008D208D">
        <w:t>,</w:t>
      </w:r>
      <w:r w:rsidRPr="008D208D">
        <w:t xml:space="preserve"> </w:t>
      </w:r>
      <w:r w:rsidR="00217584" w:rsidRPr="008D208D">
        <w:t xml:space="preserve">from the final instalment date </w:t>
      </w:r>
      <w:r w:rsidRPr="008D208D">
        <w:t xml:space="preserve">until the underlying tax and applicable </w:t>
      </w:r>
      <w:r w:rsidR="006D5DE0" w:rsidRPr="008D208D">
        <w:t xml:space="preserve">UOMI </w:t>
      </w:r>
      <w:r w:rsidRPr="008D208D">
        <w:t>is paid</w:t>
      </w:r>
      <w:r w:rsidR="00047BBF" w:rsidRPr="008D208D">
        <w:t>.</w:t>
      </w:r>
    </w:p>
    <w:p w:rsidR="002F5E10" w:rsidRPr="008D208D" w:rsidRDefault="002F5E10" w:rsidP="002F5E10"/>
    <w:p w:rsidR="00BE76A2" w:rsidRPr="008D208D" w:rsidRDefault="00BE76A2" w:rsidP="002F5E10"/>
    <w:p w:rsidR="002F5E10" w:rsidRPr="008D208D" w:rsidRDefault="002F5E10" w:rsidP="002F5E10">
      <w:r w:rsidRPr="008D208D">
        <w:t>This mean</w:t>
      </w:r>
      <w:r w:rsidR="000A1E39" w:rsidRPr="008D208D">
        <w:t>s</w:t>
      </w:r>
      <w:r w:rsidRPr="008D208D">
        <w:t xml:space="preserve"> that a taxpayer who makes all their instalments (other than the final instalment) </w:t>
      </w:r>
      <w:r w:rsidR="000A1E39" w:rsidRPr="008D208D">
        <w:t>using</w:t>
      </w:r>
      <w:r w:rsidRPr="008D208D">
        <w:t xml:space="preserve"> the standard method and makes a final instalment which covers their residual income tax for the year will pay no </w:t>
      </w:r>
      <w:r w:rsidR="000A1E39" w:rsidRPr="008D208D">
        <w:t xml:space="preserve">UOMI </w:t>
      </w:r>
      <w:r w:rsidRPr="008D208D">
        <w:t xml:space="preserve">for the year.  Given the final instalment for provisional tax is some time after balance date it should be possible for taxpayers to determine with reasonable accuracy their tax liability for the year and avoid the application of </w:t>
      </w:r>
      <w:r w:rsidR="000A1E39" w:rsidRPr="008D208D">
        <w:t xml:space="preserve">UOMI </w:t>
      </w:r>
      <w:r w:rsidRPr="008D208D">
        <w:t>by topping up any shortfall in tax paid by the final instalment.</w:t>
      </w:r>
    </w:p>
    <w:p w:rsidR="002F5E10" w:rsidRPr="008D208D" w:rsidRDefault="002F5E10" w:rsidP="002F5E10"/>
    <w:p w:rsidR="00BE76A2" w:rsidRPr="008D208D" w:rsidRDefault="00BE76A2" w:rsidP="002F5E10"/>
    <w:p w:rsidR="002F5E10" w:rsidRPr="008D208D" w:rsidRDefault="002F5E10" w:rsidP="006C05F2">
      <w:pPr>
        <w:pStyle w:val="Exampletext"/>
        <w:pBdr>
          <w:top w:val="single" w:sz="4" w:space="10" w:color="auto"/>
          <w:left w:val="single" w:sz="4" w:space="10" w:color="auto"/>
          <w:bottom w:val="single" w:sz="4" w:space="10" w:color="auto"/>
          <w:right w:val="single" w:sz="4" w:space="10" w:color="auto"/>
        </w:pBdr>
        <w:spacing w:after="100"/>
        <w:rPr>
          <w:b/>
        </w:rPr>
      </w:pPr>
      <w:r w:rsidRPr="008D208D">
        <w:rPr>
          <w:b/>
        </w:rPr>
        <w:t>Example</w:t>
      </w:r>
      <w:r w:rsidR="00BC2C04" w:rsidRPr="008D208D">
        <w:rPr>
          <w:b/>
        </w:rPr>
        <w:t xml:space="preserve"> 3</w:t>
      </w:r>
    </w:p>
    <w:p w:rsidR="002F5E10" w:rsidRPr="008D208D" w:rsidRDefault="002F5E10" w:rsidP="006C05F2">
      <w:pPr>
        <w:pStyle w:val="Exampletext"/>
        <w:pBdr>
          <w:top w:val="single" w:sz="4" w:space="10" w:color="auto"/>
          <w:left w:val="single" w:sz="4" w:space="10" w:color="auto"/>
          <w:bottom w:val="single" w:sz="4" w:space="10" w:color="auto"/>
          <w:right w:val="single" w:sz="4" w:space="10" w:color="auto"/>
        </w:pBdr>
        <w:spacing w:after="100"/>
      </w:pPr>
      <w:r w:rsidRPr="008D208D">
        <w:t>Wooley again use</w:t>
      </w:r>
      <w:r w:rsidR="00062999" w:rsidRPr="008D208D">
        <w:t>s</w:t>
      </w:r>
      <w:r w:rsidRPr="008D208D">
        <w:t xml:space="preserve"> the standard method in the 2019 income year and under that method is required to make 3 instalments of $136,500 ((105</w:t>
      </w:r>
      <w:r w:rsidR="000A1E39" w:rsidRPr="008D208D">
        <w:t xml:space="preserve"> percent</w:t>
      </w:r>
      <w:r w:rsidRPr="008D208D">
        <w:t xml:space="preserve"> of $390,000)/3).  It makes the first two instalments on time but just before the due date for the third instalment Wooley calculates that </w:t>
      </w:r>
      <w:r w:rsidR="000A1E39" w:rsidRPr="008D208D">
        <w:t>it has</w:t>
      </w:r>
      <w:r w:rsidRPr="008D208D">
        <w:t xml:space="preserve"> had another spectacular year and </w:t>
      </w:r>
      <w:r w:rsidR="000A1E39" w:rsidRPr="008D208D">
        <w:t>its</w:t>
      </w:r>
      <w:r w:rsidRPr="008D208D">
        <w:t xml:space="preserve"> residual tax liability for the year is actually $650,000.  This mean</w:t>
      </w:r>
      <w:r w:rsidR="009707AC" w:rsidRPr="008D208D">
        <w:t>s</w:t>
      </w:r>
      <w:r w:rsidRPr="008D208D">
        <w:t xml:space="preserve"> </w:t>
      </w:r>
      <w:r w:rsidR="000A1E39" w:rsidRPr="008D208D">
        <w:t>it</w:t>
      </w:r>
      <w:r w:rsidRPr="008D208D">
        <w:t xml:space="preserve"> should have made instalments of $216,667.  Wooley decides not</w:t>
      </w:r>
      <w:r w:rsidR="000A1E39" w:rsidRPr="008D208D">
        <w:t xml:space="preserve"> to</w:t>
      </w:r>
      <w:r w:rsidRPr="008D208D">
        <w:t xml:space="preserve"> pay the final instalment based on the standard </w:t>
      </w:r>
      <w:r w:rsidR="003D39F8" w:rsidRPr="008D208D">
        <w:t>method</w:t>
      </w:r>
      <w:r w:rsidRPr="008D208D">
        <w:t xml:space="preserve"> amount but rather makes a payment based on </w:t>
      </w:r>
      <w:r w:rsidR="003D39F8" w:rsidRPr="008D208D">
        <w:t>its</w:t>
      </w:r>
      <w:r w:rsidRPr="008D208D">
        <w:t xml:space="preserve"> estimate of </w:t>
      </w:r>
      <w:r w:rsidR="003D39F8" w:rsidRPr="008D208D">
        <w:t>its</w:t>
      </w:r>
      <w:r w:rsidRPr="008D208D">
        <w:t xml:space="preserve"> final tax liability for the year.  </w:t>
      </w:r>
      <w:r w:rsidR="003D39F8" w:rsidRPr="008D208D">
        <w:t>Wooley</w:t>
      </w:r>
      <w:r w:rsidRPr="008D208D">
        <w:t xml:space="preserve"> make</w:t>
      </w:r>
      <w:r w:rsidR="003D39F8" w:rsidRPr="008D208D">
        <w:t>s</w:t>
      </w:r>
      <w:r w:rsidRPr="008D208D">
        <w:t xml:space="preserve"> a payment of $377,000 on the due date for the final instalment.</w:t>
      </w:r>
    </w:p>
    <w:p w:rsidR="002F5E10" w:rsidRPr="008D208D" w:rsidRDefault="002F5E10" w:rsidP="002F5E10">
      <w:pPr>
        <w:pStyle w:val="Exampletext"/>
        <w:pBdr>
          <w:top w:val="single" w:sz="4" w:space="10" w:color="auto"/>
          <w:left w:val="single" w:sz="4" w:space="10" w:color="auto"/>
          <w:bottom w:val="single" w:sz="4" w:space="10" w:color="auto"/>
          <w:right w:val="single" w:sz="4" w:space="10" w:color="auto"/>
        </w:pBdr>
      </w:pPr>
      <w:r w:rsidRPr="008D208D">
        <w:t>When Wooley completes its tax return for the 2019 year it calculates its final tax liability for the year as $655,000.  As Wooley has underpaid its tax for the 2019 income year it will be charged</w:t>
      </w:r>
      <w:r w:rsidR="001569F4" w:rsidRPr="008D208D">
        <w:t xml:space="preserve"> UOMI</w:t>
      </w:r>
      <w:r w:rsidRPr="008D208D">
        <w:t xml:space="preserve">.  Because Wooley has made all </w:t>
      </w:r>
      <w:r w:rsidR="001569F4" w:rsidRPr="008D208D">
        <w:t>its</w:t>
      </w:r>
      <w:r w:rsidRPr="008D208D">
        <w:t xml:space="preserve"> instalments (other than the final instalment) using the standard method</w:t>
      </w:r>
      <w:r w:rsidR="001569F4" w:rsidRPr="008D208D">
        <w:t>,</w:t>
      </w:r>
      <w:r w:rsidRPr="008D208D">
        <w:t xml:space="preserve"> and assuming all the other requirements of section 120KBB are complied with</w:t>
      </w:r>
      <w:r w:rsidR="001569F4" w:rsidRPr="008D208D">
        <w:t>,</w:t>
      </w:r>
      <w:r w:rsidRPr="008D208D">
        <w:t xml:space="preserve"> Wooley will only be charged </w:t>
      </w:r>
      <w:r w:rsidR="004F2E3B" w:rsidRPr="008D208D">
        <w:t xml:space="preserve">UOMI </w:t>
      </w:r>
      <w:r w:rsidRPr="008D208D">
        <w:t xml:space="preserve">from the date of the final instalment until the tax and any </w:t>
      </w:r>
      <w:r w:rsidR="004F2E3B" w:rsidRPr="008D208D">
        <w:t xml:space="preserve">UOMI </w:t>
      </w:r>
      <w:r w:rsidRPr="008D208D">
        <w:t xml:space="preserve">is paid on the difference between </w:t>
      </w:r>
      <w:r w:rsidR="004F2E3B" w:rsidRPr="008D208D">
        <w:t>Wooley’s</w:t>
      </w:r>
      <w:r w:rsidRPr="008D208D">
        <w:t xml:space="preserve"> residual income tax and the amount paid</w:t>
      </w:r>
      <w:r w:rsidR="004F2E3B" w:rsidRPr="008D208D">
        <w:t xml:space="preserve">: </w:t>
      </w:r>
      <w:r w:rsidRPr="008D208D">
        <w:t xml:space="preserve"> $5,000 ($655,000</w:t>
      </w:r>
      <w:r w:rsidR="008942F0" w:rsidRPr="008D208D">
        <w:t xml:space="preserve"> </w:t>
      </w:r>
      <w:r w:rsidRPr="008D208D">
        <w:t>-</w:t>
      </w:r>
      <w:r w:rsidR="008942F0" w:rsidRPr="008D208D">
        <w:t xml:space="preserve"> </w:t>
      </w:r>
      <w:r w:rsidRPr="008D208D">
        <w:t>600,000).</w:t>
      </w:r>
    </w:p>
    <w:p w:rsidR="002F5E10" w:rsidRPr="008D208D" w:rsidRDefault="002F5E10" w:rsidP="002F5E10"/>
    <w:p w:rsidR="00BE76A2" w:rsidRPr="008D208D" w:rsidRDefault="00BE76A2" w:rsidP="002F5E10"/>
    <w:p w:rsidR="002F5E10" w:rsidRPr="008D208D" w:rsidRDefault="00BE76A2" w:rsidP="00BE76A2">
      <w:pPr>
        <w:pStyle w:val="Heading3"/>
      </w:pPr>
      <w:r w:rsidRPr="008D208D">
        <w:t>Who can use the new rules</w:t>
      </w:r>
      <w:r w:rsidR="002F5E10" w:rsidRPr="008D208D">
        <w:t>?</w:t>
      </w:r>
    </w:p>
    <w:p w:rsidR="002F5E10" w:rsidRPr="008D208D" w:rsidRDefault="002F5E10" w:rsidP="002F5E10"/>
    <w:p w:rsidR="002F5E10" w:rsidRPr="008D208D" w:rsidRDefault="004F2E3B" w:rsidP="002F5E10">
      <w:r w:rsidRPr="008D208D">
        <w:t>A</w:t>
      </w:r>
      <w:r w:rsidR="002F5E10" w:rsidRPr="008D208D">
        <w:t xml:space="preserve"> taxpayer must be an </w:t>
      </w:r>
      <w:r w:rsidR="002F5E10" w:rsidRPr="008D208D">
        <w:rPr>
          <w:i/>
        </w:rPr>
        <w:t>interest concession provisional taxpayer</w:t>
      </w:r>
      <w:r w:rsidR="002F5E10" w:rsidRPr="008D208D">
        <w:t xml:space="preserve"> </w:t>
      </w:r>
      <w:r w:rsidRPr="008D208D">
        <w:t>to use the new rules.  T</w:t>
      </w:r>
      <w:r w:rsidR="002F5E10" w:rsidRPr="008D208D">
        <w:t>his means they must be liable to pay provisional tax and:</w:t>
      </w:r>
    </w:p>
    <w:p w:rsidR="002F5E10" w:rsidRPr="008D208D" w:rsidRDefault="002F5E10" w:rsidP="002F5E10"/>
    <w:p w:rsidR="002F5E10" w:rsidRPr="008D208D" w:rsidRDefault="00594073" w:rsidP="00BE76A2">
      <w:pPr>
        <w:pStyle w:val="Bullets"/>
      </w:pPr>
      <w:r w:rsidRPr="008D208D">
        <w:t>u</w:t>
      </w:r>
      <w:r w:rsidR="002F5E10" w:rsidRPr="008D208D">
        <w:t xml:space="preserve">se one of the standard methods described in section RC 5(2) or (3) of the Income Tax Act 2007 for the tax year (commonly known as the </w:t>
      </w:r>
      <w:r w:rsidRPr="008D208D">
        <w:t>“</w:t>
      </w:r>
      <w:r w:rsidR="002F5E10" w:rsidRPr="008D208D">
        <w:t>uplift</w:t>
      </w:r>
      <w:r w:rsidRPr="008D208D">
        <w:t>”</w:t>
      </w:r>
      <w:r w:rsidR="002F5E10" w:rsidRPr="008D208D">
        <w:t xml:space="preserve"> method); or</w:t>
      </w:r>
    </w:p>
    <w:p w:rsidR="002F5E10" w:rsidRPr="008D208D" w:rsidRDefault="002F5E10" w:rsidP="00BE76A2">
      <w:pPr>
        <w:pStyle w:val="Bullets"/>
        <w:spacing w:after="0"/>
      </w:pPr>
      <w:proofErr w:type="gramStart"/>
      <w:r w:rsidRPr="008D208D">
        <w:t>use</w:t>
      </w:r>
      <w:proofErr w:type="gramEnd"/>
      <w:r w:rsidRPr="008D208D">
        <w:t xml:space="preserve"> the estimation method described in section RC 5(5) but their payments of provisional tax on or before the instalment dates for the tax year other than the final instalment are not </w:t>
      </w:r>
      <w:r w:rsidR="000A6824" w:rsidRPr="008D208D">
        <w:t xml:space="preserve">made </w:t>
      </w:r>
      <w:r w:rsidRPr="008D208D">
        <w:t>under the estimation method and are equal to the amounts under the standard method.</w:t>
      </w:r>
    </w:p>
    <w:p w:rsidR="002F5E10" w:rsidRPr="008D208D" w:rsidRDefault="002F5E10" w:rsidP="002F5E10"/>
    <w:p w:rsidR="002F5E10" w:rsidRPr="008D208D" w:rsidRDefault="002F5E10" w:rsidP="002F5E10">
      <w:r w:rsidRPr="008D208D">
        <w:t>Essentially this means the person either uses the standard method for all of their instalments or the standard method for all instalments except the final one</w:t>
      </w:r>
      <w:r w:rsidR="000A6824" w:rsidRPr="008D208D">
        <w:t>,</w:t>
      </w:r>
      <w:r w:rsidRPr="008D208D">
        <w:t xml:space="preserve"> which they estimate.  This allows a person to estimate an amount higher or lower than the standard uplift at the final instalment date to account for actual results during the year.  Given the final instalment is after the end of the income year</w:t>
      </w:r>
      <w:r w:rsidR="000A6824" w:rsidRPr="008D208D">
        <w:t>,</w:t>
      </w:r>
      <w:r w:rsidRPr="008D208D">
        <w:t xml:space="preserve"> a reasonable level of accuracy should be able to be applied to this final instalment to minimise any</w:t>
      </w:r>
      <w:r w:rsidR="00F33638" w:rsidRPr="008D208D">
        <w:t xml:space="preserve"> </w:t>
      </w:r>
      <w:r w:rsidR="000A6824" w:rsidRPr="008D208D">
        <w:t>UOMI</w:t>
      </w:r>
      <w:r w:rsidRPr="008D208D">
        <w:t>.</w:t>
      </w:r>
    </w:p>
    <w:p w:rsidR="002F5E10" w:rsidRPr="008D208D" w:rsidRDefault="002F5E10" w:rsidP="002F5E10"/>
    <w:p w:rsidR="002F5E10" w:rsidRPr="008D208D" w:rsidRDefault="002F5E10" w:rsidP="002F5E10">
      <w:r w:rsidRPr="008D208D">
        <w:t>In addition, all provisional tax associates of the taxpayer must either be interest concession provisional taxpayers or use the GST ratio method for provisional tax</w:t>
      </w:r>
      <w:r w:rsidR="00571FA2" w:rsidRPr="008D208D">
        <w:t>,</w:t>
      </w:r>
      <w:r w:rsidRPr="008D208D">
        <w:t xml:space="preserve"> and there cannot be a provisional tax interest avoidance arrangement.  Both definitions are discussed below.</w:t>
      </w:r>
    </w:p>
    <w:p w:rsidR="002F5E10" w:rsidRPr="008D208D" w:rsidRDefault="002F5E10" w:rsidP="002F5E10"/>
    <w:p w:rsidR="002F5E10" w:rsidRPr="008D208D" w:rsidRDefault="002F5E10" w:rsidP="00483FFA">
      <w:pPr>
        <w:pStyle w:val="Heading4"/>
      </w:pPr>
      <w:r w:rsidRPr="008D208D">
        <w:t>What if a taxpayer does not pay the instalment due?</w:t>
      </w:r>
    </w:p>
    <w:p w:rsidR="002F5E10" w:rsidRPr="008D208D" w:rsidRDefault="002F5E10" w:rsidP="002F5E10"/>
    <w:p w:rsidR="002F5E10" w:rsidRPr="008D208D" w:rsidRDefault="00A044D7" w:rsidP="002F5E10">
      <w:r w:rsidRPr="008D208D">
        <w:t>If</w:t>
      </w:r>
      <w:r w:rsidR="002F5E10" w:rsidRPr="008D208D">
        <w:t xml:space="preserve"> a taxpayer does not pay the standard method instalments</w:t>
      </w:r>
      <w:r w:rsidRPr="008D208D">
        <w:t>,</w:t>
      </w:r>
      <w:r w:rsidR="002F5E10" w:rsidRPr="008D208D">
        <w:t xml:space="preserve"> </w:t>
      </w:r>
      <w:r w:rsidRPr="008D208D">
        <w:t xml:space="preserve">UOMI </w:t>
      </w:r>
      <w:r w:rsidR="002F5E10" w:rsidRPr="008D208D">
        <w:t xml:space="preserve">will apply from the applicable instalment date on the </w:t>
      </w:r>
      <w:r w:rsidR="002F5E10" w:rsidRPr="008D208D">
        <w:rPr>
          <w:i/>
        </w:rPr>
        <w:t>less</w:t>
      </w:r>
      <w:r w:rsidR="00081B7F" w:rsidRPr="008D208D">
        <w:rPr>
          <w:i/>
        </w:rPr>
        <w:t>e</w:t>
      </w:r>
      <w:r w:rsidR="002F5E10" w:rsidRPr="008D208D">
        <w:rPr>
          <w:i/>
        </w:rPr>
        <w:t>r</w:t>
      </w:r>
      <w:r w:rsidR="002F5E10" w:rsidRPr="008D208D">
        <w:t xml:space="preserve"> of:</w:t>
      </w:r>
    </w:p>
    <w:p w:rsidR="002F5E10" w:rsidRPr="008D208D" w:rsidRDefault="002F5E10" w:rsidP="002F5E10"/>
    <w:p w:rsidR="002F5E10" w:rsidRPr="008D208D" w:rsidRDefault="00A044D7" w:rsidP="00BE76A2">
      <w:pPr>
        <w:pStyle w:val="Bullets"/>
      </w:pPr>
      <w:r w:rsidRPr="008D208D">
        <w:t>o</w:t>
      </w:r>
      <w:r w:rsidR="002F5E10" w:rsidRPr="008D208D">
        <w:t>ne</w:t>
      </w:r>
      <w:r w:rsidRPr="008D208D">
        <w:t>-</w:t>
      </w:r>
      <w:r w:rsidR="002F5E10" w:rsidRPr="008D208D">
        <w:t>third</w:t>
      </w:r>
      <w:r w:rsidR="002F5E10" w:rsidRPr="008D208D">
        <w:rPr>
          <w:rStyle w:val="FootnoteReference"/>
        </w:rPr>
        <w:footnoteReference w:id="1"/>
      </w:r>
      <w:r w:rsidR="002F5E10" w:rsidRPr="008D208D">
        <w:t xml:space="preserve"> of the amount of residual income tax for th</w:t>
      </w:r>
      <w:r w:rsidR="00F302FB" w:rsidRPr="008D208D">
        <w:t>e year less the amount paid; or</w:t>
      </w:r>
    </w:p>
    <w:p w:rsidR="002F5E10" w:rsidRPr="008D208D" w:rsidRDefault="00A044D7" w:rsidP="00BE76A2">
      <w:pPr>
        <w:pStyle w:val="Bullets"/>
        <w:spacing w:after="0"/>
      </w:pPr>
      <w:proofErr w:type="gramStart"/>
      <w:r w:rsidRPr="008D208D">
        <w:t>t</w:t>
      </w:r>
      <w:r w:rsidR="002F5E10" w:rsidRPr="008D208D">
        <w:t>he</w:t>
      </w:r>
      <w:proofErr w:type="gramEnd"/>
      <w:r w:rsidR="002F5E10" w:rsidRPr="008D208D">
        <w:t xml:space="preserve"> standard method instalment amount for the relevant instalment</w:t>
      </w:r>
      <w:r w:rsidRPr="008D208D">
        <w:t>,</w:t>
      </w:r>
      <w:r w:rsidR="002F5E10" w:rsidRPr="008D208D">
        <w:t xml:space="preserve"> less the amount paid.</w:t>
      </w:r>
    </w:p>
    <w:p w:rsidR="002F5E10" w:rsidRPr="008D208D" w:rsidRDefault="002F5E10" w:rsidP="002F5E10"/>
    <w:p w:rsidR="002F5E10" w:rsidRPr="008D208D" w:rsidRDefault="002F5E10" w:rsidP="002F5E10">
      <w:r w:rsidRPr="008D208D">
        <w:t>This will also apply whe</w:t>
      </w:r>
      <w:r w:rsidR="00A044D7" w:rsidRPr="008D208D">
        <w:t>n</w:t>
      </w:r>
      <w:r w:rsidRPr="008D208D">
        <w:t xml:space="preserve"> a particular instalment is paid late.</w:t>
      </w:r>
    </w:p>
    <w:p w:rsidR="002F5E10" w:rsidRPr="008D208D" w:rsidRDefault="002F5E10" w:rsidP="002F5E10"/>
    <w:p w:rsidR="002F5E10" w:rsidRPr="008D208D" w:rsidRDefault="002F5E10" w:rsidP="002F5E10">
      <w:r w:rsidRPr="008D208D">
        <w:t>Th</w:t>
      </w:r>
      <w:r w:rsidR="00572248" w:rsidRPr="008D208D">
        <w:t>e</w:t>
      </w:r>
      <w:r w:rsidRPr="008D208D">
        <w:t xml:space="preserve"> rule also differs from the </w:t>
      </w:r>
      <w:r w:rsidR="00C2626E" w:rsidRPr="008D208D">
        <w:t>previous</w:t>
      </w:r>
      <w:r w:rsidRPr="008D208D">
        <w:t xml:space="preserve"> rule</w:t>
      </w:r>
      <w:r w:rsidR="00C2626E" w:rsidRPr="008D208D">
        <w:t>,</w:t>
      </w:r>
      <w:r w:rsidRPr="008D208D">
        <w:t xml:space="preserve"> which charge</w:t>
      </w:r>
      <w:r w:rsidR="00C2626E" w:rsidRPr="008D208D">
        <w:t>d</w:t>
      </w:r>
      <w:r w:rsidRPr="008D208D">
        <w:t xml:space="preserve"> </w:t>
      </w:r>
      <w:r w:rsidR="00C2626E" w:rsidRPr="008D208D">
        <w:t xml:space="preserve">UOMI </w:t>
      </w:r>
      <w:r w:rsidRPr="008D208D">
        <w:t>on the difference between residual income tax and the amount paid for a particular instalment date.</w:t>
      </w:r>
    </w:p>
    <w:p w:rsidR="002F5E10" w:rsidRPr="008D208D" w:rsidRDefault="002F5E10" w:rsidP="002F5E10"/>
    <w:p w:rsidR="00BE76A2" w:rsidRPr="008D208D" w:rsidRDefault="00BE76A2">
      <w:pPr>
        <w:jc w:val="left"/>
        <w:rPr>
          <w:b/>
          <w:sz w:val="20"/>
          <w:szCs w:val="24"/>
          <w:lang w:eastAsia="en-NZ"/>
        </w:rPr>
      </w:pPr>
    </w:p>
    <w:p w:rsidR="002F5E10" w:rsidRPr="008D208D" w:rsidRDefault="002F5E10" w:rsidP="006C05F2">
      <w:pPr>
        <w:pStyle w:val="Exampletext"/>
        <w:pBdr>
          <w:top w:val="single" w:sz="4" w:space="10" w:color="auto"/>
          <w:left w:val="single" w:sz="4" w:space="10" w:color="auto"/>
          <w:bottom w:val="single" w:sz="4" w:space="10" w:color="auto"/>
          <w:right w:val="single" w:sz="4" w:space="10" w:color="auto"/>
        </w:pBdr>
        <w:spacing w:after="100"/>
        <w:rPr>
          <w:b/>
        </w:rPr>
      </w:pPr>
      <w:r w:rsidRPr="008D208D">
        <w:rPr>
          <w:b/>
        </w:rPr>
        <w:t>Example</w:t>
      </w:r>
      <w:r w:rsidR="00BC2C04" w:rsidRPr="008D208D">
        <w:rPr>
          <w:b/>
        </w:rPr>
        <w:t xml:space="preserve"> 4</w:t>
      </w:r>
    </w:p>
    <w:p w:rsidR="00910A13" w:rsidRPr="008D208D" w:rsidRDefault="00081B7F" w:rsidP="006C05F2">
      <w:pPr>
        <w:pStyle w:val="Exampletext"/>
        <w:pBdr>
          <w:top w:val="single" w:sz="4" w:space="10" w:color="auto"/>
          <w:left w:val="single" w:sz="4" w:space="10" w:color="auto"/>
          <w:bottom w:val="single" w:sz="4" w:space="10" w:color="auto"/>
          <w:right w:val="single" w:sz="4" w:space="10" w:color="auto"/>
        </w:pBdr>
        <w:spacing w:after="100"/>
      </w:pPr>
      <w:r w:rsidRPr="008D208D">
        <w:t>Thomas Water Finers</w:t>
      </w:r>
      <w:r w:rsidR="002F5E10" w:rsidRPr="008D208D">
        <w:t xml:space="preserve"> Limited</w:t>
      </w:r>
      <w:r w:rsidRPr="008D208D">
        <w:t xml:space="preserve"> (TWFL)</w:t>
      </w:r>
      <w:r w:rsidR="002F5E10" w:rsidRPr="008D208D">
        <w:t xml:space="preserve"> is a consulting firm that provides consulting services to the agricultural sector in the use of beavers to assist in water irrigation for farmers in drought affected areas.  </w:t>
      </w:r>
      <w:r w:rsidRPr="008D208D">
        <w:t>TWFL</w:t>
      </w:r>
      <w:r w:rsidR="002F5E10" w:rsidRPr="008D208D">
        <w:t xml:space="preserve"> has a March balance date.  As beavers are not yet permitted into New Zealand</w:t>
      </w:r>
      <w:r w:rsidR="00572248" w:rsidRPr="008D208D">
        <w:t>,</w:t>
      </w:r>
      <w:r w:rsidR="002F5E10" w:rsidRPr="008D208D">
        <w:t xml:space="preserve"> a lot of </w:t>
      </w:r>
      <w:r w:rsidRPr="008D208D">
        <w:t>TWFL’s</w:t>
      </w:r>
      <w:r w:rsidR="002F5E10" w:rsidRPr="008D208D">
        <w:t xml:space="preserve"> time is spent lobbying the Government to permit the introduction of beavers to New Zealand.  Once the Government permits introduction of the rodents to New Zealand </w:t>
      </w:r>
      <w:r w:rsidRPr="008D208D">
        <w:t>TWFL</w:t>
      </w:r>
      <w:r w:rsidR="002F5E10" w:rsidRPr="008D208D">
        <w:t xml:space="preserve"> expects its income earning to skyrocket as farmers see the benefits that using beavers as natural irrigators can have</w:t>
      </w:r>
      <w:r w:rsidR="00572248" w:rsidRPr="008D208D">
        <w:t>, based on</w:t>
      </w:r>
      <w:r w:rsidR="002F5E10" w:rsidRPr="008D208D">
        <w:t xml:space="preserve"> experience in Nevada where beavers are used to provide </w:t>
      </w:r>
      <w:r w:rsidR="00910A13" w:rsidRPr="008D208D">
        <w:t>natural irrigation.</w:t>
      </w:r>
    </w:p>
    <w:p w:rsidR="00910A13" w:rsidRPr="008D208D" w:rsidRDefault="002F5E10" w:rsidP="006C05F2">
      <w:pPr>
        <w:pStyle w:val="Exampletext"/>
        <w:pBdr>
          <w:top w:val="single" w:sz="4" w:space="10" w:color="auto"/>
          <w:left w:val="single" w:sz="4" w:space="10" w:color="auto"/>
          <w:bottom w:val="single" w:sz="4" w:space="10" w:color="auto"/>
          <w:right w:val="single" w:sz="4" w:space="10" w:color="auto"/>
        </w:pBdr>
        <w:spacing w:after="100"/>
      </w:pPr>
      <w:r w:rsidRPr="008D208D">
        <w:t xml:space="preserve">In the 2018 income year </w:t>
      </w:r>
      <w:r w:rsidR="00081B7F" w:rsidRPr="008D208D">
        <w:t>TWFL</w:t>
      </w:r>
      <w:r w:rsidRPr="008D208D">
        <w:t xml:space="preserve"> had residual income tax liability of $55,000.  Because of the uncertainty of the future of this innovative irrigation method</w:t>
      </w:r>
      <w:r w:rsidR="00D82320" w:rsidRPr="008D208D">
        <w:t>,</w:t>
      </w:r>
      <w:r w:rsidRPr="008D208D">
        <w:t xml:space="preserve"> </w:t>
      </w:r>
      <w:r w:rsidR="00081B7F" w:rsidRPr="008D208D">
        <w:t>TWFL</w:t>
      </w:r>
      <w:r w:rsidRPr="008D208D">
        <w:t xml:space="preserve"> decides to use the standard method to pay provisional tax for the 2019 income year.  It calculates it is required to make </w:t>
      </w:r>
      <w:r w:rsidR="00AC7AC1" w:rsidRPr="008D208D">
        <w:t>three</w:t>
      </w:r>
      <w:r w:rsidRPr="008D208D">
        <w:t xml:space="preserve"> instalments </w:t>
      </w:r>
      <w:r w:rsidR="00047BBF" w:rsidRPr="008D208D">
        <w:t xml:space="preserve">of $19,250 ((105%x$55,000)/3).  </w:t>
      </w:r>
      <w:r w:rsidR="00081B7F" w:rsidRPr="008D208D">
        <w:t>TWFL</w:t>
      </w:r>
      <w:r w:rsidRPr="008D208D">
        <w:t xml:space="preserve"> pays its first instalment on time but between the first and second instalment </w:t>
      </w:r>
      <w:r w:rsidR="00217584" w:rsidRPr="008D208D">
        <w:t xml:space="preserve">dates </w:t>
      </w:r>
      <w:r w:rsidRPr="008D208D">
        <w:t xml:space="preserve">the Government approves the introduction of beavers for irrigation schemes in New Zealand and </w:t>
      </w:r>
      <w:r w:rsidR="00081B7F" w:rsidRPr="008D208D">
        <w:t>TWFL’s</w:t>
      </w:r>
      <w:r w:rsidRPr="008D208D">
        <w:t xml:space="preserve"> workload increases dramatically.  Because of this </w:t>
      </w:r>
      <w:r w:rsidR="00081B7F" w:rsidRPr="008D208D">
        <w:t>TWFL</w:t>
      </w:r>
      <w:r w:rsidRPr="008D208D">
        <w:t xml:space="preserve"> forget to make their sec</w:t>
      </w:r>
      <w:r w:rsidR="00910A13" w:rsidRPr="008D208D">
        <w:t>ond provisional tax instalment.</w:t>
      </w:r>
    </w:p>
    <w:p w:rsidR="00910A13" w:rsidRPr="008D208D" w:rsidRDefault="002F5E10" w:rsidP="006C05F2">
      <w:pPr>
        <w:pStyle w:val="Exampletext"/>
        <w:pBdr>
          <w:top w:val="single" w:sz="4" w:space="10" w:color="auto"/>
          <w:left w:val="single" w:sz="4" w:space="10" w:color="auto"/>
          <w:bottom w:val="single" w:sz="4" w:space="10" w:color="auto"/>
          <w:right w:val="single" w:sz="4" w:space="10" w:color="auto"/>
        </w:pBdr>
        <w:spacing w:after="100"/>
      </w:pPr>
      <w:r w:rsidRPr="008D208D">
        <w:t>At the date of the third instalment</w:t>
      </w:r>
      <w:r w:rsidR="007911DE" w:rsidRPr="008D208D">
        <w:t>,</w:t>
      </w:r>
      <w:r w:rsidRPr="008D208D">
        <w:t xml:space="preserve"> </w:t>
      </w:r>
      <w:r w:rsidR="00081B7F" w:rsidRPr="008D208D">
        <w:t>TWFL</w:t>
      </w:r>
      <w:r w:rsidRPr="008D208D">
        <w:t xml:space="preserve"> realise they have missed the second instalment and also calculate that because of the massive increase in consulting revenue their year-end tax liability is expected to be $1,250,000.  </w:t>
      </w:r>
      <w:r w:rsidR="00081B7F" w:rsidRPr="008D208D">
        <w:t>TWFL</w:t>
      </w:r>
      <w:r w:rsidRPr="008D208D">
        <w:t xml:space="preserve"> want to minimise the impact of </w:t>
      </w:r>
      <w:r w:rsidR="007911DE" w:rsidRPr="008D208D">
        <w:t>UOMI</w:t>
      </w:r>
      <w:r w:rsidRPr="008D208D">
        <w:t xml:space="preserve"> and so, on the final instalment date, </w:t>
      </w:r>
      <w:r w:rsidR="007911DE" w:rsidRPr="008D208D">
        <w:t xml:space="preserve">the company </w:t>
      </w:r>
      <w:r w:rsidRPr="008D208D">
        <w:t xml:space="preserve">makes a payment based on </w:t>
      </w:r>
      <w:r w:rsidR="00804DA3" w:rsidRPr="008D208D">
        <w:t>the</w:t>
      </w:r>
      <w:r w:rsidRPr="008D208D">
        <w:t xml:space="preserve"> estimate of </w:t>
      </w:r>
      <w:r w:rsidR="00804DA3" w:rsidRPr="008D208D">
        <w:t>its</w:t>
      </w:r>
      <w:r w:rsidRPr="008D208D">
        <w:t xml:space="preserve"> final tax liability of </w:t>
      </w:r>
      <w:r w:rsidR="00081B7F" w:rsidRPr="008D208D">
        <w:t>$1,231,239</w:t>
      </w:r>
      <w:r w:rsidRPr="008D208D">
        <w:t xml:space="preserve">.  This is made up of the tax owing </w:t>
      </w:r>
      <w:r w:rsidR="00804DA3" w:rsidRPr="008D208D">
        <w:t>(</w:t>
      </w:r>
      <w:r w:rsidRPr="008D208D">
        <w:t>$1,230,750</w:t>
      </w:r>
      <w:r w:rsidR="00804DA3" w:rsidRPr="008D208D">
        <w:t>)</w:t>
      </w:r>
      <w:r w:rsidRPr="008D208D">
        <w:t xml:space="preserve"> and $489 for </w:t>
      </w:r>
      <w:r w:rsidR="00804DA3" w:rsidRPr="008D208D">
        <w:t>UOMI</w:t>
      </w:r>
      <w:r w:rsidR="00910A13" w:rsidRPr="008D208D">
        <w:t xml:space="preserve"> on the second instalment.</w:t>
      </w:r>
    </w:p>
    <w:p w:rsidR="00910A13" w:rsidRPr="008D208D" w:rsidRDefault="002F5E10" w:rsidP="00E556F7">
      <w:pPr>
        <w:pStyle w:val="Exampletext"/>
        <w:pBdr>
          <w:top w:val="single" w:sz="4" w:space="10" w:color="auto"/>
          <w:left w:val="single" w:sz="4" w:space="10" w:color="auto"/>
          <w:bottom w:val="single" w:sz="4" w:space="10" w:color="auto"/>
          <w:right w:val="single" w:sz="4" w:space="10" w:color="auto"/>
        </w:pBdr>
        <w:spacing w:after="100"/>
      </w:pPr>
      <w:r w:rsidRPr="008D208D">
        <w:t>When it completes its tax return</w:t>
      </w:r>
      <w:r w:rsidR="005D7F9F" w:rsidRPr="008D208D">
        <w:t>,</w:t>
      </w:r>
      <w:r w:rsidRPr="008D208D">
        <w:t xml:space="preserve"> </w:t>
      </w:r>
      <w:r w:rsidR="00081B7F" w:rsidRPr="008D208D">
        <w:t>TWFL</w:t>
      </w:r>
      <w:r w:rsidRPr="008D208D">
        <w:t xml:space="preserve"> calculates its final tax liability as $1,250,000, as it expected.  Because </w:t>
      </w:r>
      <w:r w:rsidR="00081B7F" w:rsidRPr="008D208D">
        <w:t>TWFL</w:t>
      </w:r>
      <w:r w:rsidRPr="008D208D">
        <w:t xml:space="preserve"> did not make </w:t>
      </w:r>
      <w:r w:rsidR="005D7F9F" w:rsidRPr="008D208D">
        <w:t>its</w:t>
      </w:r>
      <w:r w:rsidRPr="008D208D">
        <w:t xml:space="preserve"> second instalment on time it cannot use the concessionary rule in section </w:t>
      </w:r>
      <w:proofErr w:type="gramStart"/>
      <w:r w:rsidRPr="008D208D">
        <w:t>120KBB(</w:t>
      </w:r>
      <w:proofErr w:type="gramEnd"/>
      <w:r w:rsidRPr="008D208D">
        <w:t>2) for the missed instalment but instead must use the rule in section 120KBB(3) in rel</w:t>
      </w:r>
      <w:r w:rsidR="00910A13" w:rsidRPr="008D208D">
        <w:t>ation to the missed instalment.</w:t>
      </w:r>
    </w:p>
    <w:p w:rsidR="002F5E10" w:rsidRPr="008D208D" w:rsidRDefault="002F5E10" w:rsidP="006C05F2">
      <w:pPr>
        <w:pStyle w:val="Exampletext"/>
        <w:pBdr>
          <w:top w:val="single" w:sz="4" w:space="10" w:color="auto"/>
          <w:left w:val="single" w:sz="4" w:space="10" w:color="auto"/>
          <w:bottom w:val="single" w:sz="4" w:space="10" w:color="auto"/>
          <w:right w:val="single" w:sz="4" w:space="10" w:color="auto"/>
        </w:pBdr>
        <w:spacing w:after="100"/>
      </w:pPr>
      <w:r w:rsidRPr="008D208D">
        <w:t xml:space="preserve">This will require </w:t>
      </w:r>
      <w:r w:rsidR="005D7F9F" w:rsidRPr="008D208D">
        <w:t>the company</w:t>
      </w:r>
      <w:r w:rsidRPr="008D208D">
        <w:t xml:space="preserve"> to pay UOMI on the </w:t>
      </w:r>
      <w:r w:rsidRPr="008D208D">
        <w:rPr>
          <w:i/>
        </w:rPr>
        <w:t xml:space="preserve">lesser </w:t>
      </w:r>
      <w:r w:rsidRPr="008D208D">
        <w:t>of:</w:t>
      </w:r>
    </w:p>
    <w:p w:rsidR="00910A13" w:rsidRPr="008D208D" w:rsidRDefault="00910A13" w:rsidP="006C05F2">
      <w:pPr>
        <w:pStyle w:val="Exampletext"/>
        <w:numPr>
          <w:ilvl w:val="0"/>
          <w:numId w:val="28"/>
        </w:numPr>
        <w:pBdr>
          <w:top w:val="single" w:sz="4" w:space="10" w:color="auto"/>
          <w:left w:val="single" w:sz="4" w:space="10" w:color="auto"/>
          <w:bottom w:val="single" w:sz="4" w:space="10" w:color="auto"/>
          <w:right w:val="single" w:sz="4" w:space="10" w:color="auto"/>
        </w:pBdr>
        <w:ind w:left="426" w:hanging="426"/>
      </w:pPr>
      <w:r w:rsidRPr="008D208D">
        <w:t xml:space="preserve">1 divided by the number of instalment dates for the income year multiplied by </w:t>
      </w:r>
      <w:r w:rsidR="005D7F9F" w:rsidRPr="008D208D">
        <w:t>its</w:t>
      </w:r>
      <w:r w:rsidRPr="008D208D">
        <w:t xml:space="preserve"> residual income tax less the amount paid in relation to the instalment ((1/3x$1,250,000) -0 = $416,667</w:t>
      </w:r>
      <w:r w:rsidR="005D7F9F" w:rsidRPr="008D208D">
        <w:t>)</w:t>
      </w:r>
      <w:r w:rsidRPr="008D208D">
        <w:t>; or</w:t>
      </w:r>
    </w:p>
    <w:p w:rsidR="000D588E" w:rsidRPr="008D208D" w:rsidRDefault="000D588E" w:rsidP="006C05F2">
      <w:pPr>
        <w:pStyle w:val="Exampletext"/>
        <w:numPr>
          <w:ilvl w:val="0"/>
          <w:numId w:val="28"/>
        </w:numPr>
        <w:pBdr>
          <w:top w:val="single" w:sz="4" w:space="10" w:color="auto"/>
          <w:left w:val="single" w:sz="4" w:space="10" w:color="auto"/>
          <w:bottom w:val="single" w:sz="4" w:space="10" w:color="auto"/>
          <w:right w:val="single" w:sz="4" w:space="10" w:color="auto"/>
        </w:pBdr>
        <w:spacing w:after="100"/>
        <w:ind w:left="426" w:hanging="426"/>
      </w:pPr>
      <w:proofErr w:type="gramStart"/>
      <w:r w:rsidRPr="008D208D">
        <w:t>the</w:t>
      </w:r>
      <w:proofErr w:type="gramEnd"/>
      <w:r w:rsidRPr="008D208D">
        <w:t xml:space="preserve"> amount the company is liable to pay in accordance with the standard method for that particular instalment ($19,250).</w:t>
      </w:r>
    </w:p>
    <w:p w:rsidR="002F5E10" w:rsidRPr="008D208D" w:rsidRDefault="00910A13" w:rsidP="0094474B">
      <w:pPr>
        <w:pStyle w:val="Exampletext"/>
        <w:pBdr>
          <w:top w:val="single" w:sz="4" w:space="10" w:color="auto"/>
          <w:left w:val="single" w:sz="4" w:space="10" w:color="auto"/>
          <w:bottom w:val="single" w:sz="4" w:space="10" w:color="auto"/>
          <w:right w:val="single" w:sz="4" w:space="10" w:color="auto"/>
        </w:pBdr>
      </w:pPr>
      <w:r w:rsidRPr="008D208D">
        <w:t>The lesser of these</w:t>
      </w:r>
      <w:r w:rsidR="005D7F9F" w:rsidRPr="008D208D">
        <w:t xml:space="preserve"> amounts</w:t>
      </w:r>
      <w:r w:rsidRPr="008D208D">
        <w:t xml:space="preserve"> being (b), </w:t>
      </w:r>
      <w:r w:rsidR="00081B7F" w:rsidRPr="008D208D">
        <w:t>TWFL</w:t>
      </w:r>
      <w:r w:rsidRPr="008D208D">
        <w:t xml:space="preserve"> will be charged </w:t>
      </w:r>
      <w:r w:rsidR="00A816D3" w:rsidRPr="008D208D">
        <w:t xml:space="preserve">UOMI </w:t>
      </w:r>
      <w:r w:rsidRPr="008D208D">
        <w:t xml:space="preserve">on $19,250 from the due date of the second instalment until the date that the tax and applicable </w:t>
      </w:r>
      <w:r w:rsidR="00A816D3" w:rsidRPr="008D208D">
        <w:t xml:space="preserve">UOMI </w:t>
      </w:r>
      <w:r w:rsidRPr="008D208D">
        <w:t>is paid</w:t>
      </w:r>
      <w:r w:rsidR="00A816D3" w:rsidRPr="008D208D">
        <w:t>,</w:t>
      </w:r>
      <w:r w:rsidRPr="008D208D">
        <w:t xml:space="preserve"> which was the date of the third instalment ($489).  </w:t>
      </w:r>
      <w:r w:rsidR="00081B7F" w:rsidRPr="008D208D">
        <w:t>TWFL</w:t>
      </w:r>
      <w:r w:rsidRPr="008D208D">
        <w:t xml:space="preserve"> may also be subject to late payment penalties.</w:t>
      </w:r>
    </w:p>
    <w:p w:rsidR="002F5E10" w:rsidRPr="008D208D" w:rsidRDefault="002F5E10" w:rsidP="002F5E10"/>
    <w:p w:rsidR="00BE76A2" w:rsidRPr="008D208D" w:rsidRDefault="00BE76A2" w:rsidP="002F5E10"/>
    <w:p w:rsidR="002F5E10" w:rsidRPr="008D208D" w:rsidRDefault="002F5E10" w:rsidP="003164BB">
      <w:pPr>
        <w:pStyle w:val="Heading3"/>
      </w:pPr>
      <w:r w:rsidRPr="008D208D">
        <w:t>Who is a provisional tax associate?</w:t>
      </w:r>
    </w:p>
    <w:p w:rsidR="002F5E10" w:rsidRPr="008D208D" w:rsidRDefault="002F5E10" w:rsidP="002F5E10"/>
    <w:p w:rsidR="002F5E10" w:rsidRPr="008D208D" w:rsidRDefault="002F5E10" w:rsidP="002F5E10">
      <w:r w:rsidRPr="008D208D">
        <w:t xml:space="preserve">Under new section 120KBB all provisional tax associates of a taxpayer who wish to use the rules in section 120KBB are required to be an </w:t>
      </w:r>
      <w:r w:rsidR="004D267B" w:rsidRPr="008D208D">
        <w:t>“</w:t>
      </w:r>
      <w:r w:rsidRPr="008D208D">
        <w:t>interest concession provisional taxpayer</w:t>
      </w:r>
      <w:r w:rsidR="004D267B" w:rsidRPr="008D208D">
        <w:t>”</w:t>
      </w:r>
      <w:r w:rsidRPr="008D208D">
        <w:t xml:space="preserve"> themselves or use the GST ratio method to calculate provisional tax.  This is an anti-avoidance provision to stop related parties switching income between </w:t>
      </w:r>
      <w:proofErr w:type="gramStart"/>
      <w:r w:rsidRPr="008D208D">
        <w:t>themselves</w:t>
      </w:r>
      <w:proofErr w:type="gramEnd"/>
      <w:r w:rsidRPr="008D208D">
        <w:t xml:space="preserve"> to avoid the application of the </w:t>
      </w:r>
      <w:r w:rsidR="00A816D3" w:rsidRPr="008D208D">
        <w:t xml:space="preserve">UOMI </w:t>
      </w:r>
      <w:r w:rsidRPr="008D208D">
        <w:t>rules.</w:t>
      </w:r>
    </w:p>
    <w:p w:rsidR="002F5E10" w:rsidRPr="008D208D" w:rsidRDefault="002F5E10" w:rsidP="002F5E10"/>
    <w:p w:rsidR="00BE76A2" w:rsidRPr="008D208D" w:rsidRDefault="00BE76A2"/>
    <w:tbl>
      <w:tblPr>
        <w:tblStyle w:val="TableGrid"/>
        <w:tblW w:w="9519" w:type="dxa"/>
        <w:tblInd w:w="-153" w:type="dxa"/>
        <w:tblCellMar>
          <w:top w:w="57" w:type="dxa"/>
          <w:left w:w="57" w:type="dxa"/>
          <w:bottom w:w="57" w:type="dxa"/>
          <w:right w:w="57" w:type="dxa"/>
        </w:tblCellMar>
        <w:tblLook w:val="04A0" w:firstRow="1" w:lastRow="0" w:firstColumn="1" w:lastColumn="0" w:noHBand="0" w:noVBand="1"/>
      </w:tblPr>
      <w:tblGrid>
        <w:gridCol w:w="9519"/>
      </w:tblGrid>
      <w:tr w:rsidR="002F5E10" w:rsidRPr="008D208D" w:rsidTr="00CE2C4F">
        <w:trPr>
          <w:trHeight w:val="3707"/>
        </w:trPr>
        <w:tc>
          <w:tcPr>
            <w:tcW w:w="9519" w:type="dxa"/>
          </w:tcPr>
          <w:p w:rsidR="00321900" w:rsidRPr="008D208D" w:rsidRDefault="00321900" w:rsidP="00BE76A2">
            <w:pPr>
              <w:pStyle w:val="ListParagraph"/>
              <w:ind w:left="142" w:right="89"/>
              <w:rPr>
                <w:b/>
                <w:sz w:val="16"/>
                <w:szCs w:val="16"/>
              </w:rPr>
            </w:pPr>
          </w:p>
          <w:p w:rsidR="002F5E10" w:rsidRPr="008D208D" w:rsidRDefault="002F5E10" w:rsidP="00AC4E1B">
            <w:pPr>
              <w:pStyle w:val="ListParagraph"/>
              <w:spacing w:after="100"/>
              <w:ind w:left="142" w:right="91"/>
              <w:contextualSpacing w:val="0"/>
              <w:rPr>
                <w:b/>
                <w:sz w:val="20"/>
              </w:rPr>
            </w:pPr>
            <w:r w:rsidRPr="008D208D">
              <w:rPr>
                <w:b/>
                <w:sz w:val="20"/>
              </w:rPr>
              <w:t>Example</w:t>
            </w:r>
            <w:r w:rsidR="00BC2C04" w:rsidRPr="008D208D">
              <w:rPr>
                <w:b/>
                <w:sz w:val="20"/>
              </w:rPr>
              <w:t xml:space="preserve"> 5</w:t>
            </w:r>
          </w:p>
          <w:p w:rsidR="002F5E10" w:rsidRPr="008D208D" w:rsidRDefault="002F5E10" w:rsidP="00AC4E1B">
            <w:pPr>
              <w:pStyle w:val="ListParagraph"/>
              <w:spacing w:after="100"/>
              <w:ind w:left="142" w:right="181"/>
              <w:contextualSpacing w:val="0"/>
              <w:rPr>
                <w:sz w:val="20"/>
              </w:rPr>
            </w:pPr>
            <w:r w:rsidRPr="008D208D">
              <w:rPr>
                <w:sz w:val="20"/>
              </w:rPr>
              <w:t xml:space="preserve">De Jong Limited (DJ) is a consulting firm owned by Jeff Jazzy. </w:t>
            </w:r>
            <w:r w:rsidR="00414DC6" w:rsidRPr="008D208D">
              <w:rPr>
                <w:sz w:val="20"/>
              </w:rPr>
              <w:t xml:space="preserve"> </w:t>
            </w:r>
            <w:r w:rsidRPr="008D208D">
              <w:rPr>
                <w:sz w:val="20"/>
              </w:rPr>
              <w:t>Jeff undertakes all the work for DJ as a shareholder-employee and payments from DJ to him are not subject to PAYE.</w:t>
            </w:r>
            <w:r w:rsidR="00414DC6" w:rsidRPr="008D208D">
              <w:rPr>
                <w:sz w:val="20"/>
              </w:rPr>
              <w:t xml:space="preserve"> </w:t>
            </w:r>
            <w:r w:rsidRPr="008D208D">
              <w:rPr>
                <w:sz w:val="20"/>
              </w:rPr>
              <w:t xml:space="preserve"> In the 2016 year DJ has residual income tax of $</w:t>
            </w:r>
            <w:r w:rsidR="000D588E" w:rsidRPr="008D208D">
              <w:rPr>
                <w:sz w:val="20"/>
              </w:rPr>
              <w:t>70</w:t>
            </w:r>
            <w:r w:rsidRPr="008D208D">
              <w:rPr>
                <w:sz w:val="20"/>
              </w:rPr>
              <w:t>,000 as all the income was held in the company that year.</w:t>
            </w:r>
            <w:r w:rsidR="00414DC6" w:rsidRPr="008D208D">
              <w:rPr>
                <w:sz w:val="20"/>
              </w:rPr>
              <w:t xml:space="preserve"> </w:t>
            </w:r>
            <w:r w:rsidRPr="008D208D">
              <w:rPr>
                <w:sz w:val="20"/>
              </w:rPr>
              <w:t xml:space="preserve"> Jeff</w:t>
            </w:r>
            <w:r w:rsidR="00047BBF" w:rsidRPr="008D208D">
              <w:rPr>
                <w:sz w:val="20"/>
              </w:rPr>
              <w:t xml:space="preserve"> had no residual income tax.</w:t>
            </w:r>
          </w:p>
          <w:p w:rsidR="00CE2C4F" w:rsidRPr="008D208D" w:rsidRDefault="002F5E10" w:rsidP="00CE2C4F">
            <w:pPr>
              <w:pStyle w:val="ListParagraph"/>
              <w:ind w:left="142" w:right="181"/>
              <w:rPr>
                <w:sz w:val="20"/>
              </w:rPr>
            </w:pPr>
            <w:r w:rsidRPr="008D208D">
              <w:rPr>
                <w:sz w:val="20"/>
              </w:rPr>
              <w:t>Over the next two years, assuming the same income level, but shifting it between DJ and Jeff, and alternating provisional tax calculation methods, no provisional tax is paid by either party, and there is no exposure to</w:t>
            </w:r>
            <w:r w:rsidR="00414DC6" w:rsidRPr="008D208D">
              <w:rPr>
                <w:sz w:val="20"/>
              </w:rPr>
              <w:t xml:space="preserve"> UOMI</w:t>
            </w:r>
            <w:r w:rsidR="00217584" w:rsidRPr="008D208D">
              <w:rPr>
                <w:sz w:val="20"/>
              </w:rPr>
              <w:t xml:space="preserve"> if the RIT is paid by the final instalment</w:t>
            </w:r>
            <w:r w:rsidRPr="008D208D">
              <w:rPr>
                <w:sz w:val="20"/>
              </w:rPr>
              <w:t>:</w:t>
            </w:r>
          </w:p>
          <w:tbl>
            <w:tblPr>
              <w:tblStyle w:val="TableGrid"/>
              <w:tblpPr w:leftFromText="180" w:rightFromText="180" w:vertAnchor="text" w:horzAnchor="margin" w:tblpXSpec="center" w:tblpY="232"/>
              <w:tblOverlap w:val="never"/>
              <w:tblW w:w="0" w:type="auto"/>
              <w:tblCellMar>
                <w:top w:w="57" w:type="dxa"/>
                <w:left w:w="57" w:type="dxa"/>
                <w:bottom w:w="57" w:type="dxa"/>
                <w:right w:w="57" w:type="dxa"/>
              </w:tblCellMar>
              <w:tblLook w:val="04A0" w:firstRow="1" w:lastRow="0" w:firstColumn="1" w:lastColumn="0" w:noHBand="0" w:noVBand="1"/>
            </w:tblPr>
            <w:tblGrid>
              <w:gridCol w:w="1231"/>
              <w:gridCol w:w="1194"/>
              <w:gridCol w:w="1194"/>
              <w:gridCol w:w="1195"/>
              <w:gridCol w:w="1195"/>
              <w:gridCol w:w="1195"/>
              <w:gridCol w:w="1196"/>
            </w:tblGrid>
            <w:tr w:rsidR="00CE2C4F" w:rsidRPr="008D208D" w:rsidTr="00F44391">
              <w:trPr>
                <w:tblHeader/>
              </w:trPr>
              <w:tc>
                <w:tcPr>
                  <w:tcW w:w="1231" w:type="dxa"/>
                  <w:vMerge w:val="restart"/>
                </w:tcPr>
                <w:p w:rsidR="00CE2C4F" w:rsidRPr="008D208D" w:rsidRDefault="00CE2C4F" w:rsidP="00321900">
                  <w:pPr>
                    <w:pStyle w:val="ListParagraph"/>
                    <w:ind w:left="0"/>
                    <w:rPr>
                      <w:b/>
                      <w:sz w:val="20"/>
                    </w:rPr>
                  </w:pPr>
                  <w:r w:rsidRPr="008D208D">
                    <w:rPr>
                      <w:b/>
                      <w:sz w:val="20"/>
                    </w:rPr>
                    <w:t>Year</w:t>
                  </w:r>
                </w:p>
              </w:tc>
              <w:tc>
                <w:tcPr>
                  <w:tcW w:w="3583" w:type="dxa"/>
                  <w:gridSpan w:val="3"/>
                </w:tcPr>
                <w:p w:rsidR="00CE2C4F" w:rsidRPr="008D208D" w:rsidRDefault="00CE2C4F" w:rsidP="00321900">
                  <w:pPr>
                    <w:pStyle w:val="ListParagraph"/>
                    <w:ind w:left="0"/>
                    <w:jc w:val="center"/>
                    <w:rPr>
                      <w:b/>
                      <w:sz w:val="20"/>
                    </w:rPr>
                  </w:pPr>
                  <w:r w:rsidRPr="008D208D">
                    <w:rPr>
                      <w:b/>
                      <w:sz w:val="20"/>
                    </w:rPr>
                    <w:t>2017</w:t>
                  </w:r>
                </w:p>
              </w:tc>
              <w:tc>
                <w:tcPr>
                  <w:tcW w:w="3586" w:type="dxa"/>
                  <w:gridSpan w:val="3"/>
                </w:tcPr>
                <w:p w:rsidR="00CE2C4F" w:rsidRPr="008D208D" w:rsidRDefault="00CE2C4F" w:rsidP="00321900">
                  <w:pPr>
                    <w:pStyle w:val="ListParagraph"/>
                    <w:ind w:left="0"/>
                    <w:jc w:val="center"/>
                    <w:rPr>
                      <w:b/>
                      <w:sz w:val="20"/>
                    </w:rPr>
                  </w:pPr>
                  <w:r w:rsidRPr="008D208D">
                    <w:rPr>
                      <w:b/>
                      <w:sz w:val="20"/>
                    </w:rPr>
                    <w:t>2018</w:t>
                  </w:r>
                </w:p>
              </w:tc>
            </w:tr>
            <w:tr w:rsidR="00CE2C4F" w:rsidRPr="008D208D" w:rsidTr="00F44391">
              <w:trPr>
                <w:tblHeader/>
              </w:trPr>
              <w:tc>
                <w:tcPr>
                  <w:tcW w:w="1231" w:type="dxa"/>
                  <w:vMerge/>
                </w:tcPr>
                <w:p w:rsidR="00CE2C4F" w:rsidRPr="008D208D" w:rsidRDefault="00CE2C4F" w:rsidP="00321900">
                  <w:pPr>
                    <w:pStyle w:val="ListParagraph"/>
                    <w:ind w:left="0"/>
                    <w:rPr>
                      <w:i/>
                      <w:sz w:val="20"/>
                    </w:rPr>
                  </w:pPr>
                </w:p>
              </w:tc>
              <w:tc>
                <w:tcPr>
                  <w:tcW w:w="1194" w:type="dxa"/>
                </w:tcPr>
                <w:p w:rsidR="00CE2C4F" w:rsidRPr="008D208D" w:rsidRDefault="00CE2C4F" w:rsidP="00CE2C4F">
                  <w:pPr>
                    <w:pStyle w:val="ListParagraph"/>
                    <w:ind w:left="0"/>
                    <w:jc w:val="center"/>
                    <w:rPr>
                      <w:i/>
                      <w:sz w:val="20"/>
                    </w:rPr>
                  </w:pPr>
                  <w:r w:rsidRPr="008D208D">
                    <w:rPr>
                      <w:i/>
                      <w:sz w:val="20"/>
                    </w:rPr>
                    <w:t>Method</w:t>
                  </w:r>
                </w:p>
              </w:tc>
              <w:tc>
                <w:tcPr>
                  <w:tcW w:w="1194" w:type="dxa"/>
                </w:tcPr>
                <w:p w:rsidR="00CE2C4F" w:rsidRPr="008D208D" w:rsidRDefault="00CE2C4F" w:rsidP="00CE2C4F">
                  <w:pPr>
                    <w:pStyle w:val="ListParagraph"/>
                    <w:ind w:left="0"/>
                    <w:jc w:val="center"/>
                    <w:rPr>
                      <w:i/>
                      <w:sz w:val="20"/>
                    </w:rPr>
                  </w:pPr>
                  <w:r w:rsidRPr="008D208D">
                    <w:rPr>
                      <w:i/>
                      <w:sz w:val="20"/>
                    </w:rPr>
                    <w:t>Prov amount</w:t>
                  </w:r>
                </w:p>
              </w:tc>
              <w:tc>
                <w:tcPr>
                  <w:tcW w:w="1195" w:type="dxa"/>
                </w:tcPr>
                <w:p w:rsidR="00CE2C4F" w:rsidRPr="008D208D" w:rsidRDefault="00CE2C4F" w:rsidP="00CE2C4F">
                  <w:pPr>
                    <w:pStyle w:val="ListParagraph"/>
                    <w:ind w:left="0"/>
                    <w:jc w:val="center"/>
                    <w:rPr>
                      <w:i/>
                      <w:sz w:val="20"/>
                    </w:rPr>
                  </w:pPr>
                  <w:r w:rsidRPr="008D208D">
                    <w:rPr>
                      <w:i/>
                      <w:sz w:val="20"/>
                    </w:rPr>
                    <w:t>RIT</w:t>
                  </w:r>
                </w:p>
              </w:tc>
              <w:tc>
                <w:tcPr>
                  <w:tcW w:w="1195" w:type="dxa"/>
                </w:tcPr>
                <w:p w:rsidR="00CE2C4F" w:rsidRPr="008D208D" w:rsidRDefault="00CE2C4F" w:rsidP="00CE2C4F">
                  <w:pPr>
                    <w:pStyle w:val="ListParagraph"/>
                    <w:ind w:left="0"/>
                    <w:jc w:val="center"/>
                    <w:rPr>
                      <w:i/>
                      <w:sz w:val="20"/>
                    </w:rPr>
                  </w:pPr>
                  <w:r w:rsidRPr="008D208D">
                    <w:rPr>
                      <w:i/>
                      <w:sz w:val="20"/>
                    </w:rPr>
                    <w:t>Method</w:t>
                  </w:r>
                </w:p>
              </w:tc>
              <w:tc>
                <w:tcPr>
                  <w:tcW w:w="1195" w:type="dxa"/>
                </w:tcPr>
                <w:p w:rsidR="00CE2C4F" w:rsidRPr="008D208D" w:rsidRDefault="00CE2C4F" w:rsidP="00CE2C4F">
                  <w:pPr>
                    <w:pStyle w:val="ListParagraph"/>
                    <w:ind w:left="0"/>
                    <w:jc w:val="center"/>
                    <w:rPr>
                      <w:i/>
                      <w:sz w:val="20"/>
                    </w:rPr>
                  </w:pPr>
                  <w:r w:rsidRPr="008D208D">
                    <w:rPr>
                      <w:i/>
                      <w:sz w:val="20"/>
                    </w:rPr>
                    <w:t>Prov amount</w:t>
                  </w:r>
                </w:p>
              </w:tc>
              <w:tc>
                <w:tcPr>
                  <w:tcW w:w="1196" w:type="dxa"/>
                </w:tcPr>
                <w:p w:rsidR="00CE2C4F" w:rsidRPr="008D208D" w:rsidRDefault="00CE2C4F" w:rsidP="00CE2C4F">
                  <w:pPr>
                    <w:pStyle w:val="ListParagraph"/>
                    <w:ind w:left="0"/>
                    <w:jc w:val="center"/>
                    <w:rPr>
                      <w:i/>
                      <w:sz w:val="20"/>
                    </w:rPr>
                  </w:pPr>
                  <w:r w:rsidRPr="008D208D">
                    <w:rPr>
                      <w:i/>
                      <w:sz w:val="20"/>
                    </w:rPr>
                    <w:t>RIT</w:t>
                  </w:r>
                </w:p>
              </w:tc>
            </w:tr>
            <w:tr w:rsidR="00321900" w:rsidRPr="008D208D" w:rsidTr="00CE2C4F">
              <w:tc>
                <w:tcPr>
                  <w:tcW w:w="1231" w:type="dxa"/>
                </w:tcPr>
                <w:p w:rsidR="00321900" w:rsidRPr="008D208D" w:rsidRDefault="00321900" w:rsidP="00321900">
                  <w:pPr>
                    <w:pStyle w:val="ListParagraph"/>
                    <w:ind w:left="0"/>
                    <w:rPr>
                      <w:sz w:val="20"/>
                    </w:rPr>
                  </w:pPr>
                  <w:r w:rsidRPr="008D208D">
                    <w:rPr>
                      <w:sz w:val="20"/>
                    </w:rPr>
                    <w:t>DJ</w:t>
                  </w:r>
                </w:p>
              </w:tc>
              <w:tc>
                <w:tcPr>
                  <w:tcW w:w="1194" w:type="dxa"/>
                </w:tcPr>
                <w:p w:rsidR="00321900" w:rsidRPr="008D208D" w:rsidRDefault="00321900" w:rsidP="00CE2C4F">
                  <w:pPr>
                    <w:pStyle w:val="ListParagraph"/>
                    <w:ind w:left="0"/>
                    <w:jc w:val="center"/>
                    <w:rPr>
                      <w:sz w:val="20"/>
                    </w:rPr>
                  </w:pPr>
                  <w:r w:rsidRPr="008D208D">
                    <w:rPr>
                      <w:sz w:val="20"/>
                    </w:rPr>
                    <w:t>Estimate</w:t>
                  </w:r>
                </w:p>
              </w:tc>
              <w:tc>
                <w:tcPr>
                  <w:tcW w:w="1194" w:type="dxa"/>
                </w:tcPr>
                <w:p w:rsidR="00321900" w:rsidRPr="008D208D" w:rsidRDefault="00321900" w:rsidP="00CE2C4F">
                  <w:pPr>
                    <w:pStyle w:val="ListParagraph"/>
                    <w:ind w:left="0"/>
                    <w:jc w:val="center"/>
                    <w:rPr>
                      <w:sz w:val="20"/>
                    </w:rPr>
                  </w:pPr>
                  <w:r w:rsidRPr="008D208D">
                    <w:rPr>
                      <w:sz w:val="20"/>
                    </w:rPr>
                    <w:t>Nil</w:t>
                  </w:r>
                </w:p>
              </w:tc>
              <w:tc>
                <w:tcPr>
                  <w:tcW w:w="1195" w:type="dxa"/>
                </w:tcPr>
                <w:p w:rsidR="00321900" w:rsidRPr="008D208D" w:rsidRDefault="00321900" w:rsidP="00CE2C4F">
                  <w:pPr>
                    <w:pStyle w:val="ListParagraph"/>
                    <w:ind w:left="0"/>
                    <w:jc w:val="center"/>
                    <w:rPr>
                      <w:sz w:val="20"/>
                    </w:rPr>
                  </w:pPr>
                  <w:r w:rsidRPr="008D208D">
                    <w:rPr>
                      <w:sz w:val="20"/>
                    </w:rPr>
                    <w:t>Nil</w:t>
                  </w:r>
                </w:p>
              </w:tc>
              <w:tc>
                <w:tcPr>
                  <w:tcW w:w="1195" w:type="dxa"/>
                </w:tcPr>
                <w:p w:rsidR="00321900" w:rsidRPr="008D208D" w:rsidRDefault="00321900" w:rsidP="00CE2C4F">
                  <w:pPr>
                    <w:pStyle w:val="ListParagraph"/>
                    <w:ind w:left="0"/>
                    <w:jc w:val="center"/>
                    <w:rPr>
                      <w:sz w:val="20"/>
                    </w:rPr>
                  </w:pPr>
                  <w:r w:rsidRPr="008D208D">
                    <w:rPr>
                      <w:sz w:val="20"/>
                    </w:rPr>
                    <w:t>Standard</w:t>
                  </w:r>
                </w:p>
              </w:tc>
              <w:tc>
                <w:tcPr>
                  <w:tcW w:w="1195" w:type="dxa"/>
                </w:tcPr>
                <w:p w:rsidR="00321900" w:rsidRPr="008D208D" w:rsidRDefault="00321900" w:rsidP="00CE2C4F">
                  <w:pPr>
                    <w:pStyle w:val="ListParagraph"/>
                    <w:ind w:left="0"/>
                    <w:jc w:val="center"/>
                    <w:rPr>
                      <w:sz w:val="20"/>
                    </w:rPr>
                  </w:pPr>
                  <w:r w:rsidRPr="008D208D">
                    <w:rPr>
                      <w:sz w:val="20"/>
                    </w:rPr>
                    <w:t>Nil</w:t>
                  </w:r>
                </w:p>
              </w:tc>
              <w:tc>
                <w:tcPr>
                  <w:tcW w:w="1196" w:type="dxa"/>
                </w:tcPr>
                <w:p w:rsidR="00321900" w:rsidRPr="008D208D" w:rsidRDefault="00321900" w:rsidP="00CE2C4F">
                  <w:pPr>
                    <w:pStyle w:val="ListParagraph"/>
                    <w:ind w:left="0"/>
                    <w:jc w:val="center"/>
                    <w:rPr>
                      <w:sz w:val="20"/>
                    </w:rPr>
                  </w:pPr>
                  <w:r w:rsidRPr="008D208D">
                    <w:rPr>
                      <w:sz w:val="20"/>
                    </w:rPr>
                    <w:t>$</w:t>
                  </w:r>
                  <w:r w:rsidR="000D588E" w:rsidRPr="008D208D">
                    <w:rPr>
                      <w:sz w:val="20"/>
                    </w:rPr>
                    <w:t>70</w:t>
                  </w:r>
                  <w:r w:rsidRPr="008D208D">
                    <w:rPr>
                      <w:sz w:val="20"/>
                    </w:rPr>
                    <w:t>,000</w:t>
                  </w:r>
                </w:p>
              </w:tc>
            </w:tr>
            <w:tr w:rsidR="00321900" w:rsidRPr="008D208D" w:rsidTr="00CE2C4F">
              <w:tc>
                <w:tcPr>
                  <w:tcW w:w="1231" w:type="dxa"/>
                </w:tcPr>
                <w:p w:rsidR="00321900" w:rsidRPr="008D208D" w:rsidRDefault="00321900" w:rsidP="00321900">
                  <w:pPr>
                    <w:pStyle w:val="ListParagraph"/>
                    <w:ind w:left="0"/>
                    <w:rPr>
                      <w:sz w:val="20"/>
                    </w:rPr>
                  </w:pPr>
                  <w:r w:rsidRPr="008D208D">
                    <w:rPr>
                      <w:sz w:val="20"/>
                    </w:rPr>
                    <w:t>Jazzy, Jeff</w:t>
                  </w:r>
                </w:p>
              </w:tc>
              <w:tc>
                <w:tcPr>
                  <w:tcW w:w="1194" w:type="dxa"/>
                </w:tcPr>
                <w:p w:rsidR="00321900" w:rsidRPr="008D208D" w:rsidRDefault="00321900" w:rsidP="00CE2C4F">
                  <w:pPr>
                    <w:pStyle w:val="ListParagraph"/>
                    <w:ind w:left="0"/>
                    <w:jc w:val="center"/>
                    <w:rPr>
                      <w:sz w:val="20"/>
                    </w:rPr>
                  </w:pPr>
                  <w:r w:rsidRPr="008D208D">
                    <w:rPr>
                      <w:sz w:val="20"/>
                    </w:rPr>
                    <w:t>Not liable</w:t>
                  </w:r>
                </w:p>
              </w:tc>
              <w:tc>
                <w:tcPr>
                  <w:tcW w:w="1194" w:type="dxa"/>
                </w:tcPr>
                <w:p w:rsidR="00321900" w:rsidRPr="008D208D" w:rsidRDefault="00321900" w:rsidP="00CE2C4F">
                  <w:pPr>
                    <w:pStyle w:val="ListParagraph"/>
                    <w:ind w:left="0"/>
                    <w:jc w:val="center"/>
                    <w:rPr>
                      <w:sz w:val="20"/>
                    </w:rPr>
                  </w:pPr>
                  <w:r w:rsidRPr="008D208D">
                    <w:rPr>
                      <w:sz w:val="20"/>
                    </w:rPr>
                    <w:t>N/A</w:t>
                  </w:r>
                </w:p>
              </w:tc>
              <w:tc>
                <w:tcPr>
                  <w:tcW w:w="1195" w:type="dxa"/>
                </w:tcPr>
                <w:p w:rsidR="00321900" w:rsidRPr="008D208D" w:rsidRDefault="00321900" w:rsidP="00CE2C4F">
                  <w:pPr>
                    <w:pStyle w:val="ListParagraph"/>
                    <w:ind w:left="0"/>
                    <w:jc w:val="center"/>
                    <w:rPr>
                      <w:sz w:val="20"/>
                    </w:rPr>
                  </w:pPr>
                  <w:r w:rsidRPr="008D208D">
                    <w:rPr>
                      <w:sz w:val="20"/>
                    </w:rPr>
                    <w:t>$</w:t>
                  </w:r>
                  <w:r w:rsidR="000D588E" w:rsidRPr="008D208D">
                    <w:rPr>
                      <w:sz w:val="20"/>
                    </w:rPr>
                    <w:t>70</w:t>
                  </w:r>
                  <w:r w:rsidRPr="008D208D">
                    <w:rPr>
                      <w:sz w:val="20"/>
                    </w:rPr>
                    <w:t>,000</w:t>
                  </w:r>
                </w:p>
              </w:tc>
              <w:tc>
                <w:tcPr>
                  <w:tcW w:w="1195" w:type="dxa"/>
                </w:tcPr>
                <w:p w:rsidR="00321900" w:rsidRPr="008D208D" w:rsidRDefault="00321900" w:rsidP="00CE2C4F">
                  <w:pPr>
                    <w:pStyle w:val="ListParagraph"/>
                    <w:ind w:left="0"/>
                    <w:jc w:val="center"/>
                    <w:rPr>
                      <w:sz w:val="20"/>
                    </w:rPr>
                  </w:pPr>
                  <w:r w:rsidRPr="008D208D">
                    <w:rPr>
                      <w:sz w:val="20"/>
                    </w:rPr>
                    <w:t>Estimate</w:t>
                  </w:r>
                </w:p>
              </w:tc>
              <w:tc>
                <w:tcPr>
                  <w:tcW w:w="1195" w:type="dxa"/>
                </w:tcPr>
                <w:p w:rsidR="00321900" w:rsidRPr="008D208D" w:rsidRDefault="00321900" w:rsidP="00CE2C4F">
                  <w:pPr>
                    <w:pStyle w:val="ListParagraph"/>
                    <w:ind w:left="0"/>
                    <w:jc w:val="center"/>
                    <w:rPr>
                      <w:sz w:val="20"/>
                    </w:rPr>
                  </w:pPr>
                  <w:r w:rsidRPr="008D208D">
                    <w:rPr>
                      <w:sz w:val="20"/>
                    </w:rPr>
                    <w:t>Nil</w:t>
                  </w:r>
                </w:p>
              </w:tc>
              <w:tc>
                <w:tcPr>
                  <w:tcW w:w="1196" w:type="dxa"/>
                </w:tcPr>
                <w:p w:rsidR="00321900" w:rsidRPr="008D208D" w:rsidRDefault="00321900" w:rsidP="00CE2C4F">
                  <w:pPr>
                    <w:pStyle w:val="ListParagraph"/>
                    <w:ind w:left="0"/>
                    <w:jc w:val="center"/>
                    <w:rPr>
                      <w:sz w:val="20"/>
                    </w:rPr>
                  </w:pPr>
                  <w:r w:rsidRPr="008D208D">
                    <w:rPr>
                      <w:sz w:val="20"/>
                    </w:rPr>
                    <w:t>Nil</w:t>
                  </w:r>
                </w:p>
              </w:tc>
            </w:tr>
          </w:tbl>
          <w:p w:rsidR="00AB6CF7" w:rsidRPr="008D208D" w:rsidRDefault="00AB6CF7" w:rsidP="00321900">
            <w:pPr>
              <w:pStyle w:val="ListParagraph"/>
              <w:ind w:left="0"/>
            </w:pPr>
          </w:p>
        </w:tc>
      </w:tr>
    </w:tbl>
    <w:p w:rsidR="002F5E10" w:rsidRPr="008D208D" w:rsidRDefault="002F5E10" w:rsidP="002F5E10"/>
    <w:p w:rsidR="00BE76A2" w:rsidRPr="008D208D" w:rsidRDefault="00BE76A2" w:rsidP="002F5E10"/>
    <w:p w:rsidR="002F5E10" w:rsidRPr="008D208D" w:rsidRDefault="002F5E10" w:rsidP="002F5E10">
      <w:r w:rsidRPr="008D208D">
        <w:t xml:space="preserve">The rule will only apply to persons who are provisional tax associates of the person wishing to use the rules within section 120KBB.  A </w:t>
      </w:r>
      <w:r w:rsidR="00414DC6" w:rsidRPr="008D208D">
        <w:t>“</w:t>
      </w:r>
      <w:r w:rsidRPr="008D208D">
        <w:t>provisional tax associate</w:t>
      </w:r>
      <w:r w:rsidR="00414DC6" w:rsidRPr="008D208D">
        <w:t>”</w:t>
      </w:r>
      <w:r w:rsidRPr="008D208D">
        <w:t xml:space="preserve"> of person A is</w:t>
      </w:r>
      <w:r w:rsidR="00075FF5" w:rsidRPr="008D208D">
        <w:t xml:space="preserve"> defined as follows</w:t>
      </w:r>
      <w:r w:rsidRPr="008D208D">
        <w:t>:</w:t>
      </w:r>
    </w:p>
    <w:p w:rsidR="002F5E10" w:rsidRPr="008D208D" w:rsidRDefault="002F5E10" w:rsidP="002F5E10"/>
    <w:p w:rsidR="002F5E10" w:rsidRPr="008D208D" w:rsidRDefault="002F5E10" w:rsidP="00BE76A2">
      <w:pPr>
        <w:pStyle w:val="ListParagraph"/>
        <w:numPr>
          <w:ilvl w:val="0"/>
          <w:numId w:val="15"/>
        </w:numPr>
        <w:spacing w:after="140"/>
        <w:ind w:left="567" w:hanging="567"/>
        <w:contextualSpacing w:val="0"/>
      </w:pPr>
      <w:r w:rsidRPr="008D208D">
        <w:t>If person A is a company, another company in the same wholly owned group of companies as person A</w:t>
      </w:r>
      <w:r w:rsidR="00662A7B" w:rsidRPr="008D208D">
        <w:t xml:space="preserve"> is a “provisional tax associate”.</w:t>
      </w:r>
    </w:p>
    <w:p w:rsidR="002F5E10" w:rsidRPr="008D208D" w:rsidRDefault="002F5E10" w:rsidP="00BE76A2">
      <w:pPr>
        <w:pStyle w:val="ListParagraph"/>
        <w:numPr>
          <w:ilvl w:val="0"/>
          <w:numId w:val="15"/>
        </w:numPr>
        <w:spacing w:after="140"/>
        <w:ind w:left="567" w:hanging="567"/>
        <w:contextualSpacing w:val="0"/>
      </w:pPr>
      <w:r w:rsidRPr="008D208D">
        <w:t>If person A is a company, another person that is associated with person A under section YB 3 of the Income Tax Act 2007, treating section YB 3 as requiring 50</w:t>
      </w:r>
      <w:r w:rsidR="00662A7B" w:rsidRPr="008D208D">
        <w:t xml:space="preserve"> percent</w:t>
      </w:r>
      <w:r w:rsidRPr="008D208D">
        <w:t xml:space="preserve"> voting interests and market value interests instead of 25</w:t>
      </w:r>
      <w:r w:rsidR="00662A7B" w:rsidRPr="008D208D">
        <w:t xml:space="preserve"> percent,</w:t>
      </w:r>
      <w:r w:rsidRPr="008D208D">
        <w:t xml:space="preserve"> and ignoring section YB 3(3) and (4) (commonly known as the triparti</w:t>
      </w:r>
      <w:r w:rsidR="000D588E" w:rsidRPr="008D208D">
        <w:t>t</w:t>
      </w:r>
      <w:r w:rsidRPr="008D208D">
        <w:t>e test)</w:t>
      </w:r>
      <w:r w:rsidR="00662A7B" w:rsidRPr="008D208D">
        <w:t>, is a “provisional tax associate”.</w:t>
      </w:r>
    </w:p>
    <w:p w:rsidR="00CE2C4F" w:rsidRPr="008D208D" w:rsidRDefault="00CE2C4F">
      <w:pPr>
        <w:jc w:val="left"/>
      </w:pPr>
      <w:r w:rsidRPr="008D208D">
        <w:br w:type="page"/>
      </w:r>
    </w:p>
    <w:p w:rsidR="002F5E10" w:rsidRPr="008D208D" w:rsidRDefault="002F5E10" w:rsidP="00BE76A2">
      <w:pPr>
        <w:pStyle w:val="ListParagraph"/>
        <w:numPr>
          <w:ilvl w:val="0"/>
          <w:numId w:val="15"/>
        </w:numPr>
        <w:ind w:left="567" w:hanging="567"/>
      </w:pPr>
      <w:r w:rsidRPr="008D208D">
        <w:t>If person A is not a company or is a company acting as a trustee, another person that is associated with person A, treating section YB 3 of the Income Tax Act 2007 as requiring 50</w:t>
      </w:r>
      <w:r w:rsidR="005A7E57" w:rsidRPr="008D208D">
        <w:t xml:space="preserve"> percent</w:t>
      </w:r>
      <w:r w:rsidRPr="008D208D">
        <w:t xml:space="preserve"> voting interests and market value interests instead of 25</w:t>
      </w:r>
      <w:r w:rsidR="005A7E57" w:rsidRPr="008D208D">
        <w:t xml:space="preserve"> percent</w:t>
      </w:r>
      <w:r w:rsidRPr="008D208D">
        <w:t xml:space="preserve"> and also ignoring section YB 3(3) and (4)</w:t>
      </w:r>
      <w:r w:rsidR="005A7E57" w:rsidRPr="008D208D">
        <w:t xml:space="preserve"> is a “provisional tax associate”</w:t>
      </w:r>
      <w:r w:rsidR="00047BBF" w:rsidRPr="008D208D">
        <w:t>.</w:t>
      </w:r>
    </w:p>
    <w:p w:rsidR="002F5E10" w:rsidRPr="008D208D" w:rsidRDefault="002F5E10" w:rsidP="002F5E10"/>
    <w:p w:rsidR="002F5E10" w:rsidRPr="008D208D" w:rsidRDefault="002F5E10" w:rsidP="002F5E10">
      <w:r w:rsidRPr="008D208D">
        <w:t>This definition will essentially capture wholly owned group companies and those who have, directly or indirectly, a 50</w:t>
      </w:r>
      <w:r w:rsidR="00414DC6" w:rsidRPr="008D208D">
        <w:t xml:space="preserve"> percent </w:t>
      </w:r>
      <w:r w:rsidRPr="008D208D">
        <w:t>or greater share</w:t>
      </w:r>
      <w:r w:rsidR="00414DC6" w:rsidRPr="008D208D">
        <w:t xml:space="preserve"> in</w:t>
      </w:r>
      <w:r w:rsidRPr="008D208D">
        <w:t xml:space="preserve"> a company.</w:t>
      </w:r>
    </w:p>
    <w:p w:rsidR="00AC4E1B" w:rsidRPr="008D208D" w:rsidRDefault="00AC4E1B" w:rsidP="00AC4E1B">
      <w:pPr>
        <w:pStyle w:val="BodyText"/>
      </w:pPr>
    </w:p>
    <w:p w:rsidR="00AC4E1B" w:rsidRPr="008D208D" w:rsidRDefault="00AC4E1B" w:rsidP="00AC4E1B">
      <w:pPr>
        <w:pStyle w:val="ListParagraph"/>
        <w:ind w:left="0"/>
        <w:rPr>
          <w:b/>
          <w:sz w:val="20"/>
        </w:rPr>
      </w:pP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b/>
          <w:sz w:val="20"/>
        </w:rPr>
      </w:pPr>
      <w:r w:rsidRPr="008D208D">
        <w:rPr>
          <w:b/>
          <w:sz w:val="20"/>
        </w:rPr>
        <w:t>Example 6</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sz w:val="20"/>
        </w:rPr>
      </w:pPr>
      <w:r w:rsidRPr="008D208D">
        <w:rPr>
          <w:sz w:val="20"/>
        </w:rPr>
        <w:t>Charger Limited (Charger) is owned equally and run by its two shareholders Macintyre and Alistair Craig.  Both draw shareholder-employee salaries from the company from which no PAYE is deducted.  Charger wishes to use the concessionary rules in section 120KBB.  All provisional tax associates must also be “interest concession provisional taxpayers”.</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ind w:left="0"/>
        <w:rPr>
          <w:sz w:val="20"/>
        </w:rPr>
      </w:pPr>
      <w:r w:rsidRPr="008D208D">
        <w:rPr>
          <w:sz w:val="20"/>
        </w:rPr>
        <w:t>As Macintyre and Alistair own 50 percent of the voting interest in Charger they will be required to be interest concession provisional taxpayers or use the GST ratio method to calculate provisional tax.</w:t>
      </w:r>
    </w:p>
    <w:p w:rsidR="00154252" w:rsidRPr="008D208D" w:rsidRDefault="00154252" w:rsidP="002F5E10"/>
    <w:p w:rsidR="00AC4E1B" w:rsidRPr="008D208D" w:rsidRDefault="00AC4E1B" w:rsidP="00AC4E1B">
      <w:pPr>
        <w:pStyle w:val="ListParagraph"/>
        <w:ind w:left="0"/>
        <w:rPr>
          <w:b/>
          <w:sz w:val="20"/>
        </w:rPr>
      </w:pP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b/>
          <w:sz w:val="20"/>
        </w:rPr>
      </w:pPr>
      <w:r w:rsidRPr="008D208D">
        <w:rPr>
          <w:b/>
          <w:sz w:val="20"/>
        </w:rPr>
        <w:t>Example 7</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sz w:val="20"/>
        </w:rPr>
      </w:pPr>
      <w:r w:rsidRPr="008D208D">
        <w:rPr>
          <w:sz w:val="20"/>
        </w:rPr>
        <w:t>Morrissey Limited (Morrissey) is a procurement consulting company owned equally by four university friends who are not related.  All the owners draw shareholder-employee salaries from the company from which no PAYE is deducted</w:t>
      </w:r>
      <w:r w:rsidR="00953D70" w:rsidRPr="008D208D">
        <w:rPr>
          <w:sz w:val="20"/>
        </w:rPr>
        <w:t>.  M</w:t>
      </w:r>
      <w:r w:rsidRPr="008D208D">
        <w:rPr>
          <w:sz w:val="20"/>
        </w:rPr>
        <w:t>orrissey wishes to use the concessionary rules in section 120KBB.  All provisional tax associates must also be interest concession provisional taxpayers or use the GST ratio method.</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ind w:left="0"/>
        <w:rPr>
          <w:sz w:val="20"/>
        </w:rPr>
      </w:pPr>
      <w:r w:rsidRPr="008D208D">
        <w:rPr>
          <w:sz w:val="20"/>
        </w:rPr>
        <w:t>As none of the four shareholders own 50 percent of the voting interest in Morrissey it can use the concessionary rules no matter what provisional tax method the shareholder-employees use.</w:t>
      </w:r>
    </w:p>
    <w:p w:rsidR="002F5E10" w:rsidRPr="008D208D" w:rsidRDefault="002F5E10" w:rsidP="00AC4E1B"/>
    <w:p w:rsidR="00AC4E1B" w:rsidRPr="008D208D" w:rsidRDefault="00AC4E1B" w:rsidP="00AC4E1B">
      <w:pPr>
        <w:rPr>
          <w:b/>
          <w:sz w:val="20"/>
        </w:rPr>
      </w:pP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b/>
          <w:sz w:val="20"/>
        </w:rPr>
      </w:pPr>
      <w:r w:rsidRPr="008D208D">
        <w:rPr>
          <w:b/>
          <w:sz w:val="20"/>
        </w:rPr>
        <w:t>Example 8</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sz w:val="20"/>
        </w:rPr>
      </w:pPr>
      <w:r w:rsidRPr="008D208D">
        <w:rPr>
          <w:sz w:val="20"/>
        </w:rPr>
        <w:t>Coronet Super Bee Limited (CSBL) produces honey from a special breed of bee.  It has two subsidiary companies, Hummer Limited (Hummer) that operates the hives and Bel Air Limited (Bel Air) that bottles the honey.  Hummer is 100 percent owned by CSBL but Bel Air is only 50 percent owned by CSBL with the other 50 percent owned by Pacer Limited, another honey producer who is unrelated to CSBL.</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ind w:left="0"/>
        <w:rPr>
          <w:sz w:val="20"/>
        </w:rPr>
      </w:pPr>
      <w:r w:rsidRPr="008D208D">
        <w:rPr>
          <w:sz w:val="20"/>
        </w:rPr>
        <w:t>Hummer would be required to be an interest concession taxpayer or use the GST ratio method to calculate its provisional tax for CSBL to use the concessionary rules in section 120KBB.</w:t>
      </w:r>
    </w:p>
    <w:p w:rsidR="00AC4E1B" w:rsidRPr="008D208D" w:rsidRDefault="00AC4E1B" w:rsidP="00AC4E1B"/>
    <w:p w:rsidR="00AC4E1B" w:rsidRPr="008D208D" w:rsidRDefault="00AC4E1B" w:rsidP="00AC4E1B"/>
    <w:p w:rsidR="002F5E10" w:rsidRPr="008D208D" w:rsidRDefault="002F5E10" w:rsidP="003164BB">
      <w:pPr>
        <w:pStyle w:val="Heading3"/>
      </w:pPr>
      <w:r w:rsidRPr="008D208D">
        <w:t>What is a provisional tax interest avoidance arrangement?</w:t>
      </w:r>
    </w:p>
    <w:p w:rsidR="002F5E10" w:rsidRPr="008D208D" w:rsidRDefault="002F5E10" w:rsidP="002853CB"/>
    <w:p w:rsidR="002F5E10" w:rsidRPr="008D208D" w:rsidRDefault="002F5E10" w:rsidP="002853CB">
      <w:r w:rsidRPr="008D208D">
        <w:t xml:space="preserve">To be able to use the concessionary rules in section 120KBB there cannot be a </w:t>
      </w:r>
      <w:r w:rsidRPr="008D208D">
        <w:rPr>
          <w:i/>
        </w:rPr>
        <w:t>provisional tax interest avoidance arrangement</w:t>
      </w:r>
      <w:r w:rsidRPr="008D208D">
        <w:t xml:space="preserve"> in relation to the person.  This is defined in section 120KBB(4)(</w:t>
      </w:r>
      <w:r w:rsidR="00081B7F" w:rsidRPr="008D208D">
        <w:t>b</w:t>
      </w:r>
      <w:r w:rsidRPr="008D208D">
        <w:t>) as being an arrangement involving the manipulation of one or more amounts of residual income tax, including a zero amount of residual income tax, with the purpose or effect of defeating the intent and application of the interest rules.</w:t>
      </w:r>
    </w:p>
    <w:p w:rsidR="002F5E10" w:rsidRPr="008D208D" w:rsidRDefault="002F5E10" w:rsidP="002853CB"/>
    <w:p w:rsidR="002F5E10" w:rsidRPr="008D208D" w:rsidRDefault="002F5E10" w:rsidP="002853CB">
      <w:r w:rsidRPr="008D208D">
        <w:t>This is designed to capture the situation where related taxpayers manipulate income between entities to avoid the application of</w:t>
      </w:r>
      <w:r w:rsidR="00081B7F" w:rsidRPr="008D208D">
        <w:t xml:space="preserve"> </w:t>
      </w:r>
      <w:r w:rsidR="00BB5FE7" w:rsidRPr="008D208D">
        <w:t>UOMI</w:t>
      </w:r>
      <w:r w:rsidRPr="008D208D">
        <w:t xml:space="preserve">.  It is expected that most of the opportunity to defeat the intention of the </w:t>
      </w:r>
      <w:r w:rsidR="00BB5FE7" w:rsidRPr="008D208D">
        <w:t xml:space="preserve">UOMI </w:t>
      </w:r>
      <w:r w:rsidRPr="008D208D">
        <w:t>rules have been sufficiently dealt with in the requirement that provisional tax associates use the same provisional tax method</w:t>
      </w:r>
      <w:r w:rsidR="00953D70" w:rsidRPr="008D208D">
        <w:t>.  H</w:t>
      </w:r>
      <w:r w:rsidR="00081B7F" w:rsidRPr="008D208D">
        <w:t>owever, there may be some</w:t>
      </w:r>
      <w:r w:rsidR="00BB5FE7" w:rsidRPr="008D208D">
        <w:t xml:space="preserve"> </w:t>
      </w:r>
      <w:r w:rsidRPr="008D208D">
        <w:t>cases that will sit outside that provis</w:t>
      </w:r>
      <w:r w:rsidR="00047BBF" w:rsidRPr="008D208D">
        <w:t>ion where manipulation occurs.</w:t>
      </w:r>
    </w:p>
    <w:p w:rsidR="002F5E10" w:rsidRPr="008D208D" w:rsidRDefault="002F5E10" w:rsidP="002853CB"/>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b/>
          <w:sz w:val="20"/>
        </w:rPr>
      </w:pPr>
      <w:r w:rsidRPr="008D208D">
        <w:rPr>
          <w:b/>
          <w:sz w:val="20"/>
        </w:rPr>
        <w:t>Example 9</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sz w:val="20"/>
        </w:rPr>
      </w:pPr>
      <w:r w:rsidRPr="008D208D">
        <w:rPr>
          <w:sz w:val="20"/>
        </w:rPr>
        <w:t>Assume the same facts for the Morrissey Limited (Morrissey) example.  As above the shareholders of Morrissey are not caught by the provisional tax associate rule.  During the 2018 income year Morrissey uses the standard method to calculate its provisional tax liability.  In the 2017 year Morrissey used the last of its prior year tax losses, which resulted in a residual income tax liability of $20,000 for the comp</w:t>
      </w:r>
      <w:r w:rsidR="006E08C5" w:rsidRPr="008D208D">
        <w:rPr>
          <w:sz w:val="20"/>
        </w:rPr>
        <w:t>any.</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sz w:val="20"/>
        </w:rPr>
      </w:pPr>
      <w:r w:rsidRPr="008D208D">
        <w:rPr>
          <w:sz w:val="20"/>
        </w:rPr>
        <w:t>The shareholders meet and agree that for the 2018 year they will leave all the profits of the business within the company and will not take any shareholder salaries for the year.  Morrissey pays its provisional tax instalments based on the standard uplift of $7,000 for each of the first two instalments.  Prior to the third instalment it calculates its residual income tax for the year to be $240,000.  It pays a final instalment on that estimated amount of $226,000.  As it meets all the requirements of section 120KBB, UOMI will only apply from any unpaid tax at the final instalment.</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sz w:val="20"/>
        </w:rPr>
      </w:pPr>
      <w:r w:rsidRPr="008D208D">
        <w:rPr>
          <w:sz w:val="20"/>
        </w:rPr>
        <w:t>When Morrissey completes its 2018 tax return it calculates its residual income tax as $240,000 and no UOMI is payable.  No provisional tax is payable by the four shareholders for the 2018 year.</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sz w:val="20"/>
        </w:rPr>
      </w:pPr>
      <w:r w:rsidRPr="008D208D">
        <w:rPr>
          <w:sz w:val="20"/>
        </w:rPr>
        <w:t>For the 2019 year the shareholders meet and agree that for the 2019 year they will pay out all the profits of Morrissey to the shareholders via shareholder salaries, which are not subject to PAYE.  For the 2019 income year Morrissey estimates its provisional tax liability at zero.  The shareholders are not liable for provisional tax.  At the end of the 2019 income year the shareholders calculate that they each have residual income tax of $70,000 each.  The shareholders are able to use the concessionary treatment in section 120KBB and pay the total amount of tax due by the due date for the final instalment.</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sz w:val="20"/>
        </w:rPr>
      </w:pPr>
      <w:r w:rsidRPr="008D208D">
        <w:rPr>
          <w:sz w:val="20"/>
        </w:rPr>
        <w:t>For the 2020 year the shareholders meet and agree to reverse the 2019 position and leave all the income in the company and receive no shareholder salaries.  The shareholders estimate their provisional tax liability at zero and Morrissey is not liable to pay provisional tax.  Again the result is no provisional tax paid and no UOMI payable by the shareholders or the company.  This essentially mirrors the situation described in the De Jong example above.</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ind w:left="0"/>
        <w:rPr>
          <w:sz w:val="20"/>
        </w:rPr>
      </w:pPr>
      <w:r w:rsidRPr="008D208D">
        <w:rPr>
          <w:sz w:val="20"/>
        </w:rPr>
        <w:t>There are no commercial reasons for the switching of income between the parties other than to avoid the application of the UOMI rules.  This situation is likely to be treated as a provisional tax interest avoidance arrangement and the rules in section 120KBB will not apply to any of the income years in question.</w:t>
      </w:r>
    </w:p>
    <w:p w:rsidR="00AC4E1B" w:rsidRPr="008D208D" w:rsidRDefault="00AC4E1B" w:rsidP="002F5E10">
      <w:pPr>
        <w:pStyle w:val="ListParagraph"/>
        <w:ind w:left="0"/>
      </w:pPr>
    </w:p>
    <w:p w:rsidR="00AC4E1B" w:rsidRPr="008D208D" w:rsidRDefault="00AC4E1B" w:rsidP="00AC4E1B">
      <w:pPr>
        <w:pStyle w:val="ListParagraph"/>
        <w:ind w:left="0"/>
        <w:rPr>
          <w:b/>
          <w:sz w:val="20"/>
        </w:rPr>
      </w:pP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b/>
          <w:sz w:val="20"/>
        </w:rPr>
      </w:pPr>
      <w:r w:rsidRPr="008D208D">
        <w:rPr>
          <w:b/>
          <w:sz w:val="20"/>
        </w:rPr>
        <w:t>Example 10</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sz w:val="20"/>
        </w:rPr>
      </w:pPr>
      <w:r w:rsidRPr="008D208D">
        <w:rPr>
          <w:sz w:val="20"/>
        </w:rPr>
        <w:t>Cowan Mattresses Limited (Cowan) has a residual income tax liability for the 2018 year of $100,000.  It decides to use the standard method due to a volatile market in the mattress industry.  Cowan’s 2019 provisional tax liability will be $105,000 with $35,000 being due at each instalment date.</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sz w:val="20"/>
        </w:rPr>
      </w:pPr>
      <w:r w:rsidRPr="008D208D">
        <w:rPr>
          <w:sz w:val="20"/>
        </w:rPr>
        <w:t>The owner of Cowan, Matt, decides to set up another company called Cowan Mattresses (2019) Limited.  This company has a slightly different shareholder structure and is not in a 100 percent wholly owned group with Cowan and is therefore not a provisional tax associate of Cowan Mattresses (2019) Limited.</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sz w:val="20"/>
        </w:rPr>
      </w:pPr>
      <w:r w:rsidRPr="008D208D">
        <w:rPr>
          <w:sz w:val="20"/>
        </w:rPr>
        <w:t>Matt then makes an estimate of Cowan’s income tax liability to zero.  All new mattress sales are put through Cowan Mattresses (2019) Limited during the 2019 year.  At the time for the final instalment of provisional tax Cowan Mattresses (2019) Limited calculates that it has residual income tax of $130,000, which it pays on the date of the final instalment.  Its 2019 tax return confirms that its residual income tax is $130,000 for the year and Cowan Mattresses (2019) Limited is charged no UOMI as it otherwise meets the requirements of section 120KBB.  Cowen has no income for the year and has no residual income tax for the 2019 income year.</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spacing w:after="100"/>
        <w:ind w:left="0"/>
        <w:contextualSpacing w:val="0"/>
        <w:rPr>
          <w:sz w:val="20"/>
        </w:rPr>
      </w:pPr>
      <w:r w:rsidRPr="008D208D">
        <w:rPr>
          <w:sz w:val="20"/>
        </w:rPr>
        <w:t>In the 2020 year Cowan Mattresses (2019) Limited decides to estimate its residual income tax as zero.  Matt then books all mattress sales in Cowan for the 2020 income year.  Again both entities pay no provisional tax for the year.</w:t>
      </w:r>
    </w:p>
    <w:p w:rsidR="00AC4E1B" w:rsidRPr="008D208D" w:rsidRDefault="00AC4E1B" w:rsidP="00AC4E1B">
      <w:pPr>
        <w:pStyle w:val="ListParagraph"/>
        <w:pBdr>
          <w:top w:val="single" w:sz="4" w:space="10" w:color="auto"/>
          <w:left w:val="single" w:sz="4" w:space="10" w:color="auto"/>
          <w:bottom w:val="single" w:sz="4" w:space="10" w:color="auto"/>
          <w:right w:val="single" w:sz="4" w:space="10" w:color="auto"/>
        </w:pBdr>
        <w:ind w:left="0"/>
        <w:rPr>
          <w:sz w:val="20"/>
        </w:rPr>
      </w:pPr>
      <w:r w:rsidRPr="008D208D">
        <w:rPr>
          <w:sz w:val="20"/>
        </w:rPr>
        <w:t>As there is no commercial reason for the structuring of the business in this way, and the effect of the structuring is that no UOMI is paid by the entities (along with no provisional tax), it is likely this situation would be considered a provisional tax interest avoidance arrangement and section 120KBB would not apply.</w:t>
      </w:r>
    </w:p>
    <w:p w:rsidR="00AC4E1B" w:rsidRPr="008D208D" w:rsidRDefault="00AC4E1B" w:rsidP="002853CB"/>
    <w:p w:rsidR="00AC4E1B" w:rsidRPr="008D208D" w:rsidRDefault="00AC4E1B" w:rsidP="002853CB"/>
    <w:p w:rsidR="002F5E10" w:rsidRPr="008D208D" w:rsidRDefault="002F5E10" w:rsidP="002853CB"/>
    <w:p w:rsidR="00AC4E1B" w:rsidRPr="008D208D" w:rsidRDefault="00AC4E1B">
      <w:pPr>
        <w:jc w:val="left"/>
        <w:rPr>
          <w:i/>
        </w:rPr>
      </w:pPr>
      <w:r w:rsidRPr="008D208D">
        <w:rPr>
          <w:i/>
        </w:rPr>
        <w:br w:type="page"/>
      </w:r>
    </w:p>
    <w:p w:rsidR="002F5E10" w:rsidRPr="008D208D" w:rsidRDefault="002F5E10" w:rsidP="00483FFA">
      <w:pPr>
        <w:pStyle w:val="Heading4"/>
      </w:pPr>
      <w:r w:rsidRPr="008D208D">
        <w:t>Can I make payments into a tax pool and still use the rules in section 120KBB?</w:t>
      </w:r>
    </w:p>
    <w:p w:rsidR="002F5E10" w:rsidRPr="008D208D" w:rsidRDefault="002F5E10" w:rsidP="002F5E10"/>
    <w:p w:rsidR="002F5E10" w:rsidRPr="008D208D" w:rsidRDefault="002F5E10" w:rsidP="002F5E10">
      <w:r w:rsidRPr="008D208D">
        <w:t>Tax pooling is a mechanism to facilitate the payment of tax whil</w:t>
      </w:r>
      <w:r w:rsidR="00BA6D0F" w:rsidRPr="008D208D">
        <w:t>e</w:t>
      </w:r>
      <w:r w:rsidRPr="008D208D">
        <w:t xml:space="preserve"> reducing the impact of </w:t>
      </w:r>
      <w:r w:rsidR="00BA6D0F" w:rsidRPr="008D208D">
        <w:t xml:space="preserve">UOMI </w:t>
      </w:r>
      <w:r w:rsidRPr="008D208D">
        <w:t>by allowing taxpayers to swap tax payments between those taxpayers who are overpaid and those who are underpaid.</w:t>
      </w:r>
    </w:p>
    <w:p w:rsidR="002F5E10" w:rsidRPr="008D208D" w:rsidRDefault="002F5E10" w:rsidP="002F5E10"/>
    <w:p w:rsidR="002F5E10" w:rsidRPr="008D208D" w:rsidRDefault="002F5E10" w:rsidP="002F5E10">
      <w:r w:rsidRPr="008D208D">
        <w:t>The new rules in section 120KBB are related to the calculation of</w:t>
      </w:r>
      <w:r w:rsidR="002C403F" w:rsidRPr="008D208D">
        <w:t xml:space="preserve"> </w:t>
      </w:r>
      <w:r w:rsidR="0066142A" w:rsidRPr="008D208D">
        <w:t>UOMI</w:t>
      </w:r>
      <w:r w:rsidRPr="008D208D">
        <w:t xml:space="preserve">.  The overlay of tax pooling does not change the application of the rules and taxpayers can still use tax pooling and take advantage of the new </w:t>
      </w:r>
      <w:r w:rsidR="002C403F" w:rsidRPr="008D208D">
        <w:t xml:space="preserve">UOMI </w:t>
      </w:r>
      <w:r w:rsidRPr="008D208D">
        <w:t>calculation rules as long as the criteria in section 120KBB are met.</w:t>
      </w:r>
    </w:p>
    <w:p w:rsidR="002F5E10" w:rsidRPr="008D208D" w:rsidRDefault="002F5E10" w:rsidP="002F5E10"/>
    <w:p w:rsidR="00AC4E1B" w:rsidRPr="008D208D" w:rsidRDefault="00AC4E1B" w:rsidP="00AC4E1B"/>
    <w:p w:rsidR="00AC4E1B" w:rsidRPr="008D208D" w:rsidRDefault="00AC4E1B" w:rsidP="00AC4E1B">
      <w:pPr>
        <w:pBdr>
          <w:top w:val="single" w:sz="4" w:space="10" w:color="auto"/>
          <w:left w:val="single" w:sz="4" w:space="10" w:color="auto"/>
          <w:bottom w:val="single" w:sz="4" w:space="10" w:color="auto"/>
          <w:right w:val="single" w:sz="4" w:space="10" w:color="auto"/>
        </w:pBdr>
        <w:spacing w:after="100"/>
        <w:rPr>
          <w:b/>
          <w:sz w:val="20"/>
        </w:rPr>
      </w:pPr>
      <w:r w:rsidRPr="008D208D">
        <w:rPr>
          <w:b/>
          <w:sz w:val="20"/>
        </w:rPr>
        <w:t>Example 11</w:t>
      </w:r>
    </w:p>
    <w:p w:rsidR="00AC4E1B" w:rsidRPr="008D208D" w:rsidRDefault="00AC4E1B" w:rsidP="00AC4E1B">
      <w:pPr>
        <w:pBdr>
          <w:top w:val="single" w:sz="4" w:space="10" w:color="auto"/>
          <w:left w:val="single" w:sz="4" w:space="10" w:color="auto"/>
          <w:bottom w:val="single" w:sz="4" w:space="10" w:color="auto"/>
          <w:right w:val="single" w:sz="4" w:space="10" w:color="auto"/>
        </w:pBdr>
        <w:spacing w:after="100"/>
        <w:rPr>
          <w:sz w:val="20"/>
        </w:rPr>
      </w:pPr>
      <w:proofErr w:type="gramStart"/>
      <w:r w:rsidRPr="008D208D">
        <w:rPr>
          <w:sz w:val="20"/>
        </w:rPr>
        <w:t>eWong</w:t>
      </w:r>
      <w:proofErr w:type="gramEnd"/>
      <w:r w:rsidRPr="008D208D">
        <w:rPr>
          <w:sz w:val="20"/>
        </w:rPr>
        <w:t xml:space="preserve"> Limited (eWong) is an advisor to e-commerce retailers, advising them on the security of payment methods.  </w:t>
      </w:r>
      <w:proofErr w:type="gramStart"/>
      <w:r w:rsidRPr="008D208D">
        <w:rPr>
          <w:sz w:val="20"/>
        </w:rPr>
        <w:t>eWong</w:t>
      </w:r>
      <w:proofErr w:type="gramEnd"/>
      <w:r w:rsidRPr="008D208D">
        <w:rPr>
          <w:sz w:val="20"/>
        </w:rPr>
        <w:t xml:space="preserve"> is owned by Enia who has difficulty determining eWong’s tax liability for the year because of the uncertainty of income.  She has previously used a tax pooling intermediary to facilitate the payment of eWong’s provisional tax liabilities.  Enia sees value in using a tax pool as inevitably she finds that eWong’s provisional tax paid does not match its final tax liability no matter how hard she tries to estimate the earnings of the company for the year.  Using the tax pool reduces her cost of UOMI when the estimate is understated and maximises credit UOMI when she ends up overpaying.</w:t>
      </w:r>
    </w:p>
    <w:p w:rsidR="00AC4E1B" w:rsidRPr="008D208D" w:rsidRDefault="00AC4E1B" w:rsidP="00AC4E1B">
      <w:pPr>
        <w:pBdr>
          <w:top w:val="single" w:sz="4" w:space="10" w:color="auto"/>
          <w:left w:val="single" w:sz="4" w:space="10" w:color="auto"/>
          <w:bottom w:val="single" w:sz="4" w:space="10" w:color="auto"/>
          <w:right w:val="single" w:sz="4" w:space="10" w:color="auto"/>
        </w:pBdr>
        <w:spacing w:after="100"/>
        <w:rPr>
          <w:sz w:val="20"/>
        </w:rPr>
      </w:pPr>
      <w:r w:rsidRPr="008D208D">
        <w:rPr>
          <w:sz w:val="20"/>
        </w:rPr>
        <w:t>Enia sees advantages in using the new rules in section 120KBB but has an existing relationship with the tax pooling intermediary she uses and</w:t>
      </w:r>
      <w:r w:rsidR="006E08C5" w:rsidRPr="008D208D">
        <w:rPr>
          <w:sz w:val="20"/>
        </w:rPr>
        <w:t xml:space="preserve"> wishes to continue doing that.</w:t>
      </w:r>
    </w:p>
    <w:p w:rsidR="00AC4E1B" w:rsidRPr="008D208D" w:rsidRDefault="00AC4E1B" w:rsidP="00AC4E1B">
      <w:pPr>
        <w:pBdr>
          <w:top w:val="single" w:sz="4" w:space="10" w:color="auto"/>
          <w:left w:val="single" w:sz="4" w:space="10" w:color="auto"/>
          <w:bottom w:val="single" w:sz="4" w:space="10" w:color="auto"/>
          <w:right w:val="single" w:sz="4" w:space="10" w:color="auto"/>
        </w:pBdr>
        <w:spacing w:after="100"/>
        <w:rPr>
          <w:sz w:val="20"/>
        </w:rPr>
      </w:pPr>
      <w:r w:rsidRPr="008D208D">
        <w:rPr>
          <w:sz w:val="20"/>
        </w:rPr>
        <w:t>For the 2018 year eWong’s residual income tax is $78,000, which means that if eWong wants to use the standard uplift method for its 2019 income year it will need to make three instalments of $27,300.  It pays the first two instalments into the tax pooling intermediary on the due dates.  On the date of the final instalment Enia calculates that eWong’s residual income tax for the 2019 income year is $100,000 so she decides to make a payment to the tax pool of the balancing amount of $45,400.</w:t>
      </w:r>
    </w:p>
    <w:p w:rsidR="00AC4E1B" w:rsidRPr="008D208D" w:rsidRDefault="00AC4E1B" w:rsidP="00AC4E1B">
      <w:pPr>
        <w:pBdr>
          <w:top w:val="single" w:sz="4" w:space="10" w:color="auto"/>
          <w:left w:val="single" w:sz="4" w:space="10" w:color="auto"/>
          <w:bottom w:val="single" w:sz="4" w:space="10" w:color="auto"/>
          <w:right w:val="single" w:sz="4" w:space="10" w:color="auto"/>
        </w:pBdr>
        <w:spacing w:after="100"/>
        <w:rPr>
          <w:sz w:val="20"/>
        </w:rPr>
      </w:pPr>
      <w:r w:rsidRPr="008D208D">
        <w:rPr>
          <w:sz w:val="20"/>
        </w:rPr>
        <w:t>Within the time permitted to make transfers from the tax pool Enia requests that the pooling intermediary make transfers to the income tax account of eWong Limited of $27,300 at the first and second provisional tax dates and $45,400</w:t>
      </w:r>
      <w:r w:rsidR="006E08C5" w:rsidRPr="008D208D">
        <w:rPr>
          <w:sz w:val="20"/>
        </w:rPr>
        <w:t xml:space="preserve"> on the final instalment date.</w:t>
      </w:r>
    </w:p>
    <w:p w:rsidR="00AC4E1B" w:rsidRPr="008D208D" w:rsidRDefault="00AC4E1B" w:rsidP="00AC4E1B">
      <w:pPr>
        <w:pBdr>
          <w:top w:val="single" w:sz="4" w:space="10" w:color="auto"/>
          <w:left w:val="single" w:sz="4" w:space="10" w:color="auto"/>
          <w:bottom w:val="single" w:sz="4" w:space="10" w:color="auto"/>
          <w:right w:val="single" w:sz="4" w:space="10" w:color="auto"/>
        </w:pBdr>
        <w:rPr>
          <w:sz w:val="20"/>
        </w:rPr>
      </w:pPr>
      <w:r w:rsidRPr="008D208D">
        <w:rPr>
          <w:sz w:val="20"/>
        </w:rPr>
        <w:t>Assuming eWong meets all the other requirements of section 120KBB eWong will not be charged any UOMI as it has paid its tax liability for the year by the third instalment and has made the required payments under the standard method for the first two instalments.</w:t>
      </w:r>
    </w:p>
    <w:p w:rsidR="00AC4E1B" w:rsidRPr="008D208D" w:rsidRDefault="00AC4E1B" w:rsidP="002F5E10"/>
    <w:p w:rsidR="002F5E10" w:rsidRPr="008D208D" w:rsidRDefault="002F5E10" w:rsidP="002F5E10">
      <w:pPr>
        <w:rPr>
          <w:i/>
        </w:rPr>
      </w:pPr>
    </w:p>
    <w:p w:rsidR="002F5E10" w:rsidRPr="008D208D" w:rsidRDefault="002F5E10" w:rsidP="00483FFA">
      <w:pPr>
        <w:pStyle w:val="Heading4"/>
      </w:pPr>
      <w:r w:rsidRPr="008D208D">
        <w:t xml:space="preserve">Does credit </w:t>
      </w:r>
      <w:r w:rsidR="006A5221" w:rsidRPr="008D208D">
        <w:t xml:space="preserve">UOMI </w:t>
      </w:r>
      <w:r w:rsidRPr="008D208D">
        <w:t>apply to overpayments?</w:t>
      </w:r>
    </w:p>
    <w:p w:rsidR="002F5E10" w:rsidRPr="008D208D" w:rsidRDefault="002F5E10" w:rsidP="002F5E10"/>
    <w:p w:rsidR="002F5E10" w:rsidRPr="008D208D" w:rsidRDefault="002F5E10" w:rsidP="002F5E10">
      <w:r w:rsidRPr="008D208D">
        <w:t xml:space="preserve">The concessionary rules contained in section 120KBB reduce the impact of </w:t>
      </w:r>
      <w:r w:rsidR="005F280E" w:rsidRPr="008D208D">
        <w:t xml:space="preserve">UOMI </w:t>
      </w:r>
      <w:r w:rsidRPr="008D208D">
        <w:t xml:space="preserve">on taxpayers by delaying the impact of </w:t>
      </w:r>
      <w:r w:rsidR="005F280E" w:rsidRPr="008D208D">
        <w:t xml:space="preserve">UOMI </w:t>
      </w:r>
      <w:r w:rsidRPr="008D208D">
        <w:t>until the final instalment date</w:t>
      </w:r>
      <w:r w:rsidR="005F280E" w:rsidRPr="008D208D">
        <w:t>,</w:t>
      </w:r>
      <w:r w:rsidRPr="008D208D">
        <w:t xml:space="preserve"> which is aft</w:t>
      </w:r>
      <w:r w:rsidR="006E08C5" w:rsidRPr="008D208D">
        <w:t>er the end of the income year.</w:t>
      </w:r>
    </w:p>
    <w:p w:rsidR="002F5E10" w:rsidRPr="008D208D" w:rsidRDefault="002F5E10" w:rsidP="002F5E10"/>
    <w:p w:rsidR="002F5E10" w:rsidRPr="008D208D" w:rsidRDefault="002F5E10" w:rsidP="002F5E10">
      <w:r w:rsidRPr="008D208D">
        <w:t>To be consistent with that</w:t>
      </w:r>
      <w:r w:rsidR="008C1BDD" w:rsidRPr="008D208D">
        <w:t>,</w:t>
      </w:r>
      <w:r w:rsidRPr="008D208D">
        <w:t xml:space="preserve"> no </w:t>
      </w:r>
      <w:r w:rsidR="008C1BDD" w:rsidRPr="008D208D">
        <w:t xml:space="preserve">UOMI </w:t>
      </w:r>
      <w:r w:rsidRPr="008D208D">
        <w:t xml:space="preserve">is payable by Inland Revenue </w:t>
      </w:r>
      <w:r w:rsidR="00081B7F" w:rsidRPr="008D208D">
        <w:t xml:space="preserve">from </w:t>
      </w:r>
      <w:r w:rsidRPr="008D208D">
        <w:t xml:space="preserve">the date of the final instalment.  New section 120VC specifically provides for this.  </w:t>
      </w:r>
      <w:r w:rsidR="006D5C11" w:rsidRPr="008D208D">
        <w:t>T</w:t>
      </w:r>
      <w:r w:rsidRPr="008D208D">
        <w:t>axpayers who use the concessionary rules in section 120KBB will have no credit interest paid to them in respect of overpayments until the date of the final instalment.</w:t>
      </w:r>
    </w:p>
    <w:p w:rsidR="002F5E10" w:rsidRPr="008D208D" w:rsidRDefault="002F5E10" w:rsidP="002F5E10"/>
    <w:p w:rsidR="00AC4E1B" w:rsidRPr="008D208D" w:rsidRDefault="00AC4E1B">
      <w:r w:rsidRPr="008D208D">
        <w:br w:type="page"/>
      </w:r>
    </w:p>
    <w:p w:rsidR="00AC4E1B" w:rsidRPr="008D208D" w:rsidRDefault="00AC4E1B" w:rsidP="00BB3808">
      <w:pPr>
        <w:pBdr>
          <w:top w:val="single" w:sz="4" w:space="10" w:color="auto"/>
          <w:left w:val="single" w:sz="4" w:space="10" w:color="auto"/>
          <w:bottom w:val="single" w:sz="4" w:space="10" w:color="auto"/>
          <w:right w:val="single" w:sz="4" w:space="10" w:color="auto"/>
        </w:pBdr>
        <w:spacing w:after="100"/>
        <w:rPr>
          <w:b/>
          <w:sz w:val="20"/>
        </w:rPr>
      </w:pPr>
      <w:r w:rsidRPr="008D208D">
        <w:rPr>
          <w:b/>
          <w:sz w:val="20"/>
        </w:rPr>
        <w:t>Example 12</w:t>
      </w:r>
    </w:p>
    <w:p w:rsidR="00AC4E1B" w:rsidRPr="008D208D" w:rsidRDefault="00AC4E1B" w:rsidP="00BB3808">
      <w:pPr>
        <w:pBdr>
          <w:top w:val="single" w:sz="4" w:space="10" w:color="auto"/>
          <w:left w:val="single" w:sz="4" w:space="10" w:color="auto"/>
          <w:bottom w:val="single" w:sz="4" w:space="10" w:color="auto"/>
          <w:right w:val="single" w:sz="4" w:space="10" w:color="auto"/>
        </w:pBdr>
        <w:spacing w:after="100"/>
        <w:rPr>
          <w:sz w:val="20"/>
        </w:rPr>
      </w:pPr>
      <w:r w:rsidRPr="008D208D">
        <w:rPr>
          <w:sz w:val="20"/>
        </w:rPr>
        <w:t>Mack Limited is a manufacturer of raincoats.  Mack has historically had a very seasonal business in that it tends to sell more raincoats during the winter months but due to climate change, the demand for raincoats is extremely unpredictable, which makes estimating the income of the company very difficult.</w:t>
      </w:r>
    </w:p>
    <w:p w:rsidR="00AC4E1B" w:rsidRPr="008D208D" w:rsidRDefault="00AC4E1B" w:rsidP="00BB3808">
      <w:pPr>
        <w:pBdr>
          <w:top w:val="single" w:sz="4" w:space="10" w:color="auto"/>
          <w:left w:val="single" w:sz="4" w:space="10" w:color="auto"/>
          <w:bottom w:val="single" w:sz="4" w:space="10" w:color="auto"/>
          <w:right w:val="single" w:sz="4" w:space="10" w:color="auto"/>
        </w:pBdr>
        <w:spacing w:after="100"/>
        <w:rPr>
          <w:sz w:val="20"/>
        </w:rPr>
      </w:pPr>
      <w:r w:rsidRPr="008D208D">
        <w:rPr>
          <w:sz w:val="20"/>
        </w:rPr>
        <w:t>Mack has been using the standard method as the owner, Steve, finds it is the best estimation of income that he can make because of this unpredictability.  However, even using the standard method Steve often finds that Mack ends up paying or receiving UOMI because of its residual income tax not matching with the standard method payments.  Steve thinks the changes to section 120KBB will help Mack as it will ensure there is no exposure to UOMI.</w:t>
      </w:r>
    </w:p>
    <w:p w:rsidR="00AC4E1B" w:rsidRPr="008D208D" w:rsidRDefault="00AC4E1B" w:rsidP="00BB3808">
      <w:pPr>
        <w:pBdr>
          <w:top w:val="single" w:sz="4" w:space="10" w:color="auto"/>
          <w:left w:val="single" w:sz="4" w:space="10" w:color="auto"/>
          <w:bottom w:val="single" w:sz="4" w:space="10" w:color="auto"/>
          <w:right w:val="single" w:sz="4" w:space="10" w:color="auto"/>
        </w:pBdr>
        <w:spacing w:after="100"/>
        <w:rPr>
          <w:sz w:val="20"/>
        </w:rPr>
      </w:pPr>
      <w:r w:rsidRPr="008D208D">
        <w:rPr>
          <w:sz w:val="20"/>
        </w:rPr>
        <w:t>In the 2017 year Mack has residual income tax of $847,000.  It has not filed its 2018 return as yet so calculates its 2019 provisional tax based on 110 percent of the 2017 residual income tax.  This will mean that Mack must make three instalments of $310,567 under the standard uplift.</w:t>
      </w:r>
    </w:p>
    <w:p w:rsidR="00AC4E1B" w:rsidRPr="008D208D" w:rsidRDefault="00AC4E1B" w:rsidP="00BB3808">
      <w:pPr>
        <w:pBdr>
          <w:top w:val="single" w:sz="4" w:space="10" w:color="auto"/>
          <w:left w:val="single" w:sz="4" w:space="10" w:color="auto"/>
          <w:bottom w:val="single" w:sz="4" w:space="10" w:color="auto"/>
          <w:right w:val="single" w:sz="4" w:space="10" w:color="auto"/>
        </w:pBdr>
        <w:spacing w:after="100"/>
        <w:rPr>
          <w:sz w:val="20"/>
        </w:rPr>
      </w:pPr>
      <w:r w:rsidRPr="008D208D">
        <w:rPr>
          <w:sz w:val="20"/>
        </w:rPr>
        <w:t>Mack makes the first two instalments on that basis on time and when it gets to the third instalment Steve has a good idea of what the final residual income tax for Mack will be for the year.  Unfortunately Mack has not had a good year, with rainfall at an all-time low.  Steve calculates the residual income tax for Mack at the final instalment date to be $250,000.  This means that Mack has overpaid its provisional tax for the year.  At the final instalment date Mack estimates its provisional tax liability to be $250,000.  It also requests a refund of the overpaid provisional tax from Inland Revenue, which it receives two months after the final instalment date.</w:t>
      </w:r>
    </w:p>
    <w:p w:rsidR="00AC4E1B" w:rsidRPr="008D208D" w:rsidRDefault="00AC4E1B" w:rsidP="00AC4E1B">
      <w:pPr>
        <w:pBdr>
          <w:top w:val="single" w:sz="4" w:space="10" w:color="auto"/>
          <w:left w:val="single" w:sz="4" w:space="10" w:color="auto"/>
          <w:bottom w:val="single" w:sz="4" w:space="10" w:color="auto"/>
          <w:right w:val="single" w:sz="4" w:space="10" w:color="auto"/>
        </w:pBdr>
        <w:rPr>
          <w:i/>
        </w:rPr>
      </w:pPr>
      <w:r w:rsidRPr="008D208D">
        <w:rPr>
          <w:sz w:val="20"/>
        </w:rPr>
        <w:t>When Mack files its 2019 income tax return the final residual income tax liability is $250,000.  It is assumed that Mack meets all the other requirements of section 120KBB.  Because Mack paid its total residual income tax by the final instalment date, no UOMI would be payable by Mack.  In addition, although to the third instalment date Mack has overpaid its tax for the year, it will only receive credit UOMI from the final instalment date until the date the amount of the overpayment is refunded (that is, two months af</w:t>
      </w:r>
      <w:r w:rsidR="006E08C5" w:rsidRPr="008D208D">
        <w:rPr>
          <w:sz w:val="20"/>
        </w:rPr>
        <w:t>ter the final instalment date).</w:t>
      </w:r>
    </w:p>
    <w:p w:rsidR="00AC4E1B" w:rsidRPr="008D208D" w:rsidRDefault="00AC4E1B" w:rsidP="00700D9A"/>
    <w:p w:rsidR="00CF4ED1" w:rsidRPr="008D208D" w:rsidRDefault="00CF4ED1">
      <w:pPr>
        <w:jc w:val="left"/>
      </w:pPr>
    </w:p>
    <w:p w:rsidR="005E38ED" w:rsidRPr="008D208D" w:rsidRDefault="005E38ED">
      <w:pPr>
        <w:jc w:val="left"/>
        <w:rPr>
          <w:szCs w:val="24"/>
        </w:rPr>
      </w:pPr>
    </w:p>
    <w:p w:rsidR="00321900" w:rsidRPr="008D208D" w:rsidRDefault="00321900" w:rsidP="006C05F2">
      <w:pPr>
        <w:pStyle w:val="Sectionheading"/>
      </w:pPr>
      <w:r w:rsidRPr="008D208D">
        <w:t xml:space="preserve">Safe </w:t>
      </w:r>
      <w:r w:rsidR="00932A9D" w:rsidRPr="008D208D">
        <w:t>h</w:t>
      </w:r>
      <w:r w:rsidRPr="008D208D">
        <w:t xml:space="preserve">arbour from </w:t>
      </w:r>
      <w:r w:rsidR="00F44391" w:rsidRPr="008D208D">
        <w:t>use-of-money interest</w:t>
      </w:r>
    </w:p>
    <w:p w:rsidR="00321900" w:rsidRPr="008D208D" w:rsidRDefault="00321900" w:rsidP="00321900">
      <w:pPr>
        <w:rPr>
          <w:szCs w:val="24"/>
        </w:rPr>
      </w:pPr>
    </w:p>
    <w:p w:rsidR="00AB6CF7" w:rsidRPr="008D208D" w:rsidRDefault="00AB6CF7" w:rsidP="00321900">
      <w:pPr>
        <w:rPr>
          <w:szCs w:val="24"/>
        </w:rPr>
      </w:pPr>
      <w:r w:rsidRPr="008D208D">
        <w:rPr>
          <w:szCs w:val="24"/>
        </w:rPr>
        <w:t xml:space="preserve">Amendments have been made that modify the existing safe harbour from UOMI. </w:t>
      </w:r>
      <w:r w:rsidR="002B0463" w:rsidRPr="008D208D">
        <w:rPr>
          <w:szCs w:val="24"/>
        </w:rPr>
        <w:t xml:space="preserve"> </w:t>
      </w:r>
      <w:r w:rsidRPr="008D208D">
        <w:t>The changes increase the safe harbour from $50,000 to $60,000 of residual income tax and extend the safe harbour to non-individual taxpayers.</w:t>
      </w:r>
    </w:p>
    <w:p w:rsidR="002B0463" w:rsidRPr="008D208D" w:rsidRDefault="002B0463" w:rsidP="00321900"/>
    <w:p w:rsidR="00321900" w:rsidRPr="008D208D" w:rsidRDefault="00321900" w:rsidP="006C05F2">
      <w:pPr>
        <w:pStyle w:val="Heading2"/>
      </w:pPr>
      <w:r w:rsidRPr="008D208D">
        <w:t>Background</w:t>
      </w:r>
    </w:p>
    <w:p w:rsidR="00321900" w:rsidRPr="008D208D" w:rsidRDefault="00321900" w:rsidP="00321900">
      <w:pPr>
        <w:tabs>
          <w:tab w:val="left" w:pos="567"/>
        </w:tabs>
        <w:rPr>
          <w:szCs w:val="24"/>
        </w:rPr>
      </w:pPr>
    </w:p>
    <w:p w:rsidR="00321900" w:rsidRPr="008D208D" w:rsidRDefault="00321900" w:rsidP="00321900">
      <w:r w:rsidRPr="008D208D">
        <w:t>Section 120KE of the Tax Administration Act 1994 contains a safe harbour for taxpayers from the application of</w:t>
      </w:r>
      <w:r w:rsidR="002B0463" w:rsidRPr="008D208D">
        <w:t xml:space="preserve"> UOMI</w:t>
      </w:r>
      <w:r w:rsidRPr="008D208D">
        <w:t xml:space="preserve">.  </w:t>
      </w:r>
      <w:r w:rsidR="002B0463" w:rsidRPr="008D208D">
        <w:t xml:space="preserve">Under the previous rules, </w:t>
      </w:r>
      <w:r w:rsidR="00FC04D9" w:rsidRPr="008D208D">
        <w:t xml:space="preserve">to qualify for </w:t>
      </w:r>
      <w:r w:rsidR="002B0463" w:rsidRPr="008D208D">
        <w:t>the safe harbour, the</w:t>
      </w:r>
      <w:r w:rsidRPr="008D208D">
        <w:t xml:space="preserve"> taxpayer</w:t>
      </w:r>
      <w:r w:rsidR="002B0463" w:rsidRPr="008D208D">
        <w:t xml:space="preserve"> </w:t>
      </w:r>
      <w:r w:rsidR="00FC04D9" w:rsidRPr="008D208D">
        <w:t>had to comply with the following requirements</w:t>
      </w:r>
      <w:r w:rsidRPr="008D208D">
        <w:t>:</w:t>
      </w:r>
    </w:p>
    <w:p w:rsidR="00321900" w:rsidRPr="008D208D" w:rsidRDefault="00321900" w:rsidP="00321900"/>
    <w:p w:rsidR="00321900" w:rsidRPr="008D208D" w:rsidRDefault="00FC04D9" w:rsidP="00AC4E1B">
      <w:pPr>
        <w:pStyle w:val="Bullets"/>
      </w:pPr>
      <w:r w:rsidRPr="008D208D">
        <w:t xml:space="preserve">be </w:t>
      </w:r>
      <w:r w:rsidR="00321900" w:rsidRPr="008D208D">
        <w:t>a natural person, other than in their capacity as a trustee;</w:t>
      </w:r>
    </w:p>
    <w:p w:rsidR="00321900" w:rsidRPr="008D208D" w:rsidRDefault="00FC04D9" w:rsidP="00AC4E1B">
      <w:pPr>
        <w:pStyle w:val="Bullets"/>
      </w:pPr>
      <w:r w:rsidRPr="008D208D">
        <w:t>have</w:t>
      </w:r>
      <w:r w:rsidR="00321900" w:rsidRPr="008D208D">
        <w:t xml:space="preserve"> residual income tax less than $50,000 for the tax year;</w:t>
      </w:r>
    </w:p>
    <w:p w:rsidR="00321900" w:rsidRPr="008D208D" w:rsidRDefault="00321900" w:rsidP="00AC4E1B">
      <w:pPr>
        <w:pStyle w:val="Bullets"/>
      </w:pPr>
      <w:r w:rsidRPr="008D208D">
        <w:t>not</w:t>
      </w:r>
      <w:r w:rsidR="00EE2FC4" w:rsidRPr="008D208D">
        <w:t xml:space="preserve"> have</w:t>
      </w:r>
      <w:r w:rsidRPr="008D208D">
        <w:t xml:space="preserve"> estimated their residual income tax under section RC 7 of the Income Tax Act 2007;</w:t>
      </w:r>
    </w:p>
    <w:p w:rsidR="00321900" w:rsidRPr="008D208D" w:rsidRDefault="00321900" w:rsidP="00AC4E1B">
      <w:pPr>
        <w:pStyle w:val="Bullets"/>
      </w:pPr>
      <w:r w:rsidRPr="008D208D">
        <w:t>not</w:t>
      </w:r>
      <w:r w:rsidR="00EE2FC4" w:rsidRPr="008D208D">
        <w:t xml:space="preserve"> have</w:t>
      </w:r>
      <w:r w:rsidRPr="008D208D">
        <w:t xml:space="preserve"> used a GST ratio under section RC 8</w:t>
      </w:r>
      <w:r w:rsidR="00EE2FC4" w:rsidRPr="008D208D">
        <w:t xml:space="preserve"> </w:t>
      </w:r>
      <w:r w:rsidRPr="008D208D">
        <w:t>in the tax year to determine their provisional tax payable for the tax year; and</w:t>
      </w:r>
    </w:p>
    <w:p w:rsidR="00321900" w:rsidRPr="008D208D" w:rsidRDefault="00321900" w:rsidP="00AC4E1B">
      <w:pPr>
        <w:pStyle w:val="Bullets"/>
        <w:spacing w:after="0"/>
      </w:pPr>
      <w:proofErr w:type="gramStart"/>
      <w:r w:rsidRPr="008D208D">
        <w:t>not</w:t>
      </w:r>
      <w:proofErr w:type="gramEnd"/>
      <w:r w:rsidR="00EE2FC4" w:rsidRPr="008D208D">
        <w:t xml:space="preserve"> </w:t>
      </w:r>
      <w:r w:rsidRPr="008D208D">
        <w:t>at any time in the tax year held an RWT exemption certificate under section 32I</w:t>
      </w:r>
      <w:r w:rsidR="00EE2FC4" w:rsidRPr="008D208D">
        <w:t xml:space="preserve"> of the tax Administration Act 1994.</w:t>
      </w:r>
    </w:p>
    <w:p w:rsidR="00321900" w:rsidRPr="008D208D" w:rsidRDefault="00321900" w:rsidP="00321900"/>
    <w:p w:rsidR="00321900" w:rsidRPr="008D208D" w:rsidRDefault="00DF6842" w:rsidP="00321900">
      <w:r w:rsidRPr="008D208D">
        <w:t>T</w:t>
      </w:r>
      <w:r w:rsidR="00321900" w:rsidRPr="008D208D">
        <w:t>he</w:t>
      </w:r>
      <w:r w:rsidRPr="008D208D">
        <w:t xml:space="preserve"> taxpayer’s</w:t>
      </w:r>
      <w:r w:rsidR="00321900" w:rsidRPr="008D208D">
        <w:t xml:space="preserve"> residual income tax </w:t>
      </w:r>
      <w:r w:rsidRPr="008D208D">
        <w:t>would then be</w:t>
      </w:r>
      <w:r w:rsidR="00321900" w:rsidRPr="008D208D">
        <w:t xml:space="preserve"> due and payable in one instalment on their terminal tax date.  This means no </w:t>
      </w:r>
      <w:r w:rsidRPr="008D208D">
        <w:t xml:space="preserve">UOMI </w:t>
      </w:r>
      <w:r w:rsidR="003D2D0D" w:rsidRPr="008D208D">
        <w:t>would be</w:t>
      </w:r>
      <w:r w:rsidR="00321900" w:rsidRPr="008D208D">
        <w:t xml:space="preserve"> payable by the taxpayer for the tax year notwithstanding they may have underpaid their liability at one or more instalments.</w:t>
      </w:r>
    </w:p>
    <w:p w:rsidR="00321900" w:rsidRPr="008D208D" w:rsidRDefault="00D42F11" w:rsidP="00321900">
      <w:r w:rsidRPr="008D208D">
        <w:t>C</w:t>
      </w:r>
      <w:r w:rsidR="00321900" w:rsidRPr="008D208D">
        <w:t xml:space="preserve">hanges in the </w:t>
      </w:r>
      <w:r w:rsidR="00145B54" w:rsidRPr="008D208D">
        <w:t xml:space="preserve">new </w:t>
      </w:r>
      <w:r w:rsidR="00321900" w:rsidRPr="008D208D">
        <w:t>Act modify this rule.</w:t>
      </w:r>
    </w:p>
    <w:p w:rsidR="00321900" w:rsidRPr="008D208D" w:rsidRDefault="00321900" w:rsidP="00321900">
      <w:pPr>
        <w:tabs>
          <w:tab w:val="left" w:pos="567"/>
        </w:tabs>
        <w:rPr>
          <w:szCs w:val="24"/>
        </w:rPr>
      </w:pPr>
    </w:p>
    <w:p w:rsidR="00321900" w:rsidRPr="008D208D" w:rsidRDefault="00321900" w:rsidP="006C05F2">
      <w:pPr>
        <w:pStyle w:val="Heading2"/>
      </w:pPr>
      <w:r w:rsidRPr="008D208D">
        <w:t>Key features</w:t>
      </w:r>
    </w:p>
    <w:p w:rsidR="00321900" w:rsidRPr="008D208D" w:rsidRDefault="00321900" w:rsidP="00321900"/>
    <w:p w:rsidR="00321900" w:rsidRPr="008D208D" w:rsidRDefault="00321900" w:rsidP="00321900">
      <w:r w:rsidRPr="008D208D">
        <w:t>The modifications to the current safe harbour rule:</w:t>
      </w:r>
    </w:p>
    <w:p w:rsidR="00321900" w:rsidRPr="008D208D" w:rsidRDefault="00321900" w:rsidP="00321900"/>
    <w:p w:rsidR="00321900" w:rsidRPr="008D208D" w:rsidRDefault="00321900" w:rsidP="00AC4E1B">
      <w:pPr>
        <w:pStyle w:val="Bullets"/>
      </w:pPr>
      <w:r w:rsidRPr="008D208D">
        <w:t>increase the</w:t>
      </w:r>
      <w:r w:rsidR="008617E3" w:rsidRPr="008D208D">
        <w:t xml:space="preserve"> threshold to use the safe harbour for a taxpayer’s residual income tax</w:t>
      </w:r>
      <w:r w:rsidRPr="008D208D">
        <w:t xml:space="preserve"> from $50,000 to $60,000;</w:t>
      </w:r>
    </w:p>
    <w:p w:rsidR="00321900" w:rsidRPr="008D208D" w:rsidRDefault="00321900" w:rsidP="00AC4E1B">
      <w:pPr>
        <w:pStyle w:val="Bullets"/>
      </w:pPr>
      <w:r w:rsidRPr="008D208D">
        <w:t>extend the safe harbour to non-individual taxpayers;</w:t>
      </w:r>
    </w:p>
    <w:p w:rsidR="00321900" w:rsidRPr="008D208D" w:rsidRDefault="00321900" w:rsidP="00AC4E1B">
      <w:pPr>
        <w:pStyle w:val="Bullets"/>
      </w:pPr>
      <w:r w:rsidRPr="008D208D">
        <w:t>ensure that taxpayers using the safe harbour have paid the instalments required;</w:t>
      </w:r>
    </w:p>
    <w:p w:rsidR="00321900" w:rsidRPr="008D208D" w:rsidRDefault="00321900" w:rsidP="00AC4E1B">
      <w:pPr>
        <w:pStyle w:val="Bullets"/>
      </w:pPr>
      <w:r w:rsidRPr="008D208D">
        <w:t>remove the current requirement that the taxpayer cannot use the safe harbour whe</w:t>
      </w:r>
      <w:r w:rsidR="0001100E" w:rsidRPr="008D208D">
        <w:t>n</w:t>
      </w:r>
      <w:r w:rsidRPr="008D208D">
        <w:t xml:space="preserve"> they have an RWT exemption certificate issued under section 32I; and</w:t>
      </w:r>
    </w:p>
    <w:p w:rsidR="00321900" w:rsidRPr="008D208D" w:rsidRDefault="00321900" w:rsidP="00AC4E1B">
      <w:pPr>
        <w:pStyle w:val="Bullets"/>
        <w:spacing w:after="0"/>
      </w:pPr>
      <w:proofErr w:type="gramStart"/>
      <w:r w:rsidRPr="008D208D">
        <w:t>introduce</w:t>
      </w:r>
      <w:proofErr w:type="gramEnd"/>
      <w:r w:rsidRPr="008D208D">
        <w:t xml:space="preserve"> a new anti-avoidance provision to the safe harbour.</w:t>
      </w:r>
    </w:p>
    <w:p w:rsidR="00321900" w:rsidRPr="008D208D" w:rsidRDefault="00321900" w:rsidP="00321900"/>
    <w:p w:rsidR="00321900" w:rsidRPr="008D208D" w:rsidRDefault="00321900" w:rsidP="00321900">
      <w:r w:rsidRPr="008D208D">
        <w:t xml:space="preserve">The safe harbour rule is designed to alleviate the impact of </w:t>
      </w:r>
      <w:r w:rsidR="00AE7EFF" w:rsidRPr="008D208D">
        <w:t xml:space="preserve">UOMI </w:t>
      </w:r>
      <w:r w:rsidRPr="008D208D">
        <w:t xml:space="preserve">for those taxpayers who have relatively small amounts of residual income tax.  This concession has previously only been available to natural persons.  The changes extend the safe harbour to non-individuals </w:t>
      </w:r>
      <w:r w:rsidR="00AE7EFF" w:rsidRPr="008D208D">
        <w:t xml:space="preserve">and </w:t>
      </w:r>
      <w:r w:rsidRPr="008D208D">
        <w:t>increas</w:t>
      </w:r>
      <w:r w:rsidR="00AE7EFF" w:rsidRPr="008D208D">
        <w:t>e</w:t>
      </w:r>
      <w:r w:rsidRPr="008D208D">
        <w:t xml:space="preserve"> the </w:t>
      </w:r>
      <w:r w:rsidR="00281DA2" w:rsidRPr="008D208D">
        <w:t>threshold to residual income tax of less than</w:t>
      </w:r>
      <w:r w:rsidRPr="008D208D">
        <w:t xml:space="preserve"> $60,000.  </w:t>
      </w:r>
      <w:r w:rsidR="00AE7EFF" w:rsidRPr="008D208D">
        <w:t xml:space="preserve">To prevent </w:t>
      </w:r>
      <w:r w:rsidR="000B1671" w:rsidRPr="008D208D">
        <w:t>non-individuals</w:t>
      </w:r>
      <w:r w:rsidRPr="008D208D">
        <w:t xml:space="preserve"> </w:t>
      </w:r>
      <w:r w:rsidR="00AE7EFF" w:rsidRPr="008D208D">
        <w:t>from</w:t>
      </w:r>
      <w:r w:rsidRPr="008D208D">
        <w:t xml:space="preserve"> manipulat</w:t>
      </w:r>
      <w:r w:rsidR="00AE7EFF" w:rsidRPr="008D208D">
        <w:t>ing</w:t>
      </w:r>
      <w:r w:rsidRPr="008D208D">
        <w:t xml:space="preserve"> incomes between related parties</w:t>
      </w:r>
      <w:r w:rsidR="00AE7EFF" w:rsidRPr="008D208D">
        <w:t xml:space="preserve">, </w:t>
      </w:r>
      <w:r w:rsidRPr="008D208D">
        <w:t xml:space="preserve">a new anti-avoidance provision </w:t>
      </w:r>
      <w:r w:rsidR="00AE7EFF" w:rsidRPr="008D208D">
        <w:t xml:space="preserve">has been introduced </w:t>
      </w:r>
      <w:r w:rsidRPr="008D208D">
        <w:t>to protect against gaming of the safe harbour.</w:t>
      </w:r>
    </w:p>
    <w:p w:rsidR="00281DA2" w:rsidRPr="008D208D" w:rsidRDefault="00281DA2" w:rsidP="00321900"/>
    <w:p w:rsidR="00281DA2" w:rsidRPr="008D208D" w:rsidRDefault="00281DA2" w:rsidP="00321900">
      <w:r w:rsidRPr="008D208D">
        <w:t>There has also been a consequential amendment to the definition of “initial provisional taxpayer” in section YA 1 of the Income Tax Act 2007 to reflect this change.</w:t>
      </w:r>
    </w:p>
    <w:p w:rsidR="00321900" w:rsidRPr="008D208D" w:rsidRDefault="00321900" w:rsidP="00321900">
      <w:pPr>
        <w:pStyle w:val="Bullets"/>
        <w:numPr>
          <w:ilvl w:val="0"/>
          <w:numId w:val="0"/>
        </w:numPr>
        <w:spacing w:after="0"/>
      </w:pPr>
    </w:p>
    <w:p w:rsidR="00321900" w:rsidRPr="008D208D" w:rsidRDefault="00321900" w:rsidP="006C05F2">
      <w:pPr>
        <w:pStyle w:val="Heading2"/>
      </w:pPr>
      <w:r w:rsidRPr="008D208D">
        <w:t>Application date</w:t>
      </w:r>
    </w:p>
    <w:p w:rsidR="00321900" w:rsidRPr="008D208D" w:rsidRDefault="00321900" w:rsidP="00321900"/>
    <w:p w:rsidR="00321900" w:rsidRPr="008D208D" w:rsidRDefault="00321900" w:rsidP="00321900">
      <w:r w:rsidRPr="008D208D">
        <w:t xml:space="preserve">The </w:t>
      </w:r>
      <w:r w:rsidR="00F33638" w:rsidRPr="008D208D">
        <w:t>amendments</w:t>
      </w:r>
      <w:r w:rsidRPr="008D208D">
        <w:t xml:space="preserve"> to the safe harbour rule in section </w:t>
      </w:r>
      <w:proofErr w:type="gramStart"/>
      <w:r w:rsidRPr="008D208D">
        <w:t>120KE(</w:t>
      </w:r>
      <w:proofErr w:type="gramEnd"/>
      <w:r w:rsidRPr="008D208D">
        <w:t>1) apply for the 2017</w:t>
      </w:r>
      <w:r w:rsidR="00F33638" w:rsidRPr="008D208D">
        <w:t>–</w:t>
      </w:r>
      <w:r w:rsidRPr="008D208D">
        <w:t>18 and later income years.</w:t>
      </w:r>
    </w:p>
    <w:p w:rsidR="00321900" w:rsidRPr="008D208D" w:rsidRDefault="00321900" w:rsidP="00321900"/>
    <w:p w:rsidR="00321900" w:rsidRPr="008D208D" w:rsidRDefault="00321900" w:rsidP="006C05F2">
      <w:pPr>
        <w:pStyle w:val="Heading2"/>
      </w:pPr>
      <w:r w:rsidRPr="008D208D">
        <w:t>Detailed analysis</w:t>
      </w:r>
    </w:p>
    <w:p w:rsidR="00321900" w:rsidRPr="008D208D" w:rsidRDefault="00321900" w:rsidP="00321900"/>
    <w:p w:rsidR="00321900" w:rsidRPr="008D208D" w:rsidRDefault="00321900" w:rsidP="00321900">
      <w:r w:rsidRPr="008D208D">
        <w:t xml:space="preserve">Section 110 of the </w:t>
      </w:r>
      <w:r w:rsidR="00A856AC" w:rsidRPr="008D208D">
        <w:t xml:space="preserve">new </w:t>
      </w:r>
      <w:r w:rsidRPr="008D208D">
        <w:t xml:space="preserve">Act modifies the application of the safe harbour by modifying section </w:t>
      </w:r>
      <w:proofErr w:type="gramStart"/>
      <w:r w:rsidRPr="008D208D">
        <w:t>120KE(</w:t>
      </w:r>
      <w:proofErr w:type="gramEnd"/>
      <w:r w:rsidRPr="008D208D">
        <w:t>1) of the Tax Administration Act 1994.</w:t>
      </w:r>
    </w:p>
    <w:p w:rsidR="00321900" w:rsidRPr="008D208D" w:rsidRDefault="00321900" w:rsidP="00321900"/>
    <w:p w:rsidR="00321900" w:rsidRPr="008D208D" w:rsidRDefault="00321900" w:rsidP="00321900">
      <w:r w:rsidRPr="008D208D">
        <w:t>It replaces section 120KE(1)(a)</w:t>
      </w:r>
      <w:r w:rsidR="00C634AE" w:rsidRPr="008D208D">
        <w:t>,</w:t>
      </w:r>
      <w:r w:rsidRPr="008D208D">
        <w:t xml:space="preserve"> removing the requirement </w:t>
      </w:r>
      <w:r w:rsidR="00C634AE" w:rsidRPr="008D208D">
        <w:t>for</w:t>
      </w:r>
      <w:r w:rsidRPr="008D208D">
        <w:t xml:space="preserve"> the taxpayer </w:t>
      </w:r>
      <w:r w:rsidR="00C634AE" w:rsidRPr="008D208D">
        <w:t>to be</w:t>
      </w:r>
      <w:r w:rsidRPr="008D208D">
        <w:t xml:space="preserve"> a natural person but requiring that the taxpayer </w:t>
      </w:r>
      <w:r w:rsidR="0060680D" w:rsidRPr="008D208D">
        <w:t>to</w:t>
      </w:r>
      <w:r w:rsidRPr="008D208D">
        <w:t xml:space="preserve"> ma</w:t>
      </w:r>
      <w:r w:rsidR="0060680D" w:rsidRPr="008D208D">
        <w:t>k</w:t>
      </w:r>
      <w:r w:rsidRPr="008D208D">
        <w:t>e all instalments required under section</w:t>
      </w:r>
      <w:r w:rsidR="0060680D" w:rsidRPr="008D208D">
        <w:t>s</w:t>
      </w:r>
      <w:r w:rsidRPr="008D208D">
        <w:t xml:space="preserve"> RC 3(3), RC 9 </w:t>
      </w:r>
      <w:r w:rsidR="008617E3" w:rsidRPr="008D208D">
        <w:t xml:space="preserve">and </w:t>
      </w:r>
      <w:r w:rsidRPr="008D208D">
        <w:t>RC 10 of the Income Tax Act</w:t>
      </w:r>
      <w:r w:rsidR="0060680D" w:rsidRPr="008D208D">
        <w:t xml:space="preserve"> 2007</w:t>
      </w:r>
      <w:r w:rsidRPr="008D208D">
        <w:t>.</w:t>
      </w:r>
    </w:p>
    <w:p w:rsidR="00321900" w:rsidRPr="008D208D" w:rsidRDefault="00321900" w:rsidP="00321900"/>
    <w:p w:rsidR="00321900" w:rsidRPr="008D208D" w:rsidRDefault="00321900" w:rsidP="00321900">
      <w:r w:rsidRPr="008D208D">
        <w:t xml:space="preserve">Subsection 110(2) replaces $50,000 with $60,000 in section </w:t>
      </w:r>
      <w:proofErr w:type="gramStart"/>
      <w:r w:rsidRPr="008D208D">
        <w:t>120KE(</w:t>
      </w:r>
      <w:proofErr w:type="gramEnd"/>
      <w:r w:rsidRPr="008D208D">
        <w:t>1)(b) increasing the threshold for residual income tax to use the safe harbour from $50,000 to $60,000.</w:t>
      </w:r>
    </w:p>
    <w:p w:rsidR="00321900" w:rsidRPr="008D208D" w:rsidRDefault="00321900" w:rsidP="00321900"/>
    <w:p w:rsidR="00321900" w:rsidRPr="008D208D" w:rsidRDefault="00321900" w:rsidP="00321900">
      <w:r w:rsidRPr="008D208D">
        <w:t>Subsection 110(3) introduces the anti-avoidance provision which requires that there is no provisional tax interest avoidance arrangement in relation to the taxpayer.</w:t>
      </w:r>
    </w:p>
    <w:p w:rsidR="00321900" w:rsidRPr="008D208D" w:rsidRDefault="00321900" w:rsidP="00321900"/>
    <w:p w:rsidR="00321900" w:rsidRPr="008D208D" w:rsidRDefault="00321900" w:rsidP="00321900">
      <w:r w:rsidRPr="008D208D">
        <w:t xml:space="preserve">A provisional tax interest avoidance arrangement is defined in new section 120KBB of the Tax Administration Act </w:t>
      </w:r>
      <w:r w:rsidR="00260117" w:rsidRPr="008D208D">
        <w:t>as</w:t>
      </w:r>
      <w:r w:rsidRPr="008D208D">
        <w:t xml:space="preserve"> an arrangement involving the manipulation of one or more amounts of residual income tax</w:t>
      </w:r>
      <w:r w:rsidR="00260117" w:rsidRPr="008D208D">
        <w:t>,</w:t>
      </w:r>
      <w:r w:rsidRPr="008D208D">
        <w:t xml:space="preserve"> including a zero amount of residual income tax, with the purpose or effect of defeating the intent and application of the interest rules within the Tax Administration Act.</w:t>
      </w:r>
    </w:p>
    <w:p w:rsidR="00321900" w:rsidRPr="008D208D" w:rsidRDefault="00321900" w:rsidP="00321900"/>
    <w:p w:rsidR="00321900" w:rsidRPr="008D208D" w:rsidRDefault="00321900" w:rsidP="00321900">
      <w:r w:rsidRPr="008D208D">
        <w:t xml:space="preserve">Subsection 110(3) also removes the current requirement in section </w:t>
      </w:r>
      <w:proofErr w:type="gramStart"/>
      <w:r w:rsidRPr="008D208D">
        <w:t>120KE(</w:t>
      </w:r>
      <w:proofErr w:type="gramEnd"/>
      <w:r w:rsidRPr="008D208D">
        <w:t>1)(e) that restricts taxpayers who have a RWT certificate of exemption issued under section 32I from using the safe harbour.</w:t>
      </w:r>
    </w:p>
    <w:p w:rsidR="00321900" w:rsidRPr="008D208D" w:rsidRDefault="00321900" w:rsidP="00321900"/>
    <w:p w:rsidR="00321900" w:rsidRPr="008D208D" w:rsidRDefault="00321900" w:rsidP="00321900">
      <w:pPr>
        <w:pStyle w:val="Heading3"/>
      </w:pPr>
      <w:r w:rsidRPr="008D208D">
        <w:t>When the safe harbour applies</w:t>
      </w:r>
    </w:p>
    <w:p w:rsidR="00321900" w:rsidRPr="008D208D" w:rsidRDefault="00321900" w:rsidP="00321900">
      <w:pPr>
        <w:rPr>
          <w:i/>
        </w:rPr>
      </w:pPr>
    </w:p>
    <w:p w:rsidR="00321900" w:rsidRPr="008D208D" w:rsidRDefault="00321900" w:rsidP="00321900">
      <w:r w:rsidRPr="008D208D">
        <w:t xml:space="preserve">The </w:t>
      </w:r>
      <w:r w:rsidR="004A22D3" w:rsidRPr="008D208D">
        <w:t>amended</w:t>
      </w:r>
      <w:r w:rsidRPr="008D208D">
        <w:t xml:space="preserve"> safe harbour rule in section </w:t>
      </w:r>
      <w:proofErr w:type="gramStart"/>
      <w:r w:rsidRPr="008D208D">
        <w:t>120KE(</w:t>
      </w:r>
      <w:proofErr w:type="gramEnd"/>
      <w:r w:rsidRPr="008D208D">
        <w:t>1) provide</w:t>
      </w:r>
      <w:r w:rsidR="004A22D3" w:rsidRPr="008D208D">
        <w:t>s</w:t>
      </w:r>
      <w:r w:rsidRPr="008D208D">
        <w:t xml:space="preserve"> that a provisional taxpayer’s residual income tax for a tax year is due and payable in one instalment on their terminal tax date if</w:t>
      </w:r>
      <w:r w:rsidR="00B0148F" w:rsidRPr="008D208D">
        <w:t>:</w:t>
      </w:r>
    </w:p>
    <w:p w:rsidR="00321900" w:rsidRPr="008D208D" w:rsidRDefault="00321900" w:rsidP="00321900"/>
    <w:p w:rsidR="00321900" w:rsidRPr="008D208D" w:rsidRDefault="00321900" w:rsidP="00AC4E1B">
      <w:pPr>
        <w:pStyle w:val="Bullets"/>
      </w:pPr>
      <w:r w:rsidRPr="008D208D">
        <w:t>they have paid all instalments under one of the standard methods described in section RC 5(2) or (3) of the Income Tax Act 2007 on or before the instalment dates in accordance with section</w:t>
      </w:r>
      <w:r w:rsidR="00B0148F" w:rsidRPr="008D208D">
        <w:t>s</w:t>
      </w:r>
      <w:r w:rsidRPr="008D208D">
        <w:t xml:space="preserve"> RC 9 and </w:t>
      </w:r>
      <w:r w:rsidR="00B0148F" w:rsidRPr="008D208D">
        <w:t xml:space="preserve">RC </w:t>
      </w:r>
      <w:r w:rsidRPr="008D208D">
        <w:t>10 or they have no obligation to pay provisional tax under section RC 3(3);</w:t>
      </w:r>
    </w:p>
    <w:p w:rsidR="00321900" w:rsidRPr="008D208D" w:rsidRDefault="00321900" w:rsidP="00AC4E1B">
      <w:pPr>
        <w:pStyle w:val="Bullets"/>
      </w:pPr>
      <w:r w:rsidRPr="008D208D">
        <w:t>their residual income tax is less than $60,000 for the tax year;</w:t>
      </w:r>
    </w:p>
    <w:p w:rsidR="00321900" w:rsidRPr="008D208D" w:rsidRDefault="00321900" w:rsidP="00AC4E1B">
      <w:pPr>
        <w:pStyle w:val="Bullets"/>
      </w:pPr>
      <w:r w:rsidRPr="008D208D">
        <w:t>they have not estimated their residual income tax under section RC 7 of the Income Tax Act 2007 for the tax year;</w:t>
      </w:r>
    </w:p>
    <w:p w:rsidR="00321900" w:rsidRPr="008D208D" w:rsidRDefault="00321900" w:rsidP="00AC4E1B">
      <w:pPr>
        <w:pStyle w:val="Bullets"/>
      </w:pPr>
      <w:r w:rsidRPr="008D208D">
        <w:t>they have not used a GST ratio under section RC 8 of that Act in the tax year to determine the amount of provisional tax payable for the year; and</w:t>
      </w:r>
    </w:p>
    <w:p w:rsidR="00321900" w:rsidRPr="008D208D" w:rsidRDefault="00321900" w:rsidP="00AC4E1B">
      <w:pPr>
        <w:pStyle w:val="Bullets"/>
        <w:spacing w:after="0"/>
      </w:pPr>
      <w:proofErr w:type="gramStart"/>
      <w:r w:rsidRPr="008D208D">
        <w:t>there</w:t>
      </w:r>
      <w:proofErr w:type="gramEnd"/>
      <w:r w:rsidRPr="008D208D">
        <w:t xml:space="preserve"> is no provisional tax interest avoidance arrangement in relation to the person.</w:t>
      </w:r>
    </w:p>
    <w:p w:rsidR="00321900" w:rsidRPr="008D208D" w:rsidRDefault="00321900" w:rsidP="00321900"/>
    <w:p w:rsidR="00321900" w:rsidRPr="008D208D" w:rsidRDefault="00321900" w:rsidP="00321900"/>
    <w:p w:rsidR="00321900" w:rsidRPr="008D208D" w:rsidRDefault="00321900" w:rsidP="00A63705">
      <w:pPr>
        <w:pStyle w:val="Exampleheading"/>
        <w:pBdr>
          <w:top w:val="single" w:sz="4" w:space="10" w:color="auto"/>
          <w:left w:val="single" w:sz="4" w:space="10" w:color="auto"/>
          <w:bottom w:val="single" w:sz="4" w:space="10" w:color="auto"/>
          <w:right w:val="single" w:sz="4" w:space="10" w:color="auto"/>
        </w:pBdr>
        <w:spacing w:after="100"/>
      </w:pPr>
      <w:r w:rsidRPr="008D208D">
        <w:t>Example</w:t>
      </w:r>
      <w:r w:rsidR="00BC2C04" w:rsidRPr="008D208D">
        <w:t xml:space="preserve"> 13</w:t>
      </w:r>
    </w:p>
    <w:p w:rsidR="00321900" w:rsidRPr="008D208D" w:rsidRDefault="00321900" w:rsidP="00321900">
      <w:pPr>
        <w:pStyle w:val="Exampletext"/>
        <w:pBdr>
          <w:top w:val="single" w:sz="4" w:space="10" w:color="auto"/>
          <w:left w:val="single" w:sz="4" w:space="10" w:color="auto"/>
          <w:bottom w:val="single" w:sz="4" w:space="10" w:color="auto"/>
          <w:right w:val="single" w:sz="4" w:space="10" w:color="auto"/>
        </w:pBdr>
      </w:pPr>
      <w:r w:rsidRPr="008D208D">
        <w:t xml:space="preserve">Leroy is a provisional taxpayer for the 2018 income year </w:t>
      </w:r>
      <w:proofErr w:type="gramStart"/>
      <w:r w:rsidRPr="008D208D">
        <w:t>who</w:t>
      </w:r>
      <w:proofErr w:type="gramEnd"/>
      <w:r w:rsidRPr="008D208D">
        <w:t xml:space="preserve"> uses the standard method.  He is required to make three instalments of $10,000 during the year which he does on the applicable due dates.  When Leroy completes his tax return he discovers that his residual income tax for the year is $57,000.  He has underpaid his provisional tax for the year.  However, because Leroy has paid all three instalments on the due dates, his residual income tax is less than $60,000, he has not estimated or used the GST ratio method and there is no provisional tax avoidance arrangement in relation to Leroy</w:t>
      </w:r>
      <w:r w:rsidR="00AD2B8E" w:rsidRPr="008D208D">
        <w:t>,</w:t>
      </w:r>
      <w:r w:rsidRPr="008D208D">
        <w:t xml:space="preserve"> section 120KE (1) will deem his residual income tax to be due and payable in one instalment on his terminal tax date</w:t>
      </w:r>
      <w:r w:rsidR="00AD2B8E" w:rsidRPr="008D208D">
        <w:t xml:space="preserve">. </w:t>
      </w:r>
      <w:r w:rsidRPr="008D208D">
        <w:t xml:space="preserve"> </w:t>
      </w:r>
      <w:r w:rsidR="00AD2B8E" w:rsidRPr="008D208D">
        <w:t>H</w:t>
      </w:r>
      <w:r w:rsidRPr="008D208D">
        <w:t xml:space="preserve">e will not have any </w:t>
      </w:r>
      <w:r w:rsidR="00AD2B8E" w:rsidRPr="008D208D">
        <w:t xml:space="preserve">UOMI </w:t>
      </w:r>
      <w:r w:rsidRPr="008D208D">
        <w:t>exposure</w:t>
      </w:r>
      <w:r w:rsidR="000D588E" w:rsidRPr="008D208D">
        <w:t xml:space="preserve"> until that date</w:t>
      </w:r>
      <w:r w:rsidRPr="008D208D">
        <w:t>.</w:t>
      </w:r>
    </w:p>
    <w:p w:rsidR="00321900" w:rsidRPr="008D208D" w:rsidRDefault="00321900" w:rsidP="00BB3808"/>
    <w:p w:rsidR="00A63705" w:rsidRPr="008D208D" w:rsidRDefault="00A63705" w:rsidP="00BB3808"/>
    <w:p w:rsidR="00321900" w:rsidRPr="008D208D" w:rsidRDefault="00321900" w:rsidP="00A63705">
      <w:pPr>
        <w:pStyle w:val="Exampleheading"/>
        <w:pBdr>
          <w:top w:val="single" w:sz="4" w:space="10" w:color="auto"/>
          <w:left w:val="single" w:sz="4" w:space="10" w:color="auto"/>
          <w:bottom w:val="single" w:sz="4" w:space="10" w:color="auto"/>
          <w:right w:val="single" w:sz="4" w:space="10" w:color="auto"/>
        </w:pBdr>
        <w:spacing w:after="100"/>
      </w:pPr>
      <w:r w:rsidRPr="008D208D">
        <w:t>Example</w:t>
      </w:r>
      <w:r w:rsidR="00BC2C04" w:rsidRPr="008D208D">
        <w:t xml:space="preserve"> 14</w:t>
      </w:r>
    </w:p>
    <w:p w:rsidR="00321900" w:rsidRPr="008D208D" w:rsidRDefault="00321900" w:rsidP="00A63705">
      <w:pPr>
        <w:pStyle w:val="Exampletext"/>
        <w:pBdr>
          <w:top w:val="single" w:sz="4" w:space="10" w:color="auto"/>
          <w:left w:val="single" w:sz="4" w:space="10" w:color="auto"/>
          <w:bottom w:val="single" w:sz="4" w:space="10" w:color="auto"/>
          <w:right w:val="single" w:sz="4" w:space="10" w:color="auto"/>
        </w:pBdr>
        <w:spacing w:after="100"/>
      </w:pPr>
      <w:r w:rsidRPr="008D208D">
        <w:t>Shoshanna is a provisional taxpayer for the 2018 income year.  Under the standard method she is required to make three instalments of $10,000 on 28 August 2017, 15 January 2018 and 7 May 2018.  She makes the following payments during the year:</w:t>
      </w:r>
    </w:p>
    <w:p w:rsidR="00321900" w:rsidRPr="008D208D" w:rsidRDefault="00321900" w:rsidP="00321900">
      <w:pPr>
        <w:pStyle w:val="Exampletext"/>
        <w:pBdr>
          <w:top w:val="single" w:sz="4" w:space="10" w:color="auto"/>
          <w:left w:val="single" w:sz="4" w:space="10" w:color="auto"/>
          <w:bottom w:val="single" w:sz="4" w:space="10" w:color="auto"/>
          <w:right w:val="single" w:sz="4" w:space="10" w:color="auto"/>
        </w:pBdr>
      </w:pPr>
      <w:r w:rsidRPr="008D208D">
        <w:t>28 August 2017</w:t>
      </w:r>
      <w:r w:rsidRPr="008D208D">
        <w:tab/>
      </w:r>
      <w:r w:rsidRPr="008D208D">
        <w:tab/>
        <w:t>$9,000</w:t>
      </w:r>
    </w:p>
    <w:p w:rsidR="00321900" w:rsidRPr="008D208D" w:rsidRDefault="00321900" w:rsidP="00321900">
      <w:pPr>
        <w:pStyle w:val="Exampletext"/>
        <w:pBdr>
          <w:top w:val="single" w:sz="4" w:space="10" w:color="auto"/>
          <w:left w:val="single" w:sz="4" w:space="10" w:color="auto"/>
          <w:bottom w:val="single" w:sz="4" w:space="10" w:color="auto"/>
          <w:right w:val="single" w:sz="4" w:space="10" w:color="auto"/>
        </w:pBdr>
      </w:pPr>
      <w:r w:rsidRPr="008D208D">
        <w:t xml:space="preserve">15 January 2018 </w:t>
      </w:r>
      <w:r w:rsidRPr="008D208D">
        <w:tab/>
      </w:r>
      <w:r w:rsidR="00BD5E2F" w:rsidRPr="008D208D">
        <w:tab/>
      </w:r>
      <w:r w:rsidRPr="008D208D">
        <w:t>$8,000</w:t>
      </w:r>
    </w:p>
    <w:p w:rsidR="00321900" w:rsidRPr="008D208D" w:rsidRDefault="00321900" w:rsidP="00A63705">
      <w:pPr>
        <w:pStyle w:val="Exampletext"/>
        <w:pBdr>
          <w:top w:val="single" w:sz="4" w:space="10" w:color="auto"/>
          <w:left w:val="single" w:sz="4" w:space="10" w:color="auto"/>
          <w:bottom w:val="single" w:sz="4" w:space="10" w:color="auto"/>
          <w:right w:val="single" w:sz="4" w:space="10" w:color="auto"/>
        </w:pBdr>
        <w:spacing w:after="100"/>
      </w:pPr>
      <w:r w:rsidRPr="008D208D">
        <w:t xml:space="preserve">7 May 2018 </w:t>
      </w:r>
      <w:r w:rsidRPr="008D208D">
        <w:tab/>
      </w:r>
      <w:r w:rsidRPr="008D208D">
        <w:tab/>
        <w:t>$28,000</w:t>
      </w:r>
    </w:p>
    <w:p w:rsidR="00321900" w:rsidRPr="008D208D" w:rsidRDefault="00321900" w:rsidP="00A63705">
      <w:pPr>
        <w:pStyle w:val="Exampletext"/>
        <w:pBdr>
          <w:top w:val="single" w:sz="4" w:space="10" w:color="auto"/>
          <w:left w:val="single" w:sz="4" w:space="10" w:color="auto"/>
          <w:bottom w:val="single" w:sz="4" w:space="10" w:color="auto"/>
          <w:right w:val="single" w:sz="4" w:space="10" w:color="auto"/>
        </w:pBdr>
        <w:spacing w:after="100"/>
      </w:pPr>
      <w:r w:rsidRPr="008D208D">
        <w:t>When she completes her tax return for the year Shoshanna calculates she has a residual income tax of $45,000.</w:t>
      </w:r>
    </w:p>
    <w:p w:rsidR="00321900" w:rsidRPr="008D208D" w:rsidRDefault="00321900" w:rsidP="00321900">
      <w:pPr>
        <w:pStyle w:val="Exampletext"/>
        <w:pBdr>
          <w:top w:val="single" w:sz="4" w:space="10" w:color="auto"/>
          <w:left w:val="single" w:sz="4" w:space="10" w:color="auto"/>
          <w:bottom w:val="single" w:sz="4" w:space="10" w:color="auto"/>
          <w:right w:val="single" w:sz="4" w:space="10" w:color="auto"/>
        </w:pBdr>
      </w:pPr>
      <w:r w:rsidRPr="008D208D">
        <w:t xml:space="preserve">Because Shoshanna did not make the required payments under the standard </w:t>
      </w:r>
      <w:r w:rsidR="00BD5E2F" w:rsidRPr="008D208D">
        <w:t>method</w:t>
      </w:r>
      <w:r w:rsidRPr="008D208D">
        <w:t xml:space="preserve"> on the instalment dates she is not able to use the safe harbour and </w:t>
      </w:r>
      <w:r w:rsidR="008617E3" w:rsidRPr="008D208D">
        <w:t xml:space="preserve">will </w:t>
      </w:r>
      <w:r w:rsidRPr="008D208D">
        <w:t>be su</w:t>
      </w:r>
      <w:r w:rsidR="00BC2C04" w:rsidRPr="008D208D">
        <w:t>bject to</w:t>
      </w:r>
      <w:r w:rsidR="00BD5E2F" w:rsidRPr="008D208D">
        <w:t xml:space="preserve"> UOMI</w:t>
      </w:r>
      <w:r w:rsidR="00BC2C04" w:rsidRPr="008D208D">
        <w:t>.</w:t>
      </w:r>
    </w:p>
    <w:p w:rsidR="00321900" w:rsidRPr="008D208D" w:rsidRDefault="00321900" w:rsidP="00321900">
      <w:pPr>
        <w:rPr>
          <w:sz w:val="18"/>
          <w:szCs w:val="18"/>
        </w:rPr>
      </w:pPr>
    </w:p>
    <w:p w:rsidR="00BB3808" w:rsidRPr="008D208D" w:rsidRDefault="00BB3808">
      <w:pPr>
        <w:jc w:val="left"/>
        <w:rPr>
          <w:b/>
          <w:sz w:val="20"/>
          <w:szCs w:val="24"/>
          <w:lang w:eastAsia="en-NZ"/>
        </w:rPr>
      </w:pPr>
      <w:r w:rsidRPr="008D208D">
        <w:br w:type="page"/>
      </w:r>
    </w:p>
    <w:p w:rsidR="00321900" w:rsidRPr="008D208D" w:rsidRDefault="00321900" w:rsidP="00A63705">
      <w:pPr>
        <w:pStyle w:val="Exampleheading"/>
        <w:pBdr>
          <w:top w:val="single" w:sz="4" w:space="10" w:color="auto"/>
          <w:left w:val="single" w:sz="4" w:space="10" w:color="auto"/>
          <w:bottom w:val="single" w:sz="4" w:space="10" w:color="auto"/>
          <w:right w:val="single" w:sz="4" w:space="10" w:color="auto"/>
        </w:pBdr>
        <w:spacing w:after="100"/>
      </w:pPr>
      <w:r w:rsidRPr="008D208D">
        <w:t>Example</w:t>
      </w:r>
      <w:r w:rsidR="00BC2C04" w:rsidRPr="008D208D">
        <w:t xml:space="preserve"> 15</w:t>
      </w:r>
    </w:p>
    <w:p w:rsidR="00321900" w:rsidRPr="008D208D" w:rsidRDefault="00321900" w:rsidP="00321900">
      <w:pPr>
        <w:pStyle w:val="Exampletext"/>
        <w:pBdr>
          <w:top w:val="single" w:sz="4" w:space="10" w:color="auto"/>
          <w:left w:val="single" w:sz="4" w:space="10" w:color="auto"/>
          <w:bottom w:val="single" w:sz="4" w:space="10" w:color="auto"/>
          <w:right w:val="single" w:sz="4" w:space="10" w:color="auto"/>
        </w:pBdr>
      </w:pPr>
      <w:r w:rsidRPr="008D208D">
        <w:t>Tanks-R-Us Limited is a small business that manufactures and sells earthquake water storage tanks to consumers.  It was not liable for provisional tax in the 2016</w:t>
      </w:r>
      <w:r w:rsidR="00BD5E2F" w:rsidRPr="008D208D">
        <w:t>–</w:t>
      </w:r>
      <w:r w:rsidRPr="008D208D">
        <w:t>17 year as it had tax losses for the year.  Because of an upturn in demand for tanks in the 2017</w:t>
      </w:r>
      <w:r w:rsidR="00BD5E2F" w:rsidRPr="008D208D">
        <w:t>–</w:t>
      </w:r>
      <w:r w:rsidRPr="008D208D">
        <w:t>18 income year, when Tanks-R-Us completes its 2018 tax return it calculates it has a residual income tax of $59,500.  Tanks-R-Us is deemed to be a provisional taxpayer for the 2018 tax year under section RC 3.  However, because the company has residual income tax of less than $60,000</w:t>
      </w:r>
      <w:r w:rsidR="008E4A33" w:rsidRPr="008D208D">
        <w:t>,</w:t>
      </w:r>
      <w:r w:rsidRPr="008D208D">
        <w:t xml:space="preserve"> and it was not required to make any provisional tax instalments for the year under section RC 3(3)</w:t>
      </w:r>
      <w:r w:rsidR="008E4A33" w:rsidRPr="008D208D">
        <w:t>,</w:t>
      </w:r>
      <w:r w:rsidR="00BD5E2F" w:rsidRPr="008D208D">
        <w:t xml:space="preserve"> </w:t>
      </w:r>
      <w:r w:rsidRPr="008D208D">
        <w:t>it will fall within the safe harbour and its residual income tax will be due and payable on its terminal tax date with no exposure to</w:t>
      </w:r>
      <w:r w:rsidR="008617E3" w:rsidRPr="008D208D">
        <w:t xml:space="preserve"> </w:t>
      </w:r>
      <w:r w:rsidR="008E4A33" w:rsidRPr="008D208D">
        <w:t>UOMI</w:t>
      </w:r>
      <w:r w:rsidR="000D588E" w:rsidRPr="008D208D">
        <w:t xml:space="preserve"> until that date</w:t>
      </w:r>
      <w:r w:rsidR="006E08C5" w:rsidRPr="008D208D">
        <w:t>.</w:t>
      </w:r>
    </w:p>
    <w:p w:rsidR="00321900" w:rsidRPr="008D208D" w:rsidRDefault="00321900" w:rsidP="00321900">
      <w:pPr>
        <w:rPr>
          <w:sz w:val="18"/>
          <w:szCs w:val="18"/>
        </w:rPr>
      </w:pPr>
    </w:p>
    <w:p w:rsidR="00BB3808" w:rsidRPr="008D208D" w:rsidRDefault="00BB3808" w:rsidP="00321900">
      <w:pPr>
        <w:rPr>
          <w:sz w:val="18"/>
          <w:szCs w:val="18"/>
        </w:rPr>
      </w:pPr>
    </w:p>
    <w:p w:rsidR="00321900" w:rsidRPr="008D208D" w:rsidRDefault="00321900" w:rsidP="00321900">
      <w:pPr>
        <w:pStyle w:val="Heading3"/>
      </w:pPr>
      <w:r w:rsidRPr="008D208D">
        <w:t xml:space="preserve">Provisional </w:t>
      </w:r>
      <w:r w:rsidR="008E4A33" w:rsidRPr="008D208D">
        <w:t>t</w:t>
      </w:r>
      <w:r w:rsidRPr="008D208D">
        <w:t xml:space="preserve">ax </w:t>
      </w:r>
      <w:r w:rsidR="008E4A33" w:rsidRPr="008D208D">
        <w:t>i</w:t>
      </w:r>
      <w:r w:rsidRPr="008D208D">
        <w:t xml:space="preserve">nterest </w:t>
      </w:r>
      <w:r w:rsidR="008E4A33" w:rsidRPr="008D208D">
        <w:t>a</w:t>
      </w:r>
      <w:r w:rsidRPr="008D208D">
        <w:t xml:space="preserve">voidance </w:t>
      </w:r>
      <w:r w:rsidR="008E4A33" w:rsidRPr="008D208D">
        <w:t>a</w:t>
      </w:r>
      <w:r w:rsidRPr="008D208D">
        <w:t>rrangement</w:t>
      </w:r>
    </w:p>
    <w:p w:rsidR="00321900" w:rsidRPr="008D208D" w:rsidRDefault="00321900" w:rsidP="00321900"/>
    <w:p w:rsidR="00321900" w:rsidRPr="008D208D" w:rsidRDefault="00321900" w:rsidP="00321900">
      <w:r w:rsidRPr="008D208D">
        <w:t xml:space="preserve">A provisional tax interest avoidance arrangement is defined in section </w:t>
      </w:r>
      <w:proofErr w:type="gramStart"/>
      <w:r w:rsidRPr="008D208D">
        <w:t>120KBB(</w:t>
      </w:r>
      <w:proofErr w:type="gramEnd"/>
      <w:r w:rsidRPr="008D208D">
        <w:t>4) of the Tax Administration Act 1994 as an arrangement involving the manipulation of one or more amounts of residual income tax, including a zero amount of residual income tax, with the purpose or effect of defeating the intent and application of the interest rules in Part 7 of the Tax Administration Act 1994.</w:t>
      </w:r>
    </w:p>
    <w:p w:rsidR="00321900" w:rsidRPr="008D208D" w:rsidRDefault="00321900" w:rsidP="00321900"/>
    <w:p w:rsidR="00321900" w:rsidRPr="008D208D" w:rsidRDefault="00321900" w:rsidP="00321900">
      <w:r w:rsidRPr="008D208D">
        <w:t>It is intended that this provision will apply to the most egregious of cases where a taxpayer has manipulated the flow of income to avoid application of the interest rules and take advantage of the safe harbour.  It will not apply whe</w:t>
      </w:r>
      <w:r w:rsidR="00331267" w:rsidRPr="008D208D">
        <w:t>n</w:t>
      </w:r>
      <w:r w:rsidRPr="008D208D">
        <w:t xml:space="preserve"> normal commercial transactions result in taxpayers being within the safe harbour concession.</w:t>
      </w:r>
    </w:p>
    <w:p w:rsidR="00321900" w:rsidRPr="008D208D" w:rsidRDefault="00321900" w:rsidP="00321900">
      <w:pPr>
        <w:rPr>
          <w:sz w:val="18"/>
          <w:szCs w:val="18"/>
        </w:rPr>
      </w:pPr>
    </w:p>
    <w:p w:rsidR="00321900" w:rsidRPr="008D208D" w:rsidRDefault="00321900" w:rsidP="00321900">
      <w:pPr>
        <w:rPr>
          <w:sz w:val="18"/>
          <w:szCs w:val="18"/>
        </w:rPr>
      </w:pPr>
    </w:p>
    <w:p w:rsidR="00321900" w:rsidRPr="008D208D" w:rsidRDefault="00321900" w:rsidP="00BB3808">
      <w:pPr>
        <w:pStyle w:val="Exampleheading"/>
        <w:pBdr>
          <w:top w:val="single" w:sz="4" w:space="10" w:color="auto"/>
          <w:left w:val="single" w:sz="4" w:space="10" w:color="auto"/>
          <w:bottom w:val="single" w:sz="4" w:space="10" w:color="auto"/>
          <w:right w:val="single" w:sz="4" w:space="10" w:color="auto"/>
        </w:pBdr>
        <w:spacing w:after="100"/>
      </w:pPr>
      <w:r w:rsidRPr="008D208D">
        <w:t>Example</w:t>
      </w:r>
      <w:r w:rsidR="00BC2C04" w:rsidRPr="008D208D">
        <w:t xml:space="preserve"> 16</w:t>
      </w:r>
    </w:p>
    <w:p w:rsidR="00321900" w:rsidRPr="008D208D" w:rsidRDefault="00321900" w:rsidP="00BB3808">
      <w:pPr>
        <w:pStyle w:val="Exampletext"/>
        <w:pBdr>
          <w:top w:val="single" w:sz="4" w:space="10" w:color="auto"/>
          <w:left w:val="single" w:sz="4" w:space="10" w:color="auto"/>
          <w:bottom w:val="single" w:sz="4" w:space="10" w:color="auto"/>
          <w:right w:val="single" w:sz="4" w:space="10" w:color="auto"/>
        </w:pBdr>
        <w:spacing w:after="100"/>
      </w:pPr>
      <w:r w:rsidRPr="008D208D">
        <w:t>Aroha works as a self</w:t>
      </w:r>
      <w:r w:rsidR="00F46C07" w:rsidRPr="008D208D">
        <w:t>-</w:t>
      </w:r>
      <w:r w:rsidRPr="008D208D">
        <w:t>employed computer consultant.  She also owns 100</w:t>
      </w:r>
      <w:r w:rsidR="00F46C07" w:rsidRPr="008D208D">
        <w:t xml:space="preserve"> percent</w:t>
      </w:r>
      <w:r w:rsidRPr="008D208D">
        <w:t xml:space="preserve"> of a company </w:t>
      </w:r>
      <w:r w:rsidR="00F46C07" w:rsidRPr="008D208D">
        <w:t>that</w:t>
      </w:r>
      <w:r w:rsidRPr="008D208D">
        <w:t xml:space="preserve"> undertakes interior design for domestic clients, Inside Out Limited.  Aroha operates the interior design business in her spare time</w:t>
      </w:r>
      <w:r w:rsidR="00F46C07" w:rsidRPr="008D208D">
        <w:t>,</w:t>
      </w:r>
      <w:r w:rsidRPr="008D208D">
        <w:t xml:space="preserve"> usually on weekends</w:t>
      </w:r>
      <w:r w:rsidR="006E08C5" w:rsidRPr="008D208D">
        <w:t>.</w:t>
      </w:r>
    </w:p>
    <w:p w:rsidR="00321900" w:rsidRPr="008D208D" w:rsidRDefault="00321900" w:rsidP="00321900">
      <w:pPr>
        <w:pStyle w:val="Exampletext"/>
        <w:pBdr>
          <w:top w:val="single" w:sz="4" w:space="10" w:color="auto"/>
          <w:left w:val="single" w:sz="4" w:space="10" w:color="auto"/>
          <w:bottom w:val="single" w:sz="4" w:space="10" w:color="auto"/>
          <w:right w:val="single" w:sz="4" w:space="10" w:color="auto"/>
        </w:pBdr>
      </w:pPr>
      <w:r w:rsidRPr="008D208D">
        <w:t>Both Aroha and Inside Out Limited make provisional tax payments using the standard method.  For the 2017</w:t>
      </w:r>
      <w:r w:rsidR="00E54CE8" w:rsidRPr="008D208D">
        <w:t>–</w:t>
      </w:r>
      <w:r w:rsidRPr="008D208D">
        <w:t xml:space="preserve">18 income year both taxpayers make the required standard uplift instalments on the applicable due dates.  When they file their tax returns Aroha has $58,700 and Inside Out Limited $59,670 of residual income tax.  These two operations are clearly run separately and there has been no manipulation of income </w:t>
      </w:r>
      <w:r w:rsidR="00E54CE8" w:rsidRPr="008D208D">
        <w:t>so</w:t>
      </w:r>
      <w:r w:rsidRPr="008D208D">
        <w:t xml:space="preserve"> there will be no provisional tax interest avoidance arrangement and both entities will be within the safe harbour.</w:t>
      </w:r>
    </w:p>
    <w:p w:rsidR="00321900" w:rsidRPr="008D208D" w:rsidRDefault="00321900" w:rsidP="00BB3808"/>
    <w:p w:rsidR="00BB3808" w:rsidRPr="008D208D" w:rsidRDefault="00BB3808" w:rsidP="00BB3808"/>
    <w:p w:rsidR="00321900" w:rsidRPr="008D208D" w:rsidRDefault="00321900" w:rsidP="00BB3808">
      <w:pPr>
        <w:pStyle w:val="Exampleheading"/>
        <w:pBdr>
          <w:top w:val="single" w:sz="4" w:space="10" w:color="auto"/>
          <w:left w:val="single" w:sz="4" w:space="10" w:color="auto"/>
          <w:bottom w:val="single" w:sz="4" w:space="10" w:color="auto"/>
          <w:right w:val="single" w:sz="4" w:space="10" w:color="auto"/>
        </w:pBdr>
        <w:spacing w:after="100"/>
      </w:pPr>
      <w:r w:rsidRPr="008D208D">
        <w:t>Example</w:t>
      </w:r>
      <w:r w:rsidR="00BC2C04" w:rsidRPr="008D208D">
        <w:t xml:space="preserve"> 17</w:t>
      </w:r>
    </w:p>
    <w:p w:rsidR="00321900" w:rsidRPr="008D208D" w:rsidRDefault="00321900" w:rsidP="00BB3808">
      <w:pPr>
        <w:pStyle w:val="Exampletext"/>
        <w:pBdr>
          <w:top w:val="single" w:sz="4" w:space="10" w:color="auto"/>
          <w:left w:val="single" w:sz="4" w:space="10" w:color="auto"/>
          <w:bottom w:val="single" w:sz="4" w:space="10" w:color="auto"/>
          <w:right w:val="single" w:sz="4" w:space="10" w:color="auto"/>
        </w:pBdr>
        <w:spacing w:after="100"/>
      </w:pPr>
      <w:r w:rsidRPr="008D208D">
        <w:t>Savannah is a self-employed building contractor who specialises in installing swimming pools.  Year on year her residual income tax can fluctuate from $57,000 to $110,000.  She notes the changes to the safe harbour rules have extended these rules to non-individuals.  Savannah looks to take advantage of these rules and decides to set up a company, Savvy Pools Limited.  During the year she bills clients from herself and from the company so that the income from the business is split b</w:t>
      </w:r>
      <w:r w:rsidR="006E08C5" w:rsidRPr="008D208D">
        <w:t>etween the company and herself.</w:t>
      </w:r>
    </w:p>
    <w:p w:rsidR="00321900" w:rsidRPr="008D208D" w:rsidRDefault="00321900" w:rsidP="00BB3808">
      <w:pPr>
        <w:pStyle w:val="Exampletext"/>
        <w:pBdr>
          <w:top w:val="single" w:sz="4" w:space="10" w:color="auto"/>
          <w:left w:val="single" w:sz="4" w:space="10" w:color="auto"/>
          <w:bottom w:val="single" w:sz="4" w:space="10" w:color="auto"/>
          <w:right w:val="single" w:sz="4" w:space="10" w:color="auto"/>
        </w:pBdr>
        <w:spacing w:after="100"/>
      </w:pPr>
      <w:r w:rsidRPr="008D208D">
        <w:t>At the end of the income year Savannah and Savvy Pools Limited file their tax returns and they have residual income tax of $59,999 and $59,999 respectively.  In this case there is no commercial reason for the income from the same income earning activity to be split in this manner other than to take advantage of the safe harbour concession.</w:t>
      </w:r>
    </w:p>
    <w:p w:rsidR="00321900" w:rsidRPr="008D208D" w:rsidRDefault="00321900" w:rsidP="00321900">
      <w:pPr>
        <w:pStyle w:val="Exampletext"/>
        <w:pBdr>
          <w:top w:val="single" w:sz="4" w:space="10" w:color="auto"/>
          <w:left w:val="single" w:sz="4" w:space="10" w:color="auto"/>
          <w:bottom w:val="single" w:sz="4" w:space="10" w:color="auto"/>
          <w:right w:val="single" w:sz="4" w:space="10" w:color="auto"/>
        </w:pBdr>
      </w:pPr>
      <w:r w:rsidRPr="008D208D">
        <w:t>It is likely that Savannah and Savvy Pools Limited will be considered to have a provisional tax avoidance arrangement and the safe harbour wil</w:t>
      </w:r>
      <w:r w:rsidR="006E08C5" w:rsidRPr="008D208D">
        <w:t>l not apply to either taxpayer.</w:t>
      </w:r>
    </w:p>
    <w:p w:rsidR="00321900" w:rsidRPr="008D208D" w:rsidRDefault="00321900" w:rsidP="00321900"/>
    <w:p w:rsidR="00BB3808" w:rsidRPr="008D208D" w:rsidRDefault="00BB3808">
      <w:pPr>
        <w:jc w:val="left"/>
        <w:rPr>
          <w:b/>
          <w:sz w:val="20"/>
          <w:szCs w:val="24"/>
          <w:lang w:eastAsia="en-NZ"/>
        </w:rPr>
      </w:pPr>
      <w:r w:rsidRPr="008D208D">
        <w:br w:type="page"/>
      </w:r>
    </w:p>
    <w:p w:rsidR="00321900" w:rsidRPr="008D208D" w:rsidRDefault="00321900" w:rsidP="00BB3808">
      <w:pPr>
        <w:pStyle w:val="Exampleheading"/>
        <w:pBdr>
          <w:top w:val="single" w:sz="4" w:space="10" w:color="auto"/>
          <w:left w:val="single" w:sz="4" w:space="10" w:color="auto"/>
          <w:bottom w:val="single" w:sz="4" w:space="10" w:color="auto"/>
          <w:right w:val="single" w:sz="4" w:space="10" w:color="auto"/>
        </w:pBdr>
        <w:spacing w:after="100"/>
      </w:pPr>
      <w:r w:rsidRPr="008D208D">
        <w:t>Example</w:t>
      </w:r>
      <w:r w:rsidR="00BC2C04" w:rsidRPr="008D208D">
        <w:t xml:space="preserve"> 18</w:t>
      </w:r>
    </w:p>
    <w:p w:rsidR="00321900" w:rsidRPr="008D208D" w:rsidRDefault="00321900" w:rsidP="00BB3808">
      <w:pPr>
        <w:pStyle w:val="Exampletext"/>
        <w:pBdr>
          <w:top w:val="single" w:sz="4" w:space="10" w:color="auto"/>
          <w:left w:val="single" w:sz="4" w:space="10" w:color="auto"/>
          <w:bottom w:val="single" w:sz="4" w:space="10" w:color="auto"/>
          <w:right w:val="single" w:sz="4" w:space="10" w:color="auto"/>
        </w:pBdr>
        <w:spacing w:after="100"/>
      </w:pPr>
      <w:r w:rsidRPr="008D208D">
        <w:t>Jessie James owns a railroad consulting business JJ Rail Limited (JJRL).  JJRL uses the standard uplift method to pay its provisional tax.  It generally has residual tax of around $40,000.  Part way through the 2017</w:t>
      </w:r>
      <w:r w:rsidR="00A921B7" w:rsidRPr="008D208D">
        <w:t>–</w:t>
      </w:r>
      <w:r w:rsidRPr="008D208D">
        <w:t xml:space="preserve">18 income </w:t>
      </w:r>
      <w:proofErr w:type="gramStart"/>
      <w:r w:rsidRPr="008D208D">
        <w:t>year</w:t>
      </w:r>
      <w:proofErr w:type="gramEnd"/>
      <w:r w:rsidRPr="008D208D">
        <w:t xml:space="preserve"> JJRL realises it is having a spectacular year and is likely to have residual income tax of $100,000.  JJRL decides to set up a subsidiary company JJ Railroads Limited (JJRRL).  It commences billing clients through JJRRL partway through the year.  At the end of the income year JJRL, which has paid all its required provisional tax instalments on time throughout the year, calculates it residual income tax as $59,000.  JJRRL calculates its residual income tax </w:t>
      </w:r>
      <w:r w:rsidR="00B60214" w:rsidRPr="008D208D">
        <w:t>as</w:t>
      </w:r>
      <w:r w:rsidRPr="008D208D">
        <w:t xml:space="preserve"> $50,000.  All the other criteria of section </w:t>
      </w:r>
      <w:proofErr w:type="gramStart"/>
      <w:r w:rsidRPr="008D208D">
        <w:t>120KE(</w:t>
      </w:r>
      <w:proofErr w:type="gramEnd"/>
      <w:r w:rsidRPr="008D208D">
        <w:t>1) are satisfied</w:t>
      </w:r>
      <w:r w:rsidR="00B60214" w:rsidRPr="008D208D">
        <w:t>,</w:t>
      </w:r>
      <w:r w:rsidRPr="008D208D">
        <w:t xml:space="preserve"> and prima facie</w:t>
      </w:r>
      <w:r w:rsidR="00B60214" w:rsidRPr="008D208D">
        <w:t>,</w:t>
      </w:r>
      <w:r w:rsidRPr="008D208D">
        <w:t xml:space="preserve"> both JJRL and JJRRL will</w:t>
      </w:r>
      <w:r w:rsidR="006E08C5" w:rsidRPr="008D208D">
        <w:t xml:space="preserve"> fall within the safe harbour.</w:t>
      </w:r>
    </w:p>
    <w:p w:rsidR="00321900" w:rsidRPr="008D208D" w:rsidRDefault="00321900" w:rsidP="00321900">
      <w:pPr>
        <w:pStyle w:val="Exampletext"/>
        <w:pBdr>
          <w:top w:val="single" w:sz="4" w:space="10" w:color="auto"/>
          <w:left w:val="single" w:sz="4" w:space="10" w:color="auto"/>
          <w:bottom w:val="single" w:sz="4" w:space="10" w:color="auto"/>
          <w:right w:val="single" w:sz="4" w:space="10" w:color="auto"/>
        </w:pBdr>
      </w:pPr>
      <w:r w:rsidRPr="008D208D">
        <w:t xml:space="preserve">However, because the setting up of the new subsidiary and the transfer of income stream from one entity to the other </w:t>
      </w:r>
      <w:r w:rsidR="00B60214" w:rsidRPr="008D208D">
        <w:t xml:space="preserve">is </w:t>
      </w:r>
      <w:r w:rsidRPr="008D208D">
        <w:t>for no other apparent commercial reason it is likely that both companies have a provisional tax interest avoidance arrangement and the safe harbour will not apply.</w:t>
      </w:r>
    </w:p>
    <w:p w:rsidR="00BB3808" w:rsidRPr="008D208D" w:rsidRDefault="00BB3808" w:rsidP="00BB3808"/>
    <w:p w:rsidR="00BB3808" w:rsidRPr="008D208D" w:rsidRDefault="00BB3808" w:rsidP="00BB3808"/>
    <w:p w:rsidR="00CF4ED1" w:rsidRPr="008D208D" w:rsidRDefault="005E38ED" w:rsidP="006C05F2">
      <w:pPr>
        <w:pStyle w:val="Sectionheading"/>
      </w:pPr>
      <w:r w:rsidRPr="008D208D">
        <w:t>Allowing contractors to el</w:t>
      </w:r>
      <w:r w:rsidR="00AB6CF7" w:rsidRPr="008D208D">
        <w:t>ect their own withholding rate</w:t>
      </w:r>
    </w:p>
    <w:p w:rsidR="00CF4ED1" w:rsidRPr="008D208D" w:rsidRDefault="00CF4ED1" w:rsidP="00CF4ED1">
      <w:pPr>
        <w:rPr>
          <w:szCs w:val="24"/>
        </w:rPr>
      </w:pPr>
    </w:p>
    <w:p w:rsidR="005E38ED" w:rsidRPr="008D208D" w:rsidRDefault="005E38ED" w:rsidP="00483FFA">
      <w:pPr>
        <w:tabs>
          <w:tab w:val="left" w:pos="567"/>
        </w:tabs>
        <w:rPr>
          <w:szCs w:val="24"/>
        </w:rPr>
      </w:pPr>
      <w:r w:rsidRPr="008D208D">
        <w:rPr>
          <w:szCs w:val="24"/>
        </w:rPr>
        <w:t>An amendment has been made which will allow contractors who are subject to the schedular payment rules to elect their own withholding rate without having to apply to Inland Revenue for a special tax code.</w:t>
      </w:r>
    </w:p>
    <w:p w:rsidR="006C05F2" w:rsidRPr="008D208D" w:rsidRDefault="006C05F2" w:rsidP="00483FFA">
      <w:pPr>
        <w:tabs>
          <w:tab w:val="left" w:pos="567"/>
        </w:tabs>
        <w:rPr>
          <w:szCs w:val="24"/>
        </w:rPr>
      </w:pPr>
    </w:p>
    <w:p w:rsidR="00CF4ED1" w:rsidRPr="008D208D" w:rsidRDefault="00CF4ED1" w:rsidP="006C05F2">
      <w:pPr>
        <w:pStyle w:val="Heading2"/>
      </w:pPr>
      <w:r w:rsidRPr="008D208D">
        <w:t>Background</w:t>
      </w:r>
    </w:p>
    <w:p w:rsidR="00CF4ED1" w:rsidRPr="008D208D" w:rsidRDefault="00CF4ED1" w:rsidP="00CF4ED1">
      <w:pPr>
        <w:tabs>
          <w:tab w:val="left" w:pos="567"/>
        </w:tabs>
        <w:rPr>
          <w:szCs w:val="24"/>
        </w:rPr>
      </w:pPr>
    </w:p>
    <w:p w:rsidR="005E38ED" w:rsidRPr="008D208D" w:rsidRDefault="007C6DF9" w:rsidP="00483FFA">
      <w:pPr>
        <w:tabs>
          <w:tab w:val="left" w:pos="567"/>
        </w:tabs>
        <w:rPr>
          <w:szCs w:val="24"/>
        </w:rPr>
      </w:pPr>
      <w:r w:rsidRPr="008D208D">
        <w:rPr>
          <w:szCs w:val="24"/>
        </w:rPr>
        <w:t>Previously</w:t>
      </w:r>
      <w:r w:rsidR="005E38ED" w:rsidRPr="008D208D">
        <w:rPr>
          <w:szCs w:val="24"/>
        </w:rPr>
        <w:t xml:space="preserve">, a contractor subject to the schedular payment rules </w:t>
      </w:r>
      <w:r w:rsidRPr="008D208D">
        <w:rPr>
          <w:szCs w:val="24"/>
        </w:rPr>
        <w:t xml:space="preserve">was subject to </w:t>
      </w:r>
      <w:r w:rsidR="005E38ED" w:rsidRPr="008D208D">
        <w:rPr>
          <w:szCs w:val="24"/>
        </w:rPr>
        <w:t xml:space="preserve">a flat rate of withholding.  This rate </w:t>
      </w:r>
      <w:r w:rsidRPr="008D208D">
        <w:rPr>
          <w:szCs w:val="24"/>
        </w:rPr>
        <w:t>would</w:t>
      </w:r>
      <w:r w:rsidR="005E38ED" w:rsidRPr="008D208D">
        <w:rPr>
          <w:szCs w:val="24"/>
        </w:rPr>
        <w:t xml:space="preserve"> often not accurately match the contractor’s actual income tax liability.  Contractors </w:t>
      </w:r>
      <w:r w:rsidRPr="008D208D">
        <w:rPr>
          <w:szCs w:val="24"/>
        </w:rPr>
        <w:t>could</w:t>
      </w:r>
      <w:r w:rsidR="005E38ED" w:rsidRPr="008D208D">
        <w:rPr>
          <w:szCs w:val="24"/>
        </w:rPr>
        <w:t xml:space="preserve"> obtain a special tax code to alter their rate, but the process </w:t>
      </w:r>
      <w:r w:rsidRPr="008D208D">
        <w:rPr>
          <w:szCs w:val="24"/>
        </w:rPr>
        <w:t>could</w:t>
      </w:r>
      <w:r w:rsidR="005E38ED" w:rsidRPr="008D208D">
        <w:rPr>
          <w:szCs w:val="24"/>
        </w:rPr>
        <w:t xml:space="preserve"> </w:t>
      </w:r>
      <w:r w:rsidR="0062185D" w:rsidRPr="008D208D">
        <w:rPr>
          <w:szCs w:val="24"/>
        </w:rPr>
        <w:t>increase compliance costs for them</w:t>
      </w:r>
      <w:r w:rsidR="005E38ED" w:rsidRPr="008D208D">
        <w:rPr>
          <w:szCs w:val="24"/>
        </w:rPr>
        <w:t>, requiring them to apply to Inland Revenue and supply supporting information.</w:t>
      </w:r>
    </w:p>
    <w:p w:rsidR="00CF4ED1" w:rsidRPr="008D208D" w:rsidRDefault="00CF4ED1" w:rsidP="00CF4ED1">
      <w:pPr>
        <w:tabs>
          <w:tab w:val="left" w:pos="567"/>
        </w:tabs>
        <w:rPr>
          <w:szCs w:val="24"/>
        </w:rPr>
      </w:pPr>
    </w:p>
    <w:p w:rsidR="00CF4ED1" w:rsidRPr="008D208D" w:rsidRDefault="00CF4ED1" w:rsidP="006C05F2">
      <w:pPr>
        <w:pStyle w:val="Heading2"/>
      </w:pPr>
      <w:r w:rsidRPr="008D208D">
        <w:t>Key features</w:t>
      </w:r>
    </w:p>
    <w:p w:rsidR="00CF4ED1" w:rsidRPr="008D208D" w:rsidRDefault="00CF4ED1" w:rsidP="00CF4ED1"/>
    <w:p w:rsidR="005E38ED" w:rsidRPr="008D208D" w:rsidRDefault="00705D9B" w:rsidP="00483FFA">
      <w:pPr>
        <w:tabs>
          <w:tab w:val="left" w:pos="567"/>
        </w:tabs>
        <w:rPr>
          <w:szCs w:val="24"/>
        </w:rPr>
      </w:pPr>
      <w:r w:rsidRPr="008D208D">
        <w:rPr>
          <w:szCs w:val="24"/>
        </w:rPr>
        <w:t>A</w:t>
      </w:r>
      <w:r w:rsidR="00BF0C51" w:rsidRPr="008D208D">
        <w:rPr>
          <w:szCs w:val="24"/>
        </w:rPr>
        <w:t xml:space="preserve"> new rule</w:t>
      </w:r>
      <w:r w:rsidR="005E38ED" w:rsidRPr="008D208D">
        <w:rPr>
          <w:szCs w:val="24"/>
        </w:rPr>
        <w:t xml:space="preserve"> allow</w:t>
      </w:r>
      <w:r w:rsidRPr="008D208D">
        <w:rPr>
          <w:szCs w:val="24"/>
        </w:rPr>
        <w:t>s</w:t>
      </w:r>
      <w:r w:rsidR="005E38ED" w:rsidRPr="008D208D">
        <w:rPr>
          <w:szCs w:val="24"/>
        </w:rPr>
        <w:t xml:space="preserve"> contractors who are subject to the schedular payment rules to elect their own withholding rate without having to apply to Inland Revenue for a special tax code.</w:t>
      </w:r>
    </w:p>
    <w:p w:rsidR="00E8286F" w:rsidRPr="008D208D" w:rsidRDefault="00E8286F" w:rsidP="00483FFA">
      <w:pPr>
        <w:tabs>
          <w:tab w:val="left" w:pos="567"/>
        </w:tabs>
        <w:rPr>
          <w:szCs w:val="24"/>
        </w:rPr>
      </w:pPr>
    </w:p>
    <w:p w:rsidR="005E38ED" w:rsidRPr="008D208D" w:rsidRDefault="00705D9B" w:rsidP="00483FFA">
      <w:pPr>
        <w:tabs>
          <w:tab w:val="left" w:pos="567"/>
        </w:tabs>
        <w:rPr>
          <w:szCs w:val="24"/>
        </w:rPr>
      </w:pPr>
      <w:r w:rsidRPr="008D208D">
        <w:rPr>
          <w:szCs w:val="24"/>
        </w:rPr>
        <w:t>There</w:t>
      </w:r>
      <w:r w:rsidR="005E38ED" w:rsidRPr="008D208D">
        <w:rPr>
          <w:szCs w:val="24"/>
        </w:rPr>
        <w:t xml:space="preserve"> will be some situations when a contractor will not be able to elect </w:t>
      </w:r>
      <w:r w:rsidR="00910A13" w:rsidRPr="008D208D">
        <w:rPr>
          <w:szCs w:val="24"/>
        </w:rPr>
        <w:t>their own rate.  These include:</w:t>
      </w:r>
    </w:p>
    <w:p w:rsidR="006C05F2" w:rsidRPr="008D208D" w:rsidRDefault="006C05F2" w:rsidP="00483FFA">
      <w:pPr>
        <w:tabs>
          <w:tab w:val="left" w:pos="567"/>
        </w:tabs>
        <w:rPr>
          <w:szCs w:val="24"/>
        </w:rPr>
      </w:pPr>
    </w:p>
    <w:p w:rsidR="005E38ED" w:rsidRPr="008D208D" w:rsidRDefault="005E38ED" w:rsidP="00BB3808">
      <w:pPr>
        <w:pStyle w:val="Bullets"/>
      </w:pPr>
      <w:r w:rsidRPr="008D208D">
        <w:t>when a contractor has not provided their name and IRD number, a “no-notification rate” applies of 20% for non-resident companies and 45% for other contractors;</w:t>
      </w:r>
      <w:r w:rsidR="00493D84" w:rsidRPr="008D208D">
        <w:t xml:space="preserve"> and</w:t>
      </w:r>
    </w:p>
    <w:p w:rsidR="005E38ED" w:rsidRPr="008D208D" w:rsidRDefault="005E38ED" w:rsidP="00BB3808">
      <w:pPr>
        <w:pStyle w:val="Bullets"/>
        <w:spacing w:after="0"/>
      </w:pPr>
      <w:proofErr w:type="gramStart"/>
      <w:r w:rsidRPr="008D208D">
        <w:t>when</w:t>
      </w:r>
      <w:proofErr w:type="gramEnd"/>
      <w:r w:rsidRPr="008D208D">
        <w:t xml:space="preserve"> a contractor has not met a liability under an Inland Revenue Act, the Commissioner can prescribe a rate of withholding</w:t>
      </w:r>
      <w:r w:rsidR="00493D84" w:rsidRPr="008D208D">
        <w:t>.</w:t>
      </w:r>
    </w:p>
    <w:p w:rsidR="00BB3808" w:rsidRPr="008D208D" w:rsidRDefault="00BB3808" w:rsidP="00483FFA">
      <w:pPr>
        <w:tabs>
          <w:tab w:val="left" w:pos="567"/>
        </w:tabs>
        <w:rPr>
          <w:szCs w:val="24"/>
        </w:rPr>
      </w:pPr>
    </w:p>
    <w:p w:rsidR="00087F46" w:rsidRPr="008D208D" w:rsidRDefault="00493D84" w:rsidP="00483FFA">
      <w:pPr>
        <w:tabs>
          <w:tab w:val="left" w:pos="567"/>
        </w:tabs>
        <w:rPr>
          <w:szCs w:val="24"/>
        </w:rPr>
      </w:pPr>
      <w:r w:rsidRPr="008D208D">
        <w:rPr>
          <w:szCs w:val="24"/>
        </w:rPr>
        <w:t>A</w:t>
      </w:r>
      <w:r w:rsidR="005E38ED" w:rsidRPr="008D208D">
        <w:rPr>
          <w:szCs w:val="24"/>
        </w:rPr>
        <w:t xml:space="preserve"> minimum rate of withholding applies to contractors.  For non-resident contractors an</w:t>
      </w:r>
      <w:r w:rsidRPr="008D208D">
        <w:rPr>
          <w:szCs w:val="24"/>
        </w:rPr>
        <w:t xml:space="preserve">d </w:t>
      </w:r>
      <w:r w:rsidR="005E38ED" w:rsidRPr="008D208D">
        <w:rPr>
          <w:szCs w:val="24"/>
        </w:rPr>
        <w:t>contractors with temporary work visas</w:t>
      </w:r>
      <w:r w:rsidRPr="008D208D">
        <w:rPr>
          <w:szCs w:val="24"/>
        </w:rPr>
        <w:t>,</w:t>
      </w:r>
      <w:r w:rsidR="005E38ED" w:rsidRPr="008D208D">
        <w:rPr>
          <w:szCs w:val="24"/>
        </w:rPr>
        <w:t xml:space="preserve"> this minimum rate is 15%, for all other contractors </w:t>
      </w:r>
      <w:r w:rsidR="00087F46" w:rsidRPr="008D208D">
        <w:rPr>
          <w:szCs w:val="24"/>
        </w:rPr>
        <w:t>the minimum rate</w:t>
      </w:r>
      <w:r w:rsidR="005E38ED" w:rsidRPr="008D208D">
        <w:rPr>
          <w:szCs w:val="24"/>
        </w:rPr>
        <w:t xml:space="preserve"> is 10%</w:t>
      </w:r>
      <w:r w:rsidR="00087F46" w:rsidRPr="008D208D">
        <w:rPr>
          <w:szCs w:val="24"/>
        </w:rPr>
        <w:t>.</w:t>
      </w:r>
    </w:p>
    <w:p w:rsidR="00BB3808" w:rsidRPr="008D208D" w:rsidRDefault="00BB3808" w:rsidP="00483FFA">
      <w:pPr>
        <w:tabs>
          <w:tab w:val="left" w:pos="567"/>
        </w:tabs>
        <w:rPr>
          <w:szCs w:val="24"/>
        </w:rPr>
      </w:pPr>
    </w:p>
    <w:p w:rsidR="005E38ED" w:rsidRPr="008D208D" w:rsidRDefault="00087F46" w:rsidP="00483FFA">
      <w:pPr>
        <w:tabs>
          <w:tab w:val="left" w:pos="567"/>
        </w:tabs>
        <w:rPr>
          <w:szCs w:val="24"/>
        </w:rPr>
      </w:pPr>
      <w:r w:rsidRPr="008D208D">
        <w:rPr>
          <w:szCs w:val="24"/>
        </w:rPr>
        <w:t>I</w:t>
      </w:r>
      <w:r w:rsidR="005E38ED" w:rsidRPr="008D208D">
        <w:rPr>
          <w:szCs w:val="24"/>
        </w:rPr>
        <w:t xml:space="preserve">f a contractor has changed their rate twice in a 12-month period, they </w:t>
      </w:r>
      <w:r w:rsidRPr="008D208D">
        <w:rPr>
          <w:szCs w:val="24"/>
        </w:rPr>
        <w:t xml:space="preserve">will </w:t>
      </w:r>
      <w:r w:rsidR="005E38ED" w:rsidRPr="008D208D">
        <w:rPr>
          <w:szCs w:val="24"/>
        </w:rPr>
        <w:t>require the consent of the payer to any further changes.</w:t>
      </w:r>
    </w:p>
    <w:p w:rsidR="00BB3808" w:rsidRPr="008D208D" w:rsidRDefault="00BB3808" w:rsidP="00483FFA">
      <w:pPr>
        <w:tabs>
          <w:tab w:val="left" w:pos="567"/>
        </w:tabs>
        <w:rPr>
          <w:szCs w:val="24"/>
        </w:rPr>
      </w:pPr>
    </w:p>
    <w:p w:rsidR="00CF4ED1" w:rsidRPr="008D208D" w:rsidRDefault="005E38ED" w:rsidP="00483FFA">
      <w:pPr>
        <w:tabs>
          <w:tab w:val="left" w:pos="567"/>
        </w:tabs>
        <w:rPr>
          <w:szCs w:val="24"/>
        </w:rPr>
      </w:pPr>
      <w:r w:rsidRPr="008D208D">
        <w:rPr>
          <w:szCs w:val="24"/>
        </w:rPr>
        <w:t>If a contractor has not selected a rate, a “standard rate” applies.  This standard rate is the relevant rate listed in schedule 4 of the Income Tax Act</w:t>
      </w:r>
      <w:r w:rsidR="00823DE7" w:rsidRPr="008D208D">
        <w:rPr>
          <w:szCs w:val="24"/>
        </w:rPr>
        <w:t xml:space="preserve"> 2007</w:t>
      </w:r>
      <w:r w:rsidRPr="008D208D">
        <w:rPr>
          <w:szCs w:val="24"/>
        </w:rPr>
        <w:t>.</w:t>
      </w:r>
    </w:p>
    <w:p w:rsidR="00CF4ED1" w:rsidRPr="008D208D" w:rsidRDefault="00CF4ED1" w:rsidP="00483FFA">
      <w:pPr>
        <w:tabs>
          <w:tab w:val="left" w:pos="567"/>
        </w:tabs>
        <w:rPr>
          <w:szCs w:val="24"/>
        </w:rPr>
      </w:pPr>
    </w:p>
    <w:p w:rsidR="00CF4ED1" w:rsidRPr="008D208D" w:rsidRDefault="00CF4ED1" w:rsidP="006C05F2">
      <w:pPr>
        <w:pStyle w:val="Heading2"/>
      </w:pPr>
      <w:r w:rsidRPr="008D208D">
        <w:t>Application date</w:t>
      </w:r>
    </w:p>
    <w:p w:rsidR="00CF4ED1" w:rsidRPr="008D208D" w:rsidRDefault="00CF4ED1" w:rsidP="00CF4ED1"/>
    <w:p w:rsidR="005E38ED" w:rsidRPr="008D208D" w:rsidRDefault="005E38ED" w:rsidP="00483FFA">
      <w:pPr>
        <w:tabs>
          <w:tab w:val="left" w:pos="567"/>
        </w:tabs>
        <w:rPr>
          <w:szCs w:val="24"/>
        </w:rPr>
      </w:pPr>
      <w:r w:rsidRPr="008D208D">
        <w:rPr>
          <w:szCs w:val="24"/>
        </w:rPr>
        <w:t>The amendment comes into force on 1 April 2017 and applie</w:t>
      </w:r>
      <w:r w:rsidR="00E556F7" w:rsidRPr="008D208D">
        <w:rPr>
          <w:szCs w:val="24"/>
        </w:rPr>
        <w:t>s to payments made from 1 April </w:t>
      </w:r>
      <w:r w:rsidRPr="008D208D">
        <w:rPr>
          <w:szCs w:val="24"/>
        </w:rPr>
        <w:t>2017, regardless of when the services relating to the payment were performed.</w:t>
      </w:r>
    </w:p>
    <w:p w:rsidR="00CF4ED1" w:rsidRPr="008D208D" w:rsidRDefault="00CF4ED1" w:rsidP="00CF4ED1"/>
    <w:p w:rsidR="00CF4ED1" w:rsidRPr="008D208D" w:rsidRDefault="00CF4ED1" w:rsidP="006C05F2">
      <w:pPr>
        <w:pStyle w:val="Heading2"/>
      </w:pPr>
      <w:r w:rsidRPr="008D208D">
        <w:t>Detailed analysis</w:t>
      </w:r>
    </w:p>
    <w:p w:rsidR="00CF4ED1" w:rsidRPr="008D208D" w:rsidRDefault="00CF4ED1" w:rsidP="00CF4ED1"/>
    <w:p w:rsidR="005E38ED" w:rsidRPr="008D208D" w:rsidRDefault="005E38ED" w:rsidP="00483FFA">
      <w:pPr>
        <w:tabs>
          <w:tab w:val="left" w:pos="567"/>
        </w:tabs>
        <w:rPr>
          <w:szCs w:val="24"/>
        </w:rPr>
      </w:pPr>
      <w:r w:rsidRPr="008D208D">
        <w:rPr>
          <w:szCs w:val="24"/>
        </w:rPr>
        <w:t>New section RD 10B of the Income Tax Act 2007 sets new rules for what rates apply for contractors subject to the schedular payment rules.  The flowchart below summarises these rules:</w:t>
      </w:r>
    </w:p>
    <w:p w:rsidR="005E38ED" w:rsidRPr="008D208D" w:rsidRDefault="005E38ED" w:rsidP="00483FFA">
      <w:pPr>
        <w:tabs>
          <w:tab w:val="left" w:pos="567"/>
        </w:tabs>
        <w:rPr>
          <w:szCs w:val="24"/>
        </w:rPr>
      </w:pPr>
    </w:p>
    <w:p w:rsidR="00C85754" w:rsidRPr="008D208D" w:rsidRDefault="00C85754" w:rsidP="00483FFA">
      <w:pPr>
        <w:tabs>
          <w:tab w:val="left" w:pos="567"/>
        </w:tabs>
        <w:rPr>
          <w:szCs w:val="24"/>
        </w:rPr>
      </w:pPr>
    </w:p>
    <w:p w:rsidR="00BB3808" w:rsidRPr="008D208D" w:rsidRDefault="00F44391" w:rsidP="00483FFA">
      <w:pPr>
        <w:tabs>
          <w:tab w:val="left" w:pos="567"/>
        </w:tabs>
        <w:jc w:val="center"/>
        <w:rPr>
          <w:szCs w:val="24"/>
        </w:rPr>
      </w:pPr>
      <w:r w:rsidRPr="008D208D">
        <w:rPr>
          <w:szCs w:val="24"/>
        </w:rPr>
        <w:object w:dxaOrig="7980" w:dyaOrig="8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summarising the rates that apply for contractors subject to the new schedular payment rules." style="width:399pt;height:441.75pt;mso-position-horizontal:absolute" o:ole="">
            <v:imagedata r:id="rId10" o:title=""/>
          </v:shape>
          <o:OLEObject Type="Embed" ProgID="Visio.Drawing.15" ShapeID="_x0000_i1025" DrawAspect="Content" ObjectID="_1549800244" r:id="rId11"/>
        </w:object>
      </w:r>
    </w:p>
    <w:p w:rsidR="0012356D" w:rsidRPr="008D208D" w:rsidRDefault="0012356D" w:rsidP="00483FFA">
      <w:pPr>
        <w:tabs>
          <w:tab w:val="left" w:pos="567"/>
        </w:tabs>
        <w:rPr>
          <w:szCs w:val="24"/>
        </w:rPr>
      </w:pPr>
    </w:p>
    <w:p w:rsidR="005E38ED" w:rsidRPr="008D208D" w:rsidRDefault="005E38ED" w:rsidP="005E38ED">
      <w:pPr>
        <w:jc w:val="left"/>
        <w:rPr>
          <w:b/>
          <w:i/>
        </w:rPr>
      </w:pPr>
      <w:r w:rsidRPr="008D208D">
        <w:br w:type="page"/>
      </w:r>
    </w:p>
    <w:p w:rsidR="005E38ED" w:rsidRPr="008D208D" w:rsidRDefault="005E38ED" w:rsidP="005E38ED">
      <w:pPr>
        <w:pStyle w:val="Heading3"/>
      </w:pPr>
      <w:r w:rsidRPr="008D208D">
        <w:t>Overview of different rate types</w:t>
      </w:r>
    </w:p>
    <w:p w:rsidR="005E38ED" w:rsidRPr="008D208D" w:rsidRDefault="005E38ED" w:rsidP="005E38ED"/>
    <w:tbl>
      <w:tblPr>
        <w:tblStyle w:val="TableGrid"/>
        <w:tblW w:w="0" w:type="auto"/>
        <w:tblCellMar>
          <w:top w:w="57" w:type="dxa"/>
          <w:left w:w="57" w:type="dxa"/>
          <w:bottom w:w="57" w:type="dxa"/>
          <w:right w:w="57" w:type="dxa"/>
        </w:tblCellMar>
        <w:tblLook w:val="04A0" w:firstRow="1" w:lastRow="0" w:firstColumn="1" w:lastColumn="0" w:noHBand="0" w:noVBand="1"/>
      </w:tblPr>
      <w:tblGrid>
        <w:gridCol w:w="2349"/>
        <w:gridCol w:w="3038"/>
        <w:gridCol w:w="3039"/>
      </w:tblGrid>
      <w:tr w:rsidR="005E38ED" w:rsidRPr="008D208D" w:rsidTr="00F44391">
        <w:trPr>
          <w:tblHeader/>
        </w:trPr>
        <w:tc>
          <w:tcPr>
            <w:tcW w:w="2349" w:type="dxa"/>
          </w:tcPr>
          <w:p w:rsidR="005E38ED" w:rsidRPr="008D208D" w:rsidRDefault="005E38ED" w:rsidP="003A21A1">
            <w:pPr>
              <w:jc w:val="left"/>
              <w:rPr>
                <w:b/>
                <w:sz w:val="18"/>
                <w:szCs w:val="18"/>
              </w:rPr>
            </w:pPr>
          </w:p>
        </w:tc>
        <w:tc>
          <w:tcPr>
            <w:tcW w:w="3038" w:type="dxa"/>
          </w:tcPr>
          <w:p w:rsidR="005E38ED" w:rsidRPr="008D208D" w:rsidRDefault="005E38ED" w:rsidP="003A21A1">
            <w:pPr>
              <w:jc w:val="left"/>
              <w:rPr>
                <w:b/>
                <w:sz w:val="18"/>
                <w:szCs w:val="18"/>
              </w:rPr>
            </w:pPr>
            <w:r w:rsidRPr="008D208D">
              <w:rPr>
                <w:b/>
                <w:sz w:val="18"/>
                <w:szCs w:val="18"/>
              </w:rPr>
              <w:t>Description</w:t>
            </w:r>
          </w:p>
        </w:tc>
        <w:tc>
          <w:tcPr>
            <w:tcW w:w="3039" w:type="dxa"/>
          </w:tcPr>
          <w:p w:rsidR="005E38ED" w:rsidRPr="008D208D" w:rsidRDefault="005E38ED" w:rsidP="003A21A1">
            <w:pPr>
              <w:jc w:val="left"/>
              <w:rPr>
                <w:b/>
                <w:sz w:val="18"/>
                <w:szCs w:val="18"/>
              </w:rPr>
            </w:pPr>
            <w:r w:rsidRPr="008D208D">
              <w:rPr>
                <w:b/>
                <w:sz w:val="18"/>
                <w:szCs w:val="18"/>
              </w:rPr>
              <w:t>Rate</w:t>
            </w:r>
          </w:p>
        </w:tc>
      </w:tr>
      <w:tr w:rsidR="005E38ED" w:rsidRPr="008D208D" w:rsidTr="003A21A1">
        <w:tc>
          <w:tcPr>
            <w:tcW w:w="2349" w:type="dxa"/>
          </w:tcPr>
          <w:p w:rsidR="005E38ED" w:rsidRPr="008D208D" w:rsidRDefault="005E38ED" w:rsidP="003A21A1">
            <w:pPr>
              <w:jc w:val="left"/>
              <w:rPr>
                <w:sz w:val="18"/>
                <w:szCs w:val="18"/>
              </w:rPr>
            </w:pPr>
            <w:r w:rsidRPr="008D208D">
              <w:rPr>
                <w:sz w:val="18"/>
                <w:szCs w:val="18"/>
              </w:rPr>
              <w:t>Elected rate</w:t>
            </w:r>
          </w:p>
        </w:tc>
        <w:tc>
          <w:tcPr>
            <w:tcW w:w="3038" w:type="dxa"/>
          </w:tcPr>
          <w:p w:rsidR="005E38ED" w:rsidRPr="008D208D" w:rsidRDefault="005E38ED" w:rsidP="003A21A1">
            <w:pPr>
              <w:jc w:val="left"/>
              <w:rPr>
                <w:sz w:val="18"/>
                <w:szCs w:val="18"/>
              </w:rPr>
            </w:pPr>
            <w:r w:rsidRPr="008D208D">
              <w:rPr>
                <w:sz w:val="18"/>
                <w:szCs w:val="18"/>
              </w:rPr>
              <w:t>Chosen by the payee.</w:t>
            </w:r>
          </w:p>
        </w:tc>
        <w:tc>
          <w:tcPr>
            <w:tcW w:w="3039" w:type="dxa"/>
          </w:tcPr>
          <w:p w:rsidR="005E38ED" w:rsidRPr="008D208D" w:rsidRDefault="005E38ED" w:rsidP="003A21A1">
            <w:pPr>
              <w:jc w:val="left"/>
              <w:rPr>
                <w:sz w:val="18"/>
                <w:szCs w:val="18"/>
              </w:rPr>
            </w:pPr>
            <w:r w:rsidRPr="008D208D">
              <w:rPr>
                <w:sz w:val="18"/>
                <w:szCs w:val="18"/>
              </w:rPr>
              <w:t>10% – 100%</w:t>
            </w:r>
          </w:p>
          <w:p w:rsidR="005E38ED" w:rsidRPr="008D208D" w:rsidRDefault="005E38ED" w:rsidP="003A21A1">
            <w:pPr>
              <w:jc w:val="left"/>
              <w:rPr>
                <w:sz w:val="18"/>
                <w:szCs w:val="18"/>
              </w:rPr>
            </w:pPr>
            <w:r w:rsidRPr="008D208D">
              <w:rPr>
                <w:sz w:val="18"/>
                <w:szCs w:val="18"/>
              </w:rPr>
              <w:t>(15% – 100% for non-residents and holders of temporary visas)</w:t>
            </w:r>
          </w:p>
        </w:tc>
      </w:tr>
      <w:tr w:rsidR="005E38ED" w:rsidRPr="008D208D" w:rsidTr="003A21A1">
        <w:tc>
          <w:tcPr>
            <w:tcW w:w="2349" w:type="dxa"/>
          </w:tcPr>
          <w:p w:rsidR="005E38ED" w:rsidRPr="008D208D" w:rsidRDefault="005E38ED" w:rsidP="003A21A1">
            <w:pPr>
              <w:jc w:val="left"/>
              <w:rPr>
                <w:sz w:val="18"/>
                <w:szCs w:val="18"/>
              </w:rPr>
            </w:pPr>
            <w:r w:rsidRPr="008D208D">
              <w:rPr>
                <w:sz w:val="18"/>
                <w:szCs w:val="18"/>
              </w:rPr>
              <w:t>Special rate</w:t>
            </w:r>
          </w:p>
        </w:tc>
        <w:tc>
          <w:tcPr>
            <w:tcW w:w="3038" w:type="dxa"/>
          </w:tcPr>
          <w:p w:rsidR="005E38ED" w:rsidRPr="008D208D" w:rsidRDefault="005E38ED" w:rsidP="003A21A1">
            <w:pPr>
              <w:jc w:val="left"/>
              <w:rPr>
                <w:sz w:val="18"/>
                <w:szCs w:val="18"/>
              </w:rPr>
            </w:pPr>
            <w:r w:rsidRPr="008D208D">
              <w:rPr>
                <w:sz w:val="18"/>
                <w:szCs w:val="18"/>
              </w:rPr>
              <w:t>Payee can request from Commissioner.</w:t>
            </w:r>
          </w:p>
        </w:tc>
        <w:tc>
          <w:tcPr>
            <w:tcW w:w="3039" w:type="dxa"/>
          </w:tcPr>
          <w:p w:rsidR="005E38ED" w:rsidRPr="008D208D" w:rsidRDefault="005E38ED" w:rsidP="003A21A1">
            <w:pPr>
              <w:jc w:val="left"/>
              <w:rPr>
                <w:sz w:val="18"/>
                <w:szCs w:val="18"/>
              </w:rPr>
            </w:pPr>
            <w:r w:rsidRPr="008D208D">
              <w:rPr>
                <w:sz w:val="18"/>
                <w:szCs w:val="18"/>
              </w:rPr>
              <w:t>Only necessary if the payee wants a rate lower than 10% (or 15% as above)</w:t>
            </w:r>
          </w:p>
        </w:tc>
      </w:tr>
      <w:tr w:rsidR="005E38ED" w:rsidRPr="008D208D" w:rsidTr="003A21A1">
        <w:tc>
          <w:tcPr>
            <w:tcW w:w="2349" w:type="dxa"/>
          </w:tcPr>
          <w:p w:rsidR="005E38ED" w:rsidRPr="008D208D" w:rsidRDefault="005E38ED" w:rsidP="003A21A1">
            <w:pPr>
              <w:jc w:val="left"/>
              <w:rPr>
                <w:sz w:val="18"/>
                <w:szCs w:val="18"/>
              </w:rPr>
            </w:pPr>
            <w:r w:rsidRPr="008D208D">
              <w:rPr>
                <w:sz w:val="18"/>
                <w:szCs w:val="18"/>
              </w:rPr>
              <w:t>No notification rate</w:t>
            </w:r>
          </w:p>
        </w:tc>
        <w:tc>
          <w:tcPr>
            <w:tcW w:w="3038" w:type="dxa"/>
          </w:tcPr>
          <w:p w:rsidR="005E38ED" w:rsidRPr="008D208D" w:rsidRDefault="005E38ED" w:rsidP="00CB34C3">
            <w:pPr>
              <w:jc w:val="left"/>
              <w:rPr>
                <w:sz w:val="18"/>
                <w:szCs w:val="18"/>
              </w:rPr>
            </w:pPr>
            <w:r w:rsidRPr="008D208D">
              <w:rPr>
                <w:sz w:val="18"/>
                <w:szCs w:val="18"/>
              </w:rPr>
              <w:t>Whe</w:t>
            </w:r>
            <w:r w:rsidR="00CB34C3" w:rsidRPr="008D208D">
              <w:rPr>
                <w:sz w:val="18"/>
                <w:szCs w:val="18"/>
              </w:rPr>
              <w:t>n</w:t>
            </w:r>
            <w:r w:rsidRPr="008D208D">
              <w:rPr>
                <w:sz w:val="18"/>
                <w:szCs w:val="18"/>
              </w:rPr>
              <w:t xml:space="preserve"> </w:t>
            </w:r>
            <w:r w:rsidR="00CB34C3" w:rsidRPr="008D208D">
              <w:rPr>
                <w:sz w:val="18"/>
                <w:szCs w:val="18"/>
              </w:rPr>
              <w:t xml:space="preserve">the </w:t>
            </w:r>
            <w:r w:rsidRPr="008D208D">
              <w:rPr>
                <w:sz w:val="18"/>
                <w:szCs w:val="18"/>
              </w:rPr>
              <w:t>payee does not provide name or IRD number to the payer.</w:t>
            </w:r>
          </w:p>
        </w:tc>
        <w:tc>
          <w:tcPr>
            <w:tcW w:w="3039" w:type="dxa"/>
          </w:tcPr>
          <w:p w:rsidR="005E38ED" w:rsidRPr="008D208D" w:rsidRDefault="005E38ED" w:rsidP="003A21A1">
            <w:pPr>
              <w:jc w:val="left"/>
              <w:rPr>
                <w:sz w:val="18"/>
                <w:szCs w:val="18"/>
              </w:rPr>
            </w:pPr>
            <w:r w:rsidRPr="008D208D">
              <w:rPr>
                <w:sz w:val="18"/>
                <w:szCs w:val="18"/>
              </w:rPr>
              <w:t>20% for non-resident companies</w:t>
            </w:r>
          </w:p>
          <w:p w:rsidR="005E38ED" w:rsidRPr="008D208D" w:rsidRDefault="005E38ED" w:rsidP="003A21A1">
            <w:pPr>
              <w:jc w:val="left"/>
              <w:rPr>
                <w:sz w:val="18"/>
                <w:szCs w:val="18"/>
              </w:rPr>
            </w:pPr>
            <w:r w:rsidRPr="008D208D">
              <w:rPr>
                <w:sz w:val="18"/>
                <w:szCs w:val="18"/>
              </w:rPr>
              <w:t>45% for other contractors</w:t>
            </w:r>
          </w:p>
        </w:tc>
      </w:tr>
      <w:tr w:rsidR="005E38ED" w:rsidRPr="008D208D" w:rsidTr="003A21A1">
        <w:tc>
          <w:tcPr>
            <w:tcW w:w="2349" w:type="dxa"/>
          </w:tcPr>
          <w:p w:rsidR="005E38ED" w:rsidRPr="008D208D" w:rsidRDefault="005E38ED" w:rsidP="003A21A1">
            <w:pPr>
              <w:jc w:val="left"/>
              <w:rPr>
                <w:sz w:val="18"/>
                <w:szCs w:val="18"/>
              </w:rPr>
            </w:pPr>
            <w:r w:rsidRPr="008D208D">
              <w:rPr>
                <w:sz w:val="18"/>
                <w:szCs w:val="18"/>
              </w:rPr>
              <w:t>Prescribed rate</w:t>
            </w:r>
          </w:p>
        </w:tc>
        <w:tc>
          <w:tcPr>
            <w:tcW w:w="3038" w:type="dxa"/>
          </w:tcPr>
          <w:p w:rsidR="005E38ED" w:rsidRPr="008D208D" w:rsidRDefault="005E38ED" w:rsidP="00CB34C3">
            <w:pPr>
              <w:jc w:val="left"/>
              <w:rPr>
                <w:sz w:val="18"/>
                <w:szCs w:val="18"/>
              </w:rPr>
            </w:pPr>
            <w:r w:rsidRPr="008D208D">
              <w:rPr>
                <w:sz w:val="18"/>
                <w:szCs w:val="18"/>
              </w:rPr>
              <w:t>Set by Commissioner whe</w:t>
            </w:r>
            <w:r w:rsidR="00CB34C3" w:rsidRPr="008D208D">
              <w:rPr>
                <w:sz w:val="18"/>
                <w:szCs w:val="18"/>
              </w:rPr>
              <w:t>n</w:t>
            </w:r>
            <w:r w:rsidRPr="008D208D">
              <w:rPr>
                <w:sz w:val="18"/>
                <w:szCs w:val="18"/>
              </w:rPr>
              <w:t xml:space="preserve"> the payee has not met a liability under the Inland Revenue Acts.</w:t>
            </w:r>
          </w:p>
        </w:tc>
        <w:tc>
          <w:tcPr>
            <w:tcW w:w="3039" w:type="dxa"/>
          </w:tcPr>
          <w:p w:rsidR="005E38ED" w:rsidRPr="008D208D" w:rsidRDefault="005E38ED" w:rsidP="003A21A1">
            <w:pPr>
              <w:jc w:val="left"/>
              <w:rPr>
                <w:sz w:val="18"/>
                <w:szCs w:val="18"/>
              </w:rPr>
            </w:pPr>
            <w:r w:rsidRPr="008D208D">
              <w:rPr>
                <w:sz w:val="18"/>
                <w:szCs w:val="18"/>
              </w:rPr>
              <w:t>Cannot exceed 50%</w:t>
            </w:r>
          </w:p>
        </w:tc>
      </w:tr>
      <w:tr w:rsidR="005E38ED" w:rsidRPr="008D208D" w:rsidTr="003A21A1">
        <w:tc>
          <w:tcPr>
            <w:tcW w:w="2349" w:type="dxa"/>
          </w:tcPr>
          <w:p w:rsidR="005E38ED" w:rsidRPr="008D208D" w:rsidRDefault="005E38ED" w:rsidP="003A21A1">
            <w:pPr>
              <w:jc w:val="left"/>
              <w:rPr>
                <w:sz w:val="18"/>
                <w:szCs w:val="18"/>
              </w:rPr>
            </w:pPr>
            <w:r w:rsidRPr="008D208D">
              <w:rPr>
                <w:sz w:val="18"/>
                <w:szCs w:val="18"/>
              </w:rPr>
              <w:t>Non-resident entertainer rate</w:t>
            </w:r>
          </w:p>
        </w:tc>
        <w:tc>
          <w:tcPr>
            <w:tcW w:w="3038" w:type="dxa"/>
          </w:tcPr>
          <w:p w:rsidR="005E38ED" w:rsidRPr="008D208D" w:rsidRDefault="005E38ED" w:rsidP="003A21A1">
            <w:pPr>
              <w:jc w:val="left"/>
              <w:rPr>
                <w:sz w:val="18"/>
                <w:szCs w:val="18"/>
              </w:rPr>
            </w:pPr>
            <w:r w:rsidRPr="008D208D">
              <w:rPr>
                <w:sz w:val="18"/>
                <w:szCs w:val="18"/>
              </w:rPr>
              <w:t>This rate must be used by non-resident entertainers.</w:t>
            </w:r>
          </w:p>
        </w:tc>
        <w:tc>
          <w:tcPr>
            <w:tcW w:w="3039" w:type="dxa"/>
          </w:tcPr>
          <w:p w:rsidR="005E38ED" w:rsidRPr="008D208D" w:rsidRDefault="005E38ED" w:rsidP="003A21A1">
            <w:pPr>
              <w:jc w:val="left"/>
              <w:rPr>
                <w:sz w:val="18"/>
                <w:szCs w:val="18"/>
              </w:rPr>
            </w:pPr>
            <w:r w:rsidRPr="008D208D">
              <w:rPr>
                <w:sz w:val="18"/>
                <w:szCs w:val="18"/>
              </w:rPr>
              <w:t>20%</w:t>
            </w:r>
          </w:p>
        </w:tc>
      </w:tr>
      <w:tr w:rsidR="005E38ED" w:rsidRPr="008D208D" w:rsidTr="003A21A1">
        <w:tc>
          <w:tcPr>
            <w:tcW w:w="2349" w:type="dxa"/>
          </w:tcPr>
          <w:p w:rsidR="005E38ED" w:rsidRPr="008D208D" w:rsidRDefault="005E38ED" w:rsidP="003A21A1">
            <w:pPr>
              <w:jc w:val="left"/>
              <w:rPr>
                <w:sz w:val="18"/>
                <w:szCs w:val="18"/>
              </w:rPr>
            </w:pPr>
            <w:r w:rsidRPr="008D208D">
              <w:rPr>
                <w:sz w:val="18"/>
                <w:szCs w:val="18"/>
              </w:rPr>
              <w:t>Standard rate</w:t>
            </w:r>
          </w:p>
        </w:tc>
        <w:tc>
          <w:tcPr>
            <w:tcW w:w="3038" w:type="dxa"/>
          </w:tcPr>
          <w:p w:rsidR="005E38ED" w:rsidRPr="008D208D" w:rsidRDefault="005E38ED" w:rsidP="00CB34C3">
            <w:pPr>
              <w:jc w:val="left"/>
              <w:rPr>
                <w:sz w:val="18"/>
                <w:szCs w:val="18"/>
              </w:rPr>
            </w:pPr>
            <w:r w:rsidRPr="008D208D">
              <w:rPr>
                <w:sz w:val="18"/>
                <w:szCs w:val="18"/>
              </w:rPr>
              <w:t xml:space="preserve">The rate for the activity or arrangement set out in </w:t>
            </w:r>
            <w:r w:rsidR="00CB34C3" w:rsidRPr="008D208D">
              <w:rPr>
                <w:sz w:val="18"/>
                <w:szCs w:val="18"/>
              </w:rPr>
              <w:t>s</w:t>
            </w:r>
            <w:r w:rsidRPr="008D208D">
              <w:rPr>
                <w:sz w:val="18"/>
                <w:szCs w:val="18"/>
              </w:rPr>
              <w:t>chedule 4, which will apply if none of the rates set out above apply.</w:t>
            </w:r>
          </w:p>
        </w:tc>
        <w:tc>
          <w:tcPr>
            <w:tcW w:w="3039" w:type="dxa"/>
          </w:tcPr>
          <w:p w:rsidR="005E38ED" w:rsidRPr="008D208D" w:rsidRDefault="005E38ED" w:rsidP="003A21A1">
            <w:pPr>
              <w:jc w:val="left"/>
              <w:rPr>
                <w:sz w:val="18"/>
                <w:szCs w:val="18"/>
              </w:rPr>
            </w:pPr>
            <w:r w:rsidRPr="008D208D">
              <w:rPr>
                <w:sz w:val="18"/>
                <w:szCs w:val="18"/>
              </w:rPr>
              <w:t>Vary between 10.5% and 33% depending on the type of activity or arrangement</w:t>
            </w:r>
          </w:p>
        </w:tc>
      </w:tr>
    </w:tbl>
    <w:p w:rsidR="005E38ED" w:rsidRPr="008D208D" w:rsidRDefault="005E38ED" w:rsidP="005E38ED"/>
    <w:p w:rsidR="005E38ED" w:rsidRPr="008D208D" w:rsidRDefault="005E38ED" w:rsidP="002853CB"/>
    <w:p w:rsidR="005E38ED" w:rsidRPr="008D208D" w:rsidRDefault="005E38ED" w:rsidP="005E38ED">
      <w:pPr>
        <w:pStyle w:val="Heading3"/>
      </w:pPr>
      <w:r w:rsidRPr="008D208D">
        <w:t>Elected rate</w:t>
      </w:r>
    </w:p>
    <w:p w:rsidR="005E38ED" w:rsidRPr="008D208D" w:rsidRDefault="005E38ED" w:rsidP="005E38ED"/>
    <w:p w:rsidR="005E38ED" w:rsidRPr="008D208D" w:rsidRDefault="005E38ED" w:rsidP="005E38ED">
      <w:r w:rsidRPr="008D208D">
        <w:t>New section RD 10B(3)(a) of the Income Tax Act 2007 and</w:t>
      </w:r>
      <w:r w:rsidR="00DA03CE" w:rsidRPr="008D208D">
        <w:t xml:space="preserve"> section</w:t>
      </w:r>
      <w:r w:rsidRPr="008D208D">
        <w:t xml:space="preserve"> 24LB of the Tax Administration Act 1994 provide that contractors subject to the schedular payment rules may elect the withholding rate that is to apply to payments to them.</w:t>
      </w:r>
    </w:p>
    <w:p w:rsidR="005E38ED" w:rsidRPr="008D208D" w:rsidRDefault="005E38ED" w:rsidP="005E38ED"/>
    <w:p w:rsidR="005E38ED" w:rsidRPr="008D208D" w:rsidRDefault="005E38ED" w:rsidP="005E38ED">
      <w:r w:rsidRPr="008D208D">
        <w:t>To elect a rate of withholding, the contractor must notify the person making the payment of the rate to apply and this notification must be made in a form approved by the Commissioner</w:t>
      </w:r>
      <w:r w:rsidR="00953D70" w:rsidRPr="008D208D">
        <w:t>.  T</w:t>
      </w:r>
      <w:r w:rsidRPr="008D208D">
        <w:t>he selected rate continues to apply until the contractor makes a new election or until the contractor is no longer able to elect a rate due to a prescribed rate notice being given or otherwise.</w:t>
      </w:r>
    </w:p>
    <w:p w:rsidR="005E38ED" w:rsidRPr="008D208D" w:rsidRDefault="005E38ED" w:rsidP="005E38ED"/>
    <w:p w:rsidR="005E38ED" w:rsidRPr="008D208D" w:rsidRDefault="005E38ED" w:rsidP="005E38ED">
      <w:pPr>
        <w:pStyle w:val="Heading3"/>
      </w:pPr>
      <w:r w:rsidRPr="008D208D">
        <w:t>Minimum rate</w:t>
      </w:r>
    </w:p>
    <w:p w:rsidR="005E38ED" w:rsidRPr="008D208D" w:rsidRDefault="005E38ED" w:rsidP="005E38ED"/>
    <w:p w:rsidR="005E38ED" w:rsidRPr="008D208D" w:rsidRDefault="005E38ED" w:rsidP="005E38ED">
      <w:r w:rsidRPr="008D208D">
        <w:t xml:space="preserve">To address the risk that contractors may attempt to defer or avoid paying their tax by choosing an artificially low withholding rate, section 24LB(2) provides that contractors must elect a rate of withholding that is </w:t>
      </w:r>
      <w:r w:rsidR="0062185D" w:rsidRPr="008D208D">
        <w:t xml:space="preserve">not less </w:t>
      </w:r>
      <w:r w:rsidRPr="008D208D">
        <w:t>than the minimum rate.</w:t>
      </w:r>
    </w:p>
    <w:p w:rsidR="005E38ED" w:rsidRPr="008D208D" w:rsidRDefault="005E38ED" w:rsidP="005E38ED"/>
    <w:p w:rsidR="005E38ED" w:rsidRPr="008D208D" w:rsidRDefault="005E38ED" w:rsidP="005E38ED">
      <w:r w:rsidRPr="008D208D">
        <w:t>For non-resident contractors and contractors who are holders of temporary entry class visas, the minimum rate is 15%.  For all other contractors, the minimum rate is 10%.</w:t>
      </w:r>
    </w:p>
    <w:p w:rsidR="005E38ED" w:rsidRPr="008D208D" w:rsidRDefault="005E38ED" w:rsidP="005E38ED"/>
    <w:p w:rsidR="005E38ED" w:rsidRPr="008D208D" w:rsidRDefault="005E38ED" w:rsidP="003164BB">
      <w:pPr>
        <w:pStyle w:val="Heading3"/>
      </w:pPr>
      <w:r w:rsidRPr="008D208D">
        <w:t>Special tax rate</w:t>
      </w:r>
    </w:p>
    <w:p w:rsidR="005E38ED" w:rsidRPr="008D208D" w:rsidRDefault="005E38ED" w:rsidP="005E38ED"/>
    <w:p w:rsidR="005E38ED" w:rsidRPr="008D208D" w:rsidRDefault="005E38ED" w:rsidP="005E38ED">
      <w:r w:rsidRPr="008D208D">
        <w:t>A contractor may have a rate lower than the minimum if they obtain a special tax rate certificate under section 24N of the Tax Administration Act 1994.</w:t>
      </w:r>
    </w:p>
    <w:p w:rsidR="005E38ED" w:rsidRPr="008D208D" w:rsidRDefault="005E38ED" w:rsidP="005E38ED"/>
    <w:p w:rsidR="005E38ED" w:rsidRPr="008D208D" w:rsidRDefault="005E38ED" w:rsidP="005E38ED">
      <w:pPr>
        <w:pStyle w:val="Heading3"/>
      </w:pPr>
      <w:r w:rsidRPr="008D208D">
        <w:t>Repeatedly changing withholding rates</w:t>
      </w:r>
    </w:p>
    <w:p w:rsidR="005E38ED" w:rsidRPr="008D208D" w:rsidRDefault="005E38ED" w:rsidP="005E38ED"/>
    <w:p w:rsidR="005E38ED" w:rsidRPr="008D208D" w:rsidRDefault="005E38ED" w:rsidP="005E38ED">
      <w:r w:rsidRPr="008D208D">
        <w:t>If a contractor has previously elected a withholding rate twice in a 12-month period to the same payer, they require the consent of the schedular payer to make any further cha</w:t>
      </w:r>
      <w:r w:rsidR="006E08C5" w:rsidRPr="008D208D">
        <w:t>nges in their withholding rate.</w:t>
      </w:r>
    </w:p>
    <w:p w:rsidR="005E38ED" w:rsidRPr="008D208D" w:rsidRDefault="005E38ED" w:rsidP="005E38ED"/>
    <w:p w:rsidR="002853CB" w:rsidRPr="008D208D" w:rsidRDefault="002853CB" w:rsidP="005E38ED"/>
    <w:p w:rsidR="005E38ED" w:rsidRPr="008D208D" w:rsidRDefault="002853CB" w:rsidP="002853CB">
      <w:pPr>
        <w:pStyle w:val="Exampleheading"/>
        <w:pBdr>
          <w:top w:val="single" w:sz="4" w:space="10" w:color="auto"/>
          <w:left w:val="single" w:sz="4" w:space="10" w:color="auto"/>
          <w:bottom w:val="single" w:sz="4" w:space="10" w:color="auto"/>
          <w:right w:val="single" w:sz="4" w:space="10" w:color="auto"/>
        </w:pBdr>
        <w:spacing w:after="100"/>
      </w:pPr>
      <w:r w:rsidRPr="008D208D">
        <w:t>Example 19</w:t>
      </w:r>
    </w:p>
    <w:p w:rsidR="003B3CF7" w:rsidRPr="008D208D" w:rsidRDefault="003B3CF7" w:rsidP="005E38ED">
      <w:pPr>
        <w:pBdr>
          <w:top w:val="single" w:sz="4" w:space="10" w:color="auto"/>
          <w:left w:val="single" w:sz="4" w:space="10" w:color="auto"/>
          <w:bottom w:val="single" w:sz="4" w:space="10" w:color="auto"/>
          <w:right w:val="single" w:sz="4" w:space="10" w:color="auto"/>
        </w:pBdr>
        <w:rPr>
          <w:sz w:val="16"/>
          <w:szCs w:val="16"/>
        </w:rPr>
      </w:pPr>
    </w:p>
    <w:p w:rsidR="003B3CF7" w:rsidRPr="008D208D" w:rsidRDefault="00F44391" w:rsidP="003B3CF7">
      <w:pPr>
        <w:pBdr>
          <w:top w:val="single" w:sz="4" w:space="10" w:color="auto"/>
          <w:left w:val="single" w:sz="4" w:space="10" w:color="auto"/>
          <w:bottom w:val="single" w:sz="4" w:space="10" w:color="auto"/>
          <w:right w:val="single" w:sz="4" w:space="10" w:color="auto"/>
        </w:pBdr>
        <w:jc w:val="center"/>
        <w:rPr>
          <w:sz w:val="20"/>
        </w:rPr>
      </w:pPr>
      <w:r w:rsidRPr="008D208D">
        <w:object w:dxaOrig="6615" w:dyaOrig="1740">
          <v:shape id="_x0000_i1039" type="#_x0000_t75" alt="Example 19" style="width:330.75pt;height:87pt" o:ole="">
            <v:imagedata r:id="rId12" o:title=""/>
          </v:shape>
          <o:OLEObject Type="Embed" ProgID="Visio.Drawing.15" ShapeID="_x0000_i1039" DrawAspect="Content" ObjectID="_1549800245" r:id="rId13"/>
        </w:object>
      </w:r>
    </w:p>
    <w:p w:rsidR="003B3CF7" w:rsidRPr="008D208D" w:rsidRDefault="003B3CF7" w:rsidP="00BB3808">
      <w:pPr>
        <w:pBdr>
          <w:top w:val="single" w:sz="4" w:space="10" w:color="auto"/>
          <w:left w:val="single" w:sz="4" w:space="10" w:color="auto"/>
          <w:bottom w:val="single" w:sz="4" w:space="10" w:color="auto"/>
          <w:right w:val="single" w:sz="4" w:space="10" w:color="auto"/>
        </w:pBdr>
        <w:spacing w:after="100"/>
        <w:rPr>
          <w:sz w:val="20"/>
        </w:rPr>
      </w:pPr>
    </w:p>
    <w:p w:rsidR="00125367" w:rsidRPr="008D208D" w:rsidRDefault="00125367" w:rsidP="00BB3808">
      <w:pPr>
        <w:pBdr>
          <w:top w:val="single" w:sz="4" w:space="10" w:color="auto"/>
          <w:left w:val="single" w:sz="4" w:space="10" w:color="auto"/>
          <w:bottom w:val="single" w:sz="4" w:space="10" w:color="auto"/>
          <w:right w:val="single" w:sz="4" w:space="10" w:color="auto"/>
        </w:pBdr>
        <w:spacing w:after="100"/>
        <w:rPr>
          <w:sz w:val="20"/>
        </w:rPr>
      </w:pPr>
    </w:p>
    <w:p w:rsidR="005E38ED" w:rsidRPr="008D208D" w:rsidRDefault="005E38ED" w:rsidP="00BB3808">
      <w:pPr>
        <w:pBdr>
          <w:top w:val="single" w:sz="4" w:space="10" w:color="auto"/>
          <w:left w:val="single" w:sz="4" w:space="10" w:color="auto"/>
          <w:bottom w:val="single" w:sz="4" w:space="10" w:color="auto"/>
          <w:right w:val="single" w:sz="4" w:space="10" w:color="auto"/>
        </w:pBdr>
        <w:spacing w:after="100"/>
        <w:rPr>
          <w:sz w:val="20"/>
        </w:rPr>
      </w:pPr>
      <w:r w:rsidRPr="008D208D">
        <w:rPr>
          <w:sz w:val="20"/>
        </w:rPr>
        <w:t>On 3 March 2018 Caroline starts work as a building contractor for Small Builders Ltd.  Payments from Small Builders to Caroline are subject to the schedular payment rules and Caroline initially selects a withholding rate of 15%.</w:t>
      </w:r>
    </w:p>
    <w:p w:rsidR="005E38ED" w:rsidRPr="008D208D" w:rsidRDefault="005E38ED" w:rsidP="00BB3808">
      <w:pPr>
        <w:pBdr>
          <w:top w:val="single" w:sz="4" w:space="10" w:color="auto"/>
          <w:left w:val="single" w:sz="4" w:space="10" w:color="auto"/>
          <w:bottom w:val="single" w:sz="4" w:space="10" w:color="auto"/>
          <w:right w:val="single" w:sz="4" w:space="10" w:color="auto"/>
        </w:pBdr>
        <w:spacing w:after="100"/>
        <w:rPr>
          <w:sz w:val="20"/>
        </w:rPr>
      </w:pPr>
      <w:r w:rsidRPr="008D208D">
        <w:rPr>
          <w:sz w:val="20"/>
        </w:rPr>
        <w:t>On 4 April 2018, Caroline wishes to change her withholding rate and notifies Small Builders that she wishes to have a withholding rate of 20% apply to her.  Caroline does not require the consent of Small Builders to this change as she has only elected a withholding rate once within the last 12 months.  However, if Caroline wishes to make any further changes to her withholding rate for payments made by Small Builders up till 3 April 2019, she will require the consent of Small Builders.</w:t>
      </w: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r w:rsidRPr="008D208D">
        <w:rPr>
          <w:sz w:val="20"/>
        </w:rPr>
        <w:t>On 5 August 2018, Caroline starts work for Large Builders Ltd.  Caroline can elect a new withholding rate without the consent of Large Builders Ltd as she has not previously elected a withho</w:t>
      </w:r>
      <w:r w:rsidR="006E08C5" w:rsidRPr="008D208D">
        <w:rPr>
          <w:sz w:val="20"/>
        </w:rPr>
        <w:t>lding rate with Large Builders Ltd.</w:t>
      </w:r>
    </w:p>
    <w:p w:rsidR="005E38ED" w:rsidRPr="008D208D" w:rsidRDefault="005E38ED" w:rsidP="005E38ED"/>
    <w:p w:rsidR="005E38ED" w:rsidRPr="008D208D" w:rsidRDefault="005E38ED" w:rsidP="005E38ED"/>
    <w:p w:rsidR="005E38ED" w:rsidRPr="008D208D" w:rsidRDefault="005E38ED" w:rsidP="005E38ED">
      <w:pPr>
        <w:pStyle w:val="Heading3"/>
      </w:pPr>
      <w:r w:rsidRPr="008D208D">
        <w:t>No notification rate</w:t>
      </w:r>
    </w:p>
    <w:p w:rsidR="005E38ED" w:rsidRPr="008D208D" w:rsidRDefault="005E38ED" w:rsidP="005E38ED"/>
    <w:p w:rsidR="005E38ED" w:rsidRPr="008D208D" w:rsidRDefault="005E38ED" w:rsidP="005E38ED">
      <w:r w:rsidRPr="008D208D">
        <w:t>Section RD 10B(2) provides that when a contractor does not give their name and IRD number to their payer, payments to them must have tax deducted at the “no notification rate”</w:t>
      </w:r>
      <w:r w:rsidR="00953D70" w:rsidRPr="008D208D">
        <w:t>.  T</w:t>
      </w:r>
      <w:r w:rsidRPr="008D208D">
        <w:t>he no notification rate is 20% for non-resident companies, and 45% for all other contractors.</w:t>
      </w:r>
    </w:p>
    <w:p w:rsidR="005E38ED" w:rsidRPr="008D208D" w:rsidRDefault="005E38ED" w:rsidP="005E38ED"/>
    <w:p w:rsidR="005E38ED" w:rsidRPr="008D208D" w:rsidRDefault="005E38ED" w:rsidP="005E38ED">
      <w:r w:rsidRPr="008D208D">
        <w:t>This replaces the current “no notification” rate for schedular payments in section RD 18 of the Income Tax Act</w:t>
      </w:r>
      <w:r w:rsidR="0007042F" w:rsidRPr="008D208D">
        <w:t xml:space="preserve"> 2007</w:t>
      </w:r>
      <w:r w:rsidRPr="008D208D">
        <w:t>.  This is intended to provide a simpler “no notification” rate for schedular payments that is aligned with the rate that applies to employees.</w:t>
      </w:r>
    </w:p>
    <w:p w:rsidR="005E38ED" w:rsidRPr="008D208D" w:rsidRDefault="005E38ED" w:rsidP="005E38ED"/>
    <w:p w:rsidR="005E38ED" w:rsidRPr="008D208D" w:rsidRDefault="005E38ED" w:rsidP="005E38ED">
      <w:pPr>
        <w:pStyle w:val="Heading3"/>
      </w:pPr>
      <w:r w:rsidRPr="008D208D">
        <w:t>Prescribed rate</w:t>
      </w:r>
    </w:p>
    <w:p w:rsidR="005E38ED" w:rsidRPr="008D208D" w:rsidRDefault="005E38ED" w:rsidP="005E38ED"/>
    <w:p w:rsidR="005E38ED" w:rsidRPr="008D208D" w:rsidRDefault="005E38ED" w:rsidP="005E38ED">
      <w:r w:rsidRPr="008D208D">
        <w:t xml:space="preserve">Section RD 10B(4) of the Income Tax Act 2007 and </w:t>
      </w:r>
      <w:r w:rsidR="0007042F" w:rsidRPr="008D208D">
        <w:t xml:space="preserve">section </w:t>
      </w:r>
      <w:r w:rsidRPr="008D208D">
        <w:t>24LC of the Tax Administration Act 1994 provide that when a contractor has not met a liability under the Inland Revenue Acts the Commissioner has the ability to prescribe a withholding rate.</w:t>
      </w:r>
    </w:p>
    <w:p w:rsidR="005E38ED" w:rsidRPr="008D208D" w:rsidRDefault="005E38ED" w:rsidP="005E38ED"/>
    <w:p w:rsidR="005E38ED" w:rsidRPr="008D208D" w:rsidRDefault="005E38ED" w:rsidP="005E38ED">
      <w:pPr>
        <w:rPr>
          <w:spacing w:val="-2"/>
        </w:rPr>
      </w:pPr>
      <w:r w:rsidRPr="008D208D">
        <w:rPr>
          <w:spacing w:val="-2"/>
        </w:rPr>
        <w:t>The process for the prescribed rate is similar to the one for deduction notices under section 157 of the Tax Administration Act 1994, and requires a notice to be provided to the payer or the contractor that a different rate should be applied.  If a notice is provided to the payer, the payee must also be provided a notice unless</w:t>
      </w:r>
      <w:r w:rsidR="008B6C2F" w:rsidRPr="008D208D">
        <w:rPr>
          <w:spacing w:val="-2"/>
        </w:rPr>
        <w:t>,</w:t>
      </w:r>
      <w:r w:rsidRPr="008D208D">
        <w:rPr>
          <w:spacing w:val="-2"/>
        </w:rPr>
        <w:t xml:space="preserve"> after making reasonable enquiries</w:t>
      </w:r>
      <w:r w:rsidR="008B6C2F" w:rsidRPr="008D208D">
        <w:rPr>
          <w:spacing w:val="-2"/>
        </w:rPr>
        <w:t>,</w:t>
      </w:r>
      <w:r w:rsidRPr="008D208D">
        <w:rPr>
          <w:spacing w:val="-2"/>
        </w:rPr>
        <w:t xml:space="preserve"> the Commissioner does not have a valid address for the contractor.</w:t>
      </w:r>
    </w:p>
    <w:p w:rsidR="005E38ED" w:rsidRPr="008D208D" w:rsidRDefault="005E38ED" w:rsidP="005E38ED"/>
    <w:p w:rsidR="005E38ED" w:rsidRPr="008D208D" w:rsidRDefault="005E38ED" w:rsidP="005E38ED">
      <w:r w:rsidRPr="008D208D">
        <w:t>Under the amendments the Commissioner can require two different types of prescribed rate deductions.  These are:</w:t>
      </w:r>
    </w:p>
    <w:p w:rsidR="005E38ED" w:rsidRPr="008D208D" w:rsidRDefault="005E38ED" w:rsidP="005E38ED"/>
    <w:p w:rsidR="005E38ED" w:rsidRPr="008D208D" w:rsidRDefault="005E38ED" w:rsidP="00BB3808">
      <w:pPr>
        <w:pStyle w:val="Bullets"/>
      </w:pPr>
      <w:r w:rsidRPr="008D208D">
        <w:t>standard schedular payment deductions under the ordinary PAYE rules (which provide PAYE tax credits for the contractor);</w:t>
      </w:r>
      <w:r w:rsidR="008B6C2F" w:rsidRPr="008D208D">
        <w:t xml:space="preserve"> or</w:t>
      </w:r>
    </w:p>
    <w:p w:rsidR="005E38ED" w:rsidRPr="008D208D" w:rsidRDefault="005E38ED" w:rsidP="00BB3808">
      <w:pPr>
        <w:pStyle w:val="Bullets"/>
        <w:spacing w:after="0"/>
      </w:pPr>
      <w:proofErr w:type="gramStart"/>
      <w:r w:rsidRPr="008D208D">
        <w:t>additional</w:t>
      </w:r>
      <w:proofErr w:type="gramEnd"/>
      <w:r w:rsidRPr="008D208D">
        <w:t xml:space="preserve"> deductions, which are used to meet the contractor’s tax debts or other liabilities.</w:t>
      </w:r>
    </w:p>
    <w:p w:rsidR="005E38ED" w:rsidRPr="008D208D" w:rsidRDefault="005E38ED" w:rsidP="005E38ED"/>
    <w:p w:rsidR="005E38ED" w:rsidRPr="008D208D" w:rsidRDefault="005E38ED" w:rsidP="005E38ED">
      <w:r w:rsidRPr="008D208D">
        <w:t xml:space="preserve">The additional deductions would generally be required to be recorded on a separate line in the employer monthly schedule and under a different tax code.  This is similar to </w:t>
      </w:r>
      <w:r w:rsidR="008B6C2F" w:rsidRPr="008D208D">
        <w:t>the way</w:t>
      </w:r>
      <w:r w:rsidRPr="008D208D">
        <w:t xml:space="preserve"> additional deductions are currently done for student loans.  Whe</w:t>
      </w:r>
      <w:r w:rsidR="008B6C2F" w:rsidRPr="008D208D">
        <w:t>n</w:t>
      </w:r>
      <w:r w:rsidRPr="008D208D">
        <w:t xml:space="preserve"> additional deductions are paid in this way, the initial late payment penalties charged on the</w:t>
      </w:r>
      <w:r w:rsidR="006E08C5" w:rsidRPr="008D208D">
        <w:t xml:space="preserve"> original debt are not applied.</w:t>
      </w:r>
    </w:p>
    <w:p w:rsidR="005E38ED" w:rsidRPr="008D208D" w:rsidRDefault="005E38ED" w:rsidP="005E38ED"/>
    <w:p w:rsidR="005E38ED" w:rsidRPr="008D208D" w:rsidRDefault="005E38ED" w:rsidP="002853CB">
      <w:pPr>
        <w:pStyle w:val="Heading4"/>
      </w:pPr>
      <w:r w:rsidRPr="008D208D">
        <w:t>Revocation of prescribed rate</w:t>
      </w:r>
    </w:p>
    <w:p w:rsidR="005E38ED" w:rsidRPr="008D208D" w:rsidRDefault="005E38ED" w:rsidP="005E38ED"/>
    <w:p w:rsidR="005E38ED" w:rsidRPr="008D208D" w:rsidRDefault="005E38ED" w:rsidP="005E38ED">
      <w:r w:rsidRPr="008D208D">
        <w:t>The Commissioner can rescind a prescribed rate at any time.</w:t>
      </w:r>
    </w:p>
    <w:p w:rsidR="00F44391" w:rsidRPr="008D208D" w:rsidRDefault="00F44391" w:rsidP="005E38ED"/>
    <w:p w:rsidR="005E38ED" w:rsidRPr="008D208D" w:rsidRDefault="005E38ED" w:rsidP="005E38ED">
      <w:r w:rsidRPr="008D208D">
        <w:t>A taxpayer can also apply to have the prescribed rate notice</w:t>
      </w:r>
      <w:r w:rsidR="006E08C5" w:rsidRPr="008D208D">
        <w:t xml:space="preserve"> rescinded by the Commissioner.</w:t>
      </w:r>
    </w:p>
    <w:p w:rsidR="005E38ED" w:rsidRPr="008D208D" w:rsidRDefault="005E38ED" w:rsidP="005E38ED"/>
    <w:p w:rsidR="005E38ED" w:rsidRPr="008D208D" w:rsidRDefault="005E38ED" w:rsidP="005E38ED">
      <w:r w:rsidRPr="008D208D">
        <w:t>For prescribed rates relating to standard schedular payment deductions</w:t>
      </w:r>
      <w:r w:rsidR="008B6C2F" w:rsidRPr="008D208D">
        <w:t>,</w:t>
      </w:r>
      <w:r w:rsidRPr="008D208D">
        <w:t xml:space="preserve"> the Commissioner must revoke the prescribed rate on application, if </w:t>
      </w:r>
      <w:r w:rsidR="00250F63" w:rsidRPr="008D208D">
        <w:t>she</w:t>
      </w:r>
      <w:r w:rsidRPr="008D208D">
        <w:t xml:space="preserve"> is satisfied that all liabilities under the </w:t>
      </w:r>
      <w:r w:rsidR="00810ABC" w:rsidRPr="008D208D">
        <w:t>Inland R</w:t>
      </w:r>
      <w:r w:rsidRPr="008D208D">
        <w:t xml:space="preserve">evenue </w:t>
      </w:r>
      <w:r w:rsidR="00810ABC" w:rsidRPr="008D208D">
        <w:t>A</w:t>
      </w:r>
      <w:r w:rsidRPr="008D208D">
        <w:t xml:space="preserve">cts have been met and </w:t>
      </w:r>
      <w:r w:rsidR="00250F63" w:rsidRPr="008D208D">
        <w:t xml:space="preserve">she </w:t>
      </w:r>
      <w:r w:rsidRPr="008D208D">
        <w:t>is reasonably satisfied that the contractor will be likely to meet their liabilities in the future</w:t>
      </w:r>
      <w:r w:rsidR="00810ABC" w:rsidRPr="008D208D">
        <w:t>.</w:t>
      </w:r>
    </w:p>
    <w:p w:rsidR="005E38ED" w:rsidRPr="008D208D" w:rsidRDefault="005E38ED" w:rsidP="005E38ED"/>
    <w:p w:rsidR="005E38ED" w:rsidRPr="008D208D" w:rsidRDefault="005E38ED" w:rsidP="005E38ED">
      <w:r w:rsidRPr="008D208D">
        <w:t>For additional deductions to meet the contractor’s tax debts or other liabilities</w:t>
      </w:r>
      <w:r w:rsidR="00250F63" w:rsidRPr="008D208D">
        <w:t>,</w:t>
      </w:r>
      <w:r w:rsidRPr="008D208D">
        <w:t xml:space="preserve"> the Commissioner must revoke the prescribed rate on application, if </w:t>
      </w:r>
      <w:r w:rsidR="00250F63" w:rsidRPr="008D208D">
        <w:t>she</w:t>
      </w:r>
      <w:r w:rsidRPr="008D208D">
        <w:t xml:space="preserve"> is satisfied that the contractor has paid all tax due and payable.</w:t>
      </w:r>
    </w:p>
    <w:p w:rsidR="005E38ED" w:rsidRPr="008D208D" w:rsidRDefault="005E38ED" w:rsidP="005E38ED"/>
    <w:p w:rsidR="005E38ED" w:rsidRPr="008D208D" w:rsidRDefault="005E38ED" w:rsidP="005E38ED">
      <w:r w:rsidRPr="008D208D">
        <w:t>The Commissioner does not intend to use this prescribed rate notice to require additional deductions to meet a contractor’s other tax debts until schedular payments are administered in Inland Revenue’s new computer system</w:t>
      </w:r>
      <w:r w:rsidR="00250F63" w:rsidRPr="008D208D">
        <w:t xml:space="preserve"> (START)</w:t>
      </w:r>
      <w:r w:rsidRPr="008D208D">
        <w:t>.</w:t>
      </w:r>
    </w:p>
    <w:p w:rsidR="005E38ED" w:rsidRPr="008D208D" w:rsidRDefault="005E38ED" w:rsidP="005E38ED">
      <w:pPr>
        <w:rPr>
          <w:sz w:val="20"/>
          <w:szCs w:val="20"/>
        </w:rPr>
      </w:pPr>
    </w:p>
    <w:p w:rsidR="005E38ED" w:rsidRPr="008D208D" w:rsidRDefault="005E38ED" w:rsidP="005E38ED">
      <w:pPr>
        <w:rPr>
          <w:sz w:val="20"/>
          <w:szCs w:val="20"/>
        </w:rPr>
      </w:pPr>
    </w:p>
    <w:p w:rsidR="005E38ED" w:rsidRPr="008D208D" w:rsidRDefault="005E38ED" w:rsidP="002853CB">
      <w:pPr>
        <w:pStyle w:val="Exampleheading"/>
        <w:pBdr>
          <w:top w:val="single" w:sz="4" w:space="10" w:color="auto"/>
          <w:left w:val="single" w:sz="4" w:space="10" w:color="auto"/>
          <w:bottom w:val="single" w:sz="4" w:space="10" w:color="auto"/>
          <w:right w:val="single" w:sz="4" w:space="10" w:color="auto"/>
        </w:pBdr>
        <w:spacing w:after="100"/>
      </w:pPr>
      <w:r w:rsidRPr="008D208D">
        <w:t xml:space="preserve">Example </w:t>
      </w:r>
      <w:r w:rsidR="00BC2C04" w:rsidRPr="008D208D">
        <w:t>20</w:t>
      </w:r>
    </w:p>
    <w:p w:rsidR="005E38ED" w:rsidRPr="008D208D" w:rsidRDefault="005E38ED" w:rsidP="00BB3808">
      <w:pPr>
        <w:pBdr>
          <w:top w:val="single" w:sz="4" w:space="10" w:color="auto"/>
          <w:left w:val="single" w:sz="4" w:space="10" w:color="auto"/>
          <w:bottom w:val="single" w:sz="4" w:space="10" w:color="auto"/>
          <w:right w:val="single" w:sz="4" w:space="10" w:color="auto"/>
        </w:pBdr>
        <w:spacing w:after="100"/>
        <w:rPr>
          <w:sz w:val="20"/>
        </w:rPr>
      </w:pPr>
      <w:r w:rsidRPr="008D208D">
        <w:rPr>
          <w:sz w:val="20"/>
        </w:rPr>
        <w:t xml:space="preserve">Ben is a building contractor.  He earns $120,000 each year from his building contracts with several major building companies.  Ben elects a withholding rate of 10% and $12,000 is </w:t>
      </w:r>
      <w:r w:rsidR="006E08C5" w:rsidRPr="008D208D">
        <w:rPr>
          <w:sz w:val="20"/>
        </w:rPr>
        <w:t>withheld from him for the year.</w:t>
      </w:r>
    </w:p>
    <w:p w:rsidR="005E38ED" w:rsidRPr="008D208D" w:rsidRDefault="005E38ED" w:rsidP="00BB3808">
      <w:pPr>
        <w:pBdr>
          <w:top w:val="single" w:sz="4" w:space="10" w:color="auto"/>
          <w:left w:val="single" w:sz="4" w:space="10" w:color="auto"/>
          <w:bottom w:val="single" w:sz="4" w:space="10" w:color="auto"/>
          <w:right w:val="single" w:sz="4" w:space="10" w:color="auto"/>
        </w:pBdr>
        <w:spacing w:after="100"/>
        <w:rPr>
          <w:sz w:val="20"/>
        </w:rPr>
      </w:pPr>
      <w:r w:rsidRPr="008D208D">
        <w:rPr>
          <w:sz w:val="20"/>
        </w:rPr>
        <w:t>Ben predominantly provides labour services and has minimal deductions.  His end</w:t>
      </w:r>
      <w:r w:rsidR="00BA3BD7" w:rsidRPr="008D208D">
        <w:rPr>
          <w:sz w:val="20"/>
        </w:rPr>
        <w:t>-</w:t>
      </w:r>
      <w:r w:rsidRPr="008D208D">
        <w:rPr>
          <w:sz w:val="20"/>
        </w:rPr>
        <w:t>of</w:t>
      </w:r>
      <w:r w:rsidR="00BA3BD7" w:rsidRPr="008D208D">
        <w:rPr>
          <w:sz w:val="20"/>
        </w:rPr>
        <w:t>-</w:t>
      </w:r>
      <w:r w:rsidRPr="008D208D">
        <w:rPr>
          <w:sz w:val="20"/>
        </w:rPr>
        <w:t>year tax liability is $30,000 and so Ben has a terminal tax bill of $18,000.  Ben does not pay his terminal tax bill and so ends up with a tax debt.</w:t>
      </w:r>
    </w:p>
    <w:p w:rsidR="005E38ED" w:rsidRPr="008D208D" w:rsidRDefault="005E38ED" w:rsidP="00BB3808">
      <w:pPr>
        <w:pBdr>
          <w:top w:val="single" w:sz="4" w:space="10" w:color="auto"/>
          <w:left w:val="single" w:sz="4" w:space="10" w:color="auto"/>
          <w:bottom w:val="single" w:sz="4" w:space="10" w:color="auto"/>
          <w:right w:val="single" w:sz="4" w:space="10" w:color="auto"/>
        </w:pBdr>
        <w:spacing w:after="100"/>
        <w:rPr>
          <w:sz w:val="20"/>
        </w:rPr>
      </w:pPr>
      <w:r w:rsidRPr="008D208D">
        <w:rPr>
          <w:sz w:val="20"/>
        </w:rPr>
        <w:t>The Commissioner prescribes a new rate of withholding to Ben and his payers.  This new rate is:</w:t>
      </w:r>
    </w:p>
    <w:p w:rsidR="005E38ED" w:rsidRPr="008D208D" w:rsidRDefault="005E38ED" w:rsidP="00BB3808">
      <w:pPr>
        <w:pStyle w:val="Bullets"/>
        <w:numPr>
          <w:ilvl w:val="0"/>
          <w:numId w:val="6"/>
        </w:numPr>
        <w:pBdr>
          <w:top w:val="single" w:sz="4" w:space="10" w:color="auto"/>
          <w:left w:val="single" w:sz="4" w:space="10" w:color="auto"/>
          <w:bottom w:val="single" w:sz="4" w:space="10" w:color="auto"/>
          <w:right w:val="single" w:sz="4" w:space="10" w:color="auto"/>
        </w:pBdr>
        <w:spacing w:after="100"/>
        <w:ind w:left="284" w:hanging="284"/>
        <w:rPr>
          <w:sz w:val="20"/>
        </w:rPr>
      </w:pPr>
      <w:r w:rsidRPr="008D208D">
        <w:rPr>
          <w:sz w:val="20"/>
        </w:rPr>
        <w:t>25% under the standard schedular payment code (WT).  Ben receives PAYE credits for these amounts and these amounts are intended to ensure that Ben does not have an end</w:t>
      </w:r>
      <w:r w:rsidR="00BA3BD7" w:rsidRPr="008D208D">
        <w:rPr>
          <w:sz w:val="20"/>
        </w:rPr>
        <w:t>-</w:t>
      </w:r>
      <w:r w:rsidRPr="008D208D">
        <w:rPr>
          <w:sz w:val="20"/>
        </w:rPr>
        <w:t>of</w:t>
      </w:r>
      <w:r w:rsidR="00BA3BD7" w:rsidRPr="008D208D">
        <w:rPr>
          <w:sz w:val="20"/>
        </w:rPr>
        <w:t>-</w:t>
      </w:r>
      <w:r w:rsidRPr="008D208D">
        <w:rPr>
          <w:sz w:val="20"/>
        </w:rPr>
        <w:t>year income tax liability and further tax bills; and</w:t>
      </w:r>
    </w:p>
    <w:p w:rsidR="005E38ED" w:rsidRPr="008D208D" w:rsidRDefault="005E38ED" w:rsidP="005E38ED">
      <w:pPr>
        <w:pStyle w:val="Bullets"/>
        <w:numPr>
          <w:ilvl w:val="0"/>
          <w:numId w:val="6"/>
        </w:numPr>
        <w:pBdr>
          <w:top w:val="single" w:sz="4" w:space="10" w:color="auto"/>
          <w:left w:val="single" w:sz="4" w:space="10" w:color="auto"/>
          <w:bottom w:val="single" w:sz="4" w:space="10" w:color="auto"/>
          <w:right w:val="single" w:sz="4" w:space="10" w:color="auto"/>
        </w:pBdr>
        <w:spacing w:after="0"/>
        <w:ind w:left="284" w:hanging="284"/>
        <w:rPr>
          <w:sz w:val="20"/>
        </w:rPr>
      </w:pPr>
      <w:proofErr w:type="gramStart"/>
      <w:r w:rsidRPr="008D208D">
        <w:rPr>
          <w:sz w:val="20"/>
        </w:rPr>
        <w:t>an</w:t>
      </w:r>
      <w:proofErr w:type="gramEnd"/>
      <w:r w:rsidRPr="008D208D">
        <w:rPr>
          <w:sz w:val="20"/>
        </w:rPr>
        <w:t xml:space="preserve"> additional 15% under a new tax code and recorded on a new line in the employer monthly schedule.  Amounts withheld under this code are used to pay Ben’s tax debt for the previous year.</w:t>
      </w:r>
    </w:p>
    <w:p w:rsidR="005E38ED" w:rsidRPr="008D208D" w:rsidRDefault="005E38ED" w:rsidP="00F44391">
      <w:pPr>
        <w:rPr>
          <w:sz w:val="20"/>
          <w:szCs w:val="20"/>
        </w:rPr>
      </w:pPr>
    </w:p>
    <w:p w:rsidR="005E38ED" w:rsidRPr="008D208D" w:rsidRDefault="005E38ED" w:rsidP="005E38ED">
      <w:pPr>
        <w:rPr>
          <w:sz w:val="20"/>
          <w:szCs w:val="20"/>
        </w:rPr>
      </w:pPr>
    </w:p>
    <w:p w:rsidR="005E38ED" w:rsidRPr="008D208D" w:rsidRDefault="005E38ED" w:rsidP="005E38ED">
      <w:pPr>
        <w:pStyle w:val="Heading3"/>
      </w:pPr>
      <w:r w:rsidRPr="008D208D">
        <w:t>Standard rates</w:t>
      </w:r>
    </w:p>
    <w:p w:rsidR="005E38ED" w:rsidRPr="008D208D" w:rsidRDefault="005E38ED" w:rsidP="005E38ED"/>
    <w:p w:rsidR="005E38ED" w:rsidRPr="008D208D" w:rsidRDefault="005E38ED" w:rsidP="005E38ED">
      <w:r w:rsidRPr="008D208D">
        <w:t>If a contractor does not elect a rate of withholding under section 24LB</w:t>
      </w:r>
      <w:r w:rsidR="000057FD" w:rsidRPr="008D208D">
        <w:t xml:space="preserve"> of the Tax Administration Act 1994</w:t>
      </w:r>
      <w:r w:rsidRPr="008D208D">
        <w:t>, section RD 10B(3)(b)</w:t>
      </w:r>
      <w:r w:rsidR="000057FD" w:rsidRPr="008D208D">
        <w:t xml:space="preserve"> of the Income Tax Act 2007</w:t>
      </w:r>
      <w:r w:rsidRPr="008D208D">
        <w:rPr>
          <w:i/>
        </w:rPr>
        <w:t xml:space="preserve"> </w:t>
      </w:r>
      <w:r w:rsidRPr="008D208D">
        <w:t>provides that the standard rate of withholding applies to them.</w:t>
      </w:r>
    </w:p>
    <w:p w:rsidR="005E38ED" w:rsidRPr="008D208D" w:rsidRDefault="005E38ED" w:rsidP="005E38ED"/>
    <w:p w:rsidR="005E38ED" w:rsidRPr="008D208D" w:rsidRDefault="005E38ED" w:rsidP="005E38ED">
      <w:r w:rsidRPr="008D208D">
        <w:t>The standard rate is the relevant rate set out in schedule 4 of the Income Tax Act 2007.  For contractors working for labour-hire firms and those under voluntary withholding agree</w:t>
      </w:r>
      <w:r w:rsidR="006E08C5" w:rsidRPr="008D208D">
        <w:t>ments the standard rate is 20%.</w:t>
      </w:r>
    </w:p>
    <w:p w:rsidR="005E38ED" w:rsidRPr="008D208D" w:rsidRDefault="005E38ED" w:rsidP="005E38ED">
      <w:r w:rsidRPr="008D208D">
        <w:t>For other contractors the standard rate in schedule 4 is the same as the rate that currently applies to those payments.  This means that if a contractor that was previously subject to the schedular payment rules does not elect a different withholding rate when the amendments come into force, their withholding rate remains unchanged.</w:t>
      </w:r>
    </w:p>
    <w:p w:rsidR="005E38ED" w:rsidRPr="008D208D" w:rsidRDefault="005E38ED" w:rsidP="005E38ED"/>
    <w:p w:rsidR="005E38ED" w:rsidRPr="008D208D" w:rsidRDefault="005E38ED" w:rsidP="005E38ED">
      <w:pPr>
        <w:pStyle w:val="Heading3"/>
      </w:pPr>
      <w:r w:rsidRPr="008D208D">
        <w:t>Non-resident entertainers</w:t>
      </w:r>
    </w:p>
    <w:p w:rsidR="005E38ED" w:rsidRPr="008D208D" w:rsidRDefault="005E38ED" w:rsidP="005E38ED">
      <w:pPr>
        <w:jc w:val="left"/>
      </w:pPr>
    </w:p>
    <w:p w:rsidR="006C05F2" w:rsidRPr="008D208D" w:rsidRDefault="005E38ED" w:rsidP="005E38ED">
      <w:r w:rsidRPr="008D208D">
        <w:t>The amendments do not apply to non-resident entertainers.  Non-resident entertainers will continue to have a flat withholding rate of 20%</w:t>
      </w:r>
      <w:r w:rsidR="00135D68" w:rsidRPr="008D208D">
        <w:t>.</w:t>
      </w:r>
      <w:r w:rsidRPr="008D208D">
        <w:t xml:space="preserve">  These entertainers can continue to have withholding treated as a final tax and</w:t>
      </w:r>
      <w:r w:rsidR="006E08C5" w:rsidRPr="008D208D">
        <w:t xml:space="preserve"> will not have to file returns.</w:t>
      </w:r>
    </w:p>
    <w:p w:rsidR="006C05F2" w:rsidRPr="008D208D" w:rsidRDefault="006C05F2" w:rsidP="005E38ED"/>
    <w:p w:rsidR="005E38ED" w:rsidRPr="008D208D" w:rsidRDefault="005E38ED" w:rsidP="005E38ED"/>
    <w:p w:rsidR="005E38ED" w:rsidRPr="008D208D" w:rsidRDefault="005E38ED" w:rsidP="006C05F2">
      <w:pPr>
        <w:pStyle w:val="Sectionheading"/>
      </w:pPr>
      <w:bookmarkStart w:id="5" w:name="_Toc455754570"/>
      <w:bookmarkStart w:id="6" w:name="_Toc458153622"/>
      <w:r w:rsidRPr="008D208D">
        <w:t>Extending withholding to labour-hire firm contractors</w:t>
      </w:r>
      <w:bookmarkEnd w:id="5"/>
      <w:bookmarkEnd w:id="6"/>
    </w:p>
    <w:p w:rsidR="005E38ED" w:rsidRPr="008D208D" w:rsidRDefault="005E38ED" w:rsidP="005E38ED">
      <w:pPr>
        <w:rPr>
          <w:szCs w:val="24"/>
        </w:rPr>
      </w:pPr>
    </w:p>
    <w:p w:rsidR="005E38ED" w:rsidRPr="008D208D" w:rsidRDefault="005E38ED" w:rsidP="002853CB">
      <w:r w:rsidRPr="008D208D">
        <w:t>Amendments have been made which extend the schedular payment rules to contractors that work for labour-hire firms.</w:t>
      </w:r>
    </w:p>
    <w:p w:rsidR="005E38ED" w:rsidRPr="008D208D" w:rsidRDefault="005E38ED" w:rsidP="005E38ED"/>
    <w:p w:rsidR="005E38ED" w:rsidRPr="008D208D" w:rsidRDefault="005E38ED" w:rsidP="006C05F2">
      <w:pPr>
        <w:pStyle w:val="Heading2"/>
      </w:pPr>
      <w:r w:rsidRPr="008D208D">
        <w:t>Background</w:t>
      </w:r>
    </w:p>
    <w:p w:rsidR="005E38ED" w:rsidRPr="008D208D" w:rsidRDefault="005E38ED" w:rsidP="005E38ED">
      <w:pPr>
        <w:tabs>
          <w:tab w:val="left" w:pos="567"/>
        </w:tabs>
        <w:rPr>
          <w:szCs w:val="24"/>
        </w:rPr>
      </w:pPr>
    </w:p>
    <w:p w:rsidR="005E38ED" w:rsidRPr="008D208D" w:rsidRDefault="005E38ED" w:rsidP="002853CB">
      <w:r w:rsidRPr="008D208D">
        <w:t xml:space="preserve">Over the last two decades there has been large growth in the labour-hire firm industry.  </w:t>
      </w:r>
      <w:r w:rsidR="003233C1" w:rsidRPr="008D208D">
        <w:t xml:space="preserve">The new rules better reflect changes within the industry and update the rules more generally for </w:t>
      </w:r>
      <w:r w:rsidRPr="008D208D">
        <w:t>contractors working for this industry.</w:t>
      </w:r>
    </w:p>
    <w:p w:rsidR="00BB3808" w:rsidRPr="008D208D" w:rsidRDefault="00BB3808" w:rsidP="002853CB"/>
    <w:p w:rsidR="005E38ED" w:rsidRPr="008D208D" w:rsidRDefault="005E38ED" w:rsidP="002853CB">
      <w:r w:rsidRPr="008D208D">
        <w:t>Labour-hire firms provide workers to perform services to clients</w:t>
      </w:r>
      <w:r w:rsidR="00126584" w:rsidRPr="008D208D">
        <w:t xml:space="preserve">, </w:t>
      </w:r>
      <w:r w:rsidRPr="008D208D">
        <w:t xml:space="preserve">either as employees or contractors.  The </w:t>
      </w:r>
      <w:r w:rsidR="003233C1" w:rsidRPr="008D208D">
        <w:t>previous</w:t>
      </w:r>
      <w:r w:rsidRPr="008D208D">
        <w:t xml:space="preserve"> withholding rules </w:t>
      </w:r>
      <w:r w:rsidR="003233C1" w:rsidRPr="008D208D">
        <w:t>did</w:t>
      </w:r>
      <w:r w:rsidRPr="008D208D">
        <w:t xml:space="preserve"> not generally apply to contractors engaged by labour-hire firms.  This mean</w:t>
      </w:r>
      <w:r w:rsidR="003233C1" w:rsidRPr="008D208D">
        <w:t>t</w:t>
      </w:r>
      <w:r w:rsidRPr="008D208D">
        <w:t xml:space="preserve"> these contractors </w:t>
      </w:r>
      <w:r w:rsidR="003233C1" w:rsidRPr="008D208D">
        <w:t>were</w:t>
      </w:r>
      <w:r w:rsidRPr="008D208D">
        <w:t xml:space="preserve"> required to manage their own tax obligations</w:t>
      </w:r>
      <w:r w:rsidR="003233C1" w:rsidRPr="008D208D">
        <w:t xml:space="preserve">, including </w:t>
      </w:r>
      <w:r w:rsidRPr="008D208D">
        <w:t>provisional tax.  It also mean</w:t>
      </w:r>
      <w:r w:rsidR="00126584" w:rsidRPr="008D208D">
        <w:t>t</w:t>
      </w:r>
      <w:r w:rsidRPr="008D208D">
        <w:t xml:space="preserve"> that contractors ha</w:t>
      </w:r>
      <w:r w:rsidR="00126584" w:rsidRPr="008D208D">
        <w:t>d</w:t>
      </w:r>
      <w:r w:rsidRPr="008D208D">
        <w:t xml:space="preserve"> opportunities for non-compliance (whether deliberate or accidental).</w:t>
      </w:r>
    </w:p>
    <w:p w:rsidR="00BB3808" w:rsidRPr="008D208D" w:rsidRDefault="00BB3808" w:rsidP="002853CB"/>
    <w:p w:rsidR="005E38ED" w:rsidRPr="008D208D" w:rsidRDefault="005E38ED" w:rsidP="002853CB">
      <w:r w:rsidRPr="008D208D">
        <w:t>In addition, using a company structure has become increasingly popular with contractors.  Payments to companies are generally not subject to withholding tax under the schedular payment rules.</w:t>
      </w:r>
    </w:p>
    <w:p w:rsidR="005E38ED" w:rsidRPr="008D208D" w:rsidRDefault="005E38ED" w:rsidP="005E38ED">
      <w:pPr>
        <w:tabs>
          <w:tab w:val="left" w:pos="567"/>
        </w:tabs>
        <w:rPr>
          <w:szCs w:val="24"/>
        </w:rPr>
      </w:pPr>
    </w:p>
    <w:p w:rsidR="005E38ED" w:rsidRPr="008D208D" w:rsidRDefault="005E38ED" w:rsidP="006C05F2">
      <w:pPr>
        <w:pStyle w:val="Heading2"/>
      </w:pPr>
      <w:r w:rsidRPr="008D208D">
        <w:t>Key features</w:t>
      </w:r>
    </w:p>
    <w:p w:rsidR="005E38ED" w:rsidRPr="008D208D" w:rsidRDefault="005E38ED" w:rsidP="005E38ED"/>
    <w:p w:rsidR="005E38ED" w:rsidRPr="008D208D" w:rsidRDefault="005E38ED" w:rsidP="002853CB">
      <w:r w:rsidRPr="008D208D">
        <w:t>The amendment</w:t>
      </w:r>
      <w:r w:rsidR="008E20BB" w:rsidRPr="008D208D">
        <w:t>s</w:t>
      </w:r>
      <w:r w:rsidRPr="008D208D">
        <w:t xml:space="preserve"> add payments by labour-hire firms to their contractors to the list of payments that are subject </w:t>
      </w:r>
      <w:r w:rsidR="006E08C5" w:rsidRPr="008D208D">
        <w:t>to the schedular payment rules.</w:t>
      </w:r>
    </w:p>
    <w:p w:rsidR="00BB3808" w:rsidRPr="008D208D" w:rsidRDefault="00BB3808" w:rsidP="002853CB"/>
    <w:p w:rsidR="005E38ED" w:rsidRPr="008D208D" w:rsidRDefault="005E38ED" w:rsidP="002853CB">
      <w:r w:rsidRPr="008D208D">
        <w:t>As a result, labour-hire firms will be required to withhold from all payments made to their contractors that work as part of their labour-hire business.  They will be required to withhold at the relevant rate as described under the amendments outlined in “Allowing contractors to elect their own withholding rate”.</w:t>
      </w:r>
    </w:p>
    <w:p w:rsidR="00BB3808" w:rsidRPr="008D208D" w:rsidRDefault="00BB3808" w:rsidP="002853CB"/>
    <w:p w:rsidR="005E38ED" w:rsidRPr="008D208D" w:rsidRDefault="005E38ED" w:rsidP="002853CB">
      <w:r w:rsidRPr="008D208D">
        <w:t>Labour-hire firms will</w:t>
      </w:r>
      <w:r w:rsidR="008A02DF" w:rsidRPr="008D208D">
        <w:t xml:space="preserve"> also</w:t>
      </w:r>
      <w:r w:rsidRPr="008D208D">
        <w:t xml:space="preserve"> have an obligation to deduct withholding tax when they make payments to companies used by contractors.  Labour-hire firm contractors who are resident in New Zealand will not be eligible to receive certificates of exemption from withholding.</w:t>
      </w:r>
    </w:p>
    <w:p w:rsidR="00BB3808" w:rsidRPr="008D208D" w:rsidRDefault="00BB3808" w:rsidP="002853CB"/>
    <w:p w:rsidR="005E38ED" w:rsidRPr="008D208D" w:rsidRDefault="005E38ED" w:rsidP="002853CB">
      <w:r w:rsidRPr="008D208D">
        <w:t xml:space="preserve">A labour-hire firm is defined as “a person </w:t>
      </w:r>
      <w:proofErr w:type="gramStart"/>
      <w:r w:rsidRPr="008D208D">
        <w:t>which</w:t>
      </w:r>
      <w:proofErr w:type="gramEnd"/>
      <w:r w:rsidRPr="008D208D">
        <w:t xml:space="preserve"> has as one of its main activities the business of arranging for a person to perform work or services directly for clients of the entity</w:t>
      </w:r>
      <w:r w:rsidR="008A02DF" w:rsidRPr="008D208D">
        <w:t>”</w:t>
      </w:r>
      <w:r w:rsidRPr="008D208D">
        <w:t>.</w:t>
      </w:r>
    </w:p>
    <w:p w:rsidR="005E38ED" w:rsidRPr="008D208D" w:rsidRDefault="005E38ED" w:rsidP="002853CB"/>
    <w:p w:rsidR="00E6608E" w:rsidRPr="008D208D" w:rsidRDefault="00E6608E">
      <w:pPr>
        <w:jc w:val="left"/>
        <w:rPr>
          <w:b/>
          <w:bCs/>
          <w:szCs w:val="26"/>
        </w:rPr>
      </w:pPr>
      <w:r w:rsidRPr="008D208D">
        <w:br w:type="page"/>
      </w:r>
    </w:p>
    <w:p w:rsidR="005E38ED" w:rsidRPr="008D208D" w:rsidRDefault="005E38ED" w:rsidP="006C05F2">
      <w:pPr>
        <w:pStyle w:val="Heading2"/>
      </w:pPr>
      <w:r w:rsidRPr="008D208D">
        <w:t>Application date</w:t>
      </w:r>
      <w:r w:rsidR="00A82A2F" w:rsidRPr="008D208D">
        <w:t>s</w:t>
      </w:r>
    </w:p>
    <w:p w:rsidR="005E38ED" w:rsidRPr="008D208D" w:rsidRDefault="005E38ED" w:rsidP="005E38ED"/>
    <w:p w:rsidR="005E38ED" w:rsidRPr="008D208D" w:rsidRDefault="005E38ED" w:rsidP="002853CB">
      <w:r w:rsidRPr="008D208D">
        <w:t>The amendment</w:t>
      </w:r>
      <w:r w:rsidR="00A82A2F" w:rsidRPr="008D208D">
        <w:t>s</w:t>
      </w:r>
      <w:r w:rsidRPr="008D208D">
        <w:t xml:space="preserve"> come into force on 1 April 2017.</w:t>
      </w:r>
    </w:p>
    <w:p w:rsidR="00BB3808" w:rsidRPr="008D208D" w:rsidRDefault="00BB3808" w:rsidP="002853CB"/>
    <w:p w:rsidR="005E38ED" w:rsidRPr="008D208D" w:rsidRDefault="005E38ED" w:rsidP="002853CB">
      <w:r w:rsidRPr="008D208D">
        <w:t>If a labour-hire firm is unable to have systems in place for reasonably cost-effective compliance with the new rules before 1 April 2017</w:t>
      </w:r>
      <w:r w:rsidR="00A82A2F" w:rsidRPr="008D208D">
        <w:t>,</w:t>
      </w:r>
      <w:r w:rsidRPr="008D208D">
        <w:t xml:space="preserve"> the amendments apply to the earliest of:</w:t>
      </w:r>
    </w:p>
    <w:p w:rsidR="00BB3808" w:rsidRPr="008D208D" w:rsidRDefault="00BB3808" w:rsidP="002853CB"/>
    <w:p w:rsidR="005E38ED" w:rsidRPr="008D208D" w:rsidRDefault="005E38ED" w:rsidP="00BB3808">
      <w:pPr>
        <w:pStyle w:val="Bullets"/>
      </w:pPr>
      <w:r w:rsidRPr="008D208D">
        <w:t>1 July 2017; or</w:t>
      </w:r>
    </w:p>
    <w:p w:rsidR="005E38ED" w:rsidRPr="008D208D" w:rsidRDefault="005E38ED" w:rsidP="00BB3808">
      <w:pPr>
        <w:pStyle w:val="Bullets"/>
        <w:spacing w:after="0"/>
      </w:pPr>
      <w:proofErr w:type="gramStart"/>
      <w:r w:rsidRPr="008D208D">
        <w:t>the</w:t>
      </w:r>
      <w:proofErr w:type="gramEnd"/>
      <w:r w:rsidRPr="008D208D">
        <w:t xml:space="preserve"> date on which the labour-hire firm has systems in place for reasonably cost-effective compliance with the labour-hire firm rules.</w:t>
      </w:r>
    </w:p>
    <w:p w:rsidR="005E38ED" w:rsidRPr="008D208D" w:rsidRDefault="005E38ED" w:rsidP="005E38ED"/>
    <w:p w:rsidR="005E38ED" w:rsidRPr="008D208D" w:rsidRDefault="005E38ED" w:rsidP="00BB3808">
      <w:pPr>
        <w:pStyle w:val="Heading2"/>
      </w:pPr>
      <w:r w:rsidRPr="008D208D">
        <w:t>Detailed analysis</w:t>
      </w:r>
    </w:p>
    <w:p w:rsidR="005E38ED" w:rsidRPr="008D208D" w:rsidRDefault="005E38ED" w:rsidP="005E38ED"/>
    <w:p w:rsidR="005E38ED" w:rsidRPr="008D208D" w:rsidRDefault="005E38ED" w:rsidP="002853CB">
      <w:r w:rsidRPr="008D208D">
        <w:t xml:space="preserve">The amendments insert Part J to </w:t>
      </w:r>
      <w:r w:rsidR="00E62423" w:rsidRPr="008D208D">
        <w:t>s</w:t>
      </w:r>
      <w:r w:rsidRPr="008D208D">
        <w:t>chedule 4 of the Income Tax Act</w:t>
      </w:r>
      <w:r w:rsidR="00E62423" w:rsidRPr="008D208D">
        <w:t xml:space="preserve"> 2007</w:t>
      </w:r>
      <w:r w:rsidRPr="008D208D">
        <w:t>, which adds payments made by labour-hire firms to contractors under a “labour-hire arrangement” to the schedular payment rules.</w:t>
      </w:r>
    </w:p>
    <w:p w:rsidR="00BB3808" w:rsidRPr="008D208D" w:rsidRDefault="00BB3808" w:rsidP="002853CB"/>
    <w:p w:rsidR="005E38ED" w:rsidRPr="008D208D" w:rsidRDefault="005E38ED" w:rsidP="002853CB">
      <w:r w:rsidRPr="008D208D">
        <w:t>Under Part J, payments are covered by the schedular payment rules when:</w:t>
      </w:r>
    </w:p>
    <w:p w:rsidR="00BB3808" w:rsidRPr="008D208D" w:rsidRDefault="00BB3808" w:rsidP="002853CB"/>
    <w:p w:rsidR="005E38ED" w:rsidRPr="008D208D" w:rsidRDefault="005E38ED" w:rsidP="002853CB">
      <w:pPr>
        <w:pStyle w:val="ListParagraph"/>
        <w:numPr>
          <w:ilvl w:val="0"/>
          <w:numId w:val="29"/>
        </w:numPr>
        <w:spacing w:after="140"/>
        <w:ind w:left="567" w:hanging="567"/>
        <w:contextualSpacing w:val="0"/>
      </w:pPr>
      <w:r w:rsidRPr="008D208D">
        <w:t>The payment is made under a labour-hire arrangement (as defined).</w:t>
      </w:r>
    </w:p>
    <w:p w:rsidR="005E38ED" w:rsidRPr="008D208D" w:rsidRDefault="005E38ED" w:rsidP="002853CB">
      <w:pPr>
        <w:pStyle w:val="ListParagraph"/>
        <w:numPr>
          <w:ilvl w:val="0"/>
          <w:numId w:val="29"/>
        </w:numPr>
        <w:ind w:left="567" w:hanging="567"/>
      </w:pPr>
      <w:r w:rsidRPr="008D208D">
        <w:t>One of the main activities of the person making the payment is providing labour-hire arrangements (that is, the labour-hire arrangement is not incidental to the main business of the person).</w:t>
      </w:r>
    </w:p>
    <w:p w:rsidR="005E38ED" w:rsidRPr="008D208D" w:rsidRDefault="005E38ED" w:rsidP="002853CB"/>
    <w:p w:rsidR="005E38ED" w:rsidRPr="008D208D" w:rsidRDefault="00BB3808" w:rsidP="00BB3808">
      <w:pPr>
        <w:pStyle w:val="Heading3"/>
        <w:tabs>
          <w:tab w:val="left" w:pos="567"/>
        </w:tabs>
      </w:pPr>
      <w:r w:rsidRPr="008D208D">
        <w:t xml:space="preserve">1.  </w:t>
      </w:r>
      <w:r w:rsidR="005E38ED" w:rsidRPr="008D208D">
        <w:t>The payment is made under a labour-hire arrangement</w:t>
      </w:r>
    </w:p>
    <w:p w:rsidR="005E38ED" w:rsidRPr="008D208D" w:rsidRDefault="005E38ED" w:rsidP="005E38ED"/>
    <w:p w:rsidR="005E38ED" w:rsidRPr="008D208D" w:rsidRDefault="00F44391" w:rsidP="0012356D">
      <w:pPr>
        <w:jc w:val="center"/>
      </w:pPr>
      <w:r w:rsidRPr="008D208D">
        <w:object w:dxaOrig="6345" w:dyaOrig="1891">
          <v:shape id="_x0000_i1040" type="#_x0000_t75" alt="Payment made under a labour-hire arrangement." style="width:317.25pt;height:94.5pt" o:ole="">
            <v:imagedata r:id="rId14" o:title=""/>
          </v:shape>
          <o:OLEObject Type="Embed" ProgID="Visio.Drawing.15" ShapeID="_x0000_i1040" DrawAspect="Content" ObjectID="_1549800246" r:id="rId15"/>
        </w:object>
      </w:r>
    </w:p>
    <w:p w:rsidR="0012356D" w:rsidRPr="008D208D" w:rsidRDefault="0012356D" w:rsidP="0012356D">
      <w:pPr>
        <w:jc w:val="center"/>
      </w:pPr>
    </w:p>
    <w:p w:rsidR="005E38ED" w:rsidRPr="008D208D" w:rsidRDefault="005E38ED" w:rsidP="005E38ED">
      <w:r w:rsidRPr="008D208D">
        <w:t>A labour-hire arrangement is an arrangement which in whole or part involves the performance of work or services by a person (the payer) directly for the client of the payer, or directly for a client of another person.  The payer receives payment from the client and pays the worker.</w:t>
      </w:r>
    </w:p>
    <w:p w:rsidR="005E38ED" w:rsidRPr="008D208D" w:rsidRDefault="005E38ED" w:rsidP="005E38ED"/>
    <w:p w:rsidR="005E38ED" w:rsidRPr="008D208D" w:rsidRDefault="005E38ED" w:rsidP="005E38ED">
      <w:r w:rsidRPr="008D208D">
        <w:t xml:space="preserve">Arranging for a person to perform work or services directly for clients means that there is an agreement to provide a worker to the client, who will then provide their services at the general direction of the client. </w:t>
      </w:r>
      <w:r w:rsidR="00173EE3" w:rsidRPr="008D208D">
        <w:t xml:space="preserve"> </w:t>
      </w:r>
      <w:r w:rsidRPr="008D208D">
        <w:t>This does not include a contract in which the parties agree to deliver a given result or outcome.  For example, if a contract provided for Firm A to make available some painters to a building company to work for them for a period of time, and the painters work at the general instruction of the building company, then Firm A would be arranging for a person to perform work or services.</w:t>
      </w:r>
    </w:p>
    <w:p w:rsidR="005E38ED" w:rsidRPr="008D208D" w:rsidRDefault="005E38ED" w:rsidP="005E38ED"/>
    <w:p w:rsidR="005E38ED" w:rsidRPr="008D208D" w:rsidRDefault="005E38ED" w:rsidP="005E38ED">
      <w:r w:rsidRPr="008D208D">
        <w:t>In contrast, if a contract provided for a painting company to paint houses for a building company, and the painting company contracted some labourers to work for it in completing the service, the contract between the painting company and building company would be a contract to produce a given result (the painted houses) rather than a contract arranging for a person to “perform work or services directly for clients”.</w:t>
      </w:r>
    </w:p>
    <w:p w:rsidR="005E38ED" w:rsidRPr="008D208D" w:rsidRDefault="005E38ED" w:rsidP="002853CB">
      <w:pPr>
        <w:pStyle w:val="Heading4"/>
      </w:pPr>
      <w:r w:rsidRPr="008D208D">
        <w:t>Directly for a client of another person</w:t>
      </w:r>
    </w:p>
    <w:p w:rsidR="005E38ED" w:rsidRPr="008D208D" w:rsidRDefault="005E38ED" w:rsidP="005E38ED"/>
    <w:p w:rsidR="005E38ED" w:rsidRPr="008D208D" w:rsidRDefault="005E38ED" w:rsidP="005E38ED">
      <w:r w:rsidRPr="008D208D">
        <w:t>A labour-hire arrangement also includes situations when there are chains of labour-hire firms involved or whe</w:t>
      </w:r>
      <w:r w:rsidR="0077586A" w:rsidRPr="008D208D">
        <w:t>n</w:t>
      </w:r>
      <w:r w:rsidRPr="008D208D">
        <w:t xml:space="preserve"> a labour-hire firm provides a worker to a sub-client of the labour-hire firm. </w:t>
      </w:r>
      <w:r w:rsidR="0077586A" w:rsidRPr="008D208D">
        <w:t xml:space="preserve"> </w:t>
      </w:r>
      <w:r w:rsidRPr="008D208D">
        <w:t>This can happen if a labour-hire firm arranges for another labour-hire firm to provide workers for their client.</w:t>
      </w:r>
    </w:p>
    <w:p w:rsidR="005E38ED" w:rsidRPr="008D208D" w:rsidRDefault="005E38ED" w:rsidP="005E38ED"/>
    <w:p w:rsidR="005E38ED" w:rsidRPr="008D208D" w:rsidRDefault="005E38ED" w:rsidP="005E38ED">
      <w:pPr>
        <w:pStyle w:val="Heading3"/>
      </w:pPr>
      <w:r w:rsidRPr="008D208D">
        <w:t xml:space="preserve">2. </w:t>
      </w:r>
      <w:r w:rsidR="006E08C5" w:rsidRPr="008D208D">
        <w:t xml:space="preserve"> </w:t>
      </w:r>
      <w:r w:rsidRPr="008D208D">
        <w:t>One of the main activities of the payer is providing labour-hire arrangements (that is, the labour-hire arrangement is not incidental to the main business of the entity)</w:t>
      </w:r>
    </w:p>
    <w:p w:rsidR="005E38ED" w:rsidRPr="008D208D" w:rsidRDefault="005E38ED" w:rsidP="005E38ED"/>
    <w:p w:rsidR="005E38ED" w:rsidRPr="008D208D" w:rsidRDefault="005E38ED" w:rsidP="005E38ED">
      <w:r w:rsidRPr="008D208D">
        <w:t>The amendment only applies when one of the main activities of the entity making the payment is providing labour-hire services.  This means that withholding under the amendment only applies if the entity is carrying on a labour-hire business.  It is not necessary for the labour-hire activities to be the sole business, or even the main business of the payer.  However, a merely incidental business is not sufficient to require withholding.</w:t>
      </w:r>
    </w:p>
    <w:p w:rsidR="005E38ED" w:rsidRPr="008D208D" w:rsidRDefault="005E38ED" w:rsidP="005E38ED"/>
    <w:p w:rsidR="005E38ED" w:rsidRPr="008D208D" w:rsidRDefault="005E38ED" w:rsidP="005E38ED">
      <w:pPr>
        <w:rPr>
          <w:spacing w:val="-4"/>
        </w:rPr>
      </w:pPr>
      <w:r w:rsidRPr="008D208D">
        <w:rPr>
          <w:spacing w:val="-4"/>
        </w:rPr>
        <w:t>For something to be one of the main activities of the business requires the activity to be more than incidental to the other activities of the firm.</w:t>
      </w:r>
      <w:r w:rsidR="0077586A" w:rsidRPr="008D208D">
        <w:rPr>
          <w:spacing w:val="-4"/>
        </w:rPr>
        <w:t xml:space="preserve"> </w:t>
      </w:r>
      <w:r w:rsidRPr="008D208D">
        <w:rPr>
          <w:spacing w:val="-4"/>
        </w:rPr>
        <w:t xml:space="preserve"> For example, a wedding planner may arrange for persons to perform makeup, or other services directly for clients, but because this is incidental to the main activity of the planner, it will not make the wedding planner a labour-hire firm.</w:t>
      </w:r>
    </w:p>
    <w:p w:rsidR="005E38ED" w:rsidRPr="008D208D" w:rsidRDefault="005E38ED" w:rsidP="005E38ED"/>
    <w:p w:rsidR="005E38ED" w:rsidRPr="008D208D" w:rsidRDefault="005E38ED" w:rsidP="005E38ED">
      <w:r w:rsidRPr="008D208D">
        <w:t>A business can have more than one main activity.</w:t>
      </w:r>
      <w:r w:rsidR="0077586A" w:rsidRPr="008D208D">
        <w:t xml:space="preserve"> </w:t>
      </w:r>
      <w:r w:rsidRPr="008D208D">
        <w:t xml:space="preserve"> For example, a labour-hire firm may have main activities of providing workers directly, as well as providing direct contracting work.</w:t>
      </w:r>
      <w:r w:rsidR="0077586A" w:rsidRPr="008D208D">
        <w:t xml:space="preserve"> </w:t>
      </w:r>
      <w:r w:rsidRPr="008D208D">
        <w:t xml:space="preserve"> The key question to ask is whether arranging to provide workers directly is being done in a business of its own right, or whether it is merely a requirement or incidental activity of another activity of the business.</w:t>
      </w:r>
    </w:p>
    <w:p w:rsidR="005E38ED" w:rsidRPr="008D208D" w:rsidRDefault="005E38ED" w:rsidP="005E38ED"/>
    <w:p w:rsidR="005E38ED" w:rsidRPr="008D208D" w:rsidRDefault="005E38ED" w:rsidP="005E38ED">
      <w:r w:rsidRPr="008D208D">
        <w:t>The amendment is similar to Australia’s P</w:t>
      </w:r>
      <w:r w:rsidR="006E08C5" w:rsidRPr="008D208D">
        <w:t>ay-As-You-Go withholding rules.</w:t>
      </w:r>
    </w:p>
    <w:p w:rsidR="00BB3808" w:rsidRPr="008D208D" w:rsidRDefault="00BB3808" w:rsidP="00E6608E"/>
    <w:p w:rsidR="00E6608E" w:rsidRPr="008D208D" w:rsidRDefault="00E6608E" w:rsidP="00E6608E"/>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sz w:val="20"/>
        </w:rPr>
      </w:pPr>
      <w:r w:rsidRPr="008D208D">
        <w:rPr>
          <w:b/>
          <w:sz w:val="20"/>
        </w:rPr>
        <w:t xml:space="preserve">Example </w:t>
      </w:r>
      <w:r w:rsidR="00BC2C04" w:rsidRPr="008D208D">
        <w:rPr>
          <w:b/>
          <w:sz w:val="20"/>
        </w:rPr>
        <w:t>21</w:t>
      </w: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r w:rsidRPr="008D208D">
        <w:rPr>
          <w:sz w:val="20"/>
        </w:rPr>
        <w:t xml:space="preserve">IT Universe Ltd provides contractors to other businesses to help with their IT projects. </w:t>
      </w:r>
      <w:r w:rsidR="0077586A" w:rsidRPr="008D208D">
        <w:rPr>
          <w:sz w:val="20"/>
        </w:rPr>
        <w:t xml:space="preserve"> </w:t>
      </w:r>
      <w:r w:rsidRPr="008D208D">
        <w:rPr>
          <w:sz w:val="20"/>
        </w:rPr>
        <w:t xml:space="preserve">X Co. asks IT Universe Ltd for IT contractors to help with an upgrade of </w:t>
      </w:r>
      <w:r w:rsidR="0077586A" w:rsidRPr="008D208D">
        <w:rPr>
          <w:sz w:val="20"/>
        </w:rPr>
        <w:t>its</w:t>
      </w:r>
      <w:r w:rsidRPr="008D208D">
        <w:rPr>
          <w:sz w:val="20"/>
        </w:rPr>
        <w:t xml:space="preserve"> systems.  IT Universe Ltd provides one of their contractors (Steve, a New Zealand resident) to assist X Co. </w:t>
      </w:r>
      <w:r w:rsidR="0077586A" w:rsidRPr="008D208D">
        <w:rPr>
          <w:sz w:val="20"/>
        </w:rPr>
        <w:t xml:space="preserve"> </w:t>
      </w:r>
      <w:r w:rsidRPr="008D208D">
        <w:rPr>
          <w:sz w:val="20"/>
        </w:rPr>
        <w:t>Steve works at the general direction of IT Universe Ltd.</w:t>
      </w:r>
    </w:p>
    <w:p w:rsidR="00BB3808" w:rsidRPr="008D208D" w:rsidRDefault="00BB3808" w:rsidP="005E38ED">
      <w:pPr>
        <w:pBdr>
          <w:top w:val="single" w:sz="4" w:space="10" w:color="auto"/>
          <w:left w:val="single" w:sz="4" w:space="10" w:color="auto"/>
          <w:bottom w:val="single" w:sz="4" w:space="10" w:color="auto"/>
          <w:right w:val="single" w:sz="4" w:space="10" w:color="auto"/>
        </w:pBdr>
        <w:rPr>
          <w:sz w:val="20"/>
        </w:rPr>
      </w:pPr>
    </w:p>
    <w:p w:rsidR="005E38ED" w:rsidRPr="008D208D" w:rsidRDefault="00F44391" w:rsidP="0012356D">
      <w:pPr>
        <w:pBdr>
          <w:top w:val="single" w:sz="4" w:space="10" w:color="auto"/>
          <w:left w:val="single" w:sz="4" w:space="10" w:color="auto"/>
          <w:bottom w:val="single" w:sz="4" w:space="10" w:color="auto"/>
          <w:right w:val="single" w:sz="4" w:space="10" w:color="auto"/>
        </w:pBdr>
        <w:jc w:val="center"/>
      </w:pPr>
      <w:r w:rsidRPr="008D208D">
        <w:object w:dxaOrig="6706" w:dyaOrig="1891">
          <v:shape id="_x0000_i1028" type="#_x0000_t75" alt="Example 21" style="width:335.25pt;height:94.5pt" o:ole="">
            <v:imagedata r:id="rId16" o:title=""/>
          </v:shape>
          <o:OLEObject Type="Embed" ProgID="Visio.Drawing.15" ShapeID="_x0000_i1028" DrawAspect="Content" ObjectID="_1549800247" r:id="rId17"/>
        </w:object>
      </w:r>
    </w:p>
    <w:p w:rsidR="0012356D" w:rsidRPr="008D208D" w:rsidRDefault="0012356D" w:rsidP="005E38ED">
      <w:pPr>
        <w:pBdr>
          <w:top w:val="single" w:sz="4" w:space="10" w:color="auto"/>
          <w:left w:val="single" w:sz="4" w:space="10" w:color="auto"/>
          <w:bottom w:val="single" w:sz="4" w:space="10" w:color="auto"/>
          <w:right w:val="single" w:sz="4" w:space="10" w:color="auto"/>
        </w:pBdr>
        <w:rPr>
          <w:sz w:val="20"/>
        </w:rPr>
      </w:pP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r w:rsidRPr="008D208D">
        <w:rPr>
          <w:sz w:val="20"/>
        </w:rPr>
        <w:t xml:space="preserve">IT Universe Ltd is arranging for a worker (Steve) to provide work directly for their client (X Co.).  As a result, they are in a labour-hire arrangement with Steve and X Co. and this arrangement is part of their labour-hire business.  IT Universe Ltd is required to withhold tax from any payments to Steve.  The rate will be the applicable rate as set out in the earlier section </w:t>
      </w:r>
      <w:r w:rsidR="007E5B0D" w:rsidRPr="008D208D">
        <w:rPr>
          <w:sz w:val="20"/>
        </w:rPr>
        <w:t>“</w:t>
      </w:r>
      <w:r w:rsidRPr="008D208D">
        <w:rPr>
          <w:sz w:val="20"/>
        </w:rPr>
        <w:t>Allowing contractors to elect their own withholding rate</w:t>
      </w:r>
      <w:r w:rsidR="007E5B0D" w:rsidRPr="008D208D">
        <w:rPr>
          <w:sz w:val="20"/>
        </w:rPr>
        <w:t>”</w:t>
      </w:r>
      <w:r w:rsidRPr="008D208D">
        <w:rPr>
          <w:i/>
          <w:sz w:val="20"/>
        </w:rPr>
        <w:t xml:space="preserve">. </w:t>
      </w:r>
      <w:r w:rsidRPr="008D208D">
        <w:rPr>
          <w:sz w:val="20"/>
        </w:rPr>
        <w:t xml:space="preserve"> If </w:t>
      </w:r>
      <w:r w:rsidR="009D0551" w:rsidRPr="008D208D">
        <w:rPr>
          <w:sz w:val="20"/>
        </w:rPr>
        <w:t xml:space="preserve">it </w:t>
      </w:r>
      <w:r w:rsidRPr="008D208D">
        <w:rPr>
          <w:sz w:val="20"/>
        </w:rPr>
        <w:t>does not specify a rate then the standard rate for labour-hire firm contractors of 20% will apply.</w:t>
      </w:r>
    </w:p>
    <w:p w:rsidR="005E38ED" w:rsidRPr="008D208D" w:rsidRDefault="005E38ED" w:rsidP="005E38ED"/>
    <w:p w:rsidR="00BB3808" w:rsidRPr="008D208D" w:rsidRDefault="00BB3808" w:rsidP="005E38ED"/>
    <w:p w:rsidR="00E6608E" w:rsidRPr="008D208D" w:rsidRDefault="00E6608E">
      <w:pPr>
        <w:jc w:val="left"/>
        <w:rPr>
          <w:b/>
          <w:sz w:val="20"/>
        </w:rPr>
      </w:pPr>
      <w:r w:rsidRPr="008D208D">
        <w:rPr>
          <w:b/>
          <w:sz w:val="20"/>
        </w:rPr>
        <w:br w:type="page"/>
      </w:r>
    </w:p>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b/>
          <w:sz w:val="20"/>
        </w:rPr>
      </w:pPr>
      <w:r w:rsidRPr="008D208D">
        <w:rPr>
          <w:b/>
          <w:sz w:val="20"/>
        </w:rPr>
        <w:t xml:space="preserve">Example </w:t>
      </w:r>
      <w:r w:rsidR="00BC2C04" w:rsidRPr="008D208D">
        <w:rPr>
          <w:b/>
          <w:sz w:val="20"/>
        </w:rPr>
        <w:t>22</w:t>
      </w: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r w:rsidRPr="008D208D">
        <w:rPr>
          <w:sz w:val="20"/>
        </w:rPr>
        <w:t>Ben is Jane’s solicitor.  Jane is engaged in litigation and requires a barrister to represent her in court.  For this purpose, Ben instructs Tara and pays Tara on Jane’s behalf.</w:t>
      </w:r>
    </w:p>
    <w:p w:rsidR="00E6608E" w:rsidRPr="008D208D" w:rsidRDefault="00E6608E" w:rsidP="005E38ED">
      <w:pPr>
        <w:pBdr>
          <w:top w:val="single" w:sz="4" w:space="10" w:color="auto"/>
          <w:left w:val="single" w:sz="4" w:space="10" w:color="auto"/>
          <w:bottom w:val="single" w:sz="4" w:space="10" w:color="auto"/>
          <w:right w:val="single" w:sz="4" w:space="10" w:color="auto"/>
        </w:pBdr>
        <w:rPr>
          <w:sz w:val="20"/>
        </w:rPr>
      </w:pPr>
    </w:p>
    <w:p w:rsidR="005E38ED" w:rsidRPr="008D208D" w:rsidRDefault="00F44391" w:rsidP="0012356D">
      <w:pPr>
        <w:pBdr>
          <w:top w:val="single" w:sz="4" w:space="10" w:color="auto"/>
          <w:left w:val="single" w:sz="4" w:space="10" w:color="auto"/>
          <w:bottom w:val="single" w:sz="4" w:space="10" w:color="auto"/>
          <w:right w:val="single" w:sz="4" w:space="10" w:color="auto"/>
        </w:pBdr>
        <w:jc w:val="center"/>
      </w:pPr>
      <w:r w:rsidRPr="008D208D">
        <w:object w:dxaOrig="6555" w:dyaOrig="1891">
          <v:shape id="_x0000_i1029" type="#_x0000_t75" alt="Example 22" style="width:327.75pt;height:94.5pt;mso-position-horizontal:absolute" o:ole="">
            <v:imagedata r:id="rId18" o:title=""/>
          </v:shape>
          <o:OLEObject Type="Embed" ProgID="Visio.Drawing.15" ShapeID="_x0000_i1029" DrawAspect="Content" ObjectID="_1549800248" r:id="rId19"/>
        </w:object>
      </w:r>
    </w:p>
    <w:p w:rsidR="0012356D" w:rsidRPr="008D208D" w:rsidRDefault="0012356D" w:rsidP="005E38ED">
      <w:pPr>
        <w:pBdr>
          <w:top w:val="single" w:sz="4" w:space="10" w:color="auto"/>
          <w:left w:val="single" w:sz="4" w:space="10" w:color="auto"/>
          <w:bottom w:val="single" w:sz="4" w:space="10" w:color="auto"/>
          <w:right w:val="single" w:sz="4" w:space="10" w:color="auto"/>
        </w:pBdr>
        <w:rPr>
          <w:sz w:val="20"/>
        </w:rPr>
      </w:pP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r w:rsidRPr="008D208D">
        <w:rPr>
          <w:sz w:val="20"/>
        </w:rPr>
        <w:t>Ben is arranging for a contractor (Tara) to provide work directly for their client (Jane).  However, Ben is not required to withhold from these payments because arranging for people to work for his clients is not one of his main activities.  The payment is incidental to his business of providing legal services.</w:t>
      </w:r>
    </w:p>
    <w:p w:rsidR="005E38ED" w:rsidRPr="008D208D" w:rsidRDefault="005E38ED" w:rsidP="00E6608E"/>
    <w:p w:rsidR="00BB3808" w:rsidRPr="008D208D" w:rsidRDefault="00BB3808" w:rsidP="00E6608E"/>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b/>
          <w:sz w:val="20"/>
        </w:rPr>
      </w:pPr>
      <w:r w:rsidRPr="008D208D">
        <w:rPr>
          <w:b/>
          <w:sz w:val="20"/>
        </w:rPr>
        <w:t xml:space="preserve">Example </w:t>
      </w:r>
      <w:r w:rsidR="00BC2C04" w:rsidRPr="008D208D">
        <w:rPr>
          <w:b/>
          <w:sz w:val="20"/>
        </w:rPr>
        <w:t>23</w:t>
      </w:r>
    </w:p>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sz w:val="20"/>
        </w:rPr>
      </w:pPr>
      <w:r w:rsidRPr="008D208D">
        <w:rPr>
          <w:sz w:val="20"/>
        </w:rPr>
        <w:t>Pro Services Ltd is a professional services firm whose core business is providing consulting and advisory services to clients.</w:t>
      </w:r>
      <w:r w:rsidR="004D55C4" w:rsidRPr="008D208D">
        <w:rPr>
          <w:sz w:val="20"/>
        </w:rPr>
        <w:t xml:space="preserve"> </w:t>
      </w:r>
      <w:r w:rsidRPr="008D208D">
        <w:rPr>
          <w:sz w:val="20"/>
        </w:rPr>
        <w:t xml:space="preserve"> Pro Services Ltd engages many of </w:t>
      </w:r>
      <w:r w:rsidR="004D55C4" w:rsidRPr="008D208D">
        <w:rPr>
          <w:sz w:val="20"/>
        </w:rPr>
        <w:t>its</w:t>
      </w:r>
      <w:r w:rsidRPr="008D208D">
        <w:rPr>
          <w:sz w:val="20"/>
        </w:rPr>
        <w:t xml:space="preserve"> staff as contractors.</w:t>
      </w: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r w:rsidRPr="008D208D">
        <w:rPr>
          <w:sz w:val="20"/>
        </w:rPr>
        <w:t>Sarah is one of these contractors whose work has impressed Task Ltd who is one of the clients of Pro Services Ltd.</w:t>
      </w:r>
      <w:r w:rsidR="006E08C5" w:rsidRPr="008D208D">
        <w:rPr>
          <w:sz w:val="20"/>
        </w:rPr>
        <w:t xml:space="preserve"> </w:t>
      </w:r>
      <w:r w:rsidRPr="008D208D">
        <w:rPr>
          <w:sz w:val="20"/>
        </w:rPr>
        <w:t xml:space="preserve"> Task Ltd asks Pro Services Ltd for Sarah to work for them for six months to assist with one of their projects. </w:t>
      </w:r>
      <w:r w:rsidR="004D55C4" w:rsidRPr="008D208D">
        <w:rPr>
          <w:sz w:val="20"/>
        </w:rPr>
        <w:t xml:space="preserve"> </w:t>
      </w:r>
      <w:r w:rsidRPr="008D208D">
        <w:rPr>
          <w:sz w:val="20"/>
        </w:rPr>
        <w:t>Under this</w:t>
      </w:r>
      <w:r w:rsidR="004D55C4" w:rsidRPr="008D208D">
        <w:rPr>
          <w:sz w:val="20"/>
        </w:rPr>
        <w:t xml:space="preserve"> arrangement</w:t>
      </w:r>
      <w:r w:rsidRPr="008D208D">
        <w:rPr>
          <w:sz w:val="20"/>
        </w:rPr>
        <w:t>, Sarah will work at the general direction of Task Ltd.</w:t>
      </w:r>
    </w:p>
    <w:p w:rsidR="00E6608E" w:rsidRPr="008D208D" w:rsidRDefault="00E6608E" w:rsidP="005E38ED">
      <w:pPr>
        <w:pBdr>
          <w:top w:val="single" w:sz="4" w:space="10" w:color="auto"/>
          <w:left w:val="single" w:sz="4" w:space="10" w:color="auto"/>
          <w:bottom w:val="single" w:sz="4" w:space="10" w:color="auto"/>
          <w:right w:val="single" w:sz="4" w:space="10" w:color="auto"/>
        </w:pBdr>
        <w:rPr>
          <w:sz w:val="20"/>
        </w:rPr>
      </w:pPr>
    </w:p>
    <w:p w:rsidR="005E38ED" w:rsidRPr="008D208D" w:rsidRDefault="00F44391" w:rsidP="004029CF">
      <w:pPr>
        <w:pBdr>
          <w:top w:val="single" w:sz="4" w:space="10" w:color="auto"/>
          <w:left w:val="single" w:sz="4" w:space="10" w:color="auto"/>
          <w:bottom w:val="single" w:sz="4" w:space="10" w:color="auto"/>
          <w:right w:val="single" w:sz="4" w:space="10" w:color="auto"/>
        </w:pBdr>
        <w:jc w:val="center"/>
      </w:pPr>
      <w:r w:rsidRPr="008D208D">
        <w:object w:dxaOrig="6555" w:dyaOrig="1891">
          <v:shape id="_x0000_i1030" type="#_x0000_t75" alt="Example 23" style="width:327.75pt;height:94.5pt;mso-position-horizontal:absolute" o:ole="">
            <v:imagedata r:id="rId20" o:title=""/>
          </v:shape>
          <o:OLEObject Type="Embed" ProgID="Visio.Drawing.15" ShapeID="_x0000_i1030" DrawAspect="Content" ObjectID="_1549800249" r:id="rId21"/>
        </w:object>
      </w:r>
    </w:p>
    <w:p w:rsidR="004029CF" w:rsidRPr="008D208D" w:rsidRDefault="004029CF" w:rsidP="005E38ED">
      <w:pPr>
        <w:pBdr>
          <w:top w:val="single" w:sz="4" w:space="10" w:color="auto"/>
          <w:left w:val="single" w:sz="4" w:space="10" w:color="auto"/>
          <w:bottom w:val="single" w:sz="4" w:space="10" w:color="auto"/>
          <w:right w:val="single" w:sz="4" w:space="10" w:color="auto"/>
        </w:pBdr>
        <w:rPr>
          <w:sz w:val="20"/>
        </w:rPr>
      </w:pPr>
    </w:p>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sz w:val="20"/>
        </w:rPr>
      </w:pPr>
      <w:r w:rsidRPr="008D208D">
        <w:rPr>
          <w:sz w:val="20"/>
        </w:rPr>
        <w:t>Pro Services Ltd is arranging for a contractor (Sarah) to perform</w:t>
      </w:r>
      <w:r w:rsidR="0062185D" w:rsidRPr="008D208D">
        <w:rPr>
          <w:sz w:val="20"/>
        </w:rPr>
        <w:t xml:space="preserve"> services</w:t>
      </w:r>
      <w:r w:rsidRPr="008D208D">
        <w:rPr>
          <w:sz w:val="20"/>
        </w:rPr>
        <w:t xml:space="preserve"> directly for the client of Pro Services Ltd (Task Ltd). </w:t>
      </w:r>
      <w:r w:rsidR="004D55C4" w:rsidRPr="008D208D">
        <w:rPr>
          <w:sz w:val="20"/>
        </w:rPr>
        <w:t xml:space="preserve"> </w:t>
      </w:r>
      <w:r w:rsidRPr="008D208D">
        <w:rPr>
          <w:sz w:val="20"/>
        </w:rPr>
        <w:t>As a result, this is a labour-hire arrangement.</w:t>
      </w: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r w:rsidRPr="008D208D">
        <w:rPr>
          <w:sz w:val="20"/>
        </w:rPr>
        <w:t xml:space="preserve">However, entering into labour-hire arrangements is not one of the main activities of Pro Services Ltd. </w:t>
      </w:r>
      <w:r w:rsidR="004D55C4" w:rsidRPr="008D208D">
        <w:rPr>
          <w:sz w:val="20"/>
        </w:rPr>
        <w:t xml:space="preserve"> </w:t>
      </w:r>
      <w:r w:rsidRPr="008D208D">
        <w:rPr>
          <w:sz w:val="20"/>
        </w:rPr>
        <w:t>Instead this is a one-off transaction that is being done incidental to Pro Services Ltd</w:t>
      </w:r>
      <w:r w:rsidR="004D55C4" w:rsidRPr="008D208D">
        <w:rPr>
          <w:sz w:val="20"/>
        </w:rPr>
        <w:t>’s</w:t>
      </w:r>
      <w:r w:rsidRPr="008D208D">
        <w:rPr>
          <w:sz w:val="20"/>
        </w:rPr>
        <w:t xml:space="preserve"> core business. </w:t>
      </w:r>
      <w:r w:rsidR="004D55C4" w:rsidRPr="008D208D">
        <w:rPr>
          <w:sz w:val="20"/>
        </w:rPr>
        <w:t xml:space="preserve"> </w:t>
      </w:r>
      <w:r w:rsidRPr="008D208D">
        <w:rPr>
          <w:sz w:val="20"/>
        </w:rPr>
        <w:t xml:space="preserve">Pro Services Ltd did not advertise to provide this service and does not expect to enter into similar arrangements in the future or plan to do so </w:t>
      </w:r>
      <w:r w:rsidR="006E08C5" w:rsidRPr="008D208D">
        <w:rPr>
          <w:sz w:val="20"/>
        </w:rPr>
        <w:t>as a business in its own right.</w:t>
      </w:r>
    </w:p>
    <w:p w:rsidR="005E38ED" w:rsidRPr="008D208D" w:rsidRDefault="005E38ED" w:rsidP="00E6608E"/>
    <w:p w:rsidR="00E6608E" w:rsidRPr="008D208D" w:rsidRDefault="00E6608E" w:rsidP="00E6608E"/>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sz w:val="20"/>
        </w:rPr>
      </w:pPr>
      <w:r w:rsidRPr="008D208D">
        <w:rPr>
          <w:b/>
          <w:sz w:val="20"/>
        </w:rPr>
        <w:t xml:space="preserve">Example </w:t>
      </w:r>
      <w:r w:rsidR="00BC2C04" w:rsidRPr="008D208D">
        <w:rPr>
          <w:b/>
          <w:sz w:val="20"/>
        </w:rPr>
        <w:t>2</w:t>
      </w:r>
      <w:r w:rsidRPr="008D208D">
        <w:rPr>
          <w:b/>
          <w:sz w:val="20"/>
        </w:rPr>
        <w:t>4</w:t>
      </w:r>
    </w:p>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sz w:val="20"/>
        </w:rPr>
      </w:pPr>
      <w:r w:rsidRPr="008D208D">
        <w:rPr>
          <w:sz w:val="20"/>
        </w:rPr>
        <w:t>Pro Services Ltd found the previous arrangement with Task Ltd to be a success</w:t>
      </w:r>
      <w:r w:rsidR="004F324E" w:rsidRPr="008D208D">
        <w:rPr>
          <w:sz w:val="20"/>
        </w:rPr>
        <w:t>,</w:t>
      </w:r>
      <w:r w:rsidRPr="008D208D">
        <w:rPr>
          <w:sz w:val="20"/>
        </w:rPr>
        <w:t xml:space="preserve"> and starts offering similar services to more clients and advertising this service on </w:t>
      </w:r>
      <w:r w:rsidR="004F324E" w:rsidRPr="008D208D">
        <w:rPr>
          <w:sz w:val="20"/>
        </w:rPr>
        <w:t>its</w:t>
      </w:r>
      <w:r w:rsidRPr="008D208D">
        <w:rPr>
          <w:sz w:val="20"/>
        </w:rPr>
        <w:t xml:space="preserve"> website.</w:t>
      </w: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r w:rsidRPr="008D208D">
        <w:rPr>
          <w:sz w:val="20"/>
        </w:rPr>
        <w:t>Pro Services Ltd is now providing labour-hire arrangements as a business in its own right.</w:t>
      </w:r>
      <w:r w:rsidR="004F324E" w:rsidRPr="008D208D">
        <w:rPr>
          <w:sz w:val="20"/>
        </w:rPr>
        <w:t xml:space="preserve"> </w:t>
      </w:r>
      <w:r w:rsidRPr="008D208D">
        <w:rPr>
          <w:sz w:val="20"/>
        </w:rPr>
        <w:t xml:space="preserve"> As a result, it can be considered to be one of the main activities of Pro Services Ltd</w:t>
      </w:r>
      <w:r w:rsidR="004F324E" w:rsidRPr="008D208D">
        <w:rPr>
          <w:sz w:val="20"/>
        </w:rPr>
        <w:t>,</w:t>
      </w:r>
      <w:r w:rsidRPr="008D208D">
        <w:rPr>
          <w:sz w:val="20"/>
        </w:rPr>
        <w:t xml:space="preserve"> and payments made to Sarah and other contractors as part of this labour-hire business are subject to the schedular payment rules.</w:t>
      </w:r>
    </w:p>
    <w:p w:rsidR="005E38ED" w:rsidRPr="008D208D" w:rsidRDefault="005E38ED" w:rsidP="005E38ED">
      <w:pPr>
        <w:jc w:val="left"/>
        <w:rPr>
          <w:i/>
          <w:sz w:val="20"/>
        </w:rPr>
      </w:pPr>
    </w:p>
    <w:p w:rsidR="00E6608E" w:rsidRPr="008D208D" w:rsidRDefault="00E6608E">
      <w:pPr>
        <w:jc w:val="left"/>
        <w:rPr>
          <w:b/>
          <w:sz w:val="20"/>
        </w:rPr>
      </w:pPr>
      <w:r w:rsidRPr="008D208D">
        <w:rPr>
          <w:b/>
          <w:sz w:val="20"/>
        </w:rPr>
        <w:br w:type="page"/>
      </w:r>
    </w:p>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b/>
          <w:sz w:val="20"/>
        </w:rPr>
      </w:pPr>
      <w:r w:rsidRPr="008D208D">
        <w:rPr>
          <w:b/>
          <w:sz w:val="20"/>
        </w:rPr>
        <w:t xml:space="preserve">Example </w:t>
      </w:r>
      <w:r w:rsidR="00BC2C04" w:rsidRPr="008D208D">
        <w:rPr>
          <w:b/>
          <w:sz w:val="20"/>
        </w:rPr>
        <w:t>2</w:t>
      </w:r>
      <w:r w:rsidRPr="008D208D">
        <w:rPr>
          <w:b/>
          <w:sz w:val="20"/>
        </w:rPr>
        <w:t>5</w:t>
      </w:r>
    </w:p>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sz w:val="20"/>
        </w:rPr>
      </w:pPr>
      <w:r w:rsidRPr="008D208D">
        <w:rPr>
          <w:sz w:val="20"/>
        </w:rPr>
        <w:t>Y Co</w:t>
      </w:r>
      <w:r w:rsidR="004A0DA3" w:rsidRPr="008D208D">
        <w:rPr>
          <w:sz w:val="20"/>
        </w:rPr>
        <w:t>.</w:t>
      </w:r>
      <w:r w:rsidRPr="008D208D">
        <w:rPr>
          <w:sz w:val="20"/>
        </w:rPr>
        <w:t xml:space="preserve"> asks IT Universe Ltd for web designers to help them build a new website.  IT Universe agrees to provide a number of web designers to Y Co</w:t>
      </w:r>
      <w:r w:rsidR="004A0DA3" w:rsidRPr="008D208D">
        <w:rPr>
          <w:sz w:val="20"/>
        </w:rPr>
        <w:t>.</w:t>
      </w:r>
      <w:r w:rsidRPr="008D208D">
        <w:rPr>
          <w:sz w:val="20"/>
        </w:rPr>
        <w:t xml:space="preserve"> but is unable </w:t>
      </w:r>
      <w:r w:rsidR="006E08C5" w:rsidRPr="008D208D">
        <w:rPr>
          <w:sz w:val="20"/>
        </w:rPr>
        <w:t>to find enough suitable people.</w:t>
      </w: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r w:rsidRPr="008D208D">
        <w:rPr>
          <w:sz w:val="20"/>
        </w:rPr>
        <w:t>IT Universe Ltd goes to Web Pro Ltd (another labour-hire firm) and arranges for some of Web Pro’s contractors (Uri and Velma) to perform work for Y Co.</w:t>
      </w: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p>
    <w:p w:rsidR="005E38ED" w:rsidRPr="008D208D" w:rsidRDefault="00F44391" w:rsidP="004029CF">
      <w:pPr>
        <w:pBdr>
          <w:top w:val="single" w:sz="4" w:space="10" w:color="auto"/>
          <w:left w:val="single" w:sz="4" w:space="10" w:color="auto"/>
          <w:bottom w:val="single" w:sz="4" w:space="10" w:color="auto"/>
          <w:right w:val="single" w:sz="4" w:space="10" w:color="auto"/>
        </w:pBdr>
        <w:jc w:val="center"/>
      </w:pPr>
      <w:r w:rsidRPr="008D208D">
        <w:object w:dxaOrig="7695" w:dyaOrig="1891">
          <v:shape id="_x0000_i1031" type="#_x0000_t75" alt="Example 25" style="width:384.75pt;height:94.5pt" o:ole="">
            <v:imagedata r:id="rId22" o:title=""/>
          </v:shape>
          <o:OLEObject Type="Embed" ProgID="Visio.Drawing.15" ShapeID="_x0000_i1031" DrawAspect="Content" ObjectID="_1549800250" r:id="rId23"/>
        </w:object>
      </w:r>
    </w:p>
    <w:p w:rsidR="004029CF" w:rsidRPr="008D208D" w:rsidRDefault="004029CF" w:rsidP="005E38ED">
      <w:pPr>
        <w:pBdr>
          <w:top w:val="single" w:sz="4" w:space="10" w:color="auto"/>
          <w:left w:val="single" w:sz="4" w:space="10" w:color="auto"/>
          <w:bottom w:val="single" w:sz="4" w:space="10" w:color="auto"/>
          <w:right w:val="single" w:sz="4" w:space="10" w:color="auto"/>
        </w:pBdr>
        <w:rPr>
          <w:sz w:val="20"/>
        </w:rPr>
      </w:pP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r w:rsidRPr="008D208D">
        <w:rPr>
          <w:sz w:val="20"/>
        </w:rPr>
        <w:t>Web Pro Ltd is arranging for contractors (Uri and Velma) to perform work directly for the client (Y Co</w:t>
      </w:r>
      <w:r w:rsidR="00D24E4E" w:rsidRPr="008D208D">
        <w:rPr>
          <w:sz w:val="20"/>
        </w:rPr>
        <w:t>.</w:t>
      </w:r>
      <w:r w:rsidRPr="008D208D">
        <w:rPr>
          <w:sz w:val="20"/>
        </w:rPr>
        <w:t>) of another entity (IT Universe Ltd).  As a result, they are in a labour-hire arrangement and this arrangement is part of their labour-hire business.  Web Pro Ltd is therefore required to withhold from any payments it makes to Uri or Velma.</w:t>
      </w:r>
    </w:p>
    <w:p w:rsidR="005E38ED" w:rsidRPr="008D208D" w:rsidRDefault="005E38ED" w:rsidP="00E6608E">
      <w:pPr>
        <w:rPr>
          <w:sz w:val="20"/>
          <w:szCs w:val="20"/>
        </w:rPr>
      </w:pPr>
    </w:p>
    <w:p w:rsidR="00E6608E" w:rsidRPr="008D208D" w:rsidRDefault="00E6608E" w:rsidP="00E6608E">
      <w:pPr>
        <w:rPr>
          <w:sz w:val="20"/>
          <w:szCs w:val="20"/>
        </w:rPr>
      </w:pPr>
    </w:p>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b/>
          <w:sz w:val="20"/>
        </w:rPr>
      </w:pPr>
      <w:r w:rsidRPr="008D208D">
        <w:rPr>
          <w:b/>
          <w:sz w:val="20"/>
        </w:rPr>
        <w:t xml:space="preserve">Example </w:t>
      </w:r>
      <w:r w:rsidR="00BC2C04" w:rsidRPr="008D208D">
        <w:rPr>
          <w:b/>
          <w:sz w:val="20"/>
        </w:rPr>
        <w:t>2</w:t>
      </w:r>
      <w:r w:rsidRPr="008D208D">
        <w:rPr>
          <w:b/>
          <w:sz w:val="20"/>
        </w:rPr>
        <w:t>6</w:t>
      </w: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r w:rsidRPr="008D208D">
        <w:rPr>
          <w:sz w:val="20"/>
        </w:rPr>
        <w:t>Paul is a builder and contracts to build a house for Susan.  He subcontracts another contractor, Bruce</w:t>
      </w:r>
      <w:r w:rsidR="005624A8" w:rsidRPr="008D208D">
        <w:rPr>
          <w:sz w:val="20"/>
        </w:rPr>
        <w:t>,</w:t>
      </w:r>
      <w:r w:rsidRPr="008D208D">
        <w:rPr>
          <w:sz w:val="20"/>
        </w:rPr>
        <w:t xml:space="preserve"> to do the plumbing work for the house.  Paul is not required to withhold from payments to Bruce because he is not arranging for workers to perform work directly for clients. </w:t>
      </w:r>
      <w:r w:rsidR="005624A8" w:rsidRPr="008D208D">
        <w:rPr>
          <w:sz w:val="20"/>
        </w:rPr>
        <w:t xml:space="preserve"> </w:t>
      </w:r>
      <w:r w:rsidRPr="008D208D">
        <w:rPr>
          <w:sz w:val="20"/>
        </w:rPr>
        <w:t>Instead Paul is arranging to produce a specified output for Susan (building a house).</w:t>
      </w:r>
    </w:p>
    <w:p w:rsidR="005E38ED" w:rsidRPr="008D208D" w:rsidRDefault="005E38ED" w:rsidP="005E38ED">
      <w:pPr>
        <w:rPr>
          <w:sz w:val="20"/>
          <w:szCs w:val="20"/>
        </w:rPr>
      </w:pPr>
    </w:p>
    <w:p w:rsidR="005E38ED" w:rsidRPr="008D208D" w:rsidRDefault="005E38ED" w:rsidP="005E38ED">
      <w:pPr>
        <w:rPr>
          <w:sz w:val="20"/>
          <w:szCs w:val="20"/>
        </w:rPr>
      </w:pPr>
    </w:p>
    <w:p w:rsidR="005E38ED" w:rsidRPr="008D208D" w:rsidRDefault="005E38ED" w:rsidP="005E38ED">
      <w:pPr>
        <w:pStyle w:val="Heading3"/>
      </w:pPr>
      <w:r w:rsidRPr="008D208D">
        <w:t>Company exception</w:t>
      </w:r>
    </w:p>
    <w:p w:rsidR="005E38ED" w:rsidRPr="008D208D" w:rsidRDefault="005E38ED" w:rsidP="005E38ED"/>
    <w:p w:rsidR="005E38ED" w:rsidRPr="008D208D" w:rsidRDefault="005E38ED" w:rsidP="005E38ED">
      <w:r w:rsidRPr="008D208D">
        <w:t xml:space="preserve">The amendments provide that the general exception to the schedular payment rules for companies will not apply to payments </w:t>
      </w:r>
      <w:r w:rsidR="006E08C5" w:rsidRPr="008D208D">
        <w:t>under labour-hire arrangements.</w:t>
      </w:r>
    </w:p>
    <w:p w:rsidR="005E38ED" w:rsidRPr="008D208D" w:rsidRDefault="005E38ED" w:rsidP="005E38ED"/>
    <w:p w:rsidR="005E38ED" w:rsidRPr="008D208D" w:rsidRDefault="005E38ED" w:rsidP="005E38ED">
      <w:pPr>
        <w:rPr>
          <w:spacing w:val="-2"/>
        </w:rPr>
      </w:pPr>
      <w:r w:rsidRPr="008D208D">
        <w:rPr>
          <w:spacing w:val="-2"/>
        </w:rPr>
        <w:t xml:space="preserve">That means labour-hire firms will be required to withhold from payments in the circumstances outlined above regardless of the type of legal entity the payments are made to. </w:t>
      </w:r>
      <w:r w:rsidR="00953D70" w:rsidRPr="008D208D">
        <w:rPr>
          <w:spacing w:val="-2"/>
        </w:rPr>
        <w:t xml:space="preserve"> </w:t>
      </w:r>
      <w:r w:rsidRPr="008D208D">
        <w:rPr>
          <w:spacing w:val="-2"/>
        </w:rPr>
        <w:t xml:space="preserve">This applies regardless of whether the payment is also covered by the schedular payment rules due to it being a payment of a type described in another part of </w:t>
      </w:r>
      <w:r w:rsidR="00607FA1" w:rsidRPr="008D208D">
        <w:rPr>
          <w:spacing w:val="-2"/>
        </w:rPr>
        <w:t>s</w:t>
      </w:r>
      <w:r w:rsidRPr="008D208D">
        <w:rPr>
          <w:spacing w:val="-2"/>
        </w:rPr>
        <w:t>chedule</w:t>
      </w:r>
      <w:r w:rsidR="006E08C5" w:rsidRPr="008D208D">
        <w:rPr>
          <w:spacing w:val="-2"/>
        </w:rPr>
        <w:t xml:space="preserve"> 4 of the Income Tax Act 2007.</w:t>
      </w:r>
    </w:p>
    <w:p w:rsidR="005E38ED" w:rsidRPr="008D208D" w:rsidRDefault="005E38ED" w:rsidP="005E38ED"/>
    <w:p w:rsidR="005E38ED" w:rsidRPr="008D208D" w:rsidRDefault="005E38ED" w:rsidP="005E38ED">
      <w:r w:rsidRPr="008D208D">
        <w:t xml:space="preserve">A company that finds it is being over-withheld as a result of </w:t>
      </w:r>
      <w:proofErr w:type="gramStart"/>
      <w:r w:rsidRPr="008D208D">
        <w:t>this,</w:t>
      </w:r>
      <w:proofErr w:type="gramEnd"/>
      <w:r w:rsidRPr="008D208D">
        <w:t xml:space="preserve"> can apply for a special tax code to reduce </w:t>
      </w:r>
      <w:r w:rsidR="00607FA1" w:rsidRPr="008D208D">
        <w:t>its</w:t>
      </w:r>
      <w:r w:rsidRPr="008D208D">
        <w:t xml:space="preserve"> withholding rate below the minimum rate.  This can include applyin</w:t>
      </w:r>
      <w:r w:rsidR="006E08C5" w:rsidRPr="008D208D">
        <w:t>g for a withholding rate of 0%.</w:t>
      </w:r>
    </w:p>
    <w:p w:rsidR="005E38ED" w:rsidRPr="008D208D" w:rsidRDefault="005E38ED" w:rsidP="005E38ED">
      <w:pPr>
        <w:jc w:val="left"/>
        <w:rPr>
          <w:b/>
          <w:sz w:val="20"/>
          <w:szCs w:val="20"/>
        </w:rPr>
      </w:pPr>
    </w:p>
    <w:p w:rsidR="00E6608E" w:rsidRPr="008D208D" w:rsidRDefault="00E6608E">
      <w:pPr>
        <w:jc w:val="left"/>
        <w:rPr>
          <w:b/>
          <w:sz w:val="20"/>
          <w:szCs w:val="20"/>
        </w:rPr>
      </w:pPr>
    </w:p>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b/>
          <w:sz w:val="20"/>
        </w:rPr>
      </w:pPr>
      <w:r w:rsidRPr="008D208D">
        <w:rPr>
          <w:b/>
          <w:sz w:val="20"/>
        </w:rPr>
        <w:t xml:space="preserve">Example </w:t>
      </w:r>
      <w:r w:rsidR="00BC2C04" w:rsidRPr="008D208D">
        <w:rPr>
          <w:b/>
          <w:sz w:val="20"/>
        </w:rPr>
        <w:t>2</w:t>
      </w:r>
      <w:r w:rsidRPr="008D208D">
        <w:rPr>
          <w:b/>
          <w:sz w:val="20"/>
        </w:rPr>
        <w:t>7</w:t>
      </w:r>
    </w:p>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sz w:val="20"/>
        </w:rPr>
      </w:pPr>
      <w:r w:rsidRPr="008D208D">
        <w:rPr>
          <w:sz w:val="20"/>
        </w:rPr>
        <w:t>As in the earlier example, IT Universe Ltd. has agreed to provide web designers for Y Co.  IT Universe arranges for Web Pro Ltd to provide workers for Y Co.</w:t>
      </w:r>
    </w:p>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sz w:val="20"/>
        </w:rPr>
      </w:pPr>
      <w:r w:rsidRPr="008D208D">
        <w:rPr>
          <w:sz w:val="20"/>
        </w:rPr>
        <w:t>IT Universe is arranging workers to provide work directly to clients.  As a result, they are in a labour-hire arrangement and this labour-hire arrangement is part of their labour-hire business.  As a result IT Universe Ltd is required to withhold from any payment made to Web Pro.</w:t>
      </w: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r w:rsidRPr="008D208D">
        <w:rPr>
          <w:sz w:val="20"/>
        </w:rPr>
        <w:t xml:space="preserve">Web Pro may apply for a special tax code to reduce </w:t>
      </w:r>
      <w:r w:rsidR="0002762A" w:rsidRPr="008D208D">
        <w:rPr>
          <w:sz w:val="20"/>
        </w:rPr>
        <w:t>its</w:t>
      </w:r>
      <w:r w:rsidRPr="008D208D">
        <w:rPr>
          <w:sz w:val="20"/>
        </w:rPr>
        <w:t xml:space="preserve"> rate of withholding (including applying for a rate of 0%).</w:t>
      </w:r>
    </w:p>
    <w:p w:rsidR="00953D70" w:rsidRPr="008D208D" w:rsidRDefault="00953D70">
      <w:pPr>
        <w:jc w:val="left"/>
        <w:rPr>
          <w:b/>
          <w:i/>
        </w:rPr>
      </w:pPr>
      <w:r w:rsidRPr="008D208D">
        <w:rPr>
          <w:b/>
          <w:i/>
        </w:rPr>
        <w:br w:type="page"/>
      </w:r>
    </w:p>
    <w:p w:rsidR="005E38ED" w:rsidRPr="008D208D" w:rsidRDefault="005E38ED" w:rsidP="003164BB">
      <w:pPr>
        <w:pStyle w:val="Heading3"/>
      </w:pPr>
      <w:r w:rsidRPr="008D208D">
        <w:t>Associated party transactions</w:t>
      </w:r>
    </w:p>
    <w:p w:rsidR="005E38ED" w:rsidRPr="008D208D" w:rsidRDefault="005E38ED" w:rsidP="005E38ED"/>
    <w:p w:rsidR="005E38ED" w:rsidRPr="008D208D" w:rsidRDefault="0002762A" w:rsidP="005E38ED">
      <w:proofErr w:type="gramStart"/>
      <w:r w:rsidRPr="008D208D">
        <w:t>If</w:t>
      </w:r>
      <w:r w:rsidR="005E38ED" w:rsidRPr="008D208D">
        <w:t xml:space="preserve"> the payer and payee are associated persons under sections YB 2 (Two </w:t>
      </w:r>
      <w:r w:rsidRPr="008D208D">
        <w:t>c</w:t>
      </w:r>
      <w:r w:rsidR="005E38ED" w:rsidRPr="008D208D">
        <w:t>ompanies) or YB 3 (A company and a person other than a company)</w:t>
      </w:r>
      <w:r w:rsidRPr="008D208D">
        <w:t>,</w:t>
      </w:r>
      <w:r w:rsidR="005E38ED" w:rsidRPr="008D208D">
        <w:t xml:space="preserve"> the payer may choose not to treat the payment as being subject to withholding under the labour-hire firm rules.</w:t>
      </w:r>
      <w:proofErr w:type="gramEnd"/>
    </w:p>
    <w:p w:rsidR="005E38ED" w:rsidRPr="008D208D" w:rsidRDefault="005E38ED" w:rsidP="005E38ED"/>
    <w:p w:rsidR="005E38ED" w:rsidRPr="008D208D" w:rsidRDefault="005E38ED" w:rsidP="005E38ED">
      <w:r w:rsidRPr="008D208D">
        <w:t>This choice is intended to prevent overreach in the rules where the rules could apply to payments that are effectively made between entities that are part of the same business</w:t>
      </w:r>
      <w:r w:rsidR="00953D70" w:rsidRPr="008D208D">
        <w:t>.  I</w:t>
      </w:r>
      <w:r w:rsidRPr="008D208D">
        <w:t>n these situations, it is considered that the requirement to withhold would impose additional compl</w:t>
      </w:r>
      <w:r w:rsidR="006E08C5" w:rsidRPr="008D208D">
        <w:t>iance costs for little benefit.</w:t>
      </w:r>
    </w:p>
    <w:p w:rsidR="005E38ED" w:rsidRPr="008D208D" w:rsidRDefault="005E38ED" w:rsidP="005E38ED"/>
    <w:p w:rsidR="00E6608E" w:rsidRPr="008D208D" w:rsidRDefault="00E6608E" w:rsidP="005E38ED"/>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b/>
          <w:sz w:val="20"/>
        </w:rPr>
      </w:pPr>
      <w:r w:rsidRPr="008D208D">
        <w:rPr>
          <w:b/>
          <w:sz w:val="20"/>
        </w:rPr>
        <w:t xml:space="preserve">Example </w:t>
      </w:r>
      <w:r w:rsidR="00BC2C04" w:rsidRPr="008D208D">
        <w:rPr>
          <w:b/>
          <w:sz w:val="20"/>
        </w:rPr>
        <w:t>2</w:t>
      </w:r>
      <w:r w:rsidRPr="008D208D">
        <w:rPr>
          <w:b/>
          <w:sz w:val="20"/>
        </w:rPr>
        <w:t>8</w:t>
      </w:r>
    </w:p>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sz w:val="20"/>
        </w:rPr>
      </w:pPr>
      <w:r w:rsidRPr="008D208D">
        <w:rPr>
          <w:sz w:val="20"/>
        </w:rPr>
        <w:t>Workforce 1 Ltd is a labour-hire firm that provides workers to perform work directly for clients</w:t>
      </w:r>
      <w:r w:rsidR="00953D70" w:rsidRPr="008D208D">
        <w:rPr>
          <w:sz w:val="20"/>
        </w:rPr>
        <w:t>.  A</w:t>
      </w:r>
      <w:r w:rsidRPr="008D208D">
        <w:rPr>
          <w:sz w:val="20"/>
        </w:rPr>
        <w:t>s part of its business structure Workforce 1 Ltd chooses to have its sales, marketing and client-facing side of the business managed by Workforce 1 Ltd while its staff management is handled by Workforce 2 Ltd.</w:t>
      </w:r>
      <w:r w:rsidR="008F4DC9" w:rsidRPr="008D208D">
        <w:rPr>
          <w:sz w:val="20"/>
        </w:rPr>
        <w:t xml:space="preserve"> </w:t>
      </w:r>
      <w:r w:rsidRPr="008D208D">
        <w:rPr>
          <w:sz w:val="20"/>
        </w:rPr>
        <w:t xml:space="preserve"> Workforce 1 Ltd and Workforce 2 Ltd are part of a wholly owned group.</w:t>
      </w:r>
    </w:p>
    <w:p w:rsidR="00E6608E" w:rsidRPr="008D208D" w:rsidRDefault="005E38ED" w:rsidP="005E38ED">
      <w:pPr>
        <w:pBdr>
          <w:top w:val="single" w:sz="4" w:space="10" w:color="auto"/>
          <w:left w:val="single" w:sz="4" w:space="10" w:color="auto"/>
          <w:bottom w:val="single" w:sz="4" w:space="10" w:color="auto"/>
          <w:right w:val="single" w:sz="4" w:space="10" w:color="auto"/>
        </w:pBdr>
        <w:rPr>
          <w:sz w:val="20"/>
        </w:rPr>
      </w:pPr>
      <w:r w:rsidRPr="008D208D">
        <w:rPr>
          <w:sz w:val="20"/>
        </w:rPr>
        <w:t xml:space="preserve">Workforce 1 Ltd. pays Workforce 2 Ltd part of the fees received by clients in </w:t>
      </w:r>
      <w:r w:rsidR="006E08C5" w:rsidRPr="008D208D">
        <w:rPr>
          <w:sz w:val="20"/>
        </w:rPr>
        <w:t>order to pay their contractors.</w:t>
      </w:r>
    </w:p>
    <w:p w:rsidR="00E6608E" w:rsidRPr="008D208D" w:rsidRDefault="00E6608E" w:rsidP="005E38ED">
      <w:pPr>
        <w:pBdr>
          <w:top w:val="single" w:sz="4" w:space="10" w:color="auto"/>
          <w:left w:val="single" w:sz="4" w:space="10" w:color="auto"/>
          <w:bottom w:val="single" w:sz="4" w:space="10" w:color="auto"/>
          <w:right w:val="single" w:sz="4" w:space="10" w:color="auto"/>
        </w:pBdr>
        <w:rPr>
          <w:sz w:val="20"/>
        </w:rPr>
      </w:pPr>
    </w:p>
    <w:p w:rsidR="005E38ED" w:rsidRPr="008D208D" w:rsidRDefault="00F44391" w:rsidP="004029CF">
      <w:pPr>
        <w:pBdr>
          <w:top w:val="single" w:sz="4" w:space="10" w:color="auto"/>
          <w:left w:val="single" w:sz="4" w:space="10" w:color="auto"/>
          <w:bottom w:val="single" w:sz="4" w:space="10" w:color="auto"/>
          <w:right w:val="single" w:sz="4" w:space="10" w:color="auto"/>
        </w:pBdr>
        <w:jc w:val="center"/>
        <w:rPr>
          <w:sz w:val="20"/>
        </w:rPr>
      </w:pPr>
      <w:r w:rsidRPr="008D208D">
        <w:object w:dxaOrig="7695" w:dyaOrig="1891">
          <v:shape id="_x0000_i1032" type="#_x0000_t75" alt="Example 28" style="width:384.75pt;height:94.5pt" o:ole="">
            <v:imagedata r:id="rId24" o:title=""/>
          </v:shape>
          <o:OLEObject Type="Embed" ProgID="Visio.Drawing.15" ShapeID="_x0000_i1032" DrawAspect="Content" ObjectID="_1549800251" r:id="rId25"/>
        </w:object>
      </w: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p>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sz w:val="20"/>
        </w:rPr>
      </w:pPr>
      <w:r w:rsidRPr="008D208D">
        <w:rPr>
          <w:sz w:val="20"/>
        </w:rPr>
        <w:t xml:space="preserve">Workforce 1 Ltd and Workforce 2 Ltd are wholly owned companies and as a result are associated under section YB 2. </w:t>
      </w:r>
      <w:r w:rsidR="00B262A2" w:rsidRPr="008D208D">
        <w:rPr>
          <w:sz w:val="20"/>
        </w:rPr>
        <w:t xml:space="preserve"> </w:t>
      </w:r>
      <w:r w:rsidRPr="008D208D">
        <w:rPr>
          <w:sz w:val="20"/>
        </w:rPr>
        <w:t>As a result, Workforce 1 Ltd may choose to treat payments made to Workforce 2 Ltd as not subject to withholding under the labour-hire firm rules.</w:t>
      </w: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r w:rsidRPr="008D208D">
        <w:rPr>
          <w:sz w:val="20"/>
        </w:rPr>
        <w:t xml:space="preserve">Workforce 2 Ltd will still need to withhold from payments </w:t>
      </w:r>
      <w:r w:rsidR="00B262A2" w:rsidRPr="008D208D">
        <w:rPr>
          <w:sz w:val="20"/>
        </w:rPr>
        <w:t>it</w:t>
      </w:r>
      <w:r w:rsidRPr="008D208D">
        <w:rPr>
          <w:sz w:val="20"/>
        </w:rPr>
        <w:t xml:space="preserve"> make</w:t>
      </w:r>
      <w:r w:rsidR="00B262A2" w:rsidRPr="008D208D">
        <w:rPr>
          <w:sz w:val="20"/>
        </w:rPr>
        <w:t>s</w:t>
      </w:r>
      <w:r w:rsidRPr="008D208D">
        <w:rPr>
          <w:sz w:val="20"/>
        </w:rPr>
        <w:t xml:space="preserve"> to </w:t>
      </w:r>
      <w:r w:rsidR="00B262A2" w:rsidRPr="008D208D">
        <w:rPr>
          <w:sz w:val="20"/>
        </w:rPr>
        <w:t>its</w:t>
      </w:r>
      <w:r w:rsidRPr="008D208D">
        <w:rPr>
          <w:sz w:val="20"/>
        </w:rPr>
        <w:t xml:space="preserve"> contractors.</w:t>
      </w:r>
    </w:p>
    <w:p w:rsidR="005E38ED" w:rsidRPr="008D208D" w:rsidRDefault="005E38ED" w:rsidP="00E6608E"/>
    <w:p w:rsidR="005E38ED" w:rsidRPr="008D208D" w:rsidRDefault="005E38ED" w:rsidP="00E6608E"/>
    <w:p w:rsidR="005E38ED" w:rsidRPr="008D208D" w:rsidRDefault="005E38ED" w:rsidP="005E38ED">
      <w:pPr>
        <w:pStyle w:val="Heading3"/>
      </w:pPr>
      <w:r w:rsidRPr="008D208D">
        <w:t>Certificates of exemption</w:t>
      </w:r>
    </w:p>
    <w:p w:rsidR="005E38ED" w:rsidRPr="008D208D" w:rsidRDefault="005E38ED" w:rsidP="005E38ED">
      <w:pPr>
        <w:rPr>
          <w:b/>
          <w:i/>
        </w:rPr>
      </w:pPr>
    </w:p>
    <w:p w:rsidR="005E38ED" w:rsidRPr="008D208D" w:rsidRDefault="005E38ED" w:rsidP="005E38ED">
      <w:r w:rsidRPr="008D208D">
        <w:t xml:space="preserve">Under the amendments, contractors that are resident in New Zealand and are working for labour-hire firms cannot obtain certificates of exemption to exempt themselves from the schedular payment rules. </w:t>
      </w:r>
      <w:r w:rsidR="00625574" w:rsidRPr="008D208D">
        <w:t xml:space="preserve"> </w:t>
      </w:r>
      <w:r w:rsidRPr="008D208D">
        <w:t>These contractors cannot obtain certificates of exemption even if the payment is covered by the schedular payment rules by virtue of another part of schedul</w:t>
      </w:r>
      <w:r w:rsidR="006E08C5" w:rsidRPr="008D208D">
        <w:t>e 4 of the Income Tax Act 2007.</w:t>
      </w:r>
    </w:p>
    <w:p w:rsidR="005E38ED" w:rsidRPr="008D208D" w:rsidRDefault="005E38ED" w:rsidP="005E38ED"/>
    <w:p w:rsidR="005E38ED" w:rsidRPr="008D208D" w:rsidRDefault="005E38ED" w:rsidP="005E38ED">
      <w:r w:rsidRPr="008D208D">
        <w:t xml:space="preserve">These contractors may still apply for a special tax rate if withholding is inappropriate, which includes being able to apply for a 0% rate. </w:t>
      </w:r>
      <w:r w:rsidR="006A6E27" w:rsidRPr="008D208D">
        <w:t xml:space="preserve"> </w:t>
      </w:r>
      <w:r w:rsidRPr="008D208D">
        <w:t>This means that all resident contractors working for labour-hire firms must have payments to them recorded on the Employer Monthly Schedule even if a 0% rate of withholding applies to them.</w:t>
      </w:r>
    </w:p>
    <w:p w:rsidR="005E38ED" w:rsidRPr="008D208D" w:rsidRDefault="005E38ED" w:rsidP="005E38ED"/>
    <w:p w:rsidR="005E38ED" w:rsidRPr="008D208D" w:rsidRDefault="005E38ED" w:rsidP="005E38ED">
      <w:r w:rsidRPr="008D208D">
        <w:t xml:space="preserve">Non-resident contractors who work for labour-hire firms may continue to </w:t>
      </w:r>
      <w:r w:rsidR="006A6E27" w:rsidRPr="008D208D">
        <w:t>use</w:t>
      </w:r>
      <w:r w:rsidRPr="008D208D">
        <w:t xml:space="preserve"> certificates of exemption.</w:t>
      </w:r>
    </w:p>
    <w:p w:rsidR="005E38ED" w:rsidRPr="008D208D" w:rsidRDefault="005E38ED" w:rsidP="005E38ED"/>
    <w:p w:rsidR="00E6608E" w:rsidRPr="008D208D" w:rsidRDefault="00E6608E">
      <w:pPr>
        <w:jc w:val="left"/>
        <w:rPr>
          <w:b/>
          <w:sz w:val="20"/>
        </w:rPr>
      </w:pPr>
      <w:r w:rsidRPr="008D208D">
        <w:rPr>
          <w:b/>
          <w:sz w:val="20"/>
        </w:rPr>
        <w:br w:type="page"/>
      </w:r>
    </w:p>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b/>
          <w:sz w:val="20"/>
        </w:rPr>
      </w:pPr>
      <w:r w:rsidRPr="008D208D">
        <w:rPr>
          <w:b/>
          <w:sz w:val="20"/>
        </w:rPr>
        <w:t xml:space="preserve">Example </w:t>
      </w:r>
      <w:r w:rsidR="00BC2C04" w:rsidRPr="008D208D">
        <w:rPr>
          <w:b/>
          <w:sz w:val="20"/>
        </w:rPr>
        <w:t>2</w:t>
      </w:r>
      <w:r w:rsidRPr="008D208D">
        <w:rPr>
          <w:b/>
          <w:sz w:val="20"/>
        </w:rPr>
        <w:t>9</w:t>
      </w:r>
    </w:p>
    <w:p w:rsidR="005E38ED" w:rsidRPr="008D208D" w:rsidRDefault="005E38ED" w:rsidP="00E6608E">
      <w:pPr>
        <w:pBdr>
          <w:top w:val="single" w:sz="4" w:space="10" w:color="auto"/>
          <w:left w:val="single" w:sz="4" w:space="10" w:color="auto"/>
          <w:bottom w:val="single" w:sz="4" w:space="10" w:color="auto"/>
          <w:right w:val="single" w:sz="4" w:space="10" w:color="auto"/>
        </w:pBdr>
        <w:spacing w:after="100"/>
        <w:rPr>
          <w:sz w:val="20"/>
        </w:rPr>
      </w:pPr>
      <w:r w:rsidRPr="008D208D">
        <w:rPr>
          <w:sz w:val="20"/>
        </w:rPr>
        <w:t xml:space="preserve">Agriculture Angels is a labour-hire firm that provides fruit pickers to farmers. </w:t>
      </w:r>
      <w:r w:rsidR="00593984" w:rsidRPr="008D208D">
        <w:rPr>
          <w:sz w:val="20"/>
        </w:rPr>
        <w:t xml:space="preserve"> </w:t>
      </w:r>
      <w:r w:rsidRPr="008D208D">
        <w:rPr>
          <w:sz w:val="20"/>
        </w:rPr>
        <w:t xml:space="preserve">The fruit pickers are engaged as contractors by Agriculture Angels and payments to them are covered by the schedular payment rules under the new labour-hire firm rules (Part J of </w:t>
      </w:r>
      <w:r w:rsidR="00593984" w:rsidRPr="008D208D">
        <w:rPr>
          <w:sz w:val="20"/>
        </w:rPr>
        <w:t>s</w:t>
      </w:r>
      <w:r w:rsidRPr="008D208D">
        <w:rPr>
          <w:sz w:val="20"/>
        </w:rPr>
        <w:t xml:space="preserve">chedule 4) as well as those for worker services relating to primary production (Part C of </w:t>
      </w:r>
      <w:r w:rsidR="00593984" w:rsidRPr="008D208D">
        <w:rPr>
          <w:sz w:val="20"/>
        </w:rPr>
        <w:t>s</w:t>
      </w:r>
      <w:r w:rsidRPr="008D208D">
        <w:rPr>
          <w:sz w:val="20"/>
        </w:rPr>
        <w:t>chedule 4)</w:t>
      </w:r>
      <w:r w:rsidR="006E08C5" w:rsidRPr="008D208D">
        <w:rPr>
          <w:sz w:val="20"/>
        </w:rPr>
        <w:t>.</w:t>
      </w:r>
    </w:p>
    <w:p w:rsidR="005E38ED" w:rsidRPr="008D208D" w:rsidRDefault="005E38ED" w:rsidP="005E38ED">
      <w:pPr>
        <w:pBdr>
          <w:top w:val="single" w:sz="4" w:space="10" w:color="auto"/>
          <w:left w:val="single" w:sz="4" w:space="10" w:color="auto"/>
          <w:bottom w:val="single" w:sz="4" w:space="10" w:color="auto"/>
          <w:right w:val="single" w:sz="4" w:space="10" w:color="auto"/>
        </w:pBdr>
        <w:rPr>
          <w:sz w:val="20"/>
        </w:rPr>
      </w:pPr>
      <w:r w:rsidRPr="008D208D">
        <w:rPr>
          <w:sz w:val="20"/>
        </w:rPr>
        <w:t>The contractors of Agriculture Angels cannot utilise certificates of exemption from withholding.</w:t>
      </w:r>
      <w:r w:rsidR="00593984" w:rsidRPr="008D208D">
        <w:rPr>
          <w:sz w:val="20"/>
        </w:rPr>
        <w:t xml:space="preserve"> </w:t>
      </w:r>
      <w:r w:rsidRPr="008D208D">
        <w:rPr>
          <w:sz w:val="20"/>
        </w:rPr>
        <w:t xml:space="preserve"> Instead, these contractors will need to apply for special tax rates of 0% if withholding is not appropriate for them.</w:t>
      </w:r>
    </w:p>
    <w:p w:rsidR="005E38ED" w:rsidRPr="008D208D" w:rsidRDefault="005E38ED" w:rsidP="005E38ED"/>
    <w:p w:rsidR="00E6608E" w:rsidRPr="008D208D" w:rsidRDefault="00E6608E" w:rsidP="005E38ED"/>
    <w:p w:rsidR="005E38ED" w:rsidRPr="008D208D" w:rsidRDefault="005E38ED" w:rsidP="00E6608E">
      <w:pPr>
        <w:pStyle w:val="Heading3"/>
      </w:pPr>
      <w:r w:rsidRPr="008D208D">
        <w:t>Transitional rule</w:t>
      </w:r>
    </w:p>
    <w:p w:rsidR="00E6608E" w:rsidRPr="008D208D" w:rsidRDefault="00E6608E" w:rsidP="005E38ED"/>
    <w:p w:rsidR="006C05F2" w:rsidRPr="008D208D" w:rsidRDefault="005E38ED" w:rsidP="005E38ED">
      <w:r w:rsidRPr="008D208D">
        <w:t xml:space="preserve">To </w:t>
      </w:r>
      <w:r w:rsidR="00593984" w:rsidRPr="008D208D">
        <w:t>allow</w:t>
      </w:r>
      <w:r w:rsidRPr="008D208D">
        <w:t xml:space="preserve"> an easier transition to special tax rates for contractors working for labour-hire firms, a transitional rule applies for these contractors whose certificates of exemption are no longer valid as a result of the amendments. </w:t>
      </w:r>
      <w:r w:rsidR="00593984" w:rsidRPr="008D208D">
        <w:t xml:space="preserve"> </w:t>
      </w:r>
      <w:r w:rsidRPr="008D208D">
        <w:t>Under the transitional rule, contractors who have a certificate of exemption before 1 April 2017 may have the certificate treated as a special tax rate of 0% till 1 April 2018</w:t>
      </w:r>
      <w:r w:rsidR="00593984" w:rsidRPr="008D208D">
        <w:t>,</w:t>
      </w:r>
      <w:r w:rsidRPr="008D208D">
        <w:t xml:space="preserve"> if the certificate of exemption is invalid as a result of the amendments.</w:t>
      </w:r>
    </w:p>
    <w:p w:rsidR="006C05F2" w:rsidRPr="008D208D" w:rsidRDefault="006C05F2" w:rsidP="005E38ED"/>
    <w:p w:rsidR="005E38ED" w:rsidRPr="008D208D" w:rsidRDefault="005E38ED" w:rsidP="005E38ED"/>
    <w:p w:rsidR="005E38ED" w:rsidRPr="008D208D" w:rsidRDefault="005E38ED" w:rsidP="006C05F2">
      <w:pPr>
        <w:pStyle w:val="Sectionheading"/>
      </w:pPr>
      <w:bookmarkStart w:id="7" w:name="_Toc455754571"/>
      <w:bookmarkStart w:id="8" w:name="_Toc458153623"/>
      <w:r w:rsidRPr="008D208D">
        <w:t>Voluntary withholding agreements</w:t>
      </w:r>
      <w:bookmarkEnd w:id="7"/>
      <w:bookmarkEnd w:id="8"/>
    </w:p>
    <w:p w:rsidR="005E38ED" w:rsidRPr="008D208D" w:rsidRDefault="005E38ED" w:rsidP="005E38ED">
      <w:pPr>
        <w:rPr>
          <w:szCs w:val="24"/>
        </w:rPr>
      </w:pPr>
    </w:p>
    <w:p w:rsidR="005E38ED" w:rsidRPr="008D208D" w:rsidRDefault="005E38ED" w:rsidP="00483FFA">
      <w:r w:rsidRPr="008D208D">
        <w:t>Amendments have been made which will allow contractors not covered by the schedular payment rules to opt in to the rules with the consent of their payer.</w:t>
      </w:r>
    </w:p>
    <w:p w:rsidR="005D3CE9" w:rsidRPr="008D208D" w:rsidRDefault="005D3CE9" w:rsidP="00483FFA"/>
    <w:p w:rsidR="005E38ED" w:rsidRPr="008D208D" w:rsidRDefault="005E38ED" w:rsidP="006C05F2">
      <w:pPr>
        <w:pStyle w:val="Heading2"/>
      </w:pPr>
      <w:r w:rsidRPr="008D208D">
        <w:t>Background</w:t>
      </w:r>
    </w:p>
    <w:p w:rsidR="005E38ED" w:rsidRPr="008D208D" w:rsidRDefault="005E38ED" w:rsidP="005E38ED">
      <w:pPr>
        <w:tabs>
          <w:tab w:val="left" w:pos="567"/>
        </w:tabs>
        <w:rPr>
          <w:szCs w:val="24"/>
        </w:rPr>
      </w:pPr>
    </w:p>
    <w:p w:rsidR="005E38ED" w:rsidRPr="008D208D" w:rsidRDefault="005E38ED" w:rsidP="00483FFA">
      <w:r w:rsidRPr="008D208D">
        <w:t>Currently contractors not covered by the schedular payment rules are not able to have tax withheld on a payday basis.  Many of these contractors may prefer to pay their tax through the schedular payment rules.</w:t>
      </w:r>
    </w:p>
    <w:p w:rsidR="005D3CE9" w:rsidRPr="008D208D" w:rsidRDefault="005D3CE9" w:rsidP="00483FFA"/>
    <w:p w:rsidR="005E38ED" w:rsidRPr="008D208D" w:rsidRDefault="005E38ED" w:rsidP="006C05F2">
      <w:pPr>
        <w:pStyle w:val="Heading2"/>
      </w:pPr>
      <w:r w:rsidRPr="008D208D">
        <w:t>Key features</w:t>
      </w:r>
    </w:p>
    <w:p w:rsidR="005E38ED" w:rsidRPr="008D208D" w:rsidRDefault="005E38ED" w:rsidP="005E38ED"/>
    <w:p w:rsidR="005E38ED" w:rsidRPr="008D208D" w:rsidRDefault="005E38ED" w:rsidP="00483FFA">
      <w:r w:rsidRPr="008D208D">
        <w:t xml:space="preserve">Contractors that are not subject to the schedular payment rules will be able to enter into </w:t>
      </w:r>
      <w:r w:rsidR="00D95696" w:rsidRPr="008D208D">
        <w:t xml:space="preserve">a </w:t>
      </w:r>
      <w:r w:rsidRPr="008D208D">
        <w:t>voluntary withholding agreement with their payers.  If an agreement is entered into, the contractor becomes subject to the schedular payment rules and the payer will be required to withhold from payments made to them.</w:t>
      </w:r>
    </w:p>
    <w:p w:rsidR="00E6608E" w:rsidRPr="008D208D" w:rsidRDefault="00E6608E" w:rsidP="00483FFA"/>
    <w:p w:rsidR="005E38ED" w:rsidRPr="008D208D" w:rsidRDefault="005E38ED" w:rsidP="00483FFA">
      <w:r w:rsidRPr="008D208D">
        <w:t xml:space="preserve">The proposed amendments insert Part W into </w:t>
      </w:r>
      <w:r w:rsidR="00D95696" w:rsidRPr="008D208D">
        <w:t>s</w:t>
      </w:r>
      <w:r w:rsidRPr="008D208D">
        <w:t>chedul</w:t>
      </w:r>
      <w:r w:rsidR="006E08C5" w:rsidRPr="008D208D">
        <w:t>e 4 of the Income Tax Act 2007.</w:t>
      </w:r>
    </w:p>
    <w:p w:rsidR="00E6608E" w:rsidRPr="008D208D" w:rsidRDefault="00E6608E" w:rsidP="00483FFA"/>
    <w:p w:rsidR="005E38ED" w:rsidRPr="008D208D" w:rsidRDefault="005E38ED" w:rsidP="00483FFA">
      <w:r w:rsidRPr="008D208D">
        <w:t>Part W sets out that a payment to a person is a schedular payment when:</w:t>
      </w:r>
    </w:p>
    <w:p w:rsidR="00E6608E" w:rsidRPr="008D208D" w:rsidRDefault="00E6608E" w:rsidP="00483FFA"/>
    <w:p w:rsidR="005E38ED" w:rsidRPr="008D208D" w:rsidRDefault="005E38ED" w:rsidP="00E6608E">
      <w:pPr>
        <w:pStyle w:val="Bullets"/>
      </w:pPr>
      <w:r w:rsidRPr="008D208D">
        <w:t>there is no obligation to withhold from the payment under the Income Tax Act 2007 or the Tax Administration Act 1994; and</w:t>
      </w:r>
    </w:p>
    <w:p w:rsidR="005E38ED" w:rsidRPr="008D208D" w:rsidRDefault="005E38ED" w:rsidP="00E6608E">
      <w:pPr>
        <w:pStyle w:val="Bullets"/>
        <w:spacing w:after="0"/>
      </w:pPr>
      <w:proofErr w:type="gramStart"/>
      <w:r w:rsidRPr="008D208D">
        <w:t>the</w:t>
      </w:r>
      <w:proofErr w:type="gramEnd"/>
      <w:r w:rsidRPr="008D208D">
        <w:t xml:space="preserve"> contractor and their payer have agreed to treat the payment as a voluntary schedular payment, and have recorded their agreement in a document.</w:t>
      </w:r>
    </w:p>
    <w:p w:rsidR="005E38ED" w:rsidRPr="008D208D" w:rsidRDefault="005E38ED" w:rsidP="00483FFA"/>
    <w:p w:rsidR="005E38ED" w:rsidRPr="008D208D" w:rsidRDefault="005E38ED" w:rsidP="00483FFA">
      <w:r w:rsidRPr="008D208D">
        <w:t>If the</w:t>
      </w:r>
      <w:r w:rsidR="00D95696" w:rsidRPr="008D208D">
        <w:t xml:space="preserve">se </w:t>
      </w:r>
      <w:r w:rsidRPr="008D208D">
        <w:t>two criteria apply, the schedular payment rules apply and the payer is required to withhold from the contractor at the rate selected by the contractor (as per the amendments outlined in “Allowing contractors to elect their own withholding rate”).</w:t>
      </w:r>
    </w:p>
    <w:p w:rsidR="005E38ED" w:rsidRPr="008D208D" w:rsidRDefault="005E38ED" w:rsidP="005E38ED">
      <w:pPr>
        <w:pStyle w:val="BodyText"/>
      </w:pPr>
      <w:r w:rsidRPr="008D208D">
        <w:t>This can apply to payments made to companies as well as payments such as expense reimbursement</w:t>
      </w:r>
      <w:r w:rsidR="00C92CF1" w:rsidRPr="008D208D">
        <w:t>s</w:t>
      </w:r>
      <w:r w:rsidR="0022628B" w:rsidRPr="008D208D">
        <w:t>,</w:t>
      </w:r>
      <w:r w:rsidR="000F766E" w:rsidRPr="008D208D">
        <w:rPr>
          <w:rStyle w:val="FootnoteReference"/>
        </w:rPr>
        <w:footnoteReference w:id="2"/>
      </w:r>
      <w:r w:rsidR="00C92CF1" w:rsidRPr="008D208D">
        <w:t xml:space="preserve"> </w:t>
      </w:r>
      <w:r w:rsidRPr="008D208D">
        <w:t>which previously have not attracted withholding tax so long as the parties have entered into an agreement for withholding to apply.</w:t>
      </w:r>
    </w:p>
    <w:p w:rsidR="00E6608E" w:rsidRPr="008D208D" w:rsidRDefault="00E6608E" w:rsidP="00483FFA"/>
    <w:p w:rsidR="005E38ED" w:rsidRPr="008D208D" w:rsidRDefault="005E38ED" w:rsidP="00483FFA">
      <w:r w:rsidRPr="008D208D">
        <w:t xml:space="preserve">Determining whether there is a valid agreement is based on standard contract law principles and requires there to be offer and acceptance, intention to create legal relations and objective evidence of agreement (which will usually be satisfied if the requirement that the agreement </w:t>
      </w:r>
      <w:r w:rsidR="00C92CF1" w:rsidRPr="008D208D">
        <w:t xml:space="preserve">must </w:t>
      </w:r>
      <w:r w:rsidR="00910A13" w:rsidRPr="008D208D">
        <w:t>be in a document has been met).</w:t>
      </w:r>
    </w:p>
    <w:p w:rsidR="00E6608E" w:rsidRPr="008D208D" w:rsidRDefault="00E6608E" w:rsidP="00483FFA"/>
    <w:p w:rsidR="005E38ED" w:rsidRPr="008D208D" w:rsidRDefault="005E38ED" w:rsidP="00483FFA">
      <w:r w:rsidRPr="008D208D">
        <w:t xml:space="preserve">A document can be a memorandum, email, letter, or formal contract between the parties. </w:t>
      </w:r>
      <w:r w:rsidR="00B959E9" w:rsidRPr="008D208D">
        <w:t xml:space="preserve"> </w:t>
      </w:r>
      <w:r w:rsidRPr="008D208D">
        <w:t>As long as there is sufficient written evidence that there has been a required agreement between the parties (which can be either electronic or in hardcopy)</w:t>
      </w:r>
      <w:r w:rsidR="00B959E9" w:rsidRPr="008D208D">
        <w:t>,</w:t>
      </w:r>
      <w:r w:rsidRPr="008D208D">
        <w:t xml:space="preserve"> this requirement will be met.</w:t>
      </w:r>
    </w:p>
    <w:p w:rsidR="00E6608E" w:rsidRPr="008D208D" w:rsidRDefault="00E6608E" w:rsidP="00483FFA"/>
    <w:p w:rsidR="005E38ED" w:rsidRPr="008D208D" w:rsidRDefault="005E38ED" w:rsidP="00483FFA">
      <w:r w:rsidRPr="008D208D">
        <w:t xml:space="preserve">Payments covered by voluntary withholding agreements are excluded from the definition of </w:t>
      </w:r>
      <w:r w:rsidR="007E1C72" w:rsidRPr="008D208D">
        <w:t>“</w:t>
      </w:r>
      <w:r w:rsidRPr="008D208D">
        <w:t>employer and employee</w:t>
      </w:r>
      <w:r w:rsidR="007E1C72" w:rsidRPr="008D208D">
        <w:t>”</w:t>
      </w:r>
      <w:r w:rsidRPr="008D208D">
        <w:t xml:space="preserve"> for the purpose of the FBT rules.  This means that fringe benefit tax does not apply when fringe benefits are provided to contractors under voluntary withholding agreements.</w:t>
      </w:r>
    </w:p>
    <w:p w:rsidR="005E38ED" w:rsidRPr="008D208D" w:rsidRDefault="005E38ED" w:rsidP="00483FFA"/>
    <w:p w:rsidR="005E38ED" w:rsidRPr="008D208D" w:rsidRDefault="005E38ED" w:rsidP="006C05F2">
      <w:pPr>
        <w:pStyle w:val="Heading2"/>
      </w:pPr>
      <w:r w:rsidRPr="008D208D">
        <w:t>Application date</w:t>
      </w:r>
    </w:p>
    <w:p w:rsidR="005E38ED" w:rsidRPr="008D208D" w:rsidRDefault="005E38ED" w:rsidP="005E38ED"/>
    <w:p w:rsidR="005E38ED" w:rsidRPr="008D208D" w:rsidRDefault="005E38ED" w:rsidP="00483FFA">
      <w:r w:rsidRPr="008D208D">
        <w:t>The amendment</w:t>
      </w:r>
      <w:r w:rsidR="007E1C72" w:rsidRPr="008D208D">
        <w:t>s</w:t>
      </w:r>
      <w:r w:rsidRPr="008D208D">
        <w:t xml:space="preserve"> </w:t>
      </w:r>
      <w:r w:rsidR="009A56E8" w:rsidRPr="008D208D">
        <w:t xml:space="preserve">will </w:t>
      </w:r>
      <w:r w:rsidRPr="008D208D">
        <w:t>come into force on 1 April 2017.</w:t>
      </w:r>
    </w:p>
    <w:p w:rsidR="006C05F2" w:rsidRPr="008D208D" w:rsidRDefault="006C05F2">
      <w:pPr>
        <w:jc w:val="left"/>
      </w:pPr>
    </w:p>
    <w:p w:rsidR="00CF2117" w:rsidRPr="008D208D" w:rsidRDefault="00CF2117">
      <w:pPr>
        <w:jc w:val="left"/>
      </w:pPr>
    </w:p>
    <w:p w:rsidR="00CF2117" w:rsidRPr="008D208D" w:rsidRDefault="00CF2117" w:rsidP="006C05F2">
      <w:pPr>
        <w:pStyle w:val="Sectionheading"/>
      </w:pPr>
      <w:r w:rsidRPr="008D208D">
        <w:t>Use-of-money interest and transfers of tax</w:t>
      </w:r>
    </w:p>
    <w:p w:rsidR="00CF2117" w:rsidRPr="008D208D" w:rsidRDefault="00CF2117" w:rsidP="00CF2117">
      <w:pPr>
        <w:rPr>
          <w:szCs w:val="24"/>
        </w:rPr>
      </w:pPr>
    </w:p>
    <w:p w:rsidR="00CF2117" w:rsidRPr="008D208D" w:rsidRDefault="00CF2117" w:rsidP="00CF2117">
      <w:r w:rsidRPr="008D208D">
        <w:t xml:space="preserve">Amendments have been made to sections 120C, 173L, 173M and 173S of the Tax Administration Act </w:t>
      </w:r>
      <w:r w:rsidR="000A53EE" w:rsidRPr="008D208D">
        <w:t xml:space="preserve">1994 </w:t>
      </w:r>
      <w:r w:rsidRPr="008D208D">
        <w:t>to prevent taxpayers from transferring tax to an earlier period that exceeds the amount in debt or in dispute in that period, and to clarify when UOMI starts and when a transfer takes effect for GST refunds and GST overpayments.</w:t>
      </w:r>
    </w:p>
    <w:p w:rsidR="00CF2117" w:rsidRPr="008D208D" w:rsidRDefault="00CF2117" w:rsidP="00CF2117"/>
    <w:p w:rsidR="00CF2117" w:rsidRPr="008D208D" w:rsidRDefault="00CF2117" w:rsidP="006C05F2">
      <w:pPr>
        <w:pStyle w:val="Heading2"/>
      </w:pPr>
      <w:r w:rsidRPr="008D208D">
        <w:t>Background</w:t>
      </w:r>
    </w:p>
    <w:p w:rsidR="00CF2117" w:rsidRPr="008D208D" w:rsidRDefault="00CF2117" w:rsidP="00CF2117">
      <w:pPr>
        <w:tabs>
          <w:tab w:val="left" w:pos="567"/>
        </w:tabs>
        <w:rPr>
          <w:szCs w:val="24"/>
        </w:rPr>
      </w:pPr>
    </w:p>
    <w:p w:rsidR="00CF2117" w:rsidRPr="008D208D" w:rsidRDefault="00CF2117" w:rsidP="00CF2117">
      <w:r w:rsidRPr="008D208D">
        <w:t>Taxpayers are able to transfer tax credits to other tax pe</w:t>
      </w:r>
      <w:r w:rsidR="006E08C5" w:rsidRPr="008D208D">
        <w:t>riods, tax types or taxpayers.</w:t>
      </w:r>
    </w:p>
    <w:p w:rsidR="00CF2117" w:rsidRPr="008D208D" w:rsidRDefault="00CF2117" w:rsidP="00CF2117">
      <w:pPr>
        <w:rPr>
          <w:sz w:val="18"/>
          <w:szCs w:val="18"/>
        </w:rPr>
      </w:pPr>
    </w:p>
    <w:p w:rsidR="00CF2117" w:rsidRPr="008D208D" w:rsidRDefault="00CF2117" w:rsidP="00CF2117">
      <w:r w:rsidRPr="008D208D">
        <w:t>Currently, taxpayers are able to transfer amounts that exceed the amounts owing in previous periods.  When this happens they are paid UOMI from an earlier date than if they had not moved the money.</w:t>
      </w:r>
    </w:p>
    <w:p w:rsidR="00CF2117" w:rsidRPr="008D208D" w:rsidRDefault="00CF2117" w:rsidP="00CF2117">
      <w:pPr>
        <w:rPr>
          <w:sz w:val="18"/>
          <w:szCs w:val="18"/>
        </w:rPr>
      </w:pPr>
    </w:p>
    <w:p w:rsidR="00CF2117" w:rsidRPr="008D208D" w:rsidRDefault="00CF2117" w:rsidP="00CF2117">
      <w:r w:rsidRPr="008D208D">
        <w:t>The Tax Administration Act</w:t>
      </w:r>
      <w:r w:rsidR="00E00D04" w:rsidRPr="008D208D">
        <w:t xml:space="preserve"> 1994</w:t>
      </w:r>
      <w:r w:rsidRPr="008D208D">
        <w:t xml:space="preserve"> does not distinguish between a GST refund, which occurs when GST inputs/expenses exceed GST outputs/sales, and a GST overpayment, which occurs when a taxpayer overpays their GST liability.  As both </w:t>
      </w:r>
      <w:r w:rsidR="0007789D" w:rsidRPr="008D208D">
        <w:t>actions</w:t>
      </w:r>
      <w:r w:rsidRPr="008D208D">
        <w:t xml:space="preserve"> result in a credit, it can be argued that a GST overpayment constitutes a refund, and is therefore eligible for the transfer date applicable to GST refunds, which is earlier than the transfer date applicable to overpayments.  The date of transfer affects when UOMI on a previous overpayment stops being charged.  Therefore a taxpayer transferring an overpayment of GST to settle a debt in a previous period will pay less UOMI to Inland Revenue than was intended because the payment will be transferred at the earlier refund date, rather than the date at which they made the overpayment.</w:t>
      </w:r>
    </w:p>
    <w:p w:rsidR="00CF2117" w:rsidRPr="008D208D" w:rsidRDefault="00CF2117" w:rsidP="00CF2117">
      <w:pPr>
        <w:tabs>
          <w:tab w:val="left" w:pos="567"/>
        </w:tabs>
        <w:rPr>
          <w:szCs w:val="24"/>
        </w:rPr>
      </w:pPr>
    </w:p>
    <w:p w:rsidR="00CF2117" w:rsidRPr="008D208D" w:rsidRDefault="00CF2117" w:rsidP="006C05F2">
      <w:pPr>
        <w:pStyle w:val="Heading2"/>
      </w:pPr>
      <w:r w:rsidRPr="008D208D">
        <w:t>Key features</w:t>
      </w:r>
    </w:p>
    <w:p w:rsidR="00CF2117" w:rsidRPr="008D208D" w:rsidRDefault="00CF2117" w:rsidP="00CF2117"/>
    <w:p w:rsidR="00CF2117" w:rsidRPr="008D208D" w:rsidRDefault="00CF2117" w:rsidP="00CF2117">
      <w:r w:rsidRPr="008D208D">
        <w:t>Sections 173L, 173M and 173S</w:t>
      </w:r>
      <w:r w:rsidR="00F3255B" w:rsidRPr="008D208D">
        <w:t xml:space="preserve"> of the Tax Administration Act 1994</w:t>
      </w:r>
      <w:r w:rsidRPr="008D208D">
        <w:t xml:space="preserve"> have been amended to limit transfers of tax within a taxpayer’s accounts, transfers of tax to another taxpayer and transfers of interest on overpaid tax to the total of (for the requested transfer period at the chosen transfer date):</w:t>
      </w:r>
    </w:p>
    <w:p w:rsidR="00CF2117" w:rsidRPr="008D208D" w:rsidRDefault="00CF2117" w:rsidP="00CF2117"/>
    <w:p w:rsidR="00CF2117" w:rsidRPr="008D208D" w:rsidRDefault="00CF2117" w:rsidP="00E6608E">
      <w:pPr>
        <w:pStyle w:val="Bullets"/>
      </w:pPr>
      <w:r w:rsidRPr="008D208D">
        <w:t>the debt owing by the relevant taxpayer</w:t>
      </w:r>
      <w:r w:rsidR="00F3255B" w:rsidRPr="008D208D">
        <w:t>;</w:t>
      </w:r>
    </w:p>
    <w:p w:rsidR="00CF2117" w:rsidRPr="008D208D" w:rsidRDefault="00CF2117" w:rsidP="00E6608E">
      <w:pPr>
        <w:pStyle w:val="Bullets"/>
      </w:pPr>
      <w:r w:rsidRPr="008D208D">
        <w:t>the taxpayer’s deferrable tax</w:t>
      </w:r>
      <w:r w:rsidR="00F3255B" w:rsidRPr="008D208D">
        <w:t>;</w:t>
      </w:r>
    </w:p>
    <w:p w:rsidR="00CF2117" w:rsidRPr="008D208D" w:rsidRDefault="00CF2117" w:rsidP="00E6608E">
      <w:pPr>
        <w:pStyle w:val="Bullets"/>
      </w:pPr>
      <w:r w:rsidRPr="008D208D">
        <w:t>the amount under a notice of proposed adjustment</w:t>
      </w:r>
      <w:r w:rsidR="00F3255B" w:rsidRPr="008D208D">
        <w:t>;</w:t>
      </w:r>
      <w:r w:rsidRPr="008D208D">
        <w:t xml:space="preserve"> and</w:t>
      </w:r>
    </w:p>
    <w:p w:rsidR="00CF2117" w:rsidRPr="008D208D" w:rsidRDefault="00CF2117" w:rsidP="00E6608E">
      <w:pPr>
        <w:pStyle w:val="Bullets"/>
        <w:spacing w:after="0"/>
      </w:pPr>
      <w:proofErr w:type="gramStart"/>
      <w:r w:rsidRPr="008D208D">
        <w:t>any</w:t>
      </w:r>
      <w:proofErr w:type="gramEnd"/>
      <w:r w:rsidRPr="008D208D">
        <w:t xml:space="preserve"> amount agreed with the Commissioner.</w:t>
      </w:r>
    </w:p>
    <w:p w:rsidR="00E6608E" w:rsidRPr="008D208D" w:rsidRDefault="00E6608E" w:rsidP="00CF2117"/>
    <w:p w:rsidR="00CF2117" w:rsidRPr="008D208D" w:rsidRDefault="00CF2117" w:rsidP="00CF2117">
      <w:r w:rsidRPr="008D208D">
        <w:t>Section 173L has also been amended to clarify when a transfer will take effect for GST refunds and GST overpayments.</w:t>
      </w:r>
    </w:p>
    <w:p w:rsidR="00CF2117" w:rsidRPr="008D208D" w:rsidRDefault="00CF2117" w:rsidP="00CF2117"/>
    <w:p w:rsidR="00CF2117" w:rsidRPr="008D208D" w:rsidRDefault="00CF2117" w:rsidP="00CF2117">
      <w:r w:rsidRPr="008D208D">
        <w:t xml:space="preserve">Section 120C has been amended to clarify the date that </w:t>
      </w:r>
      <w:r w:rsidR="00827A90" w:rsidRPr="008D208D">
        <w:t xml:space="preserve">UOMI </w:t>
      </w:r>
      <w:r w:rsidRPr="008D208D">
        <w:t>will start for GST refunds and GST overpayments.</w:t>
      </w:r>
    </w:p>
    <w:p w:rsidR="00CF2117" w:rsidRPr="008D208D" w:rsidRDefault="00CF2117" w:rsidP="00483FFA"/>
    <w:p w:rsidR="00CF2117" w:rsidRPr="008D208D" w:rsidRDefault="00CF2117" w:rsidP="006C05F2">
      <w:pPr>
        <w:pStyle w:val="Heading2"/>
      </w:pPr>
      <w:r w:rsidRPr="008D208D">
        <w:t>Application date</w:t>
      </w:r>
    </w:p>
    <w:p w:rsidR="00CF2117" w:rsidRPr="008D208D" w:rsidRDefault="00CF2117" w:rsidP="00CF2117"/>
    <w:p w:rsidR="00CF2117" w:rsidRPr="008D208D" w:rsidRDefault="00CF2117" w:rsidP="00CF2117">
      <w:r w:rsidRPr="008D208D">
        <w:t xml:space="preserve">The amendments </w:t>
      </w:r>
      <w:r w:rsidR="00012381" w:rsidRPr="008D208D">
        <w:t>came</w:t>
      </w:r>
      <w:r w:rsidRPr="008D208D">
        <w:t xml:space="preserve"> into force on </w:t>
      </w:r>
      <w:r w:rsidR="00012381" w:rsidRPr="008D208D">
        <w:t>5 February 2017.</w:t>
      </w:r>
    </w:p>
    <w:p w:rsidR="006C05F2" w:rsidRPr="008D208D" w:rsidRDefault="006C05F2" w:rsidP="00CF2117">
      <w:pPr>
        <w:jc w:val="left"/>
      </w:pPr>
    </w:p>
    <w:p w:rsidR="006C05F2" w:rsidRPr="008D208D" w:rsidRDefault="006C05F2" w:rsidP="00CF2117">
      <w:pPr>
        <w:jc w:val="left"/>
      </w:pPr>
    </w:p>
    <w:p w:rsidR="00CF2117" w:rsidRPr="008D208D" w:rsidRDefault="00CF2117" w:rsidP="006C05F2">
      <w:pPr>
        <w:pStyle w:val="Sectionheading"/>
        <w:jc w:val="left"/>
      </w:pPr>
      <w:r w:rsidRPr="008D208D">
        <w:t>Amending the rules for new and increased assessments by the Commissioner</w:t>
      </w:r>
    </w:p>
    <w:p w:rsidR="00CF2117" w:rsidRPr="008D208D" w:rsidRDefault="00CF2117" w:rsidP="00CF2117">
      <w:pPr>
        <w:rPr>
          <w:szCs w:val="24"/>
        </w:rPr>
      </w:pPr>
    </w:p>
    <w:p w:rsidR="00CF2117" w:rsidRPr="008D208D" w:rsidRDefault="00CF2117" w:rsidP="00483FFA">
      <w:r w:rsidRPr="008D208D">
        <w:t xml:space="preserve">Section 142A </w:t>
      </w:r>
      <w:r w:rsidR="00EF7BB4" w:rsidRPr="008D208D">
        <w:t xml:space="preserve">of the Tax Administration Act 1994 </w:t>
      </w:r>
      <w:r w:rsidRPr="008D208D">
        <w:t>has been amended to enable the Commissioner to offset any credits or refunds the taxpayer has against the taxpayer’s tax liability arising from a new or increased assessment by the Commissioner.</w:t>
      </w:r>
    </w:p>
    <w:p w:rsidR="00CF2117" w:rsidRPr="008D208D" w:rsidRDefault="00CF2117" w:rsidP="00483FFA"/>
    <w:p w:rsidR="00CF2117" w:rsidRPr="008D208D" w:rsidRDefault="00CF2117" w:rsidP="00483FFA">
      <w:r w:rsidRPr="008D208D">
        <w:t xml:space="preserve">Sections 139B, 139BA and 142B </w:t>
      </w:r>
      <w:r w:rsidR="00CB5175" w:rsidRPr="008D208D">
        <w:t>have been</w:t>
      </w:r>
      <w:r w:rsidRPr="008D208D">
        <w:t xml:space="preserve"> amended to ensure late payment penalties and shortfall penalties continue to be correctly applied following the amendment to section 142A.</w:t>
      </w:r>
    </w:p>
    <w:p w:rsidR="00CB5175" w:rsidRPr="008D208D" w:rsidRDefault="00CB5175" w:rsidP="00CF2117"/>
    <w:p w:rsidR="00CF2117" w:rsidRPr="008D208D" w:rsidRDefault="00CF2117" w:rsidP="006C05F2">
      <w:pPr>
        <w:pStyle w:val="Heading2"/>
      </w:pPr>
      <w:r w:rsidRPr="008D208D">
        <w:t>Background</w:t>
      </w:r>
    </w:p>
    <w:p w:rsidR="00CF2117" w:rsidRPr="008D208D" w:rsidRDefault="00CF2117" w:rsidP="00CF2117">
      <w:pPr>
        <w:tabs>
          <w:tab w:val="left" w:pos="567"/>
        </w:tabs>
        <w:rPr>
          <w:szCs w:val="24"/>
        </w:rPr>
      </w:pPr>
    </w:p>
    <w:p w:rsidR="00CF2117" w:rsidRPr="008D208D" w:rsidRDefault="00CF2117" w:rsidP="00CF2117">
      <w:r w:rsidRPr="008D208D">
        <w:t>Generally, when the Commissioner makes a new assessment, or increases an assessment, a new due date is set for the payment of the resulting tax.  This allows the taxpayer time for payment before late payment penalties, which accrue from the day after the new due date, are imposed.  Use-of-money interest continues to apply from the day after the original due date for payment of the tax.</w:t>
      </w:r>
    </w:p>
    <w:p w:rsidR="00CF2117" w:rsidRPr="008D208D" w:rsidRDefault="00CF2117" w:rsidP="00CF2117"/>
    <w:p w:rsidR="00CF2117" w:rsidRPr="008D208D" w:rsidRDefault="00CF2117" w:rsidP="00CF2117">
      <w:r w:rsidRPr="008D208D">
        <w:t xml:space="preserve">When a new due date is set, any credits or refunds available before the new due date are generally refunded to the taxpayer as they cannot be offset against the upcoming liability as it is not yet </w:t>
      </w:r>
      <w:r w:rsidR="00CB5175" w:rsidRPr="008D208D">
        <w:t>“</w:t>
      </w:r>
      <w:r w:rsidRPr="008D208D">
        <w:t>due</w:t>
      </w:r>
      <w:r w:rsidR="00CB5175" w:rsidRPr="008D208D">
        <w:t>”</w:t>
      </w:r>
      <w:r w:rsidRPr="008D208D">
        <w:t>.  The taxpayer then needs to make a payment to Inland Revenue by the new due date</w:t>
      </w:r>
      <w:r w:rsidR="00CB5175" w:rsidRPr="008D208D">
        <w:t xml:space="preserve">, </w:t>
      </w:r>
      <w:r w:rsidRPr="008D208D">
        <w:t>shortly after receiving the refund.</w:t>
      </w:r>
    </w:p>
    <w:p w:rsidR="00CF2117" w:rsidRPr="008D208D" w:rsidRDefault="00CF2117" w:rsidP="00483FFA"/>
    <w:p w:rsidR="00CF2117" w:rsidRPr="008D208D" w:rsidRDefault="00CB5175" w:rsidP="00483FFA">
      <w:r w:rsidRPr="008D208D">
        <w:t xml:space="preserve">Inland Revenue’s </w:t>
      </w:r>
      <w:r w:rsidR="00CF2117" w:rsidRPr="008D208D">
        <w:t>FIRST</w:t>
      </w:r>
      <w:r w:rsidRPr="008D208D">
        <w:t xml:space="preserve"> computer system</w:t>
      </w:r>
      <w:r w:rsidR="00CF2117" w:rsidRPr="008D208D">
        <w:t xml:space="preserve"> was unable to give additional time before the imposition of late payment penalties without setting a new due date.  </w:t>
      </w:r>
      <w:r w:rsidRPr="008D208D">
        <w:t xml:space="preserve">Its new system, </w:t>
      </w:r>
      <w:r w:rsidR="00CF2117" w:rsidRPr="008D208D">
        <w:t>START</w:t>
      </w:r>
      <w:r w:rsidRPr="008D208D">
        <w:t>,</w:t>
      </w:r>
      <w:r w:rsidR="00CF2117" w:rsidRPr="008D208D">
        <w:t xml:space="preserve"> is able to use the original due date for payment but still allow time for payment before the imposit</w:t>
      </w:r>
      <w:r w:rsidR="006E08C5" w:rsidRPr="008D208D">
        <w:t>ion of late payment penalties.</w:t>
      </w:r>
    </w:p>
    <w:p w:rsidR="00CF2117" w:rsidRPr="008D208D" w:rsidRDefault="00CF2117" w:rsidP="006C05F2">
      <w:pPr>
        <w:pStyle w:val="Heading2"/>
      </w:pPr>
      <w:r w:rsidRPr="008D208D">
        <w:t>Key features</w:t>
      </w:r>
    </w:p>
    <w:p w:rsidR="00CF2117" w:rsidRPr="008D208D" w:rsidRDefault="00CF2117" w:rsidP="00CF2117"/>
    <w:p w:rsidR="00CF2117" w:rsidRPr="008D208D" w:rsidRDefault="00CF2117" w:rsidP="00CF2117">
      <w:r w:rsidRPr="008D208D">
        <w:t xml:space="preserve">Section 142A </w:t>
      </w:r>
      <w:r w:rsidR="00FC5636" w:rsidRPr="008D208D">
        <w:t>of the Tax Administration Act 1994 has been</w:t>
      </w:r>
      <w:r w:rsidRPr="008D208D">
        <w:t xml:space="preserve"> amended so that a new due date for payment is not set following a new or increased assessment by the Commissioner.  This ensures that any credits or refunds the taxpayer may have can be offset against the taxpayer’s liability arising from the new or increased assessment.</w:t>
      </w:r>
    </w:p>
    <w:p w:rsidR="00CF2117" w:rsidRPr="008D208D" w:rsidRDefault="00CF2117" w:rsidP="00CF2117"/>
    <w:p w:rsidR="00CF2117" w:rsidRPr="008D208D" w:rsidRDefault="00CF2117" w:rsidP="00CF2117">
      <w:r w:rsidRPr="008D208D">
        <w:t xml:space="preserve">Sections 139B and 139BA </w:t>
      </w:r>
      <w:r w:rsidR="00FC5636" w:rsidRPr="008D208D">
        <w:t>have been</w:t>
      </w:r>
      <w:r w:rsidRPr="008D208D">
        <w:t xml:space="preserve"> amended to ensure taxpayers are given the same amount of time as they previously were given for payment of the tax before the imposition of late payment penalties.  Section 142B </w:t>
      </w:r>
      <w:r w:rsidR="00FC5636" w:rsidRPr="008D208D">
        <w:t>has</w:t>
      </w:r>
      <w:r w:rsidRPr="008D208D">
        <w:t xml:space="preserve"> also</w:t>
      </w:r>
      <w:r w:rsidR="00FC5636" w:rsidRPr="008D208D">
        <w:t xml:space="preserve"> been</w:t>
      </w:r>
      <w:r w:rsidRPr="008D208D">
        <w:t xml:space="preserve"> amended to ensure taxpayers have the same amount of time for payment of any shortfall penalties.</w:t>
      </w:r>
    </w:p>
    <w:p w:rsidR="00FC5636" w:rsidRPr="008D208D" w:rsidRDefault="00FC5636" w:rsidP="00483FFA"/>
    <w:p w:rsidR="00CF2117" w:rsidRPr="008D208D" w:rsidRDefault="00CF2117" w:rsidP="006C05F2">
      <w:pPr>
        <w:pStyle w:val="Heading2"/>
      </w:pPr>
      <w:r w:rsidRPr="008D208D">
        <w:t>Application date</w:t>
      </w:r>
    </w:p>
    <w:p w:rsidR="00CF2117" w:rsidRPr="008D208D" w:rsidRDefault="00CF2117" w:rsidP="00CF2117"/>
    <w:p w:rsidR="00CF2117" w:rsidRPr="008D208D" w:rsidRDefault="00CF2117" w:rsidP="00CF2117">
      <w:r w:rsidRPr="008D208D">
        <w:t>The amendments c</w:t>
      </w:r>
      <w:r w:rsidR="00FC5636" w:rsidRPr="008D208D">
        <w:t>a</w:t>
      </w:r>
      <w:r w:rsidRPr="008D208D">
        <w:t xml:space="preserve">me into force on </w:t>
      </w:r>
      <w:r w:rsidR="00012381" w:rsidRPr="008D208D">
        <w:t>5 February 2017</w:t>
      </w:r>
    </w:p>
    <w:p w:rsidR="006C05F2" w:rsidRPr="008D208D" w:rsidRDefault="006C05F2">
      <w:pPr>
        <w:jc w:val="left"/>
      </w:pPr>
    </w:p>
    <w:p w:rsidR="00A41042" w:rsidRPr="008D208D" w:rsidRDefault="00A41042">
      <w:pPr>
        <w:jc w:val="left"/>
      </w:pPr>
    </w:p>
    <w:p w:rsidR="00A41042" w:rsidRPr="008D208D" w:rsidRDefault="00A41042" w:rsidP="006C05F2">
      <w:pPr>
        <w:pStyle w:val="Sectionheading"/>
      </w:pPr>
      <w:r w:rsidRPr="008D208D">
        <w:t>Prescribed forms</w:t>
      </w:r>
    </w:p>
    <w:p w:rsidR="00A41042" w:rsidRPr="008D208D" w:rsidRDefault="00A41042" w:rsidP="00A41042">
      <w:pPr>
        <w:rPr>
          <w:szCs w:val="24"/>
        </w:rPr>
      </w:pPr>
    </w:p>
    <w:p w:rsidR="00A41042" w:rsidRPr="008D208D" w:rsidRDefault="00A41042" w:rsidP="00483FFA">
      <w:pPr>
        <w:rPr>
          <w:szCs w:val="24"/>
        </w:rPr>
      </w:pPr>
      <w:r w:rsidRPr="008D208D">
        <w:rPr>
          <w:szCs w:val="24"/>
        </w:rPr>
        <w:t>An amendment to section 35 of the Tax Administration Act 1994 has been made to confirm that information required under a prescribed form can be provided verbally (including by telephone or in person) whe</w:t>
      </w:r>
      <w:r w:rsidR="00F2476B" w:rsidRPr="008D208D">
        <w:rPr>
          <w:szCs w:val="24"/>
        </w:rPr>
        <w:t>n</w:t>
      </w:r>
      <w:r w:rsidRPr="008D208D">
        <w:rPr>
          <w:szCs w:val="24"/>
        </w:rPr>
        <w:t xml:space="preserve"> the Commissioner of Inland Revenue considers that </w:t>
      </w:r>
      <w:r w:rsidR="00F2476B" w:rsidRPr="008D208D">
        <w:rPr>
          <w:szCs w:val="24"/>
        </w:rPr>
        <w:t xml:space="preserve">to be </w:t>
      </w:r>
      <w:r w:rsidRPr="008D208D">
        <w:rPr>
          <w:szCs w:val="24"/>
        </w:rPr>
        <w:t>appropriate.</w:t>
      </w:r>
    </w:p>
    <w:p w:rsidR="00A41042" w:rsidRPr="008D208D" w:rsidRDefault="00A41042" w:rsidP="00A41042"/>
    <w:p w:rsidR="00A41042" w:rsidRPr="008D208D" w:rsidRDefault="00A41042" w:rsidP="006C05F2">
      <w:pPr>
        <w:pStyle w:val="Heading2"/>
      </w:pPr>
      <w:r w:rsidRPr="008D208D">
        <w:t>Background</w:t>
      </w:r>
    </w:p>
    <w:p w:rsidR="00A41042" w:rsidRPr="008D208D" w:rsidRDefault="00A41042" w:rsidP="00A41042">
      <w:pPr>
        <w:tabs>
          <w:tab w:val="left" w:pos="567"/>
        </w:tabs>
        <w:rPr>
          <w:szCs w:val="24"/>
        </w:rPr>
      </w:pPr>
    </w:p>
    <w:p w:rsidR="00A41042" w:rsidRPr="008D208D" w:rsidRDefault="00A41042" w:rsidP="00483FFA">
      <w:pPr>
        <w:rPr>
          <w:szCs w:val="24"/>
        </w:rPr>
      </w:pPr>
      <w:r w:rsidRPr="008D208D">
        <w:rPr>
          <w:szCs w:val="24"/>
        </w:rPr>
        <w:t>Section 35 allows the Commissioner to prescribe forms and electronic formats that have not otherwise been prescribed.  This could be interpreted as requiring the information required under the prescribed form to be provided electronically or in writing, excluding providing the information verbally.</w:t>
      </w:r>
    </w:p>
    <w:p w:rsidR="00A41042" w:rsidRPr="008D208D" w:rsidRDefault="00A41042" w:rsidP="00483FFA">
      <w:pPr>
        <w:rPr>
          <w:szCs w:val="24"/>
        </w:rPr>
      </w:pPr>
    </w:p>
    <w:p w:rsidR="00A41042" w:rsidRPr="008D208D" w:rsidRDefault="00A41042" w:rsidP="00483FFA">
      <w:pPr>
        <w:rPr>
          <w:szCs w:val="24"/>
        </w:rPr>
      </w:pPr>
      <w:r w:rsidRPr="008D208D">
        <w:rPr>
          <w:szCs w:val="24"/>
        </w:rPr>
        <w:t xml:space="preserve">With some prescribed forms it is easier for taxpayers and more efficient for Inland Revenue if the information (or some of the information) required in the form </w:t>
      </w:r>
      <w:r w:rsidR="00084C8E" w:rsidRPr="008D208D">
        <w:rPr>
          <w:szCs w:val="24"/>
        </w:rPr>
        <w:t>can</w:t>
      </w:r>
      <w:r w:rsidRPr="008D208D">
        <w:rPr>
          <w:szCs w:val="24"/>
        </w:rPr>
        <w:t xml:space="preserve"> be provided verbally.  For example, more than 50</w:t>
      </w:r>
      <w:r w:rsidR="00084C8E" w:rsidRPr="008D208D">
        <w:rPr>
          <w:szCs w:val="24"/>
        </w:rPr>
        <w:t xml:space="preserve"> percent</w:t>
      </w:r>
      <w:r w:rsidRPr="008D208D">
        <w:rPr>
          <w:szCs w:val="24"/>
        </w:rPr>
        <w:t xml:space="preserve"> of the paper GST registration forms submitted </w:t>
      </w:r>
      <w:proofErr w:type="gramStart"/>
      <w:r w:rsidRPr="008D208D">
        <w:rPr>
          <w:szCs w:val="24"/>
        </w:rPr>
        <w:t>are</w:t>
      </w:r>
      <w:proofErr w:type="gramEnd"/>
      <w:r w:rsidRPr="008D208D">
        <w:rPr>
          <w:szCs w:val="24"/>
        </w:rPr>
        <w:t xml:space="preserve"> incorrectly completed.  If the taxpayer was not able to verbally correct the</w:t>
      </w:r>
      <w:r w:rsidR="00084C8E" w:rsidRPr="008D208D">
        <w:rPr>
          <w:szCs w:val="24"/>
        </w:rPr>
        <w:t>ir</w:t>
      </w:r>
      <w:r w:rsidRPr="008D208D">
        <w:rPr>
          <w:szCs w:val="24"/>
        </w:rPr>
        <w:t xml:space="preserve"> registration form</w:t>
      </w:r>
      <w:r w:rsidR="00084C8E" w:rsidRPr="008D208D">
        <w:rPr>
          <w:szCs w:val="24"/>
        </w:rPr>
        <w:t>,</w:t>
      </w:r>
      <w:r w:rsidRPr="008D208D">
        <w:rPr>
          <w:szCs w:val="24"/>
        </w:rPr>
        <w:t xml:space="preserve"> they would have to complete the registration form again and send it in a second time. </w:t>
      </w:r>
      <w:r w:rsidR="00084C8E" w:rsidRPr="008D208D">
        <w:rPr>
          <w:szCs w:val="24"/>
        </w:rPr>
        <w:t xml:space="preserve"> </w:t>
      </w:r>
      <w:r w:rsidRPr="008D208D">
        <w:rPr>
          <w:szCs w:val="24"/>
        </w:rPr>
        <w:t>This change confirm</w:t>
      </w:r>
      <w:r w:rsidR="00084C8E" w:rsidRPr="008D208D">
        <w:rPr>
          <w:szCs w:val="24"/>
        </w:rPr>
        <w:t>s</w:t>
      </w:r>
      <w:r w:rsidRPr="008D208D">
        <w:rPr>
          <w:szCs w:val="24"/>
        </w:rPr>
        <w:t xml:space="preserve"> that an Inland Revenue staff member </w:t>
      </w:r>
      <w:r w:rsidR="00084C8E" w:rsidRPr="008D208D">
        <w:rPr>
          <w:szCs w:val="24"/>
        </w:rPr>
        <w:t>can</w:t>
      </w:r>
      <w:r w:rsidRPr="008D208D">
        <w:rPr>
          <w:szCs w:val="24"/>
        </w:rPr>
        <w:t xml:space="preserve"> telephone the taxpayer and correct the errors on the basis of their discussion with them.</w:t>
      </w:r>
    </w:p>
    <w:p w:rsidR="00B76F80" w:rsidRPr="008D208D" w:rsidRDefault="00B76F80" w:rsidP="00A41042">
      <w:pPr>
        <w:tabs>
          <w:tab w:val="left" w:pos="567"/>
        </w:tabs>
        <w:rPr>
          <w:szCs w:val="24"/>
        </w:rPr>
      </w:pPr>
    </w:p>
    <w:p w:rsidR="00A41042" w:rsidRPr="008D208D" w:rsidRDefault="00A41042" w:rsidP="006C05F2">
      <w:pPr>
        <w:pStyle w:val="Heading2"/>
      </w:pPr>
      <w:r w:rsidRPr="008D208D">
        <w:t>Key features</w:t>
      </w:r>
    </w:p>
    <w:p w:rsidR="00A41042" w:rsidRPr="008D208D" w:rsidRDefault="00A41042" w:rsidP="00A41042"/>
    <w:p w:rsidR="00A41042" w:rsidRPr="008D208D" w:rsidRDefault="00A41042" w:rsidP="00A41042">
      <w:r w:rsidRPr="008D208D">
        <w:t xml:space="preserve">Section 35 has been amended to give the Commissioner </w:t>
      </w:r>
      <w:proofErr w:type="gramStart"/>
      <w:r w:rsidRPr="008D208D">
        <w:t>a discretion</w:t>
      </w:r>
      <w:proofErr w:type="gramEnd"/>
      <w:r w:rsidRPr="008D208D">
        <w:t xml:space="preserve"> to allow a person to provide the information in a prescribed form in a manner other than writing if the Commissioner is satisfied that</w:t>
      </w:r>
      <w:r w:rsidR="00134515" w:rsidRPr="008D208D">
        <w:t>,</w:t>
      </w:r>
      <w:r w:rsidRPr="008D208D">
        <w:t xml:space="preserve"> in the circumstances</w:t>
      </w:r>
      <w:r w:rsidR="00134515" w:rsidRPr="008D208D">
        <w:t>,</w:t>
      </w:r>
      <w:r w:rsidRPr="008D208D">
        <w:t xml:space="preserve"> it is appropriate.</w:t>
      </w:r>
    </w:p>
    <w:p w:rsidR="00A41042" w:rsidRPr="008D208D" w:rsidRDefault="00A41042" w:rsidP="00A41042"/>
    <w:p w:rsidR="00A41042" w:rsidRPr="008D208D" w:rsidRDefault="00A41042" w:rsidP="00A41042">
      <w:r w:rsidRPr="008D208D">
        <w:t>This discretion will not be exercised in all circumstances – for example, it is not intended that information under a notice of proposed adjustment could be provided verbally.</w:t>
      </w:r>
    </w:p>
    <w:p w:rsidR="00A41042" w:rsidRPr="008D208D" w:rsidRDefault="00A41042" w:rsidP="00483FFA"/>
    <w:p w:rsidR="00A41042" w:rsidRPr="008D208D" w:rsidRDefault="00A41042" w:rsidP="006C05F2">
      <w:pPr>
        <w:pStyle w:val="Heading2"/>
      </w:pPr>
      <w:r w:rsidRPr="008D208D">
        <w:t>Application date</w:t>
      </w:r>
    </w:p>
    <w:p w:rsidR="00A41042" w:rsidRPr="008D208D" w:rsidRDefault="00A41042" w:rsidP="00A41042"/>
    <w:p w:rsidR="00A41042" w:rsidRPr="008D208D" w:rsidRDefault="00A41042" w:rsidP="00A41042">
      <w:r w:rsidRPr="008D208D">
        <w:t xml:space="preserve">The amendments </w:t>
      </w:r>
      <w:r w:rsidR="00F2476B" w:rsidRPr="008D208D">
        <w:t>came</w:t>
      </w:r>
      <w:r w:rsidRPr="008D208D">
        <w:t xml:space="preserve"> into force on </w:t>
      </w:r>
      <w:r w:rsidR="00012381" w:rsidRPr="008D208D">
        <w:t>5 February 2017.</w:t>
      </w:r>
    </w:p>
    <w:p w:rsidR="00A41042" w:rsidRPr="008D208D" w:rsidRDefault="00A41042" w:rsidP="00A41042"/>
    <w:p w:rsidR="00A41042" w:rsidRPr="008D208D" w:rsidRDefault="00A41042" w:rsidP="006C05F2">
      <w:pPr>
        <w:pStyle w:val="Sectionheading"/>
      </w:pPr>
      <w:r w:rsidRPr="008D208D">
        <w:t>Administration of the late payment penalty rules</w:t>
      </w:r>
    </w:p>
    <w:p w:rsidR="00A41042" w:rsidRPr="008D208D" w:rsidRDefault="00A41042" w:rsidP="00A41042">
      <w:pPr>
        <w:rPr>
          <w:szCs w:val="24"/>
        </w:rPr>
      </w:pPr>
    </w:p>
    <w:p w:rsidR="00A41042" w:rsidRPr="008D208D" w:rsidRDefault="00A41042" w:rsidP="00483FFA">
      <w:pPr>
        <w:rPr>
          <w:szCs w:val="24"/>
        </w:rPr>
      </w:pPr>
      <w:r w:rsidRPr="008D208D">
        <w:rPr>
          <w:szCs w:val="24"/>
        </w:rPr>
        <w:t xml:space="preserve">An amendment has been made to section 139B of the Tax Administration Act to enable Inland Revenue to continue to administer the late payment penalty grace period during the period in which tax types are operated out of two Inland Revenue software </w:t>
      </w:r>
      <w:r w:rsidR="002A0243" w:rsidRPr="008D208D">
        <w:rPr>
          <w:szCs w:val="24"/>
        </w:rPr>
        <w:t>systems</w:t>
      </w:r>
      <w:r w:rsidRPr="008D208D">
        <w:rPr>
          <w:szCs w:val="24"/>
        </w:rPr>
        <w:t xml:space="preserve"> – FIRST (</w:t>
      </w:r>
      <w:r w:rsidR="002A0243" w:rsidRPr="008D208D">
        <w:rPr>
          <w:szCs w:val="24"/>
        </w:rPr>
        <w:t>the older</w:t>
      </w:r>
      <w:r w:rsidRPr="008D208D">
        <w:rPr>
          <w:szCs w:val="24"/>
        </w:rPr>
        <w:t xml:space="preserve"> system) and START (</w:t>
      </w:r>
      <w:r w:rsidR="002A0243" w:rsidRPr="008D208D">
        <w:rPr>
          <w:szCs w:val="24"/>
        </w:rPr>
        <w:t>the new</w:t>
      </w:r>
      <w:r w:rsidRPr="008D208D">
        <w:rPr>
          <w:szCs w:val="24"/>
        </w:rPr>
        <w:t xml:space="preserve"> system).  An amendment to</w:t>
      </w:r>
      <w:r w:rsidR="002A0243" w:rsidRPr="008D208D">
        <w:rPr>
          <w:szCs w:val="24"/>
        </w:rPr>
        <w:t xml:space="preserve"> section</w:t>
      </w:r>
      <w:r w:rsidRPr="008D208D">
        <w:rPr>
          <w:szCs w:val="24"/>
        </w:rPr>
        <w:t xml:space="preserve"> 138E has been made to ensure certain rights of challenge do not apply to section 139B.</w:t>
      </w:r>
    </w:p>
    <w:p w:rsidR="00134515" w:rsidRPr="008D208D" w:rsidRDefault="00134515" w:rsidP="00A41042"/>
    <w:p w:rsidR="00A41042" w:rsidRPr="008D208D" w:rsidRDefault="00A41042" w:rsidP="006C05F2">
      <w:pPr>
        <w:pStyle w:val="Heading2"/>
      </w:pPr>
      <w:r w:rsidRPr="008D208D">
        <w:t>Background</w:t>
      </w:r>
    </w:p>
    <w:p w:rsidR="00A41042" w:rsidRPr="008D208D" w:rsidRDefault="00A41042" w:rsidP="00A41042">
      <w:pPr>
        <w:tabs>
          <w:tab w:val="left" w:pos="567"/>
        </w:tabs>
        <w:rPr>
          <w:szCs w:val="24"/>
        </w:rPr>
      </w:pPr>
    </w:p>
    <w:p w:rsidR="00A41042" w:rsidRPr="008D208D" w:rsidRDefault="00A41042" w:rsidP="00A41042">
      <w:r w:rsidRPr="008D208D">
        <w:t>A late payment penalty is imposed if a taxpayer does not pay on time.  If a taxpayer has paid on time all relevant taxes due in the two years before the default in question, the Commissioner must issue a notice to the taxpayer specifying a further date for payment of the unpaid tax (a “grace period”), before late payment penalties can be imposed.</w:t>
      </w:r>
    </w:p>
    <w:p w:rsidR="00A41042" w:rsidRPr="008D208D" w:rsidRDefault="00A41042" w:rsidP="00A41042"/>
    <w:p w:rsidR="00A41042" w:rsidRPr="008D208D" w:rsidRDefault="00A41042" w:rsidP="00A41042">
      <w:r w:rsidRPr="008D208D">
        <w:t xml:space="preserve">Tax types will transition from Inland Revenue’s </w:t>
      </w:r>
      <w:r w:rsidR="001E0DAC" w:rsidRPr="008D208D">
        <w:t xml:space="preserve">older </w:t>
      </w:r>
      <w:r w:rsidRPr="008D208D">
        <w:t>FIRST system to the START system in stages.  This raises an issue in relation to the grace period, as information relating to the taxpayer’s compliance hist</w:t>
      </w:r>
      <w:r w:rsidR="006E08C5" w:rsidRPr="008D208D">
        <w:t>ory will reside in two systems.</w:t>
      </w:r>
    </w:p>
    <w:p w:rsidR="001E0DAC" w:rsidRPr="008D208D" w:rsidRDefault="001E0DAC" w:rsidP="00A41042">
      <w:pPr>
        <w:tabs>
          <w:tab w:val="left" w:pos="567"/>
        </w:tabs>
        <w:rPr>
          <w:szCs w:val="24"/>
        </w:rPr>
      </w:pPr>
    </w:p>
    <w:p w:rsidR="00A41042" w:rsidRPr="008D208D" w:rsidRDefault="00A41042" w:rsidP="006C05F2">
      <w:pPr>
        <w:pStyle w:val="Heading2"/>
      </w:pPr>
      <w:r w:rsidRPr="008D208D">
        <w:t>Key features</w:t>
      </w:r>
    </w:p>
    <w:p w:rsidR="00A41042" w:rsidRPr="008D208D" w:rsidRDefault="00A41042" w:rsidP="00A41042"/>
    <w:p w:rsidR="00A41042" w:rsidRPr="008D208D" w:rsidRDefault="00A41042" w:rsidP="00483FFA">
      <w:r w:rsidRPr="008D208D">
        <w:t xml:space="preserve">Section 139B has been amended to introduce </w:t>
      </w:r>
      <w:proofErr w:type="gramStart"/>
      <w:r w:rsidRPr="008D208D">
        <w:t>a discretion</w:t>
      </w:r>
      <w:proofErr w:type="gramEnd"/>
      <w:r w:rsidRPr="008D208D">
        <w:t xml:space="preserve"> into the provisions setting out whether a taxpayer is entitled to a grace period from late payment penalties.  The discretion will enable the Commissioner to ignore defaults in payment if:</w:t>
      </w:r>
    </w:p>
    <w:p w:rsidR="00A41042" w:rsidRPr="008D208D" w:rsidRDefault="00A41042" w:rsidP="00483FFA"/>
    <w:p w:rsidR="00A41042" w:rsidRPr="008D208D" w:rsidRDefault="00A41042" w:rsidP="00E6608E">
      <w:pPr>
        <w:pStyle w:val="Bullets"/>
      </w:pPr>
      <w:r w:rsidRPr="008D208D">
        <w:t>doing so is necessary due to tax types being administered from different systems as a result of the coex</w:t>
      </w:r>
      <w:r w:rsidR="00483FFA" w:rsidRPr="008D208D">
        <w:t>istence of FIRST and START; and</w:t>
      </w:r>
    </w:p>
    <w:p w:rsidR="00A41042" w:rsidRPr="008D208D" w:rsidRDefault="00A41042" w:rsidP="00E6608E">
      <w:pPr>
        <w:pStyle w:val="Bullets"/>
        <w:spacing w:after="0"/>
      </w:pPr>
      <w:proofErr w:type="gramStart"/>
      <w:r w:rsidRPr="008D208D">
        <w:t>doing</w:t>
      </w:r>
      <w:proofErr w:type="gramEnd"/>
      <w:r w:rsidRPr="008D208D">
        <w:t xml:space="preserve"> so would not result in the imposition of a penalty that is greater than would otherwise have been imposed (had she not ignored these defaults in payment).</w:t>
      </w:r>
    </w:p>
    <w:p w:rsidR="00A41042" w:rsidRPr="008D208D" w:rsidRDefault="00A41042" w:rsidP="00A41042"/>
    <w:p w:rsidR="008C5C77" w:rsidRPr="008D208D" w:rsidRDefault="00A41042" w:rsidP="00A41042">
      <w:r w:rsidRPr="008D208D">
        <w:t xml:space="preserve">In practice, this discretion will be applied to </w:t>
      </w:r>
      <w:r w:rsidR="008C5C77" w:rsidRPr="008D208D">
        <w:t>allow</w:t>
      </w:r>
      <w:r w:rsidRPr="008D208D">
        <w:t xml:space="preserve"> the Commissioner to look</w:t>
      </w:r>
      <w:r w:rsidR="008C5C77" w:rsidRPr="008D208D">
        <w:t xml:space="preserve"> only</w:t>
      </w:r>
      <w:r w:rsidRPr="008D208D">
        <w:t xml:space="preserve"> at the tax information about a taxpayer’s compliance history held in the system from which the tax type in default is being administered.</w:t>
      </w:r>
      <w:r w:rsidR="008C5C77" w:rsidRPr="008D208D">
        <w:t xml:space="preserve"> </w:t>
      </w:r>
      <w:r w:rsidRPr="008D208D">
        <w:t xml:space="preserve"> For example, if the taxpayer </w:t>
      </w:r>
      <w:proofErr w:type="gramStart"/>
      <w:r w:rsidRPr="008D208D">
        <w:t>defaults on a GST payment and GST is</w:t>
      </w:r>
      <w:proofErr w:type="gramEnd"/>
      <w:r w:rsidRPr="008D208D">
        <w:t xml:space="preserve"> being administered in START, the Commissioner would only look at the taxpayer’s compliance history in START to determine the taxpayer’s e</w:t>
      </w:r>
      <w:r w:rsidR="006E08C5" w:rsidRPr="008D208D">
        <w:t>ligibility for a grace period.</w:t>
      </w:r>
    </w:p>
    <w:p w:rsidR="008C5C77" w:rsidRPr="008D208D" w:rsidRDefault="008C5C77" w:rsidP="00A41042"/>
    <w:p w:rsidR="00A41042" w:rsidRPr="008D208D" w:rsidRDefault="00A41042" w:rsidP="00A41042">
      <w:r w:rsidRPr="008D208D">
        <w:t xml:space="preserve">A “compliance history indicator” providing a snapshot of the taxpayer’s compliance history for all relevant tax types for the last two years will be brought across as tax </w:t>
      </w:r>
      <w:proofErr w:type="gramStart"/>
      <w:r w:rsidRPr="008D208D">
        <w:t>types</w:t>
      </w:r>
      <w:proofErr w:type="gramEnd"/>
      <w:r w:rsidRPr="008D208D">
        <w:t xml:space="preserve"> transition to START.  This will enable START to consider the taxpayer’s compliance history for tax types not administered in START to some extent, but it will become less relevant over time given a grace period is based on the taxpayer’s compliance history two years prior to default.  Once all tax types have transitioned to START the </w:t>
      </w:r>
      <w:r w:rsidR="008C5C77" w:rsidRPr="008D208D">
        <w:t xml:space="preserve">Commissioner </w:t>
      </w:r>
      <w:r w:rsidRPr="008D208D">
        <w:t xml:space="preserve">will once again only need to look at one system (START instead of FIRST) to determine the taxpayer’s compliance history for all relevant tax types. </w:t>
      </w:r>
      <w:r w:rsidR="008C5C77" w:rsidRPr="008D208D">
        <w:t xml:space="preserve"> </w:t>
      </w:r>
      <w:r w:rsidRPr="008D208D">
        <w:t>The compliance history indicator will no longer be necessary.</w:t>
      </w:r>
    </w:p>
    <w:p w:rsidR="00A41042" w:rsidRPr="008D208D" w:rsidRDefault="00A41042" w:rsidP="00A41042"/>
    <w:p w:rsidR="00A41042" w:rsidRPr="008D208D" w:rsidRDefault="00A41042" w:rsidP="00483FFA">
      <w:r w:rsidRPr="008D208D">
        <w:t>Section 138E has also been amended to ensure that certain rights of challenge do not apply to section 139B.</w:t>
      </w:r>
    </w:p>
    <w:p w:rsidR="00A41042" w:rsidRPr="008D208D" w:rsidRDefault="00A41042" w:rsidP="00483FFA"/>
    <w:p w:rsidR="00A41042" w:rsidRPr="008D208D" w:rsidRDefault="00A41042" w:rsidP="006C05F2">
      <w:pPr>
        <w:pStyle w:val="Heading2"/>
      </w:pPr>
      <w:r w:rsidRPr="008D208D">
        <w:t>Application date</w:t>
      </w:r>
    </w:p>
    <w:p w:rsidR="00A41042" w:rsidRPr="008D208D" w:rsidRDefault="00A41042" w:rsidP="00A41042"/>
    <w:p w:rsidR="00A41042" w:rsidRPr="008D208D" w:rsidRDefault="00A41042" w:rsidP="00A41042">
      <w:r w:rsidRPr="008D208D">
        <w:t>The amendments c</w:t>
      </w:r>
      <w:r w:rsidR="008C5C77" w:rsidRPr="008D208D">
        <w:t>a</w:t>
      </w:r>
      <w:r w:rsidRPr="008D208D">
        <w:t xml:space="preserve">me into force on </w:t>
      </w:r>
      <w:r w:rsidR="00012381" w:rsidRPr="008D208D">
        <w:t>5 February 2017.</w:t>
      </w:r>
    </w:p>
    <w:p w:rsidR="00A41042" w:rsidRPr="008D208D" w:rsidRDefault="00321900" w:rsidP="006C05F2">
      <w:pPr>
        <w:pStyle w:val="Sectionheading"/>
      </w:pPr>
      <w:r w:rsidRPr="008D208D">
        <w:t>Cancellation of interest</w:t>
      </w:r>
    </w:p>
    <w:p w:rsidR="00A41042" w:rsidRPr="008D208D" w:rsidRDefault="00A41042" w:rsidP="00A41042"/>
    <w:p w:rsidR="002A7EA2" w:rsidRPr="008D208D" w:rsidRDefault="002A7EA2" w:rsidP="00A41042">
      <w:r w:rsidRPr="008D208D">
        <w:t xml:space="preserve">Amendments have been made to </w:t>
      </w:r>
      <w:r w:rsidRPr="008D208D">
        <w:rPr>
          <w:szCs w:val="24"/>
        </w:rPr>
        <w:t>modify the cancellation of interest rules, in certain circumstances</w:t>
      </w:r>
      <w:r w:rsidR="0095678A" w:rsidRPr="008D208D">
        <w:rPr>
          <w:szCs w:val="24"/>
        </w:rPr>
        <w:t>, to help Inland Revenue</w:t>
      </w:r>
      <w:r w:rsidR="00764200" w:rsidRPr="008D208D">
        <w:rPr>
          <w:szCs w:val="24"/>
        </w:rPr>
        <w:t xml:space="preserve"> to</w:t>
      </w:r>
      <w:r w:rsidR="0095678A" w:rsidRPr="008D208D">
        <w:rPr>
          <w:szCs w:val="24"/>
        </w:rPr>
        <w:t xml:space="preserve"> simplify the process of issuing </w:t>
      </w:r>
      <w:r w:rsidR="00764200" w:rsidRPr="008D208D">
        <w:rPr>
          <w:szCs w:val="24"/>
        </w:rPr>
        <w:t xml:space="preserve">cancelled interest </w:t>
      </w:r>
      <w:r w:rsidR="0095678A" w:rsidRPr="008D208D">
        <w:rPr>
          <w:szCs w:val="24"/>
        </w:rPr>
        <w:t>statement</w:t>
      </w:r>
      <w:r w:rsidR="00764200" w:rsidRPr="008D208D">
        <w:rPr>
          <w:szCs w:val="24"/>
        </w:rPr>
        <w:t>s</w:t>
      </w:r>
      <w:r w:rsidR="0095678A" w:rsidRPr="008D208D">
        <w:rPr>
          <w:szCs w:val="24"/>
        </w:rPr>
        <w:t xml:space="preserve"> to taxpayers who </w:t>
      </w:r>
      <w:r w:rsidR="00764200" w:rsidRPr="008D208D">
        <w:rPr>
          <w:szCs w:val="24"/>
        </w:rPr>
        <w:t xml:space="preserve">mistakenly </w:t>
      </w:r>
      <w:r w:rsidR="0095678A" w:rsidRPr="008D208D">
        <w:rPr>
          <w:szCs w:val="24"/>
        </w:rPr>
        <w:t>overpay.</w:t>
      </w:r>
    </w:p>
    <w:p w:rsidR="002A7EA2" w:rsidRPr="008D208D" w:rsidRDefault="002A7EA2" w:rsidP="00A41042"/>
    <w:p w:rsidR="00A41042" w:rsidRPr="008D208D" w:rsidRDefault="00A41042" w:rsidP="006C05F2">
      <w:pPr>
        <w:pStyle w:val="Heading2"/>
      </w:pPr>
      <w:r w:rsidRPr="008D208D">
        <w:t>Background</w:t>
      </w:r>
    </w:p>
    <w:p w:rsidR="00A41042" w:rsidRPr="008D208D" w:rsidRDefault="00A41042" w:rsidP="00A41042">
      <w:pPr>
        <w:tabs>
          <w:tab w:val="left" w:pos="567"/>
        </w:tabs>
        <w:rPr>
          <w:szCs w:val="24"/>
        </w:rPr>
      </w:pPr>
    </w:p>
    <w:p w:rsidR="00321900" w:rsidRPr="008D208D" w:rsidRDefault="00321900" w:rsidP="00321900">
      <w:r w:rsidRPr="008D208D">
        <w:t>Section 183C of the Tax Administration Act 1994 contains rules around the cancellation of interest where multiple statements are issued by Inland Revenue.  Specifically</w:t>
      </w:r>
      <w:r w:rsidR="0095678A" w:rsidRPr="008D208D">
        <w:t>,</w:t>
      </w:r>
      <w:r w:rsidRPr="008D208D">
        <w:t xml:space="preserve"> subsection </w:t>
      </w:r>
      <w:proofErr w:type="gramStart"/>
      <w:r w:rsidRPr="008D208D">
        <w:t>183C(</w:t>
      </w:r>
      <w:proofErr w:type="gramEnd"/>
      <w:r w:rsidRPr="008D208D">
        <w:t>4) provides that whe</w:t>
      </w:r>
      <w:r w:rsidR="0095678A" w:rsidRPr="008D208D">
        <w:t>n</w:t>
      </w:r>
      <w:r w:rsidRPr="008D208D">
        <w:t xml:space="preserve"> the Commissioner issues a statement of account to a taxpayer after the original due date for payment to which the statement of account relates</w:t>
      </w:r>
      <w:r w:rsidR="00764200" w:rsidRPr="008D208D">
        <w:t>,</w:t>
      </w:r>
      <w:r w:rsidRPr="008D208D">
        <w:t xml:space="preserve"> and the taxpayer pays the tax and any interest payable for the period before the date of the statement within 30 days of the statement</w:t>
      </w:r>
      <w:r w:rsidR="00764200" w:rsidRPr="008D208D">
        <w:t xml:space="preserve"> being issued, </w:t>
      </w:r>
      <w:r w:rsidRPr="008D208D">
        <w:t>any interest charged between the date of the statement and the date of payment will be cancelled.</w:t>
      </w:r>
    </w:p>
    <w:p w:rsidR="00321900" w:rsidRPr="008D208D" w:rsidRDefault="00321900" w:rsidP="00321900"/>
    <w:p w:rsidR="00321900" w:rsidRPr="008D208D" w:rsidRDefault="00321900" w:rsidP="00321900">
      <w:r w:rsidRPr="008D208D">
        <w:t>This creates some confusion for taxpayers in that if another statement is issued subsequently that statement will have the interest accrued to the date of the second statement.  Taxpayers will often pay what is shown on the statement notwithstanding the portion of interest charged between the dates of the two statements is ultimately cancelled.  This leaves small credit balances in accounts.</w:t>
      </w:r>
    </w:p>
    <w:p w:rsidR="00321900" w:rsidRPr="008D208D" w:rsidRDefault="00321900" w:rsidP="00321900"/>
    <w:p w:rsidR="00321900" w:rsidRPr="008D208D" w:rsidRDefault="00321900" w:rsidP="00321900">
      <w:r w:rsidRPr="008D208D">
        <w:t xml:space="preserve">Behind the scenes the FIRST computer system has a complex set of programming and rules to track these individual statements and calculate the amount of interest that is ultimately cancelled.  In an effort to simplify the process around the cancellation of </w:t>
      </w:r>
      <w:r w:rsidR="00764200" w:rsidRPr="008D208D">
        <w:t>this</w:t>
      </w:r>
      <w:r w:rsidRPr="008D208D">
        <w:t xml:space="preserve"> interest in the future</w:t>
      </w:r>
      <w:r w:rsidR="00764200" w:rsidRPr="008D208D">
        <w:t>,</w:t>
      </w:r>
      <w:r w:rsidRPr="008D208D">
        <w:t xml:space="preserve"> Inland Revenue is investigating better ways to deal with these statement issues which retain the general rule yet simplif</w:t>
      </w:r>
      <w:r w:rsidR="00764200" w:rsidRPr="008D208D">
        <w:t>y</w:t>
      </w:r>
      <w:r w:rsidRPr="008D208D">
        <w:t xml:space="preserve"> the process </w:t>
      </w:r>
      <w:r w:rsidR="00764200" w:rsidRPr="008D208D">
        <w:t>of</w:t>
      </w:r>
      <w:r w:rsidRPr="008D208D">
        <w:t xml:space="preserve"> providing taxpayers with “what you see is what you pay” statements to avoid the current overpayment issues.</w:t>
      </w:r>
    </w:p>
    <w:p w:rsidR="00321900" w:rsidRPr="008D208D" w:rsidRDefault="00321900" w:rsidP="00321900"/>
    <w:p w:rsidR="00321900" w:rsidRPr="008D208D" w:rsidRDefault="00321900" w:rsidP="00321900">
      <w:r w:rsidRPr="008D208D">
        <w:t>Because the introduction of START is being undertaken in phases it is necessary to provide a temporary solution until all taxes are migrated to START and the statement process can be standardised across all tax types.  Goods and Services Tax (GST) is the first tax to be migrated to START and this change will only affect statements issued and interest charged in relation to GST.</w:t>
      </w:r>
    </w:p>
    <w:p w:rsidR="00A41042" w:rsidRPr="008D208D" w:rsidRDefault="00A41042" w:rsidP="00A41042">
      <w:pPr>
        <w:tabs>
          <w:tab w:val="left" w:pos="567"/>
        </w:tabs>
        <w:rPr>
          <w:szCs w:val="24"/>
        </w:rPr>
      </w:pPr>
    </w:p>
    <w:p w:rsidR="00A41042" w:rsidRPr="008D208D" w:rsidRDefault="00A41042" w:rsidP="006C05F2">
      <w:pPr>
        <w:pStyle w:val="Heading2"/>
      </w:pPr>
      <w:r w:rsidRPr="008D208D">
        <w:t>Key features</w:t>
      </w:r>
    </w:p>
    <w:p w:rsidR="00A41042" w:rsidRPr="008D208D" w:rsidRDefault="00A41042" w:rsidP="00A41042"/>
    <w:p w:rsidR="00321900" w:rsidRPr="008D208D" w:rsidRDefault="00764200" w:rsidP="00321900">
      <w:r w:rsidRPr="008D208D">
        <w:t>N</w:t>
      </w:r>
      <w:r w:rsidR="00321900" w:rsidRPr="008D208D">
        <w:t xml:space="preserve">ew subsection (4C) </w:t>
      </w:r>
      <w:r w:rsidRPr="008D208D">
        <w:t>has been</w:t>
      </w:r>
      <w:r w:rsidR="00321900" w:rsidRPr="008D208D">
        <w:t xml:space="preserve"> introduced to section 183C of the Tax Administration Act 1994.  This provides for a modified cancellation of interest rule where:</w:t>
      </w:r>
    </w:p>
    <w:p w:rsidR="00321900" w:rsidRPr="008D208D" w:rsidRDefault="00321900" w:rsidP="00321900"/>
    <w:p w:rsidR="00321900" w:rsidRPr="008D208D" w:rsidRDefault="004977BE" w:rsidP="00E6608E">
      <w:pPr>
        <w:pStyle w:val="ListParagraph"/>
        <w:numPr>
          <w:ilvl w:val="0"/>
          <w:numId w:val="21"/>
        </w:numPr>
        <w:ind w:left="567" w:hanging="567"/>
      </w:pPr>
      <w:r w:rsidRPr="008D208D">
        <w:t>t</w:t>
      </w:r>
      <w:r w:rsidR="00321900" w:rsidRPr="008D208D">
        <w:t xml:space="preserve">he Commissioner issues another statement of account (the second statement) to a taxpayer within 30 days of the issue of </w:t>
      </w:r>
      <w:r w:rsidRPr="008D208D">
        <w:t xml:space="preserve">a </w:t>
      </w:r>
      <w:r w:rsidR="00321900" w:rsidRPr="008D208D">
        <w:t>statement of account to a taxpayer after the original due date for payment of tax to which the statement relates (the first statement);</w:t>
      </w:r>
    </w:p>
    <w:p w:rsidR="00321900" w:rsidRPr="008D208D" w:rsidRDefault="004977BE" w:rsidP="00E6608E">
      <w:pPr>
        <w:pStyle w:val="ListParagraph"/>
        <w:numPr>
          <w:ilvl w:val="0"/>
          <w:numId w:val="21"/>
        </w:numPr>
        <w:ind w:left="567" w:hanging="567"/>
      </w:pPr>
      <w:r w:rsidRPr="008D208D">
        <w:t>t</w:t>
      </w:r>
      <w:r w:rsidR="00321900" w:rsidRPr="008D208D">
        <w:t>he first and second statements are for GST and penalties related to the GST;</w:t>
      </w:r>
    </w:p>
    <w:p w:rsidR="00321900" w:rsidRPr="008D208D" w:rsidRDefault="004977BE" w:rsidP="00E6608E">
      <w:pPr>
        <w:pStyle w:val="ListParagraph"/>
        <w:numPr>
          <w:ilvl w:val="0"/>
          <w:numId w:val="21"/>
        </w:numPr>
        <w:ind w:left="567" w:hanging="567"/>
      </w:pPr>
      <w:r w:rsidRPr="008D208D">
        <w:t>t</w:t>
      </w:r>
      <w:r w:rsidR="00321900" w:rsidRPr="008D208D">
        <w:t>he liability for the underlying GST is the same in the first and second statement; and</w:t>
      </w:r>
    </w:p>
    <w:p w:rsidR="00321900" w:rsidRPr="008D208D" w:rsidRDefault="004977BE" w:rsidP="00E6608E">
      <w:pPr>
        <w:pStyle w:val="ListParagraph"/>
        <w:numPr>
          <w:ilvl w:val="0"/>
          <w:numId w:val="21"/>
        </w:numPr>
        <w:ind w:left="567" w:hanging="567"/>
      </w:pPr>
      <w:proofErr w:type="gramStart"/>
      <w:r w:rsidRPr="008D208D">
        <w:t>t</w:t>
      </w:r>
      <w:r w:rsidR="00321900" w:rsidRPr="008D208D">
        <w:t>he</w:t>
      </w:r>
      <w:proofErr w:type="gramEnd"/>
      <w:r w:rsidR="00321900" w:rsidRPr="008D208D">
        <w:t xml:space="preserve"> GST and related penalties in the second statement, together with any interest payable in relation to the period before the date the first statement is paid to the Commissioner within 30 days after the date on which the second statement is issued</w:t>
      </w:r>
      <w:r w:rsidRPr="008D208D">
        <w:t>,</w:t>
      </w:r>
      <w:r w:rsidR="00321900" w:rsidRPr="008D208D">
        <w:t xml:space="preserve"> or the due date of tax</w:t>
      </w:r>
      <w:r w:rsidRPr="008D208D">
        <w:t>,</w:t>
      </w:r>
      <w:r w:rsidR="00321900" w:rsidRPr="008D208D">
        <w:t xml:space="preserve"> whichever comes first.</w:t>
      </w:r>
    </w:p>
    <w:p w:rsidR="00321900" w:rsidRPr="008D208D" w:rsidRDefault="00321900" w:rsidP="00321900"/>
    <w:p w:rsidR="00321900" w:rsidRPr="008D208D" w:rsidRDefault="00321900" w:rsidP="00321900">
      <w:r w:rsidRPr="008D208D">
        <w:t xml:space="preserve">The Commissioner </w:t>
      </w:r>
      <w:r w:rsidR="004977BE" w:rsidRPr="008D208D">
        <w:t>will</w:t>
      </w:r>
      <w:r w:rsidRPr="008D208D">
        <w:t xml:space="preserve"> cancel the taxpayer</w:t>
      </w:r>
      <w:r w:rsidR="004977BE" w:rsidRPr="008D208D">
        <w:t>’</w:t>
      </w:r>
      <w:r w:rsidRPr="008D208D">
        <w:t>s liability to pay interest in relation to the GST and penalties charged between the dates of issue of the first statement and the date payment is made.</w:t>
      </w:r>
    </w:p>
    <w:p w:rsidR="00321900" w:rsidRPr="008D208D" w:rsidRDefault="00321900" w:rsidP="00321900"/>
    <w:p w:rsidR="00321900" w:rsidRPr="008D208D" w:rsidRDefault="00321900" w:rsidP="00321900">
      <w:r w:rsidRPr="008D208D">
        <w:t>This essentially mirrors the current rule</w:t>
      </w:r>
      <w:r w:rsidR="004977BE" w:rsidRPr="008D208D">
        <w:t>,</w:t>
      </w:r>
      <w:r w:rsidRPr="008D208D">
        <w:t xml:space="preserve"> with the exception that if the underlying liability to GST increases between the two statements</w:t>
      </w:r>
      <w:r w:rsidR="004977BE" w:rsidRPr="008D208D">
        <w:t>,</w:t>
      </w:r>
      <w:r w:rsidRPr="008D208D">
        <w:t xml:space="preserve"> the 30</w:t>
      </w:r>
      <w:r w:rsidR="004977BE" w:rsidRPr="008D208D">
        <w:t>-</w:t>
      </w:r>
      <w:r w:rsidRPr="008D208D">
        <w:t>day period will reset.</w:t>
      </w:r>
    </w:p>
    <w:p w:rsidR="00A41042" w:rsidRPr="008D208D" w:rsidRDefault="00A41042" w:rsidP="00483FFA"/>
    <w:p w:rsidR="00A41042" w:rsidRPr="008D208D" w:rsidRDefault="00A41042" w:rsidP="006C05F2">
      <w:pPr>
        <w:pStyle w:val="Heading2"/>
      </w:pPr>
      <w:r w:rsidRPr="008D208D">
        <w:t>Application date</w:t>
      </w:r>
    </w:p>
    <w:p w:rsidR="00A41042" w:rsidRPr="008D208D" w:rsidRDefault="00A41042" w:rsidP="00A41042"/>
    <w:p w:rsidR="005E38ED" w:rsidRPr="008D208D" w:rsidRDefault="00321900" w:rsidP="005E38ED">
      <w:r w:rsidRPr="008D208D">
        <w:t xml:space="preserve">The new cancelation of interest rule </w:t>
      </w:r>
      <w:r w:rsidR="004977BE" w:rsidRPr="008D208D">
        <w:t>comes into force on</w:t>
      </w:r>
      <w:r w:rsidRPr="008D208D">
        <w:t xml:space="preserve"> 7 April 2017.</w:t>
      </w:r>
    </w:p>
    <w:p w:rsidR="00321900" w:rsidRPr="008D208D" w:rsidRDefault="00321900" w:rsidP="003164BB"/>
    <w:p w:rsidR="00321900" w:rsidRPr="008D208D" w:rsidRDefault="00321900" w:rsidP="006C05F2">
      <w:pPr>
        <w:pStyle w:val="Heading2"/>
      </w:pPr>
      <w:r w:rsidRPr="008D208D">
        <w:t>Detailed analysis</w:t>
      </w:r>
    </w:p>
    <w:p w:rsidR="00321900" w:rsidRPr="008D208D" w:rsidRDefault="00321900" w:rsidP="00321900"/>
    <w:p w:rsidR="00321900" w:rsidRPr="008D208D" w:rsidRDefault="00321900" w:rsidP="00321900">
      <w:r w:rsidRPr="008D208D">
        <w:t>The current cancellation of interest rules seek to allow taxpayers time to make payment on a statement before accruing additional interest in respect of a tax debt where the statement is issued a</w:t>
      </w:r>
      <w:r w:rsidR="006E08C5" w:rsidRPr="008D208D">
        <w:t>fter the due date for payment.</w:t>
      </w:r>
    </w:p>
    <w:p w:rsidR="00321900" w:rsidRPr="008D208D" w:rsidRDefault="00321900" w:rsidP="00321900"/>
    <w:p w:rsidR="00321900" w:rsidRPr="008D208D" w:rsidRDefault="00321900" w:rsidP="00321900">
      <w:r w:rsidRPr="008D208D">
        <w:t>The rules around the cancellation of interest are reasonably complex in that they require various statements to be tracked and a calculation of the interest to be cancelled undertaken with reference to various statements.</w:t>
      </w:r>
    </w:p>
    <w:p w:rsidR="00321900" w:rsidRPr="008D208D" w:rsidRDefault="00321900" w:rsidP="00321900"/>
    <w:p w:rsidR="00321900" w:rsidRPr="008D208D" w:rsidRDefault="00321900" w:rsidP="00321900">
      <w:r w:rsidRPr="008D208D">
        <w:t xml:space="preserve">These rules can also be confusing to taxpayers and it may mean that what </w:t>
      </w:r>
      <w:r w:rsidR="00E11F7B" w:rsidRPr="008D208D">
        <w:t xml:space="preserve">the statement says </w:t>
      </w:r>
      <w:r w:rsidRPr="008D208D">
        <w:t>they owe is not actually the amount they need to pay so long as they make payment within the 30</w:t>
      </w:r>
      <w:r w:rsidR="00E11F7B" w:rsidRPr="008D208D">
        <w:t>-</w:t>
      </w:r>
      <w:r w:rsidRPr="008D208D">
        <w:t xml:space="preserve">day limit.  This can result in small overpayments where a taxpayer pays </w:t>
      </w:r>
      <w:r w:rsidR="00E11F7B" w:rsidRPr="008D208D">
        <w:t xml:space="preserve">the amount </w:t>
      </w:r>
      <w:r w:rsidRPr="008D208D">
        <w:t>on a statement only to have a portion of the interest to date o</w:t>
      </w:r>
      <w:r w:rsidR="00E11F7B" w:rsidRPr="008D208D">
        <w:t>n</w:t>
      </w:r>
      <w:r w:rsidRPr="008D208D">
        <w:t xml:space="preserve"> the statement cancelled.</w:t>
      </w:r>
    </w:p>
    <w:p w:rsidR="00321900" w:rsidRPr="008D208D" w:rsidRDefault="00321900" w:rsidP="00321900"/>
    <w:p w:rsidR="00E6608E" w:rsidRPr="008D208D" w:rsidRDefault="00E6608E" w:rsidP="00E6608E">
      <w:pPr>
        <w:rPr>
          <w:b/>
          <w:sz w:val="20"/>
          <w:szCs w:val="20"/>
        </w:rPr>
      </w:pPr>
    </w:p>
    <w:p w:rsidR="00E6608E" w:rsidRPr="008D208D" w:rsidRDefault="00E6608E" w:rsidP="00E6608E">
      <w:pPr>
        <w:pBdr>
          <w:top w:val="single" w:sz="4" w:space="10" w:color="auto"/>
          <w:left w:val="single" w:sz="4" w:space="10" w:color="auto"/>
          <w:bottom w:val="single" w:sz="4" w:space="10" w:color="auto"/>
          <w:right w:val="single" w:sz="4" w:space="10" w:color="auto"/>
        </w:pBdr>
        <w:spacing w:after="100"/>
        <w:rPr>
          <w:b/>
          <w:sz w:val="20"/>
          <w:szCs w:val="20"/>
        </w:rPr>
      </w:pPr>
      <w:r w:rsidRPr="008D208D">
        <w:rPr>
          <w:b/>
          <w:sz w:val="20"/>
          <w:szCs w:val="20"/>
        </w:rPr>
        <w:t>Example 30</w:t>
      </w:r>
    </w:p>
    <w:p w:rsidR="00E6608E" w:rsidRPr="008D208D" w:rsidRDefault="00E6608E" w:rsidP="00E6608E">
      <w:pPr>
        <w:pBdr>
          <w:top w:val="single" w:sz="4" w:space="10" w:color="auto"/>
          <w:left w:val="single" w:sz="4" w:space="10" w:color="auto"/>
          <w:bottom w:val="single" w:sz="4" w:space="10" w:color="auto"/>
          <w:right w:val="single" w:sz="4" w:space="10" w:color="auto"/>
        </w:pBdr>
        <w:spacing w:after="100"/>
        <w:rPr>
          <w:sz w:val="20"/>
          <w:szCs w:val="20"/>
        </w:rPr>
      </w:pPr>
      <w:r w:rsidRPr="008D208D">
        <w:rPr>
          <w:sz w:val="20"/>
          <w:szCs w:val="20"/>
        </w:rPr>
        <w:t>CK Enterprises Lt</w:t>
      </w:r>
      <w:r w:rsidR="00217584" w:rsidRPr="008D208D">
        <w:rPr>
          <w:sz w:val="20"/>
          <w:szCs w:val="20"/>
        </w:rPr>
        <w:t>d</w:t>
      </w:r>
      <w:r w:rsidRPr="008D208D">
        <w:rPr>
          <w:sz w:val="20"/>
          <w:szCs w:val="20"/>
        </w:rPr>
        <w:t xml:space="preserve"> (CK) is a company specialising in photography for social media sites.  The owner of CK, Ang, receives the following statements for CK:</w:t>
      </w:r>
    </w:p>
    <w:p w:rsidR="00E6608E" w:rsidRPr="008D208D" w:rsidRDefault="00E6608E" w:rsidP="00A24082">
      <w:pPr>
        <w:pBdr>
          <w:top w:val="single" w:sz="4" w:space="10" w:color="auto"/>
          <w:left w:val="single" w:sz="4" w:space="10" w:color="auto"/>
          <w:bottom w:val="single" w:sz="4" w:space="10" w:color="auto"/>
          <w:right w:val="single" w:sz="4" w:space="10" w:color="auto"/>
        </w:pBdr>
        <w:tabs>
          <w:tab w:val="left" w:pos="709"/>
          <w:tab w:val="left" w:pos="851"/>
        </w:tabs>
        <w:rPr>
          <w:sz w:val="20"/>
          <w:szCs w:val="20"/>
        </w:rPr>
      </w:pPr>
      <w:r w:rsidRPr="008D208D">
        <w:rPr>
          <w:sz w:val="20"/>
          <w:szCs w:val="20"/>
        </w:rPr>
        <w:t>Day 1</w:t>
      </w:r>
      <w:r w:rsidR="00953D70" w:rsidRPr="008D208D">
        <w:rPr>
          <w:sz w:val="20"/>
          <w:szCs w:val="20"/>
        </w:rPr>
        <w:tab/>
      </w:r>
      <w:r w:rsidRPr="008D208D">
        <w:rPr>
          <w:sz w:val="20"/>
          <w:szCs w:val="20"/>
        </w:rPr>
        <w:t>-</w:t>
      </w:r>
      <w:r w:rsidR="00953D70" w:rsidRPr="008D208D">
        <w:rPr>
          <w:sz w:val="20"/>
          <w:szCs w:val="20"/>
        </w:rPr>
        <w:tab/>
      </w:r>
      <w:r w:rsidRPr="008D208D">
        <w:rPr>
          <w:sz w:val="20"/>
          <w:szCs w:val="20"/>
        </w:rPr>
        <w:t>Statement issued showing amount payable of $250 (tax only)</w:t>
      </w:r>
    </w:p>
    <w:p w:rsidR="00E6608E" w:rsidRPr="008D208D" w:rsidRDefault="00E6608E" w:rsidP="00A24082">
      <w:pPr>
        <w:pBdr>
          <w:top w:val="single" w:sz="4" w:space="10" w:color="auto"/>
          <w:left w:val="single" w:sz="4" w:space="10" w:color="auto"/>
          <w:bottom w:val="single" w:sz="4" w:space="10" w:color="auto"/>
          <w:right w:val="single" w:sz="4" w:space="10" w:color="auto"/>
        </w:pBdr>
        <w:tabs>
          <w:tab w:val="left" w:pos="709"/>
          <w:tab w:val="left" w:pos="851"/>
        </w:tabs>
        <w:rPr>
          <w:sz w:val="20"/>
          <w:szCs w:val="20"/>
        </w:rPr>
      </w:pPr>
      <w:r w:rsidRPr="008D208D">
        <w:rPr>
          <w:sz w:val="20"/>
          <w:szCs w:val="20"/>
        </w:rPr>
        <w:t>Day 5</w:t>
      </w:r>
      <w:r w:rsidR="00953D70" w:rsidRPr="008D208D">
        <w:rPr>
          <w:sz w:val="20"/>
          <w:szCs w:val="20"/>
        </w:rPr>
        <w:tab/>
      </w:r>
      <w:r w:rsidRPr="008D208D">
        <w:rPr>
          <w:sz w:val="20"/>
          <w:szCs w:val="20"/>
        </w:rPr>
        <w:t>-</w:t>
      </w:r>
      <w:r w:rsidR="00953D70" w:rsidRPr="008D208D">
        <w:rPr>
          <w:sz w:val="20"/>
          <w:szCs w:val="20"/>
        </w:rPr>
        <w:tab/>
      </w:r>
      <w:r w:rsidRPr="008D208D">
        <w:rPr>
          <w:sz w:val="20"/>
          <w:szCs w:val="20"/>
        </w:rPr>
        <w:t>Statement issued showing amount payable of $251 (tax plus $1 interest</w:t>
      </w:r>
      <w:r w:rsidRPr="008D208D">
        <w:rPr>
          <w:rStyle w:val="FootnoteReference"/>
          <w:sz w:val="20"/>
          <w:szCs w:val="20"/>
        </w:rPr>
        <w:footnoteReference w:id="3"/>
      </w:r>
      <w:r w:rsidRPr="008D208D">
        <w:rPr>
          <w:sz w:val="20"/>
          <w:szCs w:val="20"/>
        </w:rPr>
        <w:t>)</w:t>
      </w:r>
    </w:p>
    <w:p w:rsidR="00E6608E" w:rsidRPr="008D208D" w:rsidRDefault="00E6608E" w:rsidP="00A24082">
      <w:pPr>
        <w:pBdr>
          <w:top w:val="single" w:sz="4" w:space="10" w:color="auto"/>
          <w:left w:val="single" w:sz="4" w:space="10" w:color="auto"/>
          <w:bottom w:val="single" w:sz="4" w:space="10" w:color="auto"/>
          <w:right w:val="single" w:sz="4" w:space="10" w:color="auto"/>
        </w:pBdr>
        <w:tabs>
          <w:tab w:val="left" w:pos="709"/>
          <w:tab w:val="left" w:pos="851"/>
        </w:tabs>
        <w:rPr>
          <w:sz w:val="20"/>
          <w:szCs w:val="20"/>
        </w:rPr>
      </w:pPr>
      <w:r w:rsidRPr="008D208D">
        <w:rPr>
          <w:sz w:val="20"/>
          <w:szCs w:val="20"/>
        </w:rPr>
        <w:t>Day 10</w:t>
      </w:r>
      <w:r w:rsidR="00953D70" w:rsidRPr="008D208D">
        <w:rPr>
          <w:sz w:val="20"/>
          <w:szCs w:val="20"/>
        </w:rPr>
        <w:tab/>
      </w:r>
      <w:r w:rsidRPr="008D208D">
        <w:rPr>
          <w:sz w:val="20"/>
          <w:szCs w:val="20"/>
        </w:rPr>
        <w:t>-</w:t>
      </w:r>
      <w:r w:rsidR="00953D70" w:rsidRPr="008D208D">
        <w:rPr>
          <w:sz w:val="20"/>
          <w:szCs w:val="20"/>
        </w:rPr>
        <w:tab/>
      </w:r>
      <w:r w:rsidRPr="008D208D">
        <w:rPr>
          <w:sz w:val="20"/>
          <w:szCs w:val="20"/>
        </w:rPr>
        <w:t>Statement issued showing amount payable of $252 (tax plus $2 interest)</w:t>
      </w:r>
    </w:p>
    <w:p w:rsidR="00E6608E" w:rsidRPr="008D208D" w:rsidRDefault="00E6608E" w:rsidP="00A24082">
      <w:pPr>
        <w:pBdr>
          <w:top w:val="single" w:sz="4" w:space="10" w:color="auto"/>
          <w:left w:val="single" w:sz="4" w:space="10" w:color="auto"/>
          <w:bottom w:val="single" w:sz="4" w:space="10" w:color="auto"/>
          <w:right w:val="single" w:sz="4" w:space="10" w:color="auto"/>
        </w:pBdr>
        <w:tabs>
          <w:tab w:val="left" w:pos="709"/>
          <w:tab w:val="left" w:pos="851"/>
        </w:tabs>
        <w:rPr>
          <w:sz w:val="20"/>
          <w:szCs w:val="20"/>
        </w:rPr>
      </w:pPr>
      <w:r w:rsidRPr="008D208D">
        <w:rPr>
          <w:sz w:val="20"/>
          <w:szCs w:val="20"/>
        </w:rPr>
        <w:t>Day 15</w:t>
      </w:r>
      <w:r w:rsidR="00953D70" w:rsidRPr="008D208D">
        <w:rPr>
          <w:sz w:val="20"/>
          <w:szCs w:val="20"/>
        </w:rPr>
        <w:tab/>
      </w:r>
      <w:r w:rsidRPr="008D208D">
        <w:rPr>
          <w:sz w:val="20"/>
          <w:szCs w:val="20"/>
        </w:rPr>
        <w:t>-</w:t>
      </w:r>
      <w:r w:rsidR="00953D70" w:rsidRPr="008D208D">
        <w:rPr>
          <w:sz w:val="20"/>
          <w:szCs w:val="20"/>
        </w:rPr>
        <w:tab/>
      </w:r>
      <w:r w:rsidRPr="008D208D">
        <w:rPr>
          <w:sz w:val="20"/>
          <w:szCs w:val="20"/>
        </w:rPr>
        <w:t>Statement issued showing amount payable of $253 (tax plus $3 interest)</w:t>
      </w:r>
    </w:p>
    <w:p w:rsidR="00E6608E" w:rsidRPr="008D208D" w:rsidRDefault="00E6608E" w:rsidP="00A24082">
      <w:pPr>
        <w:pBdr>
          <w:top w:val="single" w:sz="4" w:space="10" w:color="auto"/>
          <w:left w:val="single" w:sz="4" w:space="10" w:color="auto"/>
          <w:bottom w:val="single" w:sz="4" w:space="10" w:color="auto"/>
          <w:right w:val="single" w:sz="4" w:space="10" w:color="auto"/>
        </w:pBdr>
        <w:tabs>
          <w:tab w:val="left" w:pos="709"/>
          <w:tab w:val="left" w:pos="851"/>
        </w:tabs>
        <w:spacing w:after="100"/>
        <w:rPr>
          <w:sz w:val="20"/>
          <w:szCs w:val="20"/>
        </w:rPr>
      </w:pPr>
      <w:r w:rsidRPr="008D208D">
        <w:rPr>
          <w:sz w:val="20"/>
          <w:szCs w:val="20"/>
        </w:rPr>
        <w:t>Day 20</w:t>
      </w:r>
      <w:r w:rsidR="00953D70" w:rsidRPr="008D208D">
        <w:rPr>
          <w:sz w:val="20"/>
          <w:szCs w:val="20"/>
        </w:rPr>
        <w:tab/>
      </w:r>
      <w:r w:rsidRPr="008D208D">
        <w:rPr>
          <w:sz w:val="20"/>
          <w:szCs w:val="20"/>
        </w:rPr>
        <w:t>-</w:t>
      </w:r>
      <w:r w:rsidR="00953D70" w:rsidRPr="008D208D">
        <w:rPr>
          <w:sz w:val="20"/>
          <w:szCs w:val="20"/>
        </w:rPr>
        <w:tab/>
      </w:r>
      <w:r w:rsidRPr="008D208D">
        <w:rPr>
          <w:sz w:val="20"/>
          <w:szCs w:val="20"/>
        </w:rPr>
        <w:t>Payment received for $253</w:t>
      </w:r>
    </w:p>
    <w:p w:rsidR="00E6608E" w:rsidRPr="008D208D" w:rsidRDefault="00E6608E" w:rsidP="00E6608E">
      <w:pPr>
        <w:pBdr>
          <w:top w:val="single" w:sz="4" w:space="10" w:color="auto"/>
          <w:left w:val="single" w:sz="4" w:space="10" w:color="auto"/>
          <w:bottom w:val="single" w:sz="4" w:space="10" w:color="auto"/>
          <w:right w:val="single" w:sz="4" w:space="10" w:color="auto"/>
        </w:pBdr>
        <w:spacing w:after="100"/>
        <w:rPr>
          <w:sz w:val="20"/>
          <w:szCs w:val="20"/>
        </w:rPr>
      </w:pPr>
      <w:r w:rsidRPr="008D208D">
        <w:rPr>
          <w:sz w:val="20"/>
          <w:szCs w:val="20"/>
        </w:rPr>
        <w:t>Under the previous rules because the payment was received within 30 days of the date of the first statement, any additional interest charged between the date of the first statement and the payment date will be cancelled.</w:t>
      </w:r>
    </w:p>
    <w:p w:rsidR="00E6608E" w:rsidRPr="008D208D" w:rsidRDefault="00E6608E" w:rsidP="00E6608E">
      <w:pPr>
        <w:pBdr>
          <w:top w:val="single" w:sz="4" w:space="10" w:color="auto"/>
          <w:left w:val="single" w:sz="4" w:space="10" w:color="auto"/>
          <w:bottom w:val="single" w:sz="4" w:space="10" w:color="auto"/>
          <w:right w:val="single" w:sz="4" w:space="10" w:color="auto"/>
        </w:pBdr>
        <w:spacing w:after="100"/>
        <w:rPr>
          <w:rFonts w:ascii="Verdana" w:hAnsi="Verdana"/>
          <w:sz w:val="20"/>
          <w:szCs w:val="20"/>
        </w:rPr>
      </w:pPr>
      <w:r w:rsidRPr="008D208D">
        <w:rPr>
          <w:sz w:val="20"/>
          <w:szCs w:val="20"/>
        </w:rPr>
        <w:t>This means the payment of $253 will bring the account into a credit situation of $3, based on the statement issued on Day 1.  The increased amount due to UOMI showing as payable on the statements issued on days 5</w:t>
      </w:r>
      <w:r w:rsidR="006E08C5" w:rsidRPr="008D208D">
        <w:rPr>
          <w:sz w:val="20"/>
          <w:szCs w:val="20"/>
        </w:rPr>
        <w:t>, 10 and 15 would be cancelled.</w:t>
      </w:r>
    </w:p>
    <w:p w:rsidR="00E6608E" w:rsidRPr="008D208D" w:rsidRDefault="00E6608E" w:rsidP="00E6608E">
      <w:pPr>
        <w:pBdr>
          <w:top w:val="single" w:sz="4" w:space="10" w:color="auto"/>
          <w:left w:val="single" w:sz="4" w:space="10" w:color="auto"/>
          <w:bottom w:val="single" w:sz="4" w:space="10" w:color="auto"/>
          <w:right w:val="single" w:sz="4" w:space="10" w:color="auto"/>
        </w:pBdr>
      </w:pPr>
      <w:r w:rsidRPr="008D208D">
        <w:rPr>
          <w:sz w:val="20"/>
          <w:szCs w:val="20"/>
        </w:rPr>
        <w:t>This will mean that Ang will have to contact Inland Revenue to deal with the small balance and have this transferred or refunded incurring compliance costs.</w:t>
      </w:r>
    </w:p>
    <w:p w:rsidR="00E6608E" w:rsidRPr="008D208D" w:rsidRDefault="00E6608E" w:rsidP="00321900"/>
    <w:p w:rsidR="00E6608E" w:rsidRPr="008D208D" w:rsidRDefault="00E6608E" w:rsidP="00321900"/>
    <w:p w:rsidR="001B08C2" w:rsidRPr="008D208D" w:rsidRDefault="001B08C2">
      <w:pPr>
        <w:jc w:val="left"/>
      </w:pPr>
      <w:r w:rsidRPr="008D208D">
        <w:br w:type="page"/>
      </w:r>
    </w:p>
    <w:p w:rsidR="00321900" w:rsidRPr="008D208D" w:rsidRDefault="00321900" w:rsidP="00321900">
      <w:r w:rsidRPr="008D208D">
        <w:t xml:space="preserve">The way </w:t>
      </w:r>
      <w:r w:rsidR="00B66EB6" w:rsidRPr="008D208D">
        <w:t xml:space="preserve">Inland Revenue’s older </w:t>
      </w:r>
      <w:r w:rsidRPr="008D208D">
        <w:t xml:space="preserve">FIRST </w:t>
      </w:r>
      <w:r w:rsidR="00B66EB6" w:rsidRPr="008D208D">
        <w:t xml:space="preserve">system </w:t>
      </w:r>
      <w:r w:rsidRPr="008D208D">
        <w:t>deals with the cancel</w:t>
      </w:r>
      <w:r w:rsidR="00B66EB6" w:rsidRPr="008D208D">
        <w:t>l</w:t>
      </w:r>
      <w:r w:rsidRPr="008D208D">
        <w:t xml:space="preserve">ation of interest uses complex programming and tables to track the individual statements to calculate the amount of interest to cancel.  Inland Revenue is investigating ways to simplify the statement process within </w:t>
      </w:r>
      <w:r w:rsidR="0076213E" w:rsidRPr="008D208D">
        <w:t>its</w:t>
      </w:r>
      <w:r w:rsidRPr="008D208D">
        <w:t xml:space="preserve"> new START system.  This can only be fully achieved once all taxes are migrated to START.</w:t>
      </w:r>
    </w:p>
    <w:p w:rsidR="00321900" w:rsidRPr="008D208D" w:rsidRDefault="00321900" w:rsidP="00321900"/>
    <w:p w:rsidR="00321900" w:rsidRPr="008D208D" w:rsidRDefault="00321900" w:rsidP="00321900">
      <w:r w:rsidRPr="008D208D">
        <w:t>Because START is being implemented in a phased approach it is necessary to put in a temporary solution for taxes which are migrated to START until a more complete solution can be implemented when all taxes are migrated.</w:t>
      </w:r>
    </w:p>
    <w:p w:rsidR="00321900" w:rsidRPr="008D208D" w:rsidRDefault="00321900" w:rsidP="00321900"/>
    <w:p w:rsidR="00321900" w:rsidRPr="008D208D" w:rsidRDefault="00321900" w:rsidP="00321900">
      <w:r w:rsidRPr="008D208D">
        <w:t>This modification to the cancellation of interest rule will only apply to GST</w:t>
      </w:r>
      <w:r w:rsidR="00887238" w:rsidRPr="008D208D">
        <w:t>,</w:t>
      </w:r>
      <w:r w:rsidRPr="008D208D">
        <w:t xml:space="preserve"> which </w:t>
      </w:r>
      <w:r w:rsidR="00217584" w:rsidRPr="008D208D">
        <w:t>was</w:t>
      </w:r>
      <w:r w:rsidRPr="008D208D">
        <w:t xml:space="preserve"> migrated to START on </w:t>
      </w:r>
      <w:r w:rsidR="00217584" w:rsidRPr="008D208D">
        <w:t>5</w:t>
      </w:r>
      <w:r w:rsidRPr="008D208D">
        <w:t xml:space="preserve"> February 2017.  The modified rule essentially mirrors the </w:t>
      </w:r>
      <w:r w:rsidR="0076213E" w:rsidRPr="008D208D">
        <w:t>previous</w:t>
      </w:r>
      <w:r w:rsidRPr="008D208D">
        <w:t xml:space="preserve"> rule</w:t>
      </w:r>
      <w:r w:rsidR="0076213E" w:rsidRPr="008D208D">
        <w:t>,</w:t>
      </w:r>
      <w:r w:rsidRPr="008D208D">
        <w:t xml:space="preserve"> with the exception that when the underlying tax liability of the taxpayer increases</w:t>
      </w:r>
      <w:r w:rsidR="0076213E" w:rsidRPr="008D208D">
        <w:t>,</w:t>
      </w:r>
      <w:r w:rsidRPr="008D208D">
        <w:t xml:space="preserve"> the 30</w:t>
      </w:r>
      <w:r w:rsidR="0076213E" w:rsidRPr="008D208D">
        <w:t>-</w:t>
      </w:r>
      <w:r w:rsidR="006E08C5" w:rsidRPr="008D208D">
        <w:t>day interest period will reset.</w:t>
      </w:r>
    </w:p>
    <w:p w:rsidR="00321900" w:rsidRPr="008D208D" w:rsidRDefault="00321900" w:rsidP="00321900"/>
    <w:p w:rsidR="00321900" w:rsidRPr="008D208D" w:rsidRDefault="00321900" w:rsidP="00321900">
      <w:r w:rsidRPr="008D208D">
        <w:t>This will simplify the cancel</w:t>
      </w:r>
      <w:r w:rsidR="0076213E" w:rsidRPr="008D208D">
        <w:t>l</w:t>
      </w:r>
      <w:r w:rsidRPr="008D208D">
        <w:t xml:space="preserve">ation of interest rules for taxpayers </w:t>
      </w:r>
      <w:r w:rsidR="00887238" w:rsidRPr="008D208D">
        <w:t xml:space="preserve">so </w:t>
      </w:r>
      <w:r w:rsidRPr="008D208D">
        <w:t>that taxpayers will see statements that show them the actual amount to pay and the system will not have to track multiple statement</w:t>
      </w:r>
      <w:r w:rsidR="006E08C5" w:rsidRPr="008D208D">
        <w:t>s through a complex mechanism.</w:t>
      </w:r>
    </w:p>
    <w:p w:rsidR="00321900" w:rsidRPr="008D208D" w:rsidRDefault="00321900" w:rsidP="00321900"/>
    <w:p w:rsidR="00B7792A" w:rsidRPr="008D208D" w:rsidRDefault="00B7792A" w:rsidP="00B7792A">
      <w:pPr>
        <w:rPr>
          <w:b/>
          <w:sz w:val="20"/>
          <w:szCs w:val="20"/>
        </w:rPr>
      </w:pPr>
    </w:p>
    <w:p w:rsidR="00B7792A" w:rsidRPr="008D208D" w:rsidRDefault="00B7792A" w:rsidP="00D34084">
      <w:pPr>
        <w:pBdr>
          <w:top w:val="single" w:sz="4" w:space="10" w:color="auto"/>
          <w:left w:val="single" w:sz="4" w:space="10" w:color="auto"/>
          <w:bottom w:val="single" w:sz="4" w:space="10" w:color="auto"/>
          <w:right w:val="single" w:sz="4" w:space="10" w:color="auto"/>
        </w:pBdr>
        <w:spacing w:after="100"/>
        <w:rPr>
          <w:b/>
          <w:sz w:val="20"/>
          <w:szCs w:val="20"/>
        </w:rPr>
      </w:pPr>
      <w:r w:rsidRPr="008D208D">
        <w:rPr>
          <w:b/>
          <w:sz w:val="20"/>
          <w:szCs w:val="20"/>
        </w:rPr>
        <w:t>Example 31</w:t>
      </w:r>
    </w:p>
    <w:p w:rsidR="00B7792A" w:rsidRPr="008D208D" w:rsidRDefault="00B7792A" w:rsidP="00D34084">
      <w:pPr>
        <w:pBdr>
          <w:top w:val="single" w:sz="4" w:space="10" w:color="auto"/>
          <w:left w:val="single" w:sz="4" w:space="10" w:color="auto"/>
          <w:bottom w:val="single" w:sz="4" w:space="10" w:color="auto"/>
          <w:right w:val="single" w:sz="4" w:space="10" w:color="auto"/>
        </w:pBdr>
        <w:spacing w:after="100"/>
        <w:rPr>
          <w:sz w:val="20"/>
          <w:szCs w:val="20"/>
        </w:rPr>
      </w:pPr>
      <w:r w:rsidRPr="008D208D">
        <w:rPr>
          <w:sz w:val="20"/>
          <w:szCs w:val="20"/>
        </w:rPr>
        <w:t>Archer Ltd provides professional coaching services to rugby clubs.  On 1 August 2017 its owner, Garry, receives a statement from Inland Revenue after the original due date which says that Archer Limited has a June GST liability of $250 plus a $12.50 initial late payment penalty and $3 UOMI.  The statement also indicates that interest will continue to accrue at 50 cents per day until the amount is paid unless the total is paid by 31 August 2017.</w:t>
      </w:r>
    </w:p>
    <w:p w:rsidR="00B7792A" w:rsidRPr="008D208D" w:rsidRDefault="00B7792A" w:rsidP="00D34084">
      <w:pPr>
        <w:pBdr>
          <w:top w:val="single" w:sz="4" w:space="10" w:color="auto"/>
          <w:left w:val="single" w:sz="4" w:space="10" w:color="auto"/>
          <w:bottom w:val="single" w:sz="4" w:space="10" w:color="auto"/>
          <w:right w:val="single" w:sz="4" w:space="10" w:color="auto"/>
        </w:pBdr>
        <w:rPr>
          <w:sz w:val="20"/>
          <w:szCs w:val="20"/>
        </w:rPr>
      </w:pPr>
      <w:r w:rsidRPr="008D208D">
        <w:rPr>
          <w:sz w:val="20"/>
          <w:szCs w:val="20"/>
        </w:rPr>
        <w:t>Subsequent to the issue of that statement Archer Ltd receives another statement of account for that same period on 15 August 2017 showing the same amounts which it pays in full on 20 August.  The accrued interest between the 1 August statement and the payment on 20 August is cancelled and Archer’s Jun</w:t>
      </w:r>
      <w:r w:rsidR="006E08C5" w:rsidRPr="008D208D">
        <w:rPr>
          <w:sz w:val="20"/>
          <w:szCs w:val="20"/>
        </w:rPr>
        <w:t>e GST period has a nil balance.</w:t>
      </w:r>
    </w:p>
    <w:p w:rsidR="00B7792A" w:rsidRPr="008D208D" w:rsidRDefault="00B7792A" w:rsidP="00321900"/>
    <w:bookmarkEnd w:id="4"/>
    <w:p w:rsidR="00D34084" w:rsidRPr="008D208D" w:rsidRDefault="00D34084" w:rsidP="00D34084">
      <w:pPr>
        <w:rPr>
          <w:sz w:val="20"/>
          <w:szCs w:val="20"/>
        </w:rPr>
      </w:pPr>
    </w:p>
    <w:p w:rsidR="00D34084" w:rsidRPr="008D208D" w:rsidRDefault="00D34084" w:rsidP="00D34084">
      <w:pPr>
        <w:pBdr>
          <w:top w:val="single" w:sz="4" w:space="10" w:color="auto"/>
          <w:left w:val="single" w:sz="4" w:space="10" w:color="auto"/>
          <w:bottom w:val="single" w:sz="4" w:space="10" w:color="auto"/>
          <w:right w:val="single" w:sz="4" w:space="10" w:color="auto"/>
        </w:pBdr>
        <w:spacing w:after="100"/>
        <w:rPr>
          <w:b/>
          <w:sz w:val="20"/>
          <w:szCs w:val="20"/>
        </w:rPr>
      </w:pPr>
      <w:r w:rsidRPr="008D208D">
        <w:rPr>
          <w:b/>
          <w:sz w:val="20"/>
          <w:szCs w:val="20"/>
        </w:rPr>
        <w:t>Example 32</w:t>
      </w:r>
    </w:p>
    <w:p w:rsidR="00D34084" w:rsidRPr="008D208D" w:rsidRDefault="00D34084" w:rsidP="00D34084">
      <w:pPr>
        <w:pBdr>
          <w:top w:val="single" w:sz="4" w:space="10" w:color="auto"/>
          <w:left w:val="single" w:sz="4" w:space="10" w:color="auto"/>
          <w:bottom w:val="single" w:sz="4" w:space="10" w:color="auto"/>
          <w:right w:val="single" w:sz="4" w:space="10" w:color="auto"/>
        </w:pBdr>
      </w:pPr>
      <w:r w:rsidRPr="008D208D">
        <w:rPr>
          <w:sz w:val="20"/>
          <w:szCs w:val="20"/>
        </w:rPr>
        <w:t xml:space="preserve">Assume the same </w:t>
      </w:r>
      <w:proofErr w:type="gramStart"/>
      <w:r w:rsidRPr="008D208D">
        <w:rPr>
          <w:sz w:val="20"/>
          <w:szCs w:val="20"/>
        </w:rPr>
        <w:t>facts as in Example 31 but the second statement issued to Archer Ltd reassesses</w:t>
      </w:r>
      <w:proofErr w:type="gramEnd"/>
      <w:r w:rsidRPr="008D208D">
        <w:rPr>
          <w:sz w:val="20"/>
          <w:szCs w:val="20"/>
        </w:rPr>
        <w:t xml:space="preserve"> the liability for the June GST period from $250 to $260.  That statement now shows the amount of the GST liability of $260, an initial late payment penalty of $13, and updated UOMI of $5, including interest from 1 August to the date of the second statement, 15 August.  If Archer pays the total amount of $278 within 30 days of the date of this statement, any interest incurred by Archer from 15 August to the date payment is made will be cancelled.</w:t>
      </w:r>
    </w:p>
    <w:p w:rsidR="00D34084" w:rsidRPr="008D208D" w:rsidRDefault="00D34084" w:rsidP="00977020"/>
    <w:sectPr w:rsidR="00D34084" w:rsidRPr="008D208D" w:rsidSect="00BE76A2">
      <w:footerReference w:type="default" r:id="rId26"/>
      <w:pgSz w:w="11906" w:h="16838"/>
      <w:pgMar w:top="1134" w:right="1418" w:bottom="1134"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2"/>
    </wne:keymap>
    <wne:keymap wne:kcmPrimary="0233">
      <wne:acd wne:acdName="acd3"/>
    </wne:keymap>
    <wne:keymap wne:kcmPrimary="0234">
      <wne:acd wne:acdName="acd4"/>
    </wne:keymap>
    <wne:keymap wne:kcmPrimary="02BE">
      <wne:acd wne:acdName="acd1"/>
    </wne:keymap>
    <wne:keymap wne:kcmPrimary="0453">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EA" wne:acdName="acd0" wne:fciIndexBasedOn="0065"/>
    <wne:acd wne:argValue="AgBCAHUAbABsAGUAdABzAA==" wne:acdName="acd1" wne:fciIndexBasedOn="0065"/>
    <wne:acd wne:argValue="AQAAAAIA" wne:acdName="acd2" wne:fciIndexBasedOn="0065"/>
    <wne:acd wne:argValue="AQAAAAMA" wne:acdName="acd3" wne:fciIndexBasedOn="0065"/>
    <wne:acd wne:argValue="AQAAAAQA" wne:acdName="acd4" wne:fciIndexBasedOn="0065"/>
    <wne:acd wne:argValue="AgBTAGUAYwB0AGkAbwBuACAAaABlAGEAZABpAG4AZw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BF" w:rsidRDefault="00047BBF" w:rsidP="00855AF4">
      <w:r>
        <w:separator/>
      </w:r>
    </w:p>
  </w:endnote>
  <w:endnote w:type="continuationSeparator" w:id="0">
    <w:p w:rsidR="00047BBF" w:rsidRDefault="00047BBF" w:rsidP="0085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BF" w:rsidRPr="00D8492F" w:rsidRDefault="00047BBF" w:rsidP="00515963">
    <w:pPr>
      <w:jc w:val="center"/>
      <w:rPr>
        <w:sz w:val="22"/>
      </w:rPr>
    </w:pPr>
    <w:r w:rsidRPr="00D8492F">
      <w:rPr>
        <w:sz w:val="22"/>
      </w:rPr>
      <w:fldChar w:fldCharType="begin"/>
    </w:r>
    <w:r w:rsidRPr="00D8492F">
      <w:rPr>
        <w:sz w:val="22"/>
      </w:rPr>
      <w:instrText xml:space="preserve"> PAGE   \* MERGEFORMAT </w:instrText>
    </w:r>
    <w:r w:rsidRPr="00D8492F">
      <w:rPr>
        <w:sz w:val="22"/>
      </w:rPr>
      <w:fldChar w:fldCharType="separate"/>
    </w:r>
    <w:r w:rsidR="005539A9">
      <w:rPr>
        <w:noProof/>
        <w:sz w:val="22"/>
      </w:rPr>
      <w:t>1</w:t>
    </w:r>
    <w:r w:rsidRPr="00D8492F">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BF" w:rsidRDefault="00047BBF" w:rsidP="00855AF4">
      <w:r>
        <w:separator/>
      </w:r>
    </w:p>
  </w:footnote>
  <w:footnote w:type="continuationSeparator" w:id="0">
    <w:p w:rsidR="00047BBF" w:rsidRDefault="00047BBF" w:rsidP="00855AF4">
      <w:r>
        <w:continuationSeparator/>
      </w:r>
    </w:p>
  </w:footnote>
  <w:footnote w:id="1">
    <w:p w:rsidR="00047BBF" w:rsidRPr="008D208D" w:rsidRDefault="00047BBF" w:rsidP="002F5E10">
      <w:pPr>
        <w:pStyle w:val="FootnoteText"/>
        <w:rPr>
          <w:sz w:val="18"/>
          <w:szCs w:val="18"/>
          <w:lang w:val="en-NZ"/>
        </w:rPr>
      </w:pPr>
      <w:r w:rsidRPr="008D208D">
        <w:rPr>
          <w:rStyle w:val="FootnoteReference"/>
          <w:sz w:val="18"/>
          <w:szCs w:val="18"/>
          <w:lang w:val="en-NZ"/>
        </w:rPr>
        <w:footnoteRef/>
      </w:r>
      <w:r w:rsidRPr="008D208D">
        <w:rPr>
          <w:sz w:val="18"/>
          <w:szCs w:val="18"/>
          <w:lang w:val="en-NZ"/>
        </w:rPr>
        <w:t xml:space="preserve"> Or other portion where the number of instalments is not three.</w:t>
      </w:r>
    </w:p>
  </w:footnote>
  <w:footnote w:id="2">
    <w:p w:rsidR="00047BBF" w:rsidRPr="008D208D" w:rsidRDefault="00047BBF" w:rsidP="000F766E">
      <w:pPr>
        <w:pStyle w:val="FootnoteText"/>
        <w:rPr>
          <w:sz w:val="18"/>
          <w:szCs w:val="18"/>
          <w:lang w:val="en-NZ"/>
        </w:rPr>
      </w:pPr>
      <w:r w:rsidRPr="008D208D">
        <w:rPr>
          <w:rStyle w:val="FootnoteReference"/>
          <w:sz w:val="18"/>
          <w:szCs w:val="18"/>
          <w:lang w:val="en-NZ"/>
        </w:rPr>
        <w:footnoteRef/>
      </w:r>
      <w:r w:rsidRPr="008D208D">
        <w:rPr>
          <w:sz w:val="18"/>
          <w:szCs w:val="18"/>
          <w:lang w:val="en-NZ"/>
        </w:rPr>
        <w:t xml:space="preserve"> With the exception of amounts to which the Commissioner has made a determination under section RD 8(3).</w:t>
      </w:r>
    </w:p>
  </w:footnote>
  <w:footnote w:id="3">
    <w:p w:rsidR="00047BBF" w:rsidRPr="008D208D" w:rsidRDefault="00047BBF" w:rsidP="00E6608E">
      <w:pPr>
        <w:pStyle w:val="FootnoteText"/>
        <w:rPr>
          <w:sz w:val="18"/>
          <w:szCs w:val="18"/>
          <w:lang w:val="en-NZ"/>
        </w:rPr>
      </w:pPr>
      <w:r w:rsidRPr="008D208D">
        <w:rPr>
          <w:rStyle w:val="FootnoteReference"/>
          <w:sz w:val="18"/>
          <w:szCs w:val="18"/>
          <w:lang w:val="en-NZ"/>
        </w:rPr>
        <w:footnoteRef/>
      </w:r>
      <w:r w:rsidRPr="008D208D">
        <w:rPr>
          <w:sz w:val="18"/>
          <w:szCs w:val="18"/>
          <w:lang w:val="en-NZ"/>
        </w:rPr>
        <w:t xml:space="preserve"> The interest amounts used are for illustrative purposes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6"/>
    <w:multiLevelType w:val="multilevel"/>
    <w:tmpl w:val="00000006"/>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34019E"/>
    <w:multiLevelType w:val="hybridMultilevel"/>
    <w:tmpl w:val="4CF6019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51B1615"/>
    <w:multiLevelType w:val="hybridMultilevel"/>
    <w:tmpl w:val="BC906638"/>
    <w:lvl w:ilvl="0" w:tplc="FDE02BA6">
      <w:start w:val="1"/>
      <w:numFmt w:val="bullet"/>
      <w:pStyle w:val="Bullets2"/>
      <w:lvlText w:val="–"/>
      <w:lvlJc w:val="left"/>
      <w:pPr>
        <w:ind w:left="1287" w:hanging="360"/>
      </w:pPr>
      <w:rPr>
        <w:rFonts w:ascii="Times New Roman" w:hAnsi="Times New Roman" w:cs="Times New Roman"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73120EF"/>
    <w:multiLevelType w:val="hybridMultilevel"/>
    <w:tmpl w:val="739CC7D2"/>
    <w:lvl w:ilvl="0" w:tplc="F0D4AA2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7FC051B"/>
    <w:multiLevelType w:val="hybridMultilevel"/>
    <w:tmpl w:val="1624AF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52B586F"/>
    <w:multiLevelType w:val="hybridMultilevel"/>
    <w:tmpl w:val="40489BC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72C1B39"/>
    <w:multiLevelType w:val="hybridMultilevel"/>
    <w:tmpl w:val="1D000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7E42F84"/>
    <w:multiLevelType w:val="hybridMultilevel"/>
    <w:tmpl w:val="0CDCCFC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nsid w:val="1A6E2DB7"/>
    <w:multiLevelType w:val="hybridMultilevel"/>
    <w:tmpl w:val="4364A500"/>
    <w:lvl w:ilvl="0" w:tplc="298C4C64">
      <w:start w:val="1"/>
      <w:numFmt w:val="bullet"/>
      <w:lvlText w:val=""/>
      <w:lvlJc w:val="left"/>
      <w:pPr>
        <w:ind w:left="720" w:hanging="360"/>
      </w:pPr>
      <w:rPr>
        <w:rFonts w:ascii="Symbol" w:hAnsi="Symbol" w:hint="default"/>
      </w:rPr>
    </w:lvl>
    <w:lvl w:ilvl="1" w:tplc="8AF67EA6">
      <w:start w:val="1"/>
      <w:numFmt w:val="bullet"/>
      <w:lvlText w:val=""/>
      <w:lvlJc w:val="left"/>
      <w:pPr>
        <w:ind w:left="1440" w:hanging="360"/>
      </w:pPr>
      <w:rPr>
        <w:rFonts w:ascii="Wingdings 2" w:hAnsi="Wingdings 2"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BFF384D"/>
    <w:multiLevelType w:val="hybridMultilevel"/>
    <w:tmpl w:val="62E2E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E450326"/>
    <w:multiLevelType w:val="hybridMultilevel"/>
    <w:tmpl w:val="E8164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05F1EB7"/>
    <w:multiLevelType w:val="hybridMultilevel"/>
    <w:tmpl w:val="0D48DC52"/>
    <w:lvl w:ilvl="0" w:tplc="F0D4AA2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1351922"/>
    <w:multiLevelType w:val="hybridMultilevel"/>
    <w:tmpl w:val="C234C9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45D4C72"/>
    <w:multiLevelType w:val="hybridMultilevel"/>
    <w:tmpl w:val="31AA92A0"/>
    <w:lvl w:ilvl="0" w:tplc="7040DF20">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6BF1A02"/>
    <w:multiLevelType w:val="hybridMultilevel"/>
    <w:tmpl w:val="F912E914"/>
    <w:lvl w:ilvl="0" w:tplc="43207C8E">
      <w:start w:val="1"/>
      <w:numFmt w:val="lowerLetter"/>
      <w:lvlText w:val="(%1)"/>
      <w:lvlJc w:val="left"/>
      <w:pPr>
        <w:ind w:left="765" w:hanging="4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9A019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C836075"/>
    <w:multiLevelType w:val="hybridMultilevel"/>
    <w:tmpl w:val="79E0E558"/>
    <w:lvl w:ilvl="0" w:tplc="BD8C38AC">
      <w:start w:val="1"/>
      <w:numFmt w:val="lowerLetter"/>
      <w:lvlText w:val="(%1)"/>
      <w:lvlJc w:val="left"/>
      <w:pPr>
        <w:ind w:left="765" w:hanging="4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1F13415"/>
    <w:multiLevelType w:val="hybridMultilevel"/>
    <w:tmpl w:val="C9A0904A"/>
    <w:lvl w:ilvl="0" w:tplc="345ACD5C">
      <w:start w:val="1"/>
      <w:numFmt w:val="lowerLetter"/>
      <w:lvlText w:val="(%1)"/>
      <w:lvlJc w:val="left"/>
      <w:pPr>
        <w:ind w:left="495" w:hanging="360"/>
      </w:pPr>
      <w:rPr>
        <w:rFonts w:hint="default"/>
      </w:rPr>
    </w:lvl>
    <w:lvl w:ilvl="1" w:tplc="14090019" w:tentative="1">
      <w:start w:val="1"/>
      <w:numFmt w:val="lowerLetter"/>
      <w:lvlText w:val="%2."/>
      <w:lvlJc w:val="left"/>
      <w:pPr>
        <w:ind w:left="1215" w:hanging="360"/>
      </w:pPr>
    </w:lvl>
    <w:lvl w:ilvl="2" w:tplc="1409001B" w:tentative="1">
      <w:start w:val="1"/>
      <w:numFmt w:val="lowerRoman"/>
      <w:lvlText w:val="%3."/>
      <w:lvlJc w:val="right"/>
      <w:pPr>
        <w:ind w:left="1935" w:hanging="180"/>
      </w:pPr>
    </w:lvl>
    <w:lvl w:ilvl="3" w:tplc="1409000F" w:tentative="1">
      <w:start w:val="1"/>
      <w:numFmt w:val="decimal"/>
      <w:lvlText w:val="%4."/>
      <w:lvlJc w:val="left"/>
      <w:pPr>
        <w:ind w:left="2655" w:hanging="360"/>
      </w:pPr>
    </w:lvl>
    <w:lvl w:ilvl="4" w:tplc="14090019" w:tentative="1">
      <w:start w:val="1"/>
      <w:numFmt w:val="lowerLetter"/>
      <w:lvlText w:val="%5."/>
      <w:lvlJc w:val="left"/>
      <w:pPr>
        <w:ind w:left="3375" w:hanging="360"/>
      </w:pPr>
    </w:lvl>
    <w:lvl w:ilvl="5" w:tplc="1409001B" w:tentative="1">
      <w:start w:val="1"/>
      <w:numFmt w:val="lowerRoman"/>
      <w:lvlText w:val="%6."/>
      <w:lvlJc w:val="right"/>
      <w:pPr>
        <w:ind w:left="4095" w:hanging="180"/>
      </w:pPr>
    </w:lvl>
    <w:lvl w:ilvl="6" w:tplc="1409000F" w:tentative="1">
      <w:start w:val="1"/>
      <w:numFmt w:val="decimal"/>
      <w:lvlText w:val="%7."/>
      <w:lvlJc w:val="left"/>
      <w:pPr>
        <w:ind w:left="4815" w:hanging="360"/>
      </w:pPr>
    </w:lvl>
    <w:lvl w:ilvl="7" w:tplc="14090019" w:tentative="1">
      <w:start w:val="1"/>
      <w:numFmt w:val="lowerLetter"/>
      <w:lvlText w:val="%8."/>
      <w:lvlJc w:val="left"/>
      <w:pPr>
        <w:ind w:left="5535" w:hanging="360"/>
      </w:pPr>
    </w:lvl>
    <w:lvl w:ilvl="8" w:tplc="1409001B" w:tentative="1">
      <w:start w:val="1"/>
      <w:numFmt w:val="lowerRoman"/>
      <w:lvlText w:val="%9."/>
      <w:lvlJc w:val="right"/>
      <w:pPr>
        <w:ind w:left="6255" w:hanging="180"/>
      </w:pPr>
    </w:lvl>
  </w:abstractNum>
  <w:abstractNum w:abstractNumId="19">
    <w:nsid w:val="3CCD4FA0"/>
    <w:multiLevelType w:val="hybridMultilevel"/>
    <w:tmpl w:val="EABAA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B727082"/>
    <w:multiLevelType w:val="hybridMultilevel"/>
    <w:tmpl w:val="9A3C554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65B81D23"/>
    <w:multiLevelType w:val="hybridMultilevel"/>
    <w:tmpl w:val="F3083C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93307F3"/>
    <w:multiLevelType w:val="hybridMultilevel"/>
    <w:tmpl w:val="9FAAA884"/>
    <w:lvl w:ilvl="0" w:tplc="1396E3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A3C5ED8"/>
    <w:multiLevelType w:val="hybridMultilevel"/>
    <w:tmpl w:val="CC3A826C"/>
    <w:lvl w:ilvl="0" w:tplc="D116C98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C763237"/>
    <w:multiLevelType w:val="hybridMultilevel"/>
    <w:tmpl w:val="49A0D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CFA0FF3"/>
    <w:multiLevelType w:val="hybridMultilevel"/>
    <w:tmpl w:val="D6423A12"/>
    <w:lvl w:ilvl="0" w:tplc="4DA6520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03150E1"/>
    <w:multiLevelType w:val="hybridMultilevel"/>
    <w:tmpl w:val="35568FC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nsid w:val="73DF76BC"/>
    <w:multiLevelType w:val="hybridMultilevel"/>
    <w:tmpl w:val="D39C9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68E644B"/>
    <w:multiLevelType w:val="hybridMultilevel"/>
    <w:tmpl w:val="708AE008"/>
    <w:lvl w:ilvl="0" w:tplc="298C4C64">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7042446"/>
    <w:multiLevelType w:val="hybridMultilevel"/>
    <w:tmpl w:val="B4BAB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74F6032"/>
    <w:multiLevelType w:val="hybridMultilevel"/>
    <w:tmpl w:val="62A4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
  </w:num>
  <w:num w:numId="4">
    <w:abstractNumId w:val="11"/>
  </w:num>
  <w:num w:numId="5">
    <w:abstractNumId w:val="16"/>
  </w:num>
  <w:num w:numId="6">
    <w:abstractNumId w:val="14"/>
  </w:num>
  <w:num w:numId="7">
    <w:abstractNumId w:val="21"/>
  </w:num>
  <w:num w:numId="8">
    <w:abstractNumId w:val="10"/>
  </w:num>
  <w:num w:numId="9">
    <w:abstractNumId w:val="5"/>
  </w:num>
  <w:num w:numId="10">
    <w:abstractNumId w:val="19"/>
  </w:num>
  <w:num w:numId="11">
    <w:abstractNumId w:val="27"/>
  </w:num>
  <w:num w:numId="12">
    <w:abstractNumId w:val="20"/>
  </w:num>
  <w:num w:numId="13">
    <w:abstractNumId w:val="6"/>
  </w:num>
  <w:num w:numId="14">
    <w:abstractNumId w:val="23"/>
  </w:num>
  <w:num w:numId="15">
    <w:abstractNumId w:val="25"/>
  </w:num>
  <w:num w:numId="16">
    <w:abstractNumId w:val="12"/>
  </w:num>
  <w:num w:numId="17">
    <w:abstractNumId w:val="8"/>
  </w:num>
  <w:num w:numId="18">
    <w:abstractNumId w:val="26"/>
  </w:num>
  <w:num w:numId="19">
    <w:abstractNumId w:val="30"/>
  </w:num>
  <w:num w:numId="20">
    <w:abstractNumId w:val="22"/>
  </w:num>
  <w:num w:numId="21">
    <w:abstractNumId w:val="4"/>
  </w:num>
  <w:num w:numId="22">
    <w:abstractNumId w:val="13"/>
  </w:num>
  <w:num w:numId="23">
    <w:abstractNumId w:val="7"/>
  </w:num>
  <w:num w:numId="24">
    <w:abstractNumId w:val="29"/>
  </w:num>
  <w:num w:numId="25">
    <w:abstractNumId w:val="18"/>
  </w:num>
  <w:num w:numId="26">
    <w:abstractNumId w:val="24"/>
  </w:num>
  <w:num w:numId="27">
    <w:abstractNumId w:val="15"/>
  </w:num>
  <w:num w:numId="28">
    <w:abstractNumId w:val="17"/>
  </w:num>
  <w:num w:numId="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74"/>
    <w:rsid w:val="000051CF"/>
    <w:rsid w:val="000057FD"/>
    <w:rsid w:val="000062FF"/>
    <w:rsid w:val="0001100E"/>
    <w:rsid w:val="0001177E"/>
    <w:rsid w:val="00012381"/>
    <w:rsid w:val="00017D2C"/>
    <w:rsid w:val="0002762A"/>
    <w:rsid w:val="00033968"/>
    <w:rsid w:val="00034A48"/>
    <w:rsid w:val="000352C3"/>
    <w:rsid w:val="000353B1"/>
    <w:rsid w:val="00042EA4"/>
    <w:rsid w:val="00044348"/>
    <w:rsid w:val="00044E87"/>
    <w:rsid w:val="000458DC"/>
    <w:rsid w:val="00047BBF"/>
    <w:rsid w:val="000509C9"/>
    <w:rsid w:val="00053031"/>
    <w:rsid w:val="00056A4F"/>
    <w:rsid w:val="0005766C"/>
    <w:rsid w:val="000577E5"/>
    <w:rsid w:val="00062999"/>
    <w:rsid w:val="00065A06"/>
    <w:rsid w:val="00066CBD"/>
    <w:rsid w:val="0007042F"/>
    <w:rsid w:val="00070AFB"/>
    <w:rsid w:val="00072B9C"/>
    <w:rsid w:val="00075CE0"/>
    <w:rsid w:val="00075FF5"/>
    <w:rsid w:val="00076A9D"/>
    <w:rsid w:val="00076D4F"/>
    <w:rsid w:val="000777BF"/>
    <w:rsid w:val="0007789D"/>
    <w:rsid w:val="00081B7F"/>
    <w:rsid w:val="00083A44"/>
    <w:rsid w:val="00084C8E"/>
    <w:rsid w:val="00087AE7"/>
    <w:rsid w:val="00087F46"/>
    <w:rsid w:val="00090A73"/>
    <w:rsid w:val="00094B7A"/>
    <w:rsid w:val="000954B1"/>
    <w:rsid w:val="0009739D"/>
    <w:rsid w:val="000A1E39"/>
    <w:rsid w:val="000A4303"/>
    <w:rsid w:val="000A53EE"/>
    <w:rsid w:val="000A6824"/>
    <w:rsid w:val="000B0AC8"/>
    <w:rsid w:val="000B0FA6"/>
    <w:rsid w:val="000B1671"/>
    <w:rsid w:val="000B1CCB"/>
    <w:rsid w:val="000B31B8"/>
    <w:rsid w:val="000B73EC"/>
    <w:rsid w:val="000C0BB8"/>
    <w:rsid w:val="000C0E25"/>
    <w:rsid w:val="000C1D42"/>
    <w:rsid w:val="000C508D"/>
    <w:rsid w:val="000C572C"/>
    <w:rsid w:val="000C5EBC"/>
    <w:rsid w:val="000C6EC4"/>
    <w:rsid w:val="000C784B"/>
    <w:rsid w:val="000D1F56"/>
    <w:rsid w:val="000D588E"/>
    <w:rsid w:val="000D7400"/>
    <w:rsid w:val="000E17E1"/>
    <w:rsid w:val="000F14D7"/>
    <w:rsid w:val="000F361E"/>
    <w:rsid w:val="000F36E8"/>
    <w:rsid w:val="000F4C3B"/>
    <w:rsid w:val="000F4DED"/>
    <w:rsid w:val="000F699A"/>
    <w:rsid w:val="000F6E19"/>
    <w:rsid w:val="000F766E"/>
    <w:rsid w:val="00101286"/>
    <w:rsid w:val="00101373"/>
    <w:rsid w:val="001015F4"/>
    <w:rsid w:val="00103CED"/>
    <w:rsid w:val="001070DF"/>
    <w:rsid w:val="00111392"/>
    <w:rsid w:val="0011398B"/>
    <w:rsid w:val="0011414F"/>
    <w:rsid w:val="001143A9"/>
    <w:rsid w:val="00115E6C"/>
    <w:rsid w:val="0011791C"/>
    <w:rsid w:val="0012356D"/>
    <w:rsid w:val="001239B1"/>
    <w:rsid w:val="00123A50"/>
    <w:rsid w:val="00125367"/>
    <w:rsid w:val="00125CD4"/>
    <w:rsid w:val="00126584"/>
    <w:rsid w:val="0013022E"/>
    <w:rsid w:val="0013037B"/>
    <w:rsid w:val="00131DE6"/>
    <w:rsid w:val="001325B0"/>
    <w:rsid w:val="00134515"/>
    <w:rsid w:val="00135D68"/>
    <w:rsid w:val="001362FC"/>
    <w:rsid w:val="001448C2"/>
    <w:rsid w:val="00144BC9"/>
    <w:rsid w:val="00145B54"/>
    <w:rsid w:val="00145EFF"/>
    <w:rsid w:val="001506E6"/>
    <w:rsid w:val="001536AD"/>
    <w:rsid w:val="00153C2B"/>
    <w:rsid w:val="00154252"/>
    <w:rsid w:val="001569F4"/>
    <w:rsid w:val="00160FF1"/>
    <w:rsid w:val="0016492F"/>
    <w:rsid w:val="00164F61"/>
    <w:rsid w:val="00173EE3"/>
    <w:rsid w:val="001755FA"/>
    <w:rsid w:val="001778E3"/>
    <w:rsid w:val="00187D01"/>
    <w:rsid w:val="00191CB9"/>
    <w:rsid w:val="001940AC"/>
    <w:rsid w:val="00195247"/>
    <w:rsid w:val="00195866"/>
    <w:rsid w:val="001967FB"/>
    <w:rsid w:val="00196984"/>
    <w:rsid w:val="001A277B"/>
    <w:rsid w:val="001A4240"/>
    <w:rsid w:val="001A6CBD"/>
    <w:rsid w:val="001B08C2"/>
    <w:rsid w:val="001B1637"/>
    <w:rsid w:val="001B4C96"/>
    <w:rsid w:val="001C1C11"/>
    <w:rsid w:val="001C2177"/>
    <w:rsid w:val="001C4E70"/>
    <w:rsid w:val="001C54DB"/>
    <w:rsid w:val="001C5C22"/>
    <w:rsid w:val="001C5EBE"/>
    <w:rsid w:val="001C68E1"/>
    <w:rsid w:val="001D3BC1"/>
    <w:rsid w:val="001D4AFA"/>
    <w:rsid w:val="001D70A5"/>
    <w:rsid w:val="001E0DAC"/>
    <w:rsid w:val="001E2B13"/>
    <w:rsid w:val="001E35CF"/>
    <w:rsid w:val="001E375B"/>
    <w:rsid w:val="001E4583"/>
    <w:rsid w:val="001E7678"/>
    <w:rsid w:val="001F0586"/>
    <w:rsid w:val="001F0AF1"/>
    <w:rsid w:val="001F394C"/>
    <w:rsid w:val="001F6206"/>
    <w:rsid w:val="001F6C60"/>
    <w:rsid w:val="001F6FE6"/>
    <w:rsid w:val="00201331"/>
    <w:rsid w:val="00201DA1"/>
    <w:rsid w:val="00202C73"/>
    <w:rsid w:val="002059D0"/>
    <w:rsid w:val="00207C80"/>
    <w:rsid w:val="00212EBE"/>
    <w:rsid w:val="00214962"/>
    <w:rsid w:val="00217584"/>
    <w:rsid w:val="0021792E"/>
    <w:rsid w:val="0022119D"/>
    <w:rsid w:val="00223C4E"/>
    <w:rsid w:val="00224244"/>
    <w:rsid w:val="0022628B"/>
    <w:rsid w:val="002347EF"/>
    <w:rsid w:val="002354E6"/>
    <w:rsid w:val="0023662E"/>
    <w:rsid w:val="00237D3C"/>
    <w:rsid w:val="002404EA"/>
    <w:rsid w:val="00240A40"/>
    <w:rsid w:val="00244F50"/>
    <w:rsid w:val="00245DB6"/>
    <w:rsid w:val="00246124"/>
    <w:rsid w:val="00250369"/>
    <w:rsid w:val="00250C6B"/>
    <w:rsid w:val="00250F63"/>
    <w:rsid w:val="00250FEA"/>
    <w:rsid w:val="0025339B"/>
    <w:rsid w:val="00254887"/>
    <w:rsid w:val="00260117"/>
    <w:rsid w:val="0026456C"/>
    <w:rsid w:val="002649A4"/>
    <w:rsid w:val="002651F8"/>
    <w:rsid w:val="00267CB1"/>
    <w:rsid w:val="00270F66"/>
    <w:rsid w:val="00273338"/>
    <w:rsid w:val="002740CF"/>
    <w:rsid w:val="0027420F"/>
    <w:rsid w:val="002743FE"/>
    <w:rsid w:val="002759AA"/>
    <w:rsid w:val="0027672D"/>
    <w:rsid w:val="0027692C"/>
    <w:rsid w:val="00277CB2"/>
    <w:rsid w:val="00281167"/>
    <w:rsid w:val="00281DA2"/>
    <w:rsid w:val="002851A5"/>
    <w:rsid w:val="002853CB"/>
    <w:rsid w:val="002874AD"/>
    <w:rsid w:val="00293137"/>
    <w:rsid w:val="00294520"/>
    <w:rsid w:val="002945E5"/>
    <w:rsid w:val="0029495A"/>
    <w:rsid w:val="0029585C"/>
    <w:rsid w:val="002A0243"/>
    <w:rsid w:val="002A0654"/>
    <w:rsid w:val="002A0B88"/>
    <w:rsid w:val="002A1811"/>
    <w:rsid w:val="002A1A5F"/>
    <w:rsid w:val="002A3243"/>
    <w:rsid w:val="002A3B27"/>
    <w:rsid w:val="002A6C92"/>
    <w:rsid w:val="002A7EA2"/>
    <w:rsid w:val="002B0444"/>
    <w:rsid w:val="002B0463"/>
    <w:rsid w:val="002B3BCB"/>
    <w:rsid w:val="002B5148"/>
    <w:rsid w:val="002B5E59"/>
    <w:rsid w:val="002C403F"/>
    <w:rsid w:val="002C4B46"/>
    <w:rsid w:val="002C5A81"/>
    <w:rsid w:val="002C76B9"/>
    <w:rsid w:val="002C7D0E"/>
    <w:rsid w:val="002D2BC7"/>
    <w:rsid w:val="002E0F30"/>
    <w:rsid w:val="002E2EB4"/>
    <w:rsid w:val="002E4AF7"/>
    <w:rsid w:val="002F3257"/>
    <w:rsid w:val="002F3CFA"/>
    <w:rsid w:val="002F5E10"/>
    <w:rsid w:val="002F68A9"/>
    <w:rsid w:val="002F7CE1"/>
    <w:rsid w:val="00303265"/>
    <w:rsid w:val="003059A9"/>
    <w:rsid w:val="003072BF"/>
    <w:rsid w:val="003110C5"/>
    <w:rsid w:val="003134E2"/>
    <w:rsid w:val="0031474C"/>
    <w:rsid w:val="00315070"/>
    <w:rsid w:val="003164BB"/>
    <w:rsid w:val="003165D5"/>
    <w:rsid w:val="00317817"/>
    <w:rsid w:val="0032091F"/>
    <w:rsid w:val="003218D5"/>
    <w:rsid w:val="00321900"/>
    <w:rsid w:val="0032319D"/>
    <w:rsid w:val="003233C1"/>
    <w:rsid w:val="003253B3"/>
    <w:rsid w:val="00325B5C"/>
    <w:rsid w:val="00325CD8"/>
    <w:rsid w:val="003263AE"/>
    <w:rsid w:val="00331267"/>
    <w:rsid w:val="00331CE5"/>
    <w:rsid w:val="00334A23"/>
    <w:rsid w:val="003361F5"/>
    <w:rsid w:val="0033673B"/>
    <w:rsid w:val="0033711E"/>
    <w:rsid w:val="00344033"/>
    <w:rsid w:val="00344BFE"/>
    <w:rsid w:val="00345D06"/>
    <w:rsid w:val="00347762"/>
    <w:rsid w:val="0035263A"/>
    <w:rsid w:val="00353769"/>
    <w:rsid w:val="00355BE0"/>
    <w:rsid w:val="003564C5"/>
    <w:rsid w:val="00360167"/>
    <w:rsid w:val="00363984"/>
    <w:rsid w:val="00364527"/>
    <w:rsid w:val="00364C5A"/>
    <w:rsid w:val="00367BD8"/>
    <w:rsid w:val="003722BA"/>
    <w:rsid w:val="00376073"/>
    <w:rsid w:val="0037647C"/>
    <w:rsid w:val="00376839"/>
    <w:rsid w:val="003771F0"/>
    <w:rsid w:val="0038193A"/>
    <w:rsid w:val="003855D9"/>
    <w:rsid w:val="00387B41"/>
    <w:rsid w:val="00390D9D"/>
    <w:rsid w:val="00395D1F"/>
    <w:rsid w:val="00395E3A"/>
    <w:rsid w:val="003A1330"/>
    <w:rsid w:val="003A21A1"/>
    <w:rsid w:val="003A6920"/>
    <w:rsid w:val="003B03A6"/>
    <w:rsid w:val="003B2319"/>
    <w:rsid w:val="003B3CF7"/>
    <w:rsid w:val="003B640E"/>
    <w:rsid w:val="003B6623"/>
    <w:rsid w:val="003C2384"/>
    <w:rsid w:val="003C2B07"/>
    <w:rsid w:val="003C447F"/>
    <w:rsid w:val="003C4728"/>
    <w:rsid w:val="003D2D0D"/>
    <w:rsid w:val="003D39F8"/>
    <w:rsid w:val="003D4FB2"/>
    <w:rsid w:val="003D4FD7"/>
    <w:rsid w:val="003D6D97"/>
    <w:rsid w:val="003E3AFB"/>
    <w:rsid w:val="003E639F"/>
    <w:rsid w:val="003F2ED1"/>
    <w:rsid w:val="003F30E7"/>
    <w:rsid w:val="003F67DC"/>
    <w:rsid w:val="0040067F"/>
    <w:rsid w:val="004009A9"/>
    <w:rsid w:val="00400D20"/>
    <w:rsid w:val="004016ED"/>
    <w:rsid w:val="00401F9E"/>
    <w:rsid w:val="004020C5"/>
    <w:rsid w:val="004029CF"/>
    <w:rsid w:val="00404388"/>
    <w:rsid w:val="00404B23"/>
    <w:rsid w:val="00404DE1"/>
    <w:rsid w:val="00407206"/>
    <w:rsid w:val="00410CD0"/>
    <w:rsid w:val="00411476"/>
    <w:rsid w:val="00414DC6"/>
    <w:rsid w:val="004232DE"/>
    <w:rsid w:val="00424697"/>
    <w:rsid w:val="004247A1"/>
    <w:rsid w:val="00424908"/>
    <w:rsid w:val="004271DB"/>
    <w:rsid w:val="00431420"/>
    <w:rsid w:val="00432F56"/>
    <w:rsid w:val="004333A1"/>
    <w:rsid w:val="00440AD4"/>
    <w:rsid w:val="00441B59"/>
    <w:rsid w:val="00442181"/>
    <w:rsid w:val="004438C6"/>
    <w:rsid w:val="00443E41"/>
    <w:rsid w:val="00444E28"/>
    <w:rsid w:val="00445820"/>
    <w:rsid w:val="00446862"/>
    <w:rsid w:val="0044700C"/>
    <w:rsid w:val="00452D4D"/>
    <w:rsid w:val="0045347E"/>
    <w:rsid w:val="004545A7"/>
    <w:rsid w:val="00455803"/>
    <w:rsid w:val="00463A61"/>
    <w:rsid w:val="00465095"/>
    <w:rsid w:val="00465821"/>
    <w:rsid w:val="004679A9"/>
    <w:rsid w:val="00467A5F"/>
    <w:rsid w:val="00470E37"/>
    <w:rsid w:val="00475636"/>
    <w:rsid w:val="00475DC6"/>
    <w:rsid w:val="00481743"/>
    <w:rsid w:val="0048330D"/>
    <w:rsid w:val="00483D88"/>
    <w:rsid w:val="00483FFA"/>
    <w:rsid w:val="00484DE3"/>
    <w:rsid w:val="00486787"/>
    <w:rsid w:val="0048736B"/>
    <w:rsid w:val="00492949"/>
    <w:rsid w:val="00493D84"/>
    <w:rsid w:val="00494C2F"/>
    <w:rsid w:val="004953E0"/>
    <w:rsid w:val="00496419"/>
    <w:rsid w:val="004977BE"/>
    <w:rsid w:val="00497C8D"/>
    <w:rsid w:val="00497EDF"/>
    <w:rsid w:val="004A039E"/>
    <w:rsid w:val="004A0A24"/>
    <w:rsid w:val="004A0DA3"/>
    <w:rsid w:val="004A0EA4"/>
    <w:rsid w:val="004A121E"/>
    <w:rsid w:val="004A22D3"/>
    <w:rsid w:val="004A53A3"/>
    <w:rsid w:val="004A640E"/>
    <w:rsid w:val="004B037F"/>
    <w:rsid w:val="004B2C91"/>
    <w:rsid w:val="004B50A5"/>
    <w:rsid w:val="004B60A3"/>
    <w:rsid w:val="004B60BF"/>
    <w:rsid w:val="004B6C8B"/>
    <w:rsid w:val="004B6EED"/>
    <w:rsid w:val="004C2030"/>
    <w:rsid w:val="004C4F7F"/>
    <w:rsid w:val="004D0B38"/>
    <w:rsid w:val="004D2100"/>
    <w:rsid w:val="004D267B"/>
    <w:rsid w:val="004D2754"/>
    <w:rsid w:val="004D2BE5"/>
    <w:rsid w:val="004D55C4"/>
    <w:rsid w:val="004D7FD1"/>
    <w:rsid w:val="004E2E0B"/>
    <w:rsid w:val="004E63DC"/>
    <w:rsid w:val="004F12D1"/>
    <w:rsid w:val="004F21C6"/>
    <w:rsid w:val="004F2E3B"/>
    <w:rsid w:val="004F324E"/>
    <w:rsid w:val="004F423F"/>
    <w:rsid w:val="004F43EC"/>
    <w:rsid w:val="004F46F7"/>
    <w:rsid w:val="004F51CF"/>
    <w:rsid w:val="004F6FE3"/>
    <w:rsid w:val="005012A4"/>
    <w:rsid w:val="00504641"/>
    <w:rsid w:val="00504F89"/>
    <w:rsid w:val="0050519F"/>
    <w:rsid w:val="00505A37"/>
    <w:rsid w:val="00510B33"/>
    <w:rsid w:val="00511BB2"/>
    <w:rsid w:val="00512B49"/>
    <w:rsid w:val="00513A4B"/>
    <w:rsid w:val="00513D15"/>
    <w:rsid w:val="00514CF1"/>
    <w:rsid w:val="00515786"/>
    <w:rsid w:val="00515963"/>
    <w:rsid w:val="00515BA9"/>
    <w:rsid w:val="00516201"/>
    <w:rsid w:val="00516396"/>
    <w:rsid w:val="00517BEA"/>
    <w:rsid w:val="00520D8D"/>
    <w:rsid w:val="00521AB5"/>
    <w:rsid w:val="005235CB"/>
    <w:rsid w:val="00524522"/>
    <w:rsid w:val="00524E97"/>
    <w:rsid w:val="005259EB"/>
    <w:rsid w:val="00525B08"/>
    <w:rsid w:val="00530A6E"/>
    <w:rsid w:val="0053158A"/>
    <w:rsid w:val="00533091"/>
    <w:rsid w:val="005356CD"/>
    <w:rsid w:val="0053679C"/>
    <w:rsid w:val="00537B8B"/>
    <w:rsid w:val="00537FC0"/>
    <w:rsid w:val="005407F9"/>
    <w:rsid w:val="00541FAB"/>
    <w:rsid w:val="0054224B"/>
    <w:rsid w:val="00543035"/>
    <w:rsid w:val="0055011E"/>
    <w:rsid w:val="0055096B"/>
    <w:rsid w:val="00550F33"/>
    <w:rsid w:val="005521FF"/>
    <w:rsid w:val="005539A9"/>
    <w:rsid w:val="00556709"/>
    <w:rsid w:val="00557882"/>
    <w:rsid w:val="00560AC4"/>
    <w:rsid w:val="005624A8"/>
    <w:rsid w:val="0056280C"/>
    <w:rsid w:val="00563FA5"/>
    <w:rsid w:val="00570D37"/>
    <w:rsid w:val="00571FA2"/>
    <w:rsid w:val="00572248"/>
    <w:rsid w:val="00573360"/>
    <w:rsid w:val="005743E7"/>
    <w:rsid w:val="005746B7"/>
    <w:rsid w:val="00574D9B"/>
    <w:rsid w:val="005756A8"/>
    <w:rsid w:val="00584892"/>
    <w:rsid w:val="00587821"/>
    <w:rsid w:val="00590AD4"/>
    <w:rsid w:val="00591601"/>
    <w:rsid w:val="005926B6"/>
    <w:rsid w:val="00593984"/>
    <w:rsid w:val="00594073"/>
    <w:rsid w:val="005956F7"/>
    <w:rsid w:val="005A027F"/>
    <w:rsid w:val="005A2CC3"/>
    <w:rsid w:val="005A3CD8"/>
    <w:rsid w:val="005A4DC2"/>
    <w:rsid w:val="005A7E57"/>
    <w:rsid w:val="005B6D9A"/>
    <w:rsid w:val="005C0B82"/>
    <w:rsid w:val="005C1653"/>
    <w:rsid w:val="005C1B55"/>
    <w:rsid w:val="005C2FF2"/>
    <w:rsid w:val="005C70B5"/>
    <w:rsid w:val="005D213B"/>
    <w:rsid w:val="005D3878"/>
    <w:rsid w:val="005D3CE9"/>
    <w:rsid w:val="005D3D7A"/>
    <w:rsid w:val="005D4025"/>
    <w:rsid w:val="005D4DB6"/>
    <w:rsid w:val="005D664C"/>
    <w:rsid w:val="005D7F9F"/>
    <w:rsid w:val="005E243A"/>
    <w:rsid w:val="005E38ED"/>
    <w:rsid w:val="005E3D95"/>
    <w:rsid w:val="005E56F2"/>
    <w:rsid w:val="005E5F2D"/>
    <w:rsid w:val="005E7498"/>
    <w:rsid w:val="005F0145"/>
    <w:rsid w:val="005F05C8"/>
    <w:rsid w:val="005F231B"/>
    <w:rsid w:val="005F280E"/>
    <w:rsid w:val="005F6DDC"/>
    <w:rsid w:val="00600CBA"/>
    <w:rsid w:val="00601038"/>
    <w:rsid w:val="00602AC0"/>
    <w:rsid w:val="00603D1F"/>
    <w:rsid w:val="00604706"/>
    <w:rsid w:val="00605939"/>
    <w:rsid w:val="0060597E"/>
    <w:rsid w:val="0060670E"/>
    <w:rsid w:val="0060680D"/>
    <w:rsid w:val="00607107"/>
    <w:rsid w:val="006074EC"/>
    <w:rsid w:val="00607FA1"/>
    <w:rsid w:val="00610875"/>
    <w:rsid w:val="00613DEE"/>
    <w:rsid w:val="006143C8"/>
    <w:rsid w:val="006147FE"/>
    <w:rsid w:val="006213A3"/>
    <w:rsid w:val="0062185D"/>
    <w:rsid w:val="00622D81"/>
    <w:rsid w:val="00623F73"/>
    <w:rsid w:val="00624C4C"/>
    <w:rsid w:val="00624DD7"/>
    <w:rsid w:val="00624DF4"/>
    <w:rsid w:val="00625574"/>
    <w:rsid w:val="00630884"/>
    <w:rsid w:val="00630DEA"/>
    <w:rsid w:val="00630EE4"/>
    <w:rsid w:val="00631030"/>
    <w:rsid w:val="00633032"/>
    <w:rsid w:val="006339C4"/>
    <w:rsid w:val="00634114"/>
    <w:rsid w:val="00641556"/>
    <w:rsid w:val="00643B49"/>
    <w:rsid w:val="006508C7"/>
    <w:rsid w:val="00651137"/>
    <w:rsid w:val="006527CB"/>
    <w:rsid w:val="00652F0F"/>
    <w:rsid w:val="006543EE"/>
    <w:rsid w:val="0065699C"/>
    <w:rsid w:val="00657DB8"/>
    <w:rsid w:val="0066015F"/>
    <w:rsid w:val="0066142A"/>
    <w:rsid w:val="00662034"/>
    <w:rsid w:val="006629C9"/>
    <w:rsid w:val="00662A7B"/>
    <w:rsid w:val="006664EF"/>
    <w:rsid w:val="006664F2"/>
    <w:rsid w:val="0067295E"/>
    <w:rsid w:val="00673802"/>
    <w:rsid w:val="00677694"/>
    <w:rsid w:val="00684566"/>
    <w:rsid w:val="006905D8"/>
    <w:rsid w:val="00693BF4"/>
    <w:rsid w:val="00695AC4"/>
    <w:rsid w:val="0069601D"/>
    <w:rsid w:val="006969EE"/>
    <w:rsid w:val="006A1AA8"/>
    <w:rsid w:val="006A502B"/>
    <w:rsid w:val="006A5221"/>
    <w:rsid w:val="006A5640"/>
    <w:rsid w:val="006A6E27"/>
    <w:rsid w:val="006B321C"/>
    <w:rsid w:val="006C05F2"/>
    <w:rsid w:val="006C2975"/>
    <w:rsid w:val="006C3C6C"/>
    <w:rsid w:val="006C6882"/>
    <w:rsid w:val="006C6B54"/>
    <w:rsid w:val="006C7311"/>
    <w:rsid w:val="006D01AE"/>
    <w:rsid w:val="006D21A3"/>
    <w:rsid w:val="006D52FD"/>
    <w:rsid w:val="006D5C11"/>
    <w:rsid w:val="006D5DE0"/>
    <w:rsid w:val="006D6C98"/>
    <w:rsid w:val="006D6D40"/>
    <w:rsid w:val="006E08C5"/>
    <w:rsid w:val="006E2842"/>
    <w:rsid w:val="006E691A"/>
    <w:rsid w:val="006E7072"/>
    <w:rsid w:val="006E7D3E"/>
    <w:rsid w:val="006F1651"/>
    <w:rsid w:val="006F2866"/>
    <w:rsid w:val="006F3BAC"/>
    <w:rsid w:val="006F4375"/>
    <w:rsid w:val="006F5874"/>
    <w:rsid w:val="00700D9A"/>
    <w:rsid w:val="00705503"/>
    <w:rsid w:val="00705D9B"/>
    <w:rsid w:val="007068D6"/>
    <w:rsid w:val="007079C0"/>
    <w:rsid w:val="00710A86"/>
    <w:rsid w:val="0071142C"/>
    <w:rsid w:val="00711E1C"/>
    <w:rsid w:val="0071280A"/>
    <w:rsid w:val="00713452"/>
    <w:rsid w:val="007135BF"/>
    <w:rsid w:val="007153FB"/>
    <w:rsid w:val="0072540A"/>
    <w:rsid w:val="00726EFC"/>
    <w:rsid w:val="00733337"/>
    <w:rsid w:val="0073668C"/>
    <w:rsid w:val="00740009"/>
    <w:rsid w:val="00740516"/>
    <w:rsid w:val="00742082"/>
    <w:rsid w:val="00742B12"/>
    <w:rsid w:val="007454BF"/>
    <w:rsid w:val="00745C2E"/>
    <w:rsid w:val="00746849"/>
    <w:rsid w:val="007513C5"/>
    <w:rsid w:val="007523EF"/>
    <w:rsid w:val="00754603"/>
    <w:rsid w:val="0075540B"/>
    <w:rsid w:val="00756843"/>
    <w:rsid w:val="00757EE0"/>
    <w:rsid w:val="00760BF3"/>
    <w:rsid w:val="0076213E"/>
    <w:rsid w:val="00762483"/>
    <w:rsid w:val="00764200"/>
    <w:rsid w:val="00765114"/>
    <w:rsid w:val="00771B07"/>
    <w:rsid w:val="0077363F"/>
    <w:rsid w:val="007739A4"/>
    <w:rsid w:val="00773FAE"/>
    <w:rsid w:val="007753C5"/>
    <w:rsid w:val="007757E4"/>
    <w:rsid w:val="0077586A"/>
    <w:rsid w:val="00782328"/>
    <w:rsid w:val="00783066"/>
    <w:rsid w:val="00787574"/>
    <w:rsid w:val="0079040D"/>
    <w:rsid w:val="007911DE"/>
    <w:rsid w:val="00792A18"/>
    <w:rsid w:val="007932E9"/>
    <w:rsid w:val="007968E6"/>
    <w:rsid w:val="00797BD8"/>
    <w:rsid w:val="00797D04"/>
    <w:rsid w:val="007A0115"/>
    <w:rsid w:val="007A2B6A"/>
    <w:rsid w:val="007A4192"/>
    <w:rsid w:val="007A7849"/>
    <w:rsid w:val="007B027F"/>
    <w:rsid w:val="007B0F53"/>
    <w:rsid w:val="007B23D5"/>
    <w:rsid w:val="007B63EE"/>
    <w:rsid w:val="007C6DF9"/>
    <w:rsid w:val="007D25B5"/>
    <w:rsid w:val="007D3428"/>
    <w:rsid w:val="007D6381"/>
    <w:rsid w:val="007D6E9D"/>
    <w:rsid w:val="007D6F46"/>
    <w:rsid w:val="007D7378"/>
    <w:rsid w:val="007E04FF"/>
    <w:rsid w:val="007E1C72"/>
    <w:rsid w:val="007E4219"/>
    <w:rsid w:val="007E56F4"/>
    <w:rsid w:val="007E5B0D"/>
    <w:rsid w:val="007E693B"/>
    <w:rsid w:val="007E74B0"/>
    <w:rsid w:val="007F0D7A"/>
    <w:rsid w:val="007F274C"/>
    <w:rsid w:val="007F313C"/>
    <w:rsid w:val="007F3B90"/>
    <w:rsid w:val="007F6EE5"/>
    <w:rsid w:val="00804DA3"/>
    <w:rsid w:val="00807C56"/>
    <w:rsid w:val="00810ABC"/>
    <w:rsid w:val="00814567"/>
    <w:rsid w:val="00814FF1"/>
    <w:rsid w:val="008154DE"/>
    <w:rsid w:val="008165FA"/>
    <w:rsid w:val="008167F0"/>
    <w:rsid w:val="00816AED"/>
    <w:rsid w:val="00823DE7"/>
    <w:rsid w:val="008256D8"/>
    <w:rsid w:val="008276A3"/>
    <w:rsid w:val="00827A90"/>
    <w:rsid w:val="00827E05"/>
    <w:rsid w:val="00827F01"/>
    <w:rsid w:val="00833593"/>
    <w:rsid w:val="0083608B"/>
    <w:rsid w:val="0084531A"/>
    <w:rsid w:val="00846FCB"/>
    <w:rsid w:val="00847A19"/>
    <w:rsid w:val="008505DE"/>
    <w:rsid w:val="00851B80"/>
    <w:rsid w:val="00853877"/>
    <w:rsid w:val="0085448F"/>
    <w:rsid w:val="00855AF4"/>
    <w:rsid w:val="00855B90"/>
    <w:rsid w:val="00856C7F"/>
    <w:rsid w:val="00857121"/>
    <w:rsid w:val="00860C90"/>
    <w:rsid w:val="008617E3"/>
    <w:rsid w:val="00861CE8"/>
    <w:rsid w:val="008624C8"/>
    <w:rsid w:val="00862574"/>
    <w:rsid w:val="0086427E"/>
    <w:rsid w:val="00864686"/>
    <w:rsid w:val="0086591D"/>
    <w:rsid w:val="00865A3B"/>
    <w:rsid w:val="0086719A"/>
    <w:rsid w:val="0086724B"/>
    <w:rsid w:val="00870175"/>
    <w:rsid w:val="0087063D"/>
    <w:rsid w:val="00872666"/>
    <w:rsid w:val="00872A71"/>
    <w:rsid w:val="00874E4E"/>
    <w:rsid w:val="00876AD9"/>
    <w:rsid w:val="00880CDC"/>
    <w:rsid w:val="00881EBF"/>
    <w:rsid w:val="00883FFF"/>
    <w:rsid w:val="0088683B"/>
    <w:rsid w:val="00887238"/>
    <w:rsid w:val="008925AF"/>
    <w:rsid w:val="008942F0"/>
    <w:rsid w:val="00894A65"/>
    <w:rsid w:val="008A02DF"/>
    <w:rsid w:val="008A09E8"/>
    <w:rsid w:val="008A1397"/>
    <w:rsid w:val="008A13B8"/>
    <w:rsid w:val="008A2E63"/>
    <w:rsid w:val="008A5527"/>
    <w:rsid w:val="008A63C6"/>
    <w:rsid w:val="008A68EA"/>
    <w:rsid w:val="008A68F2"/>
    <w:rsid w:val="008B0BC0"/>
    <w:rsid w:val="008B0DA9"/>
    <w:rsid w:val="008B1072"/>
    <w:rsid w:val="008B111E"/>
    <w:rsid w:val="008B2F3B"/>
    <w:rsid w:val="008B309C"/>
    <w:rsid w:val="008B6C2F"/>
    <w:rsid w:val="008B6DCA"/>
    <w:rsid w:val="008B6F81"/>
    <w:rsid w:val="008B7AF0"/>
    <w:rsid w:val="008C1BDD"/>
    <w:rsid w:val="008C2130"/>
    <w:rsid w:val="008C5C77"/>
    <w:rsid w:val="008C5CDF"/>
    <w:rsid w:val="008C656F"/>
    <w:rsid w:val="008D09E9"/>
    <w:rsid w:val="008D0A3D"/>
    <w:rsid w:val="008D208D"/>
    <w:rsid w:val="008D4C17"/>
    <w:rsid w:val="008D62F6"/>
    <w:rsid w:val="008E04DC"/>
    <w:rsid w:val="008E20BB"/>
    <w:rsid w:val="008E48D6"/>
    <w:rsid w:val="008E4A33"/>
    <w:rsid w:val="008E6098"/>
    <w:rsid w:val="008F0C2A"/>
    <w:rsid w:val="008F2054"/>
    <w:rsid w:val="008F3FDC"/>
    <w:rsid w:val="008F4DC9"/>
    <w:rsid w:val="008F5A52"/>
    <w:rsid w:val="008F7718"/>
    <w:rsid w:val="00900AF6"/>
    <w:rsid w:val="0090317C"/>
    <w:rsid w:val="00906094"/>
    <w:rsid w:val="009066CB"/>
    <w:rsid w:val="00907173"/>
    <w:rsid w:val="00910A13"/>
    <w:rsid w:val="0091301F"/>
    <w:rsid w:val="0091384D"/>
    <w:rsid w:val="00914956"/>
    <w:rsid w:val="00916C51"/>
    <w:rsid w:val="009179AA"/>
    <w:rsid w:val="00921598"/>
    <w:rsid w:val="009240FD"/>
    <w:rsid w:val="00925549"/>
    <w:rsid w:val="00925F21"/>
    <w:rsid w:val="00926B77"/>
    <w:rsid w:val="009276AF"/>
    <w:rsid w:val="009278FE"/>
    <w:rsid w:val="00932409"/>
    <w:rsid w:val="00932A9D"/>
    <w:rsid w:val="00932D23"/>
    <w:rsid w:val="00940381"/>
    <w:rsid w:val="009406D5"/>
    <w:rsid w:val="00941C3C"/>
    <w:rsid w:val="00942374"/>
    <w:rsid w:val="0094474B"/>
    <w:rsid w:val="0094666C"/>
    <w:rsid w:val="00947A74"/>
    <w:rsid w:val="00951E99"/>
    <w:rsid w:val="00953D70"/>
    <w:rsid w:val="00954855"/>
    <w:rsid w:val="009548FF"/>
    <w:rsid w:val="0095678A"/>
    <w:rsid w:val="00961DC5"/>
    <w:rsid w:val="00967F3A"/>
    <w:rsid w:val="009707AC"/>
    <w:rsid w:val="00971ACB"/>
    <w:rsid w:val="0097231F"/>
    <w:rsid w:val="00972C04"/>
    <w:rsid w:val="00972CE6"/>
    <w:rsid w:val="009751A5"/>
    <w:rsid w:val="009758C7"/>
    <w:rsid w:val="00977020"/>
    <w:rsid w:val="00977098"/>
    <w:rsid w:val="009772CE"/>
    <w:rsid w:val="00977A8A"/>
    <w:rsid w:val="00982246"/>
    <w:rsid w:val="00982C0A"/>
    <w:rsid w:val="009839AB"/>
    <w:rsid w:val="009849CE"/>
    <w:rsid w:val="00984D2A"/>
    <w:rsid w:val="00990051"/>
    <w:rsid w:val="00990BFC"/>
    <w:rsid w:val="009910D0"/>
    <w:rsid w:val="009929D8"/>
    <w:rsid w:val="0099490F"/>
    <w:rsid w:val="00996050"/>
    <w:rsid w:val="009965D5"/>
    <w:rsid w:val="00996813"/>
    <w:rsid w:val="00996E32"/>
    <w:rsid w:val="00997A1A"/>
    <w:rsid w:val="009A23DC"/>
    <w:rsid w:val="009A3064"/>
    <w:rsid w:val="009A3858"/>
    <w:rsid w:val="009A427A"/>
    <w:rsid w:val="009A44AE"/>
    <w:rsid w:val="009A55D6"/>
    <w:rsid w:val="009A56E8"/>
    <w:rsid w:val="009A6CF4"/>
    <w:rsid w:val="009C0ECE"/>
    <w:rsid w:val="009C1D1F"/>
    <w:rsid w:val="009C2EEB"/>
    <w:rsid w:val="009C52E5"/>
    <w:rsid w:val="009C5B0A"/>
    <w:rsid w:val="009C6E16"/>
    <w:rsid w:val="009C737F"/>
    <w:rsid w:val="009C77BC"/>
    <w:rsid w:val="009D0551"/>
    <w:rsid w:val="009D1304"/>
    <w:rsid w:val="009D20CA"/>
    <w:rsid w:val="009D2CE2"/>
    <w:rsid w:val="009D6F33"/>
    <w:rsid w:val="009D7C26"/>
    <w:rsid w:val="009E0E6F"/>
    <w:rsid w:val="009E1474"/>
    <w:rsid w:val="009E3426"/>
    <w:rsid w:val="009E4409"/>
    <w:rsid w:val="009E5EB3"/>
    <w:rsid w:val="009E6040"/>
    <w:rsid w:val="009E61F0"/>
    <w:rsid w:val="009F1560"/>
    <w:rsid w:val="009F2E69"/>
    <w:rsid w:val="009F5586"/>
    <w:rsid w:val="009F6278"/>
    <w:rsid w:val="009F63C3"/>
    <w:rsid w:val="009F6A50"/>
    <w:rsid w:val="00A00FF9"/>
    <w:rsid w:val="00A035AA"/>
    <w:rsid w:val="00A0383D"/>
    <w:rsid w:val="00A044D7"/>
    <w:rsid w:val="00A04EC9"/>
    <w:rsid w:val="00A10436"/>
    <w:rsid w:val="00A11796"/>
    <w:rsid w:val="00A120A5"/>
    <w:rsid w:val="00A16104"/>
    <w:rsid w:val="00A170F9"/>
    <w:rsid w:val="00A20E8F"/>
    <w:rsid w:val="00A21ED2"/>
    <w:rsid w:val="00A24082"/>
    <w:rsid w:val="00A27D75"/>
    <w:rsid w:val="00A31B61"/>
    <w:rsid w:val="00A32719"/>
    <w:rsid w:val="00A34152"/>
    <w:rsid w:val="00A36D14"/>
    <w:rsid w:val="00A41042"/>
    <w:rsid w:val="00A43326"/>
    <w:rsid w:val="00A47F49"/>
    <w:rsid w:val="00A50E3C"/>
    <w:rsid w:val="00A51F66"/>
    <w:rsid w:val="00A565A8"/>
    <w:rsid w:val="00A5726C"/>
    <w:rsid w:val="00A635CD"/>
    <w:rsid w:val="00A63705"/>
    <w:rsid w:val="00A64351"/>
    <w:rsid w:val="00A6516D"/>
    <w:rsid w:val="00A65434"/>
    <w:rsid w:val="00A670DF"/>
    <w:rsid w:val="00A71E56"/>
    <w:rsid w:val="00A72333"/>
    <w:rsid w:val="00A72897"/>
    <w:rsid w:val="00A729F6"/>
    <w:rsid w:val="00A763CD"/>
    <w:rsid w:val="00A76483"/>
    <w:rsid w:val="00A76F95"/>
    <w:rsid w:val="00A80FA7"/>
    <w:rsid w:val="00A816D3"/>
    <w:rsid w:val="00A81E46"/>
    <w:rsid w:val="00A821B1"/>
    <w:rsid w:val="00A829E5"/>
    <w:rsid w:val="00A82A2F"/>
    <w:rsid w:val="00A856AC"/>
    <w:rsid w:val="00A8755A"/>
    <w:rsid w:val="00A904CC"/>
    <w:rsid w:val="00A90E94"/>
    <w:rsid w:val="00A9157D"/>
    <w:rsid w:val="00A921B7"/>
    <w:rsid w:val="00A94F77"/>
    <w:rsid w:val="00A95327"/>
    <w:rsid w:val="00AA01CC"/>
    <w:rsid w:val="00AA0429"/>
    <w:rsid w:val="00AA4989"/>
    <w:rsid w:val="00AA5B5E"/>
    <w:rsid w:val="00AB085C"/>
    <w:rsid w:val="00AB0E4C"/>
    <w:rsid w:val="00AB292E"/>
    <w:rsid w:val="00AB33A7"/>
    <w:rsid w:val="00AB37E9"/>
    <w:rsid w:val="00AB6CF7"/>
    <w:rsid w:val="00AB7FE2"/>
    <w:rsid w:val="00AC0146"/>
    <w:rsid w:val="00AC13F6"/>
    <w:rsid w:val="00AC3485"/>
    <w:rsid w:val="00AC40B0"/>
    <w:rsid w:val="00AC4E1B"/>
    <w:rsid w:val="00AC65D6"/>
    <w:rsid w:val="00AC7AC1"/>
    <w:rsid w:val="00AD0053"/>
    <w:rsid w:val="00AD2B8E"/>
    <w:rsid w:val="00AD6E0A"/>
    <w:rsid w:val="00AE14B3"/>
    <w:rsid w:val="00AE24BE"/>
    <w:rsid w:val="00AE24CB"/>
    <w:rsid w:val="00AE3C29"/>
    <w:rsid w:val="00AE4138"/>
    <w:rsid w:val="00AE5CFC"/>
    <w:rsid w:val="00AE7942"/>
    <w:rsid w:val="00AE79A1"/>
    <w:rsid w:val="00AE7A3A"/>
    <w:rsid w:val="00AE7EFF"/>
    <w:rsid w:val="00AF0A23"/>
    <w:rsid w:val="00AF1E5B"/>
    <w:rsid w:val="00AF1E73"/>
    <w:rsid w:val="00AF46C9"/>
    <w:rsid w:val="00AF7A57"/>
    <w:rsid w:val="00B011DD"/>
    <w:rsid w:val="00B0148F"/>
    <w:rsid w:val="00B05EE7"/>
    <w:rsid w:val="00B1002B"/>
    <w:rsid w:val="00B1203F"/>
    <w:rsid w:val="00B12079"/>
    <w:rsid w:val="00B1234A"/>
    <w:rsid w:val="00B13AF2"/>
    <w:rsid w:val="00B15CFC"/>
    <w:rsid w:val="00B16B05"/>
    <w:rsid w:val="00B2351D"/>
    <w:rsid w:val="00B262A2"/>
    <w:rsid w:val="00B270AA"/>
    <w:rsid w:val="00B27AAE"/>
    <w:rsid w:val="00B31C10"/>
    <w:rsid w:val="00B37143"/>
    <w:rsid w:val="00B37A0A"/>
    <w:rsid w:val="00B401D4"/>
    <w:rsid w:val="00B505D1"/>
    <w:rsid w:val="00B50848"/>
    <w:rsid w:val="00B526CE"/>
    <w:rsid w:val="00B538BF"/>
    <w:rsid w:val="00B54C2C"/>
    <w:rsid w:val="00B5671C"/>
    <w:rsid w:val="00B56CBE"/>
    <w:rsid w:val="00B60214"/>
    <w:rsid w:val="00B6165D"/>
    <w:rsid w:val="00B66EB6"/>
    <w:rsid w:val="00B67045"/>
    <w:rsid w:val="00B72745"/>
    <w:rsid w:val="00B73919"/>
    <w:rsid w:val="00B7552F"/>
    <w:rsid w:val="00B75822"/>
    <w:rsid w:val="00B76267"/>
    <w:rsid w:val="00B76F80"/>
    <w:rsid w:val="00B7792A"/>
    <w:rsid w:val="00B8003E"/>
    <w:rsid w:val="00B804F2"/>
    <w:rsid w:val="00B832B5"/>
    <w:rsid w:val="00B83460"/>
    <w:rsid w:val="00B9172F"/>
    <w:rsid w:val="00B91FB7"/>
    <w:rsid w:val="00B9282E"/>
    <w:rsid w:val="00B93E76"/>
    <w:rsid w:val="00B947C1"/>
    <w:rsid w:val="00B959E9"/>
    <w:rsid w:val="00BA02A7"/>
    <w:rsid w:val="00BA1260"/>
    <w:rsid w:val="00BA2CCE"/>
    <w:rsid w:val="00BA3BD7"/>
    <w:rsid w:val="00BA4481"/>
    <w:rsid w:val="00BA6D0F"/>
    <w:rsid w:val="00BB2D0A"/>
    <w:rsid w:val="00BB2D4D"/>
    <w:rsid w:val="00BB3808"/>
    <w:rsid w:val="00BB55E5"/>
    <w:rsid w:val="00BB5FE7"/>
    <w:rsid w:val="00BB6B3F"/>
    <w:rsid w:val="00BB6BAA"/>
    <w:rsid w:val="00BB7503"/>
    <w:rsid w:val="00BB7D5C"/>
    <w:rsid w:val="00BC193A"/>
    <w:rsid w:val="00BC1B14"/>
    <w:rsid w:val="00BC2C04"/>
    <w:rsid w:val="00BC319C"/>
    <w:rsid w:val="00BC3200"/>
    <w:rsid w:val="00BC40C8"/>
    <w:rsid w:val="00BC71CE"/>
    <w:rsid w:val="00BD1E7C"/>
    <w:rsid w:val="00BD32BB"/>
    <w:rsid w:val="00BD3537"/>
    <w:rsid w:val="00BD59EE"/>
    <w:rsid w:val="00BD5E2F"/>
    <w:rsid w:val="00BD6042"/>
    <w:rsid w:val="00BD614F"/>
    <w:rsid w:val="00BE0262"/>
    <w:rsid w:val="00BE0413"/>
    <w:rsid w:val="00BE12FE"/>
    <w:rsid w:val="00BE365E"/>
    <w:rsid w:val="00BE76A2"/>
    <w:rsid w:val="00BE7740"/>
    <w:rsid w:val="00BF0C51"/>
    <w:rsid w:val="00BF2624"/>
    <w:rsid w:val="00BF40C1"/>
    <w:rsid w:val="00BF47F6"/>
    <w:rsid w:val="00BF4E05"/>
    <w:rsid w:val="00BF5CD2"/>
    <w:rsid w:val="00BF6494"/>
    <w:rsid w:val="00C0022C"/>
    <w:rsid w:val="00C02252"/>
    <w:rsid w:val="00C02D27"/>
    <w:rsid w:val="00C03713"/>
    <w:rsid w:val="00C039ED"/>
    <w:rsid w:val="00C042F0"/>
    <w:rsid w:val="00C04895"/>
    <w:rsid w:val="00C05963"/>
    <w:rsid w:val="00C10934"/>
    <w:rsid w:val="00C125B7"/>
    <w:rsid w:val="00C13571"/>
    <w:rsid w:val="00C14AF3"/>
    <w:rsid w:val="00C15144"/>
    <w:rsid w:val="00C15F58"/>
    <w:rsid w:val="00C20EE1"/>
    <w:rsid w:val="00C21F3A"/>
    <w:rsid w:val="00C2504C"/>
    <w:rsid w:val="00C2626E"/>
    <w:rsid w:val="00C26C99"/>
    <w:rsid w:val="00C2713F"/>
    <w:rsid w:val="00C3554D"/>
    <w:rsid w:val="00C36857"/>
    <w:rsid w:val="00C36ED4"/>
    <w:rsid w:val="00C370FA"/>
    <w:rsid w:val="00C41C99"/>
    <w:rsid w:val="00C42397"/>
    <w:rsid w:val="00C432CE"/>
    <w:rsid w:val="00C44F9D"/>
    <w:rsid w:val="00C45925"/>
    <w:rsid w:val="00C46312"/>
    <w:rsid w:val="00C50275"/>
    <w:rsid w:val="00C50326"/>
    <w:rsid w:val="00C50FC3"/>
    <w:rsid w:val="00C517E4"/>
    <w:rsid w:val="00C51802"/>
    <w:rsid w:val="00C53A14"/>
    <w:rsid w:val="00C53E3A"/>
    <w:rsid w:val="00C56366"/>
    <w:rsid w:val="00C634AE"/>
    <w:rsid w:val="00C63A3C"/>
    <w:rsid w:val="00C640AB"/>
    <w:rsid w:val="00C65B49"/>
    <w:rsid w:val="00C6650C"/>
    <w:rsid w:val="00C669B4"/>
    <w:rsid w:val="00C702A9"/>
    <w:rsid w:val="00C70813"/>
    <w:rsid w:val="00C70C98"/>
    <w:rsid w:val="00C71CDA"/>
    <w:rsid w:val="00C73CF4"/>
    <w:rsid w:val="00C73F69"/>
    <w:rsid w:val="00C742A2"/>
    <w:rsid w:val="00C7621C"/>
    <w:rsid w:val="00C779A7"/>
    <w:rsid w:val="00C77E0E"/>
    <w:rsid w:val="00C80189"/>
    <w:rsid w:val="00C8129E"/>
    <w:rsid w:val="00C81DE6"/>
    <w:rsid w:val="00C81DF4"/>
    <w:rsid w:val="00C83D24"/>
    <w:rsid w:val="00C84000"/>
    <w:rsid w:val="00C84CA9"/>
    <w:rsid w:val="00C8514A"/>
    <w:rsid w:val="00C85754"/>
    <w:rsid w:val="00C85A80"/>
    <w:rsid w:val="00C8662A"/>
    <w:rsid w:val="00C90077"/>
    <w:rsid w:val="00C90CCD"/>
    <w:rsid w:val="00C92CF1"/>
    <w:rsid w:val="00C94901"/>
    <w:rsid w:val="00C97B9B"/>
    <w:rsid w:val="00CA0346"/>
    <w:rsid w:val="00CA1563"/>
    <w:rsid w:val="00CA3D6F"/>
    <w:rsid w:val="00CA579F"/>
    <w:rsid w:val="00CA5E4D"/>
    <w:rsid w:val="00CB121B"/>
    <w:rsid w:val="00CB2704"/>
    <w:rsid w:val="00CB2A96"/>
    <w:rsid w:val="00CB34C3"/>
    <w:rsid w:val="00CB5175"/>
    <w:rsid w:val="00CB76AF"/>
    <w:rsid w:val="00CC0B4A"/>
    <w:rsid w:val="00CC2FCA"/>
    <w:rsid w:val="00CC4F07"/>
    <w:rsid w:val="00CC7B55"/>
    <w:rsid w:val="00CD102C"/>
    <w:rsid w:val="00CD348F"/>
    <w:rsid w:val="00CD4BE8"/>
    <w:rsid w:val="00CD56C7"/>
    <w:rsid w:val="00CD7D38"/>
    <w:rsid w:val="00CE0B8D"/>
    <w:rsid w:val="00CE18FF"/>
    <w:rsid w:val="00CE20BE"/>
    <w:rsid w:val="00CE286D"/>
    <w:rsid w:val="00CE2A12"/>
    <w:rsid w:val="00CE2C4F"/>
    <w:rsid w:val="00CE41D7"/>
    <w:rsid w:val="00CF0027"/>
    <w:rsid w:val="00CF187D"/>
    <w:rsid w:val="00CF2117"/>
    <w:rsid w:val="00CF4ED1"/>
    <w:rsid w:val="00CF60D1"/>
    <w:rsid w:val="00D0016C"/>
    <w:rsid w:val="00D0059B"/>
    <w:rsid w:val="00D00ABF"/>
    <w:rsid w:val="00D025DE"/>
    <w:rsid w:val="00D02A7F"/>
    <w:rsid w:val="00D05403"/>
    <w:rsid w:val="00D07BA8"/>
    <w:rsid w:val="00D11C6E"/>
    <w:rsid w:val="00D13170"/>
    <w:rsid w:val="00D13199"/>
    <w:rsid w:val="00D13E0E"/>
    <w:rsid w:val="00D16B74"/>
    <w:rsid w:val="00D201AF"/>
    <w:rsid w:val="00D232B8"/>
    <w:rsid w:val="00D24E4E"/>
    <w:rsid w:val="00D25824"/>
    <w:rsid w:val="00D25D0D"/>
    <w:rsid w:val="00D262D6"/>
    <w:rsid w:val="00D265C5"/>
    <w:rsid w:val="00D26BB2"/>
    <w:rsid w:val="00D302F2"/>
    <w:rsid w:val="00D31048"/>
    <w:rsid w:val="00D31220"/>
    <w:rsid w:val="00D325F4"/>
    <w:rsid w:val="00D32F50"/>
    <w:rsid w:val="00D34084"/>
    <w:rsid w:val="00D347CD"/>
    <w:rsid w:val="00D34EDC"/>
    <w:rsid w:val="00D3573A"/>
    <w:rsid w:val="00D35EFC"/>
    <w:rsid w:val="00D372AE"/>
    <w:rsid w:val="00D40653"/>
    <w:rsid w:val="00D42F11"/>
    <w:rsid w:val="00D463FA"/>
    <w:rsid w:val="00D46939"/>
    <w:rsid w:val="00D531CD"/>
    <w:rsid w:val="00D53985"/>
    <w:rsid w:val="00D54AC0"/>
    <w:rsid w:val="00D57F9B"/>
    <w:rsid w:val="00D6116D"/>
    <w:rsid w:val="00D62811"/>
    <w:rsid w:val="00D638A3"/>
    <w:rsid w:val="00D642A9"/>
    <w:rsid w:val="00D64A17"/>
    <w:rsid w:val="00D658B8"/>
    <w:rsid w:val="00D673B0"/>
    <w:rsid w:val="00D67772"/>
    <w:rsid w:val="00D70C43"/>
    <w:rsid w:val="00D7562C"/>
    <w:rsid w:val="00D76104"/>
    <w:rsid w:val="00D766D6"/>
    <w:rsid w:val="00D77B68"/>
    <w:rsid w:val="00D8013D"/>
    <w:rsid w:val="00D80DC4"/>
    <w:rsid w:val="00D81D80"/>
    <w:rsid w:val="00D82320"/>
    <w:rsid w:val="00D831F4"/>
    <w:rsid w:val="00D83E30"/>
    <w:rsid w:val="00D8492F"/>
    <w:rsid w:val="00D85374"/>
    <w:rsid w:val="00D85902"/>
    <w:rsid w:val="00D86A23"/>
    <w:rsid w:val="00D86E0B"/>
    <w:rsid w:val="00D90C88"/>
    <w:rsid w:val="00D93E0E"/>
    <w:rsid w:val="00D95696"/>
    <w:rsid w:val="00DA03CE"/>
    <w:rsid w:val="00DA209F"/>
    <w:rsid w:val="00DA7AD1"/>
    <w:rsid w:val="00DB0283"/>
    <w:rsid w:val="00DB0D63"/>
    <w:rsid w:val="00DB144E"/>
    <w:rsid w:val="00DB1C3D"/>
    <w:rsid w:val="00DB5D5F"/>
    <w:rsid w:val="00DB5D89"/>
    <w:rsid w:val="00DB6F15"/>
    <w:rsid w:val="00DC3C6F"/>
    <w:rsid w:val="00DC6AE2"/>
    <w:rsid w:val="00DD535A"/>
    <w:rsid w:val="00DD5A66"/>
    <w:rsid w:val="00DD5AB8"/>
    <w:rsid w:val="00DD6591"/>
    <w:rsid w:val="00DE01C0"/>
    <w:rsid w:val="00DE176C"/>
    <w:rsid w:val="00DE2752"/>
    <w:rsid w:val="00DE41D9"/>
    <w:rsid w:val="00DE4467"/>
    <w:rsid w:val="00DE48B5"/>
    <w:rsid w:val="00DE4935"/>
    <w:rsid w:val="00DE5371"/>
    <w:rsid w:val="00DE6821"/>
    <w:rsid w:val="00DF0E12"/>
    <w:rsid w:val="00DF1597"/>
    <w:rsid w:val="00DF2D9A"/>
    <w:rsid w:val="00DF2E24"/>
    <w:rsid w:val="00DF377E"/>
    <w:rsid w:val="00DF45B9"/>
    <w:rsid w:val="00DF6842"/>
    <w:rsid w:val="00E0073D"/>
    <w:rsid w:val="00E00D04"/>
    <w:rsid w:val="00E00EFA"/>
    <w:rsid w:val="00E0152D"/>
    <w:rsid w:val="00E01B5D"/>
    <w:rsid w:val="00E01BE7"/>
    <w:rsid w:val="00E0238A"/>
    <w:rsid w:val="00E055AA"/>
    <w:rsid w:val="00E06A54"/>
    <w:rsid w:val="00E10334"/>
    <w:rsid w:val="00E1065C"/>
    <w:rsid w:val="00E11112"/>
    <w:rsid w:val="00E11F7B"/>
    <w:rsid w:val="00E12BD3"/>
    <w:rsid w:val="00E13E7A"/>
    <w:rsid w:val="00E154FB"/>
    <w:rsid w:val="00E20363"/>
    <w:rsid w:val="00E208C2"/>
    <w:rsid w:val="00E21CE8"/>
    <w:rsid w:val="00E24175"/>
    <w:rsid w:val="00E2626B"/>
    <w:rsid w:val="00E2695C"/>
    <w:rsid w:val="00E27A1B"/>
    <w:rsid w:val="00E31583"/>
    <w:rsid w:val="00E33802"/>
    <w:rsid w:val="00E3788E"/>
    <w:rsid w:val="00E40C9A"/>
    <w:rsid w:val="00E453AD"/>
    <w:rsid w:val="00E54CE8"/>
    <w:rsid w:val="00E556F7"/>
    <w:rsid w:val="00E57BA8"/>
    <w:rsid w:val="00E6043F"/>
    <w:rsid w:val="00E62423"/>
    <w:rsid w:val="00E65FF0"/>
    <w:rsid w:val="00E6608E"/>
    <w:rsid w:val="00E70144"/>
    <w:rsid w:val="00E708BD"/>
    <w:rsid w:val="00E73DAD"/>
    <w:rsid w:val="00E74BF5"/>
    <w:rsid w:val="00E756A0"/>
    <w:rsid w:val="00E815E6"/>
    <w:rsid w:val="00E8286F"/>
    <w:rsid w:val="00E85CF6"/>
    <w:rsid w:val="00E85ED9"/>
    <w:rsid w:val="00E90D1E"/>
    <w:rsid w:val="00E91110"/>
    <w:rsid w:val="00E932DF"/>
    <w:rsid w:val="00E93EFF"/>
    <w:rsid w:val="00E947AC"/>
    <w:rsid w:val="00E957E2"/>
    <w:rsid w:val="00E9710C"/>
    <w:rsid w:val="00EA0C5E"/>
    <w:rsid w:val="00EA1F3A"/>
    <w:rsid w:val="00EA2CC5"/>
    <w:rsid w:val="00EA3080"/>
    <w:rsid w:val="00EA714D"/>
    <w:rsid w:val="00EB3386"/>
    <w:rsid w:val="00EB4D95"/>
    <w:rsid w:val="00EB5A00"/>
    <w:rsid w:val="00EB6A4F"/>
    <w:rsid w:val="00EB7981"/>
    <w:rsid w:val="00EC2170"/>
    <w:rsid w:val="00EC2B7D"/>
    <w:rsid w:val="00EC5EEC"/>
    <w:rsid w:val="00EC712E"/>
    <w:rsid w:val="00EC7705"/>
    <w:rsid w:val="00ED12B0"/>
    <w:rsid w:val="00ED169B"/>
    <w:rsid w:val="00ED1CD0"/>
    <w:rsid w:val="00ED3D0A"/>
    <w:rsid w:val="00ED5EC5"/>
    <w:rsid w:val="00ED7249"/>
    <w:rsid w:val="00ED75A2"/>
    <w:rsid w:val="00EE0277"/>
    <w:rsid w:val="00EE2FC4"/>
    <w:rsid w:val="00EE3B10"/>
    <w:rsid w:val="00EE7430"/>
    <w:rsid w:val="00EF11ED"/>
    <w:rsid w:val="00EF15BF"/>
    <w:rsid w:val="00EF2281"/>
    <w:rsid w:val="00EF44D0"/>
    <w:rsid w:val="00EF6014"/>
    <w:rsid w:val="00EF6E8E"/>
    <w:rsid w:val="00EF7212"/>
    <w:rsid w:val="00EF7BB4"/>
    <w:rsid w:val="00EF7EF2"/>
    <w:rsid w:val="00F01CC4"/>
    <w:rsid w:val="00F040DC"/>
    <w:rsid w:val="00F05D80"/>
    <w:rsid w:val="00F1439D"/>
    <w:rsid w:val="00F1547E"/>
    <w:rsid w:val="00F176E8"/>
    <w:rsid w:val="00F177DF"/>
    <w:rsid w:val="00F20F59"/>
    <w:rsid w:val="00F2476B"/>
    <w:rsid w:val="00F24784"/>
    <w:rsid w:val="00F2534B"/>
    <w:rsid w:val="00F302FB"/>
    <w:rsid w:val="00F31837"/>
    <w:rsid w:val="00F3255B"/>
    <w:rsid w:val="00F33638"/>
    <w:rsid w:val="00F3670D"/>
    <w:rsid w:val="00F4000B"/>
    <w:rsid w:val="00F40970"/>
    <w:rsid w:val="00F40D89"/>
    <w:rsid w:val="00F44391"/>
    <w:rsid w:val="00F45A7D"/>
    <w:rsid w:val="00F4684C"/>
    <w:rsid w:val="00F46C07"/>
    <w:rsid w:val="00F50F49"/>
    <w:rsid w:val="00F512DE"/>
    <w:rsid w:val="00F53281"/>
    <w:rsid w:val="00F61CCA"/>
    <w:rsid w:val="00F62A7E"/>
    <w:rsid w:val="00F64C06"/>
    <w:rsid w:val="00F6548A"/>
    <w:rsid w:val="00F65B35"/>
    <w:rsid w:val="00F66EED"/>
    <w:rsid w:val="00F67754"/>
    <w:rsid w:val="00F70D5D"/>
    <w:rsid w:val="00F72840"/>
    <w:rsid w:val="00F73743"/>
    <w:rsid w:val="00F74C65"/>
    <w:rsid w:val="00F7600B"/>
    <w:rsid w:val="00F76C53"/>
    <w:rsid w:val="00F8082C"/>
    <w:rsid w:val="00F810FC"/>
    <w:rsid w:val="00F81F48"/>
    <w:rsid w:val="00F845F6"/>
    <w:rsid w:val="00F848DE"/>
    <w:rsid w:val="00F87C83"/>
    <w:rsid w:val="00F9013D"/>
    <w:rsid w:val="00FA26B7"/>
    <w:rsid w:val="00FA4C3A"/>
    <w:rsid w:val="00FA6FAC"/>
    <w:rsid w:val="00FA77E9"/>
    <w:rsid w:val="00FB0300"/>
    <w:rsid w:val="00FB0FE1"/>
    <w:rsid w:val="00FC04D9"/>
    <w:rsid w:val="00FC27A5"/>
    <w:rsid w:val="00FC3424"/>
    <w:rsid w:val="00FC5636"/>
    <w:rsid w:val="00FC5C29"/>
    <w:rsid w:val="00FC63BB"/>
    <w:rsid w:val="00FC6519"/>
    <w:rsid w:val="00FC6A2A"/>
    <w:rsid w:val="00FC6E96"/>
    <w:rsid w:val="00FD532C"/>
    <w:rsid w:val="00FD6F59"/>
    <w:rsid w:val="00FD7780"/>
    <w:rsid w:val="00FE11F8"/>
    <w:rsid w:val="00FE2D5F"/>
    <w:rsid w:val="00FE42A1"/>
    <w:rsid w:val="00FE4763"/>
    <w:rsid w:val="00FE6C25"/>
    <w:rsid w:val="00FE773B"/>
    <w:rsid w:val="00FF7803"/>
    <w:rsid w:val="00FF7B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A3CD8"/>
    <w:pPr>
      <w:jc w:val="both"/>
    </w:pPr>
    <w:rPr>
      <w:sz w:val="24"/>
      <w:szCs w:val="22"/>
      <w:lang w:eastAsia="en-US"/>
    </w:rPr>
  </w:style>
  <w:style w:type="paragraph" w:styleId="Heading1">
    <w:name w:val="heading 1"/>
    <w:basedOn w:val="Normal"/>
    <w:next w:val="Normal"/>
    <w:link w:val="Heading1Char"/>
    <w:autoRedefine/>
    <w:uiPriority w:val="9"/>
    <w:qFormat/>
    <w:rsid w:val="0032319D"/>
    <w:pPr>
      <w:keepNext/>
      <w:keepLines/>
      <w:outlineLvl w:val="0"/>
    </w:pPr>
    <w:rPr>
      <w:b/>
      <w:bCs/>
      <w:sz w:val="28"/>
      <w:szCs w:val="28"/>
    </w:rPr>
  </w:style>
  <w:style w:type="paragraph" w:styleId="Heading2">
    <w:name w:val="heading 2"/>
    <w:basedOn w:val="Normal"/>
    <w:next w:val="Normal"/>
    <w:link w:val="Heading2Char"/>
    <w:autoRedefine/>
    <w:uiPriority w:val="9"/>
    <w:unhideWhenUsed/>
    <w:qFormat/>
    <w:rsid w:val="006C05F2"/>
    <w:pPr>
      <w:keepNext/>
      <w:keepLines/>
      <w:outlineLvl w:val="1"/>
    </w:pPr>
    <w:rPr>
      <w:b/>
      <w:bCs/>
      <w:szCs w:val="26"/>
    </w:rPr>
  </w:style>
  <w:style w:type="paragraph" w:styleId="Heading3">
    <w:name w:val="heading 3"/>
    <w:basedOn w:val="Normal"/>
    <w:next w:val="Normal"/>
    <w:link w:val="Heading3Char"/>
    <w:uiPriority w:val="9"/>
    <w:unhideWhenUsed/>
    <w:qFormat/>
    <w:rsid w:val="005D664C"/>
    <w:pPr>
      <w:keepNext/>
      <w:keepLines/>
      <w:outlineLvl w:val="2"/>
    </w:pPr>
    <w:rPr>
      <w:b/>
      <w:bCs/>
      <w:i/>
    </w:rPr>
  </w:style>
  <w:style w:type="paragraph" w:styleId="Heading4">
    <w:name w:val="heading 4"/>
    <w:basedOn w:val="Normal"/>
    <w:next w:val="Normal"/>
    <w:link w:val="Heading4Char"/>
    <w:uiPriority w:val="9"/>
    <w:unhideWhenUsed/>
    <w:qFormat/>
    <w:rsid w:val="002853CB"/>
    <w:pPr>
      <w:outlineLvl w:val="3"/>
    </w:pPr>
    <w:rPr>
      <w:i/>
    </w:rPr>
  </w:style>
  <w:style w:type="paragraph" w:styleId="Heading5">
    <w:name w:val="heading 5"/>
    <w:basedOn w:val="Normal"/>
    <w:next w:val="Normal"/>
    <w:link w:val="Heading5Char"/>
    <w:uiPriority w:val="9"/>
    <w:semiHidden/>
    <w:unhideWhenUsed/>
    <w:qFormat/>
    <w:rsid w:val="00A170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319D"/>
    <w:rPr>
      <w:b/>
      <w:bCs/>
      <w:sz w:val="28"/>
      <w:szCs w:val="28"/>
      <w:lang w:eastAsia="en-US"/>
    </w:rPr>
  </w:style>
  <w:style w:type="character" w:customStyle="1" w:styleId="Heading2Char">
    <w:name w:val="Heading 2 Char"/>
    <w:link w:val="Heading2"/>
    <w:uiPriority w:val="9"/>
    <w:rsid w:val="006C05F2"/>
    <w:rPr>
      <w:b/>
      <w:bCs/>
      <w:sz w:val="24"/>
      <w:szCs w:val="26"/>
      <w:lang w:eastAsia="en-US"/>
    </w:rPr>
  </w:style>
  <w:style w:type="character" w:customStyle="1" w:styleId="Heading3Char">
    <w:name w:val="Heading 3 Char"/>
    <w:link w:val="Heading3"/>
    <w:uiPriority w:val="9"/>
    <w:rsid w:val="005D664C"/>
    <w:rPr>
      <w:rFonts w:ascii="Times New Roman" w:eastAsia="Times New Roman" w:hAnsi="Times New Roman" w:cs="Times New Roman"/>
      <w:b/>
      <w:bCs/>
      <w:i/>
      <w:sz w:val="24"/>
    </w:rPr>
  </w:style>
  <w:style w:type="character" w:customStyle="1" w:styleId="Heading4Char">
    <w:name w:val="Heading 4 Char"/>
    <w:link w:val="Heading4"/>
    <w:uiPriority w:val="9"/>
    <w:rsid w:val="002853CB"/>
    <w:rPr>
      <w:i/>
      <w:sz w:val="24"/>
      <w:szCs w:val="22"/>
      <w:lang w:eastAsia="en-US"/>
    </w:rPr>
  </w:style>
  <w:style w:type="paragraph" w:styleId="FootnoteText">
    <w:name w:val="footnote text"/>
    <w:basedOn w:val="Normal"/>
    <w:link w:val="FootnoteTextChar"/>
    <w:uiPriority w:val="99"/>
    <w:semiHidden/>
    <w:rsid w:val="00855AF4"/>
    <w:rPr>
      <w:sz w:val="20"/>
      <w:szCs w:val="20"/>
      <w:lang w:val="en-GB" w:eastAsia="en-AU"/>
    </w:rPr>
  </w:style>
  <w:style w:type="character" w:customStyle="1" w:styleId="FootnoteTextChar">
    <w:name w:val="Footnote Text Char"/>
    <w:link w:val="FootnoteText"/>
    <w:uiPriority w:val="99"/>
    <w:semiHidden/>
    <w:rsid w:val="00855AF4"/>
    <w:rPr>
      <w:rFonts w:eastAsia="Times New Roman" w:cs="Times New Roman"/>
      <w:sz w:val="20"/>
      <w:szCs w:val="20"/>
      <w:lang w:val="en-GB" w:eastAsia="en-AU"/>
    </w:rPr>
  </w:style>
  <w:style w:type="character" w:styleId="FootnoteReference">
    <w:name w:val="footnote reference"/>
    <w:semiHidden/>
    <w:rsid w:val="00855AF4"/>
    <w:rPr>
      <w:rFonts w:ascii="Times New Roman" w:hAnsi="Times New Roman"/>
      <w:vertAlign w:val="superscript"/>
    </w:rPr>
  </w:style>
  <w:style w:type="paragraph" w:styleId="TOCHeading">
    <w:name w:val="TOC Heading"/>
    <w:basedOn w:val="Heading1"/>
    <w:next w:val="Normal"/>
    <w:uiPriority w:val="39"/>
    <w:semiHidden/>
    <w:unhideWhenUsed/>
    <w:qFormat/>
    <w:rsid w:val="00BC3200"/>
    <w:pPr>
      <w:outlineLvl w:val="9"/>
    </w:pPr>
    <w:rPr>
      <w:lang w:val="en-US" w:eastAsia="ja-JP"/>
    </w:rPr>
  </w:style>
  <w:style w:type="paragraph" w:styleId="TOC1">
    <w:name w:val="toc 1"/>
    <w:basedOn w:val="Normal"/>
    <w:next w:val="Normal"/>
    <w:autoRedefine/>
    <w:uiPriority w:val="39"/>
    <w:unhideWhenUsed/>
    <w:rsid w:val="00BC3200"/>
    <w:pPr>
      <w:spacing w:after="100"/>
    </w:pPr>
  </w:style>
  <w:style w:type="paragraph" w:styleId="TOC2">
    <w:name w:val="toc 2"/>
    <w:basedOn w:val="Normal"/>
    <w:next w:val="Normal"/>
    <w:autoRedefine/>
    <w:uiPriority w:val="39"/>
    <w:unhideWhenUsed/>
    <w:rsid w:val="00BC3200"/>
    <w:pPr>
      <w:spacing w:after="100"/>
      <w:ind w:left="220"/>
    </w:pPr>
  </w:style>
  <w:style w:type="paragraph" w:styleId="TOC3">
    <w:name w:val="toc 3"/>
    <w:basedOn w:val="Normal"/>
    <w:next w:val="Normal"/>
    <w:autoRedefine/>
    <w:uiPriority w:val="39"/>
    <w:unhideWhenUsed/>
    <w:rsid w:val="00BC3200"/>
    <w:pPr>
      <w:spacing w:after="100"/>
      <w:ind w:left="440"/>
    </w:pPr>
  </w:style>
  <w:style w:type="character" w:styleId="Hyperlink">
    <w:name w:val="Hyperlink"/>
    <w:uiPriority w:val="99"/>
    <w:unhideWhenUsed/>
    <w:rsid w:val="00BC3200"/>
    <w:rPr>
      <w:color w:val="0000FF"/>
      <w:u w:val="single"/>
    </w:rPr>
  </w:style>
  <w:style w:type="paragraph" w:styleId="BalloonText">
    <w:name w:val="Balloon Text"/>
    <w:basedOn w:val="Normal"/>
    <w:link w:val="BalloonTextChar"/>
    <w:uiPriority w:val="99"/>
    <w:semiHidden/>
    <w:unhideWhenUsed/>
    <w:rsid w:val="00BC3200"/>
    <w:rPr>
      <w:rFonts w:ascii="Tahoma" w:hAnsi="Tahoma" w:cs="Tahoma"/>
      <w:sz w:val="16"/>
      <w:szCs w:val="16"/>
    </w:rPr>
  </w:style>
  <w:style w:type="character" w:customStyle="1" w:styleId="BalloonTextChar">
    <w:name w:val="Balloon Text Char"/>
    <w:link w:val="BalloonText"/>
    <w:uiPriority w:val="99"/>
    <w:semiHidden/>
    <w:rsid w:val="00BC3200"/>
    <w:rPr>
      <w:rFonts w:ascii="Tahoma" w:hAnsi="Tahoma" w:cs="Tahoma"/>
      <w:sz w:val="16"/>
      <w:szCs w:val="16"/>
    </w:rPr>
  </w:style>
  <w:style w:type="character" w:styleId="CommentReference">
    <w:name w:val="annotation reference"/>
    <w:semiHidden/>
    <w:unhideWhenUsed/>
    <w:rsid w:val="00293137"/>
    <w:rPr>
      <w:sz w:val="16"/>
      <w:szCs w:val="16"/>
    </w:rPr>
  </w:style>
  <w:style w:type="paragraph" w:styleId="CommentSubject">
    <w:name w:val="annotation subject"/>
    <w:basedOn w:val="Normal"/>
    <w:link w:val="CommentSubjectChar"/>
    <w:uiPriority w:val="99"/>
    <w:semiHidden/>
    <w:unhideWhenUsed/>
    <w:rsid w:val="00C63A3C"/>
    <w:rPr>
      <w:b/>
      <w:bCs/>
    </w:rPr>
  </w:style>
  <w:style w:type="character" w:customStyle="1" w:styleId="CommentSubjectChar">
    <w:name w:val="Comment Subject Char"/>
    <w:link w:val="CommentSubject"/>
    <w:uiPriority w:val="99"/>
    <w:semiHidden/>
    <w:rsid w:val="00293137"/>
    <w:rPr>
      <w:b/>
      <w:bCs/>
      <w:sz w:val="20"/>
      <w:szCs w:val="20"/>
    </w:rPr>
  </w:style>
  <w:style w:type="paragraph" w:styleId="NormalWeb">
    <w:name w:val="Normal (Web)"/>
    <w:basedOn w:val="Normal"/>
    <w:uiPriority w:val="99"/>
    <w:unhideWhenUsed/>
    <w:rsid w:val="00FB0300"/>
    <w:pPr>
      <w:spacing w:before="100" w:beforeAutospacing="1" w:after="100" w:afterAutospacing="1"/>
    </w:pPr>
    <w:rPr>
      <w:szCs w:val="24"/>
      <w:lang w:eastAsia="en-NZ"/>
    </w:rPr>
  </w:style>
  <w:style w:type="character" w:styleId="PlaceholderText">
    <w:name w:val="Placeholder Text"/>
    <w:uiPriority w:val="99"/>
    <w:semiHidden/>
    <w:rsid w:val="00B91FB7"/>
    <w:rPr>
      <w:color w:val="808080"/>
    </w:rPr>
  </w:style>
  <w:style w:type="paragraph" w:styleId="Header">
    <w:name w:val="header"/>
    <w:basedOn w:val="Normal"/>
    <w:link w:val="HeaderChar"/>
    <w:uiPriority w:val="99"/>
    <w:unhideWhenUsed/>
    <w:rsid w:val="00B91FB7"/>
    <w:pPr>
      <w:tabs>
        <w:tab w:val="center" w:pos="4513"/>
        <w:tab w:val="right" w:pos="9026"/>
      </w:tabs>
    </w:pPr>
  </w:style>
  <w:style w:type="character" w:customStyle="1" w:styleId="HeaderChar">
    <w:name w:val="Header Char"/>
    <w:basedOn w:val="DefaultParagraphFont"/>
    <w:link w:val="Header"/>
    <w:uiPriority w:val="99"/>
    <w:rsid w:val="00B91FB7"/>
  </w:style>
  <w:style w:type="paragraph" w:styleId="Footer">
    <w:name w:val="footer"/>
    <w:basedOn w:val="Normal"/>
    <w:link w:val="FooterChar"/>
    <w:uiPriority w:val="99"/>
    <w:unhideWhenUsed/>
    <w:rsid w:val="00B91FB7"/>
    <w:pPr>
      <w:tabs>
        <w:tab w:val="center" w:pos="4513"/>
        <w:tab w:val="right" w:pos="9026"/>
      </w:tabs>
    </w:pPr>
  </w:style>
  <w:style w:type="character" w:customStyle="1" w:styleId="FooterChar">
    <w:name w:val="Footer Char"/>
    <w:basedOn w:val="DefaultParagraphFont"/>
    <w:link w:val="Footer"/>
    <w:uiPriority w:val="99"/>
    <w:rsid w:val="00B91FB7"/>
  </w:style>
  <w:style w:type="table" w:styleId="TableGrid">
    <w:name w:val="Table Grid"/>
    <w:basedOn w:val="TableNormal"/>
    <w:rsid w:val="00217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Definition">
    <w:name w:val="HTML Definition"/>
    <w:uiPriority w:val="99"/>
    <w:semiHidden/>
    <w:unhideWhenUsed/>
    <w:rsid w:val="00537B8B"/>
    <w:rPr>
      <w:i/>
      <w:iCs/>
    </w:rPr>
  </w:style>
  <w:style w:type="character" w:customStyle="1" w:styleId="q1">
    <w:name w:val="q1"/>
    <w:rsid w:val="00537B8B"/>
    <w:rPr>
      <w:b w:val="0"/>
      <w:bCs w:val="0"/>
      <w:i w:val="0"/>
      <w:iCs w:val="0"/>
      <w:spacing w:val="15"/>
    </w:rPr>
  </w:style>
  <w:style w:type="paragraph" w:styleId="Revision">
    <w:name w:val="Revision"/>
    <w:hidden/>
    <w:uiPriority w:val="99"/>
    <w:semiHidden/>
    <w:rsid w:val="0005766C"/>
    <w:rPr>
      <w:sz w:val="22"/>
      <w:szCs w:val="22"/>
      <w:lang w:eastAsia="en-US"/>
    </w:rPr>
  </w:style>
  <w:style w:type="paragraph" w:customStyle="1" w:styleId="Title-Specialreport">
    <w:name w:val="Title - Special report"/>
    <w:basedOn w:val="Normal"/>
    <w:qFormat/>
    <w:rsid w:val="007B23D5"/>
    <w:pPr>
      <w:pBdr>
        <w:top w:val="single" w:sz="18" w:space="10" w:color="auto"/>
        <w:bottom w:val="single" w:sz="8" w:space="10" w:color="auto"/>
      </w:pBdr>
    </w:pPr>
    <w:rPr>
      <w:b/>
      <w:sz w:val="36"/>
      <w:szCs w:val="36"/>
    </w:rPr>
  </w:style>
  <w:style w:type="paragraph" w:customStyle="1" w:styleId="Bullets2">
    <w:name w:val="Bullets 2"/>
    <w:basedOn w:val="Bullets"/>
    <w:qFormat/>
    <w:rsid w:val="00E24175"/>
    <w:pPr>
      <w:numPr>
        <w:numId w:val="3"/>
      </w:numPr>
      <w:tabs>
        <w:tab w:val="left" w:pos="1134"/>
      </w:tabs>
      <w:ind w:left="1134" w:hanging="567"/>
    </w:pPr>
  </w:style>
  <w:style w:type="paragraph" w:customStyle="1" w:styleId="Bullets">
    <w:name w:val="Bullets"/>
    <w:basedOn w:val="Normal"/>
    <w:link w:val="BulletsChar"/>
    <w:qFormat/>
    <w:rsid w:val="00740516"/>
    <w:pPr>
      <w:numPr>
        <w:numId w:val="1"/>
      </w:numPr>
      <w:spacing w:after="140"/>
      <w:ind w:left="567" w:hanging="567"/>
    </w:pPr>
  </w:style>
  <w:style w:type="character" w:customStyle="1" w:styleId="BulletsChar">
    <w:name w:val="Bullets Char"/>
    <w:link w:val="Bullets"/>
    <w:rsid w:val="005A3CD8"/>
    <w:rPr>
      <w:sz w:val="24"/>
      <w:szCs w:val="22"/>
      <w:lang w:eastAsia="en-US"/>
    </w:rPr>
  </w:style>
  <w:style w:type="character" w:styleId="Strong">
    <w:name w:val="Strong"/>
    <w:uiPriority w:val="22"/>
    <w:qFormat/>
    <w:rsid w:val="001C1C11"/>
    <w:rPr>
      <w:b/>
      <w:bCs/>
    </w:rPr>
  </w:style>
  <w:style w:type="paragraph" w:customStyle="1" w:styleId="Bullets3">
    <w:name w:val="Bullets 3"/>
    <w:basedOn w:val="Bullets2"/>
    <w:qFormat/>
    <w:rsid w:val="003110C5"/>
    <w:pPr>
      <w:numPr>
        <w:numId w:val="0"/>
      </w:numPr>
      <w:ind w:left="1418" w:hanging="284"/>
    </w:pPr>
  </w:style>
  <w:style w:type="paragraph" w:styleId="ListParagraph">
    <w:name w:val="List Paragraph"/>
    <w:basedOn w:val="Normal"/>
    <w:uiPriority w:val="34"/>
    <w:qFormat/>
    <w:rsid w:val="00FC3424"/>
    <w:pPr>
      <w:ind w:left="720"/>
      <w:contextualSpacing/>
    </w:pPr>
  </w:style>
  <w:style w:type="paragraph" w:customStyle="1" w:styleId="Indentbullet">
    <w:name w:val="Indent bullet"/>
    <w:basedOn w:val="BodyText"/>
    <w:rsid w:val="00195866"/>
    <w:pPr>
      <w:spacing w:after="140"/>
      <w:ind w:left="1080" w:hanging="360"/>
    </w:pPr>
    <w:rPr>
      <w:szCs w:val="20"/>
      <w:lang w:val="en-GB" w:eastAsia="en-AU"/>
    </w:rPr>
  </w:style>
  <w:style w:type="paragraph" w:styleId="BodyText">
    <w:name w:val="Body Text"/>
    <w:basedOn w:val="Normal"/>
    <w:link w:val="BodyTextChar"/>
    <w:unhideWhenUsed/>
    <w:qFormat/>
    <w:rsid w:val="006C05F2"/>
  </w:style>
  <w:style w:type="character" w:customStyle="1" w:styleId="BodyTextChar">
    <w:name w:val="Body Text Char"/>
    <w:basedOn w:val="DefaultParagraphFont"/>
    <w:link w:val="BodyText"/>
    <w:rsid w:val="006C05F2"/>
    <w:rPr>
      <w:sz w:val="24"/>
      <w:szCs w:val="22"/>
      <w:lang w:eastAsia="en-US"/>
    </w:rPr>
  </w:style>
  <w:style w:type="paragraph" w:customStyle="1" w:styleId="Numberparagraph">
    <w:name w:val="Number paragraph"/>
    <w:basedOn w:val="Normal"/>
    <w:qFormat/>
    <w:rsid w:val="008B6DCA"/>
    <w:pPr>
      <w:tabs>
        <w:tab w:val="left" w:pos="567"/>
      </w:tabs>
    </w:pPr>
    <w:rPr>
      <w:szCs w:val="24"/>
      <w:lang w:eastAsia="en-AU"/>
    </w:rPr>
  </w:style>
  <w:style w:type="paragraph" w:styleId="CommentText">
    <w:name w:val="annotation text"/>
    <w:basedOn w:val="Normal"/>
    <w:link w:val="CommentTextChar"/>
    <w:semiHidden/>
    <w:unhideWhenUsed/>
    <w:rsid w:val="00C13571"/>
    <w:rPr>
      <w:sz w:val="20"/>
      <w:szCs w:val="20"/>
    </w:rPr>
  </w:style>
  <w:style w:type="character" w:customStyle="1" w:styleId="CommentTextChar">
    <w:name w:val="Comment Text Char"/>
    <w:basedOn w:val="DefaultParagraphFont"/>
    <w:link w:val="CommentText"/>
    <w:semiHidden/>
    <w:rsid w:val="00C13571"/>
    <w:rPr>
      <w:lang w:eastAsia="en-US"/>
    </w:rPr>
  </w:style>
  <w:style w:type="paragraph" w:customStyle="1" w:styleId="Sectionclause">
    <w:name w:val="Section/clause"/>
    <w:basedOn w:val="Normal"/>
    <w:link w:val="SectionclauseChar"/>
    <w:qFormat/>
    <w:rsid w:val="00D05403"/>
    <w:rPr>
      <w:b/>
      <w:i/>
    </w:rPr>
  </w:style>
  <w:style w:type="character" w:customStyle="1" w:styleId="Heading5Char">
    <w:name w:val="Heading 5 Char"/>
    <w:basedOn w:val="DefaultParagraphFont"/>
    <w:link w:val="Heading5"/>
    <w:uiPriority w:val="9"/>
    <w:semiHidden/>
    <w:rsid w:val="00A170F9"/>
    <w:rPr>
      <w:rFonts w:asciiTheme="majorHAnsi" w:eastAsiaTheme="majorEastAsia" w:hAnsiTheme="majorHAnsi" w:cstheme="majorBidi"/>
      <w:color w:val="243F60" w:themeColor="accent1" w:themeShade="7F"/>
      <w:sz w:val="24"/>
      <w:szCs w:val="22"/>
      <w:lang w:eastAsia="en-US"/>
    </w:rPr>
  </w:style>
  <w:style w:type="character" w:customStyle="1" w:styleId="SectionclauseChar">
    <w:name w:val="Section/clause Char"/>
    <w:basedOn w:val="DefaultParagraphFont"/>
    <w:link w:val="Sectionclause"/>
    <w:rsid w:val="00D05403"/>
    <w:rPr>
      <w:b/>
      <w:i/>
      <w:sz w:val="24"/>
      <w:szCs w:val="22"/>
      <w:lang w:eastAsia="en-US"/>
    </w:rPr>
  </w:style>
  <w:style w:type="paragraph" w:customStyle="1" w:styleId="Sections">
    <w:name w:val="Sections"/>
    <w:basedOn w:val="Normal"/>
    <w:link w:val="SectionsChar"/>
    <w:qFormat/>
    <w:rsid w:val="00CF2117"/>
    <w:rPr>
      <w:b/>
      <w:i/>
      <w:szCs w:val="24"/>
      <w:lang w:eastAsia="en-NZ"/>
    </w:rPr>
  </w:style>
  <w:style w:type="character" w:customStyle="1" w:styleId="SectionsChar">
    <w:name w:val="Sections Char"/>
    <w:basedOn w:val="DefaultParagraphFont"/>
    <w:link w:val="Sections"/>
    <w:rsid w:val="00CF2117"/>
    <w:rPr>
      <w:b/>
      <w:i/>
      <w:sz w:val="24"/>
      <w:szCs w:val="24"/>
    </w:rPr>
  </w:style>
  <w:style w:type="paragraph" w:customStyle="1" w:styleId="Exampleheading">
    <w:name w:val="Example heading"/>
    <w:basedOn w:val="Normal"/>
    <w:next w:val="Exampletext"/>
    <w:link w:val="ExampleheadingChar"/>
    <w:uiPriority w:val="3"/>
    <w:qFormat/>
    <w:rsid w:val="002F5E10"/>
    <w:rPr>
      <w:b/>
      <w:sz w:val="20"/>
      <w:szCs w:val="24"/>
      <w:lang w:eastAsia="en-NZ"/>
    </w:rPr>
  </w:style>
  <w:style w:type="paragraph" w:customStyle="1" w:styleId="Exampletext">
    <w:name w:val="Example text"/>
    <w:basedOn w:val="Exampleheading"/>
    <w:uiPriority w:val="3"/>
    <w:qFormat/>
    <w:rsid w:val="002F5E10"/>
    <w:rPr>
      <w:b w:val="0"/>
    </w:rPr>
  </w:style>
  <w:style w:type="character" w:customStyle="1" w:styleId="ExampleheadingChar">
    <w:name w:val="Example heading Char"/>
    <w:basedOn w:val="DefaultParagraphFont"/>
    <w:link w:val="Exampleheading"/>
    <w:uiPriority w:val="3"/>
    <w:rsid w:val="002F5E10"/>
    <w:rPr>
      <w:b/>
      <w:szCs w:val="24"/>
    </w:rPr>
  </w:style>
  <w:style w:type="paragraph" w:customStyle="1" w:styleId="Sectionheading">
    <w:name w:val="Section heading"/>
    <w:basedOn w:val="Heading1"/>
    <w:qFormat/>
    <w:rsid w:val="006C05F2"/>
    <w:pPr>
      <w:pBdr>
        <w:bottom w:val="single" w:sz="4" w:space="6"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A3CD8"/>
    <w:pPr>
      <w:jc w:val="both"/>
    </w:pPr>
    <w:rPr>
      <w:sz w:val="24"/>
      <w:szCs w:val="22"/>
      <w:lang w:eastAsia="en-US"/>
    </w:rPr>
  </w:style>
  <w:style w:type="paragraph" w:styleId="Heading1">
    <w:name w:val="heading 1"/>
    <w:basedOn w:val="Normal"/>
    <w:next w:val="Normal"/>
    <w:link w:val="Heading1Char"/>
    <w:autoRedefine/>
    <w:uiPriority w:val="9"/>
    <w:qFormat/>
    <w:rsid w:val="0032319D"/>
    <w:pPr>
      <w:keepNext/>
      <w:keepLines/>
      <w:outlineLvl w:val="0"/>
    </w:pPr>
    <w:rPr>
      <w:b/>
      <w:bCs/>
      <w:sz w:val="28"/>
      <w:szCs w:val="28"/>
    </w:rPr>
  </w:style>
  <w:style w:type="paragraph" w:styleId="Heading2">
    <w:name w:val="heading 2"/>
    <w:basedOn w:val="Normal"/>
    <w:next w:val="Normal"/>
    <w:link w:val="Heading2Char"/>
    <w:autoRedefine/>
    <w:uiPriority w:val="9"/>
    <w:unhideWhenUsed/>
    <w:qFormat/>
    <w:rsid w:val="006C05F2"/>
    <w:pPr>
      <w:keepNext/>
      <w:keepLines/>
      <w:outlineLvl w:val="1"/>
    </w:pPr>
    <w:rPr>
      <w:b/>
      <w:bCs/>
      <w:szCs w:val="26"/>
    </w:rPr>
  </w:style>
  <w:style w:type="paragraph" w:styleId="Heading3">
    <w:name w:val="heading 3"/>
    <w:basedOn w:val="Normal"/>
    <w:next w:val="Normal"/>
    <w:link w:val="Heading3Char"/>
    <w:uiPriority w:val="9"/>
    <w:unhideWhenUsed/>
    <w:qFormat/>
    <w:rsid w:val="005D664C"/>
    <w:pPr>
      <w:keepNext/>
      <w:keepLines/>
      <w:outlineLvl w:val="2"/>
    </w:pPr>
    <w:rPr>
      <w:b/>
      <w:bCs/>
      <w:i/>
    </w:rPr>
  </w:style>
  <w:style w:type="paragraph" w:styleId="Heading4">
    <w:name w:val="heading 4"/>
    <w:basedOn w:val="Normal"/>
    <w:next w:val="Normal"/>
    <w:link w:val="Heading4Char"/>
    <w:uiPriority w:val="9"/>
    <w:unhideWhenUsed/>
    <w:qFormat/>
    <w:rsid w:val="002853CB"/>
    <w:pPr>
      <w:outlineLvl w:val="3"/>
    </w:pPr>
    <w:rPr>
      <w:i/>
    </w:rPr>
  </w:style>
  <w:style w:type="paragraph" w:styleId="Heading5">
    <w:name w:val="heading 5"/>
    <w:basedOn w:val="Normal"/>
    <w:next w:val="Normal"/>
    <w:link w:val="Heading5Char"/>
    <w:uiPriority w:val="9"/>
    <w:semiHidden/>
    <w:unhideWhenUsed/>
    <w:qFormat/>
    <w:rsid w:val="00A170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319D"/>
    <w:rPr>
      <w:b/>
      <w:bCs/>
      <w:sz w:val="28"/>
      <w:szCs w:val="28"/>
      <w:lang w:eastAsia="en-US"/>
    </w:rPr>
  </w:style>
  <w:style w:type="character" w:customStyle="1" w:styleId="Heading2Char">
    <w:name w:val="Heading 2 Char"/>
    <w:link w:val="Heading2"/>
    <w:uiPriority w:val="9"/>
    <w:rsid w:val="006C05F2"/>
    <w:rPr>
      <w:b/>
      <w:bCs/>
      <w:sz w:val="24"/>
      <w:szCs w:val="26"/>
      <w:lang w:eastAsia="en-US"/>
    </w:rPr>
  </w:style>
  <w:style w:type="character" w:customStyle="1" w:styleId="Heading3Char">
    <w:name w:val="Heading 3 Char"/>
    <w:link w:val="Heading3"/>
    <w:uiPriority w:val="9"/>
    <w:rsid w:val="005D664C"/>
    <w:rPr>
      <w:rFonts w:ascii="Times New Roman" w:eastAsia="Times New Roman" w:hAnsi="Times New Roman" w:cs="Times New Roman"/>
      <w:b/>
      <w:bCs/>
      <w:i/>
      <w:sz w:val="24"/>
    </w:rPr>
  </w:style>
  <w:style w:type="character" w:customStyle="1" w:styleId="Heading4Char">
    <w:name w:val="Heading 4 Char"/>
    <w:link w:val="Heading4"/>
    <w:uiPriority w:val="9"/>
    <w:rsid w:val="002853CB"/>
    <w:rPr>
      <w:i/>
      <w:sz w:val="24"/>
      <w:szCs w:val="22"/>
      <w:lang w:eastAsia="en-US"/>
    </w:rPr>
  </w:style>
  <w:style w:type="paragraph" w:styleId="FootnoteText">
    <w:name w:val="footnote text"/>
    <w:basedOn w:val="Normal"/>
    <w:link w:val="FootnoteTextChar"/>
    <w:uiPriority w:val="99"/>
    <w:semiHidden/>
    <w:rsid w:val="00855AF4"/>
    <w:rPr>
      <w:sz w:val="20"/>
      <w:szCs w:val="20"/>
      <w:lang w:val="en-GB" w:eastAsia="en-AU"/>
    </w:rPr>
  </w:style>
  <w:style w:type="character" w:customStyle="1" w:styleId="FootnoteTextChar">
    <w:name w:val="Footnote Text Char"/>
    <w:link w:val="FootnoteText"/>
    <w:uiPriority w:val="99"/>
    <w:semiHidden/>
    <w:rsid w:val="00855AF4"/>
    <w:rPr>
      <w:rFonts w:eastAsia="Times New Roman" w:cs="Times New Roman"/>
      <w:sz w:val="20"/>
      <w:szCs w:val="20"/>
      <w:lang w:val="en-GB" w:eastAsia="en-AU"/>
    </w:rPr>
  </w:style>
  <w:style w:type="character" w:styleId="FootnoteReference">
    <w:name w:val="footnote reference"/>
    <w:semiHidden/>
    <w:rsid w:val="00855AF4"/>
    <w:rPr>
      <w:rFonts w:ascii="Times New Roman" w:hAnsi="Times New Roman"/>
      <w:vertAlign w:val="superscript"/>
    </w:rPr>
  </w:style>
  <w:style w:type="paragraph" w:styleId="TOCHeading">
    <w:name w:val="TOC Heading"/>
    <w:basedOn w:val="Heading1"/>
    <w:next w:val="Normal"/>
    <w:uiPriority w:val="39"/>
    <w:semiHidden/>
    <w:unhideWhenUsed/>
    <w:qFormat/>
    <w:rsid w:val="00BC3200"/>
    <w:pPr>
      <w:outlineLvl w:val="9"/>
    </w:pPr>
    <w:rPr>
      <w:lang w:val="en-US" w:eastAsia="ja-JP"/>
    </w:rPr>
  </w:style>
  <w:style w:type="paragraph" w:styleId="TOC1">
    <w:name w:val="toc 1"/>
    <w:basedOn w:val="Normal"/>
    <w:next w:val="Normal"/>
    <w:autoRedefine/>
    <w:uiPriority w:val="39"/>
    <w:unhideWhenUsed/>
    <w:rsid w:val="00BC3200"/>
    <w:pPr>
      <w:spacing w:after="100"/>
    </w:pPr>
  </w:style>
  <w:style w:type="paragraph" w:styleId="TOC2">
    <w:name w:val="toc 2"/>
    <w:basedOn w:val="Normal"/>
    <w:next w:val="Normal"/>
    <w:autoRedefine/>
    <w:uiPriority w:val="39"/>
    <w:unhideWhenUsed/>
    <w:rsid w:val="00BC3200"/>
    <w:pPr>
      <w:spacing w:after="100"/>
      <w:ind w:left="220"/>
    </w:pPr>
  </w:style>
  <w:style w:type="paragraph" w:styleId="TOC3">
    <w:name w:val="toc 3"/>
    <w:basedOn w:val="Normal"/>
    <w:next w:val="Normal"/>
    <w:autoRedefine/>
    <w:uiPriority w:val="39"/>
    <w:unhideWhenUsed/>
    <w:rsid w:val="00BC3200"/>
    <w:pPr>
      <w:spacing w:after="100"/>
      <w:ind w:left="440"/>
    </w:pPr>
  </w:style>
  <w:style w:type="character" w:styleId="Hyperlink">
    <w:name w:val="Hyperlink"/>
    <w:uiPriority w:val="99"/>
    <w:unhideWhenUsed/>
    <w:rsid w:val="00BC3200"/>
    <w:rPr>
      <w:color w:val="0000FF"/>
      <w:u w:val="single"/>
    </w:rPr>
  </w:style>
  <w:style w:type="paragraph" w:styleId="BalloonText">
    <w:name w:val="Balloon Text"/>
    <w:basedOn w:val="Normal"/>
    <w:link w:val="BalloonTextChar"/>
    <w:uiPriority w:val="99"/>
    <w:semiHidden/>
    <w:unhideWhenUsed/>
    <w:rsid w:val="00BC3200"/>
    <w:rPr>
      <w:rFonts w:ascii="Tahoma" w:hAnsi="Tahoma" w:cs="Tahoma"/>
      <w:sz w:val="16"/>
      <w:szCs w:val="16"/>
    </w:rPr>
  </w:style>
  <w:style w:type="character" w:customStyle="1" w:styleId="BalloonTextChar">
    <w:name w:val="Balloon Text Char"/>
    <w:link w:val="BalloonText"/>
    <w:uiPriority w:val="99"/>
    <w:semiHidden/>
    <w:rsid w:val="00BC3200"/>
    <w:rPr>
      <w:rFonts w:ascii="Tahoma" w:hAnsi="Tahoma" w:cs="Tahoma"/>
      <w:sz w:val="16"/>
      <w:szCs w:val="16"/>
    </w:rPr>
  </w:style>
  <w:style w:type="character" w:styleId="CommentReference">
    <w:name w:val="annotation reference"/>
    <w:semiHidden/>
    <w:unhideWhenUsed/>
    <w:rsid w:val="00293137"/>
    <w:rPr>
      <w:sz w:val="16"/>
      <w:szCs w:val="16"/>
    </w:rPr>
  </w:style>
  <w:style w:type="paragraph" w:styleId="CommentSubject">
    <w:name w:val="annotation subject"/>
    <w:basedOn w:val="Normal"/>
    <w:link w:val="CommentSubjectChar"/>
    <w:uiPriority w:val="99"/>
    <w:semiHidden/>
    <w:unhideWhenUsed/>
    <w:rsid w:val="00C63A3C"/>
    <w:rPr>
      <w:b/>
      <w:bCs/>
    </w:rPr>
  </w:style>
  <w:style w:type="character" w:customStyle="1" w:styleId="CommentSubjectChar">
    <w:name w:val="Comment Subject Char"/>
    <w:link w:val="CommentSubject"/>
    <w:uiPriority w:val="99"/>
    <w:semiHidden/>
    <w:rsid w:val="00293137"/>
    <w:rPr>
      <w:b/>
      <w:bCs/>
      <w:sz w:val="20"/>
      <w:szCs w:val="20"/>
    </w:rPr>
  </w:style>
  <w:style w:type="paragraph" w:styleId="NormalWeb">
    <w:name w:val="Normal (Web)"/>
    <w:basedOn w:val="Normal"/>
    <w:uiPriority w:val="99"/>
    <w:unhideWhenUsed/>
    <w:rsid w:val="00FB0300"/>
    <w:pPr>
      <w:spacing w:before="100" w:beforeAutospacing="1" w:after="100" w:afterAutospacing="1"/>
    </w:pPr>
    <w:rPr>
      <w:szCs w:val="24"/>
      <w:lang w:eastAsia="en-NZ"/>
    </w:rPr>
  </w:style>
  <w:style w:type="character" w:styleId="PlaceholderText">
    <w:name w:val="Placeholder Text"/>
    <w:uiPriority w:val="99"/>
    <w:semiHidden/>
    <w:rsid w:val="00B91FB7"/>
    <w:rPr>
      <w:color w:val="808080"/>
    </w:rPr>
  </w:style>
  <w:style w:type="paragraph" w:styleId="Header">
    <w:name w:val="header"/>
    <w:basedOn w:val="Normal"/>
    <w:link w:val="HeaderChar"/>
    <w:uiPriority w:val="99"/>
    <w:unhideWhenUsed/>
    <w:rsid w:val="00B91FB7"/>
    <w:pPr>
      <w:tabs>
        <w:tab w:val="center" w:pos="4513"/>
        <w:tab w:val="right" w:pos="9026"/>
      </w:tabs>
    </w:pPr>
  </w:style>
  <w:style w:type="character" w:customStyle="1" w:styleId="HeaderChar">
    <w:name w:val="Header Char"/>
    <w:basedOn w:val="DefaultParagraphFont"/>
    <w:link w:val="Header"/>
    <w:uiPriority w:val="99"/>
    <w:rsid w:val="00B91FB7"/>
  </w:style>
  <w:style w:type="paragraph" w:styleId="Footer">
    <w:name w:val="footer"/>
    <w:basedOn w:val="Normal"/>
    <w:link w:val="FooterChar"/>
    <w:uiPriority w:val="99"/>
    <w:unhideWhenUsed/>
    <w:rsid w:val="00B91FB7"/>
    <w:pPr>
      <w:tabs>
        <w:tab w:val="center" w:pos="4513"/>
        <w:tab w:val="right" w:pos="9026"/>
      </w:tabs>
    </w:pPr>
  </w:style>
  <w:style w:type="character" w:customStyle="1" w:styleId="FooterChar">
    <w:name w:val="Footer Char"/>
    <w:basedOn w:val="DefaultParagraphFont"/>
    <w:link w:val="Footer"/>
    <w:uiPriority w:val="99"/>
    <w:rsid w:val="00B91FB7"/>
  </w:style>
  <w:style w:type="table" w:styleId="TableGrid">
    <w:name w:val="Table Grid"/>
    <w:basedOn w:val="TableNormal"/>
    <w:rsid w:val="00217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Definition">
    <w:name w:val="HTML Definition"/>
    <w:uiPriority w:val="99"/>
    <w:semiHidden/>
    <w:unhideWhenUsed/>
    <w:rsid w:val="00537B8B"/>
    <w:rPr>
      <w:i/>
      <w:iCs/>
    </w:rPr>
  </w:style>
  <w:style w:type="character" w:customStyle="1" w:styleId="q1">
    <w:name w:val="q1"/>
    <w:rsid w:val="00537B8B"/>
    <w:rPr>
      <w:b w:val="0"/>
      <w:bCs w:val="0"/>
      <w:i w:val="0"/>
      <w:iCs w:val="0"/>
      <w:spacing w:val="15"/>
    </w:rPr>
  </w:style>
  <w:style w:type="paragraph" w:styleId="Revision">
    <w:name w:val="Revision"/>
    <w:hidden/>
    <w:uiPriority w:val="99"/>
    <w:semiHidden/>
    <w:rsid w:val="0005766C"/>
    <w:rPr>
      <w:sz w:val="22"/>
      <w:szCs w:val="22"/>
      <w:lang w:eastAsia="en-US"/>
    </w:rPr>
  </w:style>
  <w:style w:type="paragraph" w:customStyle="1" w:styleId="Title-Specialreport">
    <w:name w:val="Title - Special report"/>
    <w:basedOn w:val="Normal"/>
    <w:qFormat/>
    <w:rsid w:val="007B23D5"/>
    <w:pPr>
      <w:pBdr>
        <w:top w:val="single" w:sz="18" w:space="10" w:color="auto"/>
        <w:bottom w:val="single" w:sz="8" w:space="10" w:color="auto"/>
      </w:pBdr>
    </w:pPr>
    <w:rPr>
      <w:b/>
      <w:sz w:val="36"/>
      <w:szCs w:val="36"/>
    </w:rPr>
  </w:style>
  <w:style w:type="paragraph" w:customStyle="1" w:styleId="Bullets2">
    <w:name w:val="Bullets 2"/>
    <w:basedOn w:val="Bullets"/>
    <w:qFormat/>
    <w:rsid w:val="00E24175"/>
    <w:pPr>
      <w:numPr>
        <w:numId w:val="3"/>
      </w:numPr>
      <w:tabs>
        <w:tab w:val="left" w:pos="1134"/>
      </w:tabs>
      <w:ind w:left="1134" w:hanging="567"/>
    </w:pPr>
  </w:style>
  <w:style w:type="paragraph" w:customStyle="1" w:styleId="Bullets">
    <w:name w:val="Bullets"/>
    <w:basedOn w:val="Normal"/>
    <w:link w:val="BulletsChar"/>
    <w:qFormat/>
    <w:rsid w:val="00740516"/>
    <w:pPr>
      <w:numPr>
        <w:numId w:val="1"/>
      </w:numPr>
      <w:spacing w:after="140"/>
      <w:ind w:left="567" w:hanging="567"/>
    </w:pPr>
  </w:style>
  <w:style w:type="character" w:customStyle="1" w:styleId="BulletsChar">
    <w:name w:val="Bullets Char"/>
    <w:link w:val="Bullets"/>
    <w:rsid w:val="005A3CD8"/>
    <w:rPr>
      <w:sz w:val="24"/>
      <w:szCs w:val="22"/>
      <w:lang w:eastAsia="en-US"/>
    </w:rPr>
  </w:style>
  <w:style w:type="character" w:styleId="Strong">
    <w:name w:val="Strong"/>
    <w:uiPriority w:val="22"/>
    <w:qFormat/>
    <w:rsid w:val="001C1C11"/>
    <w:rPr>
      <w:b/>
      <w:bCs/>
    </w:rPr>
  </w:style>
  <w:style w:type="paragraph" w:customStyle="1" w:styleId="Bullets3">
    <w:name w:val="Bullets 3"/>
    <w:basedOn w:val="Bullets2"/>
    <w:qFormat/>
    <w:rsid w:val="003110C5"/>
    <w:pPr>
      <w:numPr>
        <w:numId w:val="0"/>
      </w:numPr>
      <w:ind w:left="1418" w:hanging="284"/>
    </w:pPr>
  </w:style>
  <w:style w:type="paragraph" w:styleId="ListParagraph">
    <w:name w:val="List Paragraph"/>
    <w:basedOn w:val="Normal"/>
    <w:uiPriority w:val="34"/>
    <w:qFormat/>
    <w:rsid w:val="00FC3424"/>
    <w:pPr>
      <w:ind w:left="720"/>
      <w:contextualSpacing/>
    </w:pPr>
  </w:style>
  <w:style w:type="paragraph" w:customStyle="1" w:styleId="Indentbullet">
    <w:name w:val="Indent bullet"/>
    <w:basedOn w:val="BodyText"/>
    <w:rsid w:val="00195866"/>
    <w:pPr>
      <w:spacing w:after="140"/>
      <w:ind w:left="1080" w:hanging="360"/>
    </w:pPr>
    <w:rPr>
      <w:szCs w:val="20"/>
      <w:lang w:val="en-GB" w:eastAsia="en-AU"/>
    </w:rPr>
  </w:style>
  <w:style w:type="paragraph" w:styleId="BodyText">
    <w:name w:val="Body Text"/>
    <w:basedOn w:val="Normal"/>
    <w:link w:val="BodyTextChar"/>
    <w:unhideWhenUsed/>
    <w:qFormat/>
    <w:rsid w:val="006C05F2"/>
  </w:style>
  <w:style w:type="character" w:customStyle="1" w:styleId="BodyTextChar">
    <w:name w:val="Body Text Char"/>
    <w:basedOn w:val="DefaultParagraphFont"/>
    <w:link w:val="BodyText"/>
    <w:rsid w:val="006C05F2"/>
    <w:rPr>
      <w:sz w:val="24"/>
      <w:szCs w:val="22"/>
      <w:lang w:eastAsia="en-US"/>
    </w:rPr>
  </w:style>
  <w:style w:type="paragraph" w:customStyle="1" w:styleId="Numberparagraph">
    <w:name w:val="Number paragraph"/>
    <w:basedOn w:val="Normal"/>
    <w:qFormat/>
    <w:rsid w:val="008B6DCA"/>
    <w:pPr>
      <w:tabs>
        <w:tab w:val="left" w:pos="567"/>
      </w:tabs>
    </w:pPr>
    <w:rPr>
      <w:szCs w:val="24"/>
      <w:lang w:eastAsia="en-AU"/>
    </w:rPr>
  </w:style>
  <w:style w:type="paragraph" w:styleId="CommentText">
    <w:name w:val="annotation text"/>
    <w:basedOn w:val="Normal"/>
    <w:link w:val="CommentTextChar"/>
    <w:semiHidden/>
    <w:unhideWhenUsed/>
    <w:rsid w:val="00C13571"/>
    <w:rPr>
      <w:sz w:val="20"/>
      <w:szCs w:val="20"/>
    </w:rPr>
  </w:style>
  <w:style w:type="character" w:customStyle="1" w:styleId="CommentTextChar">
    <w:name w:val="Comment Text Char"/>
    <w:basedOn w:val="DefaultParagraphFont"/>
    <w:link w:val="CommentText"/>
    <w:semiHidden/>
    <w:rsid w:val="00C13571"/>
    <w:rPr>
      <w:lang w:eastAsia="en-US"/>
    </w:rPr>
  </w:style>
  <w:style w:type="paragraph" w:customStyle="1" w:styleId="Sectionclause">
    <w:name w:val="Section/clause"/>
    <w:basedOn w:val="Normal"/>
    <w:link w:val="SectionclauseChar"/>
    <w:qFormat/>
    <w:rsid w:val="00D05403"/>
    <w:rPr>
      <w:b/>
      <w:i/>
    </w:rPr>
  </w:style>
  <w:style w:type="character" w:customStyle="1" w:styleId="Heading5Char">
    <w:name w:val="Heading 5 Char"/>
    <w:basedOn w:val="DefaultParagraphFont"/>
    <w:link w:val="Heading5"/>
    <w:uiPriority w:val="9"/>
    <w:semiHidden/>
    <w:rsid w:val="00A170F9"/>
    <w:rPr>
      <w:rFonts w:asciiTheme="majorHAnsi" w:eastAsiaTheme="majorEastAsia" w:hAnsiTheme="majorHAnsi" w:cstheme="majorBidi"/>
      <w:color w:val="243F60" w:themeColor="accent1" w:themeShade="7F"/>
      <w:sz w:val="24"/>
      <w:szCs w:val="22"/>
      <w:lang w:eastAsia="en-US"/>
    </w:rPr>
  </w:style>
  <w:style w:type="character" w:customStyle="1" w:styleId="SectionclauseChar">
    <w:name w:val="Section/clause Char"/>
    <w:basedOn w:val="DefaultParagraphFont"/>
    <w:link w:val="Sectionclause"/>
    <w:rsid w:val="00D05403"/>
    <w:rPr>
      <w:b/>
      <w:i/>
      <w:sz w:val="24"/>
      <w:szCs w:val="22"/>
      <w:lang w:eastAsia="en-US"/>
    </w:rPr>
  </w:style>
  <w:style w:type="paragraph" w:customStyle="1" w:styleId="Sections">
    <w:name w:val="Sections"/>
    <w:basedOn w:val="Normal"/>
    <w:link w:val="SectionsChar"/>
    <w:qFormat/>
    <w:rsid w:val="00CF2117"/>
    <w:rPr>
      <w:b/>
      <w:i/>
      <w:szCs w:val="24"/>
      <w:lang w:eastAsia="en-NZ"/>
    </w:rPr>
  </w:style>
  <w:style w:type="character" w:customStyle="1" w:styleId="SectionsChar">
    <w:name w:val="Sections Char"/>
    <w:basedOn w:val="DefaultParagraphFont"/>
    <w:link w:val="Sections"/>
    <w:rsid w:val="00CF2117"/>
    <w:rPr>
      <w:b/>
      <w:i/>
      <w:sz w:val="24"/>
      <w:szCs w:val="24"/>
    </w:rPr>
  </w:style>
  <w:style w:type="paragraph" w:customStyle="1" w:styleId="Exampleheading">
    <w:name w:val="Example heading"/>
    <w:basedOn w:val="Normal"/>
    <w:next w:val="Exampletext"/>
    <w:link w:val="ExampleheadingChar"/>
    <w:uiPriority w:val="3"/>
    <w:qFormat/>
    <w:rsid w:val="002F5E10"/>
    <w:rPr>
      <w:b/>
      <w:sz w:val="20"/>
      <w:szCs w:val="24"/>
      <w:lang w:eastAsia="en-NZ"/>
    </w:rPr>
  </w:style>
  <w:style w:type="paragraph" w:customStyle="1" w:styleId="Exampletext">
    <w:name w:val="Example text"/>
    <w:basedOn w:val="Exampleheading"/>
    <w:uiPriority w:val="3"/>
    <w:qFormat/>
    <w:rsid w:val="002F5E10"/>
    <w:rPr>
      <w:b w:val="0"/>
    </w:rPr>
  </w:style>
  <w:style w:type="character" w:customStyle="1" w:styleId="ExampleheadingChar">
    <w:name w:val="Example heading Char"/>
    <w:basedOn w:val="DefaultParagraphFont"/>
    <w:link w:val="Exampleheading"/>
    <w:uiPriority w:val="3"/>
    <w:rsid w:val="002F5E10"/>
    <w:rPr>
      <w:b/>
      <w:szCs w:val="24"/>
    </w:rPr>
  </w:style>
  <w:style w:type="paragraph" w:customStyle="1" w:styleId="Sectionheading">
    <w:name w:val="Section heading"/>
    <w:basedOn w:val="Heading1"/>
    <w:qFormat/>
    <w:rsid w:val="006C05F2"/>
    <w:pPr>
      <w:pBdr>
        <w:bottom w:val="single" w:sz="4" w:space="6"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1431">
      <w:bodyDiv w:val="1"/>
      <w:marLeft w:val="0"/>
      <w:marRight w:val="0"/>
      <w:marTop w:val="0"/>
      <w:marBottom w:val="0"/>
      <w:divBdr>
        <w:top w:val="none" w:sz="0" w:space="0" w:color="auto"/>
        <w:left w:val="none" w:sz="0" w:space="0" w:color="auto"/>
        <w:bottom w:val="none" w:sz="0" w:space="0" w:color="auto"/>
        <w:right w:val="none" w:sz="0" w:space="0" w:color="auto"/>
      </w:divBdr>
      <w:divsChild>
        <w:div w:id="1358971101">
          <w:marLeft w:val="0"/>
          <w:marRight w:val="0"/>
          <w:marTop w:val="0"/>
          <w:marBottom w:val="0"/>
          <w:divBdr>
            <w:top w:val="none" w:sz="0" w:space="0" w:color="auto"/>
            <w:left w:val="none" w:sz="0" w:space="0" w:color="auto"/>
            <w:bottom w:val="none" w:sz="0" w:space="0" w:color="auto"/>
            <w:right w:val="none" w:sz="0" w:space="0" w:color="auto"/>
          </w:divBdr>
          <w:divsChild>
            <w:div w:id="254241718">
              <w:marLeft w:val="0"/>
              <w:marRight w:val="0"/>
              <w:marTop w:val="0"/>
              <w:marBottom w:val="0"/>
              <w:divBdr>
                <w:top w:val="none" w:sz="0" w:space="0" w:color="auto"/>
                <w:left w:val="none" w:sz="0" w:space="0" w:color="auto"/>
                <w:bottom w:val="none" w:sz="0" w:space="0" w:color="auto"/>
                <w:right w:val="none" w:sz="0" w:space="0" w:color="auto"/>
              </w:divBdr>
              <w:divsChild>
                <w:div w:id="1930889020">
                  <w:marLeft w:val="150"/>
                  <w:marRight w:val="0"/>
                  <w:marTop w:val="0"/>
                  <w:marBottom w:val="0"/>
                  <w:divBdr>
                    <w:top w:val="none" w:sz="0" w:space="0" w:color="auto"/>
                    <w:left w:val="none" w:sz="0" w:space="0" w:color="auto"/>
                    <w:bottom w:val="none" w:sz="0" w:space="0" w:color="auto"/>
                    <w:right w:val="none" w:sz="0" w:space="0" w:color="auto"/>
                  </w:divBdr>
                  <w:divsChild>
                    <w:div w:id="1721586673">
                      <w:marLeft w:val="0"/>
                      <w:marRight w:val="0"/>
                      <w:marTop w:val="0"/>
                      <w:marBottom w:val="0"/>
                      <w:divBdr>
                        <w:top w:val="none" w:sz="0" w:space="0" w:color="auto"/>
                        <w:left w:val="none" w:sz="0" w:space="0" w:color="auto"/>
                        <w:bottom w:val="none" w:sz="0" w:space="0" w:color="auto"/>
                        <w:right w:val="none" w:sz="0" w:space="0" w:color="auto"/>
                      </w:divBdr>
                      <w:divsChild>
                        <w:div w:id="12464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66594">
      <w:bodyDiv w:val="1"/>
      <w:marLeft w:val="0"/>
      <w:marRight w:val="0"/>
      <w:marTop w:val="0"/>
      <w:marBottom w:val="0"/>
      <w:divBdr>
        <w:top w:val="none" w:sz="0" w:space="0" w:color="auto"/>
        <w:left w:val="none" w:sz="0" w:space="0" w:color="auto"/>
        <w:bottom w:val="none" w:sz="0" w:space="0" w:color="auto"/>
        <w:right w:val="none" w:sz="0" w:space="0" w:color="auto"/>
      </w:divBdr>
    </w:div>
    <w:div w:id="289366972">
      <w:bodyDiv w:val="1"/>
      <w:marLeft w:val="0"/>
      <w:marRight w:val="0"/>
      <w:marTop w:val="0"/>
      <w:marBottom w:val="0"/>
      <w:divBdr>
        <w:top w:val="none" w:sz="0" w:space="0" w:color="auto"/>
        <w:left w:val="none" w:sz="0" w:space="0" w:color="auto"/>
        <w:bottom w:val="none" w:sz="0" w:space="0" w:color="auto"/>
        <w:right w:val="none" w:sz="0" w:space="0" w:color="auto"/>
      </w:divBdr>
      <w:divsChild>
        <w:div w:id="1952515530">
          <w:marLeft w:val="0"/>
          <w:marRight w:val="0"/>
          <w:marTop w:val="0"/>
          <w:marBottom w:val="0"/>
          <w:divBdr>
            <w:top w:val="none" w:sz="0" w:space="0" w:color="auto"/>
            <w:left w:val="none" w:sz="0" w:space="0" w:color="auto"/>
            <w:bottom w:val="none" w:sz="0" w:space="0" w:color="auto"/>
            <w:right w:val="none" w:sz="0" w:space="0" w:color="auto"/>
          </w:divBdr>
          <w:divsChild>
            <w:div w:id="1900944279">
              <w:marLeft w:val="0"/>
              <w:marRight w:val="0"/>
              <w:marTop w:val="0"/>
              <w:marBottom w:val="0"/>
              <w:divBdr>
                <w:top w:val="none" w:sz="0" w:space="0" w:color="auto"/>
                <w:left w:val="none" w:sz="0" w:space="0" w:color="auto"/>
                <w:bottom w:val="none" w:sz="0" w:space="0" w:color="auto"/>
                <w:right w:val="none" w:sz="0" w:space="0" w:color="auto"/>
              </w:divBdr>
              <w:divsChild>
                <w:div w:id="654262056">
                  <w:marLeft w:val="0"/>
                  <w:marRight w:val="0"/>
                  <w:marTop w:val="105"/>
                  <w:marBottom w:val="0"/>
                  <w:divBdr>
                    <w:top w:val="none" w:sz="0" w:space="0" w:color="auto"/>
                    <w:left w:val="none" w:sz="0" w:space="0" w:color="auto"/>
                    <w:bottom w:val="none" w:sz="0" w:space="0" w:color="auto"/>
                    <w:right w:val="none" w:sz="0" w:space="0" w:color="auto"/>
                  </w:divBdr>
                  <w:divsChild>
                    <w:div w:id="979533530">
                      <w:marLeft w:val="450"/>
                      <w:marRight w:val="225"/>
                      <w:marTop w:val="0"/>
                      <w:marBottom w:val="0"/>
                      <w:divBdr>
                        <w:top w:val="none" w:sz="0" w:space="0" w:color="auto"/>
                        <w:left w:val="none" w:sz="0" w:space="0" w:color="auto"/>
                        <w:bottom w:val="none" w:sz="0" w:space="0" w:color="auto"/>
                        <w:right w:val="none" w:sz="0" w:space="0" w:color="auto"/>
                      </w:divBdr>
                      <w:divsChild>
                        <w:div w:id="724910596">
                          <w:marLeft w:val="0"/>
                          <w:marRight w:val="0"/>
                          <w:marTop w:val="0"/>
                          <w:marBottom w:val="600"/>
                          <w:divBdr>
                            <w:top w:val="single" w:sz="6" w:space="0" w:color="314664"/>
                            <w:left w:val="single" w:sz="6" w:space="0" w:color="314664"/>
                            <w:bottom w:val="single" w:sz="6" w:space="0" w:color="314664"/>
                            <w:right w:val="single" w:sz="6" w:space="0" w:color="314664"/>
                          </w:divBdr>
                          <w:divsChild>
                            <w:div w:id="1254169002">
                              <w:marLeft w:val="0"/>
                              <w:marRight w:val="0"/>
                              <w:marTop w:val="0"/>
                              <w:marBottom w:val="0"/>
                              <w:divBdr>
                                <w:top w:val="none" w:sz="0" w:space="0" w:color="auto"/>
                                <w:left w:val="none" w:sz="0" w:space="0" w:color="auto"/>
                                <w:bottom w:val="none" w:sz="0" w:space="0" w:color="auto"/>
                                <w:right w:val="none" w:sz="0" w:space="0" w:color="auto"/>
                              </w:divBdr>
                              <w:divsChild>
                                <w:div w:id="1053429943">
                                  <w:marLeft w:val="0"/>
                                  <w:marRight w:val="0"/>
                                  <w:marTop w:val="0"/>
                                  <w:marBottom w:val="0"/>
                                  <w:divBdr>
                                    <w:top w:val="none" w:sz="0" w:space="0" w:color="auto"/>
                                    <w:left w:val="none" w:sz="0" w:space="0" w:color="auto"/>
                                    <w:bottom w:val="none" w:sz="0" w:space="0" w:color="auto"/>
                                    <w:right w:val="none" w:sz="0" w:space="0" w:color="auto"/>
                                  </w:divBdr>
                                  <w:divsChild>
                                    <w:div w:id="2007662469">
                                      <w:marLeft w:val="0"/>
                                      <w:marRight w:val="0"/>
                                      <w:marTop w:val="0"/>
                                      <w:marBottom w:val="0"/>
                                      <w:divBdr>
                                        <w:top w:val="none" w:sz="0" w:space="0" w:color="auto"/>
                                        <w:left w:val="none" w:sz="0" w:space="0" w:color="auto"/>
                                        <w:bottom w:val="none" w:sz="0" w:space="0" w:color="auto"/>
                                        <w:right w:val="none" w:sz="0" w:space="0" w:color="auto"/>
                                      </w:divBdr>
                                      <w:divsChild>
                                        <w:div w:id="1314219138">
                                          <w:marLeft w:val="0"/>
                                          <w:marRight w:val="0"/>
                                          <w:marTop w:val="0"/>
                                          <w:marBottom w:val="0"/>
                                          <w:divBdr>
                                            <w:top w:val="none" w:sz="0" w:space="0" w:color="auto"/>
                                            <w:left w:val="none" w:sz="0" w:space="0" w:color="auto"/>
                                            <w:bottom w:val="none" w:sz="0" w:space="0" w:color="auto"/>
                                            <w:right w:val="none" w:sz="0" w:space="0" w:color="auto"/>
                                          </w:divBdr>
                                          <w:divsChild>
                                            <w:div w:id="1344864802">
                                              <w:marLeft w:val="0"/>
                                              <w:marRight w:val="0"/>
                                              <w:marTop w:val="0"/>
                                              <w:marBottom w:val="0"/>
                                              <w:divBdr>
                                                <w:top w:val="none" w:sz="0" w:space="0" w:color="auto"/>
                                                <w:left w:val="none" w:sz="0" w:space="0" w:color="auto"/>
                                                <w:bottom w:val="none" w:sz="0" w:space="0" w:color="auto"/>
                                                <w:right w:val="none" w:sz="0" w:space="0" w:color="auto"/>
                                              </w:divBdr>
                                              <w:divsChild>
                                                <w:div w:id="474834886">
                                                  <w:marLeft w:val="0"/>
                                                  <w:marRight w:val="0"/>
                                                  <w:marTop w:val="0"/>
                                                  <w:marBottom w:val="0"/>
                                                  <w:divBdr>
                                                    <w:top w:val="none" w:sz="0" w:space="0" w:color="auto"/>
                                                    <w:left w:val="none" w:sz="0" w:space="0" w:color="auto"/>
                                                    <w:bottom w:val="none" w:sz="0" w:space="0" w:color="auto"/>
                                                    <w:right w:val="none" w:sz="0" w:space="0" w:color="auto"/>
                                                  </w:divBdr>
                                                  <w:divsChild>
                                                    <w:div w:id="489952765">
                                                      <w:marLeft w:val="0"/>
                                                      <w:marRight w:val="0"/>
                                                      <w:marTop w:val="0"/>
                                                      <w:marBottom w:val="0"/>
                                                      <w:divBdr>
                                                        <w:top w:val="none" w:sz="0" w:space="0" w:color="auto"/>
                                                        <w:left w:val="none" w:sz="0" w:space="0" w:color="auto"/>
                                                        <w:bottom w:val="none" w:sz="0" w:space="0" w:color="auto"/>
                                                        <w:right w:val="none" w:sz="0" w:space="0" w:color="auto"/>
                                                      </w:divBdr>
                                                      <w:divsChild>
                                                        <w:div w:id="1295066279">
                                                          <w:marLeft w:val="-720"/>
                                                          <w:marRight w:val="0"/>
                                                          <w:marTop w:val="0"/>
                                                          <w:marBottom w:val="0"/>
                                                          <w:divBdr>
                                                            <w:top w:val="none" w:sz="0" w:space="0" w:color="auto"/>
                                                            <w:left w:val="none" w:sz="0" w:space="0" w:color="auto"/>
                                                            <w:bottom w:val="none" w:sz="0" w:space="0" w:color="auto"/>
                                                            <w:right w:val="none" w:sz="0" w:space="0" w:color="auto"/>
                                                          </w:divBdr>
                                                          <w:divsChild>
                                                            <w:div w:id="1621182898">
                                                              <w:blockQuote w:val="1"/>
                                                              <w:marLeft w:val="0"/>
                                                              <w:marRight w:val="0"/>
                                                              <w:marTop w:val="0"/>
                                                              <w:marBottom w:val="0"/>
                                                              <w:divBdr>
                                                                <w:top w:val="none" w:sz="0" w:space="0" w:color="auto"/>
                                                                <w:left w:val="none" w:sz="0" w:space="0" w:color="auto"/>
                                                                <w:bottom w:val="none" w:sz="0" w:space="0" w:color="auto"/>
                                                                <w:right w:val="none" w:sz="0" w:space="0" w:color="auto"/>
                                                              </w:divBdr>
                                                              <w:divsChild>
                                                                <w:div w:id="1156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044839">
      <w:bodyDiv w:val="1"/>
      <w:marLeft w:val="0"/>
      <w:marRight w:val="0"/>
      <w:marTop w:val="0"/>
      <w:marBottom w:val="0"/>
      <w:divBdr>
        <w:top w:val="none" w:sz="0" w:space="0" w:color="auto"/>
        <w:left w:val="none" w:sz="0" w:space="0" w:color="auto"/>
        <w:bottom w:val="none" w:sz="0" w:space="0" w:color="auto"/>
        <w:right w:val="none" w:sz="0" w:space="0" w:color="auto"/>
      </w:divBdr>
    </w:div>
    <w:div w:id="386421030">
      <w:bodyDiv w:val="1"/>
      <w:marLeft w:val="0"/>
      <w:marRight w:val="0"/>
      <w:marTop w:val="0"/>
      <w:marBottom w:val="0"/>
      <w:divBdr>
        <w:top w:val="none" w:sz="0" w:space="0" w:color="auto"/>
        <w:left w:val="none" w:sz="0" w:space="0" w:color="auto"/>
        <w:bottom w:val="none" w:sz="0" w:space="0" w:color="auto"/>
        <w:right w:val="none" w:sz="0" w:space="0" w:color="auto"/>
      </w:divBdr>
      <w:divsChild>
        <w:div w:id="358435285">
          <w:marLeft w:val="0"/>
          <w:marRight w:val="0"/>
          <w:marTop w:val="0"/>
          <w:marBottom w:val="0"/>
          <w:divBdr>
            <w:top w:val="none" w:sz="0" w:space="0" w:color="auto"/>
            <w:left w:val="none" w:sz="0" w:space="0" w:color="auto"/>
            <w:bottom w:val="none" w:sz="0" w:space="0" w:color="auto"/>
            <w:right w:val="none" w:sz="0" w:space="0" w:color="auto"/>
          </w:divBdr>
          <w:divsChild>
            <w:div w:id="208998822">
              <w:marLeft w:val="0"/>
              <w:marRight w:val="0"/>
              <w:marTop w:val="0"/>
              <w:marBottom w:val="0"/>
              <w:divBdr>
                <w:top w:val="none" w:sz="0" w:space="0" w:color="auto"/>
                <w:left w:val="none" w:sz="0" w:space="0" w:color="auto"/>
                <w:bottom w:val="none" w:sz="0" w:space="0" w:color="auto"/>
                <w:right w:val="none" w:sz="0" w:space="0" w:color="auto"/>
              </w:divBdr>
              <w:divsChild>
                <w:div w:id="979654489">
                  <w:marLeft w:val="150"/>
                  <w:marRight w:val="0"/>
                  <w:marTop w:val="0"/>
                  <w:marBottom w:val="0"/>
                  <w:divBdr>
                    <w:top w:val="none" w:sz="0" w:space="0" w:color="auto"/>
                    <w:left w:val="none" w:sz="0" w:space="0" w:color="auto"/>
                    <w:bottom w:val="none" w:sz="0" w:space="0" w:color="auto"/>
                    <w:right w:val="none" w:sz="0" w:space="0" w:color="auto"/>
                  </w:divBdr>
                  <w:divsChild>
                    <w:div w:id="1935285258">
                      <w:marLeft w:val="0"/>
                      <w:marRight w:val="0"/>
                      <w:marTop w:val="0"/>
                      <w:marBottom w:val="0"/>
                      <w:divBdr>
                        <w:top w:val="none" w:sz="0" w:space="0" w:color="auto"/>
                        <w:left w:val="none" w:sz="0" w:space="0" w:color="auto"/>
                        <w:bottom w:val="none" w:sz="0" w:space="0" w:color="auto"/>
                        <w:right w:val="none" w:sz="0" w:space="0" w:color="auto"/>
                      </w:divBdr>
                      <w:divsChild>
                        <w:div w:id="5931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946982">
      <w:bodyDiv w:val="1"/>
      <w:marLeft w:val="0"/>
      <w:marRight w:val="0"/>
      <w:marTop w:val="0"/>
      <w:marBottom w:val="0"/>
      <w:divBdr>
        <w:top w:val="none" w:sz="0" w:space="0" w:color="auto"/>
        <w:left w:val="none" w:sz="0" w:space="0" w:color="auto"/>
        <w:bottom w:val="none" w:sz="0" w:space="0" w:color="auto"/>
        <w:right w:val="none" w:sz="0" w:space="0" w:color="auto"/>
      </w:divBdr>
      <w:divsChild>
        <w:div w:id="1054155921">
          <w:marLeft w:val="1166"/>
          <w:marRight w:val="0"/>
          <w:marTop w:val="0"/>
          <w:marBottom w:val="0"/>
          <w:divBdr>
            <w:top w:val="none" w:sz="0" w:space="0" w:color="auto"/>
            <w:left w:val="none" w:sz="0" w:space="0" w:color="auto"/>
            <w:bottom w:val="none" w:sz="0" w:space="0" w:color="auto"/>
            <w:right w:val="none" w:sz="0" w:space="0" w:color="auto"/>
          </w:divBdr>
        </w:div>
        <w:div w:id="1335300901">
          <w:marLeft w:val="547"/>
          <w:marRight w:val="0"/>
          <w:marTop w:val="110"/>
          <w:marBottom w:val="0"/>
          <w:divBdr>
            <w:top w:val="none" w:sz="0" w:space="0" w:color="auto"/>
            <w:left w:val="none" w:sz="0" w:space="0" w:color="auto"/>
            <w:bottom w:val="none" w:sz="0" w:space="0" w:color="auto"/>
            <w:right w:val="none" w:sz="0" w:space="0" w:color="auto"/>
          </w:divBdr>
        </w:div>
        <w:div w:id="1809669714">
          <w:marLeft w:val="1166"/>
          <w:marRight w:val="0"/>
          <w:marTop w:val="0"/>
          <w:marBottom w:val="0"/>
          <w:divBdr>
            <w:top w:val="none" w:sz="0" w:space="0" w:color="auto"/>
            <w:left w:val="none" w:sz="0" w:space="0" w:color="auto"/>
            <w:bottom w:val="none" w:sz="0" w:space="0" w:color="auto"/>
            <w:right w:val="none" w:sz="0" w:space="0" w:color="auto"/>
          </w:divBdr>
        </w:div>
      </w:divsChild>
    </w:div>
    <w:div w:id="670108367">
      <w:bodyDiv w:val="1"/>
      <w:marLeft w:val="0"/>
      <w:marRight w:val="0"/>
      <w:marTop w:val="0"/>
      <w:marBottom w:val="0"/>
      <w:divBdr>
        <w:top w:val="none" w:sz="0" w:space="0" w:color="auto"/>
        <w:left w:val="none" w:sz="0" w:space="0" w:color="auto"/>
        <w:bottom w:val="none" w:sz="0" w:space="0" w:color="auto"/>
        <w:right w:val="none" w:sz="0" w:space="0" w:color="auto"/>
      </w:divBdr>
    </w:div>
    <w:div w:id="1189293415">
      <w:bodyDiv w:val="1"/>
      <w:marLeft w:val="0"/>
      <w:marRight w:val="0"/>
      <w:marTop w:val="0"/>
      <w:marBottom w:val="0"/>
      <w:divBdr>
        <w:top w:val="none" w:sz="0" w:space="0" w:color="auto"/>
        <w:left w:val="none" w:sz="0" w:space="0" w:color="auto"/>
        <w:bottom w:val="none" w:sz="0" w:space="0" w:color="auto"/>
        <w:right w:val="none" w:sz="0" w:space="0" w:color="auto"/>
      </w:divBdr>
      <w:divsChild>
        <w:div w:id="573588056">
          <w:marLeft w:val="0"/>
          <w:marRight w:val="0"/>
          <w:marTop w:val="0"/>
          <w:marBottom w:val="0"/>
          <w:divBdr>
            <w:top w:val="none" w:sz="0" w:space="0" w:color="auto"/>
            <w:left w:val="none" w:sz="0" w:space="0" w:color="auto"/>
            <w:bottom w:val="none" w:sz="0" w:space="0" w:color="auto"/>
            <w:right w:val="none" w:sz="0" w:space="0" w:color="auto"/>
          </w:divBdr>
          <w:divsChild>
            <w:div w:id="289477951">
              <w:marLeft w:val="0"/>
              <w:marRight w:val="0"/>
              <w:marTop w:val="0"/>
              <w:marBottom w:val="0"/>
              <w:divBdr>
                <w:top w:val="none" w:sz="0" w:space="0" w:color="auto"/>
                <w:left w:val="none" w:sz="0" w:space="0" w:color="auto"/>
                <w:bottom w:val="none" w:sz="0" w:space="0" w:color="auto"/>
                <w:right w:val="none" w:sz="0" w:space="0" w:color="auto"/>
              </w:divBdr>
              <w:divsChild>
                <w:div w:id="1641615168">
                  <w:marLeft w:val="150"/>
                  <w:marRight w:val="0"/>
                  <w:marTop w:val="0"/>
                  <w:marBottom w:val="0"/>
                  <w:divBdr>
                    <w:top w:val="none" w:sz="0" w:space="0" w:color="auto"/>
                    <w:left w:val="none" w:sz="0" w:space="0" w:color="auto"/>
                    <w:bottom w:val="none" w:sz="0" w:space="0" w:color="auto"/>
                    <w:right w:val="none" w:sz="0" w:space="0" w:color="auto"/>
                  </w:divBdr>
                  <w:divsChild>
                    <w:div w:id="192765317">
                      <w:marLeft w:val="0"/>
                      <w:marRight w:val="0"/>
                      <w:marTop w:val="0"/>
                      <w:marBottom w:val="0"/>
                      <w:divBdr>
                        <w:top w:val="none" w:sz="0" w:space="0" w:color="auto"/>
                        <w:left w:val="none" w:sz="0" w:space="0" w:color="auto"/>
                        <w:bottom w:val="none" w:sz="0" w:space="0" w:color="auto"/>
                        <w:right w:val="none" w:sz="0" w:space="0" w:color="auto"/>
                      </w:divBdr>
                      <w:divsChild>
                        <w:div w:id="9297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303158">
      <w:bodyDiv w:val="1"/>
      <w:marLeft w:val="0"/>
      <w:marRight w:val="0"/>
      <w:marTop w:val="0"/>
      <w:marBottom w:val="0"/>
      <w:divBdr>
        <w:top w:val="none" w:sz="0" w:space="0" w:color="auto"/>
        <w:left w:val="none" w:sz="0" w:space="0" w:color="auto"/>
        <w:bottom w:val="none" w:sz="0" w:space="0" w:color="auto"/>
        <w:right w:val="none" w:sz="0" w:space="0" w:color="auto"/>
      </w:divBdr>
      <w:divsChild>
        <w:div w:id="1401519692">
          <w:marLeft w:val="0"/>
          <w:marRight w:val="0"/>
          <w:marTop w:val="0"/>
          <w:marBottom w:val="0"/>
          <w:divBdr>
            <w:top w:val="none" w:sz="0" w:space="0" w:color="auto"/>
            <w:left w:val="none" w:sz="0" w:space="0" w:color="auto"/>
            <w:bottom w:val="none" w:sz="0" w:space="0" w:color="auto"/>
            <w:right w:val="none" w:sz="0" w:space="0" w:color="auto"/>
          </w:divBdr>
          <w:divsChild>
            <w:div w:id="547881930">
              <w:marLeft w:val="0"/>
              <w:marRight w:val="0"/>
              <w:marTop w:val="0"/>
              <w:marBottom w:val="0"/>
              <w:divBdr>
                <w:top w:val="none" w:sz="0" w:space="0" w:color="auto"/>
                <w:left w:val="none" w:sz="0" w:space="0" w:color="auto"/>
                <w:bottom w:val="none" w:sz="0" w:space="0" w:color="auto"/>
                <w:right w:val="none" w:sz="0" w:space="0" w:color="auto"/>
              </w:divBdr>
              <w:divsChild>
                <w:div w:id="869882513">
                  <w:marLeft w:val="150"/>
                  <w:marRight w:val="0"/>
                  <w:marTop w:val="0"/>
                  <w:marBottom w:val="0"/>
                  <w:divBdr>
                    <w:top w:val="none" w:sz="0" w:space="0" w:color="auto"/>
                    <w:left w:val="none" w:sz="0" w:space="0" w:color="auto"/>
                    <w:bottom w:val="none" w:sz="0" w:space="0" w:color="auto"/>
                    <w:right w:val="none" w:sz="0" w:space="0" w:color="auto"/>
                  </w:divBdr>
                  <w:divsChild>
                    <w:div w:id="709761974">
                      <w:marLeft w:val="0"/>
                      <w:marRight w:val="0"/>
                      <w:marTop w:val="0"/>
                      <w:marBottom w:val="0"/>
                      <w:divBdr>
                        <w:top w:val="none" w:sz="0" w:space="0" w:color="auto"/>
                        <w:left w:val="none" w:sz="0" w:space="0" w:color="auto"/>
                        <w:bottom w:val="none" w:sz="0" w:space="0" w:color="auto"/>
                        <w:right w:val="none" w:sz="0" w:space="0" w:color="auto"/>
                      </w:divBdr>
                      <w:divsChild>
                        <w:div w:id="15317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874960">
      <w:bodyDiv w:val="1"/>
      <w:marLeft w:val="0"/>
      <w:marRight w:val="0"/>
      <w:marTop w:val="0"/>
      <w:marBottom w:val="0"/>
      <w:divBdr>
        <w:top w:val="none" w:sz="0" w:space="0" w:color="auto"/>
        <w:left w:val="none" w:sz="0" w:space="0" w:color="auto"/>
        <w:bottom w:val="none" w:sz="0" w:space="0" w:color="auto"/>
        <w:right w:val="none" w:sz="0" w:space="0" w:color="auto"/>
      </w:divBdr>
      <w:divsChild>
        <w:div w:id="1174758566">
          <w:marLeft w:val="0"/>
          <w:marRight w:val="0"/>
          <w:marTop w:val="0"/>
          <w:marBottom w:val="0"/>
          <w:divBdr>
            <w:top w:val="none" w:sz="0" w:space="0" w:color="auto"/>
            <w:left w:val="none" w:sz="0" w:space="0" w:color="auto"/>
            <w:bottom w:val="none" w:sz="0" w:space="0" w:color="auto"/>
            <w:right w:val="none" w:sz="0" w:space="0" w:color="auto"/>
          </w:divBdr>
          <w:divsChild>
            <w:div w:id="971059188">
              <w:marLeft w:val="0"/>
              <w:marRight w:val="0"/>
              <w:marTop w:val="0"/>
              <w:marBottom w:val="0"/>
              <w:divBdr>
                <w:top w:val="none" w:sz="0" w:space="0" w:color="auto"/>
                <w:left w:val="none" w:sz="0" w:space="0" w:color="auto"/>
                <w:bottom w:val="none" w:sz="0" w:space="0" w:color="auto"/>
                <w:right w:val="none" w:sz="0" w:space="0" w:color="auto"/>
              </w:divBdr>
              <w:divsChild>
                <w:div w:id="137966140">
                  <w:marLeft w:val="150"/>
                  <w:marRight w:val="0"/>
                  <w:marTop w:val="0"/>
                  <w:marBottom w:val="0"/>
                  <w:divBdr>
                    <w:top w:val="none" w:sz="0" w:space="0" w:color="auto"/>
                    <w:left w:val="none" w:sz="0" w:space="0" w:color="auto"/>
                    <w:bottom w:val="none" w:sz="0" w:space="0" w:color="auto"/>
                    <w:right w:val="none" w:sz="0" w:space="0" w:color="auto"/>
                  </w:divBdr>
                  <w:divsChild>
                    <w:div w:id="1894464560">
                      <w:marLeft w:val="0"/>
                      <w:marRight w:val="0"/>
                      <w:marTop w:val="0"/>
                      <w:marBottom w:val="0"/>
                      <w:divBdr>
                        <w:top w:val="none" w:sz="0" w:space="0" w:color="auto"/>
                        <w:left w:val="none" w:sz="0" w:space="0" w:color="auto"/>
                        <w:bottom w:val="none" w:sz="0" w:space="0" w:color="auto"/>
                        <w:right w:val="none" w:sz="0" w:space="0" w:color="auto"/>
                      </w:divBdr>
                      <w:divsChild>
                        <w:div w:id="1323894901">
                          <w:marLeft w:val="0"/>
                          <w:marRight w:val="0"/>
                          <w:marTop w:val="0"/>
                          <w:marBottom w:val="0"/>
                          <w:divBdr>
                            <w:top w:val="none" w:sz="0" w:space="0" w:color="auto"/>
                            <w:left w:val="none" w:sz="0" w:space="0" w:color="auto"/>
                            <w:bottom w:val="none" w:sz="0" w:space="0" w:color="auto"/>
                            <w:right w:val="none" w:sz="0" w:space="0" w:color="auto"/>
                          </w:divBdr>
                          <w:divsChild>
                            <w:div w:id="13429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420069">
      <w:bodyDiv w:val="1"/>
      <w:marLeft w:val="0"/>
      <w:marRight w:val="0"/>
      <w:marTop w:val="0"/>
      <w:marBottom w:val="0"/>
      <w:divBdr>
        <w:top w:val="none" w:sz="0" w:space="0" w:color="auto"/>
        <w:left w:val="none" w:sz="0" w:space="0" w:color="auto"/>
        <w:bottom w:val="none" w:sz="0" w:space="0" w:color="auto"/>
        <w:right w:val="none" w:sz="0" w:space="0" w:color="auto"/>
      </w:divBdr>
    </w:div>
    <w:div w:id="1790121137">
      <w:bodyDiv w:val="1"/>
      <w:marLeft w:val="0"/>
      <w:marRight w:val="0"/>
      <w:marTop w:val="0"/>
      <w:marBottom w:val="0"/>
      <w:divBdr>
        <w:top w:val="none" w:sz="0" w:space="0" w:color="auto"/>
        <w:left w:val="none" w:sz="0" w:space="0" w:color="auto"/>
        <w:bottom w:val="none" w:sz="0" w:space="0" w:color="auto"/>
        <w:right w:val="none" w:sz="0" w:space="0" w:color="auto"/>
      </w:divBdr>
      <w:divsChild>
        <w:div w:id="1442459510">
          <w:marLeft w:val="0"/>
          <w:marRight w:val="0"/>
          <w:marTop w:val="0"/>
          <w:marBottom w:val="0"/>
          <w:divBdr>
            <w:top w:val="none" w:sz="0" w:space="0" w:color="auto"/>
            <w:left w:val="none" w:sz="0" w:space="0" w:color="auto"/>
            <w:bottom w:val="none" w:sz="0" w:space="0" w:color="auto"/>
            <w:right w:val="none" w:sz="0" w:space="0" w:color="auto"/>
          </w:divBdr>
          <w:divsChild>
            <w:div w:id="622268122">
              <w:marLeft w:val="0"/>
              <w:marRight w:val="0"/>
              <w:marTop w:val="0"/>
              <w:marBottom w:val="0"/>
              <w:divBdr>
                <w:top w:val="none" w:sz="0" w:space="0" w:color="auto"/>
                <w:left w:val="none" w:sz="0" w:space="0" w:color="auto"/>
                <w:bottom w:val="none" w:sz="0" w:space="0" w:color="auto"/>
                <w:right w:val="none" w:sz="0" w:space="0" w:color="auto"/>
              </w:divBdr>
              <w:divsChild>
                <w:div w:id="49691660">
                  <w:marLeft w:val="0"/>
                  <w:marRight w:val="0"/>
                  <w:marTop w:val="105"/>
                  <w:marBottom w:val="0"/>
                  <w:divBdr>
                    <w:top w:val="none" w:sz="0" w:space="0" w:color="auto"/>
                    <w:left w:val="none" w:sz="0" w:space="0" w:color="auto"/>
                    <w:bottom w:val="none" w:sz="0" w:space="0" w:color="auto"/>
                    <w:right w:val="none" w:sz="0" w:space="0" w:color="auto"/>
                  </w:divBdr>
                  <w:divsChild>
                    <w:div w:id="1543206797">
                      <w:marLeft w:val="450"/>
                      <w:marRight w:val="225"/>
                      <w:marTop w:val="0"/>
                      <w:marBottom w:val="0"/>
                      <w:divBdr>
                        <w:top w:val="none" w:sz="0" w:space="0" w:color="auto"/>
                        <w:left w:val="none" w:sz="0" w:space="0" w:color="auto"/>
                        <w:bottom w:val="none" w:sz="0" w:space="0" w:color="auto"/>
                        <w:right w:val="none" w:sz="0" w:space="0" w:color="auto"/>
                      </w:divBdr>
                      <w:divsChild>
                        <w:div w:id="1367367949">
                          <w:marLeft w:val="0"/>
                          <w:marRight w:val="0"/>
                          <w:marTop w:val="0"/>
                          <w:marBottom w:val="600"/>
                          <w:divBdr>
                            <w:top w:val="single" w:sz="6" w:space="0" w:color="314664"/>
                            <w:left w:val="single" w:sz="6" w:space="0" w:color="314664"/>
                            <w:bottom w:val="single" w:sz="6" w:space="0" w:color="314664"/>
                            <w:right w:val="single" w:sz="6" w:space="0" w:color="314664"/>
                          </w:divBdr>
                          <w:divsChild>
                            <w:div w:id="1648705636">
                              <w:marLeft w:val="0"/>
                              <w:marRight w:val="0"/>
                              <w:marTop w:val="0"/>
                              <w:marBottom w:val="0"/>
                              <w:divBdr>
                                <w:top w:val="none" w:sz="0" w:space="0" w:color="auto"/>
                                <w:left w:val="none" w:sz="0" w:space="0" w:color="auto"/>
                                <w:bottom w:val="none" w:sz="0" w:space="0" w:color="auto"/>
                                <w:right w:val="none" w:sz="0" w:space="0" w:color="auto"/>
                              </w:divBdr>
                              <w:divsChild>
                                <w:div w:id="952708839">
                                  <w:marLeft w:val="0"/>
                                  <w:marRight w:val="0"/>
                                  <w:marTop w:val="0"/>
                                  <w:marBottom w:val="0"/>
                                  <w:divBdr>
                                    <w:top w:val="none" w:sz="0" w:space="0" w:color="auto"/>
                                    <w:left w:val="none" w:sz="0" w:space="0" w:color="auto"/>
                                    <w:bottom w:val="none" w:sz="0" w:space="0" w:color="auto"/>
                                    <w:right w:val="none" w:sz="0" w:space="0" w:color="auto"/>
                                  </w:divBdr>
                                  <w:divsChild>
                                    <w:div w:id="1253709517">
                                      <w:marLeft w:val="0"/>
                                      <w:marRight w:val="0"/>
                                      <w:marTop w:val="0"/>
                                      <w:marBottom w:val="0"/>
                                      <w:divBdr>
                                        <w:top w:val="none" w:sz="0" w:space="0" w:color="auto"/>
                                        <w:left w:val="none" w:sz="0" w:space="0" w:color="auto"/>
                                        <w:bottom w:val="none" w:sz="0" w:space="0" w:color="auto"/>
                                        <w:right w:val="none" w:sz="0" w:space="0" w:color="auto"/>
                                      </w:divBdr>
                                      <w:divsChild>
                                        <w:div w:id="1274171259">
                                          <w:marLeft w:val="0"/>
                                          <w:marRight w:val="0"/>
                                          <w:marTop w:val="0"/>
                                          <w:marBottom w:val="0"/>
                                          <w:divBdr>
                                            <w:top w:val="none" w:sz="0" w:space="0" w:color="auto"/>
                                            <w:left w:val="none" w:sz="0" w:space="0" w:color="auto"/>
                                            <w:bottom w:val="none" w:sz="0" w:space="0" w:color="auto"/>
                                            <w:right w:val="none" w:sz="0" w:space="0" w:color="auto"/>
                                          </w:divBdr>
                                          <w:divsChild>
                                            <w:div w:id="1288466275">
                                              <w:marLeft w:val="0"/>
                                              <w:marRight w:val="0"/>
                                              <w:marTop w:val="0"/>
                                              <w:marBottom w:val="0"/>
                                              <w:divBdr>
                                                <w:top w:val="none" w:sz="0" w:space="0" w:color="auto"/>
                                                <w:left w:val="none" w:sz="0" w:space="0" w:color="auto"/>
                                                <w:bottom w:val="none" w:sz="0" w:space="0" w:color="auto"/>
                                                <w:right w:val="none" w:sz="0" w:space="0" w:color="auto"/>
                                              </w:divBdr>
                                              <w:divsChild>
                                                <w:div w:id="1920292015">
                                                  <w:marLeft w:val="0"/>
                                                  <w:marRight w:val="0"/>
                                                  <w:marTop w:val="0"/>
                                                  <w:marBottom w:val="0"/>
                                                  <w:divBdr>
                                                    <w:top w:val="none" w:sz="0" w:space="0" w:color="auto"/>
                                                    <w:left w:val="none" w:sz="0" w:space="0" w:color="auto"/>
                                                    <w:bottom w:val="none" w:sz="0" w:space="0" w:color="auto"/>
                                                    <w:right w:val="none" w:sz="0" w:space="0" w:color="auto"/>
                                                  </w:divBdr>
                                                  <w:divsChild>
                                                    <w:div w:id="710687190">
                                                      <w:marLeft w:val="0"/>
                                                      <w:marRight w:val="0"/>
                                                      <w:marTop w:val="0"/>
                                                      <w:marBottom w:val="0"/>
                                                      <w:divBdr>
                                                        <w:top w:val="none" w:sz="0" w:space="0" w:color="auto"/>
                                                        <w:left w:val="none" w:sz="0" w:space="0" w:color="auto"/>
                                                        <w:bottom w:val="none" w:sz="0" w:space="0" w:color="auto"/>
                                                        <w:right w:val="none" w:sz="0" w:space="0" w:color="auto"/>
                                                      </w:divBdr>
                                                    </w:div>
                                                    <w:div w:id="1870491006">
                                                      <w:marLeft w:val="0"/>
                                                      <w:marRight w:val="0"/>
                                                      <w:marTop w:val="0"/>
                                                      <w:marBottom w:val="0"/>
                                                      <w:divBdr>
                                                        <w:top w:val="none" w:sz="0" w:space="0" w:color="auto"/>
                                                        <w:left w:val="none" w:sz="0" w:space="0" w:color="auto"/>
                                                        <w:bottom w:val="none" w:sz="0" w:space="0" w:color="auto"/>
                                                        <w:right w:val="none" w:sz="0" w:space="0" w:color="auto"/>
                                                      </w:divBdr>
                                                      <w:divsChild>
                                                        <w:div w:id="700670592">
                                                          <w:marLeft w:val="-720"/>
                                                          <w:marRight w:val="0"/>
                                                          <w:marTop w:val="0"/>
                                                          <w:marBottom w:val="0"/>
                                                          <w:divBdr>
                                                            <w:top w:val="none" w:sz="0" w:space="0" w:color="auto"/>
                                                            <w:left w:val="none" w:sz="0" w:space="0" w:color="auto"/>
                                                            <w:bottom w:val="none" w:sz="0" w:space="0" w:color="auto"/>
                                                            <w:right w:val="none" w:sz="0" w:space="0" w:color="auto"/>
                                                          </w:divBdr>
                                                          <w:divsChild>
                                                            <w:div w:id="100417928">
                                                              <w:blockQuote w:val="1"/>
                                                              <w:marLeft w:val="0"/>
                                                              <w:marRight w:val="0"/>
                                                              <w:marTop w:val="0"/>
                                                              <w:marBottom w:val="0"/>
                                                              <w:divBdr>
                                                                <w:top w:val="none" w:sz="0" w:space="0" w:color="auto"/>
                                                                <w:left w:val="none" w:sz="0" w:space="0" w:color="auto"/>
                                                                <w:bottom w:val="none" w:sz="0" w:space="0" w:color="auto"/>
                                                                <w:right w:val="none" w:sz="0" w:space="0" w:color="auto"/>
                                                              </w:divBdr>
                                                              <w:divsChild>
                                                                <w:div w:id="11326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5951395">
      <w:bodyDiv w:val="1"/>
      <w:marLeft w:val="0"/>
      <w:marRight w:val="0"/>
      <w:marTop w:val="0"/>
      <w:marBottom w:val="0"/>
      <w:divBdr>
        <w:top w:val="none" w:sz="0" w:space="0" w:color="auto"/>
        <w:left w:val="none" w:sz="0" w:space="0" w:color="auto"/>
        <w:bottom w:val="none" w:sz="0" w:space="0" w:color="auto"/>
        <w:right w:val="none" w:sz="0" w:space="0" w:color="auto"/>
      </w:divBdr>
    </w:div>
    <w:div w:id="1862626044">
      <w:bodyDiv w:val="1"/>
      <w:marLeft w:val="0"/>
      <w:marRight w:val="0"/>
      <w:marTop w:val="0"/>
      <w:marBottom w:val="0"/>
      <w:divBdr>
        <w:top w:val="none" w:sz="0" w:space="0" w:color="auto"/>
        <w:left w:val="none" w:sz="0" w:space="0" w:color="auto"/>
        <w:bottom w:val="none" w:sz="0" w:space="0" w:color="auto"/>
        <w:right w:val="none" w:sz="0" w:space="0" w:color="auto"/>
      </w:divBdr>
      <w:divsChild>
        <w:div w:id="182131349">
          <w:marLeft w:val="1166"/>
          <w:marRight w:val="0"/>
          <w:marTop w:val="0"/>
          <w:marBottom w:val="0"/>
          <w:divBdr>
            <w:top w:val="none" w:sz="0" w:space="0" w:color="auto"/>
            <w:left w:val="none" w:sz="0" w:space="0" w:color="auto"/>
            <w:bottom w:val="none" w:sz="0" w:space="0" w:color="auto"/>
            <w:right w:val="none" w:sz="0" w:space="0" w:color="auto"/>
          </w:divBdr>
        </w:div>
        <w:div w:id="196361510">
          <w:marLeft w:val="547"/>
          <w:marRight w:val="0"/>
          <w:marTop w:val="110"/>
          <w:marBottom w:val="0"/>
          <w:divBdr>
            <w:top w:val="none" w:sz="0" w:space="0" w:color="auto"/>
            <w:left w:val="none" w:sz="0" w:space="0" w:color="auto"/>
            <w:bottom w:val="none" w:sz="0" w:space="0" w:color="auto"/>
            <w:right w:val="none" w:sz="0" w:space="0" w:color="auto"/>
          </w:divBdr>
        </w:div>
        <w:div w:id="915744224">
          <w:marLeft w:val="547"/>
          <w:marRight w:val="0"/>
          <w:marTop w:val="110"/>
          <w:marBottom w:val="0"/>
          <w:divBdr>
            <w:top w:val="none" w:sz="0" w:space="0" w:color="auto"/>
            <w:left w:val="none" w:sz="0" w:space="0" w:color="auto"/>
            <w:bottom w:val="none" w:sz="0" w:space="0" w:color="auto"/>
            <w:right w:val="none" w:sz="0" w:space="0" w:color="auto"/>
          </w:divBdr>
        </w:div>
        <w:div w:id="1209338591">
          <w:marLeft w:val="1166"/>
          <w:marRight w:val="0"/>
          <w:marTop w:val="0"/>
          <w:marBottom w:val="0"/>
          <w:divBdr>
            <w:top w:val="none" w:sz="0" w:space="0" w:color="auto"/>
            <w:left w:val="none" w:sz="0" w:space="0" w:color="auto"/>
            <w:bottom w:val="none" w:sz="0" w:space="0" w:color="auto"/>
            <w:right w:val="none" w:sz="0" w:space="0" w:color="auto"/>
          </w:divBdr>
        </w:div>
      </w:divsChild>
    </w:div>
    <w:div w:id="1912546824">
      <w:bodyDiv w:val="1"/>
      <w:marLeft w:val="0"/>
      <w:marRight w:val="0"/>
      <w:marTop w:val="0"/>
      <w:marBottom w:val="0"/>
      <w:divBdr>
        <w:top w:val="none" w:sz="0" w:space="0" w:color="auto"/>
        <w:left w:val="none" w:sz="0" w:space="0" w:color="auto"/>
        <w:bottom w:val="none" w:sz="0" w:space="0" w:color="auto"/>
        <w:right w:val="none" w:sz="0" w:space="0" w:color="auto"/>
      </w:divBdr>
      <w:divsChild>
        <w:div w:id="483939010">
          <w:marLeft w:val="0"/>
          <w:marRight w:val="0"/>
          <w:marTop w:val="0"/>
          <w:marBottom w:val="0"/>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1158376056">
                  <w:marLeft w:val="150"/>
                  <w:marRight w:val="0"/>
                  <w:marTop w:val="0"/>
                  <w:marBottom w:val="0"/>
                  <w:divBdr>
                    <w:top w:val="none" w:sz="0" w:space="0" w:color="auto"/>
                    <w:left w:val="none" w:sz="0" w:space="0" w:color="auto"/>
                    <w:bottom w:val="none" w:sz="0" w:space="0" w:color="auto"/>
                    <w:right w:val="none" w:sz="0" w:space="0" w:color="auto"/>
                  </w:divBdr>
                  <w:divsChild>
                    <w:div w:id="1383099258">
                      <w:marLeft w:val="0"/>
                      <w:marRight w:val="0"/>
                      <w:marTop w:val="0"/>
                      <w:marBottom w:val="0"/>
                      <w:divBdr>
                        <w:top w:val="none" w:sz="0" w:space="0" w:color="auto"/>
                        <w:left w:val="none" w:sz="0" w:space="0" w:color="auto"/>
                        <w:bottom w:val="none" w:sz="0" w:space="0" w:color="auto"/>
                        <w:right w:val="none" w:sz="0" w:space="0" w:color="auto"/>
                      </w:divBdr>
                      <w:divsChild>
                        <w:div w:id="16730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88752">
      <w:bodyDiv w:val="1"/>
      <w:marLeft w:val="0"/>
      <w:marRight w:val="0"/>
      <w:marTop w:val="0"/>
      <w:marBottom w:val="0"/>
      <w:divBdr>
        <w:top w:val="none" w:sz="0" w:space="0" w:color="auto"/>
        <w:left w:val="none" w:sz="0" w:space="0" w:color="auto"/>
        <w:bottom w:val="none" w:sz="0" w:space="0" w:color="auto"/>
        <w:right w:val="none" w:sz="0" w:space="0" w:color="auto"/>
      </w:divBdr>
      <w:divsChild>
        <w:div w:id="90247158">
          <w:marLeft w:val="547"/>
          <w:marRight w:val="0"/>
          <w:marTop w:val="110"/>
          <w:marBottom w:val="0"/>
          <w:divBdr>
            <w:top w:val="none" w:sz="0" w:space="0" w:color="auto"/>
            <w:left w:val="none" w:sz="0" w:space="0" w:color="auto"/>
            <w:bottom w:val="none" w:sz="0" w:space="0" w:color="auto"/>
            <w:right w:val="none" w:sz="0" w:space="0" w:color="auto"/>
          </w:divBdr>
        </w:div>
        <w:div w:id="877086318">
          <w:marLeft w:val="1166"/>
          <w:marRight w:val="0"/>
          <w:marTop w:val="0"/>
          <w:marBottom w:val="0"/>
          <w:divBdr>
            <w:top w:val="none" w:sz="0" w:space="0" w:color="auto"/>
            <w:left w:val="none" w:sz="0" w:space="0" w:color="auto"/>
            <w:bottom w:val="none" w:sz="0" w:space="0" w:color="auto"/>
            <w:right w:val="none" w:sz="0" w:space="0" w:color="auto"/>
          </w:divBdr>
        </w:div>
        <w:div w:id="1557810942">
          <w:marLeft w:val="547"/>
          <w:marRight w:val="0"/>
          <w:marTop w:val="110"/>
          <w:marBottom w:val="0"/>
          <w:divBdr>
            <w:top w:val="none" w:sz="0" w:space="0" w:color="auto"/>
            <w:left w:val="none" w:sz="0" w:space="0" w:color="auto"/>
            <w:bottom w:val="none" w:sz="0" w:space="0" w:color="auto"/>
            <w:right w:val="none" w:sz="0" w:space="0" w:color="auto"/>
          </w:divBdr>
        </w:div>
        <w:div w:id="199683906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2.vsdx"/><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package" Target="embeddings/Microsoft_Visio_Drawing6.vsdx"/><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package" Target="embeddings/Microsoft_Visio_Drawing4.vsdx"/><Relationship Id="rId25" Type="http://schemas.openxmlformats.org/officeDocument/2006/relationships/package" Target="embeddings/Microsoft_Visio_Drawing8.vsdx"/><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Visio_Drawing1.vsdx"/><Relationship Id="rId24" Type="http://schemas.openxmlformats.org/officeDocument/2006/relationships/image" Target="media/image8.emf"/><Relationship Id="rId5" Type="http://schemas.microsoft.com/office/2007/relationships/stylesWithEffects" Target="stylesWithEffects.xml"/><Relationship Id="rId15" Type="http://schemas.openxmlformats.org/officeDocument/2006/relationships/package" Target="embeddings/Microsoft_Visio_Drawing3.vsdx"/><Relationship Id="rId23" Type="http://schemas.openxmlformats.org/officeDocument/2006/relationships/package" Target="embeddings/Microsoft_Visio_Drawing7.vsdx"/><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package" Target="embeddings/Microsoft_Visio_Drawing5.vsdx"/><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A0692-6AEE-4EAA-9D08-53BBB0D0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14443</Words>
  <Characters>72076</Characters>
  <Application>Microsoft Office Word</Application>
  <DocSecurity>0</DocSecurity>
  <Lines>1566</Lines>
  <Paragraphs>580</Paragraphs>
  <ScaleCrop>false</ScaleCrop>
  <HeadingPairs>
    <vt:vector size="2" baseType="variant">
      <vt:variant>
        <vt:lpstr>Title</vt:lpstr>
      </vt:variant>
      <vt:variant>
        <vt:i4>1</vt:i4>
      </vt:variant>
    </vt:vector>
  </HeadingPairs>
  <TitlesOfParts>
    <vt:vector size="1" baseType="lpstr">
      <vt:lpstr>Special report on simplified business tax processes (February 2017)</vt:lpstr>
    </vt:vector>
  </TitlesOfParts>
  <Company>Inland Revenue</Company>
  <LinksUpToDate>false</LinksUpToDate>
  <CharactersWithSpaces>85939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simplified business tax processes (February 2017)</dc:title>
  <dc:subject/>
  <dc:creator>Policy and Strategy</dc:creator>
  <dc:description>Published on 28 February 2017.</dc:description>
  <cp:lastModifiedBy>David Nind</cp:lastModifiedBy>
  <cp:revision>2</cp:revision>
  <dcterms:created xsi:type="dcterms:W3CDTF">2017-02-28T02:14:00Z</dcterms:created>
  <dcterms:modified xsi:type="dcterms:W3CDTF">2017-02-28T02:15:00Z</dcterms:modified>
</cp:coreProperties>
</file>