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7C737B">
      <w:pPr>
        <w:pStyle w:val="RISheading"/>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rPr>
          <w:w w:val="100"/>
          <w:sz w:val="32"/>
          <w:szCs w:val="32"/>
        </w:rPr>
        <w:t>Regulatory Impact Statement</w:t>
      </w:r>
      <w:bookmarkEnd w:id="1"/>
      <w:bookmarkEnd w:id="2"/>
      <w:bookmarkEnd w:id="3"/>
      <w:bookmarkEnd w:id="4"/>
      <w:bookmarkEnd w:id="5"/>
    </w:p>
    <w:p w:rsidR="000545DC" w:rsidRPr="004342F0" w:rsidRDefault="00C957C2" w:rsidP="004E52EA">
      <w:pPr>
        <w:pStyle w:val="RISheading"/>
        <w:jc w:val="both"/>
        <w:rPr>
          <w:spacing w:val="0"/>
          <w:w w:val="100"/>
        </w:rPr>
      </w:pPr>
      <w:r>
        <w:rPr>
          <w:spacing w:val="0"/>
          <w:w w:val="100"/>
        </w:rPr>
        <w:t>Tax treatment of p</w:t>
      </w:r>
      <w:r w:rsidR="00C221D3">
        <w:rPr>
          <w:spacing w:val="0"/>
          <w:w w:val="100"/>
        </w:rPr>
        <w:t>etroleum mining decommissioning</w:t>
      </w:r>
    </w:p>
    <w:p w:rsidR="000545DC" w:rsidRPr="004342F0" w:rsidRDefault="001C6912" w:rsidP="004E52EA">
      <w:pPr>
        <w:pStyle w:val="RISheading"/>
        <w:jc w:val="both"/>
        <w:rPr>
          <w:spacing w:val="0"/>
          <w:w w:val="100"/>
        </w:rPr>
      </w:pPr>
      <w:r w:rsidRPr="004342F0">
        <w:rPr>
          <w:spacing w:val="0"/>
          <w:w w:val="100"/>
        </w:rPr>
        <w:t xml:space="preserve">Agency </w:t>
      </w:r>
      <w:r w:rsidR="000545DC" w:rsidRPr="004342F0">
        <w:rPr>
          <w:spacing w:val="0"/>
          <w:w w:val="100"/>
        </w:rPr>
        <w:t xml:space="preserve">Disclosure Statement </w:t>
      </w:r>
    </w:p>
    <w:p w:rsidR="000545DC" w:rsidRDefault="000545DC" w:rsidP="004E52EA">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This Regulatory Impact Statement </w:t>
      </w:r>
      <w:r w:rsidR="00C221D3">
        <w:rPr>
          <w:rFonts w:ascii="Times New Roman" w:hAnsi="Times New Roman"/>
          <w:sz w:val="24"/>
          <w:szCs w:val="24"/>
        </w:rPr>
        <w:t xml:space="preserve">(RIS) </w:t>
      </w:r>
      <w:r w:rsidRPr="004342F0">
        <w:rPr>
          <w:rFonts w:ascii="Times New Roman" w:hAnsi="Times New Roman"/>
          <w:sz w:val="24"/>
          <w:szCs w:val="24"/>
        </w:rPr>
        <w:t xml:space="preserve">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r w:rsidR="00B105A9">
        <w:rPr>
          <w:rFonts w:ascii="Times New Roman" w:hAnsi="Times New Roman"/>
          <w:sz w:val="24"/>
          <w:szCs w:val="24"/>
        </w:rPr>
        <w:t xml:space="preserve">  </w:t>
      </w:r>
      <w:r w:rsidRPr="004342F0">
        <w:rPr>
          <w:rFonts w:ascii="Times New Roman" w:hAnsi="Times New Roman"/>
          <w:sz w:val="24"/>
          <w:szCs w:val="24"/>
        </w:rPr>
        <w:t xml:space="preserve">It provides an analysis of options to </w:t>
      </w:r>
      <w:r w:rsidR="00C221D3">
        <w:rPr>
          <w:rFonts w:ascii="Times New Roman" w:hAnsi="Times New Roman"/>
          <w:sz w:val="24"/>
          <w:szCs w:val="24"/>
        </w:rPr>
        <w:t xml:space="preserve">address </w:t>
      </w:r>
      <w:r w:rsidR="008E321A">
        <w:rPr>
          <w:rFonts w:ascii="Times New Roman" w:hAnsi="Times New Roman"/>
          <w:sz w:val="24"/>
          <w:szCs w:val="24"/>
        </w:rPr>
        <w:t xml:space="preserve">a problem with </w:t>
      </w:r>
      <w:r w:rsidR="00C221D3">
        <w:rPr>
          <w:rFonts w:ascii="Times New Roman" w:hAnsi="Times New Roman"/>
          <w:sz w:val="24"/>
          <w:szCs w:val="24"/>
        </w:rPr>
        <w:t xml:space="preserve">the tax </w:t>
      </w:r>
      <w:r w:rsidR="00B105A9">
        <w:rPr>
          <w:rFonts w:ascii="Times New Roman" w:hAnsi="Times New Roman"/>
          <w:sz w:val="24"/>
          <w:szCs w:val="24"/>
        </w:rPr>
        <w:t xml:space="preserve">rules for </w:t>
      </w:r>
      <w:r w:rsidR="00C221D3">
        <w:rPr>
          <w:rFonts w:ascii="Times New Roman" w:hAnsi="Times New Roman"/>
          <w:sz w:val="24"/>
          <w:szCs w:val="24"/>
        </w:rPr>
        <w:t xml:space="preserve">decommissioning expenditure </w:t>
      </w:r>
      <w:r w:rsidR="00B105A9">
        <w:rPr>
          <w:rFonts w:ascii="Times New Roman" w:hAnsi="Times New Roman"/>
          <w:sz w:val="24"/>
          <w:szCs w:val="24"/>
        </w:rPr>
        <w:t xml:space="preserve">incurred </w:t>
      </w:r>
      <w:r w:rsidR="00C221D3">
        <w:rPr>
          <w:rFonts w:ascii="Times New Roman" w:hAnsi="Times New Roman"/>
          <w:sz w:val="24"/>
          <w:szCs w:val="24"/>
        </w:rPr>
        <w:t>by petroleum miners.</w:t>
      </w:r>
    </w:p>
    <w:p w:rsidR="00E66BC8" w:rsidRDefault="00E66BC8" w:rsidP="004E52EA">
      <w:pPr>
        <w:pStyle w:val="ListParagraph"/>
        <w:ind w:left="0" w:right="170"/>
        <w:contextualSpacing w:val="0"/>
        <w:rPr>
          <w:rFonts w:ascii="Times New Roman" w:hAnsi="Times New Roman"/>
          <w:sz w:val="24"/>
          <w:szCs w:val="24"/>
        </w:rPr>
      </w:pPr>
    </w:p>
    <w:p w:rsidR="00E66BC8" w:rsidRPr="004342F0" w:rsidRDefault="00B105A9" w:rsidP="004E52EA">
      <w:pPr>
        <w:pStyle w:val="ListParagraph"/>
        <w:ind w:left="0" w:right="170"/>
        <w:contextualSpacing w:val="0"/>
        <w:rPr>
          <w:rFonts w:ascii="Times New Roman" w:hAnsi="Times New Roman"/>
          <w:sz w:val="24"/>
          <w:szCs w:val="24"/>
        </w:rPr>
      </w:pPr>
      <w:r>
        <w:rPr>
          <w:rFonts w:ascii="Times New Roman" w:hAnsi="Times New Roman"/>
          <w:sz w:val="24"/>
          <w:szCs w:val="24"/>
        </w:rPr>
        <w:t>Petroleum mining d</w:t>
      </w:r>
      <w:r w:rsidR="00E66BC8" w:rsidRPr="007944E8">
        <w:rPr>
          <w:rFonts w:ascii="Times New Roman" w:hAnsi="Times New Roman"/>
          <w:sz w:val="24"/>
          <w:szCs w:val="24"/>
        </w:rPr>
        <w:t xml:space="preserve">ecommissioning incurs significant expenditure near or after the end of production </w:t>
      </w:r>
      <w:r w:rsidR="007944E8" w:rsidRPr="007944E8">
        <w:rPr>
          <w:rFonts w:ascii="Times New Roman" w:hAnsi="Times New Roman"/>
          <w:sz w:val="24"/>
          <w:szCs w:val="24"/>
        </w:rPr>
        <w:t xml:space="preserve">at which point there will be little or no </w:t>
      </w:r>
      <w:r w:rsidR="00E66BC8" w:rsidRPr="007944E8">
        <w:rPr>
          <w:rFonts w:ascii="Times New Roman" w:hAnsi="Times New Roman"/>
          <w:sz w:val="24"/>
          <w:szCs w:val="24"/>
        </w:rPr>
        <w:t>assessable income.</w:t>
      </w:r>
      <w:r w:rsidR="00E66BC8">
        <w:rPr>
          <w:rFonts w:ascii="Times New Roman" w:hAnsi="Times New Roman"/>
          <w:sz w:val="24"/>
          <w:szCs w:val="24"/>
        </w:rPr>
        <w:t xml:space="preserve">  The </w:t>
      </w:r>
      <w:r>
        <w:rPr>
          <w:rFonts w:ascii="Times New Roman" w:hAnsi="Times New Roman"/>
          <w:sz w:val="24"/>
          <w:szCs w:val="24"/>
        </w:rPr>
        <w:t xml:space="preserve">tax rules for </w:t>
      </w:r>
      <w:r w:rsidR="00E66BC8">
        <w:rPr>
          <w:rFonts w:ascii="Times New Roman" w:hAnsi="Times New Roman"/>
          <w:sz w:val="24"/>
          <w:szCs w:val="24"/>
        </w:rPr>
        <w:t xml:space="preserve">petroleum mining allow </w:t>
      </w:r>
      <w:r>
        <w:rPr>
          <w:rFonts w:ascii="Times New Roman" w:hAnsi="Times New Roman"/>
          <w:sz w:val="24"/>
          <w:szCs w:val="24"/>
        </w:rPr>
        <w:t xml:space="preserve">decommissioning </w:t>
      </w:r>
      <w:r w:rsidR="00E66BC8">
        <w:rPr>
          <w:rFonts w:ascii="Times New Roman" w:hAnsi="Times New Roman"/>
          <w:sz w:val="24"/>
          <w:szCs w:val="24"/>
        </w:rPr>
        <w:t xml:space="preserve">expenditure to effectively be offset against income from </w:t>
      </w:r>
      <w:r>
        <w:rPr>
          <w:rFonts w:ascii="Times New Roman" w:hAnsi="Times New Roman"/>
          <w:sz w:val="24"/>
          <w:szCs w:val="24"/>
        </w:rPr>
        <w:t>previous</w:t>
      </w:r>
      <w:r w:rsidR="00E66BC8">
        <w:rPr>
          <w:rFonts w:ascii="Times New Roman" w:hAnsi="Times New Roman"/>
          <w:sz w:val="24"/>
          <w:szCs w:val="24"/>
        </w:rPr>
        <w:t xml:space="preserve"> periods</w:t>
      </w:r>
      <w:r>
        <w:rPr>
          <w:rFonts w:ascii="Times New Roman" w:hAnsi="Times New Roman"/>
          <w:sz w:val="24"/>
          <w:szCs w:val="24"/>
        </w:rPr>
        <w:t>,</w:t>
      </w:r>
      <w:r w:rsidR="00E66BC8">
        <w:rPr>
          <w:rFonts w:ascii="Times New Roman" w:hAnsi="Times New Roman"/>
          <w:sz w:val="24"/>
          <w:szCs w:val="24"/>
        </w:rPr>
        <w:t xml:space="preserve"> rather than carried forward as a loss against future income </w:t>
      </w:r>
      <w:r>
        <w:rPr>
          <w:rFonts w:ascii="Times New Roman" w:hAnsi="Times New Roman"/>
          <w:sz w:val="24"/>
          <w:szCs w:val="24"/>
        </w:rPr>
        <w:t xml:space="preserve">(which </w:t>
      </w:r>
      <w:r w:rsidR="00E66BC8">
        <w:rPr>
          <w:rFonts w:ascii="Times New Roman" w:hAnsi="Times New Roman"/>
          <w:sz w:val="24"/>
          <w:szCs w:val="24"/>
        </w:rPr>
        <w:t xml:space="preserve">would be the standard treatment in the absence of </w:t>
      </w:r>
      <w:r>
        <w:rPr>
          <w:rFonts w:ascii="Times New Roman" w:hAnsi="Times New Roman"/>
          <w:sz w:val="24"/>
          <w:szCs w:val="24"/>
        </w:rPr>
        <w:t xml:space="preserve">these </w:t>
      </w:r>
      <w:r w:rsidR="00E66BC8">
        <w:rPr>
          <w:rFonts w:ascii="Times New Roman" w:hAnsi="Times New Roman"/>
          <w:sz w:val="24"/>
          <w:szCs w:val="24"/>
        </w:rPr>
        <w:t>specific rules</w:t>
      </w:r>
      <w:r>
        <w:rPr>
          <w:rFonts w:ascii="Times New Roman" w:hAnsi="Times New Roman"/>
          <w:sz w:val="24"/>
          <w:szCs w:val="24"/>
        </w:rPr>
        <w:t>)</w:t>
      </w:r>
      <w:r w:rsidR="00E66BC8">
        <w:rPr>
          <w:rFonts w:ascii="Times New Roman" w:hAnsi="Times New Roman"/>
          <w:sz w:val="24"/>
          <w:szCs w:val="24"/>
        </w:rPr>
        <w:t xml:space="preserve">.  </w:t>
      </w:r>
      <w:r w:rsidR="008E321A">
        <w:rPr>
          <w:rFonts w:ascii="Times New Roman" w:hAnsi="Times New Roman"/>
          <w:sz w:val="24"/>
          <w:szCs w:val="24"/>
        </w:rPr>
        <w:t>A key assumption is</w:t>
      </w:r>
      <w:r w:rsidR="00E66BC8">
        <w:rPr>
          <w:rFonts w:ascii="Times New Roman" w:hAnsi="Times New Roman"/>
          <w:sz w:val="24"/>
          <w:szCs w:val="24"/>
        </w:rPr>
        <w:t xml:space="preserve"> that some variant of industry specific rules will continue to ensure that petroleum mining is not </w:t>
      </w:r>
      <w:r w:rsidR="006C367C">
        <w:rPr>
          <w:rFonts w:ascii="Times New Roman" w:hAnsi="Times New Roman"/>
          <w:sz w:val="24"/>
          <w:szCs w:val="24"/>
        </w:rPr>
        <w:t>disincentivised</w:t>
      </w:r>
      <w:r w:rsidR="00E66BC8">
        <w:rPr>
          <w:rFonts w:ascii="Times New Roman" w:hAnsi="Times New Roman"/>
          <w:sz w:val="24"/>
          <w:szCs w:val="24"/>
        </w:rPr>
        <w:t xml:space="preserve"> </w:t>
      </w:r>
      <w:r w:rsidR="00A372C2">
        <w:rPr>
          <w:rFonts w:ascii="Times New Roman" w:hAnsi="Times New Roman"/>
          <w:sz w:val="24"/>
          <w:szCs w:val="24"/>
        </w:rPr>
        <w:t xml:space="preserve">by </w:t>
      </w:r>
      <w:r w:rsidR="00FE1315">
        <w:rPr>
          <w:rFonts w:ascii="Times New Roman" w:hAnsi="Times New Roman"/>
          <w:sz w:val="24"/>
          <w:szCs w:val="24"/>
        </w:rPr>
        <w:t xml:space="preserve">its </w:t>
      </w:r>
      <w:r w:rsidR="00E66BC8">
        <w:rPr>
          <w:rFonts w:ascii="Times New Roman" w:hAnsi="Times New Roman"/>
          <w:sz w:val="24"/>
          <w:szCs w:val="24"/>
        </w:rPr>
        <w:t>tax treatment.</w:t>
      </w:r>
    </w:p>
    <w:p w:rsidR="004342F0" w:rsidRPr="004342F0" w:rsidRDefault="004342F0" w:rsidP="004E52EA">
      <w:pPr>
        <w:pStyle w:val="Text"/>
        <w:spacing w:before="0" w:after="0" w:line="240" w:lineRule="auto"/>
        <w:ind w:right="170"/>
        <w:rPr>
          <w:rFonts w:ascii="Times New Roman" w:hAnsi="Times New Roman"/>
          <w:sz w:val="24"/>
          <w:szCs w:val="24"/>
          <w:lang w:val="en-NZ"/>
        </w:rPr>
      </w:pPr>
    </w:p>
    <w:p w:rsidR="007A2381" w:rsidRDefault="00FE1315" w:rsidP="004E52EA">
      <w:pPr>
        <w:pStyle w:val="Bullet-list"/>
        <w:spacing w:after="0" w:line="240" w:lineRule="auto"/>
        <w:ind w:left="0" w:right="170" w:firstLine="0"/>
        <w:jc w:val="both"/>
        <w:rPr>
          <w:rFonts w:ascii="Times New Roman" w:hAnsi="Times New Roman"/>
          <w:sz w:val="24"/>
          <w:szCs w:val="24"/>
        </w:rPr>
      </w:pPr>
      <w:r w:rsidRPr="00FE1315">
        <w:rPr>
          <w:rFonts w:ascii="Times New Roman" w:hAnsi="Times New Roman"/>
          <w:sz w:val="24"/>
          <w:szCs w:val="24"/>
        </w:rPr>
        <w:t>Officials</w:t>
      </w:r>
      <w:r>
        <w:rPr>
          <w:rFonts w:ascii="Times New Roman" w:hAnsi="Times New Roman"/>
          <w:sz w:val="24"/>
          <w:szCs w:val="24"/>
        </w:rPr>
        <w:t xml:space="preserve"> have work</w:t>
      </w:r>
      <w:r w:rsidR="008E321A">
        <w:rPr>
          <w:rFonts w:ascii="Times New Roman" w:hAnsi="Times New Roman"/>
          <w:sz w:val="24"/>
          <w:szCs w:val="24"/>
        </w:rPr>
        <w:t>ed</w:t>
      </w:r>
      <w:r>
        <w:rPr>
          <w:rFonts w:ascii="Times New Roman" w:hAnsi="Times New Roman"/>
          <w:sz w:val="24"/>
          <w:szCs w:val="24"/>
        </w:rPr>
        <w:t xml:space="preserve"> closely with the petroleum mining industry and other government departments to develop the proposals in this RIS.  </w:t>
      </w:r>
      <w:r w:rsidR="00BE215F">
        <w:rPr>
          <w:rFonts w:ascii="Times New Roman" w:hAnsi="Times New Roman"/>
          <w:sz w:val="24"/>
          <w:szCs w:val="24"/>
        </w:rPr>
        <w:t>This consultation is commensurate with the nature of the issue and the parties concerned.</w:t>
      </w:r>
    </w:p>
    <w:p w:rsidR="007A2381" w:rsidRDefault="007A2381" w:rsidP="004E52EA">
      <w:pPr>
        <w:pStyle w:val="Bullet-list"/>
        <w:spacing w:after="0" w:line="240" w:lineRule="auto"/>
        <w:ind w:left="0" w:right="170" w:firstLine="0"/>
        <w:jc w:val="both"/>
        <w:rPr>
          <w:rFonts w:ascii="Times New Roman" w:hAnsi="Times New Roman"/>
          <w:sz w:val="24"/>
          <w:szCs w:val="24"/>
        </w:rPr>
      </w:pPr>
    </w:p>
    <w:p w:rsidR="00BE215F" w:rsidRDefault="00A372C2" w:rsidP="00BE215F">
      <w:pPr>
        <w:pStyle w:val="Bullet-list"/>
        <w:spacing w:line="240" w:lineRule="auto"/>
        <w:ind w:left="0" w:right="170" w:firstLine="0"/>
        <w:jc w:val="both"/>
        <w:rPr>
          <w:rFonts w:ascii="Times New Roman" w:hAnsi="Times New Roman"/>
          <w:sz w:val="24"/>
          <w:szCs w:val="24"/>
        </w:rPr>
      </w:pPr>
      <w:r>
        <w:rPr>
          <w:rFonts w:ascii="Times New Roman" w:hAnsi="Times New Roman"/>
          <w:sz w:val="24"/>
          <w:szCs w:val="24"/>
        </w:rPr>
        <w:t>A</w:t>
      </w:r>
      <w:r w:rsidR="00FE1315">
        <w:rPr>
          <w:rFonts w:ascii="Times New Roman" w:hAnsi="Times New Roman"/>
          <w:sz w:val="24"/>
          <w:szCs w:val="24"/>
        </w:rPr>
        <w:t xml:space="preserve"> key constraint </w:t>
      </w:r>
      <w:r>
        <w:rPr>
          <w:rFonts w:ascii="Times New Roman" w:hAnsi="Times New Roman"/>
          <w:sz w:val="24"/>
          <w:szCs w:val="24"/>
        </w:rPr>
        <w:t xml:space="preserve">on </w:t>
      </w:r>
      <w:r w:rsidR="008E321A">
        <w:rPr>
          <w:rFonts w:ascii="Times New Roman" w:hAnsi="Times New Roman"/>
          <w:sz w:val="24"/>
          <w:szCs w:val="24"/>
        </w:rPr>
        <w:t xml:space="preserve">our </w:t>
      </w:r>
      <w:r>
        <w:rPr>
          <w:rFonts w:ascii="Times New Roman" w:hAnsi="Times New Roman"/>
          <w:sz w:val="24"/>
          <w:szCs w:val="24"/>
        </w:rPr>
        <w:t xml:space="preserve">analysis relates to determination of fiscal cost estimates for </w:t>
      </w:r>
      <w:r w:rsidR="00FE1315">
        <w:rPr>
          <w:rFonts w:ascii="Times New Roman" w:hAnsi="Times New Roman"/>
          <w:sz w:val="24"/>
          <w:szCs w:val="24"/>
        </w:rPr>
        <w:t>each</w:t>
      </w:r>
      <w:r w:rsidR="006124DE">
        <w:rPr>
          <w:rFonts w:ascii="Times New Roman" w:hAnsi="Times New Roman"/>
          <w:sz w:val="24"/>
          <w:szCs w:val="24"/>
        </w:rPr>
        <w:t xml:space="preserve"> option</w:t>
      </w:r>
      <w:r w:rsidR="00FE1315">
        <w:rPr>
          <w:rFonts w:ascii="Times New Roman" w:hAnsi="Times New Roman"/>
          <w:sz w:val="24"/>
          <w:szCs w:val="24"/>
        </w:rPr>
        <w:t xml:space="preserve">.  </w:t>
      </w:r>
      <w:r>
        <w:rPr>
          <w:rFonts w:ascii="Times New Roman" w:hAnsi="Times New Roman"/>
          <w:sz w:val="24"/>
          <w:szCs w:val="24"/>
        </w:rPr>
        <w:t xml:space="preserve">Because </w:t>
      </w:r>
      <w:r w:rsidR="00FE1315">
        <w:rPr>
          <w:rFonts w:ascii="Times New Roman" w:hAnsi="Times New Roman"/>
          <w:sz w:val="24"/>
          <w:szCs w:val="24"/>
        </w:rPr>
        <w:t>petroleum decommissioning expenditure is already deductible and eligible to be spread</w:t>
      </w:r>
      <w:r w:rsidR="00750D2A">
        <w:rPr>
          <w:rFonts w:ascii="Times New Roman" w:hAnsi="Times New Roman"/>
          <w:sz w:val="24"/>
          <w:szCs w:val="24"/>
        </w:rPr>
        <w:t>-</w:t>
      </w:r>
      <w:r w:rsidR="00FE1315">
        <w:rPr>
          <w:rFonts w:ascii="Times New Roman" w:hAnsi="Times New Roman"/>
          <w:sz w:val="24"/>
          <w:szCs w:val="24"/>
        </w:rPr>
        <w:t xml:space="preserve">back the cost of decommissioning is already incorporated into </w:t>
      </w:r>
      <w:r w:rsidR="00FC7BC5">
        <w:rPr>
          <w:rFonts w:ascii="Times New Roman" w:hAnsi="Times New Roman"/>
          <w:sz w:val="24"/>
          <w:szCs w:val="24"/>
        </w:rPr>
        <w:t xml:space="preserve">the </w:t>
      </w:r>
      <w:r w:rsidR="00FE1315">
        <w:rPr>
          <w:rFonts w:ascii="Times New Roman" w:hAnsi="Times New Roman"/>
          <w:sz w:val="24"/>
          <w:szCs w:val="24"/>
        </w:rPr>
        <w:t>fiscal</w:t>
      </w:r>
      <w:r w:rsidR="00FC7BC5">
        <w:rPr>
          <w:rFonts w:ascii="Times New Roman" w:hAnsi="Times New Roman"/>
          <w:sz w:val="24"/>
          <w:szCs w:val="24"/>
        </w:rPr>
        <w:t xml:space="preserve"> cost estimates</w:t>
      </w:r>
      <w:r w:rsidR="00FE1315">
        <w:rPr>
          <w:rFonts w:ascii="Times New Roman" w:hAnsi="Times New Roman"/>
          <w:sz w:val="24"/>
          <w:szCs w:val="24"/>
        </w:rPr>
        <w:t xml:space="preserve">.  </w:t>
      </w:r>
      <w:r w:rsidR="00FC7BC5">
        <w:rPr>
          <w:rFonts w:ascii="Times New Roman" w:hAnsi="Times New Roman"/>
          <w:sz w:val="24"/>
          <w:szCs w:val="24"/>
        </w:rPr>
        <w:t>U</w:t>
      </w:r>
      <w:r w:rsidR="00FE1315">
        <w:rPr>
          <w:rFonts w:ascii="Times New Roman" w:hAnsi="Times New Roman"/>
          <w:sz w:val="24"/>
          <w:szCs w:val="24"/>
        </w:rPr>
        <w:t>nless ot</w:t>
      </w:r>
      <w:r w:rsidR="006124DE">
        <w:rPr>
          <w:rFonts w:ascii="Times New Roman" w:hAnsi="Times New Roman"/>
          <w:sz w:val="24"/>
          <w:szCs w:val="24"/>
        </w:rPr>
        <w:t xml:space="preserve">herwise noted, </w:t>
      </w:r>
      <w:r w:rsidR="00FC7BC5">
        <w:rPr>
          <w:rFonts w:ascii="Times New Roman" w:hAnsi="Times New Roman"/>
          <w:sz w:val="24"/>
          <w:szCs w:val="24"/>
        </w:rPr>
        <w:t xml:space="preserve">the proposals considered in this RIS are </w:t>
      </w:r>
      <w:r w:rsidR="006124DE">
        <w:rPr>
          <w:rFonts w:ascii="Times New Roman" w:hAnsi="Times New Roman"/>
          <w:sz w:val="24"/>
          <w:szCs w:val="24"/>
        </w:rPr>
        <w:t xml:space="preserve">expected to have, at most, </w:t>
      </w:r>
      <w:r w:rsidR="00FE1315">
        <w:rPr>
          <w:rFonts w:ascii="Times New Roman" w:hAnsi="Times New Roman"/>
          <w:sz w:val="24"/>
          <w:szCs w:val="24"/>
        </w:rPr>
        <w:t xml:space="preserve">a timing effect on the total cost to the Crown of decommissioning.  </w:t>
      </w:r>
      <w:r w:rsidR="00FC7BC5">
        <w:rPr>
          <w:rFonts w:ascii="Times New Roman" w:hAnsi="Times New Roman"/>
          <w:sz w:val="24"/>
          <w:szCs w:val="24"/>
        </w:rPr>
        <w:t>These</w:t>
      </w:r>
      <w:r w:rsidR="00FE1315">
        <w:rPr>
          <w:rFonts w:ascii="Times New Roman" w:hAnsi="Times New Roman"/>
          <w:sz w:val="24"/>
          <w:szCs w:val="24"/>
        </w:rPr>
        <w:t xml:space="preserve"> forecasts</w:t>
      </w:r>
      <w:r w:rsidR="00C957C2">
        <w:rPr>
          <w:rFonts w:ascii="Times New Roman" w:hAnsi="Times New Roman"/>
          <w:sz w:val="24"/>
          <w:szCs w:val="24"/>
        </w:rPr>
        <w:t>, however,</w:t>
      </w:r>
      <w:r w:rsidR="00FE1315">
        <w:rPr>
          <w:rFonts w:ascii="Times New Roman" w:hAnsi="Times New Roman"/>
          <w:sz w:val="24"/>
          <w:szCs w:val="24"/>
        </w:rPr>
        <w:t xml:space="preserve"> are influenced by </w:t>
      </w:r>
      <w:r w:rsidR="00C957C2">
        <w:rPr>
          <w:rFonts w:ascii="Times New Roman" w:hAnsi="Times New Roman"/>
          <w:sz w:val="24"/>
          <w:szCs w:val="24"/>
        </w:rPr>
        <w:t xml:space="preserve">a number of </w:t>
      </w:r>
      <w:r w:rsidR="00FE1315">
        <w:rPr>
          <w:rFonts w:ascii="Times New Roman" w:hAnsi="Times New Roman"/>
          <w:sz w:val="24"/>
          <w:szCs w:val="24"/>
        </w:rPr>
        <w:t xml:space="preserve">factors that are unable to </w:t>
      </w:r>
      <w:r w:rsidR="00076FB8">
        <w:rPr>
          <w:rFonts w:ascii="Times New Roman" w:hAnsi="Times New Roman"/>
          <w:sz w:val="24"/>
          <w:szCs w:val="24"/>
        </w:rPr>
        <w:t xml:space="preserve">be </w:t>
      </w:r>
      <w:r w:rsidR="00FE1315">
        <w:rPr>
          <w:rFonts w:ascii="Times New Roman" w:hAnsi="Times New Roman"/>
          <w:sz w:val="24"/>
          <w:szCs w:val="24"/>
        </w:rPr>
        <w:t>reliably</w:t>
      </w:r>
      <w:r w:rsidR="00C1302A">
        <w:rPr>
          <w:rFonts w:ascii="Times New Roman" w:hAnsi="Times New Roman"/>
          <w:sz w:val="24"/>
          <w:szCs w:val="24"/>
        </w:rPr>
        <w:t xml:space="preserve"> </w:t>
      </w:r>
      <w:r w:rsidR="00C957C2">
        <w:rPr>
          <w:rFonts w:ascii="Times New Roman" w:hAnsi="Times New Roman"/>
          <w:sz w:val="24"/>
          <w:szCs w:val="24"/>
        </w:rPr>
        <w:t>determined</w:t>
      </w:r>
      <w:r w:rsidR="006C367C">
        <w:rPr>
          <w:rFonts w:ascii="Times New Roman" w:hAnsi="Times New Roman"/>
          <w:sz w:val="24"/>
          <w:szCs w:val="24"/>
        </w:rPr>
        <w:t xml:space="preserve"> at this time</w:t>
      </w:r>
      <w:r w:rsidR="00C957C2">
        <w:rPr>
          <w:rFonts w:ascii="Times New Roman" w:hAnsi="Times New Roman"/>
          <w:sz w:val="24"/>
          <w:szCs w:val="24"/>
        </w:rPr>
        <w:t>.  These factors include</w:t>
      </w:r>
      <w:r w:rsidR="00FE1315">
        <w:rPr>
          <w:rFonts w:ascii="Times New Roman" w:hAnsi="Times New Roman"/>
          <w:sz w:val="24"/>
          <w:szCs w:val="24"/>
        </w:rPr>
        <w:t>:</w:t>
      </w:r>
    </w:p>
    <w:p w:rsidR="00BE215F" w:rsidRPr="00BE215F" w:rsidRDefault="00C957C2" w:rsidP="008A46F9">
      <w:pPr>
        <w:pStyle w:val="Bullet-list"/>
        <w:numPr>
          <w:ilvl w:val="0"/>
          <w:numId w:val="4"/>
        </w:numPr>
        <w:spacing w:line="240" w:lineRule="auto"/>
        <w:ind w:left="709" w:right="170" w:hanging="425"/>
        <w:jc w:val="both"/>
        <w:rPr>
          <w:rFonts w:ascii="Times New Roman" w:hAnsi="Times New Roman"/>
          <w:sz w:val="24"/>
          <w:szCs w:val="24"/>
        </w:rPr>
      </w:pPr>
      <w:r>
        <w:rPr>
          <w:rFonts w:ascii="Times New Roman" w:hAnsi="Times New Roman"/>
          <w:sz w:val="24"/>
          <w:szCs w:val="24"/>
        </w:rPr>
        <w:t>t</w:t>
      </w:r>
      <w:r w:rsidR="00FE1315">
        <w:rPr>
          <w:rFonts w:ascii="Times New Roman" w:hAnsi="Times New Roman"/>
          <w:sz w:val="24"/>
          <w:szCs w:val="24"/>
        </w:rPr>
        <w:t>he regulatory standard for the level of decommissioning required</w:t>
      </w:r>
      <w:r w:rsidR="000051DB">
        <w:rPr>
          <w:rFonts w:ascii="Times New Roman" w:hAnsi="Times New Roman"/>
          <w:sz w:val="24"/>
          <w:szCs w:val="24"/>
        </w:rPr>
        <w:t>,</w:t>
      </w:r>
      <w:r w:rsidR="00FE1315">
        <w:rPr>
          <w:rFonts w:ascii="Times New Roman" w:hAnsi="Times New Roman"/>
          <w:sz w:val="24"/>
          <w:szCs w:val="24"/>
        </w:rPr>
        <w:t xml:space="preserve"> which is still being determined by the government;</w:t>
      </w:r>
    </w:p>
    <w:p w:rsidR="00BE215F" w:rsidRPr="00BE215F" w:rsidRDefault="00C957C2" w:rsidP="008A46F9">
      <w:pPr>
        <w:pStyle w:val="Bullet-list"/>
        <w:numPr>
          <w:ilvl w:val="0"/>
          <w:numId w:val="4"/>
        </w:numPr>
        <w:spacing w:line="240" w:lineRule="auto"/>
        <w:ind w:left="709" w:right="170" w:hanging="425"/>
        <w:jc w:val="both"/>
        <w:rPr>
          <w:rFonts w:ascii="Times New Roman" w:hAnsi="Times New Roman"/>
          <w:sz w:val="24"/>
          <w:szCs w:val="24"/>
        </w:rPr>
      </w:pPr>
      <w:r>
        <w:rPr>
          <w:rFonts w:ascii="Times New Roman" w:hAnsi="Times New Roman"/>
          <w:sz w:val="24"/>
          <w:szCs w:val="24"/>
        </w:rPr>
        <w:t>t</w:t>
      </w:r>
      <w:r w:rsidR="006124DE">
        <w:rPr>
          <w:rFonts w:ascii="Times New Roman" w:hAnsi="Times New Roman"/>
          <w:sz w:val="24"/>
          <w:szCs w:val="24"/>
        </w:rPr>
        <w:t>he timeframe for decommissioning of the various existing rigs which is currently estimated to occur between 2018 and 2046;</w:t>
      </w:r>
    </w:p>
    <w:p w:rsidR="00BE215F" w:rsidRPr="00BE215F" w:rsidRDefault="00C957C2" w:rsidP="008A46F9">
      <w:pPr>
        <w:pStyle w:val="Bullet-list"/>
        <w:numPr>
          <w:ilvl w:val="0"/>
          <w:numId w:val="4"/>
        </w:numPr>
        <w:spacing w:line="240" w:lineRule="auto"/>
        <w:ind w:left="709" w:right="170" w:hanging="425"/>
        <w:jc w:val="both"/>
        <w:rPr>
          <w:rFonts w:ascii="Times New Roman" w:hAnsi="Times New Roman"/>
          <w:sz w:val="24"/>
          <w:szCs w:val="24"/>
        </w:rPr>
      </w:pPr>
      <w:r>
        <w:rPr>
          <w:rFonts w:ascii="Times New Roman" w:hAnsi="Times New Roman"/>
          <w:sz w:val="24"/>
          <w:szCs w:val="24"/>
        </w:rPr>
        <w:t>a</w:t>
      </w:r>
      <w:r w:rsidR="006124DE">
        <w:rPr>
          <w:rFonts w:ascii="Times New Roman" w:hAnsi="Times New Roman"/>
          <w:sz w:val="24"/>
          <w:szCs w:val="24"/>
        </w:rPr>
        <w:t xml:space="preserve">ny new exploration discoveries or changes in technology that </w:t>
      </w:r>
      <w:r w:rsidR="003D5AB0">
        <w:rPr>
          <w:rFonts w:ascii="Times New Roman" w:hAnsi="Times New Roman"/>
          <w:sz w:val="24"/>
          <w:szCs w:val="24"/>
        </w:rPr>
        <w:t>extend</w:t>
      </w:r>
      <w:r w:rsidR="006124DE">
        <w:rPr>
          <w:rFonts w:ascii="Times New Roman" w:hAnsi="Times New Roman"/>
          <w:sz w:val="24"/>
          <w:szCs w:val="24"/>
        </w:rPr>
        <w:t xml:space="preserve"> field life;</w:t>
      </w:r>
    </w:p>
    <w:p w:rsidR="00BE215F" w:rsidRPr="00BE215F" w:rsidRDefault="00C957C2" w:rsidP="008A46F9">
      <w:pPr>
        <w:pStyle w:val="Bullet-list"/>
        <w:numPr>
          <w:ilvl w:val="0"/>
          <w:numId w:val="4"/>
        </w:numPr>
        <w:spacing w:line="240" w:lineRule="auto"/>
        <w:ind w:left="709" w:right="170" w:hanging="425"/>
        <w:jc w:val="both"/>
        <w:rPr>
          <w:rFonts w:ascii="Times New Roman" w:hAnsi="Times New Roman"/>
          <w:sz w:val="24"/>
          <w:szCs w:val="24"/>
        </w:rPr>
      </w:pPr>
      <w:r>
        <w:rPr>
          <w:rFonts w:ascii="Times New Roman" w:hAnsi="Times New Roman"/>
          <w:sz w:val="24"/>
          <w:szCs w:val="24"/>
        </w:rPr>
        <w:t>e</w:t>
      </w:r>
      <w:r w:rsidR="006124DE">
        <w:rPr>
          <w:rFonts w:ascii="Times New Roman" w:hAnsi="Times New Roman"/>
          <w:sz w:val="24"/>
          <w:szCs w:val="24"/>
        </w:rPr>
        <w:t xml:space="preserve">stimates of decommissioning costs including how this changes over time </w:t>
      </w:r>
      <w:r w:rsidR="007A2381">
        <w:rPr>
          <w:rFonts w:ascii="Times New Roman" w:hAnsi="Times New Roman"/>
          <w:sz w:val="24"/>
          <w:szCs w:val="24"/>
        </w:rPr>
        <w:t>because of</w:t>
      </w:r>
      <w:r w:rsidR="000051DB">
        <w:rPr>
          <w:rFonts w:ascii="Times New Roman" w:hAnsi="Times New Roman"/>
          <w:sz w:val="24"/>
          <w:szCs w:val="24"/>
        </w:rPr>
        <w:t xml:space="preserve"> better information,</w:t>
      </w:r>
      <w:r w:rsidR="006124DE">
        <w:rPr>
          <w:rFonts w:ascii="Times New Roman" w:hAnsi="Times New Roman"/>
          <w:sz w:val="24"/>
          <w:szCs w:val="24"/>
        </w:rPr>
        <w:t xml:space="preserve"> changes in technology and environmental regulations; and</w:t>
      </w:r>
    </w:p>
    <w:p w:rsidR="006124DE" w:rsidRPr="00FE1315" w:rsidRDefault="00C957C2" w:rsidP="008A46F9">
      <w:pPr>
        <w:pStyle w:val="Bullet-list"/>
        <w:numPr>
          <w:ilvl w:val="0"/>
          <w:numId w:val="4"/>
        </w:numPr>
        <w:spacing w:line="240" w:lineRule="auto"/>
        <w:ind w:left="709" w:right="170" w:hanging="425"/>
        <w:jc w:val="both"/>
        <w:rPr>
          <w:rFonts w:ascii="Times New Roman" w:hAnsi="Times New Roman"/>
          <w:sz w:val="24"/>
          <w:szCs w:val="24"/>
        </w:rPr>
      </w:pPr>
      <w:r>
        <w:rPr>
          <w:rFonts w:ascii="Times New Roman" w:hAnsi="Times New Roman"/>
          <w:sz w:val="24"/>
          <w:szCs w:val="24"/>
        </w:rPr>
        <w:t>c</w:t>
      </w:r>
      <w:r w:rsidR="006124DE">
        <w:rPr>
          <w:rFonts w:ascii="Times New Roman" w:hAnsi="Times New Roman"/>
          <w:sz w:val="24"/>
          <w:szCs w:val="24"/>
        </w:rPr>
        <w:t>hanges in estimated oil and gas prices and the effect this has on economically recoverable reserves.</w:t>
      </w:r>
    </w:p>
    <w:p w:rsidR="00385EC1" w:rsidRPr="004342F0" w:rsidRDefault="00385EC1" w:rsidP="004E52EA">
      <w:pPr>
        <w:pStyle w:val="Text"/>
        <w:spacing w:before="0" w:after="0" w:line="240" w:lineRule="auto"/>
        <w:ind w:right="170"/>
        <w:rPr>
          <w:rFonts w:ascii="Times New Roman" w:hAnsi="Times New Roman"/>
          <w:sz w:val="24"/>
          <w:szCs w:val="24"/>
          <w:lang w:val="en-NZ"/>
        </w:rPr>
      </w:pPr>
    </w:p>
    <w:p w:rsidR="0069425F" w:rsidRDefault="0069425F" w:rsidP="004E52EA">
      <w:pPr>
        <w:pStyle w:val="ListParagraph"/>
        <w:ind w:left="0" w:right="170"/>
        <w:contextualSpacing w:val="0"/>
        <w:rPr>
          <w:rFonts w:ascii="Times New Roman" w:hAnsi="Times New Roman"/>
          <w:sz w:val="24"/>
          <w:szCs w:val="24"/>
        </w:rPr>
      </w:pPr>
    </w:p>
    <w:p w:rsidR="00BE215F" w:rsidRDefault="00BE215F" w:rsidP="004E52EA">
      <w:pPr>
        <w:pStyle w:val="ListParagraph"/>
        <w:ind w:left="0" w:right="170"/>
        <w:contextualSpacing w:val="0"/>
        <w:rPr>
          <w:rFonts w:ascii="Times New Roman" w:hAnsi="Times New Roman"/>
          <w:sz w:val="24"/>
          <w:szCs w:val="24"/>
        </w:rPr>
      </w:pPr>
    </w:p>
    <w:p w:rsidR="00085660" w:rsidRPr="004342F0" w:rsidRDefault="00251B04" w:rsidP="004E52EA">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Peter Frawley</w:t>
      </w:r>
    </w:p>
    <w:p w:rsidR="009F7B9A" w:rsidRPr="004342F0" w:rsidRDefault="00251B04" w:rsidP="004E52EA">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w:t>
      </w:r>
      <w:r w:rsidR="005A62E6">
        <w:rPr>
          <w:rFonts w:ascii="Times New Roman" w:hAnsi="Times New Roman"/>
          <w:sz w:val="24"/>
          <w:szCs w:val="24"/>
          <w:lang w:val="en-NZ"/>
        </w:rPr>
        <w:t>, Policy and Strategy</w:t>
      </w:r>
    </w:p>
    <w:p w:rsidR="001C6912" w:rsidRPr="004342F0" w:rsidRDefault="001C6912" w:rsidP="004E52EA">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rsidR="000545DC" w:rsidRPr="004342F0" w:rsidRDefault="000545DC" w:rsidP="004E52EA">
      <w:pPr>
        <w:pStyle w:val="Text"/>
        <w:tabs>
          <w:tab w:val="left" w:pos="567"/>
        </w:tabs>
        <w:spacing w:before="0" w:after="0" w:line="240" w:lineRule="auto"/>
        <w:ind w:right="170"/>
        <w:rPr>
          <w:rFonts w:ascii="Times New Roman" w:hAnsi="Times New Roman"/>
          <w:sz w:val="24"/>
          <w:szCs w:val="24"/>
          <w:lang w:val="en-NZ"/>
        </w:rPr>
      </w:pPr>
    </w:p>
    <w:p w:rsidR="000545DC" w:rsidRPr="004342F0" w:rsidRDefault="00BE215F" w:rsidP="004E52EA">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17</w:t>
      </w:r>
      <w:r w:rsidR="00E66BC8">
        <w:rPr>
          <w:rFonts w:ascii="Times New Roman" w:hAnsi="Times New Roman"/>
          <w:sz w:val="24"/>
          <w:szCs w:val="24"/>
          <w:lang w:val="en-NZ"/>
        </w:rPr>
        <w:t xml:space="preserve"> October 2016</w:t>
      </w:r>
    </w:p>
    <w:p w:rsidR="000545DC" w:rsidRPr="004342F0" w:rsidRDefault="001C6912" w:rsidP="004E52EA">
      <w:pPr>
        <w:pStyle w:val="RISheading"/>
        <w:jc w:val="both"/>
        <w:rPr>
          <w:spacing w:val="0"/>
          <w:w w:val="100"/>
        </w:rPr>
      </w:pPr>
      <w:bookmarkStart w:id="7" w:name="_Toc244580363"/>
      <w:bookmarkStart w:id="8" w:name="_Toc244587039"/>
      <w:bookmarkStart w:id="9" w:name="_Toc244857273"/>
      <w:bookmarkStart w:id="10" w:name="_Toc244912538"/>
      <w:bookmarkStart w:id="11" w:name="_Toc244916995"/>
      <w:r w:rsidRPr="004342F0">
        <w:rPr>
          <w:spacing w:val="0"/>
          <w:w w:val="100"/>
        </w:rPr>
        <w:br w:type="page"/>
      </w:r>
      <w:r w:rsidRPr="004342F0">
        <w:rPr>
          <w:spacing w:val="0"/>
          <w:w w:val="100"/>
        </w:rPr>
        <w:lastRenderedPageBreak/>
        <w:t>STATUS QUO AND PROBLEM DEFINITION</w:t>
      </w:r>
      <w:bookmarkEnd w:id="7"/>
      <w:bookmarkEnd w:id="8"/>
      <w:bookmarkEnd w:id="9"/>
      <w:bookmarkEnd w:id="10"/>
      <w:bookmarkEnd w:id="11"/>
    </w:p>
    <w:p w:rsidR="00922E6F" w:rsidRDefault="00922E6F" w:rsidP="004E52EA">
      <w:pPr>
        <w:pStyle w:val="Bullet-list"/>
        <w:spacing w:after="0" w:line="240" w:lineRule="auto"/>
        <w:ind w:left="0" w:firstLine="0"/>
        <w:jc w:val="both"/>
        <w:rPr>
          <w:rFonts w:ascii="Times New Roman" w:hAnsi="Times New Roman"/>
          <w:sz w:val="24"/>
          <w:szCs w:val="24"/>
        </w:rPr>
      </w:pPr>
    </w:p>
    <w:p w:rsidR="00922E6F" w:rsidRPr="00922E6F" w:rsidRDefault="00922E6F" w:rsidP="004E52EA">
      <w:pPr>
        <w:pStyle w:val="Bullet-list"/>
        <w:spacing w:after="0" w:line="240" w:lineRule="auto"/>
        <w:ind w:left="0" w:firstLine="0"/>
        <w:jc w:val="both"/>
        <w:rPr>
          <w:rFonts w:ascii="Times New Roman" w:hAnsi="Times New Roman"/>
          <w:b/>
          <w:sz w:val="24"/>
          <w:szCs w:val="24"/>
        </w:rPr>
      </w:pPr>
      <w:r w:rsidRPr="00922E6F">
        <w:rPr>
          <w:rFonts w:ascii="Times New Roman" w:hAnsi="Times New Roman"/>
          <w:b/>
          <w:sz w:val="24"/>
          <w:szCs w:val="24"/>
        </w:rPr>
        <w:t xml:space="preserve">Current </w:t>
      </w:r>
      <w:r w:rsidR="008E321A">
        <w:rPr>
          <w:rFonts w:ascii="Times New Roman" w:hAnsi="Times New Roman"/>
          <w:b/>
          <w:sz w:val="24"/>
          <w:szCs w:val="24"/>
        </w:rPr>
        <w:t xml:space="preserve">tax </w:t>
      </w:r>
      <w:r w:rsidRPr="00922E6F">
        <w:rPr>
          <w:rFonts w:ascii="Times New Roman" w:hAnsi="Times New Roman"/>
          <w:b/>
          <w:sz w:val="24"/>
          <w:szCs w:val="24"/>
        </w:rPr>
        <w:t>treatment</w:t>
      </w:r>
    </w:p>
    <w:p w:rsidR="00922E6F" w:rsidRDefault="00922E6F" w:rsidP="004E52EA">
      <w:pPr>
        <w:pStyle w:val="Bullet-list"/>
        <w:spacing w:after="0" w:line="240" w:lineRule="auto"/>
        <w:ind w:left="0" w:firstLine="0"/>
        <w:jc w:val="both"/>
        <w:rPr>
          <w:rFonts w:ascii="Times New Roman" w:hAnsi="Times New Roman"/>
          <w:sz w:val="24"/>
          <w:szCs w:val="24"/>
        </w:rPr>
      </w:pPr>
    </w:p>
    <w:p w:rsidR="005D70E5" w:rsidRDefault="00922E6F"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w:t>
      </w:r>
      <w:r w:rsidR="005D70E5">
        <w:rPr>
          <w:rFonts w:ascii="Times New Roman" w:hAnsi="Times New Roman"/>
          <w:sz w:val="24"/>
          <w:szCs w:val="24"/>
        </w:rPr>
        <w:t xml:space="preserve">e tax rules </w:t>
      </w:r>
      <w:r w:rsidR="00076FB8">
        <w:rPr>
          <w:rFonts w:ascii="Times New Roman" w:hAnsi="Times New Roman"/>
          <w:sz w:val="24"/>
          <w:szCs w:val="24"/>
        </w:rPr>
        <w:t xml:space="preserve">for petroleum mining </w:t>
      </w:r>
      <w:r w:rsidR="005D70E5">
        <w:rPr>
          <w:rFonts w:ascii="Times New Roman" w:hAnsi="Times New Roman"/>
          <w:sz w:val="24"/>
          <w:szCs w:val="24"/>
        </w:rPr>
        <w:t>split</w:t>
      </w:r>
      <w:r>
        <w:rPr>
          <w:rFonts w:ascii="Times New Roman" w:hAnsi="Times New Roman"/>
          <w:sz w:val="24"/>
          <w:szCs w:val="24"/>
        </w:rPr>
        <w:t xml:space="preserve"> the life of a field into two distinct phases, </w:t>
      </w:r>
      <w:r w:rsidR="00C957C2">
        <w:rPr>
          <w:rFonts w:ascii="Times New Roman" w:hAnsi="Times New Roman"/>
          <w:sz w:val="24"/>
          <w:szCs w:val="24"/>
        </w:rPr>
        <w:t xml:space="preserve">namely </w:t>
      </w:r>
      <w:r>
        <w:rPr>
          <w:rFonts w:ascii="Times New Roman" w:hAnsi="Times New Roman"/>
          <w:sz w:val="24"/>
          <w:szCs w:val="24"/>
        </w:rPr>
        <w:t xml:space="preserve">exploration and development.  </w:t>
      </w:r>
      <w:r w:rsidR="00C957C2">
        <w:rPr>
          <w:rFonts w:ascii="Times New Roman" w:hAnsi="Times New Roman"/>
          <w:sz w:val="24"/>
          <w:szCs w:val="24"/>
        </w:rPr>
        <w:t>“</w:t>
      </w:r>
      <w:r w:rsidR="005D70E5">
        <w:rPr>
          <w:rFonts w:ascii="Times New Roman" w:hAnsi="Times New Roman"/>
          <w:sz w:val="24"/>
          <w:szCs w:val="24"/>
        </w:rPr>
        <w:t>Exploration</w:t>
      </w:r>
      <w:r w:rsidR="00C957C2">
        <w:rPr>
          <w:rFonts w:ascii="Times New Roman" w:hAnsi="Times New Roman"/>
          <w:sz w:val="24"/>
          <w:szCs w:val="24"/>
        </w:rPr>
        <w:t>”</w:t>
      </w:r>
      <w:r w:rsidR="005D70E5">
        <w:rPr>
          <w:rFonts w:ascii="Times New Roman" w:hAnsi="Times New Roman"/>
          <w:sz w:val="24"/>
          <w:szCs w:val="24"/>
        </w:rPr>
        <w:t xml:space="preserve"> is generally done under a prospecting or exploration permit</w:t>
      </w:r>
      <w:r w:rsidR="00C957C2" w:rsidRPr="0008593D">
        <w:rPr>
          <w:rStyle w:val="FootnoteReference"/>
          <w:rFonts w:ascii="Times New Roman" w:hAnsi="Times New Roman"/>
          <w:szCs w:val="24"/>
        </w:rPr>
        <w:footnoteReference w:id="1"/>
      </w:r>
      <w:r w:rsidR="005D70E5" w:rsidRPr="00C957C2">
        <w:rPr>
          <w:rFonts w:ascii="Times New Roman" w:hAnsi="Times New Roman"/>
          <w:sz w:val="24"/>
          <w:szCs w:val="24"/>
        </w:rPr>
        <w:t xml:space="preserve"> </w:t>
      </w:r>
      <w:r w:rsidR="005D70E5">
        <w:rPr>
          <w:rFonts w:ascii="Times New Roman" w:hAnsi="Times New Roman"/>
          <w:sz w:val="24"/>
          <w:szCs w:val="24"/>
        </w:rPr>
        <w:t>and involves looking for oil and gas reserves that can be extracted in commercially feasible quantities</w:t>
      </w:r>
      <w:r w:rsidR="00A66BE0">
        <w:rPr>
          <w:rFonts w:ascii="Times New Roman" w:hAnsi="Times New Roman"/>
          <w:sz w:val="24"/>
          <w:szCs w:val="24"/>
        </w:rPr>
        <w:t>,</w:t>
      </w:r>
      <w:r w:rsidR="005D70E5">
        <w:rPr>
          <w:rFonts w:ascii="Times New Roman" w:hAnsi="Times New Roman"/>
          <w:sz w:val="24"/>
          <w:szCs w:val="24"/>
        </w:rPr>
        <w:t xml:space="preserve"> whereas </w:t>
      </w:r>
      <w:r w:rsidR="00E04736">
        <w:rPr>
          <w:rFonts w:ascii="Times New Roman" w:hAnsi="Times New Roman"/>
          <w:sz w:val="24"/>
          <w:szCs w:val="24"/>
        </w:rPr>
        <w:t>“</w:t>
      </w:r>
      <w:r w:rsidR="005D70E5">
        <w:rPr>
          <w:rFonts w:ascii="Times New Roman" w:hAnsi="Times New Roman"/>
          <w:sz w:val="24"/>
          <w:szCs w:val="24"/>
        </w:rPr>
        <w:t>development</w:t>
      </w:r>
      <w:r w:rsidR="00E04736">
        <w:rPr>
          <w:rFonts w:ascii="Times New Roman" w:hAnsi="Times New Roman"/>
          <w:sz w:val="24"/>
          <w:szCs w:val="24"/>
        </w:rPr>
        <w:t>”</w:t>
      </w:r>
      <w:r w:rsidR="005D70E5">
        <w:rPr>
          <w:rFonts w:ascii="Times New Roman" w:hAnsi="Times New Roman"/>
          <w:sz w:val="24"/>
          <w:szCs w:val="24"/>
        </w:rPr>
        <w:t xml:space="preserve"> is done under a mining permit and involves the extraction of oil or gas for commercial production.</w:t>
      </w:r>
    </w:p>
    <w:p w:rsidR="005D70E5" w:rsidRDefault="005D70E5" w:rsidP="004E52EA">
      <w:pPr>
        <w:pStyle w:val="Bullet-list"/>
        <w:spacing w:after="0" w:line="240" w:lineRule="auto"/>
        <w:ind w:left="0" w:firstLine="0"/>
        <w:jc w:val="both"/>
        <w:rPr>
          <w:rFonts w:ascii="Times New Roman" w:hAnsi="Times New Roman"/>
          <w:sz w:val="24"/>
          <w:szCs w:val="24"/>
        </w:rPr>
      </w:pPr>
    </w:p>
    <w:p w:rsidR="00922E6F" w:rsidRDefault="00506D75"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w:t>
      </w:r>
      <w:r w:rsidR="00922E6F">
        <w:rPr>
          <w:rFonts w:ascii="Times New Roman" w:hAnsi="Times New Roman"/>
          <w:sz w:val="24"/>
          <w:szCs w:val="24"/>
        </w:rPr>
        <w:t>Exploration expenditure</w:t>
      </w:r>
      <w:r>
        <w:rPr>
          <w:rFonts w:ascii="Times New Roman" w:hAnsi="Times New Roman"/>
          <w:sz w:val="24"/>
          <w:szCs w:val="24"/>
        </w:rPr>
        <w:t>”</w:t>
      </w:r>
      <w:r w:rsidR="00922E6F">
        <w:rPr>
          <w:rFonts w:ascii="Times New Roman" w:hAnsi="Times New Roman"/>
          <w:sz w:val="24"/>
          <w:szCs w:val="24"/>
        </w:rPr>
        <w:t xml:space="preserve"> is deductible when incurred whereas </w:t>
      </w:r>
      <w:r>
        <w:rPr>
          <w:rFonts w:ascii="Times New Roman" w:hAnsi="Times New Roman"/>
          <w:sz w:val="24"/>
          <w:szCs w:val="24"/>
        </w:rPr>
        <w:t>“</w:t>
      </w:r>
      <w:r w:rsidR="00922E6F">
        <w:rPr>
          <w:rFonts w:ascii="Times New Roman" w:hAnsi="Times New Roman"/>
          <w:sz w:val="24"/>
          <w:szCs w:val="24"/>
        </w:rPr>
        <w:t>development expenditure</w:t>
      </w:r>
      <w:r>
        <w:rPr>
          <w:rFonts w:ascii="Times New Roman" w:hAnsi="Times New Roman"/>
          <w:sz w:val="24"/>
          <w:szCs w:val="24"/>
        </w:rPr>
        <w:t>”</w:t>
      </w:r>
      <w:r w:rsidR="00922E6F">
        <w:rPr>
          <w:rFonts w:ascii="Times New Roman" w:hAnsi="Times New Roman"/>
          <w:sz w:val="24"/>
          <w:szCs w:val="24"/>
        </w:rPr>
        <w:t xml:space="preserve"> is spread over </w:t>
      </w:r>
      <w:r>
        <w:rPr>
          <w:rFonts w:ascii="Times New Roman" w:hAnsi="Times New Roman"/>
          <w:sz w:val="24"/>
          <w:szCs w:val="24"/>
        </w:rPr>
        <w:t xml:space="preserve">either </w:t>
      </w:r>
      <w:r w:rsidR="00922E6F">
        <w:rPr>
          <w:rFonts w:ascii="Times New Roman" w:hAnsi="Times New Roman"/>
          <w:sz w:val="24"/>
          <w:szCs w:val="24"/>
        </w:rPr>
        <w:t>seven years or under the reserve depletion method</w:t>
      </w:r>
      <w:r w:rsidR="00462A38">
        <w:rPr>
          <w:rFonts w:ascii="Times New Roman" w:hAnsi="Times New Roman"/>
          <w:sz w:val="24"/>
          <w:szCs w:val="24"/>
        </w:rPr>
        <w:t xml:space="preserve"> which spreads the deduction over the remaining life of the field</w:t>
      </w:r>
      <w:r w:rsidR="00922E6F">
        <w:rPr>
          <w:rFonts w:ascii="Times New Roman" w:hAnsi="Times New Roman"/>
          <w:sz w:val="24"/>
          <w:szCs w:val="24"/>
        </w:rPr>
        <w:t xml:space="preserve">.  </w:t>
      </w:r>
      <w:r w:rsidR="00C957C2">
        <w:rPr>
          <w:rFonts w:ascii="Times New Roman" w:hAnsi="Times New Roman"/>
          <w:sz w:val="24"/>
          <w:szCs w:val="24"/>
        </w:rPr>
        <w:t>Changing t</w:t>
      </w:r>
      <w:r w:rsidR="00922E6F">
        <w:rPr>
          <w:rFonts w:ascii="Times New Roman" w:hAnsi="Times New Roman"/>
          <w:sz w:val="24"/>
          <w:szCs w:val="24"/>
        </w:rPr>
        <w:t xml:space="preserve">his </w:t>
      </w:r>
      <w:r w:rsidR="00C957C2">
        <w:rPr>
          <w:rFonts w:ascii="Times New Roman" w:hAnsi="Times New Roman"/>
          <w:sz w:val="24"/>
          <w:szCs w:val="24"/>
        </w:rPr>
        <w:t xml:space="preserve">tax </w:t>
      </w:r>
      <w:r w:rsidR="00922E6F">
        <w:rPr>
          <w:rFonts w:ascii="Times New Roman" w:hAnsi="Times New Roman"/>
          <w:sz w:val="24"/>
          <w:szCs w:val="24"/>
        </w:rPr>
        <w:t xml:space="preserve">treatment is not </w:t>
      </w:r>
      <w:r w:rsidR="00C957C2">
        <w:rPr>
          <w:rFonts w:ascii="Times New Roman" w:hAnsi="Times New Roman"/>
          <w:sz w:val="24"/>
          <w:szCs w:val="24"/>
        </w:rPr>
        <w:t xml:space="preserve">within the scope </w:t>
      </w:r>
      <w:r w:rsidR="00922E6F">
        <w:rPr>
          <w:rFonts w:ascii="Times New Roman" w:hAnsi="Times New Roman"/>
          <w:sz w:val="24"/>
          <w:szCs w:val="24"/>
        </w:rPr>
        <w:t>of the current project.</w:t>
      </w:r>
    </w:p>
    <w:p w:rsidR="00A66BE0" w:rsidRDefault="00A66BE0" w:rsidP="004E52EA">
      <w:pPr>
        <w:pStyle w:val="ListParagraph"/>
        <w:rPr>
          <w:rFonts w:ascii="Times New Roman" w:hAnsi="Times New Roman"/>
          <w:sz w:val="24"/>
          <w:szCs w:val="24"/>
        </w:rPr>
      </w:pPr>
    </w:p>
    <w:p w:rsidR="00A66BE0" w:rsidRDefault="00A66BE0"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petroleum mining tax rules apply equally to onshore and offshore installations</w:t>
      </w:r>
      <w:r w:rsidRPr="007A0903">
        <w:rPr>
          <w:rStyle w:val="FootnoteReference"/>
          <w:rFonts w:ascii="Times New Roman" w:hAnsi="Times New Roman"/>
          <w:szCs w:val="24"/>
        </w:rPr>
        <w:footnoteReference w:id="2"/>
      </w:r>
      <w:r>
        <w:rPr>
          <w:rFonts w:ascii="Times New Roman" w:hAnsi="Times New Roman"/>
          <w:sz w:val="24"/>
          <w:szCs w:val="24"/>
        </w:rPr>
        <w:t xml:space="preserve">.  However, onshore installations can be decommissioned at a significantly lower cost.  Furthermore petroleum miners with onshore installations typically have income from more than one source.  </w:t>
      </w:r>
      <w:r w:rsidR="00C649C5">
        <w:rPr>
          <w:rFonts w:ascii="Times New Roman" w:hAnsi="Times New Roman"/>
          <w:sz w:val="24"/>
          <w:szCs w:val="24"/>
        </w:rPr>
        <w:t>Because of</w:t>
      </w:r>
      <w:r>
        <w:rPr>
          <w:rFonts w:ascii="Times New Roman" w:hAnsi="Times New Roman"/>
          <w:sz w:val="24"/>
          <w:szCs w:val="24"/>
        </w:rPr>
        <w:t xml:space="preserve"> these factors onshore petroleum mining has never utilised the spread-back provisions</w:t>
      </w:r>
      <w:r w:rsidR="00CC386C">
        <w:rPr>
          <w:rFonts w:ascii="Times New Roman" w:hAnsi="Times New Roman"/>
          <w:sz w:val="24"/>
          <w:szCs w:val="24"/>
        </w:rPr>
        <w:t>.  While onshore petroleum mining w</w:t>
      </w:r>
      <w:r w:rsidR="004A6DE9">
        <w:rPr>
          <w:rFonts w:ascii="Times New Roman" w:hAnsi="Times New Roman"/>
          <w:sz w:val="24"/>
          <w:szCs w:val="24"/>
        </w:rPr>
        <w:t>ould</w:t>
      </w:r>
      <w:r w:rsidR="00CC386C">
        <w:rPr>
          <w:rFonts w:ascii="Times New Roman" w:hAnsi="Times New Roman"/>
          <w:sz w:val="24"/>
          <w:szCs w:val="24"/>
        </w:rPr>
        <w:t xml:space="preserve"> continue to be able to access the same rules (including the proposals in this RIS) as offshore petroleum mining</w:t>
      </w:r>
      <w:r w:rsidR="00280713">
        <w:rPr>
          <w:rFonts w:ascii="Times New Roman" w:hAnsi="Times New Roman"/>
          <w:sz w:val="24"/>
          <w:szCs w:val="24"/>
        </w:rPr>
        <w:t xml:space="preserve"> it is</w:t>
      </w:r>
      <w:r>
        <w:rPr>
          <w:rFonts w:ascii="Times New Roman" w:hAnsi="Times New Roman"/>
          <w:sz w:val="24"/>
          <w:szCs w:val="24"/>
        </w:rPr>
        <w:t xml:space="preserve"> not considered </w:t>
      </w:r>
      <w:r w:rsidR="00280713">
        <w:rPr>
          <w:rFonts w:ascii="Times New Roman" w:hAnsi="Times New Roman"/>
          <w:sz w:val="24"/>
          <w:szCs w:val="24"/>
        </w:rPr>
        <w:t xml:space="preserve">further </w:t>
      </w:r>
      <w:r>
        <w:rPr>
          <w:rFonts w:ascii="Times New Roman" w:hAnsi="Times New Roman"/>
          <w:sz w:val="24"/>
          <w:szCs w:val="24"/>
        </w:rPr>
        <w:t>in the analysis in this regulatory impact statement (RIS).</w:t>
      </w:r>
    </w:p>
    <w:p w:rsidR="00922E6F" w:rsidRDefault="00922E6F" w:rsidP="004E52EA">
      <w:pPr>
        <w:pStyle w:val="Bullet-list"/>
        <w:spacing w:after="0" w:line="240" w:lineRule="auto"/>
        <w:ind w:left="0" w:firstLine="0"/>
        <w:jc w:val="both"/>
        <w:rPr>
          <w:rFonts w:ascii="Times New Roman" w:hAnsi="Times New Roman"/>
          <w:sz w:val="24"/>
          <w:szCs w:val="24"/>
        </w:rPr>
      </w:pPr>
    </w:p>
    <w:p w:rsidR="00BF7D2A" w:rsidRDefault="00462A38" w:rsidP="009B7CCC">
      <w:pPr>
        <w:pStyle w:val="Bullet-list"/>
        <w:numPr>
          <w:ilvl w:val="0"/>
          <w:numId w:val="2"/>
        </w:numPr>
        <w:tabs>
          <w:tab w:val="clear" w:pos="720"/>
          <w:tab w:val="num" w:pos="567"/>
        </w:tabs>
        <w:spacing w:line="240" w:lineRule="auto"/>
        <w:ind w:left="0" w:firstLine="0"/>
        <w:jc w:val="both"/>
        <w:rPr>
          <w:rFonts w:ascii="Times New Roman" w:hAnsi="Times New Roman"/>
          <w:sz w:val="24"/>
          <w:szCs w:val="24"/>
        </w:rPr>
      </w:pPr>
      <w:r>
        <w:rPr>
          <w:rFonts w:ascii="Times New Roman" w:hAnsi="Times New Roman"/>
          <w:sz w:val="24"/>
          <w:szCs w:val="24"/>
        </w:rPr>
        <w:t xml:space="preserve">A petroleum miner will incur significant decommissioning expenditure </w:t>
      </w:r>
      <w:r w:rsidR="000051DB">
        <w:rPr>
          <w:rFonts w:ascii="Times New Roman" w:hAnsi="Times New Roman"/>
          <w:sz w:val="24"/>
          <w:szCs w:val="24"/>
        </w:rPr>
        <w:t>before</w:t>
      </w:r>
      <w:r>
        <w:rPr>
          <w:rFonts w:ascii="Times New Roman" w:hAnsi="Times New Roman"/>
          <w:sz w:val="24"/>
          <w:szCs w:val="24"/>
        </w:rPr>
        <w:t xml:space="preserve"> relinquishing their mining permit.  </w:t>
      </w:r>
      <w:r w:rsidR="000051DB">
        <w:rPr>
          <w:rFonts w:ascii="Times New Roman" w:hAnsi="Times New Roman"/>
          <w:sz w:val="24"/>
          <w:szCs w:val="24"/>
        </w:rPr>
        <w:t>D</w:t>
      </w:r>
      <w:r w:rsidR="00BF7D2A">
        <w:rPr>
          <w:rFonts w:ascii="Times New Roman" w:hAnsi="Times New Roman"/>
          <w:sz w:val="24"/>
          <w:szCs w:val="24"/>
        </w:rPr>
        <w:t>ecommissioning is what happens to wells, installations and surrounding infrastructure when a petroleum field reaches the end of its economic life.  Offshore decommissioning usually involves:</w:t>
      </w:r>
    </w:p>
    <w:p w:rsidR="00BF7D2A" w:rsidRDefault="00BF7D2A" w:rsidP="008A46F9">
      <w:pPr>
        <w:pStyle w:val="Bullet-list"/>
        <w:numPr>
          <w:ilvl w:val="0"/>
          <w:numId w:val="4"/>
        </w:numPr>
        <w:spacing w:line="240" w:lineRule="auto"/>
        <w:ind w:left="709" w:hanging="425"/>
        <w:jc w:val="both"/>
        <w:rPr>
          <w:rFonts w:ascii="Times New Roman" w:hAnsi="Times New Roman"/>
          <w:sz w:val="24"/>
          <w:szCs w:val="24"/>
        </w:rPr>
      </w:pPr>
      <w:r>
        <w:rPr>
          <w:rFonts w:ascii="Times New Roman" w:hAnsi="Times New Roman"/>
          <w:sz w:val="24"/>
          <w:szCs w:val="24"/>
        </w:rPr>
        <w:t>the plugging and abandoning of wells;</w:t>
      </w:r>
    </w:p>
    <w:p w:rsidR="00BF7D2A" w:rsidRDefault="00BF7D2A" w:rsidP="008A46F9">
      <w:pPr>
        <w:pStyle w:val="Bullet-list"/>
        <w:numPr>
          <w:ilvl w:val="0"/>
          <w:numId w:val="4"/>
        </w:numPr>
        <w:spacing w:line="240" w:lineRule="auto"/>
        <w:ind w:left="709" w:hanging="425"/>
        <w:jc w:val="both"/>
        <w:rPr>
          <w:rFonts w:ascii="Times New Roman" w:hAnsi="Times New Roman"/>
          <w:sz w:val="24"/>
          <w:szCs w:val="24"/>
        </w:rPr>
      </w:pPr>
      <w:r>
        <w:rPr>
          <w:rFonts w:ascii="Times New Roman" w:hAnsi="Times New Roman"/>
          <w:sz w:val="24"/>
          <w:szCs w:val="24"/>
        </w:rPr>
        <w:t>removal of equipment; and</w:t>
      </w:r>
    </w:p>
    <w:p w:rsidR="00BF7D2A" w:rsidRDefault="00BF7D2A" w:rsidP="008A46F9">
      <w:pPr>
        <w:pStyle w:val="Bullet-list"/>
        <w:numPr>
          <w:ilvl w:val="0"/>
          <w:numId w:val="4"/>
        </w:numPr>
        <w:spacing w:line="240" w:lineRule="auto"/>
        <w:ind w:left="709" w:hanging="425"/>
        <w:jc w:val="both"/>
        <w:rPr>
          <w:rFonts w:ascii="Times New Roman" w:hAnsi="Times New Roman"/>
          <w:sz w:val="24"/>
          <w:szCs w:val="24"/>
        </w:rPr>
      </w:pPr>
      <w:r>
        <w:rPr>
          <w:rFonts w:ascii="Times New Roman" w:hAnsi="Times New Roman"/>
          <w:sz w:val="24"/>
          <w:szCs w:val="24"/>
        </w:rPr>
        <w:t>the complete or partial removal of installations and pipelines.</w:t>
      </w:r>
      <w:r w:rsidR="00462A38">
        <w:rPr>
          <w:rFonts w:ascii="Times New Roman" w:hAnsi="Times New Roman"/>
          <w:sz w:val="24"/>
          <w:szCs w:val="24"/>
        </w:rPr>
        <w:t xml:space="preserve">  </w:t>
      </w:r>
    </w:p>
    <w:p w:rsidR="00BF7D2A" w:rsidRDefault="00BF7D2A" w:rsidP="004E52EA">
      <w:pPr>
        <w:spacing w:after="0"/>
        <w:jc w:val="both"/>
        <w:rPr>
          <w:rFonts w:ascii="Times New Roman" w:hAnsi="Times New Roman"/>
          <w:sz w:val="24"/>
          <w:szCs w:val="24"/>
        </w:rPr>
      </w:pPr>
    </w:p>
    <w:p w:rsidR="00506D75" w:rsidRPr="00506D75" w:rsidRDefault="00506D75" w:rsidP="004E52EA">
      <w:pPr>
        <w:jc w:val="both"/>
        <w:rPr>
          <w:rFonts w:ascii="Times New Roman" w:hAnsi="Times New Roman"/>
          <w:b/>
          <w:sz w:val="24"/>
          <w:szCs w:val="24"/>
        </w:rPr>
      </w:pPr>
      <w:r>
        <w:rPr>
          <w:rFonts w:ascii="Times New Roman" w:hAnsi="Times New Roman"/>
          <w:b/>
          <w:sz w:val="24"/>
          <w:szCs w:val="24"/>
        </w:rPr>
        <w:t>Policy</w:t>
      </w:r>
    </w:p>
    <w:p w:rsidR="00922E6F" w:rsidRDefault="00462A38"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w:t>
      </w:r>
      <w:r w:rsidR="00506D75">
        <w:rPr>
          <w:rFonts w:ascii="Times New Roman" w:hAnsi="Times New Roman"/>
          <w:sz w:val="24"/>
          <w:szCs w:val="24"/>
        </w:rPr>
        <w:t xml:space="preserve">policy underlying the </w:t>
      </w:r>
      <w:r>
        <w:rPr>
          <w:rFonts w:ascii="Times New Roman" w:hAnsi="Times New Roman"/>
          <w:sz w:val="24"/>
          <w:szCs w:val="24"/>
        </w:rPr>
        <w:t xml:space="preserve">current tax </w:t>
      </w:r>
      <w:r w:rsidR="00506D75">
        <w:rPr>
          <w:rFonts w:ascii="Times New Roman" w:hAnsi="Times New Roman"/>
          <w:sz w:val="24"/>
          <w:szCs w:val="24"/>
        </w:rPr>
        <w:t>rules</w:t>
      </w:r>
      <w:r>
        <w:rPr>
          <w:rFonts w:ascii="Times New Roman" w:hAnsi="Times New Roman"/>
          <w:sz w:val="24"/>
          <w:szCs w:val="24"/>
        </w:rPr>
        <w:t xml:space="preserve"> recognise</w:t>
      </w:r>
      <w:r w:rsidR="00A7280D">
        <w:rPr>
          <w:rFonts w:ascii="Times New Roman" w:hAnsi="Times New Roman"/>
          <w:sz w:val="24"/>
          <w:szCs w:val="24"/>
        </w:rPr>
        <w:t>s</w:t>
      </w:r>
      <w:r>
        <w:rPr>
          <w:rFonts w:ascii="Times New Roman" w:hAnsi="Times New Roman"/>
          <w:sz w:val="24"/>
          <w:szCs w:val="24"/>
        </w:rPr>
        <w:t xml:space="preserve"> that this expenditure is an unavoidable </w:t>
      </w:r>
      <w:r w:rsidR="00506D75">
        <w:rPr>
          <w:rFonts w:ascii="Times New Roman" w:hAnsi="Times New Roman"/>
          <w:sz w:val="24"/>
          <w:szCs w:val="24"/>
        </w:rPr>
        <w:t>consequence</w:t>
      </w:r>
      <w:r>
        <w:rPr>
          <w:rFonts w:ascii="Times New Roman" w:hAnsi="Times New Roman"/>
          <w:sz w:val="24"/>
          <w:szCs w:val="24"/>
        </w:rPr>
        <w:t xml:space="preserve"> of the production process and that industry specific timing rules </w:t>
      </w:r>
      <w:r w:rsidR="005F768A">
        <w:rPr>
          <w:rFonts w:ascii="Times New Roman" w:hAnsi="Times New Roman"/>
          <w:sz w:val="24"/>
          <w:szCs w:val="24"/>
        </w:rPr>
        <w:t>should allow deductions for this expenditure to effectively be offset against income derived in earlier periods.</w:t>
      </w:r>
    </w:p>
    <w:p w:rsidR="005F768A" w:rsidRDefault="005F768A" w:rsidP="004E52EA">
      <w:pPr>
        <w:pStyle w:val="ListParagraph"/>
        <w:rPr>
          <w:rFonts w:ascii="Times New Roman" w:hAnsi="Times New Roman"/>
          <w:sz w:val="24"/>
          <w:szCs w:val="24"/>
        </w:rPr>
      </w:pPr>
    </w:p>
    <w:p w:rsidR="005F768A" w:rsidRDefault="005F768A"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the absence of </w:t>
      </w:r>
      <w:r w:rsidR="007A0903">
        <w:rPr>
          <w:rFonts w:ascii="Times New Roman" w:hAnsi="Times New Roman"/>
          <w:sz w:val="24"/>
          <w:szCs w:val="24"/>
        </w:rPr>
        <w:t xml:space="preserve">industry </w:t>
      </w:r>
      <w:r>
        <w:rPr>
          <w:rFonts w:ascii="Times New Roman" w:hAnsi="Times New Roman"/>
          <w:sz w:val="24"/>
          <w:szCs w:val="24"/>
        </w:rPr>
        <w:t xml:space="preserve">specific </w:t>
      </w:r>
      <w:r w:rsidR="007A0903">
        <w:rPr>
          <w:rFonts w:ascii="Times New Roman" w:hAnsi="Times New Roman"/>
          <w:sz w:val="24"/>
          <w:szCs w:val="24"/>
        </w:rPr>
        <w:t xml:space="preserve">tax </w:t>
      </w:r>
      <w:r>
        <w:rPr>
          <w:rFonts w:ascii="Times New Roman" w:hAnsi="Times New Roman"/>
          <w:sz w:val="24"/>
          <w:szCs w:val="24"/>
        </w:rPr>
        <w:t xml:space="preserve">rules a petroleum miner may pay tax in earlier periods then incur decommissioning expenditure which would be carried forward as a loss to </w:t>
      </w:r>
      <w:r>
        <w:rPr>
          <w:rFonts w:ascii="Times New Roman" w:hAnsi="Times New Roman"/>
          <w:sz w:val="24"/>
          <w:szCs w:val="24"/>
        </w:rPr>
        <w:lastRenderedPageBreak/>
        <w:t>future periods.  Unless the petroleum miner has income from other sources, such as a separate field, this loss would never be utilised.  Officials recognise that this would be inappropriate and would discourage petroleum exploration and development or could encourage a petroleum miner to decommission a field that still contained economically recoverable reserves to ensure that any deductions could be offset against the higher income amounts that are derived in earlier years of a field’s life</w:t>
      </w:r>
      <w:r w:rsidR="000051DB" w:rsidRPr="000051DB">
        <w:rPr>
          <w:rStyle w:val="FootnoteReference"/>
          <w:rFonts w:ascii="Times New Roman" w:hAnsi="Times New Roman"/>
          <w:szCs w:val="24"/>
        </w:rPr>
        <w:footnoteReference w:id="3"/>
      </w:r>
      <w:r w:rsidRPr="000051DB">
        <w:rPr>
          <w:rFonts w:ascii="Times New Roman" w:hAnsi="Times New Roman"/>
          <w:sz w:val="24"/>
          <w:szCs w:val="24"/>
        </w:rPr>
        <w:t>.</w:t>
      </w:r>
    </w:p>
    <w:p w:rsidR="005F768A" w:rsidRDefault="005F768A" w:rsidP="004E52EA">
      <w:pPr>
        <w:pStyle w:val="ListParagraph"/>
        <w:rPr>
          <w:rFonts w:ascii="Times New Roman" w:hAnsi="Times New Roman"/>
          <w:sz w:val="24"/>
          <w:szCs w:val="24"/>
        </w:rPr>
      </w:pPr>
    </w:p>
    <w:p w:rsidR="00DE0322" w:rsidRPr="00836D38" w:rsidRDefault="003D5AB0"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lang w:val="en-NZ"/>
        </w:rPr>
      </w:pPr>
      <w:r w:rsidRPr="00836D38">
        <w:rPr>
          <w:rFonts w:ascii="Times New Roman" w:hAnsi="Times New Roman"/>
          <w:sz w:val="24"/>
          <w:szCs w:val="24"/>
        </w:rPr>
        <w:t>To address this issue</w:t>
      </w:r>
      <w:r w:rsidR="005F212F">
        <w:rPr>
          <w:rFonts w:ascii="Times New Roman" w:hAnsi="Times New Roman"/>
          <w:sz w:val="24"/>
          <w:szCs w:val="24"/>
        </w:rPr>
        <w:t xml:space="preserve">, </w:t>
      </w:r>
      <w:r w:rsidRPr="00836D38">
        <w:rPr>
          <w:rFonts w:ascii="Times New Roman" w:hAnsi="Times New Roman"/>
          <w:sz w:val="24"/>
          <w:szCs w:val="24"/>
        </w:rPr>
        <w:t xml:space="preserve">the petroleum mining </w:t>
      </w:r>
      <w:r w:rsidR="003D6364">
        <w:rPr>
          <w:rFonts w:ascii="Times New Roman" w:hAnsi="Times New Roman"/>
          <w:sz w:val="24"/>
          <w:szCs w:val="24"/>
        </w:rPr>
        <w:t xml:space="preserve">tax </w:t>
      </w:r>
      <w:r w:rsidRPr="00836D38">
        <w:rPr>
          <w:rFonts w:ascii="Times New Roman" w:hAnsi="Times New Roman"/>
          <w:sz w:val="24"/>
          <w:szCs w:val="24"/>
        </w:rPr>
        <w:t xml:space="preserve">rules allow a petroleum miner to </w:t>
      </w:r>
      <w:r w:rsidR="00DE0322" w:rsidRPr="00836D38">
        <w:rPr>
          <w:rFonts w:ascii="Times New Roman" w:hAnsi="Times New Roman"/>
          <w:sz w:val="24"/>
          <w:szCs w:val="24"/>
        </w:rPr>
        <w:t xml:space="preserve">request that the Commissioner reopen </w:t>
      </w:r>
      <w:r w:rsidR="007A2381">
        <w:rPr>
          <w:rFonts w:ascii="Times New Roman" w:hAnsi="Times New Roman"/>
          <w:sz w:val="24"/>
          <w:szCs w:val="24"/>
        </w:rPr>
        <w:t>earlier tax years</w:t>
      </w:r>
      <w:r w:rsidR="00DE0322" w:rsidRPr="00836D38">
        <w:rPr>
          <w:rFonts w:ascii="Times New Roman" w:hAnsi="Times New Roman"/>
          <w:sz w:val="24"/>
          <w:szCs w:val="24"/>
        </w:rPr>
        <w:t xml:space="preserve"> to claim a deduction for decommissioning expenditure incurred </w:t>
      </w:r>
      <w:r w:rsidR="003D6364">
        <w:rPr>
          <w:rFonts w:ascii="Times New Roman" w:hAnsi="Times New Roman"/>
          <w:sz w:val="24"/>
          <w:szCs w:val="24"/>
        </w:rPr>
        <w:t>“</w:t>
      </w:r>
      <w:r w:rsidR="00DE0322" w:rsidRPr="00836D38">
        <w:rPr>
          <w:rFonts w:ascii="Times New Roman" w:hAnsi="Times New Roman"/>
          <w:sz w:val="24"/>
          <w:szCs w:val="24"/>
        </w:rPr>
        <w:t>because of the relinquishment of the permit</w:t>
      </w:r>
      <w:r w:rsidR="003D6364">
        <w:rPr>
          <w:rFonts w:ascii="Times New Roman" w:hAnsi="Times New Roman"/>
          <w:sz w:val="24"/>
          <w:szCs w:val="24"/>
        </w:rPr>
        <w:t>”</w:t>
      </w:r>
      <w:r w:rsidR="00836D38" w:rsidRPr="00836D38">
        <w:rPr>
          <w:rFonts w:ascii="Times New Roman" w:hAnsi="Times New Roman"/>
          <w:sz w:val="24"/>
          <w:szCs w:val="24"/>
        </w:rPr>
        <w:t xml:space="preserve">.  </w:t>
      </w:r>
      <w:r w:rsidR="007A2381">
        <w:rPr>
          <w:rFonts w:ascii="Times New Roman" w:hAnsi="Times New Roman"/>
          <w:sz w:val="24"/>
          <w:szCs w:val="24"/>
        </w:rPr>
        <w:t>This process is referred to as a “spread-back”.  E</w:t>
      </w:r>
      <w:r w:rsidR="00836D38" w:rsidRPr="00836D38">
        <w:rPr>
          <w:rFonts w:ascii="Times New Roman" w:hAnsi="Times New Roman"/>
          <w:sz w:val="24"/>
          <w:szCs w:val="24"/>
        </w:rPr>
        <w:t>xpenditure is spread</w:t>
      </w:r>
      <w:r w:rsidR="00750D2A">
        <w:rPr>
          <w:rFonts w:ascii="Times New Roman" w:hAnsi="Times New Roman"/>
          <w:sz w:val="24"/>
          <w:szCs w:val="24"/>
        </w:rPr>
        <w:t>-</w:t>
      </w:r>
      <w:r w:rsidR="00836D38" w:rsidRPr="00836D38">
        <w:rPr>
          <w:rFonts w:ascii="Times New Roman" w:hAnsi="Times New Roman"/>
          <w:sz w:val="24"/>
          <w:szCs w:val="24"/>
        </w:rPr>
        <w:t>back to the previous year to the extent taxable income was returned and if the expenditure exceeds the amount of profit the remainder is carried back another year and so on.</w:t>
      </w:r>
    </w:p>
    <w:p w:rsidR="00DE0322" w:rsidRDefault="00DE0322" w:rsidP="004E52EA">
      <w:pPr>
        <w:pStyle w:val="ListParagraph"/>
        <w:rPr>
          <w:rFonts w:ascii="Times New Roman" w:hAnsi="Times New Roman"/>
          <w:sz w:val="24"/>
          <w:szCs w:val="24"/>
        </w:rPr>
      </w:pPr>
    </w:p>
    <w:p w:rsidR="00DE0322" w:rsidRDefault="00DE0322"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can be </w:t>
      </w:r>
      <w:r w:rsidR="003D6364">
        <w:rPr>
          <w:rFonts w:ascii="Times New Roman" w:hAnsi="Times New Roman"/>
          <w:sz w:val="24"/>
          <w:szCs w:val="24"/>
        </w:rPr>
        <w:t xml:space="preserve">illustrated </w:t>
      </w:r>
      <w:r>
        <w:rPr>
          <w:rFonts w:ascii="Times New Roman" w:hAnsi="Times New Roman"/>
          <w:sz w:val="24"/>
          <w:szCs w:val="24"/>
        </w:rPr>
        <w:t>by the following example</w:t>
      </w:r>
      <w:r w:rsidR="00836D38">
        <w:rPr>
          <w:rFonts w:ascii="Times New Roman" w:hAnsi="Times New Roman"/>
          <w:sz w:val="24"/>
          <w:szCs w:val="24"/>
        </w:rPr>
        <w:t>:</w:t>
      </w:r>
    </w:p>
    <w:p w:rsidR="00DE0322" w:rsidRDefault="00DE0322" w:rsidP="00DE0322">
      <w:pPr>
        <w:pStyle w:val="ListParagraph"/>
        <w:rPr>
          <w:rFonts w:ascii="Times New Roman" w:hAnsi="Times New Roman"/>
          <w:sz w:val="24"/>
          <w:szCs w:val="24"/>
        </w:rPr>
      </w:pPr>
    </w:p>
    <w:tbl>
      <w:tblPr>
        <w:tblStyle w:val="TableGrid"/>
        <w:tblW w:w="0" w:type="auto"/>
        <w:jc w:val="center"/>
        <w:tblLayout w:type="fixed"/>
        <w:tblLook w:val="04A0" w:firstRow="1" w:lastRow="0" w:firstColumn="1" w:lastColumn="0" w:noHBand="0" w:noVBand="1"/>
      </w:tblPr>
      <w:tblGrid>
        <w:gridCol w:w="2659"/>
        <w:gridCol w:w="838"/>
        <w:gridCol w:w="804"/>
        <w:gridCol w:w="755"/>
        <w:gridCol w:w="709"/>
      </w:tblGrid>
      <w:tr w:rsidR="00836D38" w:rsidRPr="00836D38" w:rsidTr="003D6364">
        <w:trPr>
          <w:jc w:val="center"/>
        </w:trPr>
        <w:tc>
          <w:tcPr>
            <w:tcW w:w="2659" w:type="dxa"/>
            <w:tcBorders>
              <w:bottom w:val="single" w:sz="4" w:space="0" w:color="auto"/>
            </w:tcBorders>
            <w:shd w:val="clear" w:color="auto" w:fill="7F7F7F" w:themeFill="text1" w:themeFillTint="80"/>
          </w:tcPr>
          <w:p w:rsidR="00DE0322" w:rsidRPr="00836D38" w:rsidRDefault="00DE0322" w:rsidP="00DE0322">
            <w:pPr>
              <w:pStyle w:val="Bullet-list"/>
              <w:spacing w:after="0" w:line="240" w:lineRule="auto"/>
              <w:ind w:left="0" w:firstLine="0"/>
              <w:rPr>
                <w:rFonts w:ascii="Times New Roman" w:hAnsi="Times New Roman"/>
                <w:b/>
                <w:color w:val="FFFFFF" w:themeColor="background1"/>
                <w:sz w:val="24"/>
                <w:szCs w:val="24"/>
              </w:rPr>
            </w:pPr>
            <w:r w:rsidRPr="00836D38">
              <w:rPr>
                <w:rFonts w:ascii="Times New Roman" w:hAnsi="Times New Roman"/>
                <w:b/>
                <w:color w:val="FFFFFF" w:themeColor="background1"/>
                <w:sz w:val="24"/>
                <w:szCs w:val="24"/>
              </w:rPr>
              <w:t>Tax year</w:t>
            </w:r>
          </w:p>
        </w:tc>
        <w:tc>
          <w:tcPr>
            <w:tcW w:w="838" w:type="dxa"/>
            <w:tcBorders>
              <w:bottom w:val="single" w:sz="4" w:space="0" w:color="auto"/>
            </w:tcBorders>
            <w:shd w:val="clear" w:color="auto" w:fill="7F7F7F" w:themeFill="text1" w:themeFillTint="80"/>
          </w:tcPr>
          <w:p w:rsidR="00DE0322" w:rsidRPr="00836D38" w:rsidRDefault="00DE0322" w:rsidP="00836D38">
            <w:pPr>
              <w:pStyle w:val="Bullet-list"/>
              <w:spacing w:after="0" w:line="240" w:lineRule="auto"/>
              <w:ind w:left="0" w:firstLine="0"/>
              <w:jc w:val="center"/>
              <w:rPr>
                <w:rFonts w:ascii="Times New Roman" w:hAnsi="Times New Roman"/>
                <w:b/>
                <w:color w:val="FFFFFF" w:themeColor="background1"/>
                <w:sz w:val="24"/>
                <w:szCs w:val="24"/>
              </w:rPr>
            </w:pPr>
            <w:r w:rsidRPr="00836D38">
              <w:rPr>
                <w:rFonts w:ascii="Times New Roman" w:hAnsi="Times New Roman"/>
                <w:b/>
                <w:color w:val="FFFFFF" w:themeColor="background1"/>
                <w:sz w:val="24"/>
                <w:szCs w:val="24"/>
              </w:rPr>
              <w:t>2012</w:t>
            </w:r>
          </w:p>
        </w:tc>
        <w:tc>
          <w:tcPr>
            <w:tcW w:w="804" w:type="dxa"/>
            <w:tcBorders>
              <w:bottom w:val="single" w:sz="4" w:space="0" w:color="auto"/>
            </w:tcBorders>
            <w:shd w:val="clear" w:color="auto" w:fill="7F7F7F" w:themeFill="text1" w:themeFillTint="80"/>
          </w:tcPr>
          <w:p w:rsidR="00DE0322" w:rsidRPr="00836D38" w:rsidRDefault="00DE0322" w:rsidP="00836D38">
            <w:pPr>
              <w:pStyle w:val="Bullet-list"/>
              <w:spacing w:after="0" w:line="240" w:lineRule="auto"/>
              <w:ind w:left="0" w:firstLine="0"/>
              <w:jc w:val="center"/>
              <w:rPr>
                <w:rFonts w:ascii="Times New Roman" w:hAnsi="Times New Roman"/>
                <w:b/>
                <w:color w:val="FFFFFF" w:themeColor="background1"/>
                <w:sz w:val="24"/>
                <w:szCs w:val="24"/>
              </w:rPr>
            </w:pPr>
            <w:r w:rsidRPr="00836D38">
              <w:rPr>
                <w:rFonts w:ascii="Times New Roman" w:hAnsi="Times New Roman"/>
                <w:b/>
                <w:color w:val="FFFFFF" w:themeColor="background1"/>
                <w:sz w:val="24"/>
                <w:szCs w:val="24"/>
              </w:rPr>
              <w:t>2013</w:t>
            </w:r>
          </w:p>
        </w:tc>
        <w:tc>
          <w:tcPr>
            <w:tcW w:w="755" w:type="dxa"/>
            <w:tcBorders>
              <w:bottom w:val="single" w:sz="4" w:space="0" w:color="auto"/>
            </w:tcBorders>
            <w:shd w:val="clear" w:color="auto" w:fill="7F7F7F" w:themeFill="text1" w:themeFillTint="80"/>
          </w:tcPr>
          <w:p w:rsidR="00DE0322" w:rsidRPr="00836D38" w:rsidRDefault="00DE0322" w:rsidP="00836D38">
            <w:pPr>
              <w:pStyle w:val="Bullet-list"/>
              <w:spacing w:after="0" w:line="240" w:lineRule="auto"/>
              <w:ind w:left="0" w:firstLine="0"/>
              <w:jc w:val="center"/>
              <w:rPr>
                <w:rFonts w:ascii="Times New Roman" w:hAnsi="Times New Roman"/>
                <w:b/>
                <w:color w:val="FFFFFF" w:themeColor="background1"/>
                <w:sz w:val="24"/>
                <w:szCs w:val="24"/>
              </w:rPr>
            </w:pPr>
            <w:r w:rsidRPr="00836D38">
              <w:rPr>
                <w:rFonts w:ascii="Times New Roman" w:hAnsi="Times New Roman"/>
                <w:b/>
                <w:color w:val="FFFFFF" w:themeColor="background1"/>
                <w:sz w:val="24"/>
                <w:szCs w:val="24"/>
              </w:rPr>
              <w:t>2014</w:t>
            </w:r>
          </w:p>
        </w:tc>
        <w:tc>
          <w:tcPr>
            <w:tcW w:w="709" w:type="dxa"/>
            <w:tcBorders>
              <w:bottom w:val="single" w:sz="4" w:space="0" w:color="auto"/>
            </w:tcBorders>
            <w:shd w:val="clear" w:color="auto" w:fill="7F7F7F" w:themeFill="text1" w:themeFillTint="80"/>
          </w:tcPr>
          <w:p w:rsidR="00DE0322" w:rsidRPr="00836D38" w:rsidRDefault="00DE0322" w:rsidP="00836D38">
            <w:pPr>
              <w:pStyle w:val="Bullet-list"/>
              <w:spacing w:after="0" w:line="240" w:lineRule="auto"/>
              <w:ind w:left="0" w:firstLine="0"/>
              <w:jc w:val="center"/>
              <w:rPr>
                <w:rFonts w:ascii="Times New Roman" w:hAnsi="Times New Roman"/>
                <w:b/>
                <w:color w:val="FFFFFF" w:themeColor="background1"/>
                <w:sz w:val="24"/>
                <w:szCs w:val="24"/>
              </w:rPr>
            </w:pPr>
            <w:r w:rsidRPr="00836D38">
              <w:rPr>
                <w:rFonts w:ascii="Times New Roman" w:hAnsi="Times New Roman"/>
                <w:b/>
                <w:color w:val="FFFFFF" w:themeColor="background1"/>
                <w:sz w:val="24"/>
                <w:szCs w:val="24"/>
              </w:rPr>
              <w:t>2015</w:t>
            </w:r>
          </w:p>
        </w:tc>
      </w:tr>
      <w:tr w:rsidR="00DE0322" w:rsidTr="00836D38">
        <w:trPr>
          <w:jc w:val="center"/>
        </w:trPr>
        <w:tc>
          <w:tcPr>
            <w:tcW w:w="5765" w:type="dxa"/>
            <w:gridSpan w:val="5"/>
            <w:shd w:val="clear" w:color="auto" w:fill="BFBFBF" w:themeFill="background1" w:themeFillShade="BF"/>
          </w:tcPr>
          <w:p w:rsidR="00DE0322" w:rsidRPr="00836D38" w:rsidRDefault="00DE0322" w:rsidP="00836D38">
            <w:pPr>
              <w:pStyle w:val="Bullet-list"/>
              <w:spacing w:after="0" w:line="240" w:lineRule="auto"/>
              <w:ind w:left="0" w:firstLine="0"/>
              <w:jc w:val="center"/>
              <w:rPr>
                <w:rFonts w:ascii="Times New Roman" w:hAnsi="Times New Roman"/>
                <w:b/>
                <w:sz w:val="24"/>
                <w:szCs w:val="24"/>
              </w:rPr>
            </w:pPr>
            <w:r w:rsidRPr="00836D38">
              <w:rPr>
                <w:rFonts w:ascii="Times New Roman" w:hAnsi="Times New Roman"/>
                <w:b/>
                <w:sz w:val="24"/>
                <w:szCs w:val="24"/>
              </w:rPr>
              <w:t>Without spread</w:t>
            </w:r>
            <w:r w:rsidR="00750D2A">
              <w:rPr>
                <w:rFonts w:ascii="Times New Roman" w:hAnsi="Times New Roman"/>
                <w:b/>
                <w:sz w:val="24"/>
                <w:szCs w:val="24"/>
              </w:rPr>
              <w:t>-</w:t>
            </w:r>
            <w:r w:rsidRPr="00836D38">
              <w:rPr>
                <w:rFonts w:ascii="Times New Roman" w:hAnsi="Times New Roman"/>
                <w:b/>
                <w:sz w:val="24"/>
                <w:szCs w:val="24"/>
              </w:rPr>
              <w:t>back</w:t>
            </w:r>
          </w:p>
        </w:tc>
      </w:tr>
      <w:tr w:rsidR="00DE0322" w:rsidTr="003D6364">
        <w:trPr>
          <w:jc w:val="center"/>
        </w:trPr>
        <w:tc>
          <w:tcPr>
            <w:tcW w:w="2659" w:type="dxa"/>
          </w:tcPr>
          <w:p w:rsidR="00DE0322" w:rsidRDefault="00DE0322" w:rsidP="00DE0322">
            <w:pPr>
              <w:pStyle w:val="Bullet-list"/>
              <w:spacing w:after="0" w:line="240" w:lineRule="auto"/>
              <w:ind w:left="0" w:firstLine="0"/>
              <w:rPr>
                <w:rFonts w:ascii="Times New Roman" w:hAnsi="Times New Roman"/>
                <w:sz w:val="24"/>
                <w:szCs w:val="24"/>
              </w:rPr>
            </w:pPr>
            <w:r>
              <w:rPr>
                <w:rFonts w:ascii="Times New Roman" w:hAnsi="Times New Roman"/>
                <w:sz w:val="24"/>
                <w:szCs w:val="24"/>
              </w:rPr>
              <w:t>Operating profit</w:t>
            </w:r>
          </w:p>
        </w:tc>
        <w:tc>
          <w:tcPr>
            <w:tcW w:w="838"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60</w:t>
            </w:r>
          </w:p>
        </w:tc>
        <w:tc>
          <w:tcPr>
            <w:tcW w:w="804"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50</w:t>
            </w:r>
          </w:p>
        </w:tc>
        <w:tc>
          <w:tcPr>
            <w:tcW w:w="755"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40</w:t>
            </w:r>
          </w:p>
        </w:tc>
        <w:tc>
          <w:tcPr>
            <w:tcW w:w="709"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30</w:t>
            </w:r>
          </w:p>
        </w:tc>
      </w:tr>
      <w:tr w:rsidR="00DE0322" w:rsidTr="003D6364">
        <w:trPr>
          <w:jc w:val="center"/>
        </w:trPr>
        <w:tc>
          <w:tcPr>
            <w:tcW w:w="2659" w:type="dxa"/>
          </w:tcPr>
          <w:p w:rsidR="00DE0322" w:rsidRDefault="00DE0322" w:rsidP="00DE0322">
            <w:pPr>
              <w:pStyle w:val="Bullet-list"/>
              <w:spacing w:after="0" w:line="240" w:lineRule="auto"/>
              <w:ind w:left="0" w:firstLine="0"/>
              <w:rPr>
                <w:rFonts w:ascii="Times New Roman" w:hAnsi="Times New Roman"/>
                <w:sz w:val="24"/>
                <w:szCs w:val="24"/>
              </w:rPr>
            </w:pPr>
            <w:r>
              <w:rPr>
                <w:rFonts w:ascii="Times New Roman" w:hAnsi="Times New Roman"/>
                <w:sz w:val="24"/>
                <w:szCs w:val="24"/>
              </w:rPr>
              <w:t>Decommissioning</w:t>
            </w:r>
          </w:p>
        </w:tc>
        <w:tc>
          <w:tcPr>
            <w:tcW w:w="838" w:type="dxa"/>
          </w:tcPr>
          <w:p w:rsidR="00DE0322" w:rsidRDefault="00DE0322" w:rsidP="00836D38">
            <w:pPr>
              <w:pStyle w:val="Bullet-list"/>
              <w:spacing w:after="0" w:line="240" w:lineRule="auto"/>
              <w:ind w:left="0" w:firstLine="0"/>
              <w:jc w:val="right"/>
              <w:rPr>
                <w:rFonts w:ascii="Times New Roman" w:hAnsi="Times New Roman"/>
                <w:sz w:val="24"/>
                <w:szCs w:val="24"/>
              </w:rPr>
            </w:pPr>
          </w:p>
        </w:tc>
        <w:tc>
          <w:tcPr>
            <w:tcW w:w="804" w:type="dxa"/>
          </w:tcPr>
          <w:p w:rsidR="00DE0322" w:rsidRDefault="00DE0322" w:rsidP="00836D38">
            <w:pPr>
              <w:pStyle w:val="Bullet-list"/>
              <w:spacing w:after="0" w:line="240" w:lineRule="auto"/>
              <w:ind w:left="0" w:firstLine="0"/>
              <w:jc w:val="right"/>
              <w:rPr>
                <w:rFonts w:ascii="Times New Roman" w:hAnsi="Times New Roman"/>
                <w:sz w:val="24"/>
                <w:szCs w:val="24"/>
              </w:rPr>
            </w:pPr>
          </w:p>
        </w:tc>
        <w:tc>
          <w:tcPr>
            <w:tcW w:w="755" w:type="dxa"/>
          </w:tcPr>
          <w:p w:rsidR="00DE0322" w:rsidRDefault="00DE0322" w:rsidP="00836D38">
            <w:pPr>
              <w:pStyle w:val="Bullet-list"/>
              <w:spacing w:after="0" w:line="240" w:lineRule="auto"/>
              <w:ind w:left="0" w:firstLine="0"/>
              <w:jc w:val="right"/>
              <w:rPr>
                <w:rFonts w:ascii="Times New Roman" w:hAnsi="Times New Roman"/>
                <w:sz w:val="24"/>
                <w:szCs w:val="24"/>
              </w:rPr>
            </w:pPr>
          </w:p>
        </w:tc>
        <w:tc>
          <w:tcPr>
            <w:tcW w:w="709"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100</w:t>
            </w:r>
          </w:p>
        </w:tc>
      </w:tr>
      <w:tr w:rsidR="00DE0322" w:rsidTr="003D6364">
        <w:trPr>
          <w:jc w:val="center"/>
        </w:trPr>
        <w:tc>
          <w:tcPr>
            <w:tcW w:w="2659" w:type="dxa"/>
          </w:tcPr>
          <w:p w:rsidR="00DE0322" w:rsidRDefault="00DE0322" w:rsidP="00DE0322">
            <w:pPr>
              <w:pStyle w:val="Bullet-list"/>
              <w:spacing w:after="0" w:line="240" w:lineRule="auto"/>
              <w:ind w:left="0" w:firstLine="0"/>
              <w:rPr>
                <w:rFonts w:ascii="Times New Roman" w:hAnsi="Times New Roman"/>
                <w:sz w:val="24"/>
                <w:szCs w:val="24"/>
              </w:rPr>
            </w:pPr>
            <w:r>
              <w:rPr>
                <w:rFonts w:ascii="Times New Roman" w:hAnsi="Times New Roman"/>
                <w:sz w:val="24"/>
                <w:szCs w:val="24"/>
              </w:rPr>
              <w:t>Total profit</w:t>
            </w:r>
          </w:p>
        </w:tc>
        <w:tc>
          <w:tcPr>
            <w:tcW w:w="838"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60</w:t>
            </w:r>
          </w:p>
        </w:tc>
        <w:tc>
          <w:tcPr>
            <w:tcW w:w="804"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50</w:t>
            </w:r>
          </w:p>
        </w:tc>
        <w:tc>
          <w:tcPr>
            <w:tcW w:w="755"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40</w:t>
            </w:r>
          </w:p>
        </w:tc>
        <w:tc>
          <w:tcPr>
            <w:tcW w:w="709"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-70</w:t>
            </w:r>
          </w:p>
        </w:tc>
      </w:tr>
      <w:tr w:rsidR="00DE0322" w:rsidTr="003D6364">
        <w:trPr>
          <w:jc w:val="center"/>
        </w:trPr>
        <w:tc>
          <w:tcPr>
            <w:tcW w:w="2659" w:type="dxa"/>
          </w:tcPr>
          <w:p w:rsidR="00DE0322" w:rsidRDefault="00DE0322" w:rsidP="00DE0322">
            <w:pPr>
              <w:pStyle w:val="Bullet-list"/>
              <w:spacing w:after="0" w:line="240" w:lineRule="auto"/>
              <w:ind w:left="0" w:firstLine="0"/>
              <w:rPr>
                <w:rFonts w:ascii="Times New Roman" w:hAnsi="Times New Roman"/>
                <w:sz w:val="24"/>
                <w:szCs w:val="24"/>
              </w:rPr>
            </w:pPr>
            <w:r>
              <w:rPr>
                <w:rFonts w:ascii="Times New Roman" w:hAnsi="Times New Roman"/>
                <w:sz w:val="24"/>
                <w:szCs w:val="24"/>
              </w:rPr>
              <w:t>Tax paid</w:t>
            </w:r>
            <w:r w:rsidR="00D45AFF">
              <w:rPr>
                <w:rFonts w:ascii="Times New Roman" w:hAnsi="Times New Roman"/>
                <w:sz w:val="24"/>
                <w:szCs w:val="24"/>
              </w:rPr>
              <w:t xml:space="preserve"> (28%)</w:t>
            </w:r>
          </w:p>
        </w:tc>
        <w:tc>
          <w:tcPr>
            <w:tcW w:w="838"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16.8</w:t>
            </w:r>
          </w:p>
        </w:tc>
        <w:tc>
          <w:tcPr>
            <w:tcW w:w="804"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14</w:t>
            </w:r>
          </w:p>
        </w:tc>
        <w:tc>
          <w:tcPr>
            <w:tcW w:w="755"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11.2</w:t>
            </w:r>
          </w:p>
        </w:tc>
        <w:tc>
          <w:tcPr>
            <w:tcW w:w="709"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0</w:t>
            </w:r>
          </w:p>
        </w:tc>
      </w:tr>
      <w:tr w:rsidR="00DE0322" w:rsidTr="003D6364">
        <w:trPr>
          <w:jc w:val="center"/>
        </w:trPr>
        <w:tc>
          <w:tcPr>
            <w:tcW w:w="2659" w:type="dxa"/>
            <w:tcBorders>
              <w:bottom w:val="single" w:sz="4" w:space="0" w:color="auto"/>
            </w:tcBorders>
          </w:tcPr>
          <w:p w:rsidR="00DE0322" w:rsidRDefault="00DE0322" w:rsidP="00DE0322">
            <w:pPr>
              <w:pStyle w:val="Bullet-list"/>
              <w:spacing w:after="0" w:line="240" w:lineRule="auto"/>
              <w:ind w:left="0" w:firstLine="0"/>
              <w:rPr>
                <w:rFonts w:ascii="Times New Roman" w:hAnsi="Times New Roman"/>
                <w:sz w:val="24"/>
                <w:szCs w:val="24"/>
              </w:rPr>
            </w:pPr>
            <w:r>
              <w:rPr>
                <w:rFonts w:ascii="Times New Roman" w:hAnsi="Times New Roman"/>
                <w:sz w:val="24"/>
                <w:szCs w:val="24"/>
              </w:rPr>
              <w:t>Loss Carried Forward</w:t>
            </w:r>
          </w:p>
        </w:tc>
        <w:tc>
          <w:tcPr>
            <w:tcW w:w="838" w:type="dxa"/>
            <w:tcBorders>
              <w:bottom w:val="sing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p>
        </w:tc>
        <w:tc>
          <w:tcPr>
            <w:tcW w:w="804" w:type="dxa"/>
            <w:tcBorders>
              <w:bottom w:val="sing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p>
        </w:tc>
        <w:tc>
          <w:tcPr>
            <w:tcW w:w="755" w:type="dxa"/>
            <w:tcBorders>
              <w:bottom w:val="sing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p>
        </w:tc>
        <w:tc>
          <w:tcPr>
            <w:tcW w:w="709" w:type="dxa"/>
            <w:tcBorders>
              <w:bottom w:val="sing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-70</w:t>
            </w:r>
          </w:p>
        </w:tc>
      </w:tr>
      <w:tr w:rsidR="00DE0322" w:rsidTr="00836D38">
        <w:trPr>
          <w:jc w:val="center"/>
        </w:trPr>
        <w:tc>
          <w:tcPr>
            <w:tcW w:w="5765" w:type="dxa"/>
            <w:gridSpan w:val="5"/>
            <w:shd w:val="clear" w:color="auto" w:fill="BFBFBF" w:themeFill="background1" w:themeFillShade="BF"/>
          </w:tcPr>
          <w:p w:rsidR="00DE0322" w:rsidRPr="00836D38" w:rsidRDefault="00DE0322" w:rsidP="00836D38">
            <w:pPr>
              <w:pStyle w:val="Bullet-list"/>
              <w:spacing w:after="0" w:line="240" w:lineRule="auto"/>
              <w:ind w:left="0" w:firstLine="0"/>
              <w:jc w:val="center"/>
              <w:rPr>
                <w:rFonts w:ascii="Times New Roman" w:hAnsi="Times New Roman"/>
                <w:b/>
                <w:sz w:val="24"/>
                <w:szCs w:val="24"/>
              </w:rPr>
            </w:pPr>
            <w:r w:rsidRPr="00836D38">
              <w:rPr>
                <w:rFonts w:ascii="Times New Roman" w:hAnsi="Times New Roman"/>
                <w:b/>
                <w:sz w:val="24"/>
                <w:szCs w:val="24"/>
              </w:rPr>
              <w:t xml:space="preserve">After </w:t>
            </w:r>
            <w:r w:rsidR="00836D38">
              <w:rPr>
                <w:rFonts w:ascii="Times New Roman" w:hAnsi="Times New Roman"/>
                <w:b/>
                <w:sz w:val="24"/>
                <w:szCs w:val="24"/>
              </w:rPr>
              <w:t>spread</w:t>
            </w:r>
            <w:r w:rsidR="00750D2A">
              <w:rPr>
                <w:rFonts w:ascii="Times New Roman" w:hAnsi="Times New Roman"/>
                <w:b/>
                <w:sz w:val="24"/>
                <w:szCs w:val="24"/>
              </w:rPr>
              <w:t>-</w:t>
            </w:r>
            <w:r w:rsidR="00836D38">
              <w:rPr>
                <w:rFonts w:ascii="Times New Roman" w:hAnsi="Times New Roman"/>
                <w:b/>
                <w:sz w:val="24"/>
                <w:szCs w:val="24"/>
              </w:rPr>
              <w:t>back</w:t>
            </w:r>
          </w:p>
        </w:tc>
      </w:tr>
      <w:tr w:rsidR="00DE0322" w:rsidTr="003D6364">
        <w:trPr>
          <w:jc w:val="center"/>
        </w:trPr>
        <w:tc>
          <w:tcPr>
            <w:tcW w:w="2659" w:type="dxa"/>
          </w:tcPr>
          <w:p w:rsidR="00DE0322" w:rsidRDefault="00DE0322" w:rsidP="00DE0322">
            <w:pPr>
              <w:pStyle w:val="Bullet-list"/>
              <w:spacing w:after="0" w:line="240" w:lineRule="auto"/>
              <w:ind w:left="0" w:firstLine="0"/>
              <w:rPr>
                <w:rFonts w:ascii="Times New Roman" w:hAnsi="Times New Roman"/>
                <w:sz w:val="24"/>
                <w:szCs w:val="24"/>
              </w:rPr>
            </w:pPr>
            <w:r>
              <w:rPr>
                <w:rFonts w:ascii="Times New Roman" w:hAnsi="Times New Roman"/>
                <w:sz w:val="24"/>
                <w:szCs w:val="24"/>
              </w:rPr>
              <w:t>Total profit</w:t>
            </w:r>
          </w:p>
        </w:tc>
        <w:tc>
          <w:tcPr>
            <w:tcW w:w="838"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60</w:t>
            </w:r>
          </w:p>
        </w:tc>
        <w:tc>
          <w:tcPr>
            <w:tcW w:w="804"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20</w:t>
            </w:r>
          </w:p>
        </w:tc>
        <w:tc>
          <w:tcPr>
            <w:tcW w:w="755"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0</w:t>
            </w:r>
          </w:p>
        </w:tc>
        <w:tc>
          <w:tcPr>
            <w:tcW w:w="709" w:type="dxa"/>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0</w:t>
            </w:r>
          </w:p>
        </w:tc>
      </w:tr>
      <w:tr w:rsidR="00DE0322" w:rsidTr="003D6364">
        <w:trPr>
          <w:jc w:val="center"/>
        </w:trPr>
        <w:tc>
          <w:tcPr>
            <w:tcW w:w="2659" w:type="dxa"/>
            <w:tcBorders>
              <w:bottom w:val="single" w:sz="4" w:space="0" w:color="auto"/>
            </w:tcBorders>
          </w:tcPr>
          <w:p w:rsidR="00DE0322" w:rsidRDefault="00DE0322" w:rsidP="00DE0322">
            <w:pPr>
              <w:pStyle w:val="Bullet-list"/>
              <w:spacing w:after="0" w:line="240" w:lineRule="auto"/>
              <w:ind w:left="0" w:firstLine="0"/>
              <w:rPr>
                <w:rFonts w:ascii="Times New Roman" w:hAnsi="Times New Roman"/>
                <w:sz w:val="24"/>
                <w:szCs w:val="24"/>
              </w:rPr>
            </w:pPr>
            <w:r>
              <w:rPr>
                <w:rFonts w:ascii="Times New Roman" w:hAnsi="Times New Roman"/>
                <w:sz w:val="24"/>
                <w:szCs w:val="24"/>
              </w:rPr>
              <w:t>Tax payable</w:t>
            </w:r>
          </w:p>
        </w:tc>
        <w:tc>
          <w:tcPr>
            <w:tcW w:w="838" w:type="dxa"/>
            <w:tcBorders>
              <w:bottom w:val="sing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16.8</w:t>
            </w:r>
          </w:p>
        </w:tc>
        <w:tc>
          <w:tcPr>
            <w:tcW w:w="804" w:type="dxa"/>
            <w:tcBorders>
              <w:bottom w:val="sing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5.6</w:t>
            </w:r>
          </w:p>
        </w:tc>
        <w:tc>
          <w:tcPr>
            <w:tcW w:w="755" w:type="dxa"/>
            <w:tcBorders>
              <w:bottom w:val="sing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0</w:t>
            </w:r>
          </w:p>
        </w:tc>
        <w:tc>
          <w:tcPr>
            <w:tcW w:w="709" w:type="dxa"/>
            <w:tcBorders>
              <w:bottom w:val="sing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0</w:t>
            </w:r>
          </w:p>
        </w:tc>
      </w:tr>
      <w:tr w:rsidR="00DE0322" w:rsidTr="003D6364">
        <w:trPr>
          <w:jc w:val="center"/>
        </w:trPr>
        <w:tc>
          <w:tcPr>
            <w:tcW w:w="2659" w:type="dxa"/>
            <w:tcBorders>
              <w:bottom w:val="double" w:sz="4" w:space="0" w:color="auto"/>
            </w:tcBorders>
          </w:tcPr>
          <w:p w:rsidR="00DE0322" w:rsidRDefault="00DE0322" w:rsidP="00DE0322">
            <w:pPr>
              <w:pStyle w:val="Bullet-list"/>
              <w:spacing w:after="0" w:line="240" w:lineRule="auto"/>
              <w:ind w:left="0" w:firstLine="0"/>
              <w:rPr>
                <w:rFonts w:ascii="Times New Roman" w:hAnsi="Times New Roman"/>
                <w:sz w:val="24"/>
                <w:szCs w:val="24"/>
              </w:rPr>
            </w:pPr>
            <w:r>
              <w:rPr>
                <w:rFonts w:ascii="Times New Roman" w:hAnsi="Times New Roman"/>
                <w:sz w:val="24"/>
                <w:szCs w:val="24"/>
              </w:rPr>
              <w:t>Less tax paid</w:t>
            </w:r>
          </w:p>
        </w:tc>
        <w:tc>
          <w:tcPr>
            <w:tcW w:w="838" w:type="dxa"/>
            <w:tcBorders>
              <w:bottom w:val="doub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-16.8</w:t>
            </w:r>
          </w:p>
        </w:tc>
        <w:tc>
          <w:tcPr>
            <w:tcW w:w="804" w:type="dxa"/>
            <w:tcBorders>
              <w:bottom w:val="doub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-14</w:t>
            </w:r>
          </w:p>
        </w:tc>
        <w:tc>
          <w:tcPr>
            <w:tcW w:w="755" w:type="dxa"/>
            <w:tcBorders>
              <w:bottom w:val="doub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-11.2</w:t>
            </w:r>
          </w:p>
        </w:tc>
        <w:tc>
          <w:tcPr>
            <w:tcW w:w="709" w:type="dxa"/>
            <w:tcBorders>
              <w:bottom w:val="doub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0</w:t>
            </w:r>
          </w:p>
        </w:tc>
      </w:tr>
      <w:tr w:rsidR="00DE0322" w:rsidTr="003D6364">
        <w:trPr>
          <w:jc w:val="center"/>
        </w:trPr>
        <w:tc>
          <w:tcPr>
            <w:tcW w:w="2659" w:type="dxa"/>
            <w:tcBorders>
              <w:top w:val="double" w:sz="4" w:space="0" w:color="auto"/>
            </w:tcBorders>
          </w:tcPr>
          <w:p w:rsidR="00DE0322" w:rsidRDefault="00DE0322" w:rsidP="00DE0322">
            <w:pPr>
              <w:pStyle w:val="Bullet-list"/>
              <w:spacing w:after="0" w:line="240" w:lineRule="auto"/>
              <w:ind w:left="0" w:firstLine="0"/>
              <w:rPr>
                <w:rFonts w:ascii="Times New Roman" w:hAnsi="Times New Roman"/>
                <w:sz w:val="24"/>
                <w:szCs w:val="24"/>
              </w:rPr>
            </w:pPr>
            <w:r>
              <w:rPr>
                <w:rFonts w:ascii="Times New Roman" w:hAnsi="Times New Roman"/>
                <w:sz w:val="24"/>
                <w:szCs w:val="24"/>
              </w:rPr>
              <w:t>Refund</w:t>
            </w:r>
          </w:p>
        </w:tc>
        <w:tc>
          <w:tcPr>
            <w:tcW w:w="838" w:type="dxa"/>
            <w:tcBorders>
              <w:top w:val="doub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0</w:t>
            </w:r>
          </w:p>
        </w:tc>
        <w:tc>
          <w:tcPr>
            <w:tcW w:w="804" w:type="dxa"/>
            <w:tcBorders>
              <w:top w:val="double" w:sz="4" w:space="0" w:color="auto"/>
            </w:tcBorders>
          </w:tcPr>
          <w:p w:rsidR="00DE0322" w:rsidRDefault="003D6364" w:rsidP="003D6364">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8.4</w:t>
            </w:r>
          </w:p>
        </w:tc>
        <w:tc>
          <w:tcPr>
            <w:tcW w:w="755" w:type="dxa"/>
            <w:tcBorders>
              <w:top w:val="doub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11.2</w:t>
            </w:r>
          </w:p>
        </w:tc>
        <w:tc>
          <w:tcPr>
            <w:tcW w:w="709" w:type="dxa"/>
            <w:tcBorders>
              <w:top w:val="double" w:sz="4" w:space="0" w:color="auto"/>
            </w:tcBorders>
          </w:tcPr>
          <w:p w:rsidR="00DE0322" w:rsidRDefault="00DE0322" w:rsidP="00836D38">
            <w:pPr>
              <w:pStyle w:val="Bullet-list"/>
              <w:spacing w:after="0" w:line="240" w:lineRule="auto"/>
              <w:ind w:left="0" w:firstLine="0"/>
              <w:jc w:val="right"/>
              <w:rPr>
                <w:rFonts w:ascii="Times New Roman" w:hAnsi="Times New Roman"/>
                <w:sz w:val="24"/>
                <w:szCs w:val="24"/>
              </w:rPr>
            </w:pPr>
            <w:r>
              <w:rPr>
                <w:rFonts w:ascii="Times New Roman" w:hAnsi="Times New Roman"/>
                <w:sz w:val="24"/>
                <w:szCs w:val="24"/>
              </w:rPr>
              <w:t>0</w:t>
            </w:r>
          </w:p>
        </w:tc>
      </w:tr>
    </w:tbl>
    <w:p w:rsidR="00DE0322" w:rsidRDefault="00DE0322" w:rsidP="004E52EA">
      <w:pPr>
        <w:pStyle w:val="Bullet-list"/>
        <w:spacing w:after="0" w:line="240" w:lineRule="auto"/>
        <w:jc w:val="both"/>
        <w:rPr>
          <w:rFonts w:ascii="Times New Roman" w:hAnsi="Times New Roman"/>
          <w:sz w:val="24"/>
          <w:szCs w:val="24"/>
        </w:rPr>
      </w:pPr>
    </w:p>
    <w:p w:rsidR="00836D38" w:rsidRDefault="00836D38" w:rsidP="004E52EA">
      <w:pPr>
        <w:pStyle w:val="Bullet-list"/>
        <w:spacing w:after="0" w:line="240" w:lineRule="auto"/>
        <w:ind w:left="0" w:firstLine="0"/>
        <w:jc w:val="both"/>
        <w:rPr>
          <w:rFonts w:ascii="Times New Roman" w:hAnsi="Times New Roman"/>
          <w:b/>
          <w:sz w:val="24"/>
          <w:szCs w:val="24"/>
        </w:rPr>
      </w:pPr>
      <w:r w:rsidRPr="00836D38">
        <w:rPr>
          <w:rFonts w:ascii="Times New Roman" w:hAnsi="Times New Roman"/>
          <w:b/>
          <w:sz w:val="24"/>
          <w:szCs w:val="24"/>
        </w:rPr>
        <w:t xml:space="preserve">Problems with current </w:t>
      </w:r>
      <w:r w:rsidR="00B34A3E">
        <w:rPr>
          <w:rFonts w:ascii="Times New Roman" w:hAnsi="Times New Roman"/>
          <w:b/>
          <w:sz w:val="24"/>
          <w:szCs w:val="24"/>
        </w:rPr>
        <w:t xml:space="preserve">tax </w:t>
      </w:r>
      <w:r w:rsidRPr="00836D38">
        <w:rPr>
          <w:rFonts w:ascii="Times New Roman" w:hAnsi="Times New Roman"/>
          <w:b/>
          <w:sz w:val="24"/>
          <w:szCs w:val="24"/>
        </w:rPr>
        <w:t>treatment</w:t>
      </w:r>
    </w:p>
    <w:p w:rsidR="00836D38" w:rsidRDefault="00836D38" w:rsidP="004E52EA">
      <w:pPr>
        <w:pStyle w:val="Bullet-list"/>
        <w:spacing w:after="0" w:line="240" w:lineRule="auto"/>
        <w:ind w:left="0" w:firstLine="0"/>
        <w:jc w:val="both"/>
        <w:rPr>
          <w:rFonts w:ascii="Times New Roman" w:hAnsi="Times New Roman"/>
          <w:b/>
          <w:sz w:val="24"/>
          <w:szCs w:val="24"/>
        </w:rPr>
      </w:pPr>
    </w:p>
    <w:p w:rsidR="00496FC2" w:rsidRPr="00496FC2" w:rsidRDefault="00496FC2" w:rsidP="004E52EA">
      <w:pPr>
        <w:pStyle w:val="Bullet-list"/>
        <w:spacing w:after="0" w:line="240" w:lineRule="auto"/>
        <w:ind w:left="0" w:firstLine="0"/>
        <w:jc w:val="both"/>
        <w:rPr>
          <w:rFonts w:ascii="Times New Roman" w:hAnsi="Times New Roman"/>
          <w:b/>
          <w:sz w:val="24"/>
          <w:szCs w:val="24"/>
        </w:rPr>
      </w:pPr>
      <w:r>
        <w:rPr>
          <w:rFonts w:ascii="Times New Roman" w:hAnsi="Times New Roman"/>
          <w:i/>
          <w:sz w:val="24"/>
          <w:szCs w:val="24"/>
        </w:rPr>
        <w:t>Significant problems</w:t>
      </w:r>
    </w:p>
    <w:p w:rsidR="00496FC2" w:rsidRPr="00836D38" w:rsidRDefault="00496FC2" w:rsidP="004E52EA">
      <w:pPr>
        <w:pStyle w:val="Bullet-list"/>
        <w:spacing w:after="0" w:line="240" w:lineRule="auto"/>
        <w:ind w:left="0" w:firstLine="0"/>
        <w:jc w:val="both"/>
        <w:rPr>
          <w:rFonts w:ascii="Times New Roman" w:hAnsi="Times New Roman"/>
          <w:b/>
          <w:sz w:val="24"/>
          <w:szCs w:val="24"/>
        </w:rPr>
      </w:pPr>
    </w:p>
    <w:p w:rsidR="005D70E5" w:rsidRDefault="00D45AFF" w:rsidP="004E52EA">
      <w:pPr>
        <w:pStyle w:val="Bullet-lis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petroleum mining decommissioning </w:t>
      </w:r>
      <w:r w:rsidR="00B34A3E">
        <w:rPr>
          <w:rFonts w:ascii="Times New Roman" w:hAnsi="Times New Roman"/>
          <w:sz w:val="24"/>
          <w:szCs w:val="24"/>
        </w:rPr>
        <w:t xml:space="preserve">tax </w:t>
      </w:r>
      <w:r>
        <w:rPr>
          <w:rFonts w:ascii="Times New Roman" w:hAnsi="Times New Roman"/>
          <w:sz w:val="24"/>
          <w:szCs w:val="24"/>
        </w:rPr>
        <w:t>rules have never been applied as</w:t>
      </w:r>
      <w:r w:rsidR="005D70E5" w:rsidRPr="00D45AFF">
        <w:rPr>
          <w:rFonts w:ascii="Times New Roman" w:hAnsi="Times New Roman"/>
          <w:sz w:val="24"/>
          <w:szCs w:val="24"/>
        </w:rPr>
        <w:t xml:space="preserve"> no offshore </w:t>
      </w:r>
      <w:r w:rsidR="00C61038">
        <w:rPr>
          <w:rFonts w:ascii="Times New Roman" w:hAnsi="Times New Roman"/>
          <w:sz w:val="24"/>
          <w:szCs w:val="24"/>
        </w:rPr>
        <w:t xml:space="preserve">installations </w:t>
      </w:r>
      <w:r w:rsidR="005D70E5" w:rsidRPr="00D45AFF">
        <w:rPr>
          <w:rFonts w:ascii="Times New Roman" w:hAnsi="Times New Roman"/>
          <w:sz w:val="24"/>
          <w:szCs w:val="24"/>
        </w:rPr>
        <w:t>have been decommissioned</w:t>
      </w:r>
      <w:r>
        <w:rPr>
          <w:rFonts w:ascii="Times New Roman" w:hAnsi="Times New Roman"/>
          <w:sz w:val="24"/>
          <w:szCs w:val="24"/>
        </w:rPr>
        <w:t xml:space="preserve"> in New Zealand</w:t>
      </w:r>
      <w:r w:rsidR="005D70E5" w:rsidRPr="00D45AFF">
        <w:rPr>
          <w:rFonts w:ascii="Times New Roman" w:hAnsi="Times New Roman"/>
          <w:sz w:val="24"/>
          <w:szCs w:val="24"/>
        </w:rPr>
        <w:t xml:space="preserve">.  </w:t>
      </w:r>
      <w:r w:rsidR="003D6364">
        <w:rPr>
          <w:rFonts w:ascii="Times New Roman" w:hAnsi="Times New Roman"/>
          <w:sz w:val="24"/>
          <w:szCs w:val="24"/>
        </w:rPr>
        <w:t>T</w:t>
      </w:r>
      <w:r w:rsidR="005D70E5" w:rsidRPr="00D45AFF">
        <w:rPr>
          <w:rFonts w:ascii="Times New Roman" w:hAnsi="Times New Roman"/>
          <w:sz w:val="24"/>
          <w:szCs w:val="24"/>
        </w:rPr>
        <w:t xml:space="preserve">he petroleum mining industry has started planning for future decommissioning in recent years </w:t>
      </w:r>
      <w:r w:rsidR="003D6364">
        <w:rPr>
          <w:rFonts w:ascii="Times New Roman" w:hAnsi="Times New Roman"/>
          <w:sz w:val="24"/>
          <w:szCs w:val="24"/>
        </w:rPr>
        <w:t>and</w:t>
      </w:r>
      <w:r w:rsidR="005D70E5" w:rsidRPr="00D45AFF">
        <w:rPr>
          <w:rFonts w:ascii="Times New Roman" w:hAnsi="Times New Roman"/>
          <w:sz w:val="24"/>
          <w:szCs w:val="24"/>
        </w:rPr>
        <w:t xml:space="preserve"> have been working with officials</w:t>
      </w:r>
      <w:r w:rsidR="00684147">
        <w:rPr>
          <w:rFonts w:ascii="Times New Roman" w:hAnsi="Times New Roman"/>
          <w:sz w:val="24"/>
          <w:szCs w:val="24"/>
        </w:rPr>
        <w:t>;</w:t>
      </w:r>
      <w:r w:rsidR="005D70E5" w:rsidRPr="00D45AFF">
        <w:rPr>
          <w:rFonts w:ascii="Times New Roman" w:hAnsi="Times New Roman"/>
          <w:sz w:val="24"/>
          <w:szCs w:val="24"/>
        </w:rPr>
        <w:t xml:space="preserve"> a number o</w:t>
      </w:r>
      <w:r>
        <w:rPr>
          <w:rFonts w:ascii="Times New Roman" w:hAnsi="Times New Roman"/>
          <w:sz w:val="24"/>
          <w:szCs w:val="24"/>
        </w:rPr>
        <w:t>f issues have been identified.</w:t>
      </w:r>
    </w:p>
    <w:p w:rsidR="00D45AFF" w:rsidRDefault="00D45AFF" w:rsidP="004E52EA">
      <w:pPr>
        <w:pStyle w:val="Bullet-list"/>
        <w:spacing w:after="0" w:line="240" w:lineRule="auto"/>
        <w:ind w:left="0" w:firstLine="0"/>
        <w:jc w:val="both"/>
        <w:rPr>
          <w:rFonts w:ascii="Times New Roman" w:hAnsi="Times New Roman"/>
          <w:sz w:val="24"/>
          <w:szCs w:val="24"/>
        </w:rPr>
      </w:pPr>
    </w:p>
    <w:p w:rsidR="00D45AFF" w:rsidRDefault="00D45AFF" w:rsidP="004E52EA">
      <w:pPr>
        <w:pStyle w:val="Bullet-lis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primary concern of </w:t>
      </w:r>
      <w:r w:rsidR="006A307E">
        <w:rPr>
          <w:rFonts w:ascii="Times New Roman" w:hAnsi="Times New Roman"/>
          <w:sz w:val="24"/>
          <w:szCs w:val="24"/>
        </w:rPr>
        <w:t xml:space="preserve">the </w:t>
      </w:r>
      <w:r>
        <w:rPr>
          <w:rFonts w:ascii="Times New Roman" w:hAnsi="Times New Roman"/>
          <w:sz w:val="24"/>
          <w:szCs w:val="24"/>
        </w:rPr>
        <w:t>petroleum min</w:t>
      </w:r>
      <w:r w:rsidR="006A307E">
        <w:rPr>
          <w:rFonts w:ascii="Times New Roman" w:hAnsi="Times New Roman"/>
          <w:sz w:val="24"/>
          <w:szCs w:val="24"/>
        </w:rPr>
        <w:t>ing</w:t>
      </w:r>
      <w:r>
        <w:rPr>
          <w:rFonts w:ascii="Times New Roman" w:hAnsi="Times New Roman"/>
          <w:sz w:val="24"/>
          <w:szCs w:val="24"/>
        </w:rPr>
        <w:t xml:space="preserve"> </w:t>
      </w:r>
      <w:r w:rsidR="006A307E">
        <w:rPr>
          <w:rFonts w:ascii="Times New Roman" w:hAnsi="Times New Roman"/>
          <w:sz w:val="24"/>
          <w:szCs w:val="24"/>
        </w:rPr>
        <w:t xml:space="preserve">industry </w:t>
      </w:r>
      <w:r>
        <w:rPr>
          <w:rFonts w:ascii="Times New Roman" w:hAnsi="Times New Roman"/>
          <w:sz w:val="24"/>
          <w:szCs w:val="24"/>
        </w:rPr>
        <w:t xml:space="preserve">is the effect of section RM 2 of the Income Tax Act 2007 </w:t>
      </w:r>
      <w:r w:rsidR="00013708">
        <w:rPr>
          <w:rFonts w:ascii="Times New Roman" w:hAnsi="Times New Roman"/>
          <w:sz w:val="24"/>
          <w:szCs w:val="24"/>
        </w:rPr>
        <w:t xml:space="preserve">(ITA 2007) </w:t>
      </w:r>
      <w:r>
        <w:rPr>
          <w:rFonts w:ascii="Times New Roman" w:hAnsi="Times New Roman"/>
          <w:sz w:val="24"/>
          <w:szCs w:val="24"/>
        </w:rPr>
        <w:t xml:space="preserve">which prevents the Commissioner from refunding an amount of tax </w:t>
      </w:r>
      <w:r w:rsidR="001B0C6E">
        <w:rPr>
          <w:rFonts w:ascii="Times New Roman" w:hAnsi="Times New Roman"/>
          <w:sz w:val="24"/>
          <w:szCs w:val="24"/>
        </w:rPr>
        <w:t>if more than four years have passed from the end of the tax year in which an income tax return was filed.  The spread</w:t>
      </w:r>
      <w:r w:rsidR="00750D2A">
        <w:rPr>
          <w:rFonts w:ascii="Times New Roman" w:hAnsi="Times New Roman"/>
          <w:sz w:val="24"/>
          <w:szCs w:val="24"/>
        </w:rPr>
        <w:t>-</w:t>
      </w:r>
      <w:r w:rsidR="001B0C6E">
        <w:rPr>
          <w:rFonts w:ascii="Times New Roman" w:hAnsi="Times New Roman"/>
          <w:sz w:val="24"/>
          <w:szCs w:val="24"/>
        </w:rPr>
        <w:t>back does not have an equivalent limit</w:t>
      </w:r>
      <w:r w:rsidR="00B34A3E">
        <w:rPr>
          <w:rFonts w:ascii="Times New Roman" w:hAnsi="Times New Roman"/>
          <w:sz w:val="24"/>
          <w:szCs w:val="24"/>
        </w:rPr>
        <w:t>,</w:t>
      </w:r>
      <w:r w:rsidR="001B0C6E">
        <w:rPr>
          <w:rFonts w:ascii="Times New Roman" w:hAnsi="Times New Roman"/>
          <w:sz w:val="24"/>
          <w:szCs w:val="24"/>
        </w:rPr>
        <w:t xml:space="preserve"> so the Commissioner could reassess a period from more than four years previous to create a credit balance.  However, section RM 2 would then prevent the Commissioner refunding this credit balance to the petroleum miner.</w:t>
      </w:r>
    </w:p>
    <w:p w:rsidR="001B0C6E" w:rsidRDefault="001B0C6E" w:rsidP="004E52EA">
      <w:pPr>
        <w:pStyle w:val="ListParagraph"/>
        <w:rPr>
          <w:rFonts w:ascii="Times New Roman" w:hAnsi="Times New Roman"/>
          <w:sz w:val="24"/>
          <w:szCs w:val="24"/>
        </w:rPr>
      </w:pPr>
    </w:p>
    <w:p w:rsidR="001B0C6E" w:rsidRDefault="001B0C6E" w:rsidP="004E52EA">
      <w:pPr>
        <w:pStyle w:val="Bullet-lis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There are two possible practical consequences of this restriction:</w:t>
      </w:r>
    </w:p>
    <w:p w:rsidR="001B0C6E" w:rsidRDefault="001B0C6E" w:rsidP="004E52EA">
      <w:pPr>
        <w:pStyle w:val="ListParagraph"/>
        <w:numPr>
          <w:ilvl w:val="4"/>
          <w:numId w:val="2"/>
        </w:numPr>
        <w:tabs>
          <w:tab w:val="clear" w:pos="3600"/>
        </w:tabs>
        <w:ind w:left="1276" w:hanging="425"/>
        <w:rPr>
          <w:rFonts w:ascii="Times New Roman" w:hAnsi="Times New Roman"/>
          <w:sz w:val="24"/>
          <w:szCs w:val="24"/>
        </w:rPr>
      </w:pPr>
      <w:r>
        <w:rPr>
          <w:rFonts w:ascii="Times New Roman" w:hAnsi="Times New Roman"/>
          <w:sz w:val="24"/>
          <w:szCs w:val="24"/>
        </w:rPr>
        <w:t xml:space="preserve">The petroleum miner is unable to </w:t>
      </w:r>
      <w:r w:rsidR="00B34A3E">
        <w:rPr>
          <w:rFonts w:ascii="Times New Roman" w:hAnsi="Times New Roman"/>
          <w:sz w:val="24"/>
          <w:szCs w:val="24"/>
        </w:rPr>
        <w:t>get a refund for</w:t>
      </w:r>
      <w:r>
        <w:rPr>
          <w:rFonts w:ascii="Times New Roman" w:hAnsi="Times New Roman"/>
          <w:sz w:val="24"/>
          <w:szCs w:val="24"/>
        </w:rPr>
        <w:t xml:space="preserve"> the full amount of their decommissioning costs </w:t>
      </w:r>
      <w:r w:rsidR="00B34A3E">
        <w:rPr>
          <w:rFonts w:ascii="Times New Roman" w:hAnsi="Times New Roman"/>
          <w:sz w:val="24"/>
          <w:szCs w:val="24"/>
        </w:rPr>
        <w:t xml:space="preserve">spread-back </w:t>
      </w:r>
      <w:r>
        <w:rPr>
          <w:rFonts w:ascii="Times New Roman" w:hAnsi="Times New Roman"/>
          <w:sz w:val="24"/>
          <w:szCs w:val="24"/>
        </w:rPr>
        <w:t xml:space="preserve">despite the </w:t>
      </w:r>
      <w:r w:rsidR="00B34A3E">
        <w:rPr>
          <w:rFonts w:ascii="Times New Roman" w:hAnsi="Times New Roman"/>
          <w:sz w:val="24"/>
          <w:szCs w:val="24"/>
        </w:rPr>
        <w:t xml:space="preserve">existing </w:t>
      </w:r>
      <w:r>
        <w:rPr>
          <w:rFonts w:ascii="Times New Roman" w:hAnsi="Times New Roman"/>
          <w:sz w:val="24"/>
          <w:szCs w:val="24"/>
        </w:rPr>
        <w:t>policy that they should be able to.</w:t>
      </w:r>
    </w:p>
    <w:p w:rsidR="001B0C6E" w:rsidRDefault="001B0C6E" w:rsidP="004E52EA">
      <w:pPr>
        <w:pStyle w:val="ListParagraph"/>
        <w:numPr>
          <w:ilvl w:val="4"/>
          <w:numId w:val="2"/>
        </w:numPr>
        <w:tabs>
          <w:tab w:val="clear" w:pos="3600"/>
        </w:tabs>
        <w:ind w:left="1276" w:hanging="425"/>
        <w:rPr>
          <w:rFonts w:ascii="Times New Roman" w:hAnsi="Times New Roman"/>
          <w:sz w:val="24"/>
          <w:szCs w:val="24"/>
        </w:rPr>
      </w:pPr>
      <w:r>
        <w:rPr>
          <w:rFonts w:ascii="Times New Roman" w:hAnsi="Times New Roman"/>
          <w:sz w:val="24"/>
          <w:szCs w:val="24"/>
        </w:rPr>
        <w:t>The petroleum miner may decommission the field earlier than they otherwise would to ensure they have sufficient profits within the four previous years</w:t>
      </w:r>
      <w:r w:rsidR="00D0645F">
        <w:rPr>
          <w:rFonts w:ascii="Times New Roman" w:hAnsi="Times New Roman"/>
          <w:sz w:val="24"/>
          <w:szCs w:val="24"/>
        </w:rPr>
        <w:t xml:space="preserve"> to fully cover the cost of decommissioning.</w:t>
      </w:r>
    </w:p>
    <w:p w:rsidR="001B0C6E" w:rsidRDefault="001B0C6E" w:rsidP="004E52EA">
      <w:pPr>
        <w:pStyle w:val="Bullet-list"/>
        <w:spacing w:after="0" w:line="240" w:lineRule="auto"/>
        <w:ind w:left="0" w:firstLine="0"/>
        <w:jc w:val="both"/>
        <w:rPr>
          <w:rFonts w:ascii="Times New Roman" w:hAnsi="Times New Roman"/>
          <w:sz w:val="24"/>
          <w:szCs w:val="24"/>
        </w:rPr>
      </w:pPr>
    </w:p>
    <w:p w:rsidR="001B0C6E" w:rsidRDefault="00D0645F" w:rsidP="004E52EA">
      <w:pPr>
        <w:pStyle w:val="Bullet-lis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To the extent the second path is chosen, and the industry has advised this is what would occur, this four year restriction would have no impact on the amount of tax deductions</w:t>
      </w:r>
      <w:r w:rsidR="00EF2A4D" w:rsidRPr="0013053D">
        <w:rPr>
          <w:rStyle w:val="FootnoteReference"/>
          <w:rFonts w:ascii="Times New Roman" w:hAnsi="Times New Roman"/>
          <w:szCs w:val="24"/>
        </w:rPr>
        <w:footnoteReference w:id="4"/>
      </w:r>
      <w:r>
        <w:rPr>
          <w:rFonts w:ascii="Times New Roman" w:hAnsi="Times New Roman"/>
          <w:sz w:val="24"/>
          <w:szCs w:val="24"/>
        </w:rPr>
        <w:t xml:space="preserve"> offset against taxable income but would reduce the amount of oil and gas extracted.</w:t>
      </w:r>
      <w:r w:rsidR="00145DF7">
        <w:rPr>
          <w:rFonts w:ascii="Times New Roman" w:hAnsi="Times New Roman"/>
          <w:sz w:val="24"/>
          <w:szCs w:val="24"/>
        </w:rPr>
        <w:t xml:space="preserve">  The Crown Minerals Act 1991 requires the Crown to assess and agree with a petroleum miner as to whether the maximum economic recovery of a field has been reached and cessation of production can occur.  </w:t>
      </w:r>
      <w:r w:rsidR="00EF2A4D">
        <w:rPr>
          <w:rFonts w:ascii="Times New Roman" w:hAnsi="Times New Roman"/>
          <w:sz w:val="24"/>
          <w:szCs w:val="24"/>
        </w:rPr>
        <w:t xml:space="preserve">If tax deductions for decommissioning costs cannot be effectively </w:t>
      </w:r>
      <w:r w:rsidR="00076FB8">
        <w:rPr>
          <w:rFonts w:ascii="Times New Roman" w:hAnsi="Times New Roman"/>
          <w:sz w:val="24"/>
          <w:szCs w:val="24"/>
        </w:rPr>
        <w:t xml:space="preserve">utilised </w:t>
      </w:r>
      <w:r w:rsidR="00EF2A4D">
        <w:rPr>
          <w:rFonts w:ascii="Times New Roman" w:hAnsi="Times New Roman"/>
          <w:sz w:val="24"/>
          <w:szCs w:val="24"/>
        </w:rPr>
        <w:t xml:space="preserve">this would be factored into the Crown’s assessment.  </w:t>
      </w:r>
      <w:r w:rsidR="00145DF7">
        <w:rPr>
          <w:rFonts w:ascii="Times New Roman" w:hAnsi="Times New Roman"/>
          <w:sz w:val="24"/>
          <w:szCs w:val="24"/>
        </w:rPr>
        <w:t>Premature decommissioning would result in lost revenue to the Crown in the form of foregone royalties and corporate taxes.</w:t>
      </w:r>
    </w:p>
    <w:p w:rsidR="00C74C12" w:rsidRDefault="00C74C12" w:rsidP="004E52EA">
      <w:pPr>
        <w:pStyle w:val="Bullet-list"/>
        <w:spacing w:after="0" w:line="240" w:lineRule="auto"/>
        <w:ind w:left="0" w:firstLine="0"/>
        <w:jc w:val="both"/>
        <w:rPr>
          <w:rFonts w:ascii="Times New Roman" w:hAnsi="Times New Roman"/>
          <w:sz w:val="24"/>
          <w:szCs w:val="24"/>
        </w:rPr>
      </w:pPr>
    </w:p>
    <w:p w:rsidR="00C74C12" w:rsidRDefault="00C74C12" w:rsidP="004E52EA">
      <w:pPr>
        <w:pStyle w:val="Bullet-lis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 number of other issues and uncertainties also arise with the existing rules.  These could be resolved within the existing policy </w:t>
      </w:r>
      <w:r w:rsidR="00EF2A4D">
        <w:rPr>
          <w:rFonts w:ascii="Times New Roman" w:hAnsi="Times New Roman"/>
          <w:sz w:val="24"/>
          <w:szCs w:val="24"/>
        </w:rPr>
        <w:t>and are explained further below</w:t>
      </w:r>
      <w:r>
        <w:rPr>
          <w:rFonts w:ascii="Times New Roman" w:hAnsi="Times New Roman"/>
          <w:sz w:val="24"/>
          <w:szCs w:val="24"/>
        </w:rPr>
        <w:t>.</w:t>
      </w:r>
    </w:p>
    <w:p w:rsidR="00496FC2" w:rsidRDefault="00496FC2" w:rsidP="004E52EA">
      <w:pPr>
        <w:pStyle w:val="ListParagraph"/>
        <w:ind w:left="0"/>
        <w:rPr>
          <w:rFonts w:ascii="Times New Roman" w:hAnsi="Times New Roman"/>
          <w:sz w:val="24"/>
          <w:szCs w:val="24"/>
        </w:rPr>
      </w:pPr>
    </w:p>
    <w:p w:rsidR="00496FC2" w:rsidRPr="00496FC2" w:rsidRDefault="00496FC2" w:rsidP="004E52EA">
      <w:pPr>
        <w:pStyle w:val="ListParagraph"/>
        <w:ind w:left="0"/>
        <w:rPr>
          <w:rFonts w:ascii="Times New Roman" w:hAnsi="Times New Roman"/>
          <w:i/>
          <w:sz w:val="24"/>
          <w:szCs w:val="24"/>
        </w:rPr>
      </w:pPr>
      <w:r w:rsidRPr="00496FC2">
        <w:rPr>
          <w:rFonts w:ascii="Times New Roman" w:hAnsi="Times New Roman"/>
          <w:i/>
          <w:sz w:val="24"/>
          <w:szCs w:val="24"/>
        </w:rPr>
        <w:t>Other problems</w:t>
      </w:r>
    </w:p>
    <w:p w:rsidR="009B7CCC" w:rsidRDefault="009B7CCC" w:rsidP="004E52EA">
      <w:pPr>
        <w:pStyle w:val="ListParagraph"/>
        <w:ind w:left="0"/>
        <w:rPr>
          <w:rFonts w:ascii="Times New Roman" w:hAnsi="Times New Roman"/>
          <w:sz w:val="24"/>
          <w:szCs w:val="24"/>
        </w:rPr>
      </w:pPr>
    </w:p>
    <w:p w:rsidR="00496FC2" w:rsidRDefault="00496FC2" w:rsidP="009B7CCC">
      <w:pPr>
        <w:pStyle w:val="CommentText"/>
        <w:numPr>
          <w:ilvl w:val="0"/>
          <w:numId w:val="2"/>
        </w:numPr>
        <w:tabs>
          <w:tab w:val="clear" w:pos="720"/>
        </w:tabs>
        <w:spacing w:line="240" w:lineRule="auto"/>
        <w:ind w:left="0" w:firstLine="0"/>
        <w:jc w:val="both"/>
        <w:rPr>
          <w:rFonts w:ascii="Times New Roman" w:hAnsi="Times New Roman"/>
          <w:sz w:val="24"/>
          <w:szCs w:val="24"/>
        </w:rPr>
      </w:pPr>
      <w:bookmarkStart w:id="12" w:name="_Ref463944867"/>
      <w:r>
        <w:rPr>
          <w:rFonts w:ascii="Times New Roman" w:hAnsi="Times New Roman"/>
          <w:sz w:val="24"/>
          <w:szCs w:val="24"/>
        </w:rPr>
        <w:t>There are two qualifying criteria for triggering the spread-back</w:t>
      </w:r>
      <w:r w:rsidR="004830F6">
        <w:rPr>
          <w:rFonts w:ascii="Times New Roman" w:hAnsi="Times New Roman"/>
          <w:sz w:val="24"/>
          <w:szCs w:val="24"/>
        </w:rPr>
        <w:t xml:space="preserve"> </w:t>
      </w:r>
      <w:r w:rsidR="00076FB8">
        <w:rPr>
          <w:rFonts w:ascii="Times New Roman" w:hAnsi="Times New Roman"/>
          <w:sz w:val="24"/>
          <w:szCs w:val="24"/>
        </w:rPr>
        <w:t>of decommissioning expenditure under</w:t>
      </w:r>
      <w:r w:rsidR="004830F6">
        <w:rPr>
          <w:rFonts w:ascii="Times New Roman" w:hAnsi="Times New Roman"/>
          <w:sz w:val="24"/>
          <w:szCs w:val="24"/>
        </w:rPr>
        <w:t xml:space="preserve"> the current rules</w:t>
      </w:r>
      <w:r>
        <w:rPr>
          <w:rFonts w:ascii="Times New Roman" w:hAnsi="Times New Roman"/>
          <w:sz w:val="24"/>
          <w:szCs w:val="24"/>
        </w:rPr>
        <w:t>, depending on the type of expenditure or loss, these are “in a tax year in which a petroleum miner relinquishes a permit” and “because of the relinquishment of the petroleum permit”.  While the first is often clear on timing the second is less so and when combined they create uncertainty in a number of situations such as:</w:t>
      </w:r>
      <w:bookmarkEnd w:id="12"/>
    </w:p>
    <w:p w:rsidR="00496FC2" w:rsidRDefault="00496FC2" w:rsidP="008A46F9">
      <w:pPr>
        <w:pStyle w:val="ListParagraph"/>
        <w:numPr>
          <w:ilvl w:val="0"/>
          <w:numId w:val="6"/>
        </w:numPr>
        <w:spacing w:before="240" w:after="240"/>
        <w:ind w:left="709" w:hanging="425"/>
        <w:rPr>
          <w:rFonts w:ascii="Times New Roman" w:hAnsi="Times New Roman"/>
          <w:sz w:val="24"/>
          <w:szCs w:val="24"/>
        </w:rPr>
      </w:pPr>
      <w:r>
        <w:rPr>
          <w:rFonts w:ascii="Times New Roman" w:hAnsi="Times New Roman"/>
          <w:sz w:val="24"/>
          <w:szCs w:val="24"/>
        </w:rPr>
        <w:t>A wide variety of expenditure will be incurred because of the relinquishment of the permit, including planning for decommissioning before drilling has commenced which may be 40 years before the permit is eventually relinquished.  It is not clear whether expenditure has to be within a reasonable time period of the permit relinquishment.</w:t>
      </w:r>
    </w:p>
    <w:p w:rsidR="009B7CCC" w:rsidRDefault="009B7CCC" w:rsidP="008A46F9">
      <w:pPr>
        <w:pStyle w:val="ListParagraph"/>
        <w:spacing w:before="240" w:after="240"/>
        <w:ind w:left="709" w:hanging="425"/>
        <w:rPr>
          <w:rFonts w:ascii="Times New Roman" w:hAnsi="Times New Roman"/>
          <w:sz w:val="24"/>
          <w:szCs w:val="24"/>
        </w:rPr>
      </w:pPr>
    </w:p>
    <w:p w:rsidR="009B7CCC" w:rsidRDefault="00496FC2" w:rsidP="008A46F9">
      <w:pPr>
        <w:pStyle w:val="ListParagraph"/>
        <w:numPr>
          <w:ilvl w:val="0"/>
          <w:numId w:val="6"/>
        </w:numPr>
        <w:spacing w:before="240"/>
        <w:ind w:left="709" w:hanging="425"/>
        <w:rPr>
          <w:rFonts w:ascii="Times New Roman" w:hAnsi="Times New Roman"/>
          <w:sz w:val="24"/>
          <w:szCs w:val="24"/>
        </w:rPr>
      </w:pPr>
      <w:r>
        <w:rPr>
          <w:rFonts w:ascii="Times New Roman" w:hAnsi="Times New Roman"/>
          <w:sz w:val="24"/>
          <w:szCs w:val="24"/>
        </w:rPr>
        <w:t>A petroleum miner may undertake activities that look like decommissioning but are not directly linked with the relinquishment of a permit.  It is not clear whether this expenditure would ever qualify for the spread-back.</w:t>
      </w:r>
    </w:p>
    <w:p w:rsidR="009B7CCC" w:rsidRDefault="009B7CCC" w:rsidP="008A46F9">
      <w:pPr>
        <w:pStyle w:val="ListParagraph"/>
        <w:spacing w:before="240"/>
        <w:ind w:left="709" w:hanging="425"/>
        <w:rPr>
          <w:rFonts w:ascii="Times New Roman" w:hAnsi="Times New Roman"/>
          <w:sz w:val="24"/>
          <w:szCs w:val="24"/>
        </w:rPr>
      </w:pPr>
    </w:p>
    <w:p w:rsidR="009B7CCC" w:rsidRDefault="00496FC2" w:rsidP="008A46F9">
      <w:pPr>
        <w:pStyle w:val="ListParagraph"/>
        <w:numPr>
          <w:ilvl w:val="0"/>
          <w:numId w:val="6"/>
        </w:numPr>
        <w:spacing w:before="240"/>
        <w:ind w:left="709" w:hanging="425"/>
        <w:rPr>
          <w:rFonts w:ascii="Times New Roman" w:hAnsi="Times New Roman"/>
          <w:sz w:val="24"/>
          <w:szCs w:val="24"/>
        </w:rPr>
      </w:pPr>
      <w:r w:rsidRPr="009B7CCC">
        <w:rPr>
          <w:rFonts w:ascii="Times New Roman" w:hAnsi="Times New Roman"/>
          <w:sz w:val="24"/>
          <w:szCs w:val="24"/>
        </w:rPr>
        <w:t>A petroleum miner may decommission a well several years before relinquishing the permit.  It is not clear whether this expenditure would qualify when incurred or whether it would have to wait until the permit was relinquished.</w:t>
      </w:r>
    </w:p>
    <w:p w:rsidR="009B7CCC" w:rsidRPr="009B7CCC" w:rsidRDefault="009B7CCC" w:rsidP="008A46F9">
      <w:pPr>
        <w:pStyle w:val="ListParagraph"/>
        <w:spacing w:before="240"/>
        <w:ind w:left="709" w:hanging="425"/>
        <w:rPr>
          <w:rFonts w:ascii="Times New Roman" w:hAnsi="Times New Roman"/>
          <w:sz w:val="24"/>
          <w:szCs w:val="24"/>
        </w:rPr>
      </w:pPr>
    </w:p>
    <w:p w:rsidR="00496FC2" w:rsidRPr="00FB2CD0" w:rsidRDefault="00496FC2" w:rsidP="008A46F9">
      <w:pPr>
        <w:pStyle w:val="ListParagraph"/>
        <w:numPr>
          <w:ilvl w:val="0"/>
          <w:numId w:val="6"/>
        </w:numPr>
        <w:spacing w:before="240"/>
        <w:ind w:left="709" w:hanging="425"/>
        <w:rPr>
          <w:rFonts w:ascii="Times New Roman" w:hAnsi="Times New Roman"/>
          <w:sz w:val="24"/>
          <w:szCs w:val="24"/>
        </w:rPr>
      </w:pPr>
      <w:r>
        <w:rPr>
          <w:rFonts w:ascii="Times New Roman" w:hAnsi="Times New Roman"/>
          <w:sz w:val="24"/>
          <w:szCs w:val="24"/>
        </w:rPr>
        <w:t>A petroleum miner may decommission a well and surrender acreage within a permit area without relinquishing the entire permit.  It is not clear whether this expenditure would qualify for the spread-back until the entire permit was relinquished.</w:t>
      </w:r>
    </w:p>
    <w:p w:rsidR="00496FC2" w:rsidRDefault="00496FC2" w:rsidP="004E52EA">
      <w:pPr>
        <w:pStyle w:val="CommentText"/>
        <w:spacing w:after="0" w:line="240" w:lineRule="auto"/>
        <w:jc w:val="both"/>
        <w:rPr>
          <w:rFonts w:ascii="Times New Roman" w:hAnsi="Times New Roman"/>
          <w:sz w:val="24"/>
          <w:szCs w:val="24"/>
        </w:rPr>
      </w:pPr>
    </w:p>
    <w:p w:rsidR="00496FC2" w:rsidRDefault="00496FC2" w:rsidP="004E52EA">
      <w:pPr>
        <w:pStyle w:val="CommentTex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As well as decommissioning development wells a petroleum miner will incur expenditure on abandoning exploration wells.  These exploration wells may have been drilled before</w:t>
      </w:r>
      <w:r w:rsidR="00F90BFD">
        <w:rPr>
          <w:rFonts w:ascii="Times New Roman" w:hAnsi="Times New Roman"/>
          <w:sz w:val="24"/>
          <w:szCs w:val="24"/>
        </w:rPr>
        <w:t>,</w:t>
      </w:r>
      <w:r>
        <w:rPr>
          <w:rFonts w:ascii="Times New Roman" w:hAnsi="Times New Roman"/>
          <w:sz w:val="24"/>
          <w:szCs w:val="24"/>
        </w:rPr>
        <w:t xml:space="preserve"> during or after commercial production and may or may not have resulted in a discovery of petroleum reserves that are commercially extractable</w:t>
      </w:r>
      <w:r w:rsidRPr="0013053D">
        <w:rPr>
          <w:rStyle w:val="FootnoteReference"/>
          <w:rFonts w:ascii="Times New Roman" w:hAnsi="Times New Roman"/>
          <w:szCs w:val="24"/>
          <w:lang w:val="en-AU" w:eastAsia="en-US"/>
        </w:rPr>
        <w:footnoteReference w:id="5"/>
      </w:r>
      <w:r>
        <w:rPr>
          <w:rFonts w:ascii="Times New Roman" w:hAnsi="Times New Roman"/>
          <w:sz w:val="24"/>
          <w:szCs w:val="24"/>
        </w:rPr>
        <w:t>.  It is officials’ view that expenditure on abandonment of exploration wells is not eligible to be spread-back but this is not clearly articulated in the legislation and some petroleum miners consider it is currently available.</w:t>
      </w:r>
    </w:p>
    <w:p w:rsidR="00496FC2" w:rsidRDefault="00496FC2" w:rsidP="004E52EA">
      <w:pPr>
        <w:pStyle w:val="CommentText"/>
        <w:spacing w:after="0" w:line="240" w:lineRule="auto"/>
        <w:jc w:val="both"/>
        <w:rPr>
          <w:rFonts w:ascii="Times New Roman" w:hAnsi="Times New Roman"/>
          <w:sz w:val="24"/>
          <w:szCs w:val="24"/>
        </w:rPr>
      </w:pPr>
    </w:p>
    <w:p w:rsidR="00496FC2" w:rsidRDefault="00496FC2" w:rsidP="004E52EA">
      <w:pPr>
        <w:pStyle w:val="CommentTex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When an exploration well is subsequently used for commercial production the cost that was previously deducted is added back and spread over a number of future years</w:t>
      </w:r>
      <w:r w:rsidRPr="0013053D">
        <w:rPr>
          <w:rStyle w:val="FootnoteReference"/>
          <w:rFonts w:ascii="Times New Roman" w:hAnsi="Times New Roman"/>
          <w:szCs w:val="24"/>
          <w:lang w:val="en-AU" w:eastAsia="en-US"/>
        </w:rPr>
        <w:footnoteReference w:id="6"/>
      </w:r>
      <w:r>
        <w:rPr>
          <w:rFonts w:ascii="Times New Roman" w:hAnsi="Times New Roman"/>
          <w:sz w:val="24"/>
          <w:szCs w:val="24"/>
        </w:rPr>
        <w:t xml:space="preserve"> which puts it in the same position as if it was originally drilled as a development well.  If the permit is relinquished any undeducted costs are intended to be able to be spread-back.  However, an error in the rewrite from the Income Tax Act 2004 to the Income Tax Act 2007 introduced an incorrect cross reference so that only expenditure on an exploration well that is used for commercial production but not expenditure on a development well is eligible for the spread-back.</w:t>
      </w:r>
    </w:p>
    <w:p w:rsidR="00496FC2" w:rsidRDefault="00496FC2" w:rsidP="004E52EA">
      <w:pPr>
        <w:pStyle w:val="ListParagraph"/>
        <w:rPr>
          <w:rFonts w:ascii="Times New Roman" w:hAnsi="Times New Roman"/>
          <w:sz w:val="24"/>
          <w:szCs w:val="24"/>
        </w:rPr>
      </w:pPr>
    </w:p>
    <w:p w:rsidR="00496FC2" w:rsidRPr="00CB1C9E" w:rsidRDefault="00496FC2" w:rsidP="004E52EA">
      <w:pPr>
        <w:pStyle w:val="CommentText"/>
        <w:numPr>
          <w:ilvl w:val="0"/>
          <w:numId w:val="2"/>
        </w:numPr>
        <w:tabs>
          <w:tab w:val="clear" w:pos="720"/>
        </w:tabs>
        <w:spacing w:after="0" w:line="240" w:lineRule="auto"/>
        <w:ind w:left="0" w:firstLine="0"/>
        <w:jc w:val="both"/>
        <w:rPr>
          <w:rFonts w:ascii="Times New Roman" w:hAnsi="Times New Roman"/>
          <w:sz w:val="24"/>
          <w:szCs w:val="24"/>
        </w:rPr>
      </w:pPr>
      <w:bookmarkStart w:id="13" w:name="_Ref463944868"/>
      <w:r>
        <w:rPr>
          <w:rFonts w:ascii="Times New Roman" w:hAnsi="Times New Roman"/>
          <w:sz w:val="24"/>
          <w:szCs w:val="24"/>
        </w:rPr>
        <w:t>It is officials’ view that the spread-back is a mechanism for generating a payment to the taxpayer rather than altering the amount of tax originally payable in that earlier period.  Accordingly, when a petroleum miner spreads-back expenditure they should not be entitled to credit use of money interest (UOMI).  However, unlike other equivalent sections</w:t>
      </w:r>
      <w:r w:rsidRPr="0013053D">
        <w:rPr>
          <w:rStyle w:val="FootnoteReference"/>
          <w:rFonts w:ascii="Times New Roman" w:hAnsi="Times New Roman"/>
          <w:szCs w:val="24"/>
          <w:lang w:val="en-AU" w:eastAsia="en-US"/>
        </w:rPr>
        <w:footnoteReference w:id="7"/>
      </w:r>
      <w:r>
        <w:rPr>
          <w:rFonts w:ascii="Times New Roman" w:hAnsi="Times New Roman"/>
          <w:sz w:val="24"/>
          <w:szCs w:val="24"/>
        </w:rPr>
        <w:t>, there are no specific provisions confirming that UOMI is not payable when a petroleum miner spreads-back expenditure.</w:t>
      </w:r>
      <w:bookmarkEnd w:id="13"/>
    </w:p>
    <w:p w:rsidR="00496FC2" w:rsidRDefault="00496FC2" w:rsidP="004E52EA">
      <w:pPr>
        <w:pStyle w:val="Bullet-list"/>
        <w:spacing w:after="0" w:line="240" w:lineRule="auto"/>
        <w:ind w:left="0" w:firstLine="0"/>
        <w:jc w:val="both"/>
        <w:rPr>
          <w:rFonts w:ascii="Times New Roman" w:hAnsi="Times New Roman"/>
          <w:sz w:val="24"/>
          <w:szCs w:val="24"/>
        </w:rPr>
      </w:pPr>
    </w:p>
    <w:p w:rsidR="00496FC2" w:rsidRPr="00496FC2" w:rsidRDefault="00496FC2" w:rsidP="004E52EA">
      <w:pPr>
        <w:pStyle w:val="Bullet-list"/>
        <w:spacing w:after="0" w:line="240" w:lineRule="auto"/>
        <w:ind w:left="0" w:firstLine="0"/>
        <w:jc w:val="both"/>
        <w:rPr>
          <w:rFonts w:ascii="Times New Roman" w:hAnsi="Times New Roman"/>
          <w:sz w:val="24"/>
          <w:szCs w:val="24"/>
        </w:rPr>
      </w:pPr>
      <w:r>
        <w:rPr>
          <w:rFonts w:ascii="Times New Roman" w:hAnsi="Times New Roman"/>
          <w:i/>
          <w:sz w:val="24"/>
          <w:szCs w:val="24"/>
        </w:rPr>
        <w:t>Opportunities in amendment</w:t>
      </w:r>
    </w:p>
    <w:p w:rsidR="00C74C12" w:rsidRDefault="00C74C12" w:rsidP="004E52EA">
      <w:pPr>
        <w:pStyle w:val="ListParagraph"/>
        <w:rPr>
          <w:rFonts w:ascii="Times New Roman" w:hAnsi="Times New Roman"/>
          <w:sz w:val="24"/>
          <w:szCs w:val="24"/>
        </w:rPr>
      </w:pPr>
    </w:p>
    <w:p w:rsidR="00674513" w:rsidRDefault="00C74C12" w:rsidP="004E52EA">
      <w:pPr>
        <w:pStyle w:val="Bullet-lis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Historically</w:t>
      </w:r>
      <w:r w:rsidR="00192E3B">
        <w:rPr>
          <w:rFonts w:ascii="Times New Roman" w:hAnsi="Times New Roman"/>
          <w:sz w:val="24"/>
          <w:szCs w:val="24"/>
        </w:rPr>
        <w:t>,</w:t>
      </w:r>
      <w:r>
        <w:rPr>
          <w:rFonts w:ascii="Times New Roman" w:hAnsi="Times New Roman"/>
          <w:sz w:val="24"/>
          <w:szCs w:val="24"/>
        </w:rPr>
        <w:t xml:space="preserve"> there were a number of spread</w:t>
      </w:r>
      <w:r w:rsidR="00750D2A">
        <w:rPr>
          <w:rFonts w:ascii="Times New Roman" w:hAnsi="Times New Roman"/>
          <w:sz w:val="24"/>
          <w:szCs w:val="24"/>
        </w:rPr>
        <w:t>-</w:t>
      </w:r>
      <w:r>
        <w:rPr>
          <w:rFonts w:ascii="Times New Roman" w:hAnsi="Times New Roman"/>
          <w:sz w:val="24"/>
          <w:szCs w:val="24"/>
        </w:rPr>
        <w:t xml:space="preserve">back provisions, for both income and expenditure, in the Income Tax Act.  Officials view </w:t>
      </w:r>
      <w:r w:rsidR="00076FB8">
        <w:rPr>
          <w:rFonts w:ascii="Times New Roman" w:hAnsi="Times New Roman"/>
          <w:sz w:val="24"/>
          <w:szCs w:val="24"/>
        </w:rPr>
        <w:t xml:space="preserve">such </w:t>
      </w:r>
      <w:r w:rsidR="00917216">
        <w:rPr>
          <w:rFonts w:ascii="Times New Roman" w:hAnsi="Times New Roman"/>
          <w:sz w:val="24"/>
          <w:szCs w:val="24"/>
        </w:rPr>
        <w:t>spread-back</w:t>
      </w:r>
      <w:r w:rsidR="00076FB8">
        <w:rPr>
          <w:rFonts w:ascii="Times New Roman" w:hAnsi="Times New Roman"/>
          <w:sz w:val="24"/>
          <w:szCs w:val="24"/>
        </w:rPr>
        <w:t>s</w:t>
      </w:r>
      <w:r>
        <w:rPr>
          <w:rFonts w:ascii="Times New Roman" w:hAnsi="Times New Roman"/>
          <w:sz w:val="24"/>
          <w:szCs w:val="24"/>
        </w:rPr>
        <w:t xml:space="preserve"> as </w:t>
      </w:r>
      <w:r w:rsidR="00674513">
        <w:rPr>
          <w:rFonts w:ascii="Times New Roman" w:hAnsi="Times New Roman"/>
          <w:sz w:val="24"/>
          <w:szCs w:val="24"/>
        </w:rPr>
        <w:t xml:space="preserve">an </w:t>
      </w:r>
      <w:r w:rsidR="00076FB8">
        <w:rPr>
          <w:rFonts w:ascii="Times New Roman" w:hAnsi="Times New Roman"/>
          <w:sz w:val="24"/>
          <w:szCs w:val="24"/>
        </w:rPr>
        <w:t xml:space="preserve">outdated </w:t>
      </w:r>
      <w:r w:rsidR="00674513">
        <w:rPr>
          <w:rFonts w:ascii="Times New Roman" w:hAnsi="Times New Roman"/>
          <w:sz w:val="24"/>
          <w:szCs w:val="24"/>
        </w:rPr>
        <w:t xml:space="preserve">approach that </w:t>
      </w:r>
      <w:r w:rsidR="00917216">
        <w:rPr>
          <w:rFonts w:ascii="Times New Roman" w:hAnsi="Times New Roman"/>
          <w:sz w:val="24"/>
          <w:szCs w:val="24"/>
        </w:rPr>
        <w:t>results in</w:t>
      </w:r>
      <w:r w:rsidR="00674513">
        <w:rPr>
          <w:rFonts w:ascii="Times New Roman" w:hAnsi="Times New Roman"/>
          <w:sz w:val="24"/>
          <w:szCs w:val="24"/>
        </w:rPr>
        <w:t xml:space="preserve"> high compliance and administration costs.  Many spread</w:t>
      </w:r>
      <w:r w:rsidR="00750D2A">
        <w:rPr>
          <w:rFonts w:ascii="Times New Roman" w:hAnsi="Times New Roman"/>
          <w:sz w:val="24"/>
          <w:szCs w:val="24"/>
        </w:rPr>
        <w:t>-</w:t>
      </w:r>
      <w:r w:rsidR="00674513">
        <w:rPr>
          <w:rFonts w:ascii="Times New Roman" w:hAnsi="Times New Roman"/>
          <w:sz w:val="24"/>
          <w:szCs w:val="24"/>
        </w:rPr>
        <w:t>back provisions have been removed as part of previous reforms and there are no remaining provisions that spread</w:t>
      </w:r>
      <w:r w:rsidR="00750D2A">
        <w:rPr>
          <w:rFonts w:ascii="Times New Roman" w:hAnsi="Times New Roman"/>
          <w:sz w:val="24"/>
          <w:szCs w:val="24"/>
        </w:rPr>
        <w:t>-</w:t>
      </w:r>
      <w:r w:rsidR="00674513">
        <w:rPr>
          <w:rFonts w:ascii="Times New Roman" w:hAnsi="Times New Roman"/>
          <w:sz w:val="24"/>
          <w:szCs w:val="24"/>
        </w:rPr>
        <w:t xml:space="preserve">back expenditure equivalent to the petroleum decommissioning rules.  </w:t>
      </w:r>
    </w:p>
    <w:p w:rsidR="00674513" w:rsidRDefault="00674513" w:rsidP="004E52EA">
      <w:pPr>
        <w:pStyle w:val="ListParagraph"/>
        <w:rPr>
          <w:rFonts w:ascii="Times New Roman" w:hAnsi="Times New Roman"/>
          <w:sz w:val="24"/>
          <w:szCs w:val="24"/>
        </w:rPr>
      </w:pPr>
    </w:p>
    <w:p w:rsidR="00C61038" w:rsidRDefault="00674513" w:rsidP="004E52EA">
      <w:pPr>
        <w:pStyle w:val="Bullet-list"/>
        <w:numPr>
          <w:ilvl w:val="0"/>
          <w:numId w:val="2"/>
        </w:numPr>
        <w:tabs>
          <w:tab w:val="clear" w:pos="720"/>
        </w:tabs>
        <w:spacing w:after="0" w:line="240" w:lineRule="auto"/>
        <w:ind w:left="0" w:firstLine="0"/>
        <w:jc w:val="both"/>
        <w:rPr>
          <w:rFonts w:ascii="Times New Roman" w:hAnsi="Times New Roman"/>
          <w:sz w:val="24"/>
          <w:szCs w:val="24"/>
        </w:rPr>
      </w:pPr>
      <w:r w:rsidRPr="00674513">
        <w:rPr>
          <w:rFonts w:ascii="Times New Roman" w:hAnsi="Times New Roman"/>
          <w:sz w:val="24"/>
          <w:szCs w:val="24"/>
        </w:rPr>
        <w:t xml:space="preserve">Officials view </w:t>
      </w:r>
      <w:r w:rsidR="00824BEA">
        <w:rPr>
          <w:rFonts w:ascii="Times New Roman" w:hAnsi="Times New Roman"/>
          <w:sz w:val="24"/>
          <w:szCs w:val="24"/>
        </w:rPr>
        <w:t>the need to amend the petroleum mining rules as an opportunity to modernise the decommissioning rules in a manner that is broadly consistent with existing policy but reduces compliance and administration costs.</w:t>
      </w:r>
    </w:p>
    <w:p w:rsidR="00C61038" w:rsidRDefault="00C61038" w:rsidP="004E52EA">
      <w:pPr>
        <w:pStyle w:val="Bullet-list"/>
        <w:spacing w:after="0" w:line="240" w:lineRule="auto"/>
        <w:ind w:left="0" w:firstLine="0"/>
        <w:jc w:val="both"/>
        <w:rPr>
          <w:rFonts w:ascii="Times New Roman" w:hAnsi="Times New Roman"/>
          <w:sz w:val="24"/>
          <w:szCs w:val="24"/>
          <w:lang w:val="en-NZ"/>
        </w:rPr>
      </w:pPr>
    </w:p>
    <w:p w:rsidR="00824BEA" w:rsidRPr="00824BEA" w:rsidRDefault="00824BEA" w:rsidP="004E52EA">
      <w:pPr>
        <w:pStyle w:val="Bullet-list"/>
        <w:spacing w:after="0" w:line="240" w:lineRule="auto"/>
        <w:ind w:left="0" w:firstLine="0"/>
        <w:jc w:val="both"/>
        <w:rPr>
          <w:rFonts w:ascii="Times New Roman" w:hAnsi="Times New Roman"/>
          <w:b/>
          <w:sz w:val="24"/>
          <w:szCs w:val="24"/>
        </w:rPr>
      </w:pPr>
      <w:r w:rsidRPr="00824BEA">
        <w:rPr>
          <w:rFonts w:ascii="Times New Roman" w:hAnsi="Times New Roman"/>
          <w:b/>
          <w:sz w:val="24"/>
          <w:szCs w:val="24"/>
        </w:rPr>
        <w:t>Scale of the problem</w:t>
      </w:r>
    </w:p>
    <w:p w:rsidR="00824BEA" w:rsidRDefault="00824BEA" w:rsidP="004E52EA">
      <w:pPr>
        <w:pStyle w:val="ListParagraph"/>
        <w:rPr>
          <w:rFonts w:ascii="Times New Roman" w:hAnsi="Times New Roman"/>
          <w:sz w:val="24"/>
          <w:szCs w:val="24"/>
        </w:rPr>
      </w:pPr>
    </w:p>
    <w:p w:rsidR="00824BEA" w:rsidRDefault="00917216" w:rsidP="004E52EA">
      <w:pPr>
        <w:pStyle w:val="Bullet-lis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As noted above, t</w:t>
      </w:r>
      <w:r w:rsidR="00824BEA">
        <w:rPr>
          <w:rFonts w:ascii="Times New Roman" w:hAnsi="Times New Roman"/>
          <w:sz w:val="24"/>
          <w:szCs w:val="24"/>
        </w:rPr>
        <w:t>he petroleum mining rules apply to both offshore and onshore</w:t>
      </w:r>
      <w:r w:rsidR="00013708">
        <w:rPr>
          <w:rFonts w:ascii="Times New Roman" w:hAnsi="Times New Roman"/>
          <w:sz w:val="24"/>
          <w:szCs w:val="24"/>
        </w:rPr>
        <w:t xml:space="preserve"> installations</w:t>
      </w:r>
      <w:r w:rsidR="00824BEA">
        <w:rPr>
          <w:rFonts w:ascii="Times New Roman" w:hAnsi="Times New Roman"/>
          <w:sz w:val="24"/>
          <w:szCs w:val="24"/>
        </w:rPr>
        <w:t xml:space="preserve">.  However, onshore </w:t>
      </w:r>
      <w:r w:rsidR="00013708">
        <w:rPr>
          <w:rFonts w:ascii="Times New Roman" w:hAnsi="Times New Roman"/>
          <w:sz w:val="24"/>
          <w:szCs w:val="24"/>
        </w:rPr>
        <w:t xml:space="preserve">installations </w:t>
      </w:r>
      <w:r w:rsidR="00824BEA">
        <w:rPr>
          <w:rFonts w:ascii="Times New Roman" w:hAnsi="Times New Roman"/>
          <w:sz w:val="24"/>
          <w:szCs w:val="24"/>
        </w:rPr>
        <w:t>can be decommissioned at a relatively low cost</w:t>
      </w:r>
      <w:r>
        <w:rPr>
          <w:rFonts w:ascii="Times New Roman" w:hAnsi="Times New Roman"/>
          <w:sz w:val="24"/>
          <w:szCs w:val="24"/>
        </w:rPr>
        <w:t xml:space="preserve"> and are typically operated by petroleum miners who have income from other sources</w:t>
      </w:r>
      <w:r w:rsidR="009B7CCC">
        <w:rPr>
          <w:rFonts w:ascii="Times New Roman" w:hAnsi="Times New Roman"/>
          <w:sz w:val="24"/>
          <w:szCs w:val="24"/>
        </w:rPr>
        <w:t>.</w:t>
      </w:r>
      <w:r w:rsidR="00824BEA">
        <w:rPr>
          <w:rFonts w:ascii="Times New Roman" w:hAnsi="Times New Roman"/>
          <w:sz w:val="24"/>
          <w:szCs w:val="24"/>
        </w:rPr>
        <w:t xml:space="preserve"> </w:t>
      </w:r>
      <w:r w:rsidR="009B7CCC">
        <w:rPr>
          <w:rFonts w:ascii="Times New Roman" w:hAnsi="Times New Roman"/>
          <w:sz w:val="24"/>
          <w:szCs w:val="24"/>
        </w:rPr>
        <w:t xml:space="preserve">Accordingly, </w:t>
      </w:r>
      <w:r w:rsidR="00824BEA">
        <w:rPr>
          <w:rFonts w:ascii="Times New Roman" w:hAnsi="Times New Roman"/>
          <w:sz w:val="24"/>
          <w:szCs w:val="24"/>
        </w:rPr>
        <w:t>the decommissioning rules</w:t>
      </w:r>
      <w:r>
        <w:rPr>
          <w:rFonts w:ascii="Times New Roman" w:hAnsi="Times New Roman"/>
          <w:sz w:val="24"/>
          <w:szCs w:val="24"/>
        </w:rPr>
        <w:t>, and any problems associated with them, typically</w:t>
      </w:r>
      <w:r w:rsidR="00824BEA">
        <w:rPr>
          <w:rFonts w:ascii="Times New Roman" w:hAnsi="Times New Roman"/>
          <w:sz w:val="24"/>
          <w:szCs w:val="24"/>
        </w:rPr>
        <w:t xml:space="preserve"> only apply </w:t>
      </w:r>
      <w:r>
        <w:rPr>
          <w:rFonts w:ascii="Times New Roman" w:hAnsi="Times New Roman"/>
          <w:sz w:val="24"/>
          <w:szCs w:val="24"/>
        </w:rPr>
        <w:t>in</w:t>
      </w:r>
      <w:r w:rsidR="00824BEA">
        <w:rPr>
          <w:rFonts w:ascii="Times New Roman" w:hAnsi="Times New Roman"/>
          <w:sz w:val="24"/>
          <w:szCs w:val="24"/>
        </w:rPr>
        <w:t xml:space="preserve"> practice to offshore</w:t>
      </w:r>
      <w:r w:rsidR="00013708">
        <w:rPr>
          <w:rFonts w:ascii="Times New Roman" w:hAnsi="Times New Roman"/>
          <w:sz w:val="24"/>
          <w:szCs w:val="24"/>
        </w:rPr>
        <w:t xml:space="preserve"> installations</w:t>
      </w:r>
      <w:r w:rsidR="00824BEA">
        <w:rPr>
          <w:rFonts w:ascii="Times New Roman" w:hAnsi="Times New Roman"/>
          <w:sz w:val="24"/>
          <w:szCs w:val="24"/>
        </w:rPr>
        <w:t>.</w:t>
      </w:r>
    </w:p>
    <w:p w:rsidR="00824BEA" w:rsidRDefault="00824BEA" w:rsidP="004E52EA">
      <w:pPr>
        <w:pStyle w:val="Bullet-list"/>
        <w:spacing w:after="0" w:line="240" w:lineRule="auto"/>
        <w:ind w:left="0" w:firstLine="0"/>
        <w:jc w:val="both"/>
        <w:rPr>
          <w:rFonts w:ascii="Times New Roman" w:hAnsi="Times New Roman"/>
          <w:sz w:val="24"/>
          <w:szCs w:val="24"/>
        </w:rPr>
      </w:pPr>
    </w:p>
    <w:p w:rsidR="00BF7D2A" w:rsidRDefault="00824BEA" w:rsidP="004E52EA">
      <w:pPr>
        <w:pStyle w:val="Bullet-lis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Offshore installations in overseas jurisdictions normally cost between </w:t>
      </w:r>
      <w:r w:rsidR="00917216">
        <w:rPr>
          <w:rFonts w:ascii="Times New Roman" w:hAnsi="Times New Roman"/>
          <w:sz w:val="24"/>
          <w:szCs w:val="24"/>
        </w:rPr>
        <w:t>NZ</w:t>
      </w:r>
      <w:r>
        <w:rPr>
          <w:rFonts w:ascii="Times New Roman" w:hAnsi="Times New Roman"/>
          <w:sz w:val="24"/>
          <w:szCs w:val="24"/>
        </w:rPr>
        <w:t xml:space="preserve">$100 million and </w:t>
      </w:r>
      <w:r w:rsidR="00917216">
        <w:rPr>
          <w:rFonts w:ascii="Times New Roman" w:hAnsi="Times New Roman"/>
          <w:sz w:val="24"/>
          <w:szCs w:val="24"/>
        </w:rPr>
        <w:t>NZ</w:t>
      </w:r>
      <w:r>
        <w:rPr>
          <w:rFonts w:ascii="Times New Roman" w:hAnsi="Times New Roman"/>
          <w:sz w:val="24"/>
          <w:szCs w:val="24"/>
        </w:rPr>
        <w:t xml:space="preserve">$1 billion to decommission.  </w:t>
      </w:r>
      <w:r w:rsidR="00E34AA9">
        <w:rPr>
          <w:rFonts w:ascii="Times New Roman" w:hAnsi="Times New Roman"/>
          <w:sz w:val="24"/>
          <w:szCs w:val="24"/>
        </w:rPr>
        <w:t>The lower end of this range generally incorporates FPSO</w:t>
      </w:r>
      <w:r w:rsidR="00E34AA9" w:rsidRPr="0013053D">
        <w:rPr>
          <w:rStyle w:val="FootnoteReference"/>
          <w:rFonts w:ascii="Times New Roman" w:hAnsi="Times New Roman"/>
          <w:szCs w:val="24"/>
        </w:rPr>
        <w:footnoteReference w:id="8"/>
      </w:r>
      <w:r w:rsidR="00E34AA9">
        <w:rPr>
          <w:rFonts w:ascii="Times New Roman" w:hAnsi="Times New Roman"/>
          <w:sz w:val="24"/>
          <w:szCs w:val="24"/>
        </w:rPr>
        <w:t xml:space="preserve"> installations, through to smaller unmanned fixed platforms with larger manned fixed platforms at the higher end.  New Zealand has examples of all types.  </w:t>
      </w:r>
      <w:r w:rsidR="00064A64">
        <w:rPr>
          <w:rFonts w:ascii="Times New Roman" w:hAnsi="Times New Roman"/>
          <w:sz w:val="24"/>
          <w:szCs w:val="24"/>
        </w:rPr>
        <w:t>The number of offshore decommissioning projects in other jurisdictions has increased over the last decade; however, large scale decommissioning is not yet commonplace</w:t>
      </w:r>
      <w:r w:rsidR="00BF7D2A">
        <w:rPr>
          <w:rFonts w:ascii="Times New Roman" w:hAnsi="Times New Roman"/>
          <w:sz w:val="24"/>
          <w:szCs w:val="24"/>
        </w:rPr>
        <w:t>.</w:t>
      </w:r>
      <w:r w:rsidR="00064A64">
        <w:rPr>
          <w:rFonts w:ascii="Times New Roman" w:hAnsi="Times New Roman"/>
          <w:sz w:val="24"/>
          <w:szCs w:val="24"/>
        </w:rPr>
        <w:t xml:space="preserve">  Over the coming decade</w:t>
      </w:r>
      <w:r w:rsidR="004B27D5">
        <w:rPr>
          <w:rFonts w:ascii="Times New Roman" w:hAnsi="Times New Roman"/>
          <w:sz w:val="24"/>
          <w:szCs w:val="24"/>
        </w:rPr>
        <w:t>,</w:t>
      </w:r>
      <w:r w:rsidR="00064A64">
        <w:rPr>
          <w:rFonts w:ascii="Times New Roman" w:hAnsi="Times New Roman"/>
          <w:sz w:val="24"/>
          <w:szCs w:val="24"/>
        </w:rPr>
        <w:t xml:space="preserve"> more decommissioning projects are expected to commence, which will lead to improvements in best industry practice and will help refine estimates of what decommissioning costs can be expected</w:t>
      </w:r>
      <w:r w:rsidR="00AF08F0">
        <w:rPr>
          <w:rFonts w:ascii="Times New Roman" w:hAnsi="Times New Roman"/>
          <w:sz w:val="24"/>
          <w:szCs w:val="24"/>
        </w:rPr>
        <w:t>, with the possibility of</w:t>
      </w:r>
      <w:r w:rsidR="004B27D5">
        <w:rPr>
          <w:rFonts w:ascii="Times New Roman" w:hAnsi="Times New Roman"/>
          <w:sz w:val="24"/>
          <w:szCs w:val="24"/>
        </w:rPr>
        <w:t xml:space="preserve">  reduced costs</w:t>
      </w:r>
      <w:r w:rsidR="00064A64">
        <w:rPr>
          <w:rFonts w:ascii="Times New Roman" w:hAnsi="Times New Roman"/>
          <w:sz w:val="24"/>
          <w:szCs w:val="24"/>
        </w:rPr>
        <w:t>.</w:t>
      </w:r>
    </w:p>
    <w:p w:rsidR="00BF7D2A" w:rsidRDefault="00BF7D2A" w:rsidP="004E52EA">
      <w:pPr>
        <w:pStyle w:val="ListParagraph"/>
        <w:rPr>
          <w:rFonts w:ascii="Times New Roman" w:hAnsi="Times New Roman"/>
          <w:sz w:val="24"/>
          <w:szCs w:val="24"/>
        </w:rPr>
      </w:pPr>
    </w:p>
    <w:p w:rsidR="00824BEA" w:rsidRDefault="00824BEA" w:rsidP="004E52EA">
      <w:pPr>
        <w:pStyle w:val="Bullet-lis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Under current settings the Crown may be liable to pay up to 42 percent of </w:t>
      </w:r>
      <w:r w:rsidR="009B7CCC">
        <w:rPr>
          <w:rFonts w:ascii="Times New Roman" w:hAnsi="Times New Roman"/>
          <w:sz w:val="24"/>
          <w:szCs w:val="24"/>
        </w:rPr>
        <w:t xml:space="preserve">decommissioning </w:t>
      </w:r>
      <w:r>
        <w:rPr>
          <w:rFonts w:ascii="Times New Roman" w:hAnsi="Times New Roman"/>
          <w:sz w:val="24"/>
          <w:szCs w:val="24"/>
        </w:rPr>
        <w:t xml:space="preserve">costs as tax and royalty rebates to operators.  </w:t>
      </w:r>
      <w:r w:rsidR="00BB521A">
        <w:rPr>
          <w:rFonts w:ascii="Times New Roman" w:hAnsi="Times New Roman"/>
          <w:sz w:val="24"/>
          <w:szCs w:val="24"/>
        </w:rPr>
        <w:t>The four year limitation does not arise for royalties which are handled through the Ministry of Business, Innovation and Employment.  T</w:t>
      </w:r>
      <w:r>
        <w:rPr>
          <w:rFonts w:ascii="Times New Roman" w:hAnsi="Times New Roman"/>
          <w:sz w:val="24"/>
          <w:szCs w:val="24"/>
        </w:rPr>
        <w:t>his RIS only considers the tax consequences of decommissioning</w:t>
      </w:r>
      <w:r w:rsidR="004B27D5">
        <w:rPr>
          <w:rFonts w:ascii="Times New Roman" w:hAnsi="Times New Roman"/>
          <w:sz w:val="24"/>
          <w:szCs w:val="24"/>
        </w:rPr>
        <w:t>,</w:t>
      </w:r>
      <w:r>
        <w:rPr>
          <w:rFonts w:ascii="Times New Roman" w:hAnsi="Times New Roman"/>
          <w:sz w:val="24"/>
          <w:szCs w:val="24"/>
        </w:rPr>
        <w:t xml:space="preserve"> which are limited to the tax rate applying to the petroleum miner which for all current petroleum miners is the company tax rate of 28 percent.</w:t>
      </w:r>
      <w:r w:rsidR="002F69E9">
        <w:rPr>
          <w:rFonts w:ascii="Times New Roman" w:hAnsi="Times New Roman"/>
          <w:sz w:val="24"/>
          <w:szCs w:val="24"/>
        </w:rPr>
        <w:t xml:space="preserve">  As the spread-back (and the refundable credit in option 3) are linked to the petroleum miners</w:t>
      </w:r>
      <w:r w:rsidR="00320DB5">
        <w:rPr>
          <w:rFonts w:ascii="Times New Roman" w:hAnsi="Times New Roman"/>
          <w:sz w:val="24"/>
          <w:szCs w:val="24"/>
        </w:rPr>
        <w:t>’</w:t>
      </w:r>
      <w:r w:rsidR="002F69E9">
        <w:rPr>
          <w:rFonts w:ascii="Times New Roman" w:hAnsi="Times New Roman"/>
          <w:sz w:val="24"/>
          <w:szCs w:val="24"/>
        </w:rPr>
        <w:t xml:space="preserve"> tax rate an</w:t>
      </w:r>
      <w:r w:rsidR="00BB521A">
        <w:rPr>
          <w:rFonts w:ascii="Times New Roman" w:hAnsi="Times New Roman"/>
          <w:sz w:val="24"/>
          <w:szCs w:val="24"/>
        </w:rPr>
        <w:t>y</w:t>
      </w:r>
      <w:r w:rsidR="002F69E9">
        <w:rPr>
          <w:rFonts w:ascii="Times New Roman" w:hAnsi="Times New Roman"/>
          <w:sz w:val="24"/>
          <w:szCs w:val="24"/>
        </w:rPr>
        <w:t xml:space="preserve"> future increases or decreases in the corporate tax rate would result in the same </w:t>
      </w:r>
      <w:r w:rsidR="00BB521A">
        <w:rPr>
          <w:rFonts w:ascii="Times New Roman" w:hAnsi="Times New Roman"/>
          <w:sz w:val="24"/>
          <w:szCs w:val="24"/>
        </w:rPr>
        <w:t xml:space="preserve">change in the </w:t>
      </w:r>
      <w:r w:rsidR="00485AA9">
        <w:rPr>
          <w:rFonts w:ascii="Times New Roman" w:hAnsi="Times New Roman"/>
          <w:sz w:val="24"/>
          <w:szCs w:val="24"/>
        </w:rPr>
        <w:t xml:space="preserve">tax </w:t>
      </w:r>
      <w:r w:rsidR="00BB521A">
        <w:rPr>
          <w:rFonts w:ascii="Times New Roman" w:hAnsi="Times New Roman"/>
          <w:sz w:val="24"/>
          <w:szCs w:val="24"/>
        </w:rPr>
        <w:t>cost</w:t>
      </w:r>
      <w:r w:rsidR="00485AA9">
        <w:rPr>
          <w:rFonts w:ascii="Times New Roman" w:hAnsi="Times New Roman"/>
          <w:sz w:val="24"/>
          <w:szCs w:val="24"/>
        </w:rPr>
        <w:t xml:space="preserve"> to the Crown</w:t>
      </w:r>
      <w:r w:rsidR="00BB521A">
        <w:rPr>
          <w:rFonts w:ascii="Times New Roman" w:hAnsi="Times New Roman"/>
          <w:sz w:val="24"/>
          <w:szCs w:val="24"/>
        </w:rPr>
        <w:t xml:space="preserve"> of decommissioning.</w:t>
      </w:r>
    </w:p>
    <w:p w:rsidR="00824BEA" w:rsidRDefault="00824BEA" w:rsidP="004E52EA">
      <w:pPr>
        <w:pStyle w:val="ListParagraph"/>
        <w:rPr>
          <w:rFonts w:ascii="Times New Roman" w:hAnsi="Times New Roman"/>
          <w:sz w:val="24"/>
          <w:szCs w:val="24"/>
        </w:rPr>
      </w:pPr>
    </w:p>
    <w:p w:rsidR="00824BEA" w:rsidRDefault="00BF7D2A" w:rsidP="005D0807">
      <w:pPr>
        <w:pStyle w:val="Bullet-list"/>
        <w:numPr>
          <w:ilvl w:val="0"/>
          <w:numId w:val="2"/>
        </w:numPr>
        <w:tabs>
          <w:tab w:val="clear" w:pos="720"/>
        </w:tabs>
        <w:spacing w:line="240" w:lineRule="auto"/>
        <w:ind w:left="0" w:firstLine="0"/>
        <w:jc w:val="both"/>
        <w:rPr>
          <w:rFonts w:ascii="Times New Roman" w:hAnsi="Times New Roman"/>
          <w:sz w:val="24"/>
          <w:szCs w:val="24"/>
        </w:rPr>
      </w:pPr>
      <w:bookmarkStart w:id="14" w:name="_Ref462218466"/>
      <w:r>
        <w:rPr>
          <w:rFonts w:ascii="Times New Roman" w:hAnsi="Times New Roman"/>
          <w:sz w:val="24"/>
          <w:szCs w:val="24"/>
        </w:rPr>
        <w:t xml:space="preserve">In addition to the size of the </w:t>
      </w:r>
      <w:r w:rsidR="00013708">
        <w:rPr>
          <w:rFonts w:ascii="Times New Roman" w:hAnsi="Times New Roman"/>
          <w:sz w:val="24"/>
          <w:szCs w:val="24"/>
        </w:rPr>
        <w:t>installation</w:t>
      </w:r>
      <w:r w:rsidR="00485AA9">
        <w:rPr>
          <w:rFonts w:ascii="Times New Roman" w:hAnsi="Times New Roman"/>
          <w:sz w:val="24"/>
          <w:szCs w:val="24"/>
        </w:rPr>
        <w:t>,</w:t>
      </w:r>
      <w:r>
        <w:rPr>
          <w:rFonts w:ascii="Times New Roman" w:hAnsi="Times New Roman"/>
          <w:sz w:val="24"/>
          <w:szCs w:val="24"/>
        </w:rPr>
        <w:t xml:space="preserve"> t</w:t>
      </w:r>
      <w:r w:rsidR="00824BEA">
        <w:rPr>
          <w:rFonts w:ascii="Times New Roman" w:hAnsi="Times New Roman"/>
          <w:sz w:val="24"/>
          <w:szCs w:val="24"/>
        </w:rPr>
        <w:t xml:space="preserve">wo </w:t>
      </w:r>
      <w:r>
        <w:rPr>
          <w:rFonts w:ascii="Times New Roman" w:hAnsi="Times New Roman"/>
          <w:sz w:val="24"/>
          <w:szCs w:val="24"/>
        </w:rPr>
        <w:t xml:space="preserve">other </w:t>
      </w:r>
      <w:r w:rsidR="00824BEA">
        <w:rPr>
          <w:rFonts w:ascii="Times New Roman" w:hAnsi="Times New Roman"/>
          <w:sz w:val="24"/>
          <w:szCs w:val="24"/>
        </w:rPr>
        <w:t>main factors influencing the cost of decommissioning are:</w:t>
      </w:r>
      <w:bookmarkEnd w:id="14"/>
      <w:r w:rsidR="00824BEA">
        <w:rPr>
          <w:rFonts w:ascii="Times New Roman" w:hAnsi="Times New Roman"/>
          <w:sz w:val="24"/>
          <w:szCs w:val="24"/>
        </w:rPr>
        <w:t xml:space="preserve"> </w:t>
      </w:r>
    </w:p>
    <w:p w:rsidR="00824BEA" w:rsidRDefault="00824BEA" w:rsidP="008A46F9">
      <w:pPr>
        <w:pStyle w:val="Bullet-list"/>
        <w:numPr>
          <w:ilvl w:val="0"/>
          <w:numId w:val="4"/>
        </w:numPr>
        <w:spacing w:line="240" w:lineRule="auto"/>
        <w:ind w:left="709" w:hanging="425"/>
        <w:jc w:val="both"/>
        <w:rPr>
          <w:rFonts w:ascii="Times New Roman" w:hAnsi="Times New Roman"/>
          <w:sz w:val="24"/>
          <w:szCs w:val="24"/>
        </w:rPr>
      </w:pPr>
      <w:r>
        <w:rPr>
          <w:rFonts w:ascii="Times New Roman" w:hAnsi="Times New Roman"/>
          <w:sz w:val="24"/>
          <w:szCs w:val="24"/>
        </w:rPr>
        <w:t xml:space="preserve">New Zealand’s distance from where decommissioning vehicles are typically located </w:t>
      </w:r>
      <w:r w:rsidR="002F69E9">
        <w:rPr>
          <w:rFonts w:ascii="Times New Roman" w:hAnsi="Times New Roman"/>
          <w:sz w:val="24"/>
          <w:szCs w:val="24"/>
        </w:rPr>
        <w:t xml:space="preserve">(often </w:t>
      </w:r>
      <w:r>
        <w:rPr>
          <w:rFonts w:ascii="Times New Roman" w:hAnsi="Times New Roman"/>
          <w:sz w:val="24"/>
          <w:szCs w:val="24"/>
        </w:rPr>
        <w:t xml:space="preserve">in </w:t>
      </w:r>
      <w:r w:rsidR="002F69E9">
        <w:rPr>
          <w:rFonts w:ascii="Times New Roman" w:hAnsi="Times New Roman"/>
          <w:sz w:val="24"/>
          <w:szCs w:val="24"/>
        </w:rPr>
        <w:t xml:space="preserve">Singapore or </w:t>
      </w:r>
      <w:r>
        <w:rPr>
          <w:rFonts w:ascii="Times New Roman" w:hAnsi="Times New Roman"/>
          <w:sz w:val="24"/>
          <w:szCs w:val="24"/>
        </w:rPr>
        <w:t>the North Sea</w:t>
      </w:r>
      <w:r w:rsidR="002F69E9">
        <w:rPr>
          <w:rFonts w:ascii="Times New Roman" w:hAnsi="Times New Roman"/>
          <w:sz w:val="24"/>
          <w:szCs w:val="24"/>
        </w:rPr>
        <w:t>)</w:t>
      </w:r>
      <w:r>
        <w:rPr>
          <w:rFonts w:ascii="Times New Roman" w:hAnsi="Times New Roman"/>
          <w:sz w:val="24"/>
          <w:szCs w:val="24"/>
        </w:rPr>
        <w:t xml:space="preserve"> which means mobilisation costs are higher than for other jurisdictions</w:t>
      </w:r>
      <w:r w:rsidR="00BF7D2A">
        <w:rPr>
          <w:rFonts w:ascii="Times New Roman" w:hAnsi="Times New Roman"/>
          <w:sz w:val="24"/>
          <w:szCs w:val="24"/>
        </w:rPr>
        <w:t>; and</w:t>
      </w:r>
    </w:p>
    <w:p w:rsidR="00BF7D2A" w:rsidRDefault="00485AA9" w:rsidP="008A46F9">
      <w:pPr>
        <w:pStyle w:val="Bullet-list"/>
        <w:numPr>
          <w:ilvl w:val="0"/>
          <w:numId w:val="4"/>
        </w:numPr>
        <w:spacing w:line="240" w:lineRule="auto"/>
        <w:ind w:left="709" w:hanging="425"/>
        <w:jc w:val="both"/>
        <w:rPr>
          <w:rFonts w:ascii="Times New Roman" w:hAnsi="Times New Roman"/>
          <w:sz w:val="24"/>
          <w:szCs w:val="24"/>
        </w:rPr>
      </w:pPr>
      <w:r>
        <w:rPr>
          <w:rFonts w:ascii="Times New Roman" w:hAnsi="Times New Roman"/>
          <w:sz w:val="24"/>
          <w:szCs w:val="24"/>
        </w:rPr>
        <w:t>t</w:t>
      </w:r>
      <w:r w:rsidR="00BF7D2A">
        <w:rPr>
          <w:rFonts w:ascii="Times New Roman" w:hAnsi="Times New Roman"/>
          <w:sz w:val="24"/>
          <w:szCs w:val="24"/>
        </w:rPr>
        <w:t>he age of the rig being decommissioned as older rigs were typically built with less planning towards eventual decommissioning</w:t>
      </w:r>
      <w:r w:rsidR="002F69E9" w:rsidRPr="002C7BB2">
        <w:rPr>
          <w:rStyle w:val="FootnoteReference"/>
          <w:rFonts w:ascii="Times New Roman" w:hAnsi="Times New Roman"/>
          <w:szCs w:val="24"/>
        </w:rPr>
        <w:footnoteReference w:id="9"/>
      </w:r>
      <w:r w:rsidR="00BF7D2A" w:rsidRPr="002C7BB2">
        <w:rPr>
          <w:rFonts w:ascii="Times New Roman" w:hAnsi="Times New Roman"/>
          <w:sz w:val="24"/>
          <w:szCs w:val="24"/>
        </w:rPr>
        <w:t>.</w:t>
      </w:r>
    </w:p>
    <w:p w:rsidR="00BF7D2A" w:rsidRPr="00674513" w:rsidRDefault="00BF7D2A" w:rsidP="004E52EA">
      <w:pPr>
        <w:pStyle w:val="Bullet-list"/>
        <w:spacing w:after="0" w:line="240" w:lineRule="auto"/>
        <w:jc w:val="both"/>
        <w:rPr>
          <w:rFonts w:ascii="Times New Roman" w:hAnsi="Times New Roman"/>
          <w:sz w:val="24"/>
          <w:szCs w:val="24"/>
        </w:rPr>
      </w:pPr>
    </w:p>
    <w:p w:rsidR="00A708C8" w:rsidRDefault="00BF7D2A" w:rsidP="004E52EA">
      <w:pPr>
        <w:pStyle w:val="ListParagraph"/>
        <w:numPr>
          <w:ilvl w:val="0"/>
          <w:numId w:val="2"/>
        </w:numPr>
        <w:tabs>
          <w:tab w:val="clear" w:pos="720"/>
        </w:tabs>
        <w:ind w:left="0" w:firstLine="0"/>
        <w:rPr>
          <w:rFonts w:ascii="Times New Roman" w:hAnsi="Times New Roman"/>
          <w:sz w:val="24"/>
          <w:szCs w:val="24"/>
        </w:rPr>
      </w:pPr>
      <w:r>
        <w:rPr>
          <w:rFonts w:ascii="Times New Roman" w:hAnsi="Times New Roman"/>
          <w:sz w:val="24"/>
          <w:szCs w:val="24"/>
        </w:rPr>
        <w:t>There are currently four offshore producing petroleum operations in New Zealand’s Exclusive Economic Zone and a fifth offshore operation in the territorial sea</w:t>
      </w:r>
      <w:r w:rsidR="00064A64" w:rsidRPr="0013053D">
        <w:rPr>
          <w:rStyle w:val="FootnoteReference"/>
          <w:rFonts w:ascii="Times New Roman" w:hAnsi="Times New Roman"/>
          <w:szCs w:val="24"/>
          <w:lang w:val="en-AU"/>
        </w:rPr>
        <w:footnoteReference w:id="10"/>
      </w:r>
      <w:r>
        <w:rPr>
          <w:rFonts w:ascii="Times New Roman" w:hAnsi="Times New Roman"/>
          <w:sz w:val="24"/>
          <w:szCs w:val="24"/>
        </w:rPr>
        <w:t xml:space="preserve">.  Decommissioning of </w:t>
      </w:r>
      <w:r w:rsidR="00064A64">
        <w:rPr>
          <w:rFonts w:ascii="Times New Roman" w:hAnsi="Times New Roman"/>
          <w:sz w:val="24"/>
          <w:szCs w:val="24"/>
        </w:rPr>
        <w:t>these</w:t>
      </w:r>
      <w:r>
        <w:rPr>
          <w:rFonts w:ascii="Times New Roman" w:hAnsi="Times New Roman"/>
          <w:sz w:val="24"/>
          <w:szCs w:val="24"/>
        </w:rPr>
        <w:t xml:space="preserve"> existing offshore installations has yet to occur, but the first offshore decommissioning project </w:t>
      </w:r>
      <w:r w:rsidR="005D0807">
        <w:rPr>
          <w:rFonts w:ascii="Times New Roman" w:hAnsi="Times New Roman"/>
          <w:sz w:val="24"/>
          <w:szCs w:val="24"/>
        </w:rPr>
        <w:t>could</w:t>
      </w:r>
      <w:r>
        <w:rPr>
          <w:rFonts w:ascii="Times New Roman" w:hAnsi="Times New Roman"/>
          <w:sz w:val="24"/>
          <w:szCs w:val="24"/>
        </w:rPr>
        <w:t xml:space="preserve"> </w:t>
      </w:r>
      <w:r w:rsidR="00280713">
        <w:rPr>
          <w:rFonts w:ascii="Times New Roman" w:hAnsi="Times New Roman"/>
          <w:sz w:val="24"/>
          <w:szCs w:val="24"/>
        </w:rPr>
        <w:t>commence</w:t>
      </w:r>
      <w:r>
        <w:rPr>
          <w:rFonts w:ascii="Times New Roman" w:hAnsi="Times New Roman"/>
          <w:sz w:val="24"/>
          <w:szCs w:val="24"/>
        </w:rPr>
        <w:t xml:space="preserve"> as early as 2018.</w:t>
      </w:r>
    </w:p>
    <w:p w:rsidR="00A708C8" w:rsidRDefault="00A708C8" w:rsidP="004E52EA">
      <w:pPr>
        <w:pStyle w:val="ListParagraph"/>
        <w:ind w:left="0"/>
        <w:rPr>
          <w:rFonts w:ascii="Times New Roman" w:hAnsi="Times New Roman"/>
          <w:sz w:val="24"/>
          <w:szCs w:val="24"/>
        </w:rPr>
      </w:pPr>
    </w:p>
    <w:p w:rsidR="00A708C8" w:rsidRPr="00A708C8" w:rsidRDefault="00A708C8" w:rsidP="004E52EA">
      <w:pPr>
        <w:pStyle w:val="ListParagraph"/>
        <w:numPr>
          <w:ilvl w:val="0"/>
          <w:numId w:val="2"/>
        </w:numPr>
        <w:tabs>
          <w:tab w:val="clear" w:pos="720"/>
        </w:tabs>
        <w:ind w:left="0" w:firstLine="0"/>
        <w:rPr>
          <w:rFonts w:ascii="Times New Roman" w:hAnsi="Times New Roman"/>
          <w:sz w:val="24"/>
          <w:szCs w:val="24"/>
        </w:rPr>
      </w:pPr>
      <w:r>
        <w:rPr>
          <w:rFonts w:ascii="Times New Roman" w:hAnsi="Times New Roman"/>
          <w:sz w:val="24"/>
          <w:szCs w:val="24"/>
        </w:rPr>
        <w:t>Although there are only five operations these are typically operated by joint ventures of several different taxpayers</w:t>
      </w:r>
      <w:r w:rsidR="00082485" w:rsidRPr="0013053D">
        <w:rPr>
          <w:rStyle w:val="FootnoteReference"/>
          <w:rFonts w:ascii="Times New Roman" w:hAnsi="Times New Roman"/>
          <w:szCs w:val="24"/>
          <w:lang w:val="en-AU"/>
        </w:rPr>
        <w:footnoteReference w:id="11"/>
      </w:r>
      <w:r>
        <w:rPr>
          <w:rFonts w:ascii="Times New Roman" w:hAnsi="Times New Roman"/>
          <w:sz w:val="24"/>
          <w:szCs w:val="24"/>
        </w:rPr>
        <w:t xml:space="preserve">, each of which would be affected by these proposals.  In addition </w:t>
      </w:r>
      <w:r w:rsidR="001E2F77">
        <w:rPr>
          <w:rFonts w:ascii="Times New Roman" w:hAnsi="Times New Roman"/>
          <w:sz w:val="24"/>
          <w:szCs w:val="24"/>
        </w:rPr>
        <w:t>further taxpayers are in the exploration phase or may enter the exploration phase in the future.  These petroleum miners may subsequently enter the production phase and eventually decommission.</w:t>
      </w:r>
    </w:p>
    <w:p w:rsidR="00064A64" w:rsidRDefault="00064A64" w:rsidP="004E52EA">
      <w:pPr>
        <w:pStyle w:val="ListParagraph"/>
        <w:ind w:left="0"/>
        <w:rPr>
          <w:rFonts w:ascii="Times New Roman" w:hAnsi="Times New Roman"/>
          <w:sz w:val="24"/>
          <w:szCs w:val="24"/>
        </w:rPr>
      </w:pPr>
    </w:p>
    <w:p w:rsidR="005D0807" w:rsidRPr="005D0807" w:rsidRDefault="005D0807" w:rsidP="005D0807">
      <w:pPr>
        <w:pStyle w:val="ListParagraph"/>
        <w:numPr>
          <w:ilvl w:val="0"/>
          <w:numId w:val="2"/>
        </w:numPr>
        <w:tabs>
          <w:tab w:val="clear" w:pos="720"/>
        </w:tabs>
        <w:ind w:left="0" w:firstLine="0"/>
        <w:rPr>
          <w:rFonts w:ascii="Times New Roman" w:hAnsi="Times New Roman"/>
          <w:sz w:val="24"/>
          <w:szCs w:val="24"/>
        </w:rPr>
      </w:pPr>
      <w:r w:rsidRPr="005D0807">
        <w:rPr>
          <w:rFonts w:ascii="Times New Roman" w:hAnsi="Times New Roman"/>
          <w:sz w:val="24"/>
          <w:szCs w:val="24"/>
        </w:rPr>
        <w:t>The most recent M</w:t>
      </w:r>
      <w:r>
        <w:rPr>
          <w:rFonts w:ascii="Times New Roman" w:hAnsi="Times New Roman"/>
          <w:sz w:val="24"/>
          <w:szCs w:val="24"/>
        </w:rPr>
        <w:t xml:space="preserve">inistry of </w:t>
      </w:r>
      <w:r w:rsidRPr="005D0807">
        <w:rPr>
          <w:rFonts w:ascii="Times New Roman" w:hAnsi="Times New Roman"/>
          <w:sz w:val="24"/>
          <w:szCs w:val="24"/>
        </w:rPr>
        <w:t>B</w:t>
      </w:r>
      <w:r>
        <w:rPr>
          <w:rFonts w:ascii="Times New Roman" w:hAnsi="Times New Roman"/>
          <w:sz w:val="24"/>
          <w:szCs w:val="24"/>
        </w:rPr>
        <w:t xml:space="preserve">usiness, </w:t>
      </w:r>
      <w:r w:rsidRPr="005D0807">
        <w:rPr>
          <w:rFonts w:ascii="Times New Roman" w:hAnsi="Times New Roman"/>
          <w:sz w:val="24"/>
          <w:szCs w:val="24"/>
        </w:rPr>
        <w:t>I</w:t>
      </w:r>
      <w:r>
        <w:rPr>
          <w:rFonts w:ascii="Times New Roman" w:hAnsi="Times New Roman"/>
          <w:sz w:val="24"/>
          <w:szCs w:val="24"/>
        </w:rPr>
        <w:t xml:space="preserve">nnovation and </w:t>
      </w:r>
      <w:r w:rsidRPr="005D0807">
        <w:rPr>
          <w:rFonts w:ascii="Times New Roman" w:hAnsi="Times New Roman"/>
          <w:sz w:val="24"/>
          <w:szCs w:val="24"/>
        </w:rPr>
        <w:t>E</w:t>
      </w:r>
      <w:r>
        <w:rPr>
          <w:rFonts w:ascii="Times New Roman" w:hAnsi="Times New Roman"/>
          <w:sz w:val="24"/>
          <w:szCs w:val="24"/>
        </w:rPr>
        <w:t>mployment</w:t>
      </w:r>
      <w:r w:rsidRPr="005D0807">
        <w:rPr>
          <w:rFonts w:ascii="Times New Roman" w:hAnsi="Times New Roman"/>
          <w:sz w:val="24"/>
          <w:szCs w:val="24"/>
        </w:rPr>
        <w:t xml:space="preserve"> estimate of the cost of decommissioning the existing offshore installations is $2,200 million between 2019 and 2046.  At a 28% tax rate the tax cost would be $616 million</w:t>
      </w:r>
      <w:r w:rsidRPr="0013053D">
        <w:rPr>
          <w:rStyle w:val="FootnoteReference"/>
          <w:rFonts w:ascii="Times New Roman" w:hAnsi="Times New Roman"/>
          <w:szCs w:val="24"/>
          <w:lang w:val="en-AU"/>
        </w:rPr>
        <w:footnoteReference w:id="12"/>
      </w:r>
      <w:r w:rsidRPr="005D0807">
        <w:rPr>
          <w:rFonts w:ascii="Times New Roman" w:hAnsi="Times New Roman"/>
          <w:sz w:val="24"/>
          <w:szCs w:val="24"/>
        </w:rPr>
        <w:t xml:space="preserve">.  These amounts are already refundable under the current law.  </w:t>
      </w:r>
    </w:p>
    <w:p w:rsidR="00145DF7" w:rsidRPr="00145DF7" w:rsidRDefault="00145DF7" w:rsidP="004E52EA">
      <w:pPr>
        <w:pStyle w:val="ListParagraph"/>
        <w:rPr>
          <w:rFonts w:ascii="Times New Roman" w:hAnsi="Times New Roman"/>
          <w:sz w:val="24"/>
          <w:szCs w:val="24"/>
        </w:rPr>
      </w:pPr>
    </w:p>
    <w:p w:rsidR="00145DF7" w:rsidRDefault="00E735C0" w:rsidP="005D0807">
      <w:pPr>
        <w:pStyle w:val="ListParagraph"/>
        <w:numPr>
          <w:ilvl w:val="0"/>
          <w:numId w:val="2"/>
        </w:numPr>
        <w:tabs>
          <w:tab w:val="clear" w:pos="720"/>
        </w:tabs>
        <w:spacing w:after="240"/>
        <w:ind w:left="0" w:firstLine="0"/>
        <w:rPr>
          <w:rFonts w:ascii="Times New Roman" w:hAnsi="Times New Roman"/>
          <w:sz w:val="24"/>
          <w:szCs w:val="24"/>
        </w:rPr>
      </w:pPr>
      <w:bookmarkStart w:id="15" w:name="_Ref463878495"/>
      <w:r>
        <w:rPr>
          <w:rFonts w:ascii="Times New Roman" w:hAnsi="Times New Roman"/>
          <w:sz w:val="24"/>
          <w:szCs w:val="24"/>
        </w:rPr>
        <w:t xml:space="preserve">The options in this RIS </w:t>
      </w:r>
      <w:r w:rsidR="005D0807">
        <w:rPr>
          <w:rFonts w:ascii="Times New Roman" w:hAnsi="Times New Roman"/>
          <w:sz w:val="24"/>
          <w:szCs w:val="24"/>
        </w:rPr>
        <w:t>would</w:t>
      </w:r>
      <w:r>
        <w:rPr>
          <w:rFonts w:ascii="Times New Roman" w:hAnsi="Times New Roman"/>
          <w:sz w:val="24"/>
          <w:szCs w:val="24"/>
        </w:rPr>
        <w:t xml:space="preserve"> not affect the cost of decommissioning or the deductibility of those costs.  The options </w:t>
      </w:r>
      <w:r w:rsidR="005D0807">
        <w:rPr>
          <w:rFonts w:ascii="Times New Roman" w:hAnsi="Times New Roman"/>
          <w:sz w:val="24"/>
          <w:szCs w:val="24"/>
        </w:rPr>
        <w:t>could</w:t>
      </w:r>
      <w:r>
        <w:rPr>
          <w:rFonts w:ascii="Times New Roman" w:hAnsi="Times New Roman"/>
          <w:sz w:val="24"/>
          <w:szCs w:val="24"/>
        </w:rPr>
        <w:t xml:space="preserve"> have a minor impact on timing of tax payments and refunds</w:t>
      </w:r>
      <w:r w:rsidR="001E2485">
        <w:rPr>
          <w:rFonts w:ascii="Times New Roman" w:hAnsi="Times New Roman"/>
          <w:sz w:val="24"/>
          <w:szCs w:val="24"/>
        </w:rPr>
        <w:t xml:space="preserve"> which </w:t>
      </w:r>
      <w:r w:rsidR="005D0807">
        <w:rPr>
          <w:rFonts w:ascii="Times New Roman" w:hAnsi="Times New Roman"/>
          <w:sz w:val="24"/>
          <w:szCs w:val="24"/>
        </w:rPr>
        <w:t>could</w:t>
      </w:r>
      <w:r w:rsidR="001E2485">
        <w:rPr>
          <w:rFonts w:ascii="Times New Roman" w:hAnsi="Times New Roman"/>
          <w:sz w:val="24"/>
          <w:szCs w:val="24"/>
        </w:rPr>
        <w:t xml:space="preserve"> have some behavioural impacts on production and</w:t>
      </w:r>
      <w:r w:rsidR="005D0807">
        <w:rPr>
          <w:rFonts w:ascii="Times New Roman" w:hAnsi="Times New Roman"/>
          <w:sz w:val="24"/>
          <w:szCs w:val="24"/>
        </w:rPr>
        <w:t>,</w:t>
      </w:r>
      <w:r w:rsidR="001E2485">
        <w:rPr>
          <w:rFonts w:ascii="Times New Roman" w:hAnsi="Times New Roman"/>
          <w:sz w:val="24"/>
          <w:szCs w:val="24"/>
        </w:rPr>
        <w:t xml:space="preserve"> therefore</w:t>
      </w:r>
      <w:r w:rsidR="005D0807">
        <w:rPr>
          <w:rFonts w:ascii="Times New Roman" w:hAnsi="Times New Roman"/>
          <w:sz w:val="24"/>
          <w:szCs w:val="24"/>
        </w:rPr>
        <w:t>,</w:t>
      </w:r>
      <w:r w:rsidR="001E2485">
        <w:rPr>
          <w:rFonts w:ascii="Times New Roman" w:hAnsi="Times New Roman"/>
          <w:sz w:val="24"/>
          <w:szCs w:val="24"/>
        </w:rPr>
        <w:t xml:space="preserve"> tax payments.  These </w:t>
      </w:r>
      <w:r w:rsidR="005D0807">
        <w:rPr>
          <w:rFonts w:ascii="Times New Roman" w:hAnsi="Times New Roman"/>
          <w:sz w:val="24"/>
          <w:szCs w:val="24"/>
        </w:rPr>
        <w:t xml:space="preserve">impacts </w:t>
      </w:r>
      <w:r w:rsidR="001E2485">
        <w:rPr>
          <w:rFonts w:ascii="Times New Roman" w:hAnsi="Times New Roman"/>
          <w:sz w:val="24"/>
          <w:szCs w:val="24"/>
        </w:rPr>
        <w:t>are difficult to quantify for the</w:t>
      </w:r>
      <w:r w:rsidR="00CD60E6">
        <w:rPr>
          <w:rFonts w:ascii="Times New Roman" w:hAnsi="Times New Roman"/>
          <w:sz w:val="24"/>
          <w:szCs w:val="24"/>
        </w:rPr>
        <w:t xml:space="preserve"> </w:t>
      </w:r>
      <w:r w:rsidR="001E2485">
        <w:rPr>
          <w:rFonts w:ascii="Times New Roman" w:hAnsi="Times New Roman"/>
          <w:sz w:val="24"/>
          <w:szCs w:val="24"/>
        </w:rPr>
        <w:t xml:space="preserve">reasons </w:t>
      </w:r>
      <w:r w:rsidR="005D0807">
        <w:rPr>
          <w:rFonts w:ascii="Times New Roman" w:hAnsi="Times New Roman"/>
          <w:sz w:val="24"/>
          <w:szCs w:val="24"/>
        </w:rPr>
        <w:t>provided below</w:t>
      </w:r>
      <w:r w:rsidR="00280713">
        <w:rPr>
          <w:rFonts w:ascii="Times New Roman" w:hAnsi="Times New Roman"/>
          <w:sz w:val="24"/>
          <w:szCs w:val="24"/>
        </w:rPr>
        <w:t>:</w:t>
      </w:r>
      <w:bookmarkEnd w:id="15"/>
    </w:p>
    <w:p w:rsidR="00280713" w:rsidRDefault="00280713" w:rsidP="008A46F9">
      <w:pPr>
        <w:pStyle w:val="Bullet-list"/>
        <w:numPr>
          <w:ilvl w:val="0"/>
          <w:numId w:val="12"/>
        </w:numPr>
        <w:tabs>
          <w:tab w:val="clear" w:pos="720"/>
        </w:tabs>
        <w:spacing w:after="240" w:line="240" w:lineRule="auto"/>
        <w:ind w:left="709" w:right="170" w:hanging="425"/>
        <w:jc w:val="both"/>
        <w:rPr>
          <w:rFonts w:ascii="Times New Roman" w:hAnsi="Times New Roman"/>
          <w:sz w:val="24"/>
          <w:szCs w:val="24"/>
        </w:rPr>
      </w:pPr>
      <w:r>
        <w:rPr>
          <w:rFonts w:ascii="Times New Roman" w:hAnsi="Times New Roman"/>
          <w:sz w:val="24"/>
          <w:szCs w:val="24"/>
        </w:rPr>
        <w:t>the regulatory standard for the level of decommissioning required, which is still being determined by the government;</w:t>
      </w:r>
    </w:p>
    <w:p w:rsidR="00280713" w:rsidRDefault="00280713" w:rsidP="008A46F9">
      <w:pPr>
        <w:pStyle w:val="Bullet-list"/>
        <w:numPr>
          <w:ilvl w:val="0"/>
          <w:numId w:val="12"/>
        </w:numPr>
        <w:tabs>
          <w:tab w:val="clear" w:pos="720"/>
        </w:tabs>
        <w:spacing w:after="240" w:line="240" w:lineRule="auto"/>
        <w:ind w:left="709" w:right="170" w:hanging="425"/>
        <w:jc w:val="both"/>
        <w:rPr>
          <w:rFonts w:ascii="Times New Roman" w:hAnsi="Times New Roman"/>
          <w:sz w:val="24"/>
          <w:szCs w:val="24"/>
        </w:rPr>
      </w:pPr>
      <w:r>
        <w:rPr>
          <w:rFonts w:ascii="Times New Roman" w:hAnsi="Times New Roman"/>
          <w:sz w:val="24"/>
          <w:szCs w:val="24"/>
        </w:rPr>
        <w:t>the timeframe for decommissioning of the various existing rigs which is currently estimated to occur between 2018 and 2046;</w:t>
      </w:r>
    </w:p>
    <w:p w:rsidR="00280713" w:rsidRDefault="00280713" w:rsidP="008A46F9">
      <w:pPr>
        <w:pStyle w:val="Bullet-list"/>
        <w:numPr>
          <w:ilvl w:val="0"/>
          <w:numId w:val="12"/>
        </w:numPr>
        <w:tabs>
          <w:tab w:val="clear" w:pos="720"/>
        </w:tabs>
        <w:spacing w:after="240" w:line="240" w:lineRule="auto"/>
        <w:ind w:left="709" w:right="170" w:hanging="425"/>
        <w:jc w:val="both"/>
        <w:rPr>
          <w:rFonts w:ascii="Times New Roman" w:hAnsi="Times New Roman"/>
          <w:sz w:val="24"/>
          <w:szCs w:val="24"/>
        </w:rPr>
      </w:pPr>
      <w:r>
        <w:rPr>
          <w:rFonts w:ascii="Times New Roman" w:hAnsi="Times New Roman"/>
          <w:sz w:val="24"/>
          <w:szCs w:val="24"/>
        </w:rPr>
        <w:t>any new exploration discoveries or changes in technology that extend field life;</w:t>
      </w:r>
    </w:p>
    <w:p w:rsidR="00280713" w:rsidRDefault="00280713" w:rsidP="008A46F9">
      <w:pPr>
        <w:pStyle w:val="Bullet-list"/>
        <w:numPr>
          <w:ilvl w:val="0"/>
          <w:numId w:val="12"/>
        </w:numPr>
        <w:tabs>
          <w:tab w:val="clear" w:pos="720"/>
        </w:tabs>
        <w:spacing w:after="240" w:line="240" w:lineRule="auto"/>
        <w:ind w:left="709" w:right="170" w:hanging="425"/>
        <w:jc w:val="both"/>
        <w:rPr>
          <w:rFonts w:ascii="Times New Roman" w:hAnsi="Times New Roman"/>
          <w:sz w:val="24"/>
          <w:szCs w:val="24"/>
        </w:rPr>
      </w:pPr>
      <w:r>
        <w:rPr>
          <w:rFonts w:ascii="Times New Roman" w:hAnsi="Times New Roman"/>
          <w:sz w:val="24"/>
          <w:szCs w:val="24"/>
        </w:rPr>
        <w:t>estimates of decommissioning costs including how this changes over time because of better information, changes in technology and environmental regulations; and</w:t>
      </w:r>
    </w:p>
    <w:p w:rsidR="00280713" w:rsidRPr="00FE1315" w:rsidRDefault="00280713" w:rsidP="008A46F9">
      <w:pPr>
        <w:pStyle w:val="Bullet-list"/>
        <w:numPr>
          <w:ilvl w:val="0"/>
          <w:numId w:val="12"/>
        </w:numPr>
        <w:tabs>
          <w:tab w:val="clear" w:pos="720"/>
        </w:tabs>
        <w:spacing w:after="0" w:line="240" w:lineRule="auto"/>
        <w:ind w:left="709" w:right="170" w:hanging="425"/>
        <w:jc w:val="both"/>
        <w:rPr>
          <w:rFonts w:ascii="Times New Roman" w:hAnsi="Times New Roman"/>
          <w:sz w:val="24"/>
          <w:szCs w:val="24"/>
        </w:rPr>
      </w:pPr>
      <w:r>
        <w:rPr>
          <w:rFonts w:ascii="Times New Roman" w:hAnsi="Times New Roman"/>
          <w:sz w:val="24"/>
          <w:szCs w:val="24"/>
        </w:rPr>
        <w:t>changes in estimated oil and gas prices and the effect this has on economically recoverable reserves.</w:t>
      </w:r>
    </w:p>
    <w:p w:rsidR="005D0807" w:rsidRDefault="005D0807" w:rsidP="005D0807">
      <w:pPr>
        <w:pStyle w:val="RISheading"/>
        <w:spacing w:before="0" w:after="0"/>
        <w:jc w:val="both"/>
        <w:rPr>
          <w:spacing w:val="0"/>
          <w:w w:val="100"/>
        </w:rPr>
      </w:pPr>
      <w:bookmarkStart w:id="16" w:name="_Toc244580364"/>
      <w:bookmarkStart w:id="17" w:name="_Toc244587040"/>
      <w:bookmarkStart w:id="18" w:name="_Toc244857274"/>
      <w:bookmarkStart w:id="19" w:name="_Toc244912539"/>
      <w:bookmarkStart w:id="20" w:name="_Toc244916996"/>
    </w:p>
    <w:p w:rsidR="000545DC" w:rsidRPr="004342F0" w:rsidRDefault="00D943DD" w:rsidP="004E52EA">
      <w:pPr>
        <w:pStyle w:val="RISheading"/>
        <w:jc w:val="both"/>
        <w:rPr>
          <w:spacing w:val="0"/>
          <w:w w:val="100"/>
        </w:rPr>
      </w:pPr>
      <w:r w:rsidRPr="004342F0">
        <w:rPr>
          <w:spacing w:val="0"/>
          <w:w w:val="100"/>
        </w:rPr>
        <w:t>OBJECTIVES</w:t>
      </w:r>
      <w:bookmarkEnd w:id="16"/>
      <w:bookmarkEnd w:id="17"/>
      <w:bookmarkEnd w:id="18"/>
      <w:bookmarkEnd w:id="19"/>
      <w:bookmarkEnd w:id="20"/>
    </w:p>
    <w:p w:rsidR="00D934FF" w:rsidRDefault="00E735C0"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b/>
          <w:sz w:val="24"/>
          <w:szCs w:val="24"/>
        </w:rPr>
        <w:t>main objective</w:t>
      </w:r>
      <w:r>
        <w:rPr>
          <w:rFonts w:ascii="Times New Roman" w:hAnsi="Times New Roman"/>
          <w:sz w:val="24"/>
          <w:szCs w:val="24"/>
        </w:rPr>
        <w:t xml:space="preserve"> is to </w:t>
      </w:r>
      <w:r w:rsidR="00280713">
        <w:rPr>
          <w:rFonts w:ascii="Times New Roman" w:hAnsi="Times New Roman"/>
          <w:sz w:val="24"/>
          <w:szCs w:val="24"/>
        </w:rPr>
        <w:t>modern</w:t>
      </w:r>
      <w:r w:rsidR="005D0807">
        <w:rPr>
          <w:rFonts w:ascii="Times New Roman" w:hAnsi="Times New Roman"/>
          <w:sz w:val="24"/>
          <w:szCs w:val="24"/>
        </w:rPr>
        <w:t>ise</w:t>
      </w:r>
      <w:r w:rsidR="00280713">
        <w:rPr>
          <w:rFonts w:ascii="Times New Roman" w:hAnsi="Times New Roman"/>
          <w:sz w:val="24"/>
          <w:szCs w:val="24"/>
        </w:rPr>
        <w:t xml:space="preserve"> the</w:t>
      </w:r>
      <w:r w:rsidR="00FB52C8">
        <w:rPr>
          <w:rFonts w:ascii="Times New Roman" w:hAnsi="Times New Roman"/>
          <w:sz w:val="24"/>
          <w:szCs w:val="24"/>
        </w:rPr>
        <w:t xml:space="preserve"> </w:t>
      </w:r>
      <w:r>
        <w:rPr>
          <w:rFonts w:ascii="Times New Roman" w:hAnsi="Times New Roman"/>
          <w:sz w:val="24"/>
          <w:szCs w:val="24"/>
        </w:rPr>
        <w:t xml:space="preserve">tax rules that </w:t>
      </w:r>
      <w:r w:rsidR="00FB52C8">
        <w:rPr>
          <w:rFonts w:ascii="Times New Roman" w:hAnsi="Times New Roman"/>
          <w:sz w:val="24"/>
          <w:szCs w:val="24"/>
        </w:rPr>
        <w:t xml:space="preserve">apply to </w:t>
      </w:r>
      <w:r w:rsidR="00272416">
        <w:rPr>
          <w:rFonts w:ascii="Times New Roman" w:hAnsi="Times New Roman"/>
          <w:sz w:val="24"/>
          <w:szCs w:val="24"/>
        </w:rPr>
        <w:t>petroleum min</w:t>
      </w:r>
      <w:r w:rsidR="00076FB8">
        <w:rPr>
          <w:rFonts w:ascii="Times New Roman" w:hAnsi="Times New Roman"/>
          <w:sz w:val="24"/>
          <w:szCs w:val="24"/>
        </w:rPr>
        <w:t>ing decommissioning</w:t>
      </w:r>
      <w:r w:rsidR="00272416">
        <w:rPr>
          <w:rFonts w:ascii="Times New Roman" w:hAnsi="Times New Roman"/>
          <w:sz w:val="24"/>
          <w:szCs w:val="24"/>
        </w:rPr>
        <w:t>.</w:t>
      </w:r>
    </w:p>
    <w:p w:rsidR="00272416" w:rsidRDefault="00272416" w:rsidP="004E52EA">
      <w:pPr>
        <w:pStyle w:val="Bullet-list"/>
        <w:spacing w:after="0" w:line="240" w:lineRule="auto"/>
        <w:ind w:left="0" w:firstLine="0"/>
        <w:jc w:val="both"/>
        <w:rPr>
          <w:rFonts w:ascii="Times New Roman" w:hAnsi="Times New Roman"/>
          <w:sz w:val="24"/>
          <w:szCs w:val="24"/>
        </w:rPr>
      </w:pPr>
    </w:p>
    <w:p w:rsidR="00272416" w:rsidRDefault="00272416"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All options are assessed against </w:t>
      </w:r>
      <w:r w:rsidR="001E2485">
        <w:rPr>
          <w:rFonts w:ascii="Times New Roman" w:hAnsi="Times New Roman"/>
          <w:sz w:val="24"/>
          <w:szCs w:val="24"/>
        </w:rPr>
        <w:t>the</w:t>
      </w:r>
      <w:r>
        <w:rPr>
          <w:rFonts w:ascii="Times New Roman" w:hAnsi="Times New Roman"/>
          <w:sz w:val="24"/>
          <w:szCs w:val="24"/>
        </w:rPr>
        <w:t xml:space="preserve"> status quo in relation to the main objective and the following criteria:</w:t>
      </w:r>
    </w:p>
    <w:p w:rsidR="00272416" w:rsidRDefault="00272416" w:rsidP="004E52EA">
      <w:pPr>
        <w:pStyle w:val="ListParagraph"/>
        <w:rPr>
          <w:rFonts w:ascii="Times New Roman" w:hAnsi="Times New Roman"/>
          <w:sz w:val="24"/>
          <w:szCs w:val="24"/>
        </w:rPr>
      </w:pPr>
    </w:p>
    <w:p w:rsidR="0080272A" w:rsidRPr="0080272A" w:rsidRDefault="0080272A" w:rsidP="004E52EA">
      <w:pPr>
        <w:pStyle w:val="Bullet-list"/>
        <w:numPr>
          <w:ilvl w:val="0"/>
          <w:numId w:val="5"/>
        </w:numPr>
        <w:spacing w:after="0" w:line="240" w:lineRule="auto"/>
        <w:jc w:val="both"/>
        <w:rPr>
          <w:rFonts w:ascii="Times New Roman" w:hAnsi="Times New Roman"/>
          <w:sz w:val="24"/>
          <w:szCs w:val="24"/>
        </w:rPr>
      </w:pPr>
      <w:r w:rsidRPr="0080272A">
        <w:rPr>
          <w:rFonts w:ascii="Times New Roman" w:hAnsi="Times New Roman"/>
          <w:b/>
          <w:sz w:val="24"/>
          <w:szCs w:val="24"/>
        </w:rPr>
        <w:t>Neutrality:</w:t>
      </w:r>
      <w:r>
        <w:rPr>
          <w:rFonts w:ascii="Times New Roman" w:hAnsi="Times New Roman"/>
          <w:sz w:val="24"/>
          <w:szCs w:val="24"/>
        </w:rPr>
        <w:t xml:space="preserve">  the </w:t>
      </w:r>
      <w:r w:rsidR="001E2485">
        <w:rPr>
          <w:rFonts w:ascii="Times New Roman" w:hAnsi="Times New Roman"/>
          <w:sz w:val="24"/>
          <w:szCs w:val="24"/>
        </w:rPr>
        <w:t xml:space="preserve">tax </w:t>
      </w:r>
      <w:r>
        <w:rPr>
          <w:rFonts w:ascii="Times New Roman" w:hAnsi="Times New Roman"/>
          <w:sz w:val="24"/>
          <w:szCs w:val="24"/>
        </w:rPr>
        <w:t xml:space="preserve">rules should not influence </w:t>
      </w:r>
      <w:r w:rsidR="001E2485">
        <w:rPr>
          <w:rFonts w:ascii="Times New Roman" w:hAnsi="Times New Roman"/>
          <w:sz w:val="24"/>
          <w:szCs w:val="24"/>
        </w:rPr>
        <w:t>a</w:t>
      </w:r>
      <w:r>
        <w:rPr>
          <w:rFonts w:ascii="Times New Roman" w:hAnsi="Times New Roman"/>
          <w:sz w:val="24"/>
          <w:szCs w:val="24"/>
        </w:rPr>
        <w:t xml:space="preserve"> petroleum miner</w:t>
      </w:r>
      <w:r w:rsidR="001E2485">
        <w:rPr>
          <w:rFonts w:ascii="Times New Roman" w:hAnsi="Times New Roman"/>
          <w:sz w:val="24"/>
          <w:szCs w:val="24"/>
        </w:rPr>
        <w:t>’</w:t>
      </w:r>
      <w:r>
        <w:rPr>
          <w:rFonts w:ascii="Times New Roman" w:hAnsi="Times New Roman"/>
          <w:sz w:val="24"/>
          <w:szCs w:val="24"/>
        </w:rPr>
        <w:t xml:space="preserve">s decision about when to decommission </w:t>
      </w:r>
    </w:p>
    <w:p w:rsidR="00272416" w:rsidRDefault="00870D84" w:rsidP="004E52EA">
      <w:pPr>
        <w:pStyle w:val="Bullet-list"/>
        <w:numPr>
          <w:ilvl w:val="0"/>
          <w:numId w:val="5"/>
        </w:numPr>
        <w:spacing w:after="0" w:line="240" w:lineRule="auto"/>
        <w:jc w:val="both"/>
        <w:rPr>
          <w:rFonts w:ascii="Times New Roman" w:hAnsi="Times New Roman"/>
          <w:sz w:val="24"/>
          <w:szCs w:val="24"/>
        </w:rPr>
      </w:pPr>
      <w:r>
        <w:rPr>
          <w:rFonts w:ascii="Times New Roman" w:hAnsi="Times New Roman"/>
          <w:b/>
          <w:sz w:val="24"/>
          <w:szCs w:val="24"/>
        </w:rPr>
        <w:t>Fairness and equity:</w:t>
      </w:r>
      <w:r w:rsidR="00B54C33">
        <w:rPr>
          <w:rFonts w:ascii="Times New Roman" w:hAnsi="Times New Roman"/>
          <w:b/>
          <w:sz w:val="24"/>
          <w:szCs w:val="24"/>
        </w:rPr>
        <w:t xml:space="preserve">  </w:t>
      </w:r>
      <w:r w:rsidR="00B54C33">
        <w:rPr>
          <w:rFonts w:ascii="Times New Roman" w:hAnsi="Times New Roman"/>
          <w:sz w:val="24"/>
          <w:szCs w:val="24"/>
        </w:rPr>
        <w:t>the</w:t>
      </w:r>
      <w:r w:rsidR="007B4E2A">
        <w:rPr>
          <w:rFonts w:ascii="Times New Roman" w:hAnsi="Times New Roman"/>
          <w:sz w:val="24"/>
          <w:szCs w:val="24"/>
        </w:rPr>
        <w:t xml:space="preserve"> tax</w:t>
      </w:r>
      <w:r w:rsidR="00B54C33">
        <w:rPr>
          <w:rFonts w:ascii="Times New Roman" w:hAnsi="Times New Roman"/>
          <w:sz w:val="24"/>
          <w:szCs w:val="24"/>
        </w:rPr>
        <w:t xml:space="preserve"> rules should </w:t>
      </w:r>
      <w:r w:rsidR="0080272A">
        <w:rPr>
          <w:rFonts w:ascii="Times New Roman" w:hAnsi="Times New Roman"/>
          <w:sz w:val="24"/>
          <w:szCs w:val="24"/>
        </w:rPr>
        <w:t xml:space="preserve">reflect the income and expenditure profile of the </w:t>
      </w:r>
      <w:r w:rsidR="00B54C33">
        <w:rPr>
          <w:rFonts w:ascii="Times New Roman" w:hAnsi="Times New Roman"/>
          <w:sz w:val="24"/>
          <w:szCs w:val="24"/>
        </w:rPr>
        <w:t xml:space="preserve">petroleum mining industry </w:t>
      </w:r>
      <w:r w:rsidR="0080272A">
        <w:rPr>
          <w:rFonts w:ascii="Times New Roman" w:hAnsi="Times New Roman"/>
          <w:sz w:val="24"/>
          <w:szCs w:val="24"/>
        </w:rPr>
        <w:t>but should not otherwise provide a concession not available to other taxpayers</w:t>
      </w:r>
    </w:p>
    <w:p w:rsidR="00870D84" w:rsidRPr="004342F0" w:rsidRDefault="00870D84" w:rsidP="004E52EA">
      <w:pPr>
        <w:pStyle w:val="Bullet-list"/>
        <w:numPr>
          <w:ilvl w:val="0"/>
          <w:numId w:val="5"/>
        </w:numPr>
        <w:spacing w:after="0" w:line="240" w:lineRule="auto"/>
        <w:jc w:val="both"/>
        <w:rPr>
          <w:rFonts w:ascii="Times New Roman" w:hAnsi="Times New Roman"/>
          <w:sz w:val="24"/>
          <w:szCs w:val="24"/>
        </w:rPr>
      </w:pPr>
      <w:r>
        <w:rPr>
          <w:rFonts w:ascii="Times New Roman" w:hAnsi="Times New Roman"/>
          <w:b/>
          <w:sz w:val="24"/>
          <w:szCs w:val="24"/>
        </w:rPr>
        <w:t>Efficiency of compliance and administration:</w:t>
      </w:r>
      <w:r w:rsidR="00B54C33">
        <w:rPr>
          <w:rFonts w:ascii="Times New Roman" w:hAnsi="Times New Roman"/>
          <w:b/>
          <w:sz w:val="24"/>
          <w:szCs w:val="24"/>
        </w:rPr>
        <w:t xml:space="preserve"> </w:t>
      </w:r>
      <w:r w:rsidR="00B54C33" w:rsidRPr="00B54C33">
        <w:rPr>
          <w:rFonts w:ascii="Times New Roman" w:hAnsi="Times New Roman"/>
          <w:sz w:val="24"/>
          <w:szCs w:val="24"/>
        </w:rPr>
        <w:t>the impacts on taxpayers of compliance with the rules and administrative impacts on the government should be minimised as far as possible</w:t>
      </w:r>
    </w:p>
    <w:p w:rsidR="000545DC" w:rsidRDefault="000545DC" w:rsidP="004E52EA">
      <w:pPr>
        <w:pStyle w:val="spacer"/>
        <w:jc w:val="both"/>
        <w:rPr>
          <w:rFonts w:ascii="Times New Roman" w:hAnsi="Times New Roman"/>
          <w:sz w:val="24"/>
          <w:szCs w:val="24"/>
        </w:rPr>
      </w:pPr>
    </w:p>
    <w:p w:rsidR="003D6364" w:rsidRDefault="00CB1C9E" w:rsidP="004E52EA">
      <w:pPr>
        <w:pStyle w:val="spacer"/>
        <w:numPr>
          <w:ilvl w:val="0"/>
          <w:numId w:val="2"/>
        </w:numPr>
        <w:tabs>
          <w:tab w:val="clear" w:pos="720"/>
        </w:tabs>
        <w:ind w:left="0" w:firstLine="0"/>
        <w:jc w:val="both"/>
        <w:rPr>
          <w:rFonts w:ascii="Times New Roman" w:hAnsi="Times New Roman"/>
          <w:sz w:val="24"/>
          <w:szCs w:val="24"/>
        </w:rPr>
      </w:pPr>
      <w:r>
        <w:rPr>
          <w:rFonts w:ascii="Times New Roman" w:hAnsi="Times New Roman"/>
          <w:sz w:val="24"/>
          <w:szCs w:val="24"/>
        </w:rPr>
        <w:t xml:space="preserve">The neutrality and fairness and equity criteria are equally weighted as it is important that petroleum mining is not disincentivised by the tax system but it is equally important that the petroleum mining industry is not </w:t>
      </w:r>
      <w:r w:rsidR="001116E8">
        <w:rPr>
          <w:rFonts w:ascii="Times New Roman" w:hAnsi="Times New Roman"/>
          <w:sz w:val="24"/>
          <w:szCs w:val="24"/>
        </w:rPr>
        <w:t xml:space="preserve">provided with tax concessions that </w:t>
      </w:r>
      <w:r w:rsidR="007B4E2A">
        <w:rPr>
          <w:rFonts w:ascii="Times New Roman" w:hAnsi="Times New Roman"/>
          <w:sz w:val="24"/>
          <w:szCs w:val="24"/>
        </w:rPr>
        <w:t xml:space="preserve">create an </w:t>
      </w:r>
      <w:r w:rsidR="00076FB8">
        <w:rPr>
          <w:rFonts w:ascii="Times New Roman" w:hAnsi="Times New Roman"/>
          <w:sz w:val="24"/>
          <w:szCs w:val="24"/>
        </w:rPr>
        <w:t>advantage over</w:t>
      </w:r>
      <w:r w:rsidR="001116E8">
        <w:rPr>
          <w:rFonts w:ascii="Times New Roman" w:hAnsi="Times New Roman"/>
          <w:sz w:val="24"/>
          <w:szCs w:val="24"/>
        </w:rPr>
        <w:t xml:space="preserve"> other industries.</w:t>
      </w:r>
    </w:p>
    <w:p w:rsidR="003D6364" w:rsidRDefault="001116E8" w:rsidP="004E52EA">
      <w:pPr>
        <w:pStyle w:val="spacer"/>
        <w:jc w:val="both"/>
        <w:rPr>
          <w:rFonts w:ascii="Times New Roman" w:hAnsi="Times New Roman"/>
          <w:sz w:val="24"/>
          <w:szCs w:val="24"/>
        </w:rPr>
      </w:pPr>
      <w:r>
        <w:rPr>
          <w:rFonts w:ascii="Times New Roman" w:hAnsi="Times New Roman"/>
          <w:sz w:val="24"/>
          <w:szCs w:val="24"/>
        </w:rPr>
        <w:t xml:space="preserve">  </w:t>
      </w:r>
    </w:p>
    <w:p w:rsidR="00870D84" w:rsidRDefault="001116E8" w:rsidP="004E52EA">
      <w:pPr>
        <w:pStyle w:val="spacer"/>
        <w:numPr>
          <w:ilvl w:val="0"/>
          <w:numId w:val="2"/>
        </w:numPr>
        <w:tabs>
          <w:tab w:val="clear" w:pos="720"/>
        </w:tabs>
        <w:ind w:left="0" w:firstLine="0"/>
        <w:jc w:val="both"/>
        <w:rPr>
          <w:rFonts w:ascii="Times New Roman" w:hAnsi="Times New Roman"/>
          <w:sz w:val="24"/>
          <w:szCs w:val="24"/>
        </w:rPr>
      </w:pPr>
      <w:r>
        <w:rPr>
          <w:rFonts w:ascii="Times New Roman" w:hAnsi="Times New Roman"/>
          <w:sz w:val="24"/>
          <w:szCs w:val="24"/>
        </w:rPr>
        <w:t>While efficiency of compliance and administration is an important factor it is secondary to the other two criteria</w:t>
      </w:r>
      <w:r w:rsidR="003D6364">
        <w:rPr>
          <w:rFonts w:ascii="Times New Roman" w:hAnsi="Times New Roman"/>
          <w:sz w:val="24"/>
          <w:szCs w:val="24"/>
        </w:rPr>
        <w:t xml:space="preserve"> as the costs and any inefficiencies arising from them are smaller than inefficiencies arising from the first two </w:t>
      </w:r>
      <w:r w:rsidR="00280713">
        <w:rPr>
          <w:rFonts w:ascii="Times New Roman" w:hAnsi="Times New Roman"/>
          <w:sz w:val="24"/>
          <w:szCs w:val="24"/>
        </w:rPr>
        <w:t>criteria</w:t>
      </w:r>
      <w:r>
        <w:rPr>
          <w:rFonts w:ascii="Times New Roman" w:hAnsi="Times New Roman"/>
          <w:sz w:val="24"/>
          <w:szCs w:val="24"/>
        </w:rPr>
        <w:t>.</w:t>
      </w:r>
    </w:p>
    <w:p w:rsidR="0017102C" w:rsidRDefault="0017102C" w:rsidP="004E52EA">
      <w:pPr>
        <w:pStyle w:val="ListParagraph"/>
        <w:rPr>
          <w:rFonts w:ascii="Times New Roman" w:hAnsi="Times New Roman"/>
          <w:sz w:val="24"/>
          <w:szCs w:val="24"/>
        </w:rPr>
      </w:pPr>
    </w:p>
    <w:p w:rsidR="0017102C" w:rsidRPr="004342F0" w:rsidRDefault="0017102C" w:rsidP="004E52EA">
      <w:pPr>
        <w:pStyle w:val="spacer"/>
        <w:numPr>
          <w:ilvl w:val="0"/>
          <w:numId w:val="2"/>
        </w:numPr>
        <w:tabs>
          <w:tab w:val="clear" w:pos="720"/>
        </w:tabs>
        <w:ind w:left="0" w:firstLine="0"/>
        <w:jc w:val="both"/>
        <w:rPr>
          <w:rFonts w:ascii="Times New Roman" w:hAnsi="Times New Roman"/>
          <w:sz w:val="24"/>
          <w:szCs w:val="24"/>
        </w:rPr>
      </w:pPr>
      <w:r>
        <w:rPr>
          <w:rFonts w:ascii="Times New Roman" w:hAnsi="Times New Roman"/>
          <w:sz w:val="24"/>
          <w:szCs w:val="24"/>
        </w:rPr>
        <w:t>There are no relevant constraints to this analysis.</w:t>
      </w:r>
    </w:p>
    <w:p w:rsidR="00320A3C" w:rsidRPr="004342F0" w:rsidRDefault="00D943DD" w:rsidP="004E52EA">
      <w:pPr>
        <w:pStyle w:val="RISheading"/>
        <w:jc w:val="both"/>
        <w:rPr>
          <w:spacing w:val="0"/>
          <w:w w:val="100"/>
        </w:rPr>
      </w:pPr>
      <w:bookmarkStart w:id="21" w:name="_Toc244580365"/>
      <w:bookmarkStart w:id="22" w:name="_Toc244587041"/>
      <w:bookmarkStart w:id="23" w:name="_Toc244857275"/>
      <w:bookmarkStart w:id="24" w:name="_Toc244912540"/>
      <w:bookmarkStart w:id="25" w:name="_Toc244916997"/>
      <w:r w:rsidRPr="004342F0">
        <w:rPr>
          <w:spacing w:val="0"/>
          <w:w w:val="100"/>
        </w:rPr>
        <w:t>REGULATORY IMPACT ANALYSIS</w:t>
      </w:r>
      <w:bookmarkEnd w:id="21"/>
      <w:bookmarkEnd w:id="22"/>
      <w:bookmarkEnd w:id="23"/>
      <w:bookmarkEnd w:id="24"/>
      <w:bookmarkEnd w:id="25"/>
      <w:r w:rsidRPr="004342F0">
        <w:rPr>
          <w:spacing w:val="0"/>
          <w:w w:val="100"/>
        </w:rPr>
        <w:t xml:space="preserve"> </w:t>
      </w:r>
    </w:p>
    <w:p w:rsidR="00870D84" w:rsidRDefault="00870D84" w:rsidP="007B4E2A">
      <w:pPr>
        <w:pStyle w:val="CommentText"/>
        <w:numPr>
          <w:ilvl w:val="0"/>
          <w:numId w:val="2"/>
        </w:numPr>
        <w:tabs>
          <w:tab w:val="clear" w:pos="720"/>
        </w:tabs>
        <w:spacing w:line="240" w:lineRule="auto"/>
        <w:ind w:left="0" w:firstLine="0"/>
        <w:jc w:val="both"/>
        <w:rPr>
          <w:rFonts w:ascii="Times New Roman" w:hAnsi="Times New Roman"/>
          <w:sz w:val="24"/>
          <w:szCs w:val="24"/>
        </w:rPr>
      </w:pPr>
      <w:r>
        <w:rPr>
          <w:rFonts w:ascii="Times New Roman" w:hAnsi="Times New Roman"/>
          <w:sz w:val="24"/>
          <w:szCs w:val="24"/>
        </w:rPr>
        <w:t xml:space="preserve">Officials have identified </w:t>
      </w:r>
      <w:r w:rsidR="00B54C33">
        <w:rPr>
          <w:rFonts w:ascii="Times New Roman" w:hAnsi="Times New Roman"/>
          <w:sz w:val="24"/>
          <w:szCs w:val="24"/>
        </w:rPr>
        <w:t>f</w:t>
      </w:r>
      <w:r w:rsidR="000C7EF2">
        <w:rPr>
          <w:rFonts w:ascii="Times New Roman" w:hAnsi="Times New Roman"/>
          <w:sz w:val="24"/>
          <w:szCs w:val="24"/>
        </w:rPr>
        <w:t>ive</w:t>
      </w:r>
      <w:r w:rsidR="00B54C33">
        <w:rPr>
          <w:rFonts w:ascii="Times New Roman" w:hAnsi="Times New Roman"/>
          <w:sz w:val="24"/>
          <w:szCs w:val="24"/>
        </w:rPr>
        <w:t xml:space="preserve"> </w:t>
      </w:r>
      <w:r>
        <w:rPr>
          <w:rFonts w:ascii="Times New Roman" w:hAnsi="Times New Roman"/>
          <w:sz w:val="24"/>
          <w:szCs w:val="24"/>
        </w:rPr>
        <w:t>options to address the problem:</w:t>
      </w:r>
    </w:p>
    <w:p w:rsidR="00870D84" w:rsidRDefault="00870D84" w:rsidP="008A46F9">
      <w:pPr>
        <w:pStyle w:val="CommentText"/>
        <w:numPr>
          <w:ilvl w:val="0"/>
          <w:numId w:val="4"/>
        </w:numPr>
        <w:spacing w:line="240" w:lineRule="auto"/>
        <w:ind w:left="709" w:hanging="425"/>
        <w:jc w:val="both"/>
        <w:rPr>
          <w:rFonts w:ascii="Times New Roman" w:hAnsi="Times New Roman"/>
          <w:sz w:val="24"/>
          <w:szCs w:val="24"/>
        </w:rPr>
      </w:pPr>
      <w:r>
        <w:rPr>
          <w:rFonts w:ascii="Times New Roman" w:hAnsi="Times New Roman"/>
          <w:sz w:val="24"/>
          <w:szCs w:val="24"/>
        </w:rPr>
        <w:t>Option 1 –</w:t>
      </w:r>
      <w:r w:rsidR="0017102C">
        <w:rPr>
          <w:rFonts w:ascii="Times New Roman" w:hAnsi="Times New Roman"/>
          <w:sz w:val="24"/>
          <w:szCs w:val="24"/>
        </w:rPr>
        <w:t xml:space="preserve"> The </w:t>
      </w:r>
      <w:r>
        <w:rPr>
          <w:rFonts w:ascii="Times New Roman" w:hAnsi="Times New Roman"/>
          <w:sz w:val="24"/>
          <w:szCs w:val="24"/>
        </w:rPr>
        <w:t>status quo</w:t>
      </w:r>
    </w:p>
    <w:p w:rsidR="0017102C" w:rsidRDefault="0017102C" w:rsidP="008A46F9">
      <w:pPr>
        <w:pStyle w:val="CommentText"/>
        <w:numPr>
          <w:ilvl w:val="0"/>
          <w:numId w:val="4"/>
        </w:numPr>
        <w:spacing w:line="240" w:lineRule="auto"/>
        <w:ind w:left="709" w:hanging="425"/>
        <w:jc w:val="both"/>
        <w:rPr>
          <w:rFonts w:ascii="Times New Roman" w:hAnsi="Times New Roman"/>
          <w:sz w:val="24"/>
          <w:szCs w:val="24"/>
        </w:rPr>
      </w:pPr>
      <w:r>
        <w:rPr>
          <w:rFonts w:ascii="Times New Roman" w:hAnsi="Times New Roman"/>
          <w:sz w:val="24"/>
          <w:szCs w:val="24"/>
        </w:rPr>
        <w:t>Option 2 – Amendments to the spread-back</w:t>
      </w:r>
      <w:r w:rsidR="007B4E2A">
        <w:rPr>
          <w:rFonts w:ascii="Times New Roman" w:hAnsi="Times New Roman"/>
          <w:sz w:val="24"/>
          <w:szCs w:val="24"/>
        </w:rPr>
        <w:t xml:space="preserve"> provision</w:t>
      </w:r>
    </w:p>
    <w:p w:rsidR="00870D84" w:rsidRDefault="00870D84" w:rsidP="008A46F9">
      <w:pPr>
        <w:pStyle w:val="CommentText"/>
        <w:numPr>
          <w:ilvl w:val="0"/>
          <w:numId w:val="4"/>
        </w:numPr>
        <w:spacing w:line="240" w:lineRule="auto"/>
        <w:ind w:left="709" w:hanging="425"/>
        <w:jc w:val="both"/>
        <w:rPr>
          <w:rFonts w:ascii="Times New Roman" w:hAnsi="Times New Roman"/>
          <w:sz w:val="24"/>
          <w:szCs w:val="24"/>
        </w:rPr>
      </w:pPr>
      <w:r>
        <w:rPr>
          <w:rFonts w:ascii="Times New Roman" w:hAnsi="Times New Roman"/>
          <w:sz w:val="24"/>
          <w:szCs w:val="24"/>
        </w:rPr>
        <w:t xml:space="preserve">Option </w:t>
      </w:r>
      <w:r w:rsidR="0017102C">
        <w:rPr>
          <w:rFonts w:ascii="Times New Roman" w:hAnsi="Times New Roman"/>
          <w:sz w:val="24"/>
          <w:szCs w:val="24"/>
        </w:rPr>
        <w:t>3</w:t>
      </w:r>
      <w:r>
        <w:rPr>
          <w:rFonts w:ascii="Times New Roman" w:hAnsi="Times New Roman"/>
          <w:sz w:val="24"/>
          <w:szCs w:val="24"/>
        </w:rPr>
        <w:t xml:space="preserve"> – Introduce a refundable credit</w:t>
      </w:r>
    </w:p>
    <w:p w:rsidR="00870D84" w:rsidRDefault="00870D84" w:rsidP="008A46F9">
      <w:pPr>
        <w:pStyle w:val="CommentText"/>
        <w:numPr>
          <w:ilvl w:val="0"/>
          <w:numId w:val="4"/>
        </w:numPr>
        <w:spacing w:line="240" w:lineRule="auto"/>
        <w:ind w:left="709" w:hanging="425"/>
        <w:jc w:val="both"/>
        <w:rPr>
          <w:rFonts w:ascii="Times New Roman" w:hAnsi="Times New Roman"/>
          <w:sz w:val="24"/>
          <w:szCs w:val="24"/>
        </w:rPr>
      </w:pPr>
      <w:r>
        <w:rPr>
          <w:rFonts w:ascii="Times New Roman" w:hAnsi="Times New Roman"/>
          <w:sz w:val="24"/>
          <w:szCs w:val="24"/>
        </w:rPr>
        <w:t xml:space="preserve">Option </w:t>
      </w:r>
      <w:r w:rsidR="0017102C">
        <w:rPr>
          <w:rFonts w:ascii="Times New Roman" w:hAnsi="Times New Roman"/>
          <w:sz w:val="24"/>
          <w:szCs w:val="24"/>
        </w:rPr>
        <w:t>4</w:t>
      </w:r>
      <w:r>
        <w:rPr>
          <w:rFonts w:ascii="Times New Roman" w:hAnsi="Times New Roman"/>
          <w:sz w:val="24"/>
          <w:szCs w:val="24"/>
        </w:rPr>
        <w:t xml:space="preserve"> – Introduce an environmental restoration account</w:t>
      </w:r>
    </w:p>
    <w:p w:rsidR="00870D84" w:rsidRDefault="00870D84" w:rsidP="008A46F9">
      <w:pPr>
        <w:pStyle w:val="CommentText"/>
        <w:numPr>
          <w:ilvl w:val="0"/>
          <w:numId w:val="4"/>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Option </w:t>
      </w:r>
      <w:r w:rsidR="0017102C">
        <w:rPr>
          <w:rFonts w:ascii="Times New Roman" w:hAnsi="Times New Roman"/>
          <w:sz w:val="24"/>
          <w:szCs w:val="24"/>
        </w:rPr>
        <w:t>5</w:t>
      </w:r>
      <w:r>
        <w:rPr>
          <w:rFonts w:ascii="Times New Roman" w:hAnsi="Times New Roman"/>
          <w:sz w:val="24"/>
          <w:szCs w:val="24"/>
        </w:rPr>
        <w:t xml:space="preserve"> – Allow deductions for provisions</w:t>
      </w:r>
    </w:p>
    <w:p w:rsidR="00870D84" w:rsidRDefault="00870D84" w:rsidP="004E52EA">
      <w:pPr>
        <w:pStyle w:val="CommentText"/>
        <w:spacing w:after="0" w:line="240" w:lineRule="auto"/>
        <w:jc w:val="both"/>
        <w:rPr>
          <w:rFonts w:ascii="Times New Roman" w:hAnsi="Times New Roman"/>
          <w:sz w:val="24"/>
          <w:szCs w:val="24"/>
        </w:rPr>
      </w:pPr>
    </w:p>
    <w:p w:rsidR="00870D84" w:rsidRDefault="00870D84" w:rsidP="004E52EA">
      <w:pPr>
        <w:pStyle w:val="CommentTex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There are no social or cultural impacts associated with any of the identified options.</w:t>
      </w:r>
      <w:r w:rsidR="00115056">
        <w:rPr>
          <w:rFonts w:ascii="Times New Roman" w:hAnsi="Times New Roman"/>
          <w:sz w:val="24"/>
          <w:szCs w:val="24"/>
        </w:rPr>
        <w:t xml:space="preserve">  There may be an environmental impact from any </w:t>
      </w:r>
      <w:r w:rsidR="007B4E2A">
        <w:rPr>
          <w:rFonts w:ascii="Times New Roman" w:hAnsi="Times New Roman"/>
          <w:sz w:val="24"/>
          <w:szCs w:val="24"/>
        </w:rPr>
        <w:t xml:space="preserve">one </w:t>
      </w:r>
      <w:r w:rsidR="00115056">
        <w:rPr>
          <w:rFonts w:ascii="Times New Roman" w:hAnsi="Times New Roman"/>
          <w:sz w:val="24"/>
          <w:szCs w:val="24"/>
        </w:rPr>
        <w:t>of the options to the extent they create or remove incentives or disincentives for petroleum mining.</w:t>
      </w:r>
    </w:p>
    <w:p w:rsidR="0021535A" w:rsidRDefault="0021535A" w:rsidP="004E52EA">
      <w:pPr>
        <w:pStyle w:val="CommentText"/>
        <w:spacing w:after="0" w:line="240" w:lineRule="auto"/>
        <w:jc w:val="both"/>
        <w:rPr>
          <w:rFonts w:ascii="Times New Roman" w:hAnsi="Times New Roman"/>
          <w:sz w:val="24"/>
          <w:szCs w:val="24"/>
        </w:rPr>
      </w:pPr>
    </w:p>
    <w:p w:rsidR="0021535A" w:rsidRDefault="00F80F5F" w:rsidP="004E52EA">
      <w:pPr>
        <w:pStyle w:val="CommentTex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We consider that </w:t>
      </w:r>
      <w:r w:rsidR="0021535A">
        <w:rPr>
          <w:rFonts w:ascii="Times New Roman" w:hAnsi="Times New Roman"/>
          <w:sz w:val="24"/>
          <w:szCs w:val="24"/>
        </w:rPr>
        <w:t xml:space="preserve">the options </w:t>
      </w:r>
      <w:r>
        <w:rPr>
          <w:rFonts w:ascii="Times New Roman" w:hAnsi="Times New Roman"/>
          <w:sz w:val="24"/>
          <w:szCs w:val="24"/>
        </w:rPr>
        <w:t xml:space="preserve">would </w:t>
      </w:r>
      <w:r w:rsidR="0021535A">
        <w:rPr>
          <w:rFonts w:ascii="Times New Roman" w:hAnsi="Times New Roman"/>
          <w:sz w:val="24"/>
          <w:szCs w:val="24"/>
        </w:rPr>
        <w:t xml:space="preserve">have </w:t>
      </w:r>
      <w:r>
        <w:rPr>
          <w:rFonts w:ascii="Times New Roman" w:hAnsi="Times New Roman"/>
          <w:sz w:val="24"/>
          <w:szCs w:val="24"/>
        </w:rPr>
        <w:t>no</w:t>
      </w:r>
      <w:r w:rsidR="0021535A">
        <w:rPr>
          <w:rFonts w:ascii="Times New Roman" w:hAnsi="Times New Roman"/>
          <w:sz w:val="24"/>
          <w:szCs w:val="24"/>
        </w:rPr>
        <w:t xml:space="preserve"> material impact on fiscal costs or revenue.  </w:t>
      </w:r>
      <w:r w:rsidR="006918F7">
        <w:rPr>
          <w:rFonts w:ascii="Times New Roman" w:hAnsi="Times New Roman"/>
          <w:sz w:val="24"/>
          <w:szCs w:val="24"/>
        </w:rPr>
        <w:t>The options consider the timing of deductions and there w</w:t>
      </w:r>
      <w:r w:rsidR="004A6DE9">
        <w:rPr>
          <w:rFonts w:ascii="Times New Roman" w:hAnsi="Times New Roman"/>
          <w:sz w:val="24"/>
          <w:szCs w:val="24"/>
        </w:rPr>
        <w:t>ould</w:t>
      </w:r>
      <w:r w:rsidR="006918F7">
        <w:rPr>
          <w:rFonts w:ascii="Times New Roman" w:hAnsi="Times New Roman"/>
          <w:sz w:val="24"/>
          <w:szCs w:val="24"/>
        </w:rPr>
        <w:t xml:space="preserve"> be no change in the ultimate treatment of decommissioning expenditure – it </w:t>
      </w:r>
      <w:r>
        <w:rPr>
          <w:rFonts w:ascii="Times New Roman" w:hAnsi="Times New Roman"/>
          <w:sz w:val="24"/>
          <w:szCs w:val="24"/>
        </w:rPr>
        <w:t xml:space="preserve">would </w:t>
      </w:r>
      <w:r w:rsidR="006918F7">
        <w:rPr>
          <w:rFonts w:ascii="Times New Roman" w:hAnsi="Times New Roman"/>
          <w:sz w:val="24"/>
          <w:szCs w:val="24"/>
        </w:rPr>
        <w:t xml:space="preserve">continue to be deductible.  Options 1 to 3 </w:t>
      </w:r>
      <w:r>
        <w:rPr>
          <w:rFonts w:ascii="Times New Roman" w:hAnsi="Times New Roman"/>
          <w:sz w:val="24"/>
          <w:szCs w:val="24"/>
        </w:rPr>
        <w:t xml:space="preserve">would </w:t>
      </w:r>
      <w:r w:rsidR="006918F7">
        <w:rPr>
          <w:rFonts w:ascii="Times New Roman" w:hAnsi="Times New Roman"/>
          <w:sz w:val="24"/>
          <w:szCs w:val="24"/>
        </w:rPr>
        <w:t xml:space="preserve">allow a deduction at the end against income previously returned whereas options 4 and 5 </w:t>
      </w:r>
      <w:r>
        <w:rPr>
          <w:rFonts w:ascii="Times New Roman" w:hAnsi="Times New Roman"/>
          <w:sz w:val="24"/>
          <w:szCs w:val="24"/>
        </w:rPr>
        <w:t xml:space="preserve">would </w:t>
      </w:r>
      <w:r w:rsidR="006918F7">
        <w:rPr>
          <w:rFonts w:ascii="Times New Roman" w:hAnsi="Times New Roman"/>
          <w:sz w:val="24"/>
          <w:szCs w:val="24"/>
        </w:rPr>
        <w:t xml:space="preserve">allow the same deductions </w:t>
      </w:r>
      <w:r w:rsidR="007D0AF7">
        <w:rPr>
          <w:rFonts w:ascii="Times New Roman" w:hAnsi="Times New Roman"/>
          <w:sz w:val="24"/>
          <w:szCs w:val="24"/>
        </w:rPr>
        <w:t>(or at least a proxy for them via provisions) against income as it is returned.  Therefore, options 4 and 5 would have a higher fiscal cost than options 1 to 3</w:t>
      </w:r>
      <w:r>
        <w:rPr>
          <w:rFonts w:ascii="Times New Roman" w:hAnsi="Times New Roman"/>
          <w:sz w:val="24"/>
          <w:szCs w:val="24"/>
        </w:rPr>
        <w:t xml:space="preserve">. </w:t>
      </w:r>
      <w:r w:rsidR="007D0AF7">
        <w:rPr>
          <w:rFonts w:ascii="Times New Roman" w:hAnsi="Times New Roman"/>
          <w:sz w:val="24"/>
          <w:szCs w:val="24"/>
        </w:rPr>
        <w:t xml:space="preserve"> </w:t>
      </w:r>
      <w:r>
        <w:rPr>
          <w:rFonts w:ascii="Times New Roman" w:hAnsi="Times New Roman"/>
          <w:sz w:val="24"/>
          <w:szCs w:val="24"/>
        </w:rPr>
        <w:t>H</w:t>
      </w:r>
      <w:r w:rsidR="007D0AF7">
        <w:rPr>
          <w:rFonts w:ascii="Times New Roman" w:hAnsi="Times New Roman"/>
          <w:sz w:val="24"/>
          <w:szCs w:val="24"/>
        </w:rPr>
        <w:t xml:space="preserve">owever, it is difficult to </w:t>
      </w:r>
      <w:r>
        <w:rPr>
          <w:rFonts w:ascii="Times New Roman" w:hAnsi="Times New Roman"/>
          <w:sz w:val="24"/>
          <w:szCs w:val="24"/>
        </w:rPr>
        <w:t xml:space="preserve">estimate </w:t>
      </w:r>
      <w:r w:rsidR="007D0AF7">
        <w:rPr>
          <w:rFonts w:ascii="Times New Roman" w:hAnsi="Times New Roman"/>
          <w:sz w:val="24"/>
          <w:szCs w:val="24"/>
        </w:rPr>
        <w:t xml:space="preserve">the extent </w:t>
      </w:r>
      <w:r>
        <w:rPr>
          <w:rFonts w:ascii="Times New Roman" w:hAnsi="Times New Roman"/>
          <w:sz w:val="24"/>
          <w:szCs w:val="24"/>
        </w:rPr>
        <w:t xml:space="preserve">that </w:t>
      </w:r>
      <w:r w:rsidR="007D0AF7">
        <w:rPr>
          <w:rFonts w:ascii="Times New Roman" w:hAnsi="Times New Roman"/>
          <w:sz w:val="24"/>
          <w:szCs w:val="24"/>
        </w:rPr>
        <w:t>this would</w:t>
      </w:r>
      <w:r w:rsidR="00F90BFD">
        <w:rPr>
          <w:rFonts w:ascii="Times New Roman" w:hAnsi="Times New Roman"/>
          <w:sz w:val="24"/>
          <w:szCs w:val="24"/>
        </w:rPr>
        <w:t xml:space="preserve"> occur</w:t>
      </w:r>
      <w:r w:rsidR="007D0AF7">
        <w:rPr>
          <w:rFonts w:ascii="Times New Roman" w:hAnsi="Times New Roman"/>
          <w:sz w:val="24"/>
          <w:szCs w:val="24"/>
        </w:rPr>
        <w:t>.  To the extent the existing four year limit accelerates decommissioning</w:t>
      </w:r>
      <w:r w:rsidR="00477AF9">
        <w:rPr>
          <w:rFonts w:ascii="Times New Roman" w:hAnsi="Times New Roman"/>
          <w:sz w:val="24"/>
          <w:szCs w:val="24"/>
        </w:rPr>
        <w:t>,</w:t>
      </w:r>
      <w:r w:rsidR="007D0AF7">
        <w:rPr>
          <w:rFonts w:ascii="Times New Roman" w:hAnsi="Times New Roman"/>
          <w:sz w:val="24"/>
          <w:szCs w:val="24"/>
        </w:rPr>
        <w:t xml:space="preserve"> removing this would raise revenue; </w:t>
      </w:r>
      <w:r>
        <w:rPr>
          <w:rFonts w:ascii="Times New Roman" w:hAnsi="Times New Roman"/>
          <w:sz w:val="24"/>
          <w:szCs w:val="24"/>
        </w:rPr>
        <w:t xml:space="preserve">but </w:t>
      </w:r>
      <w:r w:rsidR="007D0AF7">
        <w:rPr>
          <w:rFonts w:ascii="Times New Roman" w:hAnsi="Times New Roman"/>
          <w:sz w:val="24"/>
          <w:szCs w:val="24"/>
        </w:rPr>
        <w:t xml:space="preserve">this is not considered significant given the other uncertainties in the forecasts </w:t>
      </w:r>
      <w:r>
        <w:rPr>
          <w:rFonts w:ascii="Times New Roman" w:hAnsi="Times New Roman"/>
          <w:sz w:val="24"/>
          <w:szCs w:val="24"/>
        </w:rPr>
        <w:t xml:space="preserve">which are </w:t>
      </w:r>
      <w:r w:rsidR="007D0AF7">
        <w:rPr>
          <w:rFonts w:ascii="Times New Roman" w:hAnsi="Times New Roman"/>
          <w:sz w:val="24"/>
          <w:szCs w:val="24"/>
        </w:rPr>
        <w:t xml:space="preserve">explained in paragraph </w:t>
      </w:r>
      <w:r w:rsidR="007D0AF7">
        <w:rPr>
          <w:rFonts w:ascii="Times New Roman" w:hAnsi="Times New Roman"/>
          <w:sz w:val="24"/>
          <w:szCs w:val="24"/>
        </w:rPr>
        <w:fldChar w:fldCharType="begin"/>
      </w:r>
      <w:r w:rsidR="007D0AF7">
        <w:rPr>
          <w:rFonts w:ascii="Times New Roman" w:hAnsi="Times New Roman"/>
          <w:sz w:val="24"/>
          <w:szCs w:val="24"/>
        </w:rPr>
        <w:instrText xml:space="preserve"> REF _Ref463878495 \r \h </w:instrText>
      </w:r>
      <w:r w:rsidR="004E52EA">
        <w:rPr>
          <w:rFonts w:ascii="Times New Roman" w:hAnsi="Times New Roman"/>
          <w:sz w:val="24"/>
          <w:szCs w:val="24"/>
        </w:rPr>
        <w:instrText xml:space="preserve"> \* MERGEFORMAT </w:instrText>
      </w:r>
      <w:r w:rsidR="007D0AF7">
        <w:rPr>
          <w:rFonts w:ascii="Times New Roman" w:hAnsi="Times New Roman"/>
          <w:sz w:val="24"/>
          <w:szCs w:val="24"/>
        </w:rPr>
      </w:r>
      <w:r w:rsidR="007D0AF7">
        <w:rPr>
          <w:rFonts w:ascii="Times New Roman" w:hAnsi="Times New Roman"/>
          <w:sz w:val="24"/>
          <w:szCs w:val="24"/>
        </w:rPr>
        <w:fldChar w:fldCharType="separate"/>
      </w:r>
      <w:r w:rsidR="00F3257B">
        <w:rPr>
          <w:rFonts w:ascii="Times New Roman" w:hAnsi="Times New Roman"/>
          <w:sz w:val="24"/>
          <w:szCs w:val="24"/>
        </w:rPr>
        <w:t>27</w:t>
      </w:r>
      <w:r w:rsidR="007D0AF7">
        <w:rPr>
          <w:rFonts w:ascii="Times New Roman" w:hAnsi="Times New Roman"/>
          <w:sz w:val="24"/>
          <w:szCs w:val="24"/>
        </w:rPr>
        <w:fldChar w:fldCharType="end"/>
      </w:r>
      <w:r w:rsidR="007D0AF7">
        <w:rPr>
          <w:rFonts w:ascii="Times New Roman" w:hAnsi="Times New Roman"/>
          <w:sz w:val="24"/>
          <w:szCs w:val="24"/>
        </w:rPr>
        <w:t>.</w:t>
      </w:r>
    </w:p>
    <w:p w:rsidR="003070DB" w:rsidRDefault="003070DB" w:rsidP="004E52EA">
      <w:pPr>
        <w:pStyle w:val="CommentText"/>
        <w:spacing w:after="0" w:line="240" w:lineRule="auto"/>
        <w:jc w:val="both"/>
        <w:rPr>
          <w:rFonts w:ascii="Times New Roman" w:hAnsi="Times New Roman"/>
          <w:sz w:val="24"/>
          <w:szCs w:val="24"/>
        </w:rPr>
      </w:pPr>
    </w:p>
    <w:p w:rsidR="0017102C" w:rsidRDefault="0017102C" w:rsidP="004E52EA">
      <w:pPr>
        <w:pStyle w:val="CommentText"/>
        <w:spacing w:after="0" w:line="240" w:lineRule="auto"/>
        <w:jc w:val="both"/>
        <w:rPr>
          <w:rFonts w:ascii="Times New Roman" w:hAnsi="Times New Roman"/>
          <w:b/>
          <w:sz w:val="24"/>
          <w:szCs w:val="24"/>
        </w:rPr>
      </w:pPr>
      <w:r>
        <w:rPr>
          <w:rFonts w:ascii="Times New Roman" w:hAnsi="Times New Roman"/>
          <w:b/>
          <w:sz w:val="24"/>
          <w:szCs w:val="24"/>
        </w:rPr>
        <w:t>Option 1</w:t>
      </w:r>
    </w:p>
    <w:p w:rsidR="0017102C" w:rsidRDefault="0017102C" w:rsidP="004E52EA">
      <w:pPr>
        <w:pStyle w:val="CommentText"/>
        <w:spacing w:after="0" w:line="240" w:lineRule="auto"/>
        <w:jc w:val="both"/>
        <w:rPr>
          <w:rFonts w:ascii="Times New Roman" w:hAnsi="Times New Roman"/>
          <w:b/>
          <w:sz w:val="24"/>
          <w:szCs w:val="24"/>
        </w:rPr>
      </w:pPr>
    </w:p>
    <w:p w:rsidR="0017102C" w:rsidRDefault="0017102C" w:rsidP="004E52EA">
      <w:pPr>
        <w:pStyle w:val="CommentTex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Option 1 is the status quo</w:t>
      </w:r>
      <w:r w:rsidR="007C0F48">
        <w:rPr>
          <w:rFonts w:ascii="Times New Roman" w:hAnsi="Times New Roman"/>
          <w:sz w:val="24"/>
          <w:szCs w:val="24"/>
        </w:rPr>
        <w:t>.</w:t>
      </w:r>
      <w:r w:rsidR="006A307E">
        <w:rPr>
          <w:rFonts w:ascii="Times New Roman" w:hAnsi="Times New Roman"/>
          <w:sz w:val="24"/>
          <w:szCs w:val="24"/>
        </w:rPr>
        <w:t xml:space="preserve">  The spread-back </w:t>
      </w:r>
      <w:r w:rsidR="00F80F5F">
        <w:rPr>
          <w:rFonts w:ascii="Times New Roman" w:hAnsi="Times New Roman"/>
          <w:sz w:val="24"/>
          <w:szCs w:val="24"/>
        </w:rPr>
        <w:t xml:space="preserve">provision </w:t>
      </w:r>
      <w:r w:rsidR="006A307E">
        <w:rPr>
          <w:rFonts w:ascii="Times New Roman" w:hAnsi="Times New Roman"/>
          <w:sz w:val="24"/>
          <w:szCs w:val="24"/>
        </w:rPr>
        <w:t xml:space="preserve">would be </w:t>
      </w:r>
      <w:r w:rsidR="00F80F5F">
        <w:rPr>
          <w:rFonts w:ascii="Times New Roman" w:hAnsi="Times New Roman"/>
          <w:sz w:val="24"/>
          <w:szCs w:val="24"/>
        </w:rPr>
        <w:t>retained</w:t>
      </w:r>
      <w:r w:rsidR="006A307E">
        <w:rPr>
          <w:rFonts w:ascii="Times New Roman" w:hAnsi="Times New Roman"/>
          <w:sz w:val="24"/>
          <w:szCs w:val="24"/>
        </w:rPr>
        <w:t>, including the four-year refund limitation.</w:t>
      </w:r>
    </w:p>
    <w:p w:rsidR="007C0F48" w:rsidRPr="007C0F48" w:rsidRDefault="007C0F48" w:rsidP="004E52EA">
      <w:pPr>
        <w:spacing w:after="0"/>
        <w:jc w:val="both"/>
        <w:rPr>
          <w:rFonts w:ascii="Times New Roman" w:hAnsi="Times New Roman"/>
          <w:sz w:val="24"/>
          <w:szCs w:val="24"/>
        </w:rPr>
      </w:pPr>
    </w:p>
    <w:p w:rsidR="007C0F48" w:rsidRPr="00CB1C9E" w:rsidRDefault="007C0F48" w:rsidP="004E52EA">
      <w:pPr>
        <w:jc w:val="both"/>
        <w:rPr>
          <w:rFonts w:ascii="Times New Roman" w:hAnsi="Times New Roman"/>
          <w:b/>
          <w:i/>
          <w:sz w:val="24"/>
          <w:szCs w:val="24"/>
        </w:rPr>
      </w:pPr>
      <w:r w:rsidRPr="00CB1C9E">
        <w:rPr>
          <w:rFonts w:ascii="Times New Roman" w:hAnsi="Times New Roman"/>
          <w:b/>
          <w:i/>
          <w:sz w:val="24"/>
          <w:szCs w:val="24"/>
        </w:rPr>
        <w:t>Assessment against criteria – option 1</w:t>
      </w:r>
    </w:p>
    <w:p w:rsidR="007C0F48" w:rsidRDefault="00BE53B9"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sz w:val="24"/>
          <w:szCs w:val="24"/>
          <w:lang w:val="en-AU"/>
        </w:rPr>
        <w:t xml:space="preserve">The status quo does not meet the main objective.  </w:t>
      </w:r>
      <w:r w:rsidR="004830F6">
        <w:rPr>
          <w:rFonts w:ascii="Times New Roman" w:hAnsi="Times New Roman"/>
          <w:sz w:val="24"/>
          <w:szCs w:val="24"/>
          <w:lang w:val="en-AU"/>
        </w:rPr>
        <w:t xml:space="preserve">Spread-backs are considered an </w:t>
      </w:r>
      <w:r w:rsidR="00F80F5F">
        <w:rPr>
          <w:rFonts w:ascii="Times New Roman" w:hAnsi="Times New Roman"/>
          <w:sz w:val="24"/>
          <w:szCs w:val="24"/>
          <w:lang w:val="en-AU"/>
        </w:rPr>
        <w:t xml:space="preserve">outdated </w:t>
      </w:r>
      <w:r w:rsidR="004830F6">
        <w:rPr>
          <w:rFonts w:ascii="Times New Roman" w:hAnsi="Times New Roman"/>
          <w:sz w:val="24"/>
          <w:szCs w:val="24"/>
          <w:lang w:val="en-AU"/>
        </w:rPr>
        <w:t>approach that has high compliance and administration costs</w:t>
      </w:r>
      <w:r>
        <w:rPr>
          <w:rFonts w:ascii="Times New Roman" w:hAnsi="Times New Roman"/>
          <w:sz w:val="24"/>
          <w:szCs w:val="24"/>
          <w:lang w:val="en-AU"/>
        </w:rPr>
        <w:t>.</w:t>
      </w:r>
      <w:r w:rsidR="004830F6">
        <w:rPr>
          <w:rFonts w:ascii="Times New Roman" w:hAnsi="Times New Roman"/>
          <w:sz w:val="24"/>
          <w:szCs w:val="24"/>
          <w:lang w:val="en-AU"/>
        </w:rPr>
        <w:t xml:space="preserve">  P</w:t>
      </w:r>
      <w:r w:rsidR="00F80F5F">
        <w:rPr>
          <w:rFonts w:ascii="Times New Roman" w:hAnsi="Times New Roman"/>
          <w:sz w:val="24"/>
          <w:szCs w:val="24"/>
          <w:lang w:val="en-AU"/>
        </w:rPr>
        <w:t>revious</w:t>
      </w:r>
      <w:r w:rsidR="004830F6">
        <w:rPr>
          <w:rFonts w:ascii="Times New Roman" w:hAnsi="Times New Roman"/>
          <w:sz w:val="24"/>
          <w:szCs w:val="24"/>
          <w:lang w:val="en-AU"/>
        </w:rPr>
        <w:t xml:space="preserve"> reforms have not introduced any new spread-back provisions for a long time and many have been removed.</w:t>
      </w:r>
    </w:p>
    <w:p w:rsidR="00BE53B9" w:rsidRDefault="00BE53B9" w:rsidP="004E52EA">
      <w:pPr>
        <w:pStyle w:val="CommentText"/>
        <w:spacing w:after="0" w:line="240" w:lineRule="auto"/>
        <w:jc w:val="both"/>
        <w:rPr>
          <w:rFonts w:ascii="Times New Roman" w:hAnsi="Times New Roman"/>
          <w:sz w:val="24"/>
          <w:szCs w:val="24"/>
          <w:lang w:val="en-AU"/>
        </w:rPr>
      </w:pPr>
    </w:p>
    <w:p w:rsidR="00BE53B9" w:rsidRDefault="00BE53B9"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sidRPr="00BE53B9">
        <w:rPr>
          <w:rFonts w:ascii="Times New Roman" w:hAnsi="Times New Roman"/>
          <w:i/>
          <w:sz w:val="24"/>
          <w:szCs w:val="24"/>
          <w:lang w:val="en-AU"/>
        </w:rPr>
        <w:t>Neutrality</w:t>
      </w:r>
      <w:r>
        <w:rPr>
          <w:rFonts w:ascii="Times New Roman" w:hAnsi="Times New Roman"/>
          <w:sz w:val="24"/>
          <w:szCs w:val="24"/>
          <w:lang w:val="en-AU"/>
        </w:rPr>
        <w:t>.  The current rules do not meet the neutrality criteri</w:t>
      </w:r>
      <w:r w:rsidR="007D5BA5">
        <w:rPr>
          <w:rFonts w:ascii="Times New Roman" w:hAnsi="Times New Roman"/>
          <w:sz w:val="24"/>
          <w:szCs w:val="24"/>
          <w:lang w:val="en-AU"/>
        </w:rPr>
        <w:t>on</w:t>
      </w:r>
      <w:r>
        <w:rPr>
          <w:rFonts w:ascii="Times New Roman" w:hAnsi="Times New Roman"/>
          <w:sz w:val="24"/>
          <w:szCs w:val="24"/>
          <w:lang w:val="en-AU"/>
        </w:rPr>
        <w:t xml:space="preserve">.  They encourage a petroleum miner to decommission earlier than they otherwise might and to relinquish a permit earlier than they otherwise might.  </w:t>
      </w:r>
    </w:p>
    <w:p w:rsidR="007D5BA5" w:rsidRDefault="007D5BA5" w:rsidP="004E52EA">
      <w:pPr>
        <w:pStyle w:val="ListParagraph"/>
        <w:rPr>
          <w:rFonts w:ascii="Times New Roman" w:hAnsi="Times New Roman"/>
          <w:sz w:val="24"/>
          <w:szCs w:val="24"/>
          <w:lang w:val="en-AU"/>
        </w:rPr>
      </w:pPr>
    </w:p>
    <w:p w:rsidR="007D5BA5" w:rsidRDefault="007D5BA5"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i/>
          <w:sz w:val="24"/>
          <w:szCs w:val="24"/>
          <w:lang w:val="en-AU"/>
        </w:rPr>
        <w:t>Fairness and equity</w:t>
      </w:r>
      <w:r>
        <w:rPr>
          <w:rFonts w:ascii="Times New Roman" w:hAnsi="Times New Roman"/>
          <w:sz w:val="24"/>
          <w:szCs w:val="24"/>
          <w:lang w:val="en-AU"/>
        </w:rPr>
        <w:t xml:space="preserve">.  The current rules do not meet the fairness and equity criterion.  The four year </w:t>
      </w:r>
      <w:r w:rsidR="008B068A">
        <w:rPr>
          <w:rFonts w:ascii="Times New Roman" w:hAnsi="Times New Roman"/>
          <w:sz w:val="24"/>
          <w:szCs w:val="24"/>
          <w:lang w:val="en-AU"/>
        </w:rPr>
        <w:t xml:space="preserve">refund </w:t>
      </w:r>
      <w:r>
        <w:rPr>
          <w:rFonts w:ascii="Times New Roman" w:hAnsi="Times New Roman"/>
          <w:sz w:val="24"/>
          <w:szCs w:val="24"/>
          <w:lang w:val="en-AU"/>
        </w:rPr>
        <w:t>limit disincentiv</w:t>
      </w:r>
      <w:r w:rsidR="004830F6">
        <w:rPr>
          <w:rFonts w:ascii="Times New Roman" w:hAnsi="Times New Roman"/>
          <w:sz w:val="24"/>
          <w:szCs w:val="24"/>
          <w:lang w:val="en-AU"/>
        </w:rPr>
        <w:t>is</w:t>
      </w:r>
      <w:r>
        <w:rPr>
          <w:rFonts w:ascii="Times New Roman" w:hAnsi="Times New Roman"/>
          <w:sz w:val="24"/>
          <w:szCs w:val="24"/>
          <w:lang w:val="en-AU"/>
        </w:rPr>
        <w:t xml:space="preserve">es petroleum mining </w:t>
      </w:r>
      <w:r w:rsidR="00C649C5">
        <w:rPr>
          <w:rFonts w:ascii="Times New Roman" w:hAnsi="Times New Roman"/>
          <w:sz w:val="24"/>
          <w:szCs w:val="24"/>
          <w:lang w:val="en-AU"/>
        </w:rPr>
        <w:t>because of</w:t>
      </w:r>
      <w:r>
        <w:rPr>
          <w:rFonts w:ascii="Times New Roman" w:hAnsi="Times New Roman"/>
          <w:sz w:val="24"/>
          <w:szCs w:val="24"/>
          <w:lang w:val="en-AU"/>
        </w:rPr>
        <w:t xml:space="preserve"> the industry specific income and expenditure profile.  It also provides a concession not available to other industries by potentially paying UOMI on spread-backs when no UOMI is paid in other spread-back situations.  The petroleum mining industry considers abandonment costs of exploration wells can be spread-back which, if allowable, would be concessionary compared to other industries where current period losses from non-profitable ventures cannot be spread-back against profits from previously profitable ventures.</w:t>
      </w:r>
    </w:p>
    <w:p w:rsidR="007D5BA5" w:rsidRDefault="007D5BA5" w:rsidP="004E52EA">
      <w:pPr>
        <w:pStyle w:val="ListParagraph"/>
        <w:rPr>
          <w:rFonts w:ascii="Times New Roman" w:hAnsi="Times New Roman"/>
          <w:sz w:val="24"/>
          <w:szCs w:val="24"/>
          <w:lang w:val="en-AU"/>
        </w:rPr>
      </w:pPr>
    </w:p>
    <w:p w:rsidR="007D5BA5" w:rsidRPr="001116E8" w:rsidRDefault="007D5BA5"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i/>
          <w:sz w:val="24"/>
          <w:szCs w:val="24"/>
          <w:lang w:val="en-AU"/>
        </w:rPr>
        <w:t>Efficiency of compliance and administration</w:t>
      </w:r>
      <w:r>
        <w:rPr>
          <w:rFonts w:ascii="Times New Roman" w:hAnsi="Times New Roman"/>
          <w:sz w:val="24"/>
          <w:szCs w:val="24"/>
          <w:lang w:val="en-AU"/>
        </w:rPr>
        <w:t>.  The current rules do not meet the efficiency of compliance and administration criterion.</w:t>
      </w:r>
      <w:r w:rsidR="00AD210F">
        <w:rPr>
          <w:rFonts w:ascii="Times New Roman" w:hAnsi="Times New Roman"/>
          <w:sz w:val="24"/>
          <w:szCs w:val="24"/>
          <w:lang w:val="en-AU"/>
        </w:rPr>
        <w:t xml:space="preserve">  The current rules require prior</w:t>
      </w:r>
      <w:r w:rsidR="008B068A">
        <w:rPr>
          <w:rFonts w:ascii="Times New Roman" w:hAnsi="Times New Roman"/>
          <w:sz w:val="24"/>
          <w:szCs w:val="24"/>
          <w:lang w:val="en-AU"/>
        </w:rPr>
        <w:t xml:space="preserve"> assessment</w:t>
      </w:r>
      <w:r w:rsidR="00AD210F">
        <w:rPr>
          <w:rFonts w:ascii="Times New Roman" w:hAnsi="Times New Roman"/>
          <w:sz w:val="24"/>
          <w:szCs w:val="24"/>
          <w:lang w:val="en-AU"/>
        </w:rPr>
        <w:t xml:space="preserve"> periods to be reopened which requires </w:t>
      </w:r>
      <w:r w:rsidR="00F80F5F">
        <w:rPr>
          <w:rFonts w:ascii="Times New Roman" w:hAnsi="Times New Roman"/>
          <w:sz w:val="24"/>
          <w:szCs w:val="24"/>
          <w:lang w:val="en-AU"/>
        </w:rPr>
        <w:t>manual intervention</w:t>
      </w:r>
      <w:r w:rsidR="00AD210F">
        <w:rPr>
          <w:rFonts w:ascii="Times New Roman" w:hAnsi="Times New Roman"/>
          <w:sz w:val="24"/>
          <w:szCs w:val="24"/>
          <w:lang w:val="en-AU"/>
        </w:rPr>
        <w:t xml:space="preserve"> by Inland Revenue staff. </w:t>
      </w:r>
      <w:r w:rsidR="00BC5BB5">
        <w:rPr>
          <w:rFonts w:ascii="Times New Roman" w:hAnsi="Times New Roman"/>
          <w:sz w:val="24"/>
          <w:szCs w:val="24"/>
          <w:lang w:val="en-AU"/>
        </w:rPr>
        <w:t>This may also impose higher compliance costs on petroleum miners who will have to account for refunds from various periods that have previously been finalised.</w:t>
      </w:r>
    </w:p>
    <w:p w:rsidR="0017102C" w:rsidRPr="0017102C" w:rsidRDefault="0017102C" w:rsidP="004E52EA">
      <w:pPr>
        <w:pStyle w:val="CommentText"/>
        <w:spacing w:after="0" w:line="240" w:lineRule="auto"/>
        <w:jc w:val="both"/>
        <w:rPr>
          <w:rFonts w:ascii="Times New Roman" w:hAnsi="Times New Roman"/>
          <w:sz w:val="24"/>
          <w:szCs w:val="24"/>
        </w:rPr>
      </w:pPr>
    </w:p>
    <w:p w:rsidR="0017102C" w:rsidRDefault="0017102C" w:rsidP="004E52EA">
      <w:pPr>
        <w:pStyle w:val="CommentText"/>
        <w:spacing w:after="0" w:line="240" w:lineRule="auto"/>
        <w:jc w:val="both"/>
        <w:rPr>
          <w:rFonts w:ascii="Times New Roman" w:hAnsi="Times New Roman"/>
          <w:sz w:val="24"/>
          <w:szCs w:val="24"/>
        </w:rPr>
      </w:pPr>
    </w:p>
    <w:p w:rsidR="003070DB" w:rsidRPr="003070DB" w:rsidRDefault="003070DB" w:rsidP="004E52EA">
      <w:pPr>
        <w:pStyle w:val="CommentText"/>
        <w:spacing w:after="0" w:line="240" w:lineRule="auto"/>
        <w:jc w:val="both"/>
        <w:rPr>
          <w:rFonts w:ascii="Times New Roman" w:hAnsi="Times New Roman"/>
          <w:b/>
          <w:sz w:val="24"/>
          <w:szCs w:val="24"/>
        </w:rPr>
      </w:pPr>
      <w:r>
        <w:rPr>
          <w:rFonts w:ascii="Times New Roman" w:hAnsi="Times New Roman"/>
          <w:b/>
          <w:sz w:val="24"/>
          <w:szCs w:val="24"/>
        </w:rPr>
        <w:t xml:space="preserve">Option </w:t>
      </w:r>
      <w:r w:rsidR="0017102C">
        <w:rPr>
          <w:rFonts w:ascii="Times New Roman" w:hAnsi="Times New Roman"/>
          <w:b/>
          <w:sz w:val="24"/>
          <w:szCs w:val="24"/>
        </w:rPr>
        <w:t>2</w:t>
      </w:r>
    </w:p>
    <w:p w:rsidR="003070DB" w:rsidRDefault="003070DB" w:rsidP="004E52EA">
      <w:pPr>
        <w:pStyle w:val="CommentText"/>
        <w:spacing w:after="0" w:line="240" w:lineRule="auto"/>
        <w:jc w:val="both"/>
        <w:rPr>
          <w:rFonts w:ascii="Times New Roman" w:hAnsi="Times New Roman"/>
          <w:sz w:val="24"/>
          <w:szCs w:val="24"/>
        </w:rPr>
      </w:pPr>
    </w:p>
    <w:p w:rsidR="003070DB" w:rsidRDefault="003070DB" w:rsidP="004E52EA">
      <w:pPr>
        <w:pStyle w:val="CommentText"/>
        <w:numPr>
          <w:ilvl w:val="0"/>
          <w:numId w:val="2"/>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w:t>
      </w:r>
      <w:r w:rsidR="006A307E">
        <w:rPr>
          <w:rFonts w:ascii="Times New Roman" w:hAnsi="Times New Roman"/>
          <w:sz w:val="24"/>
          <w:szCs w:val="24"/>
        </w:rPr>
        <w:t>2</w:t>
      </w:r>
      <w:r>
        <w:rPr>
          <w:rFonts w:ascii="Times New Roman" w:hAnsi="Times New Roman"/>
          <w:sz w:val="24"/>
          <w:szCs w:val="24"/>
        </w:rPr>
        <w:t xml:space="preserve"> is to amend the status quo.  This would retain the spread</w:t>
      </w:r>
      <w:r w:rsidR="00750D2A">
        <w:rPr>
          <w:rFonts w:ascii="Times New Roman" w:hAnsi="Times New Roman"/>
          <w:sz w:val="24"/>
          <w:szCs w:val="24"/>
        </w:rPr>
        <w:t>-</w:t>
      </w:r>
      <w:r>
        <w:rPr>
          <w:rFonts w:ascii="Times New Roman" w:hAnsi="Times New Roman"/>
          <w:sz w:val="24"/>
          <w:szCs w:val="24"/>
        </w:rPr>
        <w:t xml:space="preserve">back but would remove the four year refund limitation and make other clarifying amendments </w:t>
      </w:r>
      <w:r w:rsidR="00F90BFD">
        <w:rPr>
          <w:rFonts w:ascii="Times New Roman" w:hAnsi="Times New Roman"/>
          <w:sz w:val="24"/>
          <w:szCs w:val="24"/>
        </w:rPr>
        <w:t xml:space="preserve">to address the problems in paragraphs </w:t>
      </w:r>
      <w:r w:rsidR="00F90BFD">
        <w:rPr>
          <w:rFonts w:ascii="Times New Roman" w:hAnsi="Times New Roman"/>
          <w:sz w:val="24"/>
          <w:szCs w:val="24"/>
        </w:rPr>
        <w:fldChar w:fldCharType="begin"/>
      </w:r>
      <w:r w:rsidR="00F90BFD">
        <w:rPr>
          <w:rFonts w:ascii="Times New Roman" w:hAnsi="Times New Roman"/>
          <w:sz w:val="24"/>
          <w:szCs w:val="24"/>
        </w:rPr>
        <w:instrText xml:space="preserve"> REF _Ref463944867 \r \h </w:instrText>
      </w:r>
      <w:r w:rsidR="004E52EA">
        <w:rPr>
          <w:rFonts w:ascii="Times New Roman" w:hAnsi="Times New Roman"/>
          <w:sz w:val="24"/>
          <w:szCs w:val="24"/>
        </w:rPr>
        <w:instrText xml:space="preserve"> \* MERGEFORMAT </w:instrText>
      </w:r>
      <w:r w:rsidR="00F90BFD">
        <w:rPr>
          <w:rFonts w:ascii="Times New Roman" w:hAnsi="Times New Roman"/>
          <w:sz w:val="24"/>
          <w:szCs w:val="24"/>
        </w:rPr>
      </w:r>
      <w:r w:rsidR="00F90BFD">
        <w:rPr>
          <w:rFonts w:ascii="Times New Roman" w:hAnsi="Times New Roman"/>
          <w:sz w:val="24"/>
          <w:szCs w:val="24"/>
        </w:rPr>
        <w:fldChar w:fldCharType="separate"/>
      </w:r>
      <w:r w:rsidR="00F3257B">
        <w:rPr>
          <w:rFonts w:ascii="Times New Roman" w:hAnsi="Times New Roman"/>
          <w:sz w:val="24"/>
          <w:szCs w:val="24"/>
        </w:rPr>
        <w:t>14</w:t>
      </w:r>
      <w:r w:rsidR="00F90BFD">
        <w:rPr>
          <w:rFonts w:ascii="Times New Roman" w:hAnsi="Times New Roman"/>
          <w:sz w:val="24"/>
          <w:szCs w:val="24"/>
        </w:rPr>
        <w:fldChar w:fldCharType="end"/>
      </w:r>
      <w:r w:rsidR="00F90BFD">
        <w:rPr>
          <w:rFonts w:ascii="Times New Roman" w:hAnsi="Times New Roman"/>
          <w:sz w:val="24"/>
          <w:szCs w:val="24"/>
        </w:rPr>
        <w:t xml:space="preserve"> to </w:t>
      </w:r>
      <w:r w:rsidR="00F90BFD">
        <w:rPr>
          <w:rFonts w:ascii="Times New Roman" w:hAnsi="Times New Roman"/>
          <w:sz w:val="24"/>
          <w:szCs w:val="24"/>
        </w:rPr>
        <w:fldChar w:fldCharType="begin"/>
      </w:r>
      <w:r w:rsidR="00F90BFD">
        <w:rPr>
          <w:rFonts w:ascii="Times New Roman" w:hAnsi="Times New Roman"/>
          <w:sz w:val="24"/>
          <w:szCs w:val="24"/>
        </w:rPr>
        <w:instrText xml:space="preserve"> REF _Ref463944868 \r \h </w:instrText>
      </w:r>
      <w:r w:rsidR="004E52EA">
        <w:rPr>
          <w:rFonts w:ascii="Times New Roman" w:hAnsi="Times New Roman"/>
          <w:sz w:val="24"/>
          <w:szCs w:val="24"/>
        </w:rPr>
        <w:instrText xml:space="preserve"> \* MERGEFORMAT </w:instrText>
      </w:r>
      <w:r w:rsidR="00F90BFD">
        <w:rPr>
          <w:rFonts w:ascii="Times New Roman" w:hAnsi="Times New Roman"/>
          <w:sz w:val="24"/>
          <w:szCs w:val="24"/>
        </w:rPr>
      </w:r>
      <w:r w:rsidR="00F90BFD">
        <w:rPr>
          <w:rFonts w:ascii="Times New Roman" w:hAnsi="Times New Roman"/>
          <w:sz w:val="24"/>
          <w:szCs w:val="24"/>
        </w:rPr>
        <w:fldChar w:fldCharType="separate"/>
      </w:r>
      <w:r w:rsidR="00F3257B">
        <w:rPr>
          <w:rFonts w:ascii="Times New Roman" w:hAnsi="Times New Roman"/>
          <w:sz w:val="24"/>
          <w:szCs w:val="24"/>
        </w:rPr>
        <w:t>17</w:t>
      </w:r>
      <w:r w:rsidR="00F90BFD">
        <w:rPr>
          <w:rFonts w:ascii="Times New Roman" w:hAnsi="Times New Roman"/>
          <w:sz w:val="24"/>
          <w:szCs w:val="24"/>
        </w:rPr>
        <w:fldChar w:fldCharType="end"/>
      </w:r>
      <w:r w:rsidR="00F90BFD">
        <w:rPr>
          <w:rFonts w:ascii="Times New Roman" w:hAnsi="Times New Roman"/>
          <w:sz w:val="24"/>
          <w:szCs w:val="24"/>
        </w:rPr>
        <w:t xml:space="preserve"> </w:t>
      </w:r>
      <w:r>
        <w:rPr>
          <w:rFonts w:ascii="Times New Roman" w:hAnsi="Times New Roman"/>
          <w:sz w:val="24"/>
          <w:szCs w:val="24"/>
        </w:rPr>
        <w:t>consistent with the existing policy</w:t>
      </w:r>
      <w:r w:rsidR="00CB1C9E">
        <w:rPr>
          <w:rFonts w:ascii="Times New Roman" w:hAnsi="Times New Roman"/>
          <w:sz w:val="24"/>
          <w:szCs w:val="24"/>
        </w:rPr>
        <w:t>.</w:t>
      </w:r>
      <w:r w:rsidR="006A307E">
        <w:rPr>
          <w:rFonts w:ascii="Times New Roman" w:hAnsi="Times New Roman"/>
          <w:sz w:val="24"/>
          <w:szCs w:val="24"/>
        </w:rPr>
        <w:t xml:space="preserve">  These </w:t>
      </w:r>
      <w:r w:rsidR="0021535A">
        <w:rPr>
          <w:rFonts w:ascii="Times New Roman" w:hAnsi="Times New Roman"/>
          <w:sz w:val="24"/>
          <w:szCs w:val="24"/>
        </w:rPr>
        <w:t>include clarifying when the spread-back is available, that the spread-back is not available when an exploration well is abandoned and that no UOMI is payable when the spread-back results in a refund in prior years</w:t>
      </w:r>
      <w:r w:rsidR="006A307E">
        <w:rPr>
          <w:rFonts w:ascii="Times New Roman" w:hAnsi="Times New Roman"/>
          <w:sz w:val="24"/>
          <w:szCs w:val="24"/>
        </w:rPr>
        <w:t>.</w:t>
      </w:r>
    </w:p>
    <w:p w:rsidR="00CB1C9E" w:rsidRDefault="00CB1C9E" w:rsidP="004E52EA">
      <w:pPr>
        <w:pStyle w:val="CommentText"/>
        <w:spacing w:after="0" w:line="240" w:lineRule="auto"/>
        <w:jc w:val="both"/>
        <w:rPr>
          <w:rFonts w:ascii="Times New Roman" w:hAnsi="Times New Roman"/>
          <w:sz w:val="24"/>
          <w:szCs w:val="24"/>
        </w:rPr>
      </w:pPr>
    </w:p>
    <w:p w:rsidR="00CB1C9E" w:rsidRPr="00CB1C9E" w:rsidRDefault="00CB1C9E" w:rsidP="004E52EA">
      <w:pPr>
        <w:jc w:val="both"/>
        <w:rPr>
          <w:rFonts w:ascii="Times New Roman" w:hAnsi="Times New Roman"/>
          <w:b/>
          <w:i/>
          <w:sz w:val="24"/>
          <w:szCs w:val="24"/>
        </w:rPr>
      </w:pPr>
      <w:r w:rsidRPr="00CB1C9E">
        <w:rPr>
          <w:rFonts w:ascii="Times New Roman" w:hAnsi="Times New Roman"/>
          <w:b/>
          <w:i/>
          <w:sz w:val="24"/>
          <w:szCs w:val="24"/>
        </w:rPr>
        <w:t xml:space="preserve">Assessment against criteria – option </w:t>
      </w:r>
      <w:r w:rsidR="007C0F48">
        <w:rPr>
          <w:rFonts w:ascii="Times New Roman" w:hAnsi="Times New Roman"/>
          <w:b/>
          <w:i/>
          <w:sz w:val="24"/>
          <w:szCs w:val="24"/>
        </w:rPr>
        <w:t>2</w:t>
      </w:r>
    </w:p>
    <w:p w:rsidR="00BC5BB5" w:rsidRDefault="00BC5BB5"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bookmarkStart w:id="26" w:name="_Toc244580366"/>
      <w:bookmarkStart w:id="27" w:name="_Toc244587042"/>
      <w:bookmarkStart w:id="28" w:name="_Toc244857276"/>
      <w:bookmarkStart w:id="29" w:name="_Toc244912541"/>
      <w:bookmarkStart w:id="30" w:name="_Toc244916998"/>
      <w:r>
        <w:rPr>
          <w:rFonts w:ascii="Times New Roman" w:hAnsi="Times New Roman"/>
          <w:sz w:val="24"/>
          <w:szCs w:val="24"/>
          <w:lang w:val="en-AU"/>
        </w:rPr>
        <w:t xml:space="preserve">Option 2 </w:t>
      </w:r>
      <w:r w:rsidR="004830F6">
        <w:rPr>
          <w:rFonts w:ascii="Times New Roman" w:hAnsi="Times New Roman"/>
          <w:sz w:val="24"/>
          <w:szCs w:val="24"/>
          <w:lang w:val="en-AU"/>
        </w:rPr>
        <w:t xml:space="preserve">does not </w:t>
      </w:r>
      <w:r>
        <w:rPr>
          <w:rFonts w:ascii="Times New Roman" w:hAnsi="Times New Roman"/>
          <w:sz w:val="24"/>
          <w:szCs w:val="24"/>
          <w:lang w:val="en-AU"/>
        </w:rPr>
        <w:t xml:space="preserve">meet the main objective.  </w:t>
      </w:r>
      <w:r w:rsidR="004830F6">
        <w:rPr>
          <w:rFonts w:ascii="Times New Roman" w:hAnsi="Times New Roman"/>
          <w:sz w:val="24"/>
          <w:szCs w:val="24"/>
          <w:lang w:val="en-AU"/>
        </w:rPr>
        <w:t>While t</w:t>
      </w:r>
      <w:r>
        <w:rPr>
          <w:rFonts w:ascii="Times New Roman" w:hAnsi="Times New Roman"/>
          <w:sz w:val="24"/>
          <w:szCs w:val="24"/>
          <w:lang w:val="en-AU"/>
        </w:rPr>
        <w:t>he amendments w</w:t>
      </w:r>
      <w:r w:rsidR="004A6DE9">
        <w:rPr>
          <w:rFonts w:ascii="Times New Roman" w:hAnsi="Times New Roman"/>
          <w:sz w:val="24"/>
          <w:szCs w:val="24"/>
          <w:lang w:val="en-AU"/>
        </w:rPr>
        <w:t>ould</w:t>
      </w:r>
      <w:r>
        <w:rPr>
          <w:rFonts w:ascii="Times New Roman" w:hAnsi="Times New Roman"/>
          <w:sz w:val="24"/>
          <w:szCs w:val="24"/>
          <w:lang w:val="en-AU"/>
        </w:rPr>
        <w:t xml:space="preserve"> clarify the legislation so that </w:t>
      </w:r>
      <w:r w:rsidR="004830F6">
        <w:rPr>
          <w:rFonts w:ascii="Times New Roman" w:hAnsi="Times New Roman"/>
          <w:sz w:val="24"/>
          <w:szCs w:val="24"/>
          <w:lang w:val="en-AU"/>
        </w:rPr>
        <w:t>its</w:t>
      </w:r>
      <w:r w:rsidR="00A25BDB">
        <w:rPr>
          <w:rFonts w:ascii="Times New Roman" w:hAnsi="Times New Roman"/>
          <w:sz w:val="24"/>
          <w:szCs w:val="24"/>
          <w:lang w:val="en-AU"/>
        </w:rPr>
        <w:t xml:space="preserve"> application is </w:t>
      </w:r>
      <w:r>
        <w:rPr>
          <w:rFonts w:ascii="Times New Roman" w:hAnsi="Times New Roman"/>
          <w:sz w:val="24"/>
          <w:szCs w:val="24"/>
          <w:lang w:val="en-AU"/>
        </w:rPr>
        <w:t>consistent with the policy intent</w:t>
      </w:r>
      <w:r w:rsidR="004830F6">
        <w:rPr>
          <w:rFonts w:ascii="Times New Roman" w:hAnsi="Times New Roman"/>
          <w:sz w:val="24"/>
          <w:szCs w:val="24"/>
          <w:lang w:val="en-AU"/>
        </w:rPr>
        <w:t xml:space="preserve"> the spread-back w</w:t>
      </w:r>
      <w:r w:rsidR="004A6DE9">
        <w:rPr>
          <w:rFonts w:ascii="Times New Roman" w:hAnsi="Times New Roman"/>
          <w:sz w:val="24"/>
          <w:szCs w:val="24"/>
          <w:lang w:val="en-AU"/>
        </w:rPr>
        <w:t>ould</w:t>
      </w:r>
      <w:r w:rsidR="004830F6">
        <w:rPr>
          <w:rFonts w:ascii="Times New Roman" w:hAnsi="Times New Roman"/>
          <w:sz w:val="24"/>
          <w:szCs w:val="24"/>
          <w:lang w:val="en-AU"/>
        </w:rPr>
        <w:t xml:space="preserve"> be maintained which, as covered in option 1, is not a modern approach</w:t>
      </w:r>
      <w:r w:rsidR="00481C65">
        <w:rPr>
          <w:rFonts w:ascii="Times New Roman" w:hAnsi="Times New Roman"/>
          <w:sz w:val="24"/>
          <w:szCs w:val="24"/>
          <w:lang w:val="en-AU"/>
        </w:rPr>
        <w:t xml:space="preserve"> to tax compliance and administration</w:t>
      </w:r>
      <w:r>
        <w:rPr>
          <w:rFonts w:ascii="Times New Roman" w:hAnsi="Times New Roman"/>
          <w:sz w:val="24"/>
          <w:szCs w:val="24"/>
          <w:lang w:val="en-AU"/>
        </w:rPr>
        <w:t>.</w:t>
      </w:r>
    </w:p>
    <w:p w:rsidR="00BC5BB5" w:rsidRDefault="00BC5BB5" w:rsidP="004E52EA">
      <w:pPr>
        <w:pStyle w:val="CommentText"/>
        <w:spacing w:after="0" w:line="240" w:lineRule="auto"/>
        <w:jc w:val="both"/>
        <w:rPr>
          <w:rFonts w:ascii="Times New Roman" w:hAnsi="Times New Roman"/>
          <w:sz w:val="24"/>
          <w:szCs w:val="24"/>
          <w:lang w:val="en-AU"/>
        </w:rPr>
      </w:pPr>
    </w:p>
    <w:p w:rsidR="00BC5BB5" w:rsidRDefault="00BC5BB5"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sidRPr="00BE53B9">
        <w:rPr>
          <w:rFonts w:ascii="Times New Roman" w:hAnsi="Times New Roman"/>
          <w:i/>
          <w:sz w:val="24"/>
          <w:szCs w:val="24"/>
          <w:lang w:val="en-AU"/>
        </w:rPr>
        <w:t>Neutrality</w:t>
      </w:r>
      <w:r>
        <w:rPr>
          <w:rFonts w:ascii="Times New Roman" w:hAnsi="Times New Roman"/>
          <w:sz w:val="24"/>
          <w:szCs w:val="24"/>
          <w:lang w:val="en-AU"/>
        </w:rPr>
        <w:t xml:space="preserve">.  Option 2 is an improvement </w:t>
      </w:r>
      <w:r w:rsidR="00FB7359">
        <w:rPr>
          <w:rFonts w:ascii="Times New Roman" w:hAnsi="Times New Roman"/>
          <w:sz w:val="24"/>
          <w:szCs w:val="24"/>
          <w:lang w:val="en-AU"/>
        </w:rPr>
        <w:t>over the status quo</w:t>
      </w:r>
      <w:r>
        <w:rPr>
          <w:rFonts w:ascii="Times New Roman" w:hAnsi="Times New Roman"/>
          <w:sz w:val="24"/>
          <w:szCs w:val="24"/>
          <w:lang w:val="en-AU"/>
        </w:rPr>
        <w:t xml:space="preserve">.  </w:t>
      </w:r>
      <w:r w:rsidR="00FB7359">
        <w:rPr>
          <w:rFonts w:ascii="Times New Roman" w:hAnsi="Times New Roman"/>
          <w:sz w:val="24"/>
          <w:szCs w:val="24"/>
          <w:lang w:val="en-AU"/>
        </w:rPr>
        <w:t xml:space="preserve">The amendments </w:t>
      </w:r>
      <w:r w:rsidR="004A6DE9">
        <w:rPr>
          <w:rFonts w:ascii="Times New Roman" w:hAnsi="Times New Roman"/>
          <w:sz w:val="24"/>
          <w:szCs w:val="24"/>
          <w:lang w:val="en-AU"/>
        </w:rPr>
        <w:t>would</w:t>
      </w:r>
      <w:r w:rsidR="00FB7359">
        <w:rPr>
          <w:rFonts w:ascii="Times New Roman" w:hAnsi="Times New Roman"/>
          <w:sz w:val="24"/>
          <w:szCs w:val="24"/>
          <w:lang w:val="en-AU"/>
        </w:rPr>
        <w:t xml:space="preserve"> remove the incentives and disincentives present in the current rules</w:t>
      </w:r>
      <w:r>
        <w:rPr>
          <w:rFonts w:ascii="Times New Roman" w:hAnsi="Times New Roman"/>
          <w:sz w:val="24"/>
          <w:szCs w:val="24"/>
          <w:lang w:val="en-AU"/>
        </w:rPr>
        <w:t xml:space="preserve">.  </w:t>
      </w:r>
    </w:p>
    <w:p w:rsidR="00BC5BB5" w:rsidRDefault="00BC5BB5" w:rsidP="004E52EA">
      <w:pPr>
        <w:pStyle w:val="ListParagraph"/>
        <w:rPr>
          <w:rFonts w:ascii="Times New Roman" w:hAnsi="Times New Roman"/>
          <w:sz w:val="24"/>
          <w:szCs w:val="24"/>
          <w:lang w:val="en-AU"/>
        </w:rPr>
      </w:pPr>
    </w:p>
    <w:p w:rsidR="00BC5BB5" w:rsidRDefault="00BC5BB5"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i/>
          <w:sz w:val="24"/>
          <w:szCs w:val="24"/>
          <w:lang w:val="en-AU"/>
        </w:rPr>
        <w:t>Fairness and equity</w:t>
      </w:r>
      <w:r>
        <w:rPr>
          <w:rFonts w:ascii="Times New Roman" w:hAnsi="Times New Roman"/>
          <w:sz w:val="24"/>
          <w:szCs w:val="24"/>
          <w:lang w:val="en-AU"/>
        </w:rPr>
        <w:t xml:space="preserve">.  </w:t>
      </w:r>
      <w:r w:rsidR="00FB7359">
        <w:rPr>
          <w:rFonts w:ascii="Times New Roman" w:hAnsi="Times New Roman"/>
          <w:sz w:val="24"/>
          <w:szCs w:val="24"/>
          <w:lang w:val="en-AU"/>
        </w:rPr>
        <w:t>Option 2 is an improvement over the status quo</w:t>
      </w:r>
      <w:r w:rsidR="000C32BA">
        <w:rPr>
          <w:rFonts w:ascii="Times New Roman" w:hAnsi="Times New Roman"/>
          <w:sz w:val="24"/>
          <w:szCs w:val="24"/>
          <w:lang w:val="en-AU"/>
        </w:rPr>
        <w:t>.  The amendments clarify a number of issues that could be concessionary towards petroleum miners.</w:t>
      </w:r>
    </w:p>
    <w:p w:rsidR="00BC5BB5" w:rsidRDefault="00BC5BB5" w:rsidP="004E52EA">
      <w:pPr>
        <w:pStyle w:val="ListParagraph"/>
        <w:rPr>
          <w:rFonts w:ascii="Times New Roman" w:hAnsi="Times New Roman"/>
          <w:sz w:val="24"/>
          <w:szCs w:val="24"/>
          <w:lang w:val="en-AU"/>
        </w:rPr>
      </w:pPr>
    </w:p>
    <w:p w:rsidR="00D943DD" w:rsidRPr="000C32BA" w:rsidRDefault="00BC5BB5"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i/>
          <w:sz w:val="24"/>
          <w:szCs w:val="24"/>
          <w:lang w:val="en-AU"/>
        </w:rPr>
        <w:t>Efficiency of compliance and administration</w:t>
      </w:r>
      <w:r>
        <w:rPr>
          <w:rFonts w:ascii="Times New Roman" w:hAnsi="Times New Roman"/>
          <w:sz w:val="24"/>
          <w:szCs w:val="24"/>
          <w:lang w:val="en-AU"/>
        </w:rPr>
        <w:t xml:space="preserve">.  </w:t>
      </w:r>
      <w:r w:rsidR="000C32BA">
        <w:rPr>
          <w:rFonts w:ascii="Times New Roman" w:hAnsi="Times New Roman"/>
          <w:sz w:val="24"/>
          <w:szCs w:val="24"/>
          <w:lang w:val="en-AU"/>
        </w:rPr>
        <w:t xml:space="preserve">Option 2 is worse than the status quo.  It </w:t>
      </w:r>
      <w:r w:rsidR="004A6DE9">
        <w:rPr>
          <w:rFonts w:ascii="Times New Roman" w:hAnsi="Times New Roman"/>
          <w:sz w:val="24"/>
          <w:szCs w:val="24"/>
          <w:lang w:val="en-AU"/>
        </w:rPr>
        <w:t xml:space="preserve">would </w:t>
      </w:r>
      <w:r w:rsidR="000C32BA">
        <w:rPr>
          <w:rFonts w:ascii="Times New Roman" w:hAnsi="Times New Roman"/>
          <w:sz w:val="24"/>
          <w:szCs w:val="24"/>
          <w:lang w:val="en-AU"/>
        </w:rPr>
        <w:t xml:space="preserve">have all the problems of the status quo </w:t>
      </w:r>
      <w:r w:rsidR="00296B26">
        <w:rPr>
          <w:rFonts w:ascii="Times New Roman" w:hAnsi="Times New Roman"/>
          <w:sz w:val="24"/>
          <w:szCs w:val="24"/>
          <w:lang w:val="en-AU"/>
        </w:rPr>
        <w:t xml:space="preserve">plus removing UOMI from refunds from prior periods </w:t>
      </w:r>
      <w:r w:rsidR="004A6DE9">
        <w:rPr>
          <w:rFonts w:ascii="Times New Roman" w:hAnsi="Times New Roman"/>
          <w:sz w:val="24"/>
          <w:szCs w:val="24"/>
          <w:lang w:val="en-AU"/>
        </w:rPr>
        <w:t xml:space="preserve">would </w:t>
      </w:r>
      <w:r w:rsidR="00296B26">
        <w:rPr>
          <w:rFonts w:ascii="Times New Roman" w:hAnsi="Times New Roman"/>
          <w:sz w:val="24"/>
          <w:szCs w:val="24"/>
          <w:lang w:val="en-AU"/>
        </w:rPr>
        <w:t>require manual intervention</w:t>
      </w:r>
      <w:r w:rsidR="00296B26" w:rsidRPr="0013053D">
        <w:rPr>
          <w:rStyle w:val="FootnoteReference"/>
          <w:rFonts w:ascii="Times New Roman" w:hAnsi="Times New Roman"/>
          <w:szCs w:val="24"/>
          <w:lang w:val="en-AU" w:eastAsia="en-US"/>
        </w:rPr>
        <w:footnoteReference w:id="13"/>
      </w:r>
      <w:r w:rsidR="00296B26">
        <w:rPr>
          <w:rFonts w:ascii="Times New Roman" w:hAnsi="Times New Roman"/>
          <w:sz w:val="24"/>
          <w:szCs w:val="24"/>
          <w:lang w:val="en-AU"/>
        </w:rPr>
        <w:t xml:space="preserve"> to override the standard treatment.</w:t>
      </w:r>
    </w:p>
    <w:p w:rsidR="001116E8" w:rsidRDefault="001116E8" w:rsidP="004E52EA">
      <w:pPr>
        <w:pStyle w:val="CommentText"/>
        <w:spacing w:after="0" w:line="240" w:lineRule="auto"/>
        <w:jc w:val="both"/>
        <w:rPr>
          <w:rFonts w:ascii="Times New Roman" w:hAnsi="Times New Roman"/>
          <w:sz w:val="24"/>
          <w:szCs w:val="24"/>
          <w:lang w:val="en-AU"/>
        </w:rPr>
      </w:pPr>
    </w:p>
    <w:p w:rsidR="001116E8" w:rsidRPr="001116E8" w:rsidRDefault="001116E8" w:rsidP="004E52EA">
      <w:pPr>
        <w:pStyle w:val="CommentText"/>
        <w:spacing w:after="0" w:line="240" w:lineRule="auto"/>
        <w:jc w:val="both"/>
        <w:rPr>
          <w:rFonts w:ascii="Times New Roman" w:hAnsi="Times New Roman"/>
          <w:b/>
          <w:sz w:val="24"/>
          <w:szCs w:val="24"/>
          <w:lang w:val="en-AU"/>
        </w:rPr>
      </w:pPr>
      <w:r w:rsidRPr="001116E8">
        <w:rPr>
          <w:rFonts w:ascii="Times New Roman" w:hAnsi="Times New Roman"/>
          <w:b/>
          <w:sz w:val="24"/>
          <w:szCs w:val="24"/>
          <w:lang w:val="en-AU"/>
        </w:rPr>
        <w:t xml:space="preserve">Option </w:t>
      </w:r>
      <w:r w:rsidR="007C0F48">
        <w:rPr>
          <w:rFonts w:ascii="Times New Roman" w:hAnsi="Times New Roman"/>
          <w:b/>
          <w:sz w:val="24"/>
          <w:szCs w:val="24"/>
          <w:lang w:val="en-AU"/>
        </w:rPr>
        <w:t>3</w:t>
      </w:r>
    </w:p>
    <w:p w:rsidR="001116E8" w:rsidRPr="001116E8" w:rsidRDefault="001116E8" w:rsidP="004E52EA">
      <w:pPr>
        <w:pStyle w:val="CommentText"/>
        <w:spacing w:after="0" w:line="240" w:lineRule="auto"/>
        <w:jc w:val="both"/>
        <w:rPr>
          <w:rFonts w:ascii="Times New Roman" w:hAnsi="Times New Roman"/>
          <w:sz w:val="24"/>
          <w:szCs w:val="24"/>
          <w:lang w:val="en-AU"/>
        </w:rPr>
      </w:pPr>
    </w:p>
    <w:p w:rsidR="001116E8" w:rsidRDefault="001116E8"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sz w:val="24"/>
          <w:szCs w:val="24"/>
          <w:lang w:val="en-AU"/>
        </w:rPr>
        <w:t>A refundable credit has a very similar effect to a spread</w:t>
      </w:r>
      <w:r w:rsidR="00750D2A">
        <w:rPr>
          <w:rFonts w:ascii="Times New Roman" w:hAnsi="Times New Roman"/>
          <w:sz w:val="24"/>
          <w:szCs w:val="24"/>
          <w:lang w:val="en-AU"/>
        </w:rPr>
        <w:t>-</w:t>
      </w:r>
      <w:r>
        <w:rPr>
          <w:rFonts w:ascii="Times New Roman" w:hAnsi="Times New Roman"/>
          <w:sz w:val="24"/>
          <w:szCs w:val="24"/>
          <w:lang w:val="en-AU"/>
        </w:rPr>
        <w:t>back under option 1</w:t>
      </w:r>
      <w:r w:rsidR="007C0F48">
        <w:rPr>
          <w:rFonts w:ascii="Times New Roman" w:hAnsi="Times New Roman"/>
          <w:sz w:val="24"/>
          <w:szCs w:val="24"/>
          <w:lang w:val="en-AU"/>
        </w:rPr>
        <w:t xml:space="preserve"> and 2</w:t>
      </w:r>
      <w:r>
        <w:rPr>
          <w:rFonts w:ascii="Times New Roman" w:hAnsi="Times New Roman"/>
          <w:sz w:val="24"/>
          <w:szCs w:val="24"/>
          <w:lang w:val="en-AU"/>
        </w:rPr>
        <w:t xml:space="preserve">.  The </w:t>
      </w:r>
      <w:r w:rsidR="00AE2CBC">
        <w:rPr>
          <w:rFonts w:ascii="Times New Roman" w:hAnsi="Times New Roman"/>
          <w:sz w:val="24"/>
          <w:szCs w:val="24"/>
          <w:lang w:val="en-AU"/>
        </w:rPr>
        <w:t xml:space="preserve">difference is </w:t>
      </w:r>
      <w:r w:rsidR="00481C65">
        <w:rPr>
          <w:rFonts w:ascii="Times New Roman" w:hAnsi="Times New Roman"/>
          <w:sz w:val="24"/>
          <w:szCs w:val="24"/>
          <w:lang w:val="en-AU"/>
        </w:rPr>
        <w:t xml:space="preserve">that </w:t>
      </w:r>
      <w:r w:rsidR="00AE2CBC">
        <w:rPr>
          <w:rFonts w:ascii="Times New Roman" w:hAnsi="Times New Roman"/>
          <w:sz w:val="24"/>
          <w:szCs w:val="24"/>
          <w:lang w:val="en-AU"/>
        </w:rPr>
        <w:t>qualifying decommissioning expenditure would generate a refundable tax credit in the petroleum miner’s current income tax return instead of requiring the Commissioner to reopen prior periods to reassess and reduce previous tax liabilities already paid.</w:t>
      </w:r>
      <w:r w:rsidR="00CE0D16">
        <w:rPr>
          <w:rFonts w:ascii="Times New Roman" w:hAnsi="Times New Roman"/>
          <w:sz w:val="24"/>
          <w:szCs w:val="24"/>
          <w:lang w:val="en-AU"/>
        </w:rPr>
        <w:t xml:space="preserve">  The refund would be limited to the amount of income tax paid in prior years.</w:t>
      </w:r>
    </w:p>
    <w:p w:rsidR="00AE2CBC" w:rsidRDefault="00AE2CBC" w:rsidP="004E52EA">
      <w:pPr>
        <w:pStyle w:val="CommentText"/>
        <w:spacing w:after="0" w:line="240" w:lineRule="auto"/>
        <w:jc w:val="both"/>
        <w:rPr>
          <w:rFonts w:ascii="Times New Roman" w:hAnsi="Times New Roman"/>
          <w:sz w:val="24"/>
          <w:szCs w:val="24"/>
          <w:lang w:val="en-AU"/>
        </w:rPr>
      </w:pPr>
    </w:p>
    <w:p w:rsidR="00AE2CBC" w:rsidRDefault="00AE2CBC"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sz w:val="24"/>
          <w:szCs w:val="24"/>
          <w:lang w:val="en-AU"/>
        </w:rPr>
        <w:t>Unlike the spread</w:t>
      </w:r>
      <w:r w:rsidR="00750D2A">
        <w:rPr>
          <w:rFonts w:ascii="Times New Roman" w:hAnsi="Times New Roman"/>
          <w:sz w:val="24"/>
          <w:szCs w:val="24"/>
          <w:lang w:val="en-AU"/>
        </w:rPr>
        <w:t>-</w:t>
      </w:r>
      <w:r>
        <w:rPr>
          <w:rFonts w:ascii="Times New Roman" w:hAnsi="Times New Roman"/>
          <w:sz w:val="24"/>
          <w:szCs w:val="24"/>
          <w:lang w:val="en-AU"/>
        </w:rPr>
        <w:t xml:space="preserve">back mechanism, there are a number of refundable credits already in the </w:t>
      </w:r>
      <w:r w:rsidR="00D971A2">
        <w:rPr>
          <w:rFonts w:ascii="Times New Roman" w:hAnsi="Times New Roman"/>
          <w:sz w:val="24"/>
          <w:szCs w:val="24"/>
          <w:lang w:val="en-AU"/>
        </w:rPr>
        <w:t>ITA 2007</w:t>
      </w:r>
      <w:r w:rsidR="007C0F48" w:rsidRPr="0013053D">
        <w:rPr>
          <w:rStyle w:val="FootnoteReference"/>
          <w:rFonts w:ascii="Times New Roman" w:hAnsi="Times New Roman"/>
          <w:szCs w:val="24"/>
          <w:lang w:val="en-AU" w:eastAsia="en-US"/>
        </w:rPr>
        <w:footnoteReference w:id="14"/>
      </w:r>
      <w:r>
        <w:rPr>
          <w:rFonts w:ascii="Times New Roman" w:hAnsi="Times New Roman"/>
          <w:sz w:val="24"/>
          <w:szCs w:val="24"/>
          <w:lang w:val="en-AU"/>
        </w:rPr>
        <w:t xml:space="preserve">.  </w:t>
      </w:r>
      <w:r w:rsidR="007C0F48">
        <w:rPr>
          <w:rFonts w:ascii="Times New Roman" w:hAnsi="Times New Roman"/>
          <w:sz w:val="24"/>
          <w:szCs w:val="24"/>
          <w:lang w:val="en-AU"/>
        </w:rPr>
        <w:t>Most relevant</w:t>
      </w:r>
      <w:r>
        <w:rPr>
          <w:rFonts w:ascii="Times New Roman" w:hAnsi="Times New Roman"/>
          <w:sz w:val="24"/>
          <w:szCs w:val="24"/>
          <w:lang w:val="en-AU"/>
        </w:rPr>
        <w:t xml:space="preserve"> is a refundable credit for mineral mining which relates to rehabilitation expenditure at the end of mining operations.  Officials see many similarities between rehabilitation by mineral miners and decommissioning by petroleum miners and there would </w:t>
      </w:r>
      <w:r w:rsidR="007C0F48">
        <w:rPr>
          <w:rFonts w:ascii="Times New Roman" w:hAnsi="Times New Roman"/>
          <w:sz w:val="24"/>
          <w:szCs w:val="24"/>
          <w:lang w:val="en-AU"/>
        </w:rPr>
        <w:t xml:space="preserve">also </w:t>
      </w:r>
      <w:r>
        <w:rPr>
          <w:rFonts w:ascii="Times New Roman" w:hAnsi="Times New Roman"/>
          <w:sz w:val="24"/>
          <w:szCs w:val="24"/>
          <w:lang w:val="en-AU"/>
        </w:rPr>
        <w:t>be many similarities between how refundable credits would work for the two industries</w:t>
      </w:r>
      <w:r w:rsidR="007C0F48" w:rsidRPr="007C0F48">
        <w:rPr>
          <w:rStyle w:val="FootnoteReference"/>
          <w:rFonts w:ascii="Times New Roman" w:hAnsi="Times New Roman"/>
          <w:szCs w:val="24"/>
          <w:lang w:val="en-AU"/>
        </w:rPr>
        <w:t xml:space="preserve"> </w:t>
      </w:r>
      <w:r w:rsidR="007C0F48" w:rsidRPr="00D971A2">
        <w:rPr>
          <w:rStyle w:val="FootnoteReference"/>
          <w:rFonts w:ascii="Times New Roman" w:hAnsi="Times New Roman"/>
          <w:szCs w:val="24"/>
          <w:lang w:val="en-AU" w:eastAsia="en-US"/>
        </w:rPr>
        <w:footnoteReference w:id="15"/>
      </w:r>
      <w:r>
        <w:rPr>
          <w:rFonts w:ascii="Times New Roman" w:hAnsi="Times New Roman"/>
          <w:sz w:val="24"/>
          <w:szCs w:val="24"/>
          <w:lang w:val="en-AU"/>
        </w:rPr>
        <w:t xml:space="preserve">.  </w:t>
      </w:r>
      <w:r w:rsidR="00A13C27">
        <w:rPr>
          <w:rFonts w:ascii="Times New Roman" w:hAnsi="Times New Roman"/>
          <w:sz w:val="24"/>
          <w:szCs w:val="24"/>
          <w:lang w:val="en-AU"/>
        </w:rPr>
        <w:t>This option would also incorporate the same clarifying amendments covered in option 2 above.</w:t>
      </w:r>
    </w:p>
    <w:p w:rsidR="00AE2CBC" w:rsidRDefault="00AE2CBC" w:rsidP="004E52EA">
      <w:pPr>
        <w:pStyle w:val="CommentText"/>
        <w:spacing w:after="0" w:line="240" w:lineRule="auto"/>
        <w:jc w:val="both"/>
        <w:rPr>
          <w:rFonts w:ascii="Times New Roman" w:hAnsi="Times New Roman"/>
          <w:sz w:val="24"/>
          <w:szCs w:val="24"/>
          <w:lang w:val="en-AU"/>
        </w:rPr>
      </w:pPr>
    </w:p>
    <w:p w:rsidR="00AE2CBC" w:rsidRPr="00AE2CBC" w:rsidRDefault="00AE2CBC" w:rsidP="004E52EA">
      <w:pPr>
        <w:jc w:val="both"/>
        <w:rPr>
          <w:rFonts w:ascii="Times New Roman" w:hAnsi="Times New Roman"/>
          <w:b/>
          <w:i/>
          <w:sz w:val="24"/>
          <w:szCs w:val="24"/>
          <w:lang w:val="en-AU"/>
        </w:rPr>
      </w:pPr>
      <w:r>
        <w:rPr>
          <w:rFonts w:ascii="Times New Roman" w:hAnsi="Times New Roman"/>
          <w:b/>
          <w:i/>
          <w:sz w:val="24"/>
          <w:szCs w:val="24"/>
          <w:lang w:val="en-AU"/>
        </w:rPr>
        <w:t xml:space="preserve">Assessment against criteria – option </w:t>
      </w:r>
      <w:r w:rsidR="00257E29">
        <w:rPr>
          <w:rFonts w:ascii="Times New Roman" w:hAnsi="Times New Roman"/>
          <w:b/>
          <w:i/>
          <w:sz w:val="24"/>
          <w:szCs w:val="24"/>
          <w:lang w:val="en-AU"/>
        </w:rPr>
        <w:t>3</w:t>
      </w:r>
    </w:p>
    <w:p w:rsidR="00296B26" w:rsidRDefault="00296B26"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sz w:val="24"/>
          <w:szCs w:val="24"/>
          <w:lang w:val="en-AU"/>
        </w:rPr>
        <w:t>Option 3 meets the main objective.  The refundable credit mechanism would broadly align with other credits already available and would be</w:t>
      </w:r>
      <w:r w:rsidR="009A05EE">
        <w:rPr>
          <w:rFonts w:ascii="Times New Roman" w:hAnsi="Times New Roman"/>
          <w:sz w:val="24"/>
          <w:szCs w:val="24"/>
          <w:lang w:val="en-AU"/>
        </w:rPr>
        <w:t xml:space="preserve"> consistent with the policy intent of the petroleum mining rules</w:t>
      </w:r>
      <w:r>
        <w:rPr>
          <w:rFonts w:ascii="Times New Roman" w:hAnsi="Times New Roman"/>
          <w:sz w:val="24"/>
          <w:szCs w:val="24"/>
          <w:lang w:val="en-AU"/>
        </w:rPr>
        <w:t>.</w:t>
      </w:r>
    </w:p>
    <w:p w:rsidR="00296B26" w:rsidRDefault="00296B26" w:rsidP="004E52EA">
      <w:pPr>
        <w:pStyle w:val="CommentText"/>
        <w:spacing w:after="0" w:line="240" w:lineRule="auto"/>
        <w:jc w:val="both"/>
        <w:rPr>
          <w:rFonts w:ascii="Times New Roman" w:hAnsi="Times New Roman"/>
          <w:sz w:val="24"/>
          <w:szCs w:val="24"/>
          <w:lang w:val="en-AU"/>
        </w:rPr>
      </w:pPr>
    </w:p>
    <w:p w:rsidR="00296B26" w:rsidRDefault="00296B26"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sidRPr="00BE53B9">
        <w:rPr>
          <w:rFonts w:ascii="Times New Roman" w:hAnsi="Times New Roman"/>
          <w:i/>
          <w:sz w:val="24"/>
          <w:szCs w:val="24"/>
          <w:lang w:val="en-AU"/>
        </w:rPr>
        <w:t>Neutrality</w:t>
      </w:r>
      <w:r>
        <w:rPr>
          <w:rFonts w:ascii="Times New Roman" w:hAnsi="Times New Roman"/>
          <w:sz w:val="24"/>
          <w:szCs w:val="24"/>
          <w:lang w:val="en-AU"/>
        </w:rPr>
        <w:t>.  O</w:t>
      </w:r>
      <w:r w:rsidR="009A05EE">
        <w:rPr>
          <w:rFonts w:ascii="Times New Roman" w:hAnsi="Times New Roman"/>
          <w:sz w:val="24"/>
          <w:szCs w:val="24"/>
          <w:lang w:val="en-AU"/>
        </w:rPr>
        <w:t>ption 3</w:t>
      </w:r>
      <w:r>
        <w:rPr>
          <w:rFonts w:ascii="Times New Roman" w:hAnsi="Times New Roman"/>
          <w:sz w:val="24"/>
          <w:szCs w:val="24"/>
          <w:lang w:val="en-AU"/>
        </w:rPr>
        <w:t xml:space="preserve"> is an improvement over the status quo.  The </w:t>
      </w:r>
      <w:r w:rsidR="009A05EE">
        <w:rPr>
          <w:rFonts w:ascii="Times New Roman" w:hAnsi="Times New Roman"/>
          <w:sz w:val="24"/>
          <w:szCs w:val="24"/>
          <w:lang w:val="en-AU"/>
        </w:rPr>
        <w:t>rules would</w:t>
      </w:r>
      <w:r>
        <w:rPr>
          <w:rFonts w:ascii="Times New Roman" w:hAnsi="Times New Roman"/>
          <w:sz w:val="24"/>
          <w:szCs w:val="24"/>
          <w:lang w:val="en-AU"/>
        </w:rPr>
        <w:t xml:space="preserve"> remove the incentives and disincentives present in the </w:t>
      </w:r>
      <w:r w:rsidR="00481C65">
        <w:rPr>
          <w:rFonts w:ascii="Times New Roman" w:hAnsi="Times New Roman"/>
          <w:sz w:val="24"/>
          <w:szCs w:val="24"/>
          <w:lang w:val="en-AU"/>
        </w:rPr>
        <w:t>current tax</w:t>
      </w:r>
      <w:r>
        <w:rPr>
          <w:rFonts w:ascii="Times New Roman" w:hAnsi="Times New Roman"/>
          <w:sz w:val="24"/>
          <w:szCs w:val="24"/>
          <w:lang w:val="en-AU"/>
        </w:rPr>
        <w:t xml:space="preserve"> rules.  </w:t>
      </w:r>
    </w:p>
    <w:p w:rsidR="00296B26" w:rsidRDefault="00296B26" w:rsidP="004E52EA">
      <w:pPr>
        <w:pStyle w:val="ListParagraph"/>
        <w:rPr>
          <w:rFonts w:ascii="Times New Roman" w:hAnsi="Times New Roman"/>
          <w:sz w:val="24"/>
          <w:szCs w:val="24"/>
          <w:lang w:val="en-AU"/>
        </w:rPr>
      </w:pPr>
    </w:p>
    <w:p w:rsidR="00296B26" w:rsidRDefault="00296B26"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i/>
          <w:sz w:val="24"/>
          <w:szCs w:val="24"/>
          <w:lang w:val="en-AU"/>
        </w:rPr>
        <w:t>Fairness and equity</w:t>
      </w:r>
      <w:r>
        <w:rPr>
          <w:rFonts w:ascii="Times New Roman" w:hAnsi="Times New Roman"/>
          <w:sz w:val="24"/>
          <w:szCs w:val="24"/>
          <w:lang w:val="en-AU"/>
        </w:rPr>
        <w:t xml:space="preserve">.  Option </w:t>
      </w:r>
      <w:r w:rsidR="009A05EE">
        <w:rPr>
          <w:rFonts w:ascii="Times New Roman" w:hAnsi="Times New Roman"/>
          <w:sz w:val="24"/>
          <w:szCs w:val="24"/>
          <w:lang w:val="en-AU"/>
        </w:rPr>
        <w:t>3</w:t>
      </w:r>
      <w:r>
        <w:rPr>
          <w:rFonts w:ascii="Times New Roman" w:hAnsi="Times New Roman"/>
          <w:sz w:val="24"/>
          <w:szCs w:val="24"/>
          <w:lang w:val="en-AU"/>
        </w:rPr>
        <w:t xml:space="preserve"> is an improvement over the status quo.  The </w:t>
      </w:r>
      <w:r w:rsidR="009A05EE">
        <w:rPr>
          <w:rFonts w:ascii="Times New Roman" w:hAnsi="Times New Roman"/>
          <w:sz w:val="24"/>
          <w:szCs w:val="24"/>
          <w:lang w:val="en-AU"/>
        </w:rPr>
        <w:t>rules would include clarification of</w:t>
      </w:r>
      <w:r>
        <w:rPr>
          <w:rFonts w:ascii="Times New Roman" w:hAnsi="Times New Roman"/>
          <w:sz w:val="24"/>
          <w:szCs w:val="24"/>
          <w:lang w:val="en-AU"/>
        </w:rPr>
        <w:t xml:space="preserve"> a number of issues that could be concessionary towards petroleum miners.</w:t>
      </w:r>
      <w:r w:rsidR="00297322">
        <w:rPr>
          <w:rFonts w:ascii="Times New Roman" w:hAnsi="Times New Roman"/>
          <w:sz w:val="24"/>
          <w:szCs w:val="24"/>
          <w:lang w:val="en-AU"/>
        </w:rPr>
        <w:t xml:space="preserve">  Providing a refundable credit recognises the different income profile of petroleum mining but does not otherwise provide a concession not available to other industries.</w:t>
      </w:r>
    </w:p>
    <w:p w:rsidR="00296B26" w:rsidRDefault="00296B26" w:rsidP="004E52EA">
      <w:pPr>
        <w:pStyle w:val="ListParagraph"/>
        <w:rPr>
          <w:rFonts w:ascii="Times New Roman" w:hAnsi="Times New Roman"/>
          <w:sz w:val="24"/>
          <w:szCs w:val="24"/>
          <w:lang w:val="en-AU"/>
        </w:rPr>
      </w:pPr>
    </w:p>
    <w:p w:rsidR="00AE2CBC" w:rsidRPr="009A05EE" w:rsidRDefault="00296B26"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sidRPr="009A05EE">
        <w:rPr>
          <w:rFonts w:ascii="Times New Roman" w:hAnsi="Times New Roman"/>
          <w:i/>
          <w:sz w:val="24"/>
          <w:szCs w:val="24"/>
          <w:lang w:val="en-AU"/>
        </w:rPr>
        <w:t>Efficiency of compliance and administration</w:t>
      </w:r>
      <w:r w:rsidRPr="009A05EE">
        <w:rPr>
          <w:rFonts w:ascii="Times New Roman" w:hAnsi="Times New Roman"/>
          <w:sz w:val="24"/>
          <w:szCs w:val="24"/>
          <w:lang w:val="en-AU"/>
        </w:rPr>
        <w:t xml:space="preserve">.  Option </w:t>
      </w:r>
      <w:r w:rsidR="00477AF9">
        <w:rPr>
          <w:rFonts w:ascii="Times New Roman" w:hAnsi="Times New Roman"/>
          <w:sz w:val="24"/>
          <w:szCs w:val="24"/>
          <w:lang w:val="en-AU"/>
        </w:rPr>
        <w:t>3</w:t>
      </w:r>
      <w:r w:rsidRPr="009A05EE">
        <w:rPr>
          <w:rFonts w:ascii="Times New Roman" w:hAnsi="Times New Roman"/>
          <w:sz w:val="24"/>
          <w:szCs w:val="24"/>
          <w:lang w:val="en-AU"/>
        </w:rPr>
        <w:t xml:space="preserve"> is </w:t>
      </w:r>
      <w:r w:rsidR="009A05EE" w:rsidRPr="009A05EE">
        <w:rPr>
          <w:rFonts w:ascii="Times New Roman" w:hAnsi="Times New Roman"/>
          <w:sz w:val="24"/>
          <w:szCs w:val="24"/>
          <w:lang w:val="en-AU"/>
        </w:rPr>
        <w:t xml:space="preserve">a significant </w:t>
      </w:r>
      <w:r w:rsidR="009A05EE" w:rsidRPr="009A43AF">
        <w:rPr>
          <w:rFonts w:ascii="Times New Roman" w:hAnsi="Times New Roman"/>
          <w:sz w:val="24"/>
          <w:szCs w:val="24"/>
          <w:lang w:val="en-AU"/>
        </w:rPr>
        <w:t>improvement over the status quo</w:t>
      </w:r>
      <w:r w:rsidRPr="009A43AF">
        <w:rPr>
          <w:rFonts w:ascii="Times New Roman" w:hAnsi="Times New Roman"/>
          <w:sz w:val="24"/>
          <w:szCs w:val="24"/>
          <w:lang w:val="en-AU"/>
        </w:rPr>
        <w:t>.</w:t>
      </w:r>
      <w:r w:rsidR="009A05EE" w:rsidRPr="009A43AF">
        <w:rPr>
          <w:rFonts w:ascii="Times New Roman" w:hAnsi="Times New Roman"/>
          <w:sz w:val="24"/>
          <w:szCs w:val="24"/>
          <w:lang w:val="en-AU"/>
        </w:rPr>
        <w:t xml:space="preserve">  It </w:t>
      </w:r>
      <w:r w:rsidR="004A6DE9">
        <w:rPr>
          <w:rFonts w:ascii="Times New Roman" w:hAnsi="Times New Roman"/>
          <w:sz w:val="24"/>
          <w:szCs w:val="24"/>
          <w:lang w:val="en-AU"/>
        </w:rPr>
        <w:t>would</w:t>
      </w:r>
      <w:r w:rsidR="004A6DE9" w:rsidRPr="009A43AF">
        <w:rPr>
          <w:rFonts w:ascii="Times New Roman" w:hAnsi="Times New Roman"/>
          <w:sz w:val="24"/>
          <w:szCs w:val="24"/>
          <w:lang w:val="en-AU"/>
        </w:rPr>
        <w:t xml:space="preserve"> </w:t>
      </w:r>
      <w:r w:rsidR="009A05EE" w:rsidRPr="009A43AF">
        <w:rPr>
          <w:rFonts w:ascii="Times New Roman" w:hAnsi="Times New Roman"/>
          <w:sz w:val="24"/>
          <w:szCs w:val="24"/>
          <w:lang w:val="en-AU"/>
        </w:rPr>
        <w:t>remove the need for any interaction between Inland Re</w:t>
      </w:r>
      <w:r w:rsidR="009A05EE" w:rsidRPr="0087423E">
        <w:rPr>
          <w:rFonts w:ascii="Times New Roman" w:hAnsi="Times New Roman"/>
          <w:sz w:val="24"/>
          <w:szCs w:val="24"/>
          <w:lang w:val="en-AU"/>
        </w:rPr>
        <w:t xml:space="preserve">venue and petroleum miners </w:t>
      </w:r>
      <w:r w:rsidR="009A05EE" w:rsidRPr="003243C3">
        <w:rPr>
          <w:rFonts w:ascii="Times New Roman" w:hAnsi="Times New Roman"/>
          <w:sz w:val="24"/>
          <w:szCs w:val="24"/>
          <w:lang w:val="en-AU"/>
        </w:rPr>
        <w:t xml:space="preserve">regarding </w:t>
      </w:r>
      <w:r w:rsidR="009A05EE" w:rsidRPr="00260CA9">
        <w:rPr>
          <w:rFonts w:ascii="Times New Roman" w:hAnsi="Times New Roman"/>
          <w:sz w:val="24"/>
          <w:szCs w:val="24"/>
          <w:lang w:val="en-AU"/>
        </w:rPr>
        <w:t>reopeni</w:t>
      </w:r>
      <w:r w:rsidR="009A05EE">
        <w:rPr>
          <w:rFonts w:ascii="Times New Roman" w:hAnsi="Times New Roman"/>
          <w:sz w:val="24"/>
          <w:szCs w:val="24"/>
          <w:lang w:val="en-AU"/>
        </w:rPr>
        <w:t>ng prior</w:t>
      </w:r>
      <w:r w:rsidR="00477AF9">
        <w:rPr>
          <w:rFonts w:ascii="Times New Roman" w:hAnsi="Times New Roman"/>
          <w:sz w:val="24"/>
          <w:szCs w:val="24"/>
          <w:lang w:val="en-AU"/>
        </w:rPr>
        <w:t xml:space="preserve"> assessment</w:t>
      </w:r>
      <w:r w:rsidR="009A05EE">
        <w:rPr>
          <w:rFonts w:ascii="Times New Roman" w:hAnsi="Times New Roman"/>
          <w:sz w:val="24"/>
          <w:szCs w:val="24"/>
          <w:lang w:val="en-AU"/>
        </w:rPr>
        <w:t xml:space="preserve"> periods.  </w:t>
      </w:r>
      <w:r w:rsidR="00481C65">
        <w:rPr>
          <w:rFonts w:ascii="Times New Roman" w:hAnsi="Times New Roman"/>
          <w:sz w:val="24"/>
          <w:szCs w:val="24"/>
          <w:lang w:val="en-AU"/>
        </w:rPr>
        <w:t>In comparison with options 4 and 5, i</w:t>
      </w:r>
      <w:r w:rsidR="009A05EE">
        <w:rPr>
          <w:rFonts w:ascii="Times New Roman" w:hAnsi="Times New Roman"/>
          <w:sz w:val="24"/>
          <w:szCs w:val="24"/>
          <w:lang w:val="en-AU"/>
        </w:rPr>
        <w:t xml:space="preserve">t </w:t>
      </w:r>
      <w:r w:rsidR="004A6DE9">
        <w:rPr>
          <w:rFonts w:ascii="Times New Roman" w:hAnsi="Times New Roman"/>
          <w:sz w:val="24"/>
          <w:szCs w:val="24"/>
          <w:lang w:val="en-AU"/>
        </w:rPr>
        <w:t>would</w:t>
      </w:r>
      <w:r w:rsidR="009A05EE">
        <w:rPr>
          <w:rFonts w:ascii="Times New Roman" w:hAnsi="Times New Roman"/>
          <w:sz w:val="24"/>
          <w:szCs w:val="24"/>
          <w:lang w:val="en-AU"/>
        </w:rPr>
        <w:t xml:space="preserve"> also reduce the focus on verifying</w:t>
      </w:r>
      <w:r w:rsidR="009A05EE" w:rsidRPr="009A05EE">
        <w:rPr>
          <w:rFonts w:ascii="Times New Roman" w:hAnsi="Times New Roman"/>
          <w:sz w:val="24"/>
          <w:szCs w:val="24"/>
          <w:lang w:val="en-AU"/>
        </w:rPr>
        <w:t xml:space="preserve"> provisions for decommissioning with Inland Revenue at any point prior to claiming the refundable credit.</w:t>
      </w:r>
    </w:p>
    <w:p w:rsidR="00AE2CBC" w:rsidRDefault="00AE2CBC" w:rsidP="004E52EA">
      <w:pPr>
        <w:pStyle w:val="CommentText"/>
        <w:spacing w:after="0" w:line="240" w:lineRule="auto"/>
        <w:jc w:val="both"/>
        <w:rPr>
          <w:rFonts w:ascii="Times New Roman" w:hAnsi="Times New Roman"/>
          <w:sz w:val="24"/>
          <w:szCs w:val="24"/>
          <w:lang w:val="en-AU"/>
        </w:rPr>
      </w:pPr>
    </w:p>
    <w:p w:rsidR="00AE2CBC" w:rsidRPr="00AE2CBC" w:rsidRDefault="00AE2CBC" w:rsidP="004E52EA">
      <w:pPr>
        <w:pStyle w:val="CommentText"/>
        <w:spacing w:after="0" w:line="240" w:lineRule="auto"/>
        <w:jc w:val="both"/>
        <w:rPr>
          <w:rFonts w:ascii="Times New Roman" w:hAnsi="Times New Roman"/>
          <w:b/>
          <w:sz w:val="24"/>
          <w:szCs w:val="24"/>
          <w:lang w:val="en-AU"/>
        </w:rPr>
      </w:pPr>
      <w:r>
        <w:rPr>
          <w:rFonts w:ascii="Times New Roman" w:hAnsi="Times New Roman"/>
          <w:b/>
          <w:sz w:val="24"/>
          <w:szCs w:val="24"/>
          <w:lang w:val="en-AU"/>
        </w:rPr>
        <w:t xml:space="preserve">Option </w:t>
      </w:r>
      <w:r w:rsidR="00257E29">
        <w:rPr>
          <w:rFonts w:ascii="Times New Roman" w:hAnsi="Times New Roman"/>
          <w:b/>
          <w:sz w:val="24"/>
          <w:szCs w:val="24"/>
          <w:lang w:val="en-AU"/>
        </w:rPr>
        <w:t>4</w:t>
      </w:r>
    </w:p>
    <w:p w:rsidR="00AE2CBC" w:rsidRDefault="00AE2CBC" w:rsidP="004E52EA">
      <w:pPr>
        <w:pStyle w:val="CommentText"/>
        <w:spacing w:after="0" w:line="240" w:lineRule="auto"/>
        <w:jc w:val="both"/>
        <w:rPr>
          <w:rFonts w:ascii="Times New Roman" w:hAnsi="Times New Roman"/>
          <w:sz w:val="24"/>
          <w:szCs w:val="24"/>
          <w:lang w:val="en-AU"/>
        </w:rPr>
      </w:pPr>
    </w:p>
    <w:p w:rsidR="00AE2CBC" w:rsidRDefault="00AE2CBC"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sz w:val="24"/>
          <w:szCs w:val="24"/>
          <w:lang w:val="en-AU"/>
        </w:rPr>
        <w:t xml:space="preserve">An environmental restoration account </w:t>
      </w:r>
      <w:r w:rsidR="00E85D69">
        <w:rPr>
          <w:rFonts w:ascii="Times New Roman" w:hAnsi="Times New Roman"/>
          <w:sz w:val="24"/>
          <w:szCs w:val="24"/>
          <w:lang w:val="en-AU"/>
        </w:rPr>
        <w:t xml:space="preserve">would allow a petroleum miner to make a payment into an account operated by the Commissioner </w:t>
      </w:r>
      <w:r w:rsidR="00C03BDD">
        <w:rPr>
          <w:rFonts w:ascii="Times New Roman" w:hAnsi="Times New Roman"/>
          <w:sz w:val="24"/>
          <w:szCs w:val="24"/>
          <w:lang w:val="en-AU"/>
        </w:rPr>
        <w:t xml:space="preserve">based on provisions for decommissioning.  </w:t>
      </w:r>
      <w:r w:rsidR="00257E29">
        <w:rPr>
          <w:rFonts w:ascii="Times New Roman" w:hAnsi="Times New Roman"/>
          <w:sz w:val="24"/>
          <w:szCs w:val="24"/>
          <w:lang w:val="en-AU"/>
        </w:rPr>
        <w:t xml:space="preserve">Provisions are an accounting deduction for expenditure or loss expected to be incurred by the person in a future period and allow a more conservative accounting profit to be recorded to reflect deductions that would have otherwise arisen in a later period.  Generally accounting provisions are not deductible for tax purposes.  </w:t>
      </w:r>
      <w:r w:rsidR="00C03BDD">
        <w:rPr>
          <w:rFonts w:ascii="Times New Roman" w:hAnsi="Times New Roman"/>
          <w:sz w:val="24"/>
          <w:szCs w:val="24"/>
          <w:lang w:val="en-AU"/>
        </w:rPr>
        <w:t xml:space="preserve">Amounts </w:t>
      </w:r>
      <w:r w:rsidR="00D971A2">
        <w:rPr>
          <w:rFonts w:ascii="Times New Roman" w:hAnsi="Times New Roman"/>
          <w:sz w:val="24"/>
          <w:szCs w:val="24"/>
          <w:lang w:val="en-AU"/>
        </w:rPr>
        <w:t>deposited</w:t>
      </w:r>
      <w:r w:rsidR="00C03BDD">
        <w:rPr>
          <w:rFonts w:ascii="Times New Roman" w:hAnsi="Times New Roman"/>
          <w:sz w:val="24"/>
          <w:szCs w:val="24"/>
          <w:lang w:val="en-AU"/>
        </w:rPr>
        <w:t xml:space="preserve"> into this account would be deductible when </w:t>
      </w:r>
      <w:r w:rsidR="00D971A2">
        <w:rPr>
          <w:rFonts w:ascii="Times New Roman" w:hAnsi="Times New Roman"/>
          <w:sz w:val="24"/>
          <w:szCs w:val="24"/>
          <w:lang w:val="en-AU"/>
        </w:rPr>
        <w:t>paid</w:t>
      </w:r>
      <w:r w:rsidR="00C03BDD">
        <w:rPr>
          <w:rFonts w:ascii="Times New Roman" w:hAnsi="Times New Roman"/>
          <w:sz w:val="24"/>
          <w:szCs w:val="24"/>
          <w:lang w:val="en-AU"/>
        </w:rPr>
        <w:t xml:space="preserve"> and the petroleum miner could withdraw them from this account at a later date </w:t>
      </w:r>
      <w:r w:rsidR="00D971A2">
        <w:rPr>
          <w:rFonts w:ascii="Times New Roman" w:hAnsi="Times New Roman"/>
          <w:sz w:val="24"/>
          <w:szCs w:val="24"/>
          <w:lang w:val="en-AU"/>
        </w:rPr>
        <w:t>to satisfy decommissioning expenditure when it was incurred.</w:t>
      </w:r>
      <w:r w:rsidR="000739AD">
        <w:rPr>
          <w:rFonts w:ascii="Times New Roman" w:hAnsi="Times New Roman"/>
          <w:sz w:val="24"/>
          <w:szCs w:val="24"/>
          <w:lang w:val="en-AU"/>
        </w:rPr>
        <w:t xml:space="preserve">  Modest interest on the account balance would be paid in the meantime.</w:t>
      </w:r>
    </w:p>
    <w:p w:rsidR="00D971A2" w:rsidRDefault="00D971A2" w:rsidP="004E52EA">
      <w:pPr>
        <w:pStyle w:val="CommentText"/>
        <w:spacing w:after="0" w:line="240" w:lineRule="auto"/>
        <w:jc w:val="both"/>
        <w:rPr>
          <w:rFonts w:ascii="Times New Roman" w:hAnsi="Times New Roman"/>
          <w:sz w:val="24"/>
          <w:szCs w:val="24"/>
          <w:lang w:val="en-AU"/>
        </w:rPr>
      </w:pPr>
    </w:p>
    <w:p w:rsidR="00D971A2" w:rsidRDefault="00D971A2"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sz w:val="24"/>
          <w:szCs w:val="24"/>
          <w:lang w:val="en-AU"/>
        </w:rPr>
        <w:t xml:space="preserve">This option would be closely based on existing provisions for environmental restoration accounts in subpart EK of the ITA 2007.  </w:t>
      </w:r>
      <w:r w:rsidR="000739AD">
        <w:rPr>
          <w:rFonts w:ascii="Times New Roman" w:hAnsi="Times New Roman"/>
          <w:sz w:val="24"/>
          <w:szCs w:val="24"/>
          <w:lang w:val="en-AU"/>
        </w:rPr>
        <w:t>Existing environmental restoration accounts are not industry specific and can be available whenever the necessary criteria are met.  An example of a current use of an environmental restoration account would be a taxpayer operating a landfill.</w:t>
      </w:r>
    </w:p>
    <w:p w:rsidR="00D971A2" w:rsidRDefault="00D971A2" w:rsidP="004E52EA">
      <w:pPr>
        <w:pStyle w:val="ListParagraph"/>
        <w:rPr>
          <w:rFonts w:ascii="Times New Roman" w:hAnsi="Times New Roman"/>
          <w:sz w:val="24"/>
          <w:szCs w:val="24"/>
          <w:lang w:val="en-AU"/>
        </w:rPr>
      </w:pPr>
    </w:p>
    <w:p w:rsidR="00D971A2" w:rsidRDefault="008E53A1"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sz w:val="24"/>
          <w:szCs w:val="24"/>
          <w:lang w:val="en-AU"/>
        </w:rPr>
        <w:t>Environmental restoration accounts were</w:t>
      </w:r>
      <w:r w:rsidR="00D971A2">
        <w:rPr>
          <w:rFonts w:ascii="Times New Roman" w:hAnsi="Times New Roman"/>
          <w:sz w:val="24"/>
          <w:szCs w:val="24"/>
          <w:lang w:val="en-AU"/>
        </w:rPr>
        <w:t xml:space="preserve"> also proposed for rehabilitation expenditure for mineral mining in the October 2012 </w:t>
      </w:r>
      <w:r w:rsidR="00D971A2">
        <w:rPr>
          <w:rFonts w:ascii="Times New Roman" w:hAnsi="Times New Roman"/>
          <w:i/>
          <w:sz w:val="24"/>
          <w:szCs w:val="24"/>
          <w:lang w:val="en-AU"/>
        </w:rPr>
        <w:t>Taxation of specified mineral mining</w:t>
      </w:r>
      <w:r w:rsidR="00D971A2">
        <w:rPr>
          <w:rFonts w:ascii="Times New Roman" w:hAnsi="Times New Roman"/>
          <w:sz w:val="24"/>
          <w:szCs w:val="24"/>
          <w:lang w:val="en-AU"/>
        </w:rPr>
        <w:t xml:space="preserve"> officials’ issues paper</w:t>
      </w:r>
      <w:r w:rsidR="00D971A2" w:rsidRPr="00D971A2">
        <w:rPr>
          <w:rStyle w:val="FootnoteReference"/>
          <w:rFonts w:ascii="Times New Roman" w:hAnsi="Times New Roman"/>
          <w:szCs w:val="24"/>
          <w:lang w:val="en-AU"/>
        </w:rPr>
        <w:footnoteReference w:id="16"/>
      </w:r>
      <w:r w:rsidR="00D971A2" w:rsidRPr="00D971A2">
        <w:rPr>
          <w:rFonts w:ascii="Times New Roman" w:hAnsi="Times New Roman"/>
          <w:sz w:val="24"/>
          <w:szCs w:val="24"/>
          <w:lang w:val="en-AU"/>
        </w:rPr>
        <w:t>.</w:t>
      </w:r>
      <w:r w:rsidR="00D971A2">
        <w:rPr>
          <w:rFonts w:ascii="Times New Roman" w:hAnsi="Times New Roman"/>
          <w:sz w:val="24"/>
          <w:szCs w:val="24"/>
          <w:lang w:val="en-AU"/>
        </w:rPr>
        <w:t xml:space="preserve">  However, upon considering feedback from submitters</w:t>
      </w:r>
      <w:r w:rsidR="00297322">
        <w:rPr>
          <w:rFonts w:ascii="Times New Roman" w:hAnsi="Times New Roman"/>
          <w:sz w:val="24"/>
          <w:szCs w:val="24"/>
          <w:lang w:val="en-AU"/>
        </w:rPr>
        <w:t>, which was strongly opposed particularly because of the negative cash flow impact of making deposits into the account,</w:t>
      </w:r>
      <w:r w:rsidR="00D971A2">
        <w:rPr>
          <w:rFonts w:ascii="Times New Roman" w:hAnsi="Times New Roman"/>
          <w:sz w:val="24"/>
          <w:szCs w:val="24"/>
          <w:lang w:val="en-AU"/>
        </w:rPr>
        <w:t xml:space="preserve"> this was replaced by the refundable credit mechanism covered by option </w:t>
      </w:r>
      <w:r>
        <w:rPr>
          <w:rFonts w:ascii="Times New Roman" w:hAnsi="Times New Roman"/>
          <w:sz w:val="24"/>
          <w:szCs w:val="24"/>
          <w:lang w:val="en-AU"/>
        </w:rPr>
        <w:t>3</w:t>
      </w:r>
      <w:r w:rsidR="00D971A2">
        <w:rPr>
          <w:rFonts w:ascii="Times New Roman" w:hAnsi="Times New Roman"/>
          <w:sz w:val="24"/>
          <w:szCs w:val="24"/>
          <w:lang w:val="en-AU"/>
        </w:rPr>
        <w:t>.</w:t>
      </w:r>
    </w:p>
    <w:p w:rsidR="00D971A2" w:rsidRPr="00D971A2" w:rsidRDefault="00D971A2" w:rsidP="004E52EA">
      <w:pPr>
        <w:pStyle w:val="CommentText"/>
        <w:spacing w:after="0" w:line="240" w:lineRule="auto"/>
        <w:jc w:val="both"/>
        <w:rPr>
          <w:rFonts w:ascii="Times New Roman" w:hAnsi="Times New Roman"/>
          <w:sz w:val="24"/>
          <w:szCs w:val="24"/>
          <w:lang w:val="en-AU"/>
        </w:rPr>
      </w:pPr>
    </w:p>
    <w:p w:rsidR="00D971A2" w:rsidRPr="00D971A2" w:rsidRDefault="00D971A2" w:rsidP="004E52EA">
      <w:pPr>
        <w:jc w:val="both"/>
        <w:rPr>
          <w:rFonts w:ascii="Times New Roman" w:hAnsi="Times New Roman"/>
          <w:b/>
          <w:i/>
          <w:sz w:val="24"/>
          <w:szCs w:val="24"/>
          <w:lang w:val="en-AU"/>
        </w:rPr>
      </w:pPr>
      <w:r w:rsidRPr="00D971A2">
        <w:rPr>
          <w:rFonts w:ascii="Times New Roman" w:hAnsi="Times New Roman"/>
          <w:b/>
          <w:i/>
          <w:sz w:val="24"/>
          <w:szCs w:val="24"/>
          <w:lang w:val="en-AU"/>
        </w:rPr>
        <w:t xml:space="preserve">Assessment against criteria – option </w:t>
      </w:r>
      <w:r w:rsidR="00257E29">
        <w:rPr>
          <w:rFonts w:ascii="Times New Roman" w:hAnsi="Times New Roman"/>
          <w:b/>
          <w:i/>
          <w:sz w:val="24"/>
          <w:szCs w:val="24"/>
          <w:lang w:val="en-AU"/>
        </w:rPr>
        <w:t>4</w:t>
      </w:r>
    </w:p>
    <w:p w:rsidR="009A43AF" w:rsidRDefault="009A43AF"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sz w:val="24"/>
          <w:szCs w:val="24"/>
          <w:lang w:val="en-AU"/>
        </w:rPr>
        <w:t>Option 4 meets the main objective.  The proposal is consistent with rules that already apply to similar restoration processes.</w:t>
      </w:r>
    </w:p>
    <w:p w:rsidR="009A43AF" w:rsidRDefault="009A43AF" w:rsidP="004E52EA">
      <w:pPr>
        <w:pStyle w:val="CommentText"/>
        <w:spacing w:after="0" w:line="240" w:lineRule="auto"/>
        <w:jc w:val="both"/>
        <w:rPr>
          <w:rFonts w:ascii="Times New Roman" w:hAnsi="Times New Roman"/>
          <w:sz w:val="24"/>
          <w:szCs w:val="24"/>
          <w:lang w:val="en-AU"/>
        </w:rPr>
      </w:pPr>
    </w:p>
    <w:p w:rsidR="009A43AF" w:rsidRDefault="009A43AF"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sidRPr="00BE53B9">
        <w:rPr>
          <w:rFonts w:ascii="Times New Roman" w:hAnsi="Times New Roman"/>
          <w:i/>
          <w:sz w:val="24"/>
          <w:szCs w:val="24"/>
          <w:lang w:val="en-AU"/>
        </w:rPr>
        <w:t>Neutrality</w:t>
      </w:r>
      <w:r>
        <w:rPr>
          <w:rFonts w:ascii="Times New Roman" w:hAnsi="Times New Roman"/>
          <w:sz w:val="24"/>
          <w:szCs w:val="24"/>
          <w:lang w:val="en-AU"/>
        </w:rPr>
        <w:t>.  Option 4 is an improvement over the status quo. The</w:t>
      </w:r>
      <w:r w:rsidR="00C21899">
        <w:rPr>
          <w:rFonts w:ascii="Times New Roman" w:hAnsi="Times New Roman"/>
          <w:sz w:val="24"/>
          <w:szCs w:val="24"/>
          <w:lang w:val="en-AU"/>
        </w:rPr>
        <w:t xml:space="preserve"> rules would remove the incentives and disincentives present in the current rules</w:t>
      </w:r>
      <w:r>
        <w:rPr>
          <w:rFonts w:ascii="Times New Roman" w:hAnsi="Times New Roman"/>
          <w:sz w:val="24"/>
          <w:szCs w:val="24"/>
          <w:lang w:val="en-AU"/>
        </w:rPr>
        <w:t xml:space="preserve">.  </w:t>
      </w:r>
    </w:p>
    <w:p w:rsidR="00C21899" w:rsidRDefault="00C21899" w:rsidP="004E52EA">
      <w:pPr>
        <w:pStyle w:val="ListParagraph"/>
        <w:rPr>
          <w:rFonts w:ascii="Times New Roman" w:hAnsi="Times New Roman"/>
          <w:sz w:val="24"/>
          <w:szCs w:val="24"/>
          <w:lang w:val="en-AU"/>
        </w:rPr>
      </w:pPr>
    </w:p>
    <w:p w:rsidR="009A43AF" w:rsidRDefault="009A43AF"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i/>
          <w:sz w:val="24"/>
          <w:szCs w:val="24"/>
          <w:lang w:val="en-AU"/>
        </w:rPr>
        <w:t>Fairness and equity</w:t>
      </w:r>
      <w:r>
        <w:rPr>
          <w:rFonts w:ascii="Times New Roman" w:hAnsi="Times New Roman"/>
          <w:sz w:val="24"/>
          <w:szCs w:val="24"/>
          <w:lang w:val="en-AU"/>
        </w:rPr>
        <w:t>.  Option 4 is an improvement over the status quo.  The amendments clarify a number of issues that could be concessionary towards petroleum miners.</w:t>
      </w:r>
    </w:p>
    <w:p w:rsidR="009A43AF" w:rsidRDefault="009A43AF" w:rsidP="004E52EA">
      <w:pPr>
        <w:pStyle w:val="ListParagraph"/>
        <w:rPr>
          <w:rFonts w:ascii="Times New Roman" w:hAnsi="Times New Roman"/>
          <w:sz w:val="24"/>
          <w:szCs w:val="24"/>
          <w:lang w:val="en-AU"/>
        </w:rPr>
      </w:pPr>
    </w:p>
    <w:p w:rsidR="00D971A2" w:rsidRPr="009A43AF" w:rsidRDefault="009A43AF"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i/>
          <w:sz w:val="24"/>
          <w:szCs w:val="24"/>
          <w:lang w:val="en-AU"/>
        </w:rPr>
        <w:t>Efficiency of compliance and administration</w:t>
      </w:r>
      <w:r>
        <w:rPr>
          <w:rFonts w:ascii="Times New Roman" w:hAnsi="Times New Roman"/>
          <w:sz w:val="24"/>
          <w:szCs w:val="24"/>
          <w:lang w:val="en-AU"/>
        </w:rPr>
        <w:t xml:space="preserve">.  Option 4 is worse than the status quo.  Petroleum miners are likely to </w:t>
      </w:r>
      <w:r w:rsidR="00481C65">
        <w:rPr>
          <w:rFonts w:ascii="Times New Roman" w:hAnsi="Times New Roman"/>
          <w:sz w:val="24"/>
          <w:szCs w:val="24"/>
          <w:lang w:val="en-AU"/>
        </w:rPr>
        <w:t>strongly oppose this option because it would have a significant negative cashflow impact on them</w:t>
      </w:r>
      <w:r w:rsidR="0087423E">
        <w:rPr>
          <w:rFonts w:ascii="Times New Roman" w:hAnsi="Times New Roman"/>
          <w:sz w:val="24"/>
          <w:szCs w:val="24"/>
          <w:lang w:val="en-AU"/>
        </w:rPr>
        <w:t>.  It would also incur administration costs as the Commissioner would have to operate the appropriate accounts.</w:t>
      </w:r>
    </w:p>
    <w:p w:rsidR="00D971A2" w:rsidRDefault="00D971A2" w:rsidP="004E52EA">
      <w:pPr>
        <w:pStyle w:val="CommentText"/>
        <w:spacing w:after="0" w:line="240" w:lineRule="auto"/>
        <w:jc w:val="both"/>
        <w:rPr>
          <w:rFonts w:ascii="Times New Roman" w:hAnsi="Times New Roman"/>
          <w:sz w:val="24"/>
          <w:szCs w:val="24"/>
          <w:lang w:val="en-AU"/>
        </w:rPr>
      </w:pPr>
    </w:p>
    <w:p w:rsidR="00D971A2" w:rsidRPr="00D971A2" w:rsidRDefault="00D971A2" w:rsidP="004E52EA">
      <w:pPr>
        <w:pStyle w:val="CommentText"/>
        <w:spacing w:after="0" w:line="240" w:lineRule="auto"/>
        <w:jc w:val="both"/>
        <w:rPr>
          <w:rFonts w:ascii="Times New Roman" w:hAnsi="Times New Roman"/>
          <w:b/>
          <w:sz w:val="24"/>
          <w:szCs w:val="24"/>
          <w:lang w:val="en-AU"/>
        </w:rPr>
      </w:pPr>
      <w:r>
        <w:rPr>
          <w:rFonts w:ascii="Times New Roman" w:hAnsi="Times New Roman"/>
          <w:b/>
          <w:sz w:val="24"/>
          <w:szCs w:val="24"/>
          <w:lang w:val="en-AU"/>
        </w:rPr>
        <w:t xml:space="preserve">Option </w:t>
      </w:r>
      <w:r w:rsidR="00257E29">
        <w:rPr>
          <w:rFonts w:ascii="Times New Roman" w:hAnsi="Times New Roman"/>
          <w:b/>
          <w:sz w:val="24"/>
          <w:szCs w:val="24"/>
          <w:lang w:val="en-AU"/>
        </w:rPr>
        <w:t>5</w:t>
      </w:r>
    </w:p>
    <w:p w:rsidR="00D971A2" w:rsidRDefault="00D971A2" w:rsidP="004E52EA">
      <w:pPr>
        <w:pStyle w:val="CommentText"/>
        <w:spacing w:after="0" w:line="240" w:lineRule="auto"/>
        <w:jc w:val="both"/>
        <w:rPr>
          <w:rFonts w:ascii="Times New Roman" w:hAnsi="Times New Roman"/>
          <w:sz w:val="24"/>
          <w:szCs w:val="24"/>
          <w:lang w:val="en-AU"/>
        </w:rPr>
      </w:pPr>
    </w:p>
    <w:p w:rsidR="00D971A2" w:rsidRDefault="00AD6884"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sz w:val="24"/>
          <w:szCs w:val="24"/>
          <w:lang w:val="en-AU"/>
        </w:rPr>
        <w:t>As with other industries, petroleum miners create accounting provisions for expenditure or loss they expect to incur in a future period.  This option would allow a petroleum miner to claim a deduction based on accounting provisions for decommissioning expenditure that is expected to be incurred in a future period.</w:t>
      </w:r>
      <w:r w:rsidR="0060515C">
        <w:rPr>
          <w:rFonts w:ascii="Times New Roman" w:hAnsi="Times New Roman"/>
          <w:sz w:val="24"/>
          <w:szCs w:val="24"/>
          <w:lang w:val="en-AU"/>
        </w:rPr>
        <w:t xml:space="preserve">  Although a petroleum miner would commit themselves to decommissioning expenditure once they started the development phase the cost of decommissioning would be spread over the expected life of the field so that the timing would </w:t>
      </w:r>
      <w:r w:rsidR="00C21899">
        <w:rPr>
          <w:rFonts w:ascii="Times New Roman" w:hAnsi="Times New Roman"/>
          <w:sz w:val="24"/>
          <w:szCs w:val="24"/>
          <w:lang w:val="en-AU"/>
        </w:rPr>
        <w:t>align with</w:t>
      </w:r>
      <w:r w:rsidR="0060515C">
        <w:rPr>
          <w:rFonts w:ascii="Times New Roman" w:hAnsi="Times New Roman"/>
          <w:sz w:val="24"/>
          <w:szCs w:val="24"/>
          <w:lang w:val="en-AU"/>
        </w:rPr>
        <w:t xml:space="preserve"> the income derived.</w:t>
      </w:r>
    </w:p>
    <w:p w:rsidR="00AD6884" w:rsidRDefault="00AD6884" w:rsidP="004E52EA">
      <w:pPr>
        <w:pStyle w:val="CommentText"/>
        <w:spacing w:after="0" w:line="240" w:lineRule="auto"/>
        <w:jc w:val="both"/>
        <w:rPr>
          <w:rFonts w:ascii="Times New Roman" w:hAnsi="Times New Roman"/>
          <w:sz w:val="24"/>
          <w:szCs w:val="24"/>
          <w:lang w:val="en-AU"/>
        </w:rPr>
      </w:pPr>
    </w:p>
    <w:p w:rsidR="0060515C" w:rsidRPr="0060515C" w:rsidRDefault="00AD6884"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sz w:val="24"/>
          <w:szCs w:val="24"/>
          <w:lang w:val="en-AU"/>
        </w:rPr>
        <w:t xml:space="preserve">When this option is discussed it is usually referenced back to the Privy Council decision in </w:t>
      </w:r>
      <w:r>
        <w:rPr>
          <w:rFonts w:ascii="Times New Roman" w:hAnsi="Times New Roman"/>
          <w:i/>
          <w:sz w:val="24"/>
          <w:szCs w:val="24"/>
          <w:lang w:val="en-AU"/>
        </w:rPr>
        <w:t>C of IR v Mitsubishi Motors</w:t>
      </w:r>
      <w:r w:rsidRPr="0013053D">
        <w:rPr>
          <w:rStyle w:val="FootnoteReference"/>
          <w:rFonts w:ascii="Times New Roman" w:hAnsi="Times New Roman"/>
          <w:szCs w:val="24"/>
          <w:lang w:val="en-AU" w:eastAsia="en-US"/>
        </w:rPr>
        <w:footnoteReference w:id="17"/>
      </w:r>
      <w:r w:rsidR="00F27CA2">
        <w:rPr>
          <w:rFonts w:ascii="Times New Roman" w:hAnsi="Times New Roman"/>
          <w:i/>
          <w:sz w:val="24"/>
          <w:szCs w:val="24"/>
          <w:lang w:val="en-AU"/>
        </w:rPr>
        <w:t xml:space="preserve"> </w:t>
      </w:r>
      <w:r w:rsidR="00257E29" w:rsidRPr="00257E29">
        <w:rPr>
          <w:rFonts w:ascii="Times New Roman" w:hAnsi="Times New Roman"/>
          <w:sz w:val="24"/>
          <w:szCs w:val="24"/>
          <w:lang w:val="en-AU"/>
        </w:rPr>
        <w:t>which was a case</w:t>
      </w:r>
      <w:r w:rsidR="00257E29">
        <w:rPr>
          <w:rFonts w:ascii="Times New Roman" w:hAnsi="Times New Roman"/>
          <w:sz w:val="24"/>
          <w:szCs w:val="24"/>
          <w:lang w:val="en-AU"/>
        </w:rPr>
        <w:t xml:space="preserve"> regarding the deductibility for tax purposes of provisions created upon the sale of new cars based on prior history of warranty claims</w:t>
      </w:r>
      <w:r>
        <w:rPr>
          <w:rFonts w:ascii="Times New Roman" w:hAnsi="Times New Roman"/>
          <w:i/>
          <w:sz w:val="24"/>
          <w:szCs w:val="24"/>
          <w:lang w:val="en-AU"/>
        </w:rPr>
        <w:t>.</w:t>
      </w:r>
    </w:p>
    <w:p w:rsidR="0060515C" w:rsidRPr="0060515C" w:rsidRDefault="0060515C" w:rsidP="004E52EA">
      <w:pPr>
        <w:pStyle w:val="CommentText"/>
        <w:spacing w:after="0" w:line="240" w:lineRule="auto"/>
        <w:jc w:val="both"/>
        <w:rPr>
          <w:rFonts w:ascii="Times New Roman" w:hAnsi="Times New Roman"/>
          <w:sz w:val="24"/>
          <w:szCs w:val="24"/>
          <w:lang w:val="en-AU"/>
        </w:rPr>
      </w:pPr>
    </w:p>
    <w:p w:rsidR="00F27CA2" w:rsidRDefault="0060515C" w:rsidP="004E52EA">
      <w:pPr>
        <w:pStyle w:val="CommentText"/>
        <w:spacing w:after="0" w:line="240" w:lineRule="auto"/>
        <w:jc w:val="both"/>
        <w:rPr>
          <w:rFonts w:ascii="Times New Roman" w:hAnsi="Times New Roman"/>
          <w:b/>
          <w:i/>
          <w:sz w:val="24"/>
          <w:szCs w:val="24"/>
          <w:lang w:val="en-AU"/>
        </w:rPr>
      </w:pPr>
      <w:r w:rsidRPr="0060515C">
        <w:rPr>
          <w:rFonts w:ascii="Times New Roman" w:hAnsi="Times New Roman"/>
          <w:b/>
          <w:i/>
          <w:sz w:val="24"/>
          <w:szCs w:val="24"/>
          <w:lang w:val="en-AU"/>
        </w:rPr>
        <w:t xml:space="preserve">Assessment against criteria – option </w:t>
      </w:r>
      <w:r w:rsidR="00257E29">
        <w:rPr>
          <w:rFonts w:ascii="Times New Roman" w:hAnsi="Times New Roman"/>
          <w:b/>
          <w:i/>
          <w:sz w:val="24"/>
          <w:szCs w:val="24"/>
          <w:lang w:val="en-AU"/>
        </w:rPr>
        <w:t>5</w:t>
      </w:r>
    </w:p>
    <w:p w:rsidR="00F27CA2" w:rsidRPr="0060515C" w:rsidRDefault="00F27CA2" w:rsidP="004E52EA">
      <w:pPr>
        <w:pStyle w:val="CommentText"/>
        <w:spacing w:after="0" w:line="240" w:lineRule="auto"/>
        <w:jc w:val="both"/>
        <w:rPr>
          <w:rFonts w:ascii="Times New Roman" w:hAnsi="Times New Roman"/>
          <w:b/>
          <w:i/>
          <w:sz w:val="24"/>
          <w:szCs w:val="24"/>
          <w:lang w:val="en-AU"/>
        </w:rPr>
      </w:pPr>
    </w:p>
    <w:p w:rsidR="0087423E" w:rsidRDefault="0087423E"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sz w:val="24"/>
          <w:szCs w:val="24"/>
          <w:lang w:val="en-AU"/>
        </w:rPr>
        <w:t xml:space="preserve">Option 5 meets the main objective.  </w:t>
      </w:r>
      <w:r w:rsidR="00481C65">
        <w:rPr>
          <w:rFonts w:ascii="Times New Roman" w:hAnsi="Times New Roman"/>
          <w:sz w:val="24"/>
          <w:szCs w:val="24"/>
          <w:lang w:val="en-AU"/>
        </w:rPr>
        <w:t>Prior return</w:t>
      </w:r>
      <w:r w:rsidR="00C621F6">
        <w:rPr>
          <w:rFonts w:ascii="Times New Roman" w:hAnsi="Times New Roman"/>
          <w:sz w:val="24"/>
          <w:szCs w:val="24"/>
          <w:lang w:val="en-AU"/>
        </w:rPr>
        <w:t>s would not need to be reopened.</w:t>
      </w:r>
    </w:p>
    <w:p w:rsidR="0087423E" w:rsidRDefault="0087423E" w:rsidP="004E52EA">
      <w:pPr>
        <w:pStyle w:val="CommentText"/>
        <w:spacing w:after="0" w:line="240" w:lineRule="auto"/>
        <w:jc w:val="both"/>
        <w:rPr>
          <w:rFonts w:ascii="Times New Roman" w:hAnsi="Times New Roman"/>
          <w:sz w:val="24"/>
          <w:szCs w:val="24"/>
          <w:lang w:val="en-AU"/>
        </w:rPr>
      </w:pPr>
    </w:p>
    <w:p w:rsidR="0087423E" w:rsidRDefault="0087423E"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sidRPr="00BE53B9">
        <w:rPr>
          <w:rFonts w:ascii="Times New Roman" w:hAnsi="Times New Roman"/>
          <w:i/>
          <w:sz w:val="24"/>
          <w:szCs w:val="24"/>
          <w:lang w:val="en-AU"/>
        </w:rPr>
        <w:t>Neutrality</w:t>
      </w:r>
      <w:r>
        <w:rPr>
          <w:rFonts w:ascii="Times New Roman" w:hAnsi="Times New Roman"/>
          <w:sz w:val="24"/>
          <w:szCs w:val="24"/>
          <w:lang w:val="en-AU"/>
        </w:rPr>
        <w:t xml:space="preserve">.  Option 5 is an improvement over the status quo.  The option </w:t>
      </w:r>
      <w:r w:rsidR="004A6DE9">
        <w:rPr>
          <w:rFonts w:ascii="Times New Roman" w:hAnsi="Times New Roman"/>
          <w:sz w:val="24"/>
          <w:szCs w:val="24"/>
          <w:lang w:val="en-AU"/>
        </w:rPr>
        <w:t xml:space="preserve">would </w:t>
      </w:r>
      <w:r>
        <w:rPr>
          <w:rFonts w:ascii="Times New Roman" w:hAnsi="Times New Roman"/>
          <w:sz w:val="24"/>
          <w:szCs w:val="24"/>
          <w:lang w:val="en-AU"/>
        </w:rPr>
        <w:t xml:space="preserve">remove the incentives and disincentives present in the current rules.  </w:t>
      </w:r>
    </w:p>
    <w:p w:rsidR="0087423E" w:rsidRDefault="0087423E" w:rsidP="004E52EA">
      <w:pPr>
        <w:pStyle w:val="ListParagraph"/>
        <w:rPr>
          <w:rFonts w:ascii="Times New Roman" w:hAnsi="Times New Roman"/>
          <w:sz w:val="24"/>
          <w:szCs w:val="24"/>
          <w:lang w:val="en-AU"/>
        </w:rPr>
      </w:pPr>
    </w:p>
    <w:p w:rsidR="0087423E" w:rsidRDefault="0087423E"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i/>
          <w:sz w:val="24"/>
          <w:szCs w:val="24"/>
          <w:lang w:val="en-AU"/>
        </w:rPr>
        <w:t>Fairness and equity</w:t>
      </w:r>
      <w:r>
        <w:rPr>
          <w:rFonts w:ascii="Times New Roman" w:hAnsi="Times New Roman"/>
          <w:sz w:val="24"/>
          <w:szCs w:val="24"/>
          <w:lang w:val="en-AU"/>
        </w:rPr>
        <w:t>.  Option 5 is worse than the status quo.  Petroleum miners would be eligible for deductions for expenditure based on provisions which is a treatment not available to other industries.</w:t>
      </w:r>
      <w:r w:rsidR="006C687F">
        <w:rPr>
          <w:rFonts w:ascii="Times New Roman" w:hAnsi="Times New Roman"/>
          <w:sz w:val="24"/>
          <w:szCs w:val="24"/>
          <w:lang w:val="en-AU"/>
        </w:rPr>
        <w:t xml:space="preserve">  With the international focus on removing concessions for the fossil fuel industry this would be likely to be very controversial</w:t>
      </w:r>
      <w:r>
        <w:rPr>
          <w:rFonts w:ascii="Times New Roman" w:hAnsi="Times New Roman"/>
          <w:sz w:val="24"/>
          <w:szCs w:val="24"/>
          <w:lang w:val="en-AU"/>
        </w:rPr>
        <w:t>.</w:t>
      </w:r>
    </w:p>
    <w:p w:rsidR="0087423E" w:rsidRDefault="0087423E" w:rsidP="004E52EA">
      <w:pPr>
        <w:pStyle w:val="ListParagraph"/>
        <w:rPr>
          <w:rFonts w:ascii="Times New Roman" w:hAnsi="Times New Roman"/>
          <w:sz w:val="24"/>
          <w:szCs w:val="24"/>
          <w:lang w:val="en-AU"/>
        </w:rPr>
      </w:pPr>
    </w:p>
    <w:p w:rsidR="0060515C" w:rsidRPr="0087423E" w:rsidRDefault="0087423E" w:rsidP="004E52EA">
      <w:pPr>
        <w:pStyle w:val="CommentText"/>
        <w:numPr>
          <w:ilvl w:val="0"/>
          <w:numId w:val="2"/>
        </w:numPr>
        <w:tabs>
          <w:tab w:val="clear" w:pos="720"/>
        </w:tabs>
        <w:spacing w:after="0" w:line="240" w:lineRule="auto"/>
        <w:ind w:left="0" w:firstLine="0"/>
        <w:jc w:val="both"/>
        <w:rPr>
          <w:rFonts w:ascii="Times New Roman" w:hAnsi="Times New Roman"/>
          <w:sz w:val="24"/>
          <w:szCs w:val="24"/>
          <w:lang w:val="en-AU"/>
        </w:rPr>
      </w:pPr>
      <w:r>
        <w:rPr>
          <w:rFonts w:ascii="Times New Roman" w:hAnsi="Times New Roman"/>
          <w:i/>
          <w:sz w:val="24"/>
          <w:szCs w:val="24"/>
          <w:lang w:val="en-AU"/>
        </w:rPr>
        <w:t>Efficiency of compliance and administration</w:t>
      </w:r>
      <w:r>
        <w:rPr>
          <w:rFonts w:ascii="Times New Roman" w:hAnsi="Times New Roman"/>
          <w:sz w:val="24"/>
          <w:szCs w:val="24"/>
          <w:lang w:val="en-AU"/>
        </w:rPr>
        <w:t>.  O</w:t>
      </w:r>
      <w:r w:rsidR="006C687F">
        <w:rPr>
          <w:rFonts w:ascii="Times New Roman" w:hAnsi="Times New Roman"/>
          <w:sz w:val="24"/>
          <w:szCs w:val="24"/>
          <w:lang w:val="en-AU"/>
        </w:rPr>
        <w:t xml:space="preserve">ption 5 is an improvement over </w:t>
      </w:r>
      <w:r>
        <w:rPr>
          <w:rFonts w:ascii="Times New Roman" w:hAnsi="Times New Roman"/>
          <w:sz w:val="24"/>
          <w:szCs w:val="24"/>
          <w:lang w:val="en-AU"/>
        </w:rPr>
        <w:t xml:space="preserve">the status quo.  It </w:t>
      </w:r>
      <w:r w:rsidR="004A6DE9">
        <w:rPr>
          <w:rFonts w:ascii="Times New Roman" w:hAnsi="Times New Roman"/>
          <w:sz w:val="24"/>
          <w:szCs w:val="24"/>
          <w:lang w:val="en-AU"/>
        </w:rPr>
        <w:t xml:space="preserve">would </w:t>
      </w:r>
      <w:r w:rsidR="006C687F">
        <w:rPr>
          <w:rFonts w:ascii="Times New Roman" w:hAnsi="Times New Roman"/>
          <w:sz w:val="24"/>
          <w:szCs w:val="24"/>
          <w:lang w:val="en-AU"/>
        </w:rPr>
        <w:t xml:space="preserve">remove the need to reopen prior periods.  </w:t>
      </w:r>
      <w:r w:rsidR="00C21899">
        <w:rPr>
          <w:rFonts w:ascii="Times New Roman" w:hAnsi="Times New Roman"/>
          <w:sz w:val="24"/>
          <w:szCs w:val="24"/>
          <w:lang w:val="en-AU"/>
        </w:rPr>
        <w:t>However, b</w:t>
      </w:r>
      <w:r w:rsidR="006C687F">
        <w:rPr>
          <w:rFonts w:ascii="Times New Roman" w:hAnsi="Times New Roman"/>
          <w:sz w:val="24"/>
          <w:szCs w:val="24"/>
          <w:lang w:val="en-AU"/>
        </w:rPr>
        <w:t>asing deductions on provisions would likely increase the focus on ensuring these were correct, which would be more difficult than verifying expenditure incurred.</w:t>
      </w:r>
    </w:p>
    <w:p w:rsidR="000545DC" w:rsidRPr="004342F0" w:rsidRDefault="00D943DD" w:rsidP="004E52EA">
      <w:pPr>
        <w:pStyle w:val="RISheading"/>
        <w:jc w:val="both"/>
        <w:rPr>
          <w:spacing w:val="0"/>
          <w:w w:val="100"/>
        </w:rPr>
      </w:pPr>
      <w:r w:rsidRPr="004342F0">
        <w:rPr>
          <w:spacing w:val="0"/>
          <w:w w:val="100"/>
        </w:rPr>
        <w:t>CONSULTATION</w:t>
      </w:r>
      <w:bookmarkEnd w:id="26"/>
      <w:bookmarkEnd w:id="27"/>
      <w:bookmarkEnd w:id="28"/>
      <w:bookmarkEnd w:id="29"/>
      <w:bookmarkEnd w:id="30"/>
    </w:p>
    <w:p w:rsidR="000545DC" w:rsidRDefault="00C649C5"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Because </w:t>
      </w:r>
      <w:r w:rsidR="0060515C">
        <w:rPr>
          <w:rFonts w:ascii="Times New Roman" w:hAnsi="Times New Roman"/>
          <w:sz w:val="24"/>
          <w:szCs w:val="24"/>
        </w:rPr>
        <w:t xml:space="preserve">decommissioning consideration </w:t>
      </w:r>
      <w:r w:rsidR="00C21899">
        <w:rPr>
          <w:rFonts w:ascii="Times New Roman" w:hAnsi="Times New Roman"/>
          <w:sz w:val="24"/>
          <w:szCs w:val="24"/>
        </w:rPr>
        <w:t xml:space="preserve">is </w:t>
      </w:r>
      <w:r w:rsidR="0060515C">
        <w:rPr>
          <w:rFonts w:ascii="Times New Roman" w:hAnsi="Times New Roman"/>
          <w:sz w:val="24"/>
          <w:szCs w:val="24"/>
        </w:rPr>
        <w:t>being undertaken concurrently by various government departments an interagency petroleum decommissioning working group was formed including Inland Revenue, the Treasury,</w:t>
      </w:r>
      <w:r w:rsidR="00D87EE9">
        <w:rPr>
          <w:rFonts w:ascii="Times New Roman" w:hAnsi="Times New Roman"/>
          <w:sz w:val="24"/>
          <w:szCs w:val="24"/>
        </w:rPr>
        <w:t xml:space="preserve"> the Ministry </w:t>
      </w:r>
      <w:r w:rsidR="008E53A1">
        <w:rPr>
          <w:rFonts w:ascii="Times New Roman" w:hAnsi="Times New Roman"/>
          <w:sz w:val="24"/>
          <w:szCs w:val="24"/>
        </w:rPr>
        <w:t>of</w:t>
      </w:r>
      <w:r w:rsidR="00D87EE9">
        <w:rPr>
          <w:rFonts w:ascii="Times New Roman" w:hAnsi="Times New Roman"/>
          <w:sz w:val="24"/>
          <w:szCs w:val="24"/>
        </w:rPr>
        <w:t xml:space="preserve"> Business</w:t>
      </w:r>
      <w:r w:rsidR="008E53A1">
        <w:rPr>
          <w:rFonts w:ascii="Times New Roman" w:hAnsi="Times New Roman"/>
          <w:sz w:val="24"/>
          <w:szCs w:val="24"/>
        </w:rPr>
        <w:t>,</w:t>
      </w:r>
      <w:r w:rsidR="0060515C">
        <w:rPr>
          <w:rFonts w:ascii="Times New Roman" w:hAnsi="Times New Roman"/>
          <w:sz w:val="24"/>
          <w:szCs w:val="24"/>
        </w:rPr>
        <w:t xml:space="preserve"> Innovation and Employment, the Ministry for the Environment and other departments.  Officials have </w:t>
      </w:r>
      <w:r w:rsidR="00D87EE9">
        <w:rPr>
          <w:rFonts w:ascii="Times New Roman" w:hAnsi="Times New Roman"/>
          <w:sz w:val="24"/>
          <w:szCs w:val="24"/>
        </w:rPr>
        <w:t xml:space="preserve">discussed </w:t>
      </w:r>
      <w:r w:rsidR="0060515C">
        <w:rPr>
          <w:rFonts w:ascii="Times New Roman" w:hAnsi="Times New Roman"/>
          <w:sz w:val="24"/>
          <w:szCs w:val="24"/>
        </w:rPr>
        <w:t xml:space="preserve">details of the current rules and proposed changes </w:t>
      </w:r>
      <w:r w:rsidR="008E53A1">
        <w:rPr>
          <w:rFonts w:ascii="Times New Roman" w:hAnsi="Times New Roman"/>
          <w:sz w:val="24"/>
          <w:szCs w:val="24"/>
        </w:rPr>
        <w:t>with</w:t>
      </w:r>
      <w:r w:rsidR="0060515C">
        <w:rPr>
          <w:rFonts w:ascii="Times New Roman" w:hAnsi="Times New Roman"/>
          <w:sz w:val="24"/>
          <w:szCs w:val="24"/>
        </w:rPr>
        <w:t xml:space="preserve"> this group</w:t>
      </w:r>
      <w:r w:rsidR="00D87EE9">
        <w:rPr>
          <w:rFonts w:ascii="Times New Roman" w:hAnsi="Times New Roman"/>
          <w:sz w:val="24"/>
          <w:szCs w:val="24"/>
        </w:rPr>
        <w:t xml:space="preserve"> and its members</w:t>
      </w:r>
      <w:r w:rsidR="008E53A1">
        <w:rPr>
          <w:rFonts w:ascii="Times New Roman" w:hAnsi="Times New Roman"/>
          <w:sz w:val="24"/>
          <w:szCs w:val="24"/>
        </w:rPr>
        <w:t>, who have not raised any concerns</w:t>
      </w:r>
      <w:r w:rsidR="0060515C">
        <w:rPr>
          <w:rFonts w:ascii="Times New Roman" w:hAnsi="Times New Roman"/>
          <w:sz w:val="24"/>
          <w:szCs w:val="24"/>
        </w:rPr>
        <w:t>.</w:t>
      </w:r>
    </w:p>
    <w:p w:rsidR="0060515C" w:rsidRDefault="0060515C" w:rsidP="004E52EA">
      <w:pPr>
        <w:pStyle w:val="Bullet-list"/>
        <w:spacing w:after="0" w:line="240" w:lineRule="auto"/>
        <w:ind w:left="0" w:firstLine="0"/>
        <w:jc w:val="both"/>
        <w:rPr>
          <w:rFonts w:ascii="Times New Roman" w:hAnsi="Times New Roman"/>
          <w:sz w:val="24"/>
          <w:szCs w:val="24"/>
        </w:rPr>
      </w:pPr>
    </w:p>
    <w:p w:rsidR="0060515C" w:rsidRDefault="0060515C"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Officials also undertook targeted consultation wit</w:t>
      </w:r>
      <w:r w:rsidR="00C621F6">
        <w:rPr>
          <w:rFonts w:ascii="Times New Roman" w:hAnsi="Times New Roman"/>
          <w:sz w:val="24"/>
          <w:szCs w:val="24"/>
        </w:rPr>
        <w:t>h the petroleum mining industry and</w:t>
      </w:r>
      <w:r>
        <w:rPr>
          <w:rFonts w:ascii="Times New Roman" w:hAnsi="Times New Roman"/>
          <w:sz w:val="24"/>
          <w:szCs w:val="24"/>
        </w:rPr>
        <w:t xml:space="preserve"> their advisors during August and September 2016.  This consultation proposed that the current spread</w:t>
      </w:r>
      <w:r w:rsidR="00750D2A">
        <w:rPr>
          <w:rFonts w:ascii="Times New Roman" w:hAnsi="Times New Roman"/>
          <w:sz w:val="24"/>
          <w:szCs w:val="24"/>
        </w:rPr>
        <w:t>-</w:t>
      </w:r>
      <w:r>
        <w:rPr>
          <w:rFonts w:ascii="Times New Roman" w:hAnsi="Times New Roman"/>
          <w:sz w:val="24"/>
          <w:szCs w:val="24"/>
        </w:rPr>
        <w:t>back be replaced by a refundable credit.</w:t>
      </w:r>
    </w:p>
    <w:p w:rsidR="0060515C" w:rsidRDefault="0060515C" w:rsidP="004E52EA">
      <w:pPr>
        <w:pStyle w:val="ListParagraph"/>
        <w:rPr>
          <w:rFonts w:ascii="Times New Roman" w:hAnsi="Times New Roman"/>
          <w:sz w:val="24"/>
          <w:szCs w:val="24"/>
        </w:rPr>
      </w:pPr>
    </w:p>
    <w:p w:rsidR="0060515C" w:rsidRPr="004342F0" w:rsidRDefault="00082485"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Submitters were all in favour of replacing the </w:t>
      </w:r>
      <w:r w:rsidR="00C621F6">
        <w:rPr>
          <w:rFonts w:ascii="Times New Roman" w:hAnsi="Times New Roman"/>
          <w:sz w:val="24"/>
          <w:szCs w:val="24"/>
        </w:rPr>
        <w:t xml:space="preserve">current </w:t>
      </w:r>
      <w:r>
        <w:rPr>
          <w:rFonts w:ascii="Times New Roman" w:hAnsi="Times New Roman"/>
          <w:sz w:val="24"/>
          <w:szCs w:val="24"/>
        </w:rPr>
        <w:t xml:space="preserve">spread-back </w:t>
      </w:r>
      <w:r w:rsidR="00C621F6">
        <w:rPr>
          <w:rFonts w:ascii="Times New Roman" w:hAnsi="Times New Roman"/>
          <w:sz w:val="24"/>
          <w:szCs w:val="24"/>
        </w:rPr>
        <w:t xml:space="preserve">(which is subject to the 4 year refund limitation period) </w:t>
      </w:r>
      <w:r>
        <w:rPr>
          <w:rFonts w:ascii="Times New Roman" w:hAnsi="Times New Roman"/>
          <w:sz w:val="24"/>
          <w:szCs w:val="24"/>
        </w:rPr>
        <w:t xml:space="preserve">with a refundable credit.  The two common themes in submissions were around not limiting the refund to tax previously paid by an entity – </w:t>
      </w:r>
      <w:r w:rsidR="00F27CA2">
        <w:rPr>
          <w:rFonts w:ascii="Times New Roman" w:hAnsi="Times New Roman"/>
          <w:sz w:val="24"/>
          <w:szCs w:val="24"/>
        </w:rPr>
        <w:t>this limit already exists in</w:t>
      </w:r>
      <w:r>
        <w:rPr>
          <w:rFonts w:ascii="Times New Roman" w:hAnsi="Times New Roman"/>
          <w:sz w:val="24"/>
          <w:szCs w:val="24"/>
        </w:rPr>
        <w:t xml:space="preserve"> the status quo, and allowing a refundable credit for abandonment costs – where </w:t>
      </w:r>
      <w:r w:rsidR="00A75583">
        <w:rPr>
          <w:rFonts w:ascii="Times New Roman" w:hAnsi="Times New Roman"/>
          <w:sz w:val="24"/>
          <w:szCs w:val="24"/>
        </w:rPr>
        <w:t>the industry</w:t>
      </w:r>
      <w:r>
        <w:rPr>
          <w:rFonts w:ascii="Times New Roman" w:hAnsi="Times New Roman"/>
          <w:sz w:val="24"/>
          <w:szCs w:val="24"/>
        </w:rPr>
        <w:t xml:space="preserve"> disagree</w:t>
      </w:r>
      <w:r w:rsidR="00A75583">
        <w:rPr>
          <w:rFonts w:ascii="Times New Roman" w:hAnsi="Times New Roman"/>
          <w:sz w:val="24"/>
          <w:szCs w:val="24"/>
        </w:rPr>
        <w:t>s</w:t>
      </w:r>
      <w:r>
        <w:rPr>
          <w:rFonts w:ascii="Times New Roman" w:hAnsi="Times New Roman"/>
          <w:sz w:val="24"/>
          <w:szCs w:val="24"/>
        </w:rPr>
        <w:t xml:space="preserve"> with officials </w:t>
      </w:r>
      <w:r w:rsidR="00A75583">
        <w:rPr>
          <w:rFonts w:ascii="Times New Roman" w:hAnsi="Times New Roman"/>
          <w:sz w:val="24"/>
          <w:szCs w:val="24"/>
        </w:rPr>
        <w:t xml:space="preserve">and considers that </w:t>
      </w:r>
      <w:r>
        <w:rPr>
          <w:rFonts w:ascii="Times New Roman" w:hAnsi="Times New Roman"/>
          <w:sz w:val="24"/>
          <w:szCs w:val="24"/>
        </w:rPr>
        <w:t xml:space="preserve">a spread-back is already available.  </w:t>
      </w:r>
      <w:r w:rsidR="00A75583">
        <w:rPr>
          <w:rFonts w:ascii="Times New Roman" w:hAnsi="Times New Roman"/>
          <w:sz w:val="24"/>
          <w:szCs w:val="24"/>
        </w:rPr>
        <w:t xml:space="preserve">A number of other more minor changes have also been incorporated as a result of the consultation.  </w:t>
      </w:r>
      <w:r>
        <w:rPr>
          <w:rFonts w:ascii="Times New Roman" w:hAnsi="Times New Roman"/>
          <w:sz w:val="24"/>
          <w:szCs w:val="24"/>
        </w:rPr>
        <w:t xml:space="preserve">Officials have extended their recommendations to include tax paid by a petroleum miner before joining a </w:t>
      </w:r>
      <w:r w:rsidR="00BE53B9">
        <w:rPr>
          <w:rFonts w:ascii="Times New Roman" w:hAnsi="Times New Roman"/>
          <w:sz w:val="24"/>
          <w:szCs w:val="24"/>
        </w:rPr>
        <w:t xml:space="preserve">consolidated </w:t>
      </w:r>
      <w:r>
        <w:rPr>
          <w:rFonts w:ascii="Times New Roman" w:hAnsi="Times New Roman"/>
          <w:sz w:val="24"/>
          <w:szCs w:val="24"/>
        </w:rPr>
        <w:t xml:space="preserve">group </w:t>
      </w:r>
      <w:r w:rsidR="00BE53B9">
        <w:rPr>
          <w:rFonts w:ascii="Times New Roman" w:hAnsi="Times New Roman"/>
          <w:sz w:val="24"/>
          <w:szCs w:val="24"/>
        </w:rPr>
        <w:t xml:space="preserve">and to allow a refundable credit for </w:t>
      </w:r>
      <w:r w:rsidR="00A75583">
        <w:rPr>
          <w:rFonts w:ascii="Times New Roman" w:hAnsi="Times New Roman"/>
          <w:sz w:val="24"/>
          <w:szCs w:val="24"/>
        </w:rPr>
        <w:t xml:space="preserve">certain </w:t>
      </w:r>
      <w:r w:rsidR="00BE53B9">
        <w:rPr>
          <w:rFonts w:ascii="Times New Roman" w:hAnsi="Times New Roman"/>
          <w:sz w:val="24"/>
          <w:szCs w:val="24"/>
        </w:rPr>
        <w:t xml:space="preserve">abandonment provided that is done as part of decommissioning a production well.  </w:t>
      </w:r>
    </w:p>
    <w:p w:rsidR="00D943DD" w:rsidRPr="004342F0" w:rsidRDefault="00D943DD" w:rsidP="004E52EA">
      <w:pPr>
        <w:pStyle w:val="spacer"/>
        <w:jc w:val="both"/>
        <w:rPr>
          <w:rFonts w:ascii="Times New Roman" w:hAnsi="Times New Roman"/>
          <w:sz w:val="24"/>
          <w:szCs w:val="24"/>
          <w:lang w:val="en-AU"/>
        </w:rPr>
      </w:pPr>
      <w:bookmarkStart w:id="31" w:name="_Preferred_option_[optional]"/>
      <w:bookmarkStart w:id="32" w:name="_Toc244580367"/>
      <w:bookmarkStart w:id="33" w:name="_Toc244587043"/>
      <w:bookmarkStart w:id="34" w:name="_Toc244857277"/>
      <w:bookmarkStart w:id="35" w:name="_Toc244912542"/>
      <w:bookmarkStart w:id="36" w:name="_Toc244916999"/>
      <w:bookmarkEnd w:id="31"/>
    </w:p>
    <w:p w:rsidR="000545DC" w:rsidRPr="004342F0" w:rsidRDefault="00D943DD" w:rsidP="004E52EA">
      <w:pPr>
        <w:pStyle w:val="RISheading"/>
        <w:jc w:val="both"/>
        <w:rPr>
          <w:spacing w:val="0"/>
          <w:w w:val="100"/>
        </w:rPr>
      </w:pPr>
      <w:r w:rsidRPr="004342F0">
        <w:rPr>
          <w:spacing w:val="0"/>
          <w:w w:val="100"/>
        </w:rPr>
        <w:t>CONCLUSIONS AND RECOMMENDATIONS</w:t>
      </w:r>
      <w:bookmarkEnd w:id="32"/>
      <w:bookmarkEnd w:id="33"/>
      <w:bookmarkEnd w:id="34"/>
      <w:bookmarkEnd w:id="35"/>
      <w:bookmarkEnd w:id="36"/>
    </w:p>
    <w:p w:rsidR="007B2A5F" w:rsidRPr="007B2A5F" w:rsidRDefault="007B2A5F" w:rsidP="004E52EA">
      <w:pPr>
        <w:pStyle w:val="Bullet-list"/>
        <w:numPr>
          <w:ilvl w:val="0"/>
          <w:numId w:val="2"/>
        </w:numPr>
        <w:tabs>
          <w:tab w:val="clear" w:pos="720"/>
          <w:tab w:val="num" w:pos="567"/>
        </w:tabs>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The following table summarises </w:t>
      </w:r>
      <w:r w:rsidR="00C21899">
        <w:rPr>
          <w:rFonts w:ascii="Times New Roman" w:hAnsi="Times New Roman"/>
          <w:sz w:val="24"/>
          <w:szCs w:val="24"/>
        </w:rPr>
        <w:t>our</w:t>
      </w:r>
      <w:r>
        <w:rPr>
          <w:rFonts w:ascii="Times New Roman" w:hAnsi="Times New Roman"/>
          <w:sz w:val="24"/>
          <w:szCs w:val="24"/>
        </w:rPr>
        <w:t xml:space="preserve"> consideration of the options from the regulatory analysis section above.  Withi</w:t>
      </w:r>
      <w:r w:rsidR="00FB52C8">
        <w:rPr>
          <w:rFonts w:ascii="Times New Roman" w:hAnsi="Times New Roman"/>
          <w:sz w:val="24"/>
          <w:szCs w:val="24"/>
        </w:rPr>
        <w:t>n</w:t>
      </w:r>
      <w:r>
        <w:rPr>
          <w:rFonts w:ascii="Times New Roman" w:hAnsi="Times New Roman"/>
          <w:sz w:val="24"/>
          <w:szCs w:val="24"/>
        </w:rPr>
        <w:t xml:space="preserve"> the overv</w:t>
      </w:r>
      <w:r w:rsidR="00FB52C8">
        <w:rPr>
          <w:rFonts w:ascii="Times New Roman" w:hAnsi="Times New Roman"/>
          <w:sz w:val="24"/>
          <w:szCs w:val="24"/>
        </w:rPr>
        <w:t>i</w:t>
      </w:r>
      <w:r>
        <w:rPr>
          <w:rFonts w:ascii="Times New Roman" w:hAnsi="Times New Roman"/>
          <w:sz w:val="24"/>
          <w:szCs w:val="24"/>
        </w:rPr>
        <w:t>ew table the following symbols are used:</w:t>
      </w:r>
    </w:p>
    <w:p w:rsidR="007B2A5F" w:rsidRDefault="007B2A5F" w:rsidP="004E52EA">
      <w:pPr>
        <w:pStyle w:val="Bullet-list"/>
        <w:spacing w:after="0" w:line="240" w:lineRule="auto"/>
        <w:ind w:left="0" w:firstLine="0"/>
        <w:jc w:val="both"/>
        <w:rPr>
          <w:rFonts w:ascii="Times New Roman" w:hAnsi="Times New Roman"/>
          <w:b/>
          <w:sz w:val="24"/>
          <w:szCs w:val="24"/>
        </w:rPr>
      </w:pPr>
    </w:p>
    <w:p w:rsidR="007B2A5F" w:rsidRPr="00FB52C8" w:rsidRDefault="007B2A5F" w:rsidP="00FB52C8">
      <w:pPr>
        <w:spacing w:after="0"/>
        <w:ind w:left="2268"/>
        <w:rPr>
          <w:rFonts w:ascii="Times New Roman" w:eastAsiaTheme="minorHAnsi" w:hAnsi="Times New Roman"/>
          <w:sz w:val="24"/>
          <w:szCs w:val="24"/>
        </w:rPr>
      </w:pPr>
      <w:r w:rsidRPr="00FB52C8">
        <w:rPr>
          <w:rFonts w:ascii="Wingdings 2" w:eastAsiaTheme="minorHAnsi" w:hAnsi="Wingdings 2"/>
          <w:szCs w:val="24"/>
          <w:lang w:eastAsia="en-US"/>
        </w:rPr>
        <w:t></w:t>
      </w:r>
      <w:r w:rsidRPr="00FB52C8">
        <w:rPr>
          <w:rFonts w:ascii="Wingdings 2" w:eastAsiaTheme="minorHAnsi" w:hAnsi="Wingdings 2"/>
          <w:szCs w:val="24"/>
          <w:lang w:eastAsia="en-US"/>
        </w:rPr>
        <w:t></w:t>
      </w:r>
      <w:r w:rsidRPr="00FB52C8">
        <w:rPr>
          <w:rFonts w:ascii="Wingdings 2" w:eastAsiaTheme="minorHAnsi" w:hAnsi="Wingdings 2"/>
          <w:szCs w:val="24"/>
          <w:lang w:eastAsia="en-US"/>
        </w:rPr>
        <w:tab/>
      </w:r>
      <w:r w:rsidRPr="00FB52C8">
        <w:rPr>
          <w:rFonts w:ascii="Times New Roman" w:eastAsiaTheme="minorHAnsi" w:hAnsi="Times New Roman"/>
          <w:sz w:val="24"/>
          <w:szCs w:val="24"/>
        </w:rPr>
        <w:t>Significantly better than the status quo</w:t>
      </w:r>
    </w:p>
    <w:p w:rsidR="007B2A5F" w:rsidRPr="00FB52C8" w:rsidRDefault="007B2A5F" w:rsidP="00FB52C8">
      <w:pPr>
        <w:pStyle w:val="ListParagraph"/>
        <w:numPr>
          <w:ilvl w:val="0"/>
          <w:numId w:val="10"/>
        </w:numPr>
        <w:ind w:left="2835" w:hanging="567"/>
        <w:rPr>
          <w:rFonts w:ascii="Times New Roman" w:eastAsiaTheme="minorHAnsi" w:hAnsi="Times New Roman"/>
          <w:sz w:val="24"/>
          <w:szCs w:val="24"/>
        </w:rPr>
      </w:pPr>
      <w:r w:rsidRPr="00FB52C8">
        <w:rPr>
          <w:rFonts w:ascii="Times New Roman" w:eastAsiaTheme="minorHAnsi" w:hAnsi="Times New Roman"/>
          <w:sz w:val="24"/>
          <w:szCs w:val="24"/>
        </w:rPr>
        <w:t>Better than the status quo</w:t>
      </w:r>
    </w:p>
    <w:p w:rsidR="007B2A5F" w:rsidRPr="00A57E40" w:rsidRDefault="007B2A5F" w:rsidP="007B2A5F">
      <w:pPr>
        <w:pStyle w:val="ListParagraph"/>
        <w:numPr>
          <w:ilvl w:val="0"/>
          <w:numId w:val="7"/>
        </w:numPr>
        <w:ind w:left="2268" w:firstLine="0"/>
        <w:rPr>
          <w:rFonts w:ascii="Times New Roman" w:eastAsiaTheme="minorHAnsi" w:hAnsi="Times New Roman"/>
          <w:sz w:val="24"/>
          <w:szCs w:val="24"/>
        </w:rPr>
      </w:pPr>
      <w:r w:rsidRPr="00A57E40">
        <w:rPr>
          <w:rFonts w:ascii="Times New Roman" w:eastAsiaTheme="minorHAnsi" w:hAnsi="Times New Roman"/>
          <w:sz w:val="24"/>
          <w:szCs w:val="24"/>
        </w:rPr>
        <w:t xml:space="preserve">No better than the status quo </w:t>
      </w:r>
    </w:p>
    <w:p w:rsidR="007B2A5F" w:rsidRPr="00A57E40" w:rsidRDefault="007B2A5F" w:rsidP="007B2A5F">
      <w:pPr>
        <w:spacing w:after="0" w:line="240" w:lineRule="auto"/>
        <w:ind w:left="2268"/>
        <w:contextualSpacing/>
        <w:jc w:val="both"/>
        <w:rPr>
          <w:rFonts w:ascii="Times New Roman" w:eastAsiaTheme="minorHAnsi" w:hAnsi="Times New Roman"/>
          <w:sz w:val="24"/>
          <w:szCs w:val="24"/>
          <w:lang w:val="en-NZ" w:eastAsia="en-US"/>
        </w:rPr>
      </w:pPr>
      <w:r w:rsidRPr="00A57E40">
        <w:rPr>
          <w:rFonts w:ascii="Wingdings 2" w:eastAsiaTheme="minorHAnsi" w:hAnsi="Wingdings 2"/>
          <w:sz w:val="24"/>
          <w:szCs w:val="24"/>
          <w:lang w:val="en-NZ" w:eastAsia="en-US"/>
        </w:rPr>
        <w:t></w:t>
      </w:r>
      <w:r w:rsidRPr="00A57E40">
        <w:rPr>
          <w:rFonts w:ascii="Wingdings 2" w:eastAsiaTheme="minorHAnsi" w:hAnsi="Wingdings 2"/>
          <w:sz w:val="24"/>
          <w:szCs w:val="24"/>
          <w:lang w:val="en-NZ" w:eastAsia="en-US"/>
        </w:rPr>
        <w:t></w:t>
      </w:r>
      <w:r w:rsidRPr="00A57E40">
        <w:rPr>
          <w:rFonts w:ascii="Wingdings 2" w:eastAsiaTheme="minorHAnsi" w:hAnsi="Wingdings 2"/>
          <w:sz w:val="24"/>
          <w:szCs w:val="24"/>
          <w:lang w:val="en-NZ" w:eastAsia="en-US"/>
        </w:rPr>
        <w:tab/>
      </w:r>
      <w:r w:rsidRPr="00A57E40">
        <w:rPr>
          <w:rFonts w:ascii="Times New Roman" w:eastAsiaTheme="minorHAnsi" w:hAnsi="Times New Roman"/>
          <w:sz w:val="24"/>
          <w:szCs w:val="24"/>
          <w:lang w:val="en-NZ" w:eastAsia="en-US"/>
        </w:rPr>
        <w:t xml:space="preserve">Worse than the status quo </w:t>
      </w:r>
    </w:p>
    <w:p w:rsidR="007B2A5F" w:rsidRDefault="007B2A5F" w:rsidP="007B2A5F">
      <w:pPr>
        <w:pStyle w:val="Bullet-list"/>
        <w:spacing w:after="0" w:line="240" w:lineRule="auto"/>
        <w:ind w:left="0" w:firstLine="0"/>
        <w:rPr>
          <w:rFonts w:ascii="Times New Roman" w:hAnsi="Times New Roman"/>
          <w:b/>
          <w:sz w:val="24"/>
          <w:szCs w:val="24"/>
        </w:rPr>
      </w:pPr>
    </w:p>
    <w:tbl>
      <w:tblPr>
        <w:tblStyle w:val="TableGrid"/>
        <w:tblW w:w="0" w:type="auto"/>
        <w:tblCellMar>
          <w:top w:w="85" w:type="dxa"/>
          <w:bottom w:w="85" w:type="dxa"/>
        </w:tblCellMar>
        <w:tblLook w:val="04A0" w:firstRow="1" w:lastRow="0" w:firstColumn="1" w:lastColumn="0" w:noHBand="0" w:noVBand="1"/>
      </w:tblPr>
      <w:tblGrid>
        <w:gridCol w:w="4643"/>
        <w:gridCol w:w="4644"/>
      </w:tblGrid>
      <w:tr w:rsidR="007B2A5F" w:rsidRPr="00A57E40" w:rsidTr="00684147">
        <w:tc>
          <w:tcPr>
            <w:tcW w:w="4643" w:type="dxa"/>
          </w:tcPr>
          <w:p w:rsidR="007B2A5F" w:rsidRPr="00A57E40" w:rsidRDefault="007B2A5F" w:rsidP="00684147">
            <w:pPr>
              <w:pStyle w:val="TRNormal"/>
              <w:tabs>
                <w:tab w:val="left" w:pos="567"/>
              </w:tabs>
              <w:spacing w:line="240" w:lineRule="auto"/>
              <w:rPr>
                <w:b/>
                <w:sz w:val="22"/>
              </w:rPr>
            </w:pPr>
            <w:r w:rsidRPr="00A57E40">
              <w:rPr>
                <w:b/>
                <w:sz w:val="22"/>
              </w:rPr>
              <w:t>Options</w:t>
            </w:r>
          </w:p>
        </w:tc>
        <w:tc>
          <w:tcPr>
            <w:tcW w:w="4644" w:type="dxa"/>
          </w:tcPr>
          <w:p w:rsidR="007B2A5F" w:rsidRPr="00A57E40" w:rsidRDefault="007B2A5F" w:rsidP="00684147">
            <w:pPr>
              <w:pStyle w:val="TRNormal"/>
              <w:tabs>
                <w:tab w:val="left" w:pos="567"/>
              </w:tabs>
              <w:spacing w:line="240" w:lineRule="auto"/>
              <w:rPr>
                <w:b/>
                <w:sz w:val="22"/>
              </w:rPr>
            </w:pPr>
            <w:r w:rsidRPr="00A57E40">
              <w:rPr>
                <w:b/>
                <w:sz w:val="22"/>
              </w:rPr>
              <w:t>Analysis against the objective and criteria</w:t>
            </w:r>
          </w:p>
        </w:tc>
      </w:tr>
      <w:tr w:rsidR="007B2A5F" w:rsidRPr="00A57E40" w:rsidTr="00684147">
        <w:tc>
          <w:tcPr>
            <w:tcW w:w="4643" w:type="dxa"/>
          </w:tcPr>
          <w:p w:rsidR="007B2A5F" w:rsidRPr="00A57E40" w:rsidRDefault="007B2A5F" w:rsidP="00684147">
            <w:pPr>
              <w:pStyle w:val="TRNormal"/>
              <w:tabs>
                <w:tab w:val="left" w:pos="567"/>
              </w:tabs>
              <w:spacing w:line="240" w:lineRule="auto"/>
              <w:rPr>
                <w:sz w:val="22"/>
              </w:rPr>
            </w:pPr>
            <w:r w:rsidRPr="00A57E40">
              <w:rPr>
                <w:sz w:val="22"/>
              </w:rPr>
              <w:t>Option 1 – Status quo</w:t>
            </w:r>
          </w:p>
        </w:tc>
        <w:tc>
          <w:tcPr>
            <w:tcW w:w="4644" w:type="dxa"/>
          </w:tcPr>
          <w:p w:rsidR="007B2A5F" w:rsidRPr="00A57E40" w:rsidRDefault="007B2A5F" w:rsidP="00684147">
            <w:pPr>
              <w:pStyle w:val="TRNormal"/>
              <w:tabs>
                <w:tab w:val="left" w:pos="567"/>
              </w:tabs>
              <w:spacing w:line="240" w:lineRule="auto"/>
              <w:rPr>
                <w:sz w:val="22"/>
              </w:rPr>
            </w:pPr>
            <w:r w:rsidRPr="00A57E40">
              <w:rPr>
                <w:sz w:val="22"/>
              </w:rPr>
              <w:t>Does not meet the main objective</w:t>
            </w:r>
          </w:p>
        </w:tc>
      </w:tr>
      <w:tr w:rsidR="007B2A5F" w:rsidRPr="00A57E40" w:rsidTr="00684147">
        <w:tc>
          <w:tcPr>
            <w:tcW w:w="4643" w:type="dxa"/>
          </w:tcPr>
          <w:p w:rsidR="007B2A5F" w:rsidRPr="00A57E40" w:rsidRDefault="007B2A5F" w:rsidP="007B2A5F">
            <w:pPr>
              <w:pStyle w:val="TRNormal"/>
              <w:tabs>
                <w:tab w:val="left" w:pos="567"/>
              </w:tabs>
              <w:spacing w:line="240" w:lineRule="auto"/>
              <w:rPr>
                <w:sz w:val="22"/>
              </w:rPr>
            </w:pPr>
            <w:r w:rsidRPr="00A57E40">
              <w:rPr>
                <w:sz w:val="22"/>
              </w:rPr>
              <w:t xml:space="preserve">Option 2 – </w:t>
            </w:r>
            <w:r>
              <w:rPr>
                <w:sz w:val="22"/>
              </w:rPr>
              <w:t>Amendments to the spread-back</w:t>
            </w:r>
          </w:p>
        </w:tc>
        <w:tc>
          <w:tcPr>
            <w:tcW w:w="4644" w:type="dxa"/>
          </w:tcPr>
          <w:p w:rsidR="007B2A5F" w:rsidRPr="00A57E40" w:rsidRDefault="00A75583" w:rsidP="00684147">
            <w:pPr>
              <w:pStyle w:val="TRNormal"/>
              <w:tabs>
                <w:tab w:val="left" w:pos="567"/>
              </w:tabs>
              <w:spacing w:line="240" w:lineRule="auto"/>
              <w:rPr>
                <w:sz w:val="22"/>
              </w:rPr>
            </w:pPr>
            <w:r>
              <w:rPr>
                <w:sz w:val="22"/>
              </w:rPr>
              <w:t>Does not m</w:t>
            </w:r>
            <w:r w:rsidR="007B2A5F" w:rsidRPr="00A57E40">
              <w:rPr>
                <w:sz w:val="22"/>
              </w:rPr>
              <w:t xml:space="preserve">eet the main objective </w:t>
            </w:r>
          </w:p>
          <w:p w:rsidR="007B2A5F" w:rsidRPr="00A57E40" w:rsidRDefault="007B2A5F" w:rsidP="00684147">
            <w:pPr>
              <w:pStyle w:val="TRNormal"/>
              <w:tabs>
                <w:tab w:val="left" w:pos="567"/>
              </w:tabs>
              <w:spacing w:line="240" w:lineRule="auto"/>
              <w:rPr>
                <w:sz w:val="22"/>
              </w:rPr>
            </w:pPr>
          </w:p>
          <w:p w:rsidR="007B2A5F" w:rsidRPr="00A57E40" w:rsidRDefault="007B2A5F" w:rsidP="00684147">
            <w:pPr>
              <w:pStyle w:val="TRNormal"/>
              <w:tabs>
                <w:tab w:val="left" w:pos="567"/>
              </w:tabs>
              <w:spacing w:line="240" w:lineRule="auto"/>
              <w:rPr>
                <w:sz w:val="22"/>
              </w:rPr>
            </w:pPr>
            <w:r>
              <w:rPr>
                <w:sz w:val="22"/>
              </w:rPr>
              <w:t>Neutrality</w:t>
            </w:r>
            <w:r w:rsidRPr="00A57E40">
              <w:rPr>
                <w:sz w:val="22"/>
              </w:rPr>
              <w:t xml:space="preserve"> </w:t>
            </w:r>
            <w:r w:rsidRPr="00A57E40">
              <w:rPr>
                <w:rFonts w:ascii="Wingdings 2" w:eastAsiaTheme="minorHAnsi" w:hAnsi="Wingdings 2"/>
                <w:szCs w:val="24"/>
                <w:lang w:eastAsia="en-US"/>
              </w:rPr>
              <w:t></w:t>
            </w:r>
          </w:p>
          <w:p w:rsidR="007B2A5F" w:rsidRPr="00A57E40" w:rsidRDefault="007B2A5F" w:rsidP="00684147">
            <w:pPr>
              <w:pStyle w:val="TRNormal"/>
              <w:tabs>
                <w:tab w:val="left" w:pos="567"/>
              </w:tabs>
              <w:spacing w:line="240" w:lineRule="auto"/>
              <w:rPr>
                <w:rFonts w:ascii="Wingdings 2" w:eastAsiaTheme="minorHAnsi" w:hAnsi="Wingdings 2"/>
                <w:szCs w:val="24"/>
                <w:lang w:eastAsia="en-US"/>
              </w:rPr>
            </w:pPr>
            <w:r>
              <w:rPr>
                <w:sz w:val="22"/>
              </w:rPr>
              <w:t>Fairness and equity</w:t>
            </w:r>
            <w:r w:rsidRPr="00A57E40">
              <w:rPr>
                <w:sz w:val="22"/>
              </w:rPr>
              <w:t xml:space="preserve"> </w:t>
            </w:r>
            <w:r w:rsidRPr="00A57E40">
              <w:rPr>
                <w:rFonts w:ascii="Wingdings 2" w:eastAsiaTheme="minorHAnsi" w:hAnsi="Wingdings 2"/>
                <w:szCs w:val="24"/>
                <w:lang w:eastAsia="en-US"/>
              </w:rPr>
              <w:t></w:t>
            </w:r>
          </w:p>
          <w:p w:rsidR="007B2A5F" w:rsidRPr="00A57E40" w:rsidRDefault="007B2A5F" w:rsidP="007B2A5F">
            <w:pPr>
              <w:pStyle w:val="TRNormal"/>
              <w:tabs>
                <w:tab w:val="left" w:pos="567"/>
              </w:tabs>
              <w:spacing w:line="240" w:lineRule="auto"/>
              <w:rPr>
                <w:rFonts w:ascii="Wingdings 2" w:hAnsi="Wingdings 2"/>
                <w:sz w:val="22"/>
                <w:szCs w:val="24"/>
              </w:rPr>
            </w:pPr>
            <w:r>
              <w:rPr>
                <w:sz w:val="22"/>
              </w:rPr>
              <w:t>Efficiency of compliance and administration</w:t>
            </w:r>
            <w:r w:rsidRPr="00A57E40">
              <w:rPr>
                <w:sz w:val="22"/>
              </w:rPr>
              <w:t xml:space="preserve"> </w:t>
            </w:r>
            <w:r w:rsidR="00FB7359" w:rsidRPr="00A57E40">
              <w:rPr>
                <w:rFonts w:ascii="Wingdings 2" w:eastAsiaTheme="minorHAnsi" w:hAnsi="Wingdings 2"/>
                <w:szCs w:val="24"/>
                <w:lang w:eastAsia="en-US"/>
              </w:rPr>
              <w:t></w:t>
            </w:r>
            <w:r w:rsidR="00FB7359" w:rsidRPr="00A57E40">
              <w:rPr>
                <w:rFonts w:ascii="Wingdings 2" w:eastAsiaTheme="minorHAnsi" w:hAnsi="Wingdings 2"/>
                <w:szCs w:val="24"/>
                <w:lang w:eastAsia="en-US"/>
              </w:rPr>
              <w:t></w:t>
            </w:r>
          </w:p>
        </w:tc>
      </w:tr>
      <w:tr w:rsidR="007B2A5F" w:rsidRPr="00A57E40" w:rsidTr="00684147">
        <w:tc>
          <w:tcPr>
            <w:tcW w:w="4643" w:type="dxa"/>
          </w:tcPr>
          <w:p w:rsidR="007B2A5F" w:rsidRPr="00A57E40" w:rsidRDefault="007B2A5F" w:rsidP="007B2A5F">
            <w:pPr>
              <w:pStyle w:val="TRNormal"/>
              <w:tabs>
                <w:tab w:val="left" w:pos="567"/>
              </w:tabs>
              <w:spacing w:line="240" w:lineRule="auto"/>
              <w:rPr>
                <w:sz w:val="22"/>
              </w:rPr>
            </w:pPr>
            <w:r w:rsidRPr="00A57E40">
              <w:rPr>
                <w:sz w:val="22"/>
              </w:rPr>
              <w:t xml:space="preserve">Option 3 – </w:t>
            </w:r>
            <w:r>
              <w:rPr>
                <w:sz w:val="22"/>
              </w:rPr>
              <w:t>Introduce a refundable credit</w:t>
            </w:r>
          </w:p>
        </w:tc>
        <w:tc>
          <w:tcPr>
            <w:tcW w:w="4644" w:type="dxa"/>
          </w:tcPr>
          <w:p w:rsidR="007B2A5F" w:rsidRPr="00A57E40" w:rsidRDefault="007B2A5F" w:rsidP="00684147">
            <w:pPr>
              <w:pStyle w:val="TRNormal"/>
              <w:tabs>
                <w:tab w:val="left" w:pos="567"/>
              </w:tabs>
              <w:spacing w:line="240" w:lineRule="auto"/>
              <w:rPr>
                <w:sz w:val="22"/>
              </w:rPr>
            </w:pPr>
            <w:r w:rsidRPr="00A57E40">
              <w:rPr>
                <w:sz w:val="22"/>
              </w:rPr>
              <w:t>Meets the main objective</w:t>
            </w:r>
          </w:p>
          <w:p w:rsidR="007B2A5F" w:rsidRPr="00A57E40" w:rsidRDefault="007B2A5F" w:rsidP="00684147">
            <w:pPr>
              <w:pStyle w:val="TRNormal"/>
              <w:tabs>
                <w:tab w:val="left" w:pos="567"/>
              </w:tabs>
              <w:spacing w:line="240" w:lineRule="auto"/>
              <w:rPr>
                <w:sz w:val="22"/>
              </w:rPr>
            </w:pPr>
          </w:p>
          <w:p w:rsidR="007B2A5F" w:rsidRPr="00A57E40" w:rsidRDefault="007B2A5F" w:rsidP="007B2A5F">
            <w:pPr>
              <w:pStyle w:val="TRNormal"/>
              <w:tabs>
                <w:tab w:val="left" w:pos="567"/>
              </w:tabs>
              <w:spacing w:line="240" w:lineRule="auto"/>
              <w:rPr>
                <w:sz w:val="22"/>
              </w:rPr>
            </w:pPr>
            <w:r>
              <w:rPr>
                <w:sz w:val="22"/>
              </w:rPr>
              <w:t>Neutrality</w:t>
            </w:r>
            <w:r w:rsidRPr="00A57E40">
              <w:rPr>
                <w:sz w:val="22"/>
              </w:rPr>
              <w:t xml:space="preserve"> </w:t>
            </w:r>
            <w:r w:rsidRPr="00A57E40">
              <w:rPr>
                <w:rFonts w:ascii="Wingdings 2" w:eastAsiaTheme="minorHAnsi" w:hAnsi="Wingdings 2"/>
                <w:szCs w:val="24"/>
                <w:lang w:eastAsia="en-US"/>
              </w:rPr>
              <w:t></w:t>
            </w:r>
          </w:p>
          <w:p w:rsidR="007B2A5F" w:rsidRPr="00A57E40" w:rsidRDefault="007B2A5F" w:rsidP="007B2A5F">
            <w:pPr>
              <w:pStyle w:val="TRNormal"/>
              <w:tabs>
                <w:tab w:val="left" w:pos="567"/>
              </w:tabs>
              <w:spacing w:line="240" w:lineRule="auto"/>
              <w:rPr>
                <w:rFonts w:ascii="Wingdings 2" w:eastAsiaTheme="minorHAnsi" w:hAnsi="Wingdings 2"/>
                <w:szCs w:val="24"/>
                <w:lang w:eastAsia="en-US"/>
              </w:rPr>
            </w:pPr>
            <w:r>
              <w:rPr>
                <w:sz w:val="22"/>
              </w:rPr>
              <w:t>Fairness and equity</w:t>
            </w:r>
            <w:r w:rsidRPr="00A57E40">
              <w:rPr>
                <w:sz w:val="22"/>
              </w:rPr>
              <w:t xml:space="preserve"> </w:t>
            </w:r>
            <w:r w:rsidRPr="00A57E40">
              <w:rPr>
                <w:rFonts w:ascii="Wingdings 2" w:eastAsiaTheme="minorHAnsi" w:hAnsi="Wingdings 2"/>
                <w:szCs w:val="24"/>
                <w:lang w:eastAsia="en-US"/>
              </w:rPr>
              <w:t></w:t>
            </w:r>
          </w:p>
          <w:p w:rsidR="007B2A5F" w:rsidRPr="00A57E40" w:rsidRDefault="007B2A5F" w:rsidP="007B2A5F">
            <w:pPr>
              <w:pStyle w:val="TRNormal"/>
              <w:tabs>
                <w:tab w:val="left" w:pos="567"/>
              </w:tabs>
              <w:spacing w:line="240" w:lineRule="auto"/>
              <w:rPr>
                <w:rFonts w:ascii="Wingdings 2" w:hAnsi="Wingdings 2"/>
                <w:sz w:val="22"/>
                <w:szCs w:val="24"/>
              </w:rPr>
            </w:pPr>
            <w:r>
              <w:rPr>
                <w:sz w:val="22"/>
              </w:rPr>
              <w:t>Efficiency of compliance and administration</w:t>
            </w:r>
            <w:r w:rsidRPr="00A57E40">
              <w:rPr>
                <w:sz w:val="22"/>
              </w:rPr>
              <w:t xml:space="preserve"> </w:t>
            </w:r>
            <w:r w:rsidR="00FB52C8" w:rsidRPr="00A57E40">
              <w:rPr>
                <w:rFonts w:ascii="Wingdings 2" w:eastAsiaTheme="minorHAnsi" w:hAnsi="Wingdings 2"/>
                <w:szCs w:val="24"/>
                <w:lang w:eastAsia="en-US"/>
              </w:rPr>
              <w:t></w:t>
            </w:r>
            <w:r w:rsidRPr="00A57E40">
              <w:rPr>
                <w:rFonts w:ascii="Wingdings 2" w:eastAsiaTheme="minorHAnsi" w:hAnsi="Wingdings 2"/>
                <w:szCs w:val="24"/>
                <w:lang w:eastAsia="en-US"/>
              </w:rPr>
              <w:t></w:t>
            </w:r>
          </w:p>
        </w:tc>
      </w:tr>
      <w:tr w:rsidR="007B2A5F" w:rsidRPr="00A57E40" w:rsidTr="00684147">
        <w:tc>
          <w:tcPr>
            <w:tcW w:w="4643" w:type="dxa"/>
          </w:tcPr>
          <w:p w:rsidR="007B2A5F" w:rsidRPr="00A57E40" w:rsidRDefault="007B2A5F" w:rsidP="007B2A5F">
            <w:pPr>
              <w:pStyle w:val="TRNormal"/>
              <w:tabs>
                <w:tab w:val="left" w:pos="567"/>
              </w:tabs>
              <w:spacing w:line="240" w:lineRule="auto"/>
              <w:rPr>
                <w:sz w:val="22"/>
              </w:rPr>
            </w:pPr>
            <w:r>
              <w:rPr>
                <w:sz w:val="22"/>
              </w:rPr>
              <w:t>Option 4 – Introduce an environmental restoration account</w:t>
            </w:r>
          </w:p>
        </w:tc>
        <w:tc>
          <w:tcPr>
            <w:tcW w:w="4644" w:type="dxa"/>
          </w:tcPr>
          <w:p w:rsidR="007B2A5F" w:rsidRPr="00A57E40" w:rsidRDefault="007B2A5F" w:rsidP="007B2A5F">
            <w:pPr>
              <w:pStyle w:val="TRNormal"/>
              <w:tabs>
                <w:tab w:val="left" w:pos="567"/>
              </w:tabs>
              <w:spacing w:line="240" w:lineRule="auto"/>
              <w:rPr>
                <w:sz w:val="22"/>
              </w:rPr>
            </w:pPr>
            <w:r w:rsidRPr="00A57E40">
              <w:rPr>
                <w:sz w:val="22"/>
              </w:rPr>
              <w:t>Meets the main objective</w:t>
            </w:r>
          </w:p>
          <w:p w:rsidR="007B2A5F" w:rsidRPr="00A57E40" w:rsidRDefault="007B2A5F" w:rsidP="007B2A5F">
            <w:pPr>
              <w:pStyle w:val="TRNormal"/>
              <w:tabs>
                <w:tab w:val="left" w:pos="567"/>
              </w:tabs>
              <w:spacing w:line="240" w:lineRule="auto"/>
              <w:rPr>
                <w:sz w:val="22"/>
              </w:rPr>
            </w:pPr>
          </w:p>
          <w:p w:rsidR="007B2A5F" w:rsidRPr="00A57E40" w:rsidRDefault="007B2A5F" w:rsidP="007B2A5F">
            <w:pPr>
              <w:pStyle w:val="TRNormal"/>
              <w:tabs>
                <w:tab w:val="left" w:pos="567"/>
              </w:tabs>
              <w:spacing w:line="240" w:lineRule="auto"/>
              <w:rPr>
                <w:sz w:val="22"/>
              </w:rPr>
            </w:pPr>
            <w:r>
              <w:rPr>
                <w:sz w:val="22"/>
              </w:rPr>
              <w:t>Neutrality</w:t>
            </w:r>
            <w:r w:rsidRPr="00A57E40">
              <w:rPr>
                <w:sz w:val="22"/>
              </w:rPr>
              <w:t xml:space="preserve"> </w:t>
            </w:r>
            <w:r w:rsidRPr="00A57E40">
              <w:rPr>
                <w:rFonts w:ascii="Wingdings 2" w:eastAsiaTheme="minorHAnsi" w:hAnsi="Wingdings 2"/>
                <w:szCs w:val="24"/>
                <w:lang w:eastAsia="en-US"/>
              </w:rPr>
              <w:t></w:t>
            </w:r>
          </w:p>
          <w:p w:rsidR="007B2A5F" w:rsidRPr="00A57E40" w:rsidRDefault="007B2A5F" w:rsidP="007B2A5F">
            <w:pPr>
              <w:pStyle w:val="TRNormal"/>
              <w:tabs>
                <w:tab w:val="left" w:pos="567"/>
              </w:tabs>
              <w:spacing w:line="240" w:lineRule="auto"/>
              <w:rPr>
                <w:rFonts w:ascii="Wingdings 2" w:eastAsiaTheme="minorHAnsi" w:hAnsi="Wingdings 2"/>
                <w:szCs w:val="24"/>
                <w:lang w:eastAsia="en-US"/>
              </w:rPr>
            </w:pPr>
            <w:r>
              <w:rPr>
                <w:sz w:val="22"/>
              </w:rPr>
              <w:t>Fairness and equity</w:t>
            </w:r>
            <w:r w:rsidRPr="00A57E40">
              <w:rPr>
                <w:sz w:val="22"/>
              </w:rPr>
              <w:t xml:space="preserve"> </w:t>
            </w:r>
            <w:r w:rsidRPr="00A57E40">
              <w:rPr>
                <w:rFonts w:ascii="Wingdings 2" w:eastAsiaTheme="minorHAnsi" w:hAnsi="Wingdings 2"/>
                <w:szCs w:val="24"/>
                <w:lang w:eastAsia="en-US"/>
              </w:rPr>
              <w:t></w:t>
            </w:r>
          </w:p>
          <w:p w:rsidR="007B2A5F" w:rsidRPr="00A57E40" w:rsidRDefault="007B2A5F" w:rsidP="00082485">
            <w:pPr>
              <w:pStyle w:val="TRNormal"/>
              <w:tabs>
                <w:tab w:val="left" w:pos="567"/>
              </w:tabs>
              <w:spacing w:line="240" w:lineRule="auto"/>
              <w:rPr>
                <w:sz w:val="22"/>
              </w:rPr>
            </w:pPr>
            <w:r>
              <w:rPr>
                <w:sz w:val="22"/>
              </w:rPr>
              <w:t>Efficiency of compliance and administration</w:t>
            </w:r>
            <w:r w:rsidRPr="00A57E40">
              <w:rPr>
                <w:sz w:val="22"/>
              </w:rPr>
              <w:t xml:space="preserve"> </w:t>
            </w:r>
            <w:r w:rsidR="00FB52C8" w:rsidRPr="00A57E40">
              <w:rPr>
                <w:rFonts w:ascii="Wingdings 2" w:eastAsiaTheme="minorHAnsi" w:hAnsi="Wingdings 2"/>
                <w:szCs w:val="24"/>
                <w:lang w:eastAsia="en-US"/>
              </w:rPr>
              <w:t></w:t>
            </w:r>
            <w:r w:rsidR="00A75583" w:rsidRPr="00A57E40">
              <w:rPr>
                <w:rFonts w:ascii="Wingdings 2" w:eastAsiaTheme="minorHAnsi" w:hAnsi="Wingdings 2"/>
                <w:szCs w:val="24"/>
                <w:lang w:eastAsia="en-US"/>
              </w:rPr>
              <w:t></w:t>
            </w:r>
          </w:p>
        </w:tc>
      </w:tr>
      <w:tr w:rsidR="007B2A5F" w:rsidRPr="00A57E40" w:rsidTr="00684147">
        <w:tc>
          <w:tcPr>
            <w:tcW w:w="4643" w:type="dxa"/>
          </w:tcPr>
          <w:p w:rsidR="007B2A5F" w:rsidRDefault="007B2A5F" w:rsidP="007B2A5F">
            <w:pPr>
              <w:pStyle w:val="TRNormal"/>
              <w:tabs>
                <w:tab w:val="left" w:pos="567"/>
              </w:tabs>
              <w:spacing w:line="240" w:lineRule="auto"/>
              <w:rPr>
                <w:sz w:val="22"/>
              </w:rPr>
            </w:pPr>
            <w:r>
              <w:rPr>
                <w:sz w:val="22"/>
              </w:rPr>
              <w:t>Option 5 – Allow deductions for provision</w:t>
            </w:r>
            <w:r w:rsidR="00FB52C8">
              <w:rPr>
                <w:sz w:val="22"/>
              </w:rPr>
              <w:t>s</w:t>
            </w:r>
          </w:p>
        </w:tc>
        <w:tc>
          <w:tcPr>
            <w:tcW w:w="4644" w:type="dxa"/>
          </w:tcPr>
          <w:p w:rsidR="007B2A5F" w:rsidRPr="00A57E40" w:rsidRDefault="007B2A5F" w:rsidP="007B2A5F">
            <w:pPr>
              <w:pStyle w:val="TRNormal"/>
              <w:tabs>
                <w:tab w:val="left" w:pos="567"/>
              </w:tabs>
              <w:spacing w:line="240" w:lineRule="auto"/>
              <w:rPr>
                <w:sz w:val="22"/>
              </w:rPr>
            </w:pPr>
            <w:r w:rsidRPr="00A57E40">
              <w:rPr>
                <w:sz w:val="22"/>
              </w:rPr>
              <w:t>Meets the main objective</w:t>
            </w:r>
          </w:p>
          <w:p w:rsidR="007B2A5F" w:rsidRPr="00A57E40" w:rsidRDefault="007B2A5F" w:rsidP="007B2A5F">
            <w:pPr>
              <w:pStyle w:val="TRNormal"/>
              <w:tabs>
                <w:tab w:val="left" w:pos="567"/>
              </w:tabs>
              <w:spacing w:line="240" w:lineRule="auto"/>
              <w:rPr>
                <w:sz w:val="22"/>
              </w:rPr>
            </w:pPr>
          </w:p>
          <w:p w:rsidR="007B2A5F" w:rsidRPr="00A57E40" w:rsidRDefault="007B2A5F" w:rsidP="007B2A5F">
            <w:pPr>
              <w:pStyle w:val="TRNormal"/>
              <w:tabs>
                <w:tab w:val="left" w:pos="567"/>
              </w:tabs>
              <w:spacing w:line="240" w:lineRule="auto"/>
              <w:rPr>
                <w:sz w:val="22"/>
              </w:rPr>
            </w:pPr>
            <w:r>
              <w:rPr>
                <w:sz w:val="22"/>
              </w:rPr>
              <w:t>Neutrality</w:t>
            </w:r>
            <w:r w:rsidRPr="00A57E40">
              <w:rPr>
                <w:sz w:val="22"/>
              </w:rPr>
              <w:t xml:space="preserve"> </w:t>
            </w:r>
            <w:r w:rsidRPr="00A57E40">
              <w:rPr>
                <w:rFonts w:ascii="Wingdings 2" w:eastAsiaTheme="minorHAnsi" w:hAnsi="Wingdings 2"/>
                <w:szCs w:val="24"/>
                <w:lang w:eastAsia="en-US"/>
              </w:rPr>
              <w:t></w:t>
            </w:r>
          </w:p>
          <w:p w:rsidR="007B2A5F" w:rsidRPr="00A57E40" w:rsidRDefault="007B2A5F" w:rsidP="007B2A5F">
            <w:pPr>
              <w:pStyle w:val="TRNormal"/>
              <w:tabs>
                <w:tab w:val="left" w:pos="567"/>
              </w:tabs>
              <w:spacing w:line="240" w:lineRule="auto"/>
              <w:rPr>
                <w:rFonts w:ascii="Wingdings 2" w:eastAsiaTheme="minorHAnsi" w:hAnsi="Wingdings 2"/>
                <w:szCs w:val="24"/>
                <w:lang w:eastAsia="en-US"/>
              </w:rPr>
            </w:pPr>
            <w:r>
              <w:rPr>
                <w:sz w:val="22"/>
              </w:rPr>
              <w:t>Fairness and equity</w:t>
            </w:r>
            <w:r w:rsidRPr="00A57E40">
              <w:rPr>
                <w:sz w:val="22"/>
              </w:rPr>
              <w:t xml:space="preserve"> </w:t>
            </w:r>
            <w:r w:rsidR="00FB52C8" w:rsidRPr="00A57E40">
              <w:rPr>
                <w:rFonts w:ascii="Wingdings 2" w:eastAsiaTheme="minorHAnsi" w:hAnsi="Wingdings 2"/>
                <w:szCs w:val="24"/>
                <w:lang w:eastAsia="en-US"/>
              </w:rPr>
              <w:t></w:t>
            </w:r>
            <w:r w:rsidR="00A75583" w:rsidRPr="00A57E40">
              <w:rPr>
                <w:rFonts w:ascii="Wingdings 2" w:eastAsiaTheme="minorHAnsi" w:hAnsi="Wingdings 2"/>
                <w:szCs w:val="24"/>
                <w:lang w:eastAsia="en-US"/>
              </w:rPr>
              <w:t></w:t>
            </w:r>
          </w:p>
          <w:p w:rsidR="007B2A5F" w:rsidRPr="00A57E40" w:rsidRDefault="007B2A5F" w:rsidP="00082485">
            <w:pPr>
              <w:pStyle w:val="TRNormal"/>
              <w:tabs>
                <w:tab w:val="left" w:pos="567"/>
              </w:tabs>
              <w:spacing w:line="240" w:lineRule="auto"/>
              <w:rPr>
                <w:sz w:val="22"/>
              </w:rPr>
            </w:pPr>
            <w:r>
              <w:rPr>
                <w:sz w:val="22"/>
              </w:rPr>
              <w:t>Efficiency of compliance and administration</w:t>
            </w:r>
            <w:r w:rsidRPr="00A57E40">
              <w:rPr>
                <w:sz w:val="22"/>
              </w:rPr>
              <w:t xml:space="preserve"> </w:t>
            </w:r>
            <w:r w:rsidR="00FB52C8" w:rsidRPr="00A57E40">
              <w:rPr>
                <w:rFonts w:ascii="Wingdings 2" w:eastAsiaTheme="minorHAnsi" w:hAnsi="Wingdings 2"/>
                <w:szCs w:val="24"/>
                <w:lang w:eastAsia="en-US"/>
              </w:rPr>
              <w:t></w:t>
            </w:r>
          </w:p>
        </w:tc>
      </w:tr>
    </w:tbl>
    <w:p w:rsidR="00FB52C8" w:rsidRPr="00082485" w:rsidRDefault="00FB52C8" w:rsidP="00082485">
      <w:pPr>
        <w:pStyle w:val="Bullet-list"/>
        <w:spacing w:after="0" w:line="240" w:lineRule="auto"/>
        <w:ind w:left="0" w:firstLine="0"/>
        <w:rPr>
          <w:rFonts w:ascii="Times New Roman" w:hAnsi="Times New Roman"/>
          <w:sz w:val="24"/>
          <w:szCs w:val="24"/>
        </w:rPr>
      </w:pPr>
    </w:p>
    <w:p w:rsidR="000545DC" w:rsidRPr="00932268" w:rsidRDefault="00C21899" w:rsidP="004E52EA">
      <w:pPr>
        <w:pStyle w:val="Bullet-list"/>
        <w:numPr>
          <w:ilvl w:val="0"/>
          <w:numId w:val="2"/>
        </w:numPr>
        <w:tabs>
          <w:tab w:val="clear" w:pos="720"/>
          <w:tab w:val="num" w:pos="567"/>
        </w:tabs>
        <w:spacing w:after="0" w:line="240" w:lineRule="auto"/>
        <w:ind w:left="0" w:firstLine="0"/>
        <w:jc w:val="both"/>
        <w:rPr>
          <w:rFonts w:ascii="Times New Roman" w:hAnsi="Times New Roman"/>
          <w:b/>
          <w:sz w:val="24"/>
          <w:szCs w:val="24"/>
        </w:rPr>
      </w:pPr>
      <w:r>
        <w:rPr>
          <w:rFonts w:ascii="Times New Roman" w:hAnsi="Times New Roman"/>
          <w:sz w:val="24"/>
          <w:szCs w:val="24"/>
        </w:rPr>
        <w:t>O</w:t>
      </w:r>
      <w:r w:rsidR="0060515C">
        <w:rPr>
          <w:rFonts w:ascii="Times New Roman" w:hAnsi="Times New Roman"/>
          <w:sz w:val="24"/>
          <w:szCs w:val="24"/>
        </w:rPr>
        <w:t xml:space="preserve">ptions </w:t>
      </w:r>
      <w:r>
        <w:rPr>
          <w:rFonts w:ascii="Times New Roman" w:hAnsi="Times New Roman"/>
          <w:sz w:val="24"/>
          <w:szCs w:val="24"/>
        </w:rPr>
        <w:t xml:space="preserve">3, 4 and 5 </w:t>
      </w:r>
      <w:r w:rsidR="0060515C">
        <w:rPr>
          <w:rFonts w:ascii="Times New Roman" w:hAnsi="Times New Roman"/>
          <w:sz w:val="24"/>
          <w:szCs w:val="24"/>
        </w:rPr>
        <w:t xml:space="preserve">satisfy the main objective of </w:t>
      </w:r>
      <w:r w:rsidR="00932268">
        <w:rPr>
          <w:rFonts w:ascii="Times New Roman" w:hAnsi="Times New Roman"/>
          <w:sz w:val="24"/>
          <w:szCs w:val="24"/>
        </w:rPr>
        <w:t xml:space="preserve">ensuring that the </w:t>
      </w:r>
      <w:r w:rsidR="008D4205">
        <w:rPr>
          <w:rFonts w:ascii="Times New Roman" w:hAnsi="Times New Roman"/>
          <w:sz w:val="24"/>
          <w:szCs w:val="24"/>
        </w:rPr>
        <w:t>petroleum mining decommissioning rules are appropriate</w:t>
      </w:r>
      <w:r w:rsidR="00932268">
        <w:rPr>
          <w:rFonts w:ascii="Times New Roman" w:hAnsi="Times New Roman"/>
          <w:sz w:val="24"/>
          <w:szCs w:val="24"/>
        </w:rPr>
        <w:t>.</w:t>
      </w:r>
    </w:p>
    <w:p w:rsidR="00932268" w:rsidRPr="00932268" w:rsidRDefault="00932268" w:rsidP="004E52EA">
      <w:pPr>
        <w:pStyle w:val="Bullet-list"/>
        <w:spacing w:after="0" w:line="240" w:lineRule="auto"/>
        <w:ind w:left="0" w:firstLine="0"/>
        <w:jc w:val="both"/>
        <w:rPr>
          <w:rFonts w:ascii="Times New Roman" w:hAnsi="Times New Roman"/>
          <w:b/>
          <w:sz w:val="24"/>
          <w:szCs w:val="24"/>
        </w:rPr>
      </w:pPr>
    </w:p>
    <w:p w:rsidR="00932268" w:rsidRDefault="00932268"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sidRPr="00932268">
        <w:rPr>
          <w:rFonts w:ascii="Times New Roman" w:hAnsi="Times New Roman"/>
          <w:sz w:val="24"/>
          <w:szCs w:val="24"/>
        </w:rPr>
        <w:t>Officials</w:t>
      </w:r>
      <w:r>
        <w:rPr>
          <w:rFonts w:ascii="Times New Roman" w:hAnsi="Times New Roman"/>
          <w:sz w:val="24"/>
          <w:szCs w:val="24"/>
        </w:rPr>
        <w:t xml:space="preserve"> recommend option </w:t>
      </w:r>
      <w:r w:rsidR="00FB52C8">
        <w:rPr>
          <w:rFonts w:ascii="Times New Roman" w:hAnsi="Times New Roman"/>
          <w:sz w:val="24"/>
          <w:szCs w:val="24"/>
        </w:rPr>
        <w:t>3</w:t>
      </w:r>
      <w:r>
        <w:rPr>
          <w:rFonts w:ascii="Times New Roman" w:hAnsi="Times New Roman"/>
          <w:sz w:val="24"/>
          <w:szCs w:val="24"/>
        </w:rPr>
        <w:t xml:space="preserve"> as it is the only option that provides a</w:t>
      </w:r>
      <w:r w:rsidR="00A75583">
        <w:rPr>
          <w:rFonts w:ascii="Times New Roman" w:hAnsi="Times New Roman"/>
          <w:sz w:val="24"/>
          <w:szCs w:val="24"/>
        </w:rPr>
        <w:t>n overall</w:t>
      </w:r>
      <w:r>
        <w:rPr>
          <w:rFonts w:ascii="Times New Roman" w:hAnsi="Times New Roman"/>
          <w:sz w:val="24"/>
          <w:szCs w:val="24"/>
        </w:rPr>
        <w:t xml:space="preserve"> </w:t>
      </w:r>
      <w:r w:rsidR="00FB52C8">
        <w:rPr>
          <w:rFonts w:ascii="Times New Roman" w:hAnsi="Times New Roman"/>
          <w:sz w:val="24"/>
          <w:szCs w:val="24"/>
        </w:rPr>
        <w:t xml:space="preserve"> </w:t>
      </w:r>
      <w:r>
        <w:rPr>
          <w:rFonts w:ascii="Times New Roman" w:hAnsi="Times New Roman"/>
          <w:sz w:val="24"/>
          <w:szCs w:val="24"/>
        </w:rPr>
        <w:t>improvement on the status quo (option 1).  This is for the following reasons:</w:t>
      </w:r>
    </w:p>
    <w:p w:rsidR="00932268" w:rsidRDefault="00932268" w:rsidP="004E52EA">
      <w:pPr>
        <w:pStyle w:val="ListParagraph"/>
        <w:rPr>
          <w:rFonts w:ascii="Times New Roman" w:hAnsi="Times New Roman"/>
          <w:sz w:val="24"/>
          <w:szCs w:val="24"/>
        </w:rPr>
      </w:pPr>
    </w:p>
    <w:p w:rsidR="00A75583" w:rsidRDefault="006C687F" w:rsidP="00A75583">
      <w:pPr>
        <w:pStyle w:val="Bullet-list"/>
        <w:numPr>
          <w:ilvl w:val="0"/>
          <w:numId w:val="4"/>
        </w:numPr>
        <w:spacing w:after="0" w:line="240" w:lineRule="auto"/>
        <w:jc w:val="both"/>
        <w:rPr>
          <w:rFonts w:ascii="Times New Roman" w:hAnsi="Times New Roman"/>
          <w:sz w:val="24"/>
          <w:szCs w:val="24"/>
        </w:rPr>
      </w:pPr>
      <w:r>
        <w:rPr>
          <w:rFonts w:ascii="Times New Roman" w:hAnsi="Times New Roman"/>
          <w:sz w:val="24"/>
          <w:szCs w:val="24"/>
        </w:rPr>
        <w:t>Option 1 is not sustainable as it has a number of uncertainties and inappropriate outcomes that both disincentivise petroleum mining and provide concessions not available to other industries.</w:t>
      </w:r>
      <w:r w:rsidR="009B7CCC">
        <w:rPr>
          <w:rFonts w:ascii="Times New Roman" w:hAnsi="Times New Roman"/>
          <w:sz w:val="24"/>
          <w:szCs w:val="24"/>
        </w:rPr>
        <w:t xml:space="preserve">  </w:t>
      </w:r>
      <w:r w:rsidR="00932268">
        <w:rPr>
          <w:rFonts w:ascii="Times New Roman" w:hAnsi="Times New Roman"/>
          <w:sz w:val="24"/>
          <w:szCs w:val="24"/>
        </w:rPr>
        <w:t xml:space="preserve">Option </w:t>
      </w:r>
      <w:r w:rsidR="00FB52C8">
        <w:rPr>
          <w:rFonts w:ascii="Times New Roman" w:hAnsi="Times New Roman"/>
          <w:sz w:val="24"/>
          <w:szCs w:val="24"/>
        </w:rPr>
        <w:t>3</w:t>
      </w:r>
      <w:r w:rsidR="00932268">
        <w:rPr>
          <w:rFonts w:ascii="Times New Roman" w:hAnsi="Times New Roman"/>
          <w:sz w:val="24"/>
          <w:szCs w:val="24"/>
        </w:rPr>
        <w:t xml:space="preserve"> is preferable over option </w:t>
      </w:r>
      <w:r w:rsidR="00FB52C8">
        <w:rPr>
          <w:rFonts w:ascii="Times New Roman" w:hAnsi="Times New Roman"/>
          <w:sz w:val="24"/>
          <w:szCs w:val="24"/>
        </w:rPr>
        <w:t>2</w:t>
      </w:r>
      <w:r w:rsidR="00932268">
        <w:rPr>
          <w:rFonts w:ascii="Times New Roman" w:hAnsi="Times New Roman"/>
          <w:sz w:val="24"/>
          <w:szCs w:val="24"/>
        </w:rPr>
        <w:t xml:space="preserve"> as it </w:t>
      </w:r>
      <w:r w:rsidR="004A6DE9">
        <w:rPr>
          <w:rFonts w:ascii="Times New Roman" w:hAnsi="Times New Roman"/>
          <w:sz w:val="24"/>
          <w:szCs w:val="24"/>
        </w:rPr>
        <w:t xml:space="preserve">would </w:t>
      </w:r>
      <w:r w:rsidR="00932268">
        <w:rPr>
          <w:rFonts w:ascii="Times New Roman" w:hAnsi="Times New Roman"/>
          <w:sz w:val="24"/>
          <w:szCs w:val="24"/>
        </w:rPr>
        <w:t>result in lower compliance and administration costs from not having to reopen prior periods to include all or part of the decommissioning costs that could not be included in the original return</w:t>
      </w:r>
      <w:r>
        <w:rPr>
          <w:rFonts w:ascii="Times New Roman" w:hAnsi="Times New Roman"/>
          <w:sz w:val="24"/>
          <w:szCs w:val="24"/>
        </w:rPr>
        <w:t xml:space="preserve"> and </w:t>
      </w:r>
      <w:r w:rsidR="004A6DE9">
        <w:rPr>
          <w:rFonts w:ascii="Times New Roman" w:hAnsi="Times New Roman"/>
          <w:sz w:val="24"/>
          <w:szCs w:val="24"/>
        </w:rPr>
        <w:t xml:space="preserve">would </w:t>
      </w:r>
      <w:r>
        <w:rPr>
          <w:rFonts w:ascii="Times New Roman" w:hAnsi="Times New Roman"/>
          <w:sz w:val="24"/>
          <w:szCs w:val="24"/>
        </w:rPr>
        <w:t>not require manual intervention of UOMI calculations</w:t>
      </w:r>
      <w:r w:rsidR="00932268">
        <w:rPr>
          <w:rFonts w:ascii="Times New Roman" w:hAnsi="Times New Roman"/>
          <w:sz w:val="24"/>
          <w:szCs w:val="24"/>
        </w:rPr>
        <w:t>.</w:t>
      </w:r>
      <w:r w:rsidR="00A75583" w:rsidRPr="00A75583">
        <w:rPr>
          <w:rFonts w:ascii="Times New Roman" w:hAnsi="Times New Roman"/>
          <w:sz w:val="24"/>
          <w:szCs w:val="24"/>
        </w:rPr>
        <w:t xml:space="preserve"> </w:t>
      </w:r>
    </w:p>
    <w:p w:rsidR="00932268" w:rsidRPr="00A75583" w:rsidRDefault="00A75583" w:rsidP="00A75583">
      <w:pPr>
        <w:pStyle w:val="Bullet-list"/>
        <w:numPr>
          <w:ilvl w:val="0"/>
          <w:numId w:val="4"/>
        </w:numPr>
        <w:spacing w:after="0" w:line="240" w:lineRule="auto"/>
        <w:jc w:val="both"/>
        <w:rPr>
          <w:rFonts w:ascii="Times New Roman" w:hAnsi="Times New Roman"/>
          <w:sz w:val="24"/>
          <w:szCs w:val="24"/>
        </w:rPr>
      </w:pPr>
      <w:r>
        <w:rPr>
          <w:rFonts w:ascii="Times New Roman" w:hAnsi="Times New Roman"/>
          <w:sz w:val="24"/>
          <w:szCs w:val="24"/>
        </w:rPr>
        <w:t>While option 3 provides a treatment not available to most other industries this reflects their unique income profile and is not an unjustified concession.</w:t>
      </w:r>
    </w:p>
    <w:p w:rsidR="00932268" w:rsidRDefault="00932268" w:rsidP="004E52EA">
      <w:pPr>
        <w:pStyle w:val="Bullet-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Option </w:t>
      </w:r>
      <w:r w:rsidR="00FB52C8">
        <w:rPr>
          <w:rFonts w:ascii="Times New Roman" w:hAnsi="Times New Roman"/>
          <w:sz w:val="24"/>
          <w:szCs w:val="24"/>
        </w:rPr>
        <w:t>3</w:t>
      </w:r>
      <w:r>
        <w:rPr>
          <w:rFonts w:ascii="Times New Roman" w:hAnsi="Times New Roman"/>
          <w:sz w:val="24"/>
          <w:szCs w:val="24"/>
        </w:rPr>
        <w:t xml:space="preserve"> is preferable over option </w:t>
      </w:r>
      <w:r w:rsidR="00FB52C8">
        <w:rPr>
          <w:rFonts w:ascii="Times New Roman" w:hAnsi="Times New Roman"/>
          <w:sz w:val="24"/>
          <w:szCs w:val="24"/>
        </w:rPr>
        <w:t>4</w:t>
      </w:r>
      <w:r>
        <w:rPr>
          <w:rFonts w:ascii="Times New Roman" w:hAnsi="Times New Roman"/>
          <w:sz w:val="24"/>
          <w:szCs w:val="24"/>
        </w:rPr>
        <w:t xml:space="preserve"> as it </w:t>
      </w:r>
      <w:r w:rsidR="004A6DE9">
        <w:rPr>
          <w:rFonts w:ascii="Times New Roman" w:hAnsi="Times New Roman"/>
          <w:sz w:val="24"/>
          <w:szCs w:val="24"/>
        </w:rPr>
        <w:t xml:space="preserve">would </w:t>
      </w:r>
      <w:r>
        <w:rPr>
          <w:rFonts w:ascii="Times New Roman" w:hAnsi="Times New Roman"/>
          <w:sz w:val="24"/>
          <w:szCs w:val="24"/>
        </w:rPr>
        <w:t xml:space="preserve">result in lower compliance costs from the petroleum miner not having to make upfront payments into an account operated by the Commissioner before the expenditure is incurred.  It </w:t>
      </w:r>
      <w:r w:rsidR="004A6DE9">
        <w:rPr>
          <w:rFonts w:ascii="Times New Roman" w:hAnsi="Times New Roman"/>
          <w:sz w:val="24"/>
          <w:szCs w:val="24"/>
        </w:rPr>
        <w:t xml:space="preserve">would </w:t>
      </w:r>
      <w:r>
        <w:rPr>
          <w:rFonts w:ascii="Times New Roman" w:hAnsi="Times New Roman"/>
          <w:sz w:val="24"/>
          <w:szCs w:val="24"/>
        </w:rPr>
        <w:t>also result in lower administration costs from the Commissioner not having to operate this account.</w:t>
      </w:r>
    </w:p>
    <w:p w:rsidR="00932268" w:rsidRPr="00932268" w:rsidRDefault="00932268" w:rsidP="004E52EA">
      <w:pPr>
        <w:pStyle w:val="Bullet-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Option </w:t>
      </w:r>
      <w:r w:rsidR="00FB52C8">
        <w:rPr>
          <w:rFonts w:ascii="Times New Roman" w:hAnsi="Times New Roman"/>
          <w:sz w:val="24"/>
          <w:szCs w:val="24"/>
        </w:rPr>
        <w:t>3</w:t>
      </w:r>
      <w:r>
        <w:rPr>
          <w:rFonts w:ascii="Times New Roman" w:hAnsi="Times New Roman"/>
          <w:sz w:val="24"/>
          <w:szCs w:val="24"/>
        </w:rPr>
        <w:t xml:space="preserve"> is preferable over option </w:t>
      </w:r>
      <w:r w:rsidR="00FB52C8">
        <w:rPr>
          <w:rFonts w:ascii="Times New Roman" w:hAnsi="Times New Roman"/>
          <w:sz w:val="24"/>
          <w:szCs w:val="24"/>
        </w:rPr>
        <w:t>5</w:t>
      </w:r>
      <w:r>
        <w:rPr>
          <w:rFonts w:ascii="Times New Roman" w:hAnsi="Times New Roman"/>
          <w:sz w:val="24"/>
          <w:szCs w:val="24"/>
        </w:rPr>
        <w:t xml:space="preserve"> as </w:t>
      </w:r>
      <w:r w:rsidR="00D87EE9">
        <w:rPr>
          <w:rFonts w:ascii="Times New Roman" w:hAnsi="Times New Roman"/>
          <w:sz w:val="24"/>
          <w:szCs w:val="24"/>
        </w:rPr>
        <w:t xml:space="preserve">it </w:t>
      </w:r>
      <w:r>
        <w:rPr>
          <w:rFonts w:ascii="Times New Roman" w:hAnsi="Times New Roman"/>
          <w:sz w:val="24"/>
          <w:szCs w:val="24"/>
        </w:rPr>
        <w:t>corrects the issue arising from significant expenditure at or near the end of the production process without providing a concession that is not available to other industries (being able to claim a current period deduction for expenditure that will be incurred in a future period).</w:t>
      </w:r>
    </w:p>
    <w:p w:rsidR="00D943DD" w:rsidRPr="004342F0" w:rsidRDefault="00D943DD" w:rsidP="004E52EA">
      <w:pPr>
        <w:pStyle w:val="spacer"/>
        <w:jc w:val="both"/>
        <w:rPr>
          <w:rFonts w:ascii="Times New Roman" w:hAnsi="Times New Roman"/>
          <w:sz w:val="24"/>
          <w:szCs w:val="24"/>
          <w:lang w:val="en-AU"/>
        </w:rPr>
      </w:pPr>
      <w:bookmarkStart w:id="37" w:name="_Toc244580368"/>
      <w:bookmarkStart w:id="38" w:name="_Toc244587044"/>
      <w:bookmarkStart w:id="39" w:name="_Toc244857278"/>
      <w:bookmarkStart w:id="40" w:name="_Toc244912543"/>
      <w:bookmarkStart w:id="41" w:name="_Toc244917000"/>
    </w:p>
    <w:p w:rsidR="000545DC" w:rsidRPr="004342F0" w:rsidRDefault="00D943DD" w:rsidP="004E52EA">
      <w:pPr>
        <w:pStyle w:val="RISheading"/>
        <w:jc w:val="both"/>
        <w:rPr>
          <w:spacing w:val="0"/>
          <w:w w:val="100"/>
        </w:rPr>
      </w:pPr>
      <w:r w:rsidRPr="004342F0">
        <w:rPr>
          <w:spacing w:val="0"/>
          <w:w w:val="100"/>
        </w:rPr>
        <w:t>IMPLEMENTATION</w:t>
      </w:r>
      <w:bookmarkEnd w:id="37"/>
      <w:bookmarkEnd w:id="38"/>
      <w:bookmarkEnd w:id="39"/>
      <w:bookmarkEnd w:id="40"/>
      <w:bookmarkEnd w:id="41"/>
      <w:r w:rsidRPr="004342F0">
        <w:rPr>
          <w:spacing w:val="0"/>
          <w:w w:val="100"/>
        </w:rPr>
        <w:t xml:space="preserve"> </w:t>
      </w:r>
    </w:p>
    <w:p w:rsidR="000545DC" w:rsidRDefault="00932268"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Changes to introduce a </w:t>
      </w:r>
      <w:r w:rsidR="00BE2E23">
        <w:rPr>
          <w:rFonts w:ascii="Times New Roman" w:hAnsi="Times New Roman"/>
          <w:sz w:val="24"/>
          <w:szCs w:val="24"/>
        </w:rPr>
        <w:t xml:space="preserve">refundable credit for petroleum decommissioning expenditure would require amendments to the Income Tax Act 2007.  These amendments would be included in </w:t>
      </w:r>
      <w:r w:rsidR="008E53A1">
        <w:rPr>
          <w:rFonts w:ascii="Times New Roman" w:hAnsi="Times New Roman"/>
          <w:sz w:val="24"/>
          <w:szCs w:val="24"/>
        </w:rPr>
        <w:t>the next available omnibus</w:t>
      </w:r>
      <w:r w:rsidR="00BE2E23">
        <w:rPr>
          <w:rFonts w:ascii="Times New Roman" w:hAnsi="Times New Roman"/>
          <w:sz w:val="24"/>
          <w:szCs w:val="24"/>
        </w:rPr>
        <w:t xml:space="preserve"> tax bill, scheduled for introduction in </w:t>
      </w:r>
      <w:r w:rsidR="008E53A1">
        <w:rPr>
          <w:rFonts w:ascii="Times New Roman" w:hAnsi="Times New Roman"/>
          <w:sz w:val="24"/>
          <w:szCs w:val="24"/>
        </w:rPr>
        <w:t xml:space="preserve"> early </w:t>
      </w:r>
      <w:r w:rsidR="00BE2E23">
        <w:rPr>
          <w:rFonts w:ascii="Times New Roman" w:hAnsi="Times New Roman"/>
          <w:sz w:val="24"/>
          <w:szCs w:val="24"/>
        </w:rPr>
        <w:t>2017.</w:t>
      </w:r>
    </w:p>
    <w:p w:rsidR="00BE2E23" w:rsidRDefault="00BE2E23" w:rsidP="004E52EA">
      <w:pPr>
        <w:pStyle w:val="Bullet-list"/>
        <w:spacing w:after="0" w:line="240" w:lineRule="auto"/>
        <w:ind w:left="0" w:firstLine="0"/>
        <w:jc w:val="both"/>
        <w:rPr>
          <w:rFonts w:ascii="Times New Roman" w:hAnsi="Times New Roman"/>
          <w:sz w:val="24"/>
          <w:szCs w:val="24"/>
        </w:rPr>
      </w:pPr>
    </w:p>
    <w:p w:rsidR="00BE2E23" w:rsidRDefault="00BE2E23"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These amendments would apply equally to all petroleum miners, including those that are already in production </w:t>
      </w:r>
      <w:r w:rsidR="006638D3">
        <w:rPr>
          <w:rFonts w:ascii="Times New Roman" w:hAnsi="Times New Roman"/>
          <w:sz w:val="24"/>
          <w:szCs w:val="24"/>
        </w:rPr>
        <w:t xml:space="preserve">as well as those still in the exploration phase who need to </w:t>
      </w:r>
      <w:r>
        <w:rPr>
          <w:rFonts w:ascii="Times New Roman" w:hAnsi="Times New Roman"/>
          <w:sz w:val="24"/>
          <w:szCs w:val="24"/>
        </w:rPr>
        <w:t>plan</w:t>
      </w:r>
      <w:r w:rsidR="006638D3">
        <w:rPr>
          <w:rFonts w:ascii="Times New Roman" w:hAnsi="Times New Roman"/>
          <w:sz w:val="24"/>
          <w:szCs w:val="24"/>
        </w:rPr>
        <w:t xml:space="preserve"> for</w:t>
      </w:r>
      <w:r>
        <w:rPr>
          <w:rFonts w:ascii="Times New Roman" w:hAnsi="Times New Roman"/>
          <w:sz w:val="24"/>
          <w:szCs w:val="24"/>
        </w:rPr>
        <w:t xml:space="preserve"> future decommissioning.  </w:t>
      </w:r>
      <w:r w:rsidR="00D87EE9">
        <w:rPr>
          <w:rFonts w:ascii="Times New Roman" w:hAnsi="Times New Roman"/>
          <w:sz w:val="24"/>
          <w:szCs w:val="24"/>
        </w:rPr>
        <w:t>The</w:t>
      </w:r>
      <w:r>
        <w:rPr>
          <w:rFonts w:ascii="Times New Roman" w:hAnsi="Times New Roman"/>
          <w:sz w:val="24"/>
          <w:szCs w:val="24"/>
        </w:rPr>
        <w:t xml:space="preserve"> bill </w:t>
      </w:r>
      <w:r w:rsidR="00D87EE9">
        <w:rPr>
          <w:rFonts w:ascii="Times New Roman" w:hAnsi="Times New Roman"/>
          <w:sz w:val="24"/>
          <w:szCs w:val="24"/>
        </w:rPr>
        <w:t xml:space="preserve">containing these amendments </w:t>
      </w:r>
      <w:r w:rsidR="008E53A1">
        <w:rPr>
          <w:rFonts w:ascii="Times New Roman" w:hAnsi="Times New Roman"/>
          <w:sz w:val="24"/>
          <w:szCs w:val="24"/>
        </w:rPr>
        <w:t>would be expected</w:t>
      </w:r>
      <w:r>
        <w:rPr>
          <w:rFonts w:ascii="Times New Roman" w:hAnsi="Times New Roman"/>
          <w:sz w:val="24"/>
          <w:szCs w:val="24"/>
        </w:rPr>
        <w:t xml:space="preserve"> to be enacted before the first offshore installation begins decommissioning which may occur in 2018.  As no petroleum miners have decommissioned an offshore installation in New Zealand this timeline would ensure that the </w:t>
      </w:r>
      <w:r w:rsidR="00C621F6">
        <w:rPr>
          <w:rFonts w:ascii="Times New Roman" w:hAnsi="Times New Roman"/>
          <w:sz w:val="24"/>
          <w:szCs w:val="24"/>
        </w:rPr>
        <w:t xml:space="preserve">new </w:t>
      </w:r>
      <w:r>
        <w:rPr>
          <w:rFonts w:ascii="Times New Roman" w:hAnsi="Times New Roman"/>
          <w:sz w:val="24"/>
          <w:szCs w:val="24"/>
        </w:rPr>
        <w:t>rules apply equally to all petroleum miners.</w:t>
      </w:r>
    </w:p>
    <w:p w:rsidR="00BE2E23" w:rsidRDefault="00BE2E23" w:rsidP="004E52EA">
      <w:pPr>
        <w:pStyle w:val="ListParagraph"/>
        <w:rPr>
          <w:rFonts w:ascii="Times New Roman" w:hAnsi="Times New Roman"/>
          <w:sz w:val="24"/>
          <w:szCs w:val="24"/>
        </w:rPr>
      </w:pPr>
    </w:p>
    <w:p w:rsidR="00BE2E23" w:rsidRDefault="00BE2E23"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These changes would not impose significant compliance costs on petroleum miners as the primary change would be to include decommissioning expenditure in the relevant period’s income tax return rather than calculating this amount and requesting it be included in</w:t>
      </w:r>
      <w:r w:rsidR="00C621F6">
        <w:rPr>
          <w:rFonts w:ascii="Times New Roman" w:hAnsi="Times New Roman"/>
          <w:sz w:val="24"/>
          <w:szCs w:val="24"/>
        </w:rPr>
        <w:t xml:space="preserve"> previous years’ assessments</w:t>
      </w:r>
      <w:r>
        <w:rPr>
          <w:rFonts w:ascii="Times New Roman" w:hAnsi="Times New Roman"/>
          <w:sz w:val="24"/>
          <w:szCs w:val="24"/>
        </w:rPr>
        <w:t>.  Depending on how the petroleum miner accounts for refunds from prior periods the change may also reduce compliance costs of recording these refunds.</w:t>
      </w:r>
    </w:p>
    <w:p w:rsidR="00BE2E23" w:rsidRDefault="00BE2E23" w:rsidP="004E52EA">
      <w:pPr>
        <w:pStyle w:val="ListParagraph"/>
        <w:rPr>
          <w:rFonts w:ascii="Times New Roman" w:hAnsi="Times New Roman"/>
          <w:sz w:val="24"/>
          <w:szCs w:val="24"/>
        </w:rPr>
      </w:pPr>
    </w:p>
    <w:p w:rsidR="00BE2E23" w:rsidRPr="004342F0" w:rsidRDefault="00997B75"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w:t>
      </w:r>
      <w:r w:rsidR="008E53A1">
        <w:rPr>
          <w:rFonts w:ascii="Times New Roman" w:hAnsi="Times New Roman"/>
          <w:sz w:val="24"/>
          <w:szCs w:val="24"/>
        </w:rPr>
        <w:t xml:space="preserve">he bill commentary and a </w:t>
      </w:r>
      <w:r w:rsidR="008E53A1">
        <w:rPr>
          <w:rFonts w:ascii="Times New Roman" w:hAnsi="Times New Roman"/>
          <w:i/>
          <w:sz w:val="24"/>
          <w:szCs w:val="24"/>
        </w:rPr>
        <w:t xml:space="preserve">Tax Information Bulletin </w:t>
      </w:r>
      <w:r w:rsidR="00BE2E23">
        <w:rPr>
          <w:rFonts w:ascii="Times New Roman" w:hAnsi="Times New Roman"/>
          <w:sz w:val="24"/>
          <w:szCs w:val="24"/>
        </w:rPr>
        <w:t>publication</w:t>
      </w:r>
      <w:r w:rsidR="008E53A1">
        <w:rPr>
          <w:rFonts w:ascii="Times New Roman" w:hAnsi="Times New Roman"/>
          <w:sz w:val="24"/>
          <w:szCs w:val="24"/>
        </w:rPr>
        <w:t xml:space="preserve"> upon enactment</w:t>
      </w:r>
      <w:r w:rsidR="00BE2E23">
        <w:rPr>
          <w:rFonts w:ascii="Times New Roman" w:hAnsi="Times New Roman"/>
          <w:sz w:val="24"/>
          <w:szCs w:val="24"/>
        </w:rPr>
        <w:t xml:space="preserve"> to explain the changes</w:t>
      </w:r>
      <w:r>
        <w:rPr>
          <w:rFonts w:ascii="Times New Roman" w:hAnsi="Times New Roman"/>
          <w:sz w:val="24"/>
          <w:szCs w:val="24"/>
        </w:rPr>
        <w:t xml:space="preserve"> </w:t>
      </w:r>
      <w:r w:rsidR="004A6DE9">
        <w:rPr>
          <w:rFonts w:ascii="Times New Roman" w:hAnsi="Times New Roman"/>
          <w:sz w:val="24"/>
          <w:szCs w:val="24"/>
        </w:rPr>
        <w:t xml:space="preserve">would </w:t>
      </w:r>
      <w:r>
        <w:rPr>
          <w:rFonts w:ascii="Times New Roman" w:hAnsi="Times New Roman"/>
          <w:sz w:val="24"/>
          <w:szCs w:val="24"/>
        </w:rPr>
        <w:t>be required.</w:t>
      </w:r>
      <w:r w:rsidR="00BE2E23">
        <w:rPr>
          <w:rFonts w:ascii="Times New Roman" w:hAnsi="Times New Roman"/>
          <w:sz w:val="24"/>
          <w:szCs w:val="24"/>
        </w:rPr>
        <w:t xml:space="preserve"> </w:t>
      </w:r>
      <w:r>
        <w:rPr>
          <w:rFonts w:ascii="Times New Roman" w:hAnsi="Times New Roman"/>
          <w:sz w:val="24"/>
          <w:szCs w:val="24"/>
        </w:rPr>
        <w:t xml:space="preserve"> M</w:t>
      </w:r>
      <w:r w:rsidR="00BE2E23">
        <w:rPr>
          <w:rFonts w:ascii="Times New Roman" w:hAnsi="Times New Roman"/>
          <w:sz w:val="24"/>
          <w:szCs w:val="24"/>
        </w:rPr>
        <w:t xml:space="preserve">inor systems changes would </w:t>
      </w:r>
      <w:r>
        <w:rPr>
          <w:rFonts w:ascii="Times New Roman" w:hAnsi="Times New Roman"/>
          <w:sz w:val="24"/>
          <w:szCs w:val="24"/>
        </w:rPr>
        <w:t xml:space="preserve">also </w:t>
      </w:r>
      <w:r w:rsidR="00BE2E23">
        <w:rPr>
          <w:rFonts w:ascii="Times New Roman" w:hAnsi="Times New Roman"/>
          <w:sz w:val="24"/>
          <w:szCs w:val="24"/>
        </w:rPr>
        <w:t xml:space="preserve">be required </w:t>
      </w:r>
      <w:r w:rsidR="008E53A1">
        <w:rPr>
          <w:rFonts w:ascii="Times New Roman" w:hAnsi="Times New Roman"/>
          <w:sz w:val="24"/>
          <w:szCs w:val="24"/>
        </w:rPr>
        <w:t xml:space="preserve">to START </w:t>
      </w:r>
      <w:r w:rsidR="00BE2E23">
        <w:rPr>
          <w:rFonts w:ascii="Times New Roman" w:hAnsi="Times New Roman"/>
          <w:sz w:val="24"/>
          <w:szCs w:val="24"/>
        </w:rPr>
        <w:t xml:space="preserve">to allow petroleum miners to obtain a refund in a current income year that exceeded tax paid in that year.  However, these changes have previously been implemented </w:t>
      </w:r>
      <w:r w:rsidR="008E53A1">
        <w:rPr>
          <w:rFonts w:ascii="Times New Roman" w:hAnsi="Times New Roman"/>
          <w:sz w:val="24"/>
          <w:szCs w:val="24"/>
        </w:rPr>
        <w:t xml:space="preserve">in FIRST and </w:t>
      </w:r>
      <w:r w:rsidR="004A6DE9">
        <w:rPr>
          <w:rFonts w:ascii="Times New Roman" w:hAnsi="Times New Roman"/>
          <w:sz w:val="24"/>
          <w:szCs w:val="24"/>
        </w:rPr>
        <w:t xml:space="preserve">would </w:t>
      </w:r>
      <w:r w:rsidR="008E53A1">
        <w:rPr>
          <w:rFonts w:ascii="Times New Roman" w:hAnsi="Times New Roman"/>
          <w:sz w:val="24"/>
          <w:szCs w:val="24"/>
        </w:rPr>
        <w:t xml:space="preserve">be incorporated into START </w:t>
      </w:r>
      <w:r w:rsidR="00BE2E23">
        <w:rPr>
          <w:rFonts w:ascii="Times New Roman" w:hAnsi="Times New Roman"/>
          <w:sz w:val="24"/>
          <w:szCs w:val="24"/>
        </w:rPr>
        <w:t>for the mineral mining industry</w:t>
      </w:r>
      <w:r w:rsidR="008E53A1">
        <w:rPr>
          <w:rFonts w:ascii="Times New Roman" w:hAnsi="Times New Roman"/>
          <w:sz w:val="24"/>
          <w:szCs w:val="24"/>
        </w:rPr>
        <w:t>,</w:t>
      </w:r>
      <w:r w:rsidR="00BE2E23">
        <w:rPr>
          <w:rFonts w:ascii="Times New Roman" w:hAnsi="Times New Roman"/>
          <w:sz w:val="24"/>
          <w:szCs w:val="24"/>
        </w:rPr>
        <w:t xml:space="preserve"> so replicating these for petroleum mining is not expected to be </w:t>
      </w:r>
      <w:r w:rsidR="00C621F6">
        <w:rPr>
          <w:rFonts w:ascii="Times New Roman" w:hAnsi="Times New Roman"/>
          <w:sz w:val="24"/>
          <w:szCs w:val="24"/>
        </w:rPr>
        <w:t xml:space="preserve">a </w:t>
      </w:r>
      <w:r w:rsidR="00BE2E23">
        <w:rPr>
          <w:rFonts w:ascii="Times New Roman" w:hAnsi="Times New Roman"/>
          <w:sz w:val="24"/>
          <w:szCs w:val="24"/>
        </w:rPr>
        <w:t xml:space="preserve">significant </w:t>
      </w:r>
      <w:r w:rsidR="00C621F6">
        <w:rPr>
          <w:rFonts w:ascii="Times New Roman" w:hAnsi="Times New Roman"/>
          <w:sz w:val="24"/>
          <w:szCs w:val="24"/>
        </w:rPr>
        <w:t xml:space="preserve">cost </w:t>
      </w:r>
      <w:r w:rsidR="00BE2E23">
        <w:rPr>
          <w:rFonts w:ascii="Times New Roman" w:hAnsi="Times New Roman"/>
          <w:sz w:val="24"/>
          <w:szCs w:val="24"/>
        </w:rPr>
        <w:t xml:space="preserve">and </w:t>
      </w:r>
      <w:r w:rsidR="008E53A1">
        <w:rPr>
          <w:rFonts w:ascii="Times New Roman" w:hAnsi="Times New Roman"/>
          <w:sz w:val="24"/>
          <w:szCs w:val="24"/>
        </w:rPr>
        <w:t xml:space="preserve">would </w:t>
      </w:r>
      <w:r w:rsidR="00BE2E23">
        <w:rPr>
          <w:rFonts w:ascii="Times New Roman" w:hAnsi="Times New Roman"/>
          <w:sz w:val="24"/>
          <w:szCs w:val="24"/>
        </w:rPr>
        <w:t>be met within existing baselines.</w:t>
      </w:r>
    </w:p>
    <w:p w:rsidR="00D943DD" w:rsidRPr="004342F0" w:rsidRDefault="00D943DD" w:rsidP="004E52EA">
      <w:pPr>
        <w:pStyle w:val="spacer"/>
        <w:jc w:val="both"/>
        <w:rPr>
          <w:rFonts w:ascii="Times New Roman" w:hAnsi="Times New Roman"/>
          <w:sz w:val="24"/>
          <w:szCs w:val="24"/>
          <w:lang w:val="en-AU"/>
        </w:rPr>
      </w:pPr>
      <w:bookmarkStart w:id="42" w:name="_Toc244580369"/>
      <w:bookmarkStart w:id="43" w:name="_Toc244587045"/>
      <w:bookmarkStart w:id="44" w:name="_Toc244857279"/>
      <w:bookmarkStart w:id="45" w:name="_Toc244912544"/>
      <w:bookmarkStart w:id="46" w:name="_Toc244917001"/>
    </w:p>
    <w:p w:rsidR="000545DC" w:rsidRPr="004342F0" w:rsidRDefault="00D943DD" w:rsidP="004E52EA">
      <w:pPr>
        <w:pStyle w:val="RISheading"/>
        <w:jc w:val="both"/>
        <w:rPr>
          <w:spacing w:val="0"/>
          <w:w w:val="100"/>
        </w:rPr>
      </w:pPr>
      <w:r w:rsidRPr="004342F0">
        <w:rPr>
          <w:spacing w:val="0"/>
          <w:w w:val="100"/>
        </w:rPr>
        <w:t>MONITORING, EVALUATION AND REVIEW</w:t>
      </w:r>
      <w:bookmarkEnd w:id="42"/>
      <w:bookmarkEnd w:id="43"/>
      <w:bookmarkEnd w:id="44"/>
      <w:bookmarkEnd w:id="45"/>
      <w:bookmarkEnd w:id="46"/>
    </w:p>
    <w:p w:rsidR="00FC43D1" w:rsidRDefault="00C621F6"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I</w:t>
      </w:r>
      <w:r w:rsidR="003911FE">
        <w:rPr>
          <w:rFonts w:ascii="Times New Roman" w:hAnsi="Times New Roman"/>
          <w:sz w:val="24"/>
          <w:szCs w:val="24"/>
        </w:rPr>
        <w:t xml:space="preserve">nland Revenue </w:t>
      </w:r>
      <w:r w:rsidR="004A6DE9">
        <w:rPr>
          <w:rFonts w:ascii="Times New Roman" w:hAnsi="Times New Roman"/>
          <w:sz w:val="24"/>
          <w:szCs w:val="24"/>
        </w:rPr>
        <w:t>would</w:t>
      </w:r>
      <w:r w:rsidR="003911FE">
        <w:rPr>
          <w:rFonts w:ascii="Times New Roman" w:hAnsi="Times New Roman"/>
          <w:sz w:val="24"/>
          <w:szCs w:val="24"/>
        </w:rPr>
        <w:t xml:space="preserve"> closely monitor the effectiveness of the proposed changes once income tax returns including decommissioning start being prepared – </w:t>
      </w:r>
      <w:r w:rsidR="00997B75">
        <w:rPr>
          <w:rFonts w:ascii="Times New Roman" w:hAnsi="Times New Roman"/>
          <w:sz w:val="24"/>
          <w:szCs w:val="24"/>
        </w:rPr>
        <w:t xml:space="preserve">with the first </w:t>
      </w:r>
      <w:r w:rsidR="00460004">
        <w:rPr>
          <w:rFonts w:ascii="Times New Roman" w:hAnsi="Times New Roman"/>
          <w:sz w:val="24"/>
          <w:szCs w:val="24"/>
        </w:rPr>
        <w:t>possibly</w:t>
      </w:r>
      <w:r w:rsidR="00997B75">
        <w:rPr>
          <w:rFonts w:ascii="Times New Roman" w:hAnsi="Times New Roman"/>
          <w:sz w:val="24"/>
          <w:szCs w:val="24"/>
        </w:rPr>
        <w:t xml:space="preserve"> to be in</w:t>
      </w:r>
      <w:r w:rsidR="003911FE">
        <w:rPr>
          <w:rFonts w:ascii="Times New Roman" w:hAnsi="Times New Roman"/>
          <w:sz w:val="24"/>
          <w:szCs w:val="24"/>
        </w:rPr>
        <w:t xml:space="preserve"> the 2018-19 income year.</w:t>
      </w:r>
    </w:p>
    <w:p w:rsidR="003911FE" w:rsidRDefault="003911FE" w:rsidP="004E52EA">
      <w:pPr>
        <w:pStyle w:val="Bullet-list"/>
        <w:spacing w:after="0" w:line="240" w:lineRule="auto"/>
        <w:ind w:left="0" w:firstLine="0"/>
        <w:jc w:val="both"/>
        <w:rPr>
          <w:rFonts w:ascii="Times New Roman" w:hAnsi="Times New Roman"/>
          <w:sz w:val="24"/>
          <w:szCs w:val="24"/>
        </w:rPr>
      </w:pPr>
    </w:p>
    <w:p w:rsidR="003911FE" w:rsidRPr="003911FE" w:rsidRDefault="003911FE" w:rsidP="004E52EA">
      <w:pPr>
        <w:pStyle w:val="Bullet-list"/>
        <w:numPr>
          <w:ilvl w:val="0"/>
          <w:numId w:val="2"/>
        </w:numPr>
        <w:tabs>
          <w:tab w:val="clear" w:pos="720"/>
          <w:tab w:val="num" w:pos="567"/>
        </w:tabs>
        <w:spacing w:after="0" w:line="240" w:lineRule="auto"/>
        <w:ind w:left="0" w:firstLine="0"/>
        <w:jc w:val="both"/>
        <w:rPr>
          <w:rFonts w:ascii="Times New Roman" w:hAnsi="Times New Roman"/>
          <w:sz w:val="24"/>
          <w:szCs w:val="24"/>
        </w:rPr>
      </w:pPr>
      <w:r w:rsidRPr="003911FE">
        <w:rPr>
          <w:rFonts w:ascii="Times New Roman" w:hAnsi="Times New Roman"/>
          <w:sz w:val="24"/>
          <w:szCs w:val="24"/>
        </w:rPr>
        <w:t xml:space="preserve">In general, any changes identified as necessary following enactment would be added to the tax policy work programme, and proposals would go through the Generic Tax Policy Process (GTPP).  The GTPP is a multi-stage process that has been used to design tax policy (and subsequently social policy administered by Inland Revenue) in New Zealand since 1995.  Opportunities for external </w:t>
      </w:r>
      <w:r w:rsidR="00CD44BD">
        <w:rPr>
          <w:rFonts w:ascii="Times New Roman" w:hAnsi="Times New Roman"/>
          <w:sz w:val="24"/>
          <w:szCs w:val="24"/>
        </w:rPr>
        <w:t xml:space="preserve">consultation are built into various stages of the process.  In practice, any changes identified as necessary following enactment </w:t>
      </w:r>
      <w:r w:rsidR="004A6DE9">
        <w:rPr>
          <w:rFonts w:ascii="Times New Roman" w:hAnsi="Times New Roman"/>
          <w:sz w:val="24"/>
          <w:szCs w:val="24"/>
        </w:rPr>
        <w:t xml:space="preserve">would </w:t>
      </w:r>
      <w:r w:rsidR="00CD44BD">
        <w:rPr>
          <w:rFonts w:ascii="Times New Roman" w:hAnsi="Times New Roman"/>
          <w:sz w:val="24"/>
          <w:szCs w:val="24"/>
        </w:rPr>
        <w:t>be considered for inclusion in the tax policy work programme, and proposals would go through the GTPP.</w:t>
      </w:r>
    </w:p>
    <w:p w:rsidR="00594805" w:rsidRDefault="00594805" w:rsidP="004E52EA">
      <w:pPr>
        <w:spacing w:after="0" w:line="240" w:lineRule="auto"/>
        <w:jc w:val="both"/>
        <w:rPr>
          <w:rFonts w:ascii="Times New Roman" w:hAnsi="Times New Roman"/>
          <w:sz w:val="24"/>
          <w:szCs w:val="24"/>
          <w:lang w:val="en-AU" w:eastAsia="en-US"/>
        </w:rPr>
      </w:pPr>
    </w:p>
    <w:sectPr w:rsidR="00594805" w:rsidSect="006474EE">
      <w:footerReference w:type="even" r:id="rId8"/>
      <w:footerReference w:type="default" r:id="rId9"/>
      <w:pgSz w:w="11907" w:h="16840"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5F" w:rsidRDefault="00F80F5F" w:rsidP="00F72085">
      <w:r>
        <w:separator/>
      </w:r>
    </w:p>
  </w:endnote>
  <w:endnote w:type="continuationSeparator" w:id="0">
    <w:p w:rsidR="00F80F5F" w:rsidRDefault="00F80F5F"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5F" w:rsidRDefault="00F80F5F"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80F5F" w:rsidRPr="00281580" w:rsidRDefault="00F80F5F"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5F" w:rsidRPr="00594805" w:rsidRDefault="00F80F5F"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2A3794">
      <w:rPr>
        <w:rStyle w:val="PageNumber"/>
        <w:rFonts w:ascii="Times New Roman" w:hAnsi="Times New Roman"/>
        <w:color w:val="auto"/>
        <w:sz w:val="20"/>
        <w:szCs w:val="20"/>
      </w:rPr>
      <w:t>1</w:t>
    </w:r>
    <w:r w:rsidRPr="00594805">
      <w:rPr>
        <w:rStyle w:val="PageNumber"/>
        <w:rFonts w:ascii="Times New Roman" w:hAnsi="Times New Roman"/>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5F" w:rsidRDefault="00F80F5F" w:rsidP="00F72085">
      <w:r>
        <w:separator/>
      </w:r>
    </w:p>
  </w:footnote>
  <w:footnote w:type="continuationSeparator" w:id="0">
    <w:p w:rsidR="00F80F5F" w:rsidRDefault="00F80F5F" w:rsidP="00F72085">
      <w:r>
        <w:continuationSeparator/>
      </w:r>
    </w:p>
  </w:footnote>
  <w:footnote w:id="1">
    <w:p w:rsidR="00F80F5F" w:rsidRPr="007A0903" w:rsidRDefault="00F80F5F" w:rsidP="00A708C8">
      <w:pPr>
        <w:pStyle w:val="FootnoteText"/>
        <w:tabs>
          <w:tab w:val="clear" w:pos="425"/>
        </w:tabs>
        <w:ind w:left="0" w:firstLine="0"/>
        <w:jc w:val="both"/>
        <w:rPr>
          <w:rFonts w:ascii="Times New Roman" w:hAnsi="Times New Roman"/>
          <w:sz w:val="20"/>
          <w:lang w:val="en-NZ"/>
        </w:rPr>
      </w:pPr>
      <w:r w:rsidRPr="0008593D">
        <w:rPr>
          <w:rStyle w:val="FootnoteReference"/>
          <w:rFonts w:ascii="Times New Roman" w:hAnsi="Times New Roman"/>
          <w:szCs w:val="24"/>
          <w:lang w:val="en-AU" w:eastAsia="en-US"/>
        </w:rPr>
        <w:footnoteRef/>
      </w:r>
      <w:r w:rsidRPr="0008593D">
        <w:rPr>
          <w:rStyle w:val="FootnoteReference"/>
          <w:rFonts w:ascii="Times New Roman" w:hAnsi="Times New Roman"/>
          <w:szCs w:val="24"/>
          <w:lang w:val="en-AU" w:eastAsia="en-US"/>
        </w:rPr>
        <w:t xml:space="preserve"> </w:t>
      </w:r>
      <w:r w:rsidRPr="00C957C2">
        <w:rPr>
          <w:rFonts w:ascii="Times New Roman" w:hAnsi="Times New Roman"/>
          <w:sz w:val="20"/>
          <w:lang w:val="en-NZ"/>
        </w:rPr>
        <w:t>It can also be done under a mining permit where a petroleum miner is seeking to expand production within a field that has already entered commercial production.</w:t>
      </w:r>
    </w:p>
  </w:footnote>
  <w:footnote w:id="2">
    <w:p w:rsidR="00F80F5F" w:rsidRPr="00A66BE0" w:rsidRDefault="00F80F5F" w:rsidP="00A708C8">
      <w:pPr>
        <w:pStyle w:val="FootnoteText"/>
        <w:tabs>
          <w:tab w:val="clear" w:pos="425"/>
        </w:tabs>
        <w:ind w:left="0" w:firstLine="0"/>
        <w:jc w:val="both"/>
        <w:rPr>
          <w:lang w:val="en-NZ"/>
        </w:rPr>
      </w:pPr>
      <w:r w:rsidRPr="0008593D">
        <w:rPr>
          <w:rStyle w:val="FootnoteReference"/>
          <w:rFonts w:ascii="Times New Roman" w:hAnsi="Times New Roman"/>
          <w:szCs w:val="24"/>
          <w:lang w:val="en-AU" w:eastAsia="en-US"/>
        </w:rPr>
        <w:footnoteRef/>
      </w:r>
      <w:r w:rsidRPr="007A0903">
        <w:rPr>
          <w:rFonts w:ascii="Times New Roman" w:hAnsi="Times New Roman"/>
          <w:sz w:val="20"/>
          <w:lang w:val="en-NZ"/>
        </w:rPr>
        <w:t xml:space="preserve"> The decommissioning </w:t>
      </w:r>
      <w:r>
        <w:rPr>
          <w:rFonts w:ascii="Times New Roman" w:hAnsi="Times New Roman"/>
          <w:sz w:val="20"/>
          <w:lang w:val="en-NZ"/>
        </w:rPr>
        <w:t xml:space="preserve">tax </w:t>
      </w:r>
      <w:r w:rsidRPr="007A0903">
        <w:rPr>
          <w:rFonts w:ascii="Times New Roman" w:hAnsi="Times New Roman"/>
          <w:sz w:val="20"/>
          <w:lang w:val="en-NZ"/>
        </w:rPr>
        <w:t xml:space="preserve">rules have always applied to both onshore and offshore decommissioning.  The </w:t>
      </w:r>
      <w:r>
        <w:rPr>
          <w:rFonts w:ascii="Times New Roman" w:hAnsi="Times New Roman"/>
          <w:sz w:val="20"/>
          <w:lang w:val="en-NZ"/>
        </w:rPr>
        <w:t xml:space="preserve">tax </w:t>
      </w:r>
      <w:r w:rsidRPr="007A0903">
        <w:rPr>
          <w:rFonts w:ascii="Times New Roman" w:hAnsi="Times New Roman"/>
          <w:sz w:val="20"/>
          <w:lang w:val="en-NZ"/>
        </w:rPr>
        <w:t>treatment of development expenditure was aligned from 2008 to reflect modern drilling and oil and gas extraction techniques making the previous boundary unsustainable</w:t>
      </w:r>
      <w:r>
        <w:rPr>
          <w:rFonts w:ascii="Times New Roman" w:hAnsi="Times New Roman"/>
          <w:sz w:val="20"/>
          <w:lang w:val="en-NZ"/>
        </w:rPr>
        <w:t xml:space="preserve"> as offshore wells could be situated just on the onshore side of the boundary</w:t>
      </w:r>
      <w:r w:rsidRPr="007A0903">
        <w:rPr>
          <w:rFonts w:ascii="Times New Roman" w:hAnsi="Times New Roman"/>
          <w:sz w:val="20"/>
          <w:lang w:val="en-NZ"/>
        </w:rPr>
        <w:t>.</w:t>
      </w:r>
    </w:p>
  </w:footnote>
  <w:footnote w:id="3">
    <w:p w:rsidR="00F80F5F" w:rsidRPr="000051DB" w:rsidRDefault="00F80F5F" w:rsidP="00A708C8">
      <w:pPr>
        <w:pStyle w:val="FootnoteText"/>
        <w:tabs>
          <w:tab w:val="clear" w:pos="425"/>
        </w:tabs>
        <w:ind w:left="0" w:firstLine="0"/>
        <w:jc w:val="both"/>
        <w:rPr>
          <w:rFonts w:ascii="Times New Roman" w:hAnsi="Times New Roman"/>
          <w:sz w:val="20"/>
          <w:lang w:val="en-NZ"/>
        </w:rPr>
      </w:pPr>
      <w:r w:rsidRPr="0008593D">
        <w:rPr>
          <w:rStyle w:val="FootnoteReference"/>
          <w:rFonts w:ascii="Times New Roman" w:hAnsi="Times New Roman"/>
          <w:szCs w:val="24"/>
          <w:lang w:val="en-AU" w:eastAsia="en-US"/>
        </w:rPr>
        <w:footnoteRef/>
      </w:r>
      <w:r w:rsidRPr="000051DB">
        <w:rPr>
          <w:rFonts w:ascii="Times New Roman" w:hAnsi="Times New Roman"/>
          <w:sz w:val="20"/>
        </w:rPr>
        <w:t xml:space="preserve"> </w:t>
      </w:r>
      <w:r w:rsidRPr="000051DB">
        <w:rPr>
          <w:rFonts w:ascii="Times New Roman" w:hAnsi="Times New Roman"/>
          <w:sz w:val="20"/>
          <w:lang w:val="en-NZ"/>
        </w:rPr>
        <w:t xml:space="preserve">Generally output from a field peaks in early years of production and slowly declines.  This results in higher profits and tax payments in earlier years </w:t>
      </w:r>
      <w:r>
        <w:rPr>
          <w:rFonts w:ascii="Times New Roman" w:hAnsi="Times New Roman"/>
          <w:sz w:val="20"/>
          <w:lang w:val="en-NZ"/>
        </w:rPr>
        <w:t>than in later years</w:t>
      </w:r>
      <w:r w:rsidRPr="000051DB">
        <w:rPr>
          <w:rFonts w:ascii="Times New Roman" w:hAnsi="Times New Roman"/>
          <w:sz w:val="20"/>
          <w:lang w:val="en-NZ"/>
        </w:rPr>
        <w:t xml:space="preserve"> as the field approaches the end of its life.</w:t>
      </w:r>
    </w:p>
  </w:footnote>
  <w:footnote w:id="4">
    <w:p w:rsidR="00F80F5F" w:rsidRPr="00EF2A4D" w:rsidRDefault="00F80F5F" w:rsidP="00A708C8">
      <w:pPr>
        <w:pStyle w:val="FootnoteText"/>
        <w:tabs>
          <w:tab w:val="clear" w:pos="425"/>
        </w:tabs>
        <w:ind w:left="0" w:firstLine="0"/>
        <w:jc w:val="both"/>
        <w:rPr>
          <w:lang w:val="en-NZ"/>
        </w:rPr>
      </w:pPr>
      <w:r w:rsidRPr="0008593D">
        <w:rPr>
          <w:rStyle w:val="FootnoteReference"/>
          <w:rFonts w:ascii="Times New Roman" w:hAnsi="Times New Roman"/>
          <w:szCs w:val="24"/>
          <w:lang w:val="en-AU" w:eastAsia="en-US"/>
        </w:rPr>
        <w:footnoteRef/>
      </w:r>
      <w:r w:rsidRPr="00EF2A4D">
        <w:rPr>
          <w:rStyle w:val="FootnoteReference"/>
          <w:rFonts w:ascii="Times New Roman" w:hAnsi="Times New Roman"/>
          <w:sz w:val="20"/>
        </w:rPr>
        <w:t xml:space="preserve"> </w:t>
      </w:r>
      <w:r w:rsidRPr="0013053D">
        <w:rPr>
          <w:rFonts w:ascii="Times New Roman" w:hAnsi="Times New Roman"/>
          <w:sz w:val="20"/>
          <w:lang w:val="en-NZ"/>
        </w:rPr>
        <w:t xml:space="preserve">For example, a petroleum miner that is subject to the four year limit is generating sufficient income to cover operating costs but with only a small profit.  If this situation </w:t>
      </w:r>
      <w:r w:rsidR="00076FB8">
        <w:rPr>
          <w:rFonts w:ascii="Times New Roman" w:hAnsi="Times New Roman"/>
          <w:sz w:val="20"/>
          <w:lang w:val="en-NZ"/>
        </w:rPr>
        <w:t xml:space="preserve">continued </w:t>
      </w:r>
      <w:r w:rsidRPr="0013053D">
        <w:rPr>
          <w:rFonts w:ascii="Times New Roman" w:hAnsi="Times New Roman"/>
          <w:sz w:val="20"/>
          <w:lang w:val="en-NZ"/>
        </w:rPr>
        <w:t>into future periods, each year the additional operating profit would be less than the effectively foregone deduction for decommissioning so it would make economic sense to decommission even if, in the absence of tax, production could continue for several more years.  In this example the refund for decommissioning would be identical but tax on profits would be reduced.</w:t>
      </w:r>
    </w:p>
  </w:footnote>
  <w:footnote w:id="5">
    <w:p w:rsidR="00F80F5F" w:rsidRPr="00377130" w:rsidRDefault="00F80F5F" w:rsidP="00496FC2">
      <w:pPr>
        <w:pStyle w:val="FootnoteText"/>
        <w:tabs>
          <w:tab w:val="clear" w:pos="425"/>
        </w:tabs>
        <w:ind w:left="0" w:firstLine="0"/>
        <w:jc w:val="both"/>
        <w:rPr>
          <w:lang w:val="en-NZ"/>
        </w:rPr>
      </w:pPr>
      <w:r w:rsidRPr="0013053D">
        <w:rPr>
          <w:rStyle w:val="FootnoteReference"/>
          <w:rFonts w:ascii="Times New Roman" w:hAnsi="Times New Roman"/>
          <w:szCs w:val="24"/>
          <w:lang w:val="en-AU" w:eastAsia="en-US"/>
        </w:rPr>
        <w:footnoteRef/>
      </w:r>
      <w:r w:rsidRPr="00377130">
        <w:rPr>
          <w:rFonts w:ascii="Times New Roman" w:hAnsi="Times New Roman"/>
          <w:sz w:val="20"/>
          <w:lang w:val="en-NZ"/>
        </w:rPr>
        <w:t xml:space="preserve"> The global industry average success rate for exploratory wells is around 1 in 6.</w:t>
      </w:r>
      <w:r>
        <w:rPr>
          <w:lang w:val="en-NZ"/>
        </w:rPr>
        <w:t xml:space="preserve"> </w:t>
      </w:r>
    </w:p>
  </w:footnote>
  <w:footnote w:id="6">
    <w:p w:rsidR="00F80F5F" w:rsidRPr="00132DCF" w:rsidRDefault="00F80F5F" w:rsidP="00496FC2">
      <w:pPr>
        <w:pStyle w:val="FootnoteText"/>
        <w:tabs>
          <w:tab w:val="clear" w:pos="425"/>
        </w:tabs>
        <w:ind w:left="0" w:firstLine="0"/>
        <w:jc w:val="both"/>
        <w:rPr>
          <w:lang w:val="en-NZ"/>
        </w:rPr>
      </w:pPr>
      <w:r w:rsidRPr="0013053D">
        <w:rPr>
          <w:rStyle w:val="FootnoteReference"/>
          <w:rFonts w:ascii="Times New Roman" w:hAnsi="Times New Roman"/>
          <w:szCs w:val="24"/>
          <w:lang w:val="en-AU" w:eastAsia="en-US"/>
        </w:rPr>
        <w:footnoteRef/>
      </w:r>
      <w:r>
        <w:rPr>
          <w:rFonts w:ascii="Times New Roman" w:hAnsi="Times New Roman"/>
          <w:sz w:val="20"/>
          <w:lang w:val="en-NZ"/>
        </w:rPr>
        <w:t xml:space="preserve"> Either 7 years or under the reserve depletion method.</w:t>
      </w:r>
      <w:r>
        <w:t xml:space="preserve"> </w:t>
      </w:r>
    </w:p>
  </w:footnote>
  <w:footnote w:id="7">
    <w:p w:rsidR="00F80F5F" w:rsidRPr="00A13C27" w:rsidRDefault="00F80F5F" w:rsidP="00496FC2">
      <w:pPr>
        <w:pStyle w:val="FootnoteText"/>
        <w:tabs>
          <w:tab w:val="clear" w:pos="425"/>
        </w:tabs>
        <w:ind w:left="0" w:firstLine="0"/>
        <w:jc w:val="both"/>
        <w:rPr>
          <w:lang w:val="en-NZ"/>
        </w:rPr>
      </w:pPr>
      <w:r w:rsidRPr="0013053D">
        <w:rPr>
          <w:rStyle w:val="FootnoteReference"/>
          <w:rFonts w:ascii="Times New Roman" w:hAnsi="Times New Roman"/>
          <w:szCs w:val="24"/>
          <w:lang w:val="en-AU" w:eastAsia="en-US"/>
        </w:rPr>
        <w:footnoteRef/>
      </w:r>
      <w:r w:rsidRPr="00A13C27">
        <w:rPr>
          <w:rFonts w:ascii="Times New Roman" w:hAnsi="Times New Roman"/>
          <w:sz w:val="20"/>
          <w:lang w:val="en-NZ"/>
        </w:rPr>
        <w:t xml:space="preserve"> See for example</w:t>
      </w:r>
      <w:r>
        <w:rPr>
          <w:rFonts w:ascii="Times New Roman" w:hAnsi="Times New Roman"/>
          <w:sz w:val="20"/>
          <w:lang w:val="en-NZ"/>
        </w:rPr>
        <w:t xml:space="preserve"> section 120PA of the Tax Administration Act 1994 which states no UOMI is payable when a credit for a supplementary dividend is carried back to create a refund in an earlier period.</w:t>
      </w:r>
    </w:p>
  </w:footnote>
  <w:footnote w:id="8">
    <w:p w:rsidR="00F80F5F" w:rsidRPr="00E34AA9" w:rsidRDefault="00F80F5F" w:rsidP="00A708C8">
      <w:pPr>
        <w:pStyle w:val="FootnoteText"/>
        <w:tabs>
          <w:tab w:val="clear" w:pos="425"/>
        </w:tabs>
        <w:ind w:left="0" w:firstLine="0"/>
        <w:jc w:val="both"/>
        <w:rPr>
          <w:lang w:val="en-NZ"/>
        </w:rPr>
      </w:pPr>
      <w:r w:rsidRPr="0013053D">
        <w:rPr>
          <w:rStyle w:val="FootnoteReference"/>
          <w:rFonts w:ascii="Times New Roman" w:hAnsi="Times New Roman"/>
          <w:szCs w:val="24"/>
          <w:lang w:val="en-AU" w:eastAsia="en-US"/>
        </w:rPr>
        <w:footnoteRef/>
      </w:r>
      <w:r w:rsidRPr="00E34AA9">
        <w:rPr>
          <w:rStyle w:val="FootnoteReference"/>
          <w:rFonts w:ascii="Times New Roman" w:hAnsi="Times New Roman"/>
          <w:sz w:val="20"/>
        </w:rPr>
        <w:t xml:space="preserve"> </w:t>
      </w:r>
      <w:r w:rsidRPr="0013053D">
        <w:rPr>
          <w:rFonts w:ascii="Times New Roman" w:hAnsi="Times New Roman"/>
          <w:sz w:val="20"/>
          <w:lang w:val="en-NZ"/>
        </w:rPr>
        <w:t>Floating Production, Storage and Offloading units – dedicated vessels attached via anchor chains to the seabed and removable lines to the oil wells.  Once a field is exhausted the FPSO can be moved to a new location.</w:t>
      </w:r>
      <w:r>
        <w:rPr>
          <w:rFonts w:ascii="Times New Roman" w:hAnsi="Times New Roman"/>
          <w:sz w:val="20"/>
        </w:rPr>
        <w:t xml:space="preserve"> </w:t>
      </w:r>
      <w:r>
        <w:rPr>
          <w:rStyle w:val="FootnoteReference"/>
          <w:rFonts w:ascii="Times New Roman" w:hAnsi="Times New Roman"/>
          <w:sz w:val="20"/>
        </w:rPr>
        <w:t xml:space="preserve"> </w:t>
      </w:r>
      <w:r>
        <w:rPr>
          <w:rFonts w:ascii="Times New Roman" w:hAnsi="Times New Roman"/>
          <w:sz w:val="20"/>
        </w:rPr>
        <w:t xml:space="preserve"> </w:t>
      </w:r>
    </w:p>
  </w:footnote>
  <w:footnote w:id="9">
    <w:p w:rsidR="00F80F5F" w:rsidRPr="002F69E9" w:rsidRDefault="00F80F5F" w:rsidP="00A708C8">
      <w:pPr>
        <w:pStyle w:val="FootnoteText"/>
        <w:tabs>
          <w:tab w:val="clear" w:pos="425"/>
        </w:tabs>
        <w:ind w:left="0" w:firstLine="0"/>
        <w:jc w:val="both"/>
        <w:rPr>
          <w:lang w:val="en-NZ"/>
        </w:rPr>
      </w:pPr>
      <w:r w:rsidRPr="0013053D">
        <w:rPr>
          <w:rStyle w:val="FootnoteReference"/>
          <w:rFonts w:ascii="Times New Roman" w:hAnsi="Times New Roman"/>
          <w:szCs w:val="24"/>
          <w:lang w:val="en-AU" w:eastAsia="en-US"/>
        </w:rPr>
        <w:footnoteRef/>
      </w:r>
      <w:r w:rsidRPr="0013053D">
        <w:rPr>
          <w:rStyle w:val="FootnoteReference"/>
          <w:rFonts w:ascii="Times New Roman" w:hAnsi="Times New Roman"/>
          <w:szCs w:val="24"/>
          <w:lang w:val="en-AU" w:eastAsia="en-US"/>
        </w:rPr>
        <w:t xml:space="preserve"> </w:t>
      </w:r>
      <w:r w:rsidRPr="0013053D">
        <w:rPr>
          <w:rFonts w:ascii="Times New Roman" w:hAnsi="Times New Roman"/>
          <w:sz w:val="20"/>
          <w:lang w:val="en-NZ"/>
        </w:rPr>
        <w:t>Overseas jurisdictions tend to require modern installations or structures to be fully removed except in circumstances where the installation was constructed prior to 1998 or where safety or environmental risks require the infrastructure to remain.  New Zealand has examples of rigs constructed before and after this date.  New Zealand’s decommissioning requirements and how they relate to specific installations are still being determined.</w:t>
      </w:r>
      <w:r>
        <w:rPr>
          <w:rFonts w:ascii="Times New Roman" w:hAnsi="Times New Roman"/>
          <w:sz w:val="20"/>
        </w:rPr>
        <w:t xml:space="preserve">  </w:t>
      </w:r>
    </w:p>
  </w:footnote>
  <w:footnote w:id="10">
    <w:p w:rsidR="00F80F5F" w:rsidRPr="00064A64" w:rsidRDefault="00F80F5F" w:rsidP="00A708C8">
      <w:pPr>
        <w:pStyle w:val="FootnoteText"/>
        <w:tabs>
          <w:tab w:val="clear" w:pos="425"/>
        </w:tabs>
        <w:ind w:left="0" w:firstLine="0"/>
        <w:rPr>
          <w:rFonts w:ascii="Times New Roman" w:hAnsi="Times New Roman"/>
          <w:sz w:val="20"/>
          <w:lang w:val="en-NZ"/>
        </w:rPr>
      </w:pPr>
      <w:r w:rsidRPr="0013053D">
        <w:rPr>
          <w:rStyle w:val="FootnoteReference"/>
          <w:rFonts w:ascii="Times New Roman" w:hAnsi="Times New Roman"/>
          <w:szCs w:val="24"/>
          <w:lang w:val="en-AU" w:eastAsia="en-US"/>
        </w:rPr>
        <w:footnoteRef/>
      </w:r>
      <w:r w:rsidRPr="002C7BB2">
        <w:rPr>
          <w:rStyle w:val="FootnoteReference"/>
          <w:rFonts w:ascii="Times New Roman" w:hAnsi="Times New Roman"/>
          <w:sz w:val="20"/>
        </w:rPr>
        <w:t xml:space="preserve"> </w:t>
      </w:r>
      <w:r w:rsidRPr="0013053D">
        <w:rPr>
          <w:rFonts w:ascii="Times New Roman" w:hAnsi="Times New Roman"/>
          <w:sz w:val="20"/>
          <w:lang w:val="en-NZ"/>
        </w:rPr>
        <w:t>The territorial sea covers the area up to 12 nautical miles from land while the exclusive economic zone covers from 12 to 200 nautical miles.</w:t>
      </w:r>
    </w:p>
  </w:footnote>
  <w:footnote w:id="11">
    <w:p w:rsidR="00F80F5F" w:rsidRPr="00082485" w:rsidRDefault="00F80F5F" w:rsidP="00082485">
      <w:pPr>
        <w:pStyle w:val="FootnoteText"/>
        <w:tabs>
          <w:tab w:val="clear" w:pos="425"/>
        </w:tabs>
        <w:ind w:left="0" w:firstLine="0"/>
        <w:jc w:val="both"/>
        <w:rPr>
          <w:lang w:val="en-NZ"/>
        </w:rPr>
      </w:pPr>
      <w:r w:rsidRPr="0013053D">
        <w:rPr>
          <w:rStyle w:val="FootnoteReference"/>
          <w:rFonts w:ascii="Times New Roman" w:hAnsi="Times New Roman"/>
          <w:szCs w:val="24"/>
          <w:lang w:val="en-AU" w:eastAsia="en-US"/>
        </w:rPr>
        <w:footnoteRef/>
      </w:r>
      <w:r>
        <w:rPr>
          <w:rFonts w:ascii="Times New Roman" w:hAnsi="Times New Roman"/>
          <w:sz w:val="20"/>
        </w:rPr>
        <w:t xml:space="preserve"> </w:t>
      </w:r>
      <w:r w:rsidRPr="0013053D">
        <w:rPr>
          <w:rFonts w:ascii="Times New Roman" w:hAnsi="Times New Roman"/>
          <w:sz w:val="20"/>
          <w:lang w:val="en-NZ"/>
        </w:rPr>
        <w:t>For example one particular field is a joint venture of five operators.</w:t>
      </w:r>
      <w:r>
        <w:t xml:space="preserve"> </w:t>
      </w:r>
    </w:p>
  </w:footnote>
  <w:footnote w:id="12">
    <w:p w:rsidR="00F80F5F" w:rsidRPr="005D0807" w:rsidRDefault="00F80F5F" w:rsidP="00076FB8">
      <w:pPr>
        <w:pStyle w:val="FootnoteText"/>
        <w:tabs>
          <w:tab w:val="clear" w:pos="425"/>
        </w:tabs>
        <w:ind w:left="0" w:firstLine="0"/>
        <w:jc w:val="both"/>
        <w:rPr>
          <w:lang w:val="en-NZ"/>
        </w:rPr>
      </w:pPr>
      <w:r w:rsidRPr="0013053D">
        <w:rPr>
          <w:rStyle w:val="FootnoteReference"/>
          <w:rFonts w:ascii="Times New Roman" w:hAnsi="Times New Roman"/>
          <w:szCs w:val="24"/>
          <w:lang w:val="en-AU" w:eastAsia="en-US"/>
        </w:rPr>
        <w:footnoteRef/>
      </w:r>
      <w:r w:rsidRPr="005D0807">
        <w:rPr>
          <w:rStyle w:val="FootnoteReference"/>
          <w:rFonts w:ascii="Times New Roman" w:hAnsi="Times New Roman"/>
          <w:sz w:val="20"/>
        </w:rPr>
        <w:t xml:space="preserve"> </w:t>
      </w:r>
      <w:r w:rsidRPr="0013053D">
        <w:rPr>
          <w:rFonts w:ascii="Times New Roman" w:hAnsi="Times New Roman"/>
          <w:sz w:val="20"/>
          <w:lang w:val="en-NZ"/>
        </w:rPr>
        <w:t>This estimate does not factor in any tax refunds that may not be available due to the four year limit or insufficient tax being paid in previous periods.  For the reasons set out elsewhere in this RIS officials do not expect either of these factors to provide a significant impediment to the amount of tax refunds available to petroleum miners from decommissioning.</w:t>
      </w:r>
    </w:p>
  </w:footnote>
  <w:footnote w:id="13">
    <w:p w:rsidR="00F80F5F" w:rsidRPr="00296B26" w:rsidRDefault="00F80F5F" w:rsidP="00296B26">
      <w:pPr>
        <w:pStyle w:val="FootnoteText"/>
        <w:tabs>
          <w:tab w:val="clear" w:pos="425"/>
        </w:tabs>
        <w:ind w:left="0" w:firstLine="0"/>
        <w:jc w:val="both"/>
        <w:rPr>
          <w:lang w:val="en-NZ"/>
        </w:rPr>
      </w:pPr>
      <w:r w:rsidRPr="0013053D">
        <w:rPr>
          <w:rStyle w:val="FootnoteReference"/>
          <w:rFonts w:ascii="Times New Roman" w:hAnsi="Times New Roman"/>
          <w:szCs w:val="24"/>
          <w:lang w:val="en-AU" w:eastAsia="en-US"/>
        </w:rPr>
        <w:footnoteRef/>
      </w:r>
      <w:r w:rsidRPr="00296B26">
        <w:rPr>
          <w:rFonts w:ascii="Times New Roman" w:hAnsi="Times New Roman"/>
          <w:sz w:val="20"/>
          <w:lang w:val="en-NZ"/>
        </w:rPr>
        <w:t xml:space="preserve"> Manual intervention would be required under Inland Revenue’s FIRST computer system.  The replacement system – START – will be operational by the time these changes would be enacted</w:t>
      </w:r>
      <w:r>
        <w:rPr>
          <w:rFonts w:ascii="Times New Roman" w:hAnsi="Times New Roman"/>
          <w:sz w:val="20"/>
          <w:lang w:val="en-NZ"/>
        </w:rPr>
        <w:t>.  It is not confirmed what the process would be for this; however, it would still be a variation from the standard treatment.</w:t>
      </w:r>
    </w:p>
  </w:footnote>
  <w:footnote w:id="14">
    <w:p w:rsidR="00F80F5F" w:rsidRPr="007C0F48" w:rsidRDefault="00F80F5F" w:rsidP="007C0F48">
      <w:pPr>
        <w:pStyle w:val="FootnoteText"/>
        <w:tabs>
          <w:tab w:val="clear" w:pos="425"/>
        </w:tabs>
        <w:ind w:left="0" w:firstLine="0"/>
        <w:jc w:val="both"/>
        <w:rPr>
          <w:lang w:val="en-NZ"/>
        </w:rPr>
      </w:pPr>
      <w:r w:rsidRPr="0013053D">
        <w:rPr>
          <w:rStyle w:val="FootnoteReference"/>
          <w:rFonts w:ascii="Times New Roman" w:hAnsi="Times New Roman"/>
          <w:szCs w:val="24"/>
          <w:lang w:val="en-AU" w:eastAsia="en-US"/>
        </w:rPr>
        <w:footnoteRef/>
      </w:r>
      <w:r w:rsidRPr="007C0F48">
        <w:rPr>
          <w:rFonts w:ascii="Times New Roman" w:hAnsi="Times New Roman"/>
          <w:sz w:val="20"/>
          <w:lang w:val="en-NZ"/>
        </w:rPr>
        <w:t xml:space="preserve"> A list of refundable credits is in section LA 6(1) of the ITA 2007</w:t>
      </w:r>
    </w:p>
  </w:footnote>
  <w:footnote w:id="15">
    <w:p w:rsidR="00F80F5F" w:rsidRPr="00D971A2" w:rsidRDefault="00F80F5F" w:rsidP="007C0F48">
      <w:pPr>
        <w:pStyle w:val="FootnoteText"/>
        <w:tabs>
          <w:tab w:val="clear" w:pos="425"/>
        </w:tabs>
        <w:ind w:left="0" w:firstLine="0"/>
        <w:rPr>
          <w:rFonts w:ascii="Times New Roman" w:hAnsi="Times New Roman"/>
          <w:sz w:val="20"/>
          <w:lang w:val="en-NZ"/>
        </w:rPr>
      </w:pPr>
      <w:r w:rsidRPr="0013053D">
        <w:rPr>
          <w:rStyle w:val="FootnoteReference"/>
          <w:rFonts w:ascii="Times New Roman" w:hAnsi="Times New Roman"/>
          <w:szCs w:val="24"/>
          <w:lang w:val="en-AU" w:eastAsia="en-US"/>
        </w:rPr>
        <w:footnoteRef/>
      </w:r>
      <w:r w:rsidRPr="0013053D">
        <w:rPr>
          <w:rStyle w:val="FootnoteReference"/>
          <w:rFonts w:ascii="Times New Roman" w:hAnsi="Times New Roman"/>
          <w:szCs w:val="24"/>
          <w:lang w:val="en-AU" w:eastAsia="en-US"/>
        </w:rPr>
        <w:t xml:space="preserve"> </w:t>
      </w:r>
      <w:r w:rsidRPr="00377130">
        <w:rPr>
          <w:rFonts w:ascii="Times New Roman" w:hAnsi="Times New Roman"/>
          <w:sz w:val="20"/>
          <w:lang w:val="en-NZ"/>
        </w:rPr>
        <w:t xml:space="preserve">Further detail on how refundable credits for mineral miners operate can be found in </w:t>
      </w:r>
      <w:r w:rsidRPr="0013053D">
        <w:rPr>
          <w:rFonts w:ascii="Times New Roman" w:hAnsi="Times New Roman"/>
          <w:sz w:val="20"/>
          <w:lang w:val="en-NZ"/>
        </w:rPr>
        <w:t>Tax Information Bulletin</w:t>
      </w:r>
      <w:r w:rsidRPr="00377130">
        <w:rPr>
          <w:rFonts w:ascii="Times New Roman" w:hAnsi="Times New Roman"/>
          <w:sz w:val="20"/>
          <w:lang w:val="en-NZ"/>
        </w:rPr>
        <w:t xml:space="preserve"> Volume 26, No 4, May 2014</w:t>
      </w:r>
      <w:r w:rsidRPr="0013053D">
        <w:rPr>
          <w:rFonts w:ascii="Times New Roman" w:hAnsi="Times New Roman"/>
          <w:sz w:val="20"/>
          <w:lang w:val="en-NZ"/>
        </w:rPr>
        <w:t>.</w:t>
      </w:r>
      <w:hyperlink r:id="rId1" w:history="1">
        <w:r w:rsidRPr="00D971A2">
          <w:rPr>
            <w:rStyle w:val="Hyperlink"/>
            <w:rFonts w:ascii="Times New Roman" w:hAnsi="Times New Roman"/>
            <w:sz w:val="20"/>
          </w:rPr>
          <w:t>http://www.ird.govt.nz/resources/a/e/aee2f96e-f5c6-4b1f-ae75-e951c8bae62e/tib-vol26-no4.pdf</w:t>
        </w:r>
      </w:hyperlink>
      <w:r w:rsidRPr="00D971A2">
        <w:rPr>
          <w:rFonts w:ascii="Times New Roman" w:hAnsi="Times New Roman"/>
          <w:sz w:val="20"/>
        </w:rPr>
        <w:t xml:space="preserve"> </w:t>
      </w:r>
    </w:p>
  </w:footnote>
  <w:footnote w:id="16">
    <w:p w:rsidR="00F80F5F" w:rsidRPr="00D971A2" w:rsidRDefault="00F80F5F" w:rsidP="00A708C8">
      <w:pPr>
        <w:pStyle w:val="FootnoteText"/>
        <w:tabs>
          <w:tab w:val="clear" w:pos="425"/>
        </w:tabs>
        <w:ind w:left="0" w:firstLine="0"/>
        <w:rPr>
          <w:rFonts w:ascii="Times New Roman" w:hAnsi="Times New Roman"/>
          <w:sz w:val="20"/>
          <w:lang w:val="en-NZ"/>
        </w:rPr>
      </w:pPr>
      <w:r w:rsidRPr="0013053D">
        <w:rPr>
          <w:rStyle w:val="FootnoteReference"/>
          <w:rFonts w:ascii="Times New Roman" w:hAnsi="Times New Roman"/>
          <w:szCs w:val="24"/>
          <w:lang w:val="en-AU" w:eastAsia="en-US"/>
        </w:rPr>
        <w:footnoteRef/>
      </w:r>
      <w:r w:rsidRPr="00D971A2">
        <w:rPr>
          <w:rFonts w:ascii="Times New Roman" w:hAnsi="Times New Roman"/>
          <w:sz w:val="20"/>
        </w:rPr>
        <w:t xml:space="preserve"> </w:t>
      </w:r>
      <w:hyperlink r:id="rId2" w:history="1">
        <w:r w:rsidRPr="00D971A2">
          <w:rPr>
            <w:rStyle w:val="Hyperlink"/>
            <w:rFonts w:ascii="Times New Roman" w:hAnsi="Times New Roman"/>
            <w:sz w:val="20"/>
          </w:rPr>
          <w:t>http://taxpolicy.ird.govt.nz/publications/2012-ip-mineral-mining/overview</w:t>
        </w:r>
      </w:hyperlink>
      <w:r w:rsidRPr="00D971A2">
        <w:rPr>
          <w:rFonts w:ascii="Times New Roman" w:hAnsi="Times New Roman"/>
          <w:sz w:val="20"/>
        </w:rPr>
        <w:t xml:space="preserve"> </w:t>
      </w:r>
    </w:p>
  </w:footnote>
  <w:footnote w:id="17">
    <w:p w:rsidR="00F80F5F" w:rsidRPr="00AD6884" w:rsidRDefault="00F80F5F">
      <w:pPr>
        <w:pStyle w:val="FootnoteText"/>
        <w:rPr>
          <w:rFonts w:ascii="Times New Roman" w:hAnsi="Times New Roman"/>
          <w:sz w:val="20"/>
          <w:lang w:val="en-NZ"/>
        </w:rPr>
      </w:pPr>
      <w:r w:rsidRPr="0013053D">
        <w:rPr>
          <w:rStyle w:val="FootnoteReference"/>
          <w:rFonts w:ascii="Times New Roman" w:hAnsi="Times New Roman"/>
          <w:szCs w:val="24"/>
          <w:lang w:val="en-AU" w:eastAsia="en-US"/>
        </w:rPr>
        <w:footnoteRef/>
      </w:r>
      <w:r w:rsidRPr="00AD6884">
        <w:rPr>
          <w:rFonts w:ascii="Times New Roman" w:hAnsi="Times New Roman"/>
          <w:sz w:val="20"/>
        </w:rPr>
        <w:t xml:space="preserve"> </w:t>
      </w:r>
      <w:r w:rsidRPr="00AD6884">
        <w:rPr>
          <w:rFonts w:ascii="Times New Roman" w:hAnsi="Times New Roman"/>
          <w:i/>
          <w:sz w:val="20"/>
          <w:lang w:val="en-NZ"/>
        </w:rPr>
        <w:t>Commissioner of Inland Revenue v Mitsubishi Motors New Zealand Limited</w:t>
      </w:r>
      <w:r w:rsidRPr="00AD6884">
        <w:rPr>
          <w:rFonts w:ascii="Times New Roman" w:hAnsi="Times New Roman"/>
          <w:sz w:val="20"/>
          <w:lang w:val="en-NZ"/>
        </w:rPr>
        <w:t xml:space="preserve"> (1995) 17 NZTC 12,351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33C"/>
    <w:multiLevelType w:val="hybridMultilevel"/>
    <w:tmpl w:val="F88E12FE"/>
    <w:lvl w:ilvl="0" w:tplc="49302404">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1409001B">
      <w:start w:val="1"/>
      <w:numFmt w:val="lowerRoman"/>
      <w:lvlText w:val="%5."/>
      <w:lvlJc w:val="righ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32041FB"/>
    <w:multiLevelType w:val="hybridMultilevel"/>
    <w:tmpl w:val="D870F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689157B"/>
    <w:multiLevelType w:val="hybridMultilevel"/>
    <w:tmpl w:val="592E96D2"/>
    <w:lvl w:ilvl="0" w:tplc="FC362A48">
      <w:numFmt w:val="bullet"/>
      <w:lvlText w:val=""/>
      <w:lvlJc w:val="left"/>
      <w:pPr>
        <w:ind w:left="2629" w:hanging="360"/>
      </w:pPr>
      <w:rPr>
        <w:rFonts w:ascii="Wingdings 2" w:eastAsiaTheme="minorHAnsi" w:hAnsi="Wingdings 2" w:cs="Times New Roman" w:hint="default"/>
        <w:sz w:val="22"/>
      </w:rPr>
    </w:lvl>
    <w:lvl w:ilvl="1" w:tplc="14090003" w:tentative="1">
      <w:start w:val="1"/>
      <w:numFmt w:val="bullet"/>
      <w:lvlText w:val="o"/>
      <w:lvlJc w:val="left"/>
      <w:pPr>
        <w:ind w:left="3349" w:hanging="360"/>
      </w:pPr>
      <w:rPr>
        <w:rFonts w:ascii="Courier New" w:hAnsi="Courier New" w:cs="Courier New" w:hint="default"/>
      </w:rPr>
    </w:lvl>
    <w:lvl w:ilvl="2" w:tplc="14090005" w:tentative="1">
      <w:start w:val="1"/>
      <w:numFmt w:val="bullet"/>
      <w:lvlText w:val=""/>
      <w:lvlJc w:val="left"/>
      <w:pPr>
        <w:ind w:left="4069" w:hanging="360"/>
      </w:pPr>
      <w:rPr>
        <w:rFonts w:ascii="Wingdings" w:hAnsi="Wingdings" w:hint="default"/>
      </w:rPr>
    </w:lvl>
    <w:lvl w:ilvl="3" w:tplc="14090001" w:tentative="1">
      <w:start w:val="1"/>
      <w:numFmt w:val="bullet"/>
      <w:lvlText w:val=""/>
      <w:lvlJc w:val="left"/>
      <w:pPr>
        <w:ind w:left="4789" w:hanging="360"/>
      </w:pPr>
      <w:rPr>
        <w:rFonts w:ascii="Symbol" w:hAnsi="Symbol" w:hint="default"/>
      </w:rPr>
    </w:lvl>
    <w:lvl w:ilvl="4" w:tplc="14090003" w:tentative="1">
      <w:start w:val="1"/>
      <w:numFmt w:val="bullet"/>
      <w:lvlText w:val="o"/>
      <w:lvlJc w:val="left"/>
      <w:pPr>
        <w:ind w:left="5509" w:hanging="360"/>
      </w:pPr>
      <w:rPr>
        <w:rFonts w:ascii="Courier New" w:hAnsi="Courier New" w:cs="Courier New" w:hint="default"/>
      </w:rPr>
    </w:lvl>
    <w:lvl w:ilvl="5" w:tplc="14090005" w:tentative="1">
      <w:start w:val="1"/>
      <w:numFmt w:val="bullet"/>
      <w:lvlText w:val=""/>
      <w:lvlJc w:val="left"/>
      <w:pPr>
        <w:ind w:left="6229" w:hanging="360"/>
      </w:pPr>
      <w:rPr>
        <w:rFonts w:ascii="Wingdings" w:hAnsi="Wingdings" w:hint="default"/>
      </w:rPr>
    </w:lvl>
    <w:lvl w:ilvl="6" w:tplc="14090001" w:tentative="1">
      <w:start w:val="1"/>
      <w:numFmt w:val="bullet"/>
      <w:lvlText w:val=""/>
      <w:lvlJc w:val="left"/>
      <w:pPr>
        <w:ind w:left="6949" w:hanging="360"/>
      </w:pPr>
      <w:rPr>
        <w:rFonts w:ascii="Symbol" w:hAnsi="Symbol" w:hint="default"/>
      </w:rPr>
    </w:lvl>
    <w:lvl w:ilvl="7" w:tplc="14090003" w:tentative="1">
      <w:start w:val="1"/>
      <w:numFmt w:val="bullet"/>
      <w:lvlText w:val="o"/>
      <w:lvlJc w:val="left"/>
      <w:pPr>
        <w:ind w:left="7669" w:hanging="360"/>
      </w:pPr>
      <w:rPr>
        <w:rFonts w:ascii="Courier New" w:hAnsi="Courier New" w:cs="Courier New" w:hint="default"/>
      </w:rPr>
    </w:lvl>
    <w:lvl w:ilvl="8" w:tplc="14090005" w:tentative="1">
      <w:start w:val="1"/>
      <w:numFmt w:val="bullet"/>
      <w:lvlText w:val=""/>
      <w:lvlJc w:val="left"/>
      <w:pPr>
        <w:ind w:left="8389" w:hanging="360"/>
      </w:pPr>
      <w:rPr>
        <w:rFonts w:ascii="Wingdings" w:hAnsi="Wingdings" w:hint="default"/>
      </w:rPr>
    </w:lvl>
  </w:abstractNum>
  <w:abstractNum w:abstractNumId="3">
    <w:nsid w:val="2F645B6D"/>
    <w:multiLevelType w:val="multilevel"/>
    <w:tmpl w:val="474229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nsid w:val="383A3F09"/>
    <w:multiLevelType w:val="hybridMultilevel"/>
    <w:tmpl w:val="E654C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5E808C9"/>
    <w:multiLevelType w:val="hybridMultilevel"/>
    <w:tmpl w:val="B958E150"/>
    <w:lvl w:ilvl="0" w:tplc="D1DC7024">
      <w:start w:val="20"/>
      <w:numFmt w:val="bullet"/>
      <w:lvlText w:val=""/>
      <w:lvlJc w:val="left"/>
      <w:pPr>
        <w:ind w:left="927" w:hanging="360"/>
      </w:pPr>
      <w:rPr>
        <w:rFonts w:ascii="Wingdings 2" w:eastAsiaTheme="minorHAnsi" w:hAnsi="Wingdings 2"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nsid w:val="462F4703"/>
    <w:multiLevelType w:val="hybridMultilevel"/>
    <w:tmpl w:val="3622010A"/>
    <w:lvl w:ilvl="0" w:tplc="8E14043E">
      <w:start w:val="20"/>
      <w:numFmt w:val="bullet"/>
      <w:lvlText w:val=""/>
      <w:lvlJc w:val="left"/>
      <w:pPr>
        <w:ind w:left="927" w:hanging="360"/>
      </w:pPr>
      <w:rPr>
        <w:rFonts w:ascii="Wingdings 2" w:eastAsiaTheme="minorHAnsi" w:hAnsi="Wingdings 2"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E374E3E"/>
    <w:multiLevelType w:val="hybridMultilevel"/>
    <w:tmpl w:val="E932D542"/>
    <w:lvl w:ilvl="0" w:tplc="F030EA6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61C4A08"/>
    <w:multiLevelType w:val="hybridMultilevel"/>
    <w:tmpl w:val="A288A804"/>
    <w:lvl w:ilvl="0" w:tplc="14090001">
      <w:start w:val="1"/>
      <w:numFmt w:val="bullet"/>
      <w:lvlText w:val=""/>
      <w:lvlJc w:val="left"/>
      <w:pPr>
        <w:tabs>
          <w:tab w:val="num" w:pos="720"/>
        </w:tabs>
        <w:ind w:left="720" w:hanging="360"/>
      </w:pPr>
      <w:rPr>
        <w:rFonts w:ascii="Symbol" w:hAnsi="Symbol" w:hint="default"/>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1409001B">
      <w:start w:val="1"/>
      <w:numFmt w:val="lowerRoman"/>
      <w:lvlText w:val="%5."/>
      <w:lvlJc w:val="righ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723D5971"/>
    <w:multiLevelType w:val="hybridMultilevel"/>
    <w:tmpl w:val="586237A6"/>
    <w:lvl w:ilvl="0" w:tplc="F030EA6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5"/>
  </w:num>
  <w:num w:numId="5">
    <w:abstractNumId w:val="11"/>
  </w:num>
  <w:num w:numId="6">
    <w:abstractNumId w:val="1"/>
  </w:num>
  <w:num w:numId="7">
    <w:abstractNumId w:val="7"/>
  </w:num>
  <w:num w:numId="8">
    <w:abstractNumId w:val="6"/>
  </w:num>
  <w:num w:numId="9">
    <w:abstractNumId w:val="9"/>
  </w:num>
  <w:num w:numId="10">
    <w:abstractNumId w:val="2"/>
  </w:num>
  <w:num w:numId="11">
    <w:abstractNumId w:val="3"/>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222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E7"/>
    <w:rsid w:val="00001539"/>
    <w:rsid w:val="00002433"/>
    <w:rsid w:val="000037F4"/>
    <w:rsid w:val="00004A8A"/>
    <w:rsid w:val="000051DB"/>
    <w:rsid w:val="00005DC9"/>
    <w:rsid w:val="00010986"/>
    <w:rsid w:val="00010988"/>
    <w:rsid w:val="00010F7D"/>
    <w:rsid w:val="00012338"/>
    <w:rsid w:val="00013708"/>
    <w:rsid w:val="00013A18"/>
    <w:rsid w:val="00014196"/>
    <w:rsid w:val="000147DC"/>
    <w:rsid w:val="00015072"/>
    <w:rsid w:val="00016722"/>
    <w:rsid w:val="0002068B"/>
    <w:rsid w:val="000232EB"/>
    <w:rsid w:val="00023BAB"/>
    <w:rsid w:val="00023EA6"/>
    <w:rsid w:val="00024B22"/>
    <w:rsid w:val="0002568E"/>
    <w:rsid w:val="00025954"/>
    <w:rsid w:val="00030890"/>
    <w:rsid w:val="00030DEA"/>
    <w:rsid w:val="00031596"/>
    <w:rsid w:val="000337D5"/>
    <w:rsid w:val="00033950"/>
    <w:rsid w:val="000343E7"/>
    <w:rsid w:val="00035185"/>
    <w:rsid w:val="00036A3D"/>
    <w:rsid w:val="00036EE4"/>
    <w:rsid w:val="00041469"/>
    <w:rsid w:val="00041CD1"/>
    <w:rsid w:val="0004221C"/>
    <w:rsid w:val="000431FE"/>
    <w:rsid w:val="000435AD"/>
    <w:rsid w:val="00045AFC"/>
    <w:rsid w:val="00046F46"/>
    <w:rsid w:val="00047559"/>
    <w:rsid w:val="000523FC"/>
    <w:rsid w:val="000526E4"/>
    <w:rsid w:val="0005434D"/>
    <w:rsid w:val="000545DC"/>
    <w:rsid w:val="0005503E"/>
    <w:rsid w:val="00055129"/>
    <w:rsid w:val="00055373"/>
    <w:rsid w:val="00055D70"/>
    <w:rsid w:val="00056059"/>
    <w:rsid w:val="00056263"/>
    <w:rsid w:val="00056E3D"/>
    <w:rsid w:val="00056F77"/>
    <w:rsid w:val="0005761E"/>
    <w:rsid w:val="00057AC4"/>
    <w:rsid w:val="000606D4"/>
    <w:rsid w:val="00060712"/>
    <w:rsid w:val="00060AAB"/>
    <w:rsid w:val="00060CD3"/>
    <w:rsid w:val="00064A64"/>
    <w:rsid w:val="000655B2"/>
    <w:rsid w:val="00070193"/>
    <w:rsid w:val="000739AD"/>
    <w:rsid w:val="00073A19"/>
    <w:rsid w:val="00073F31"/>
    <w:rsid w:val="000745D3"/>
    <w:rsid w:val="00074B13"/>
    <w:rsid w:val="00074D02"/>
    <w:rsid w:val="0007562B"/>
    <w:rsid w:val="00076FB8"/>
    <w:rsid w:val="00080CE0"/>
    <w:rsid w:val="00080DE3"/>
    <w:rsid w:val="00082485"/>
    <w:rsid w:val="00082653"/>
    <w:rsid w:val="00082ABC"/>
    <w:rsid w:val="00083ADB"/>
    <w:rsid w:val="00085660"/>
    <w:rsid w:val="0008593D"/>
    <w:rsid w:val="00086007"/>
    <w:rsid w:val="000863E2"/>
    <w:rsid w:val="00086898"/>
    <w:rsid w:val="0008712F"/>
    <w:rsid w:val="00087C41"/>
    <w:rsid w:val="00095446"/>
    <w:rsid w:val="00096BFA"/>
    <w:rsid w:val="00097848"/>
    <w:rsid w:val="000A073E"/>
    <w:rsid w:val="000A20D1"/>
    <w:rsid w:val="000A368A"/>
    <w:rsid w:val="000A39F4"/>
    <w:rsid w:val="000A43F8"/>
    <w:rsid w:val="000A4419"/>
    <w:rsid w:val="000B005C"/>
    <w:rsid w:val="000B01CC"/>
    <w:rsid w:val="000B0480"/>
    <w:rsid w:val="000B0615"/>
    <w:rsid w:val="000B0C12"/>
    <w:rsid w:val="000B0D42"/>
    <w:rsid w:val="000B16BF"/>
    <w:rsid w:val="000B1FA1"/>
    <w:rsid w:val="000B2052"/>
    <w:rsid w:val="000B5B1E"/>
    <w:rsid w:val="000C0912"/>
    <w:rsid w:val="000C2669"/>
    <w:rsid w:val="000C26E9"/>
    <w:rsid w:val="000C32BA"/>
    <w:rsid w:val="000C3EB5"/>
    <w:rsid w:val="000C43B6"/>
    <w:rsid w:val="000C684B"/>
    <w:rsid w:val="000C6EED"/>
    <w:rsid w:val="000C79FD"/>
    <w:rsid w:val="000C7EF2"/>
    <w:rsid w:val="000D012A"/>
    <w:rsid w:val="000D0FA0"/>
    <w:rsid w:val="000D2A6B"/>
    <w:rsid w:val="000D31FE"/>
    <w:rsid w:val="000D5E01"/>
    <w:rsid w:val="000D6393"/>
    <w:rsid w:val="000D670A"/>
    <w:rsid w:val="000D77C0"/>
    <w:rsid w:val="000D7C12"/>
    <w:rsid w:val="000E0036"/>
    <w:rsid w:val="000E310A"/>
    <w:rsid w:val="000E3979"/>
    <w:rsid w:val="000E3CE1"/>
    <w:rsid w:val="000E73FF"/>
    <w:rsid w:val="000E7C1C"/>
    <w:rsid w:val="000F03B0"/>
    <w:rsid w:val="000F162C"/>
    <w:rsid w:val="000F3333"/>
    <w:rsid w:val="000F6F99"/>
    <w:rsid w:val="000F7020"/>
    <w:rsid w:val="00101A24"/>
    <w:rsid w:val="001116E8"/>
    <w:rsid w:val="00113146"/>
    <w:rsid w:val="00114F56"/>
    <w:rsid w:val="00115056"/>
    <w:rsid w:val="001158BA"/>
    <w:rsid w:val="00115B20"/>
    <w:rsid w:val="00116006"/>
    <w:rsid w:val="00116B51"/>
    <w:rsid w:val="00123D03"/>
    <w:rsid w:val="0012410B"/>
    <w:rsid w:val="00125812"/>
    <w:rsid w:val="00125ADD"/>
    <w:rsid w:val="00126CD1"/>
    <w:rsid w:val="00127757"/>
    <w:rsid w:val="0013053D"/>
    <w:rsid w:val="00130E8F"/>
    <w:rsid w:val="00132DCF"/>
    <w:rsid w:val="001336E3"/>
    <w:rsid w:val="001339BB"/>
    <w:rsid w:val="00136EED"/>
    <w:rsid w:val="00141B20"/>
    <w:rsid w:val="00141D39"/>
    <w:rsid w:val="00142051"/>
    <w:rsid w:val="00143437"/>
    <w:rsid w:val="00144369"/>
    <w:rsid w:val="00144ADC"/>
    <w:rsid w:val="00144BBB"/>
    <w:rsid w:val="00145DF7"/>
    <w:rsid w:val="00146FC1"/>
    <w:rsid w:val="00150932"/>
    <w:rsid w:val="00152D49"/>
    <w:rsid w:val="00157E18"/>
    <w:rsid w:val="00161022"/>
    <w:rsid w:val="00161358"/>
    <w:rsid w:val="001620EB"/>
    <w:rsid w:val="00162F22"/>
    <w:rsid w:val="0016538E"/>
    <w:rsid w:val="00166A7A"/>
    <w:rsid w:val="00166C49"/>
    <w:rsid w:val="001674EB"/>
    <w:rsid w:val="00167EE1"/>
    <w:rsid w:val="001705C4"/>
    <w:rsid w:val="0017102C"/>
    <w:rsid w:val="00171281"/>
    <w:rsid w:val="001712D6"/>
    <w:rsid w:val="001726B0"/>
    <w:rsid w:val="00175644"/>
    <w:rsid w:val="001767C7"/>
    <w:rsid w:val="001800AF"/>
    <w:rsid w:val="00180A3B"/>
    <w:rsid w:val="00180BD5"/>
    <w:rsid w:val="00180D17"/>
    <w:rsid w:val="00182517"/>
    <w:rsid w:val="00183D99"/>
    <w:rsid w:val="00183EB1"/>
    <w:rsid w:val="00184219"/>
    <w:rsid w:val="00185884"/>
    <w:rsid w:val="001901C1"/>
    <w:rsid w:val="00190331"/>
    <w:rsid w:val="0019141D"/>
    <w:rsid w:val="00191B67"/>
    <w:rsid w:val="00191EEC"/>
    <w:rsid w:val="00192E3B"/>
    <w:rsid w:val="00194873"/>
    <w:rsid w:val="00194B8A"/>
    <w:rsid w:val="00194CF9"/>
    <w:rsid w:val="00197273"/>
    <w:rsid w:val="001A13C8"/>
    <w:rsid w:val="001A1C61"/>
    <w:rsid w:val="001A1DFB"/>
    <w:rsid w:val="001A5694"/>
    <w:rsid w:val="001A5BEE"/>
    <w:rsid w:val="001B0726"/>
    <w:rsid w:val="001B0A7A"/>
    <w:rsid w:val="001B0C6E"/>
    <w:rsid w:val="001B0DF0"/>
    <w:rsid w:val="001B1A87"/>
    <w:rsid w:val="001B1BDF"/>
    <w:rsid w:val="001B24D5"/>
    <w:rsid w:val="001B2869"/>
    <w:rsid w:val="001B3F6D"/>
    <w:rsid w:val="001B3F81"/>
    <w:rsid w:val="001B4E6C"/>
    <w:rsid w:val="001B54FC"/>
    <w:rsid w:val="001B7122"/>
    <w:rsid w:val="001C0CF6"/>
    <w:rsid w:val="001C2214"/>
    <w:rsid w:val="001C2524"/>
    <w:rsid w:val="001C41C2"/>
    <w:rsid w:val="001C6912"/>
    <w:rsid w:val="001D0A46"/>
    <w:rsid w:val="001D22ED"/>
    <w:rsid w:val="001D2F95"/>
    <w:rsid w:val="001D3440"/>
    <w:rsid w:val="001D37FB"/>
    <w:rsid w:val="001D4D62"/>
    <w:rsid w:val="001D53A8"/>
    <w:rsid w:val="001D7325"/>
    <w:rsid w:val="001E0044"/>
    <w:rsid w:val="001E12C8"/>
    <w:rsid w:val="001E1A8F"/>
    <w:rsid w:val="001E2485"/>
    <w:rsid w:val="001E2F77"/>
    <w:rsid w:val="001E6AFE"/>
    <w:rsid w:val="001F0773"/>
    <w:rsid w:val="001F0DD3"/>
    <w:rsid w:val="001F1711"/>
    <w:rsid w:val="001F1A2D"/>
    <w:rsid w:val="001F21CB"/>
    <w:rsid w:val="001F6750"/>
    <w:rsid w:val="00200311"/>
    <w:rsid w:val="002008D1"/>
    <w:rsid w:val="00202E20"/>
    <w:rsid w:val="002036AA"/>
    <w:rsid w:val="00203789"/>
    <w:rsid w:val="00204A66"/>
    <w:rsid w:val="00205334"/>
    <w:rsid w:val="00205CBE"/>
    <w:rsid w:val="00213B41"/>
    <w:rsid w:val="0021535A"/>
    <w:rsid w:val="00216DB5"/>
    <w:rsid w:val="00216F08"/>
    <w:rsid w:val="00217A19"/>
    <w:rsid w:val="00222CA5"/>
    <w:rsid w:val="00223298"/>
    <w:rsid w:val="00224A1F"/>
    <w:rsid w:val="00224BD6"/>
    <w:rsid w:val="002253E9"/>
    <w:rsid w:val="002258FC"/>
    <w:rsid w:val="00226226"/>
    <w:rsid w:val="00227D78"/>
    <w:rsid w:val="00227FE4"/>
    <w:rsid w:val="002317B4"/>
    <w:rsid w:val="002331A0"/>
    <w:rsid w:val="00233DC9"/>
    <w:rsid w:val="0023447D"/>
    <w:rsid w:val="0023708B"/>
    <w:rsid w:val="00237318"/>
    <w:rsid w:val="00237FE9"/>
    <w:rsid w:val="0024128C"/>
    <w:rsid w:val="00245DA0"/>
    <w:rsid w:val="00247ADA"/>
    <w:rsid w:val="00251406"/>
    <w:rsid w:val="00251B04"/>
    <w:rsid w:val="00257836"/>
    <w:rsid w:val="00257E29"/>
    <w:rsid w:val="00260CA9"/>
    <w:rsid w:val="00264EEE"/>
    <w:rsid w:val="0026530E"/>
    <w:rsid w:val="00265DED"/>
    <w:rsid w:val="00265E6C"/>
    <w:rsid w:val="00266A30"/>
    <w:rsid w:val="0026794D"/>
    <w:rsid w:val="00267FAB"/>
    <w:rsid w:val="00270CAF"/>
    <w:rsid w:val="002712C8"/>
    <w:rsid w:val="002719ED"/>
    <w:rsid w:val="00271EB7"/>
    <w:rsid w:val="0027239E"/>
    <w:rsid w:val="00272416"/>
    <w:rsid w:val="00272E82"/>
    <w:rsid w:val="00273D5C"/>
    <w:rsid w:val="00273ECF"/>
    <w:rsid w:val="00275209"/>
    <w:rsid w:val="0027527B"/>
    <w:rsid w:val="00275B26"/>
    <w:rsid w:val="0027706F"/>
    <w:rsid w:val="00280713"/>
    <w:rsid w:val="00281580"/>
    <w:rsid w:val="00282DD1"/>
    <w:rsid w:val="00283259"/>
    <w:rsid w:val="00283AFA"/>
    <w:rsid w:val="00283D22"/>
    <w:rsid w:val="00287942"/>
    <w:rsid w:val="002923AF"/>
    <w:rsid w:val="00292783"/>
    <w:rsid w:val="0029399F"/>
    <w:rsid w:val="00293E21"/>
    <w:rsid w:val="00294A17"/>
    <w:rsid w:val="00295264"/>
    <w:rsid w:val="00295DFA"/>
    <w:rsid w:val="00296404"/>
    <w:rsid w:val="0029649F"/>
    <w:rsid w:val="00296B26"/>
    <w:rsid w:val="00297322"/>
    <w:rsid w:val="002A05D3"/>
    <w:rsid w:val="002A06C6"/>
    <w:rsid w:val="002A107A"/>
    <w:rsid w:val="002A3794"/>
    <w:rsid w:val="002A4911"/>
    <w:rsid w:val="002A535E"/>
    <w:rsid w:val="002A5881"/>
    <w:rsid w:val="002A5E7A"/>
    <w:rsid w:val="002B0025"/>
    <w:rsid w:val="002B0801"/>
    <w:rsid w:val="002B0A3F"/>
    <w:rsid w:val="002B5324"/>
    <w:rsid w:val="002B56E7"/>
    <w:rsid w:val="002B5823"/>
    <w:rsid w:val="002B733A"/>
    <w:rsid w:val="002B7F4A"/>
    <w:rsid w:val="002C0074"/>
    <w:rsid w:val="002C097E"/>
    <w:rsid w:val="002C2315"/>
    <w:rsid w:val="002C301D"/>
    <w:rsid w:val="002C4A38"/>
    <w:rsid w:val="002C65B8"/>
    <w:rsid w:val="002C734D"/>
    <w:rsid w:val="002C744C"/>
    <w:rsid w:val="002C7BB2"/>
    <w:rsid w:val="002D01BF"/>
    <w:rsid w:val="002D0E0F"/>
    <w:rsid w:val="002D0FAA"/>
    <w:rsid w:val="002D3E81"/>
    <w:rsid w:val="002D4AC3"/>
    <w:rsid w:val="002D52A0"/>
    <w:rsid w:val="002D6691"/>
    <w:rsid w:val="002E0169"/>
    <w:rsid w:val="002E062E"/>
    <w:rsid w:val="002E1226"/>
    <w:rsid w:val="002E1D30"/>
    <w:rsid w:val="002E2678"/>
    <w:rsid w:val="002E28C6"/>
    <w:rsid w:val="002E4DB3"/>
    <w:rsid w:val="002E6D37"/>
    <w:rsid w:val="002E79A6"/>
    <w:rsid w:val="002F10BF"/>
    <w:rsid w:val="002F110D"/>
    <w:rsid w:val="002F168D"/>
    <w:rsid w:val="002F32BD"/>
    <w:rsid w:val="002F4407"/>
    <w:rsid w:val="002F5A1A"/>
    <w:rsid w:val="002F69E9"/>
    <w:rsid w:val="002F6E67"/>
    <w:rsid w:val="002F71F1"/>
    <w:rsid w:val="002F7C03"/>
    <w:rsid w:val="0030111A"/>
    <w:rsid w:val="003020F3"/>
    <w:rsid w:val="003022D4"/>
    <w:rsid w:val="003038AC"/>
    <w:rsid w:val="00305726"/>
    <w:rsid w:val="00306E9B"/>
    <w:rsid w:val="003070DB"/>
    <w:rsid w:val="003076FA"/>
    <w:rsid w:val="00310D70"/>
    <w:rsid w:val="0031214B"/>
    <w:rsid w:val="00313F3E"/>
    <w:rsid w:val="00314A19"/>
    <w:rsid w:val="00315307"/>
    <w:rsid w:val="00315D17"/>
    <w:rsid w:val="00316B54"/>
    <w:rsid w:val="003176BB"/>
    <w:rsid w:val="00317E1A"/>
    <w:rsid w:val="00320A3C"/>
    <w:rsid w:val="00320DB5"/>
    <w:rsid w:val="00320FAD"/>
    <w:rsid w:val="003232C2"/>
    <w:rsid w:val="003237B0"/>
    <w:rsid w:val="003243C3"/>
    <w:rsid w:val="0032503F"/>
    <w:rsid w:val="003262CE"/>
    <w:rsid w:val="003264ED"/>
    <w:rsid w:val="003308B4"/>
    <w:rsid w:val="00333209"/>
    <w:rsid w:val="00334A4E"/>
    <w:rsid w:val="003352EF"/>
    <w:rsid w:val="003418C0"/>
    <w:rsid w:val="003424A8"/>
    <w:rsid w:val="003425F7"/>
    <w:rsid w:val="00342705"/>
    <w:rsid w:val="00343012"/>
    <w:rsid w:val="00343233"/>
    <w:rsid w:val="00343B25"/>
    <w:rsid w:val="003441E3"/>
    <w:rsid w:val="003445EA"/>
    <w:rsid w:val="00350175"/>
    <w:rsid w:val="003518F9"/>
    <w:rsid w:val="00351EC0"/>
    <w:rsid w:val="00352990"/>
    <w:rsid w:val="00353113"/>
    <w:rsid w:val="00353518"/>
    <w:rsid w:val="00355DAA"/>
    <w:rsid w:val="003613F4"/>
    <w:rsid w:val="00361819"/>
    <w:rsid w:val="00361F3D"/>
    <w:rsid w:val="00362E2F"/>
    <w:rsid w:val="00362FE1"/>
    <w:rsid w:val="00363DCE"/>
    <w:rsid w:val="00365680"/>
    <w:rsid w:val="00366A1A"/>
    <w:rsid w:val="00367B6E"/>
    <w:rsid w:val="00370B2E"/>
    <w:rsid w:val="00372D68"/>
    <w:rsid w:val="0037447C"/>
    <w:rsid w:val="0037458C"/>
    <w:rsid w:val="00374E9A"/>
    <w:rsid w:val="00375119"/>
    <w:rsid w:val="00375E7C"/>
    <w:rsid w:val="00375FFD"/>
    <w:rsid w:val="00377130"/>
    <w:rsid w:val="00381DB8"/>
    <w:rsid w:val="003826A0"/>
    <w:rsid w:val="00383462"/>
    <w:rsid w:val="00384B58"/>
    <w:rsid w:val="00385683"/>
    <w:rsid w:val="00385EC1"/>
    <w:rsid w:val="00386DD1"/>
    <w:rsid w:val="00387CA4"/>
    <w:rsid w:val="003911FE"/>
    <w:rsid w:val="00391389"/>
    <w:rsid w:val="00391E64"/>
    <w:rsid w:val="00395750"/>
    <w:rsid w:val="0039581F"/>
    <w:rsid w:val="00395B0F"/>
    <w:rsid w:val="00396861"/>
    <w:rsid w:val="0039783E"/>
    <w:rsid w:val="003A0009"/>
    <w:rsid w:val="003A0E47"/>
    <w:rsid w:val="003A4360"/>
    <w:rsid w:val="003A68AA"/>
    <w:rsid w:val="003A7561"/>
    <w:rsid w:val="003A76E4"/>
    <w:rsid w:val="003B09F2"/>
    <w:rsid w:val="003B1384"/>
    <w:rsid w:val="003B35B8"/>
    <w:rsid w:val="003B4A9D"/>
    <w:rsid w:val="003B4B13"/>
    <w:rsid w:val="003B4D2C"/>
    <w:rsid w:val="003B53A6"/>
    <w:rsid w:val="003C0785"/>
    <w:rsid w:val="003C1764"/>
    <w:rsid w:val="003C3AD0"/>
    <w:rsid w:val="003C722C"/>
    <w:rsid w:val="003C7985"/>
    <w:rsid w:val="003C7CAC"/>
    <w:rsid w:val="003C7E67"/>
    <w:rsid w:val="003D20ED"/>
    <w:rsid w:val="003D4ED7"/>
    <w:rsid w:val="003D5AB0"/>
    <w:rsid w:val="003D6364"/>
    <w:rsid w:val="003D6531"/>
    <w:rsid w:val="003D6C84"/>
    <w:rsid w:val="003E017A"/>
    <w:rsid w:val="003E1FAF"/>
    <w:rsid w:val="003E20B9"/>
    <w:rsid w:val="003E3836"/>
    <w:rsid w:val="003E39B9"/>
    <w:rsid w:val="003E4AC8"/>
    <w:rsid w:val="003E4BB4"/>
    <w:rsid w:val="003E68B5"/>
    <w:rsid w:val="003F14AC"/>
    <w:rsid w:val="003F27A7"/>
    <w:rsid w:val="003F2D09"/>
    <w:rsid w:val="003F34BF"/>
    <w:rsid w:val="003F37EA"/>
    <w:rsid w:val="003F47F5"/>
    <w:rsid w:val="003F59CC"/>
    <w:rsid w:val="003F5E57"/>
    <w:rsid w:val="003F5F9D"/>
    <w:rsid w:val="003F7652"/>
    <w:rsid w:val="003F7EDA"/>
    <w:rsid w:val="00401D87"/>
    <w:rsid w:val="00402BF8"/>
    <w:rsid w:val="00403755"/>
    <w:rsid w:val="0040387F"/>
    <w:rsid w:val="00406227"/>
    <w:rsid w:val="00407D3B"/>
    <w:rsid w:val="00413295"/>
    <w:rsid w:val="0041363C"/>
    <w:rsid w:val="00414E9A"/>
    <w:rsid w:val="00415CC4"/>
    <w:rsid w:val="00415FD6"/>
    <w:rsid w:val="0041696F"/>
    <w:rsid w:val="00420D4C"/>
    <w:rsid w:val="00423B79"/>
    <w:rsid w:val="004240D2"/>
    <w:rsid w:val="00424ADF"/>
    <w:rsid w:val="004303B8"/>
    <w:rsid w:val="00431677"/>
    <w:rsid w:val="00433183"/>
    <w:rsid w:val="00433AED"/>
    <w:rsid w:val="004342F0"/>
    <w:rsid w:val="004353DD"/>
    <w:rsid w:val="00435F4A"/>
    <w:rsid w:val="00437C49"/>
    <w:rsid w:val="0044117C"/>
    <w:rsid w:val="004418F2"/>
    <w:rsid w:val="00443662"/>
    <w:rsid w:val="00443DF2"/>
    <w:rsid w:val="00444E78"/>
    <w:rsid w:val="004455A5"/>
    <w:rsid w:val="00445911"/>
    <w:rsid w:val="00445F4D"/>
    <w:rsid w:val="00446050"/>
    <w:rsid w:val="00446FC1"/>
    <w:rsid w:val="00447531"/>
    <w:rsid w:val="00447C26"/>
    <w:rsid w:val="00447F1A"/>
    <w:rsid w:val="0045085A"/>
    <w:rsid w:val="00450CBA"/>
    <w:rsid w:val="0045110A"/>
    <w:rsid w:val="00452DA2"/>
    <w:rsid w:val="004532A3"/>
    <w:rsid w:val="00455363"/>
    <w:rsid w:val="00456B8F"/>
    <w:rsid w:val="00457045"/>
    <w:rsid w:val="004574C4"/>
    <w:rsid w:val="00457A91"/>
    <w:rsid w:val="00460004"/>
    <w:rsid w:val="004604E9"/>
    <w:rsid w:val="00460A55"/>
    <w:rsid w:val="004610FB"/>
    <w:rsid w:val="0046180A"/>
    <w:rsid w:val="00461E8D"/>
    <w:rsid w:val="00462A38"/>
    <w:rsid w:val="00462BC6"/>
    <w:rsid w:val="00463FEB"/>
    <w:rsid w:val="004660F2"/>
    <w:rsid w:val="00470C11"/>
    <w:rsid w:val="00471759"/>
    <w:rsid w:val="0047175C"/>
    <w:rsid w:val="004721E0"/>
    <w:rsid w:val="00472F9C"/>
    <w:rsid w:val="00473803"/>
    <w:rsid w:val="004755FE"/>
    <w:rsid w:val="004759BF"/>
    <w:rsid w:val="00476857"/>
    <w:rsid w:val="00476B4E"/>
    <w:rsid w:val="0047782F"/>
    <w:rsid w:val="00477AF9"/>
    <w:rsid w:val="00480D8E"/>
    <w:rsid w:val="004818FF"/>
    <w:rsid w:val="00481C65"/>
    <w:rsid w:val="004828C6"/>
    <w:rsid w:val="004830F6"/>
    <w:rsid w:val="00484675"/>
    <w:rsid w:val="00484F33"/>
    <w:rsid w:val="00485AA9"/>
    <w:rsid w:val="004869CF"/>
    <w:rsid w:val="00487545"/>
    <w:rsid w:val="00490239"/>
    <w:rsid w:val="00490B1D"/>
    <w:rsid w:val="00491DC5"/>
    <w:rsid w:val="00492245"/>
    <w:rsid w:val="004929EC"/>
    <w:rsid w:val="004935F6"/>
    <w:rsid w:val="00493B10"/>
    <w:rsid w:val="00493F24"/>
    <w:rsid w:val="00495017"/>
    <w:rsid w:val="0049615F"/>
    <w:rsid w:val="00496FC2"/>
    <w:rsid w:val="004971EF"/>
    <w:rsid w:val="004A2043"/>
    <w:rsid w:val="004A2FD9"/>
    <w:rsid w:val="004A51CB"/>
    <w:rsid w:val="004A5D55"/>
    <w:rsid w:val="004A6D51"/>
    <w:rsid w:val="004A6DE9"/>
    <w:rsid w:val="004B03BE"/>
    <w:rsid w:val="004B0A80"/>
    <w:rsid w:val="004B1950"/>
    <w:rsid w:val="004B274A"/>
    <w:rsid w:val="004B27D5"/>
    <w:rsid w:val="004B2839"/>
    <w:rsid w:val="004B300A"/>
    <w:rsid w:val="004B4E7B"/>
    <w:rsid w:val="004B571D"/>
    <w:rsid w:val="004B7418"/>
    <w:rsid w:val="004B78FA"/>
    <w:rsid w:val="004C0FBA"/>
    <w:rsid w:val="004C1080"/>
    <w:rsid w:val="004C2B29"/>
    <w:rsid w:val="004C3E19"/>
    <w:rsid w:val="004C3F7B"/>
    <w:rsid w:val="004C3FD4"/>
    <w:rsid w:val="004C4916"/>
    <w:rsid w:val="004C6A1A"/>
    <w:rsid w:val="004C78C4"/>
    <w:rsid w:val="004D2B88"/>
    <w:rsid w:val="004D2EB8"/>
    <w:rsid w:val="004D3A3F"/>
    <w:rsid w:val="004D512D"/>
    <w:rsid w:val="004D58A1"/>
    <w:rsid w:val="004D5D38"/>
    <w:rsid w:val="004D5F74"/>
    <w:rsid w:val="004D6ED4"/>
    <w:rsid w:val="004E10E0"/>
    <w:rsid w:val="004E198A"/>
    <w:rsid w:val="004E2A32"/>
    <w:rsid w:val="004E3061"/>
    <w:rsid w:val="004E3F7E"/>
    <w:rsid w:val="004E52EA"/>
    <w:rsid w:val="004E67E6"/>
    <w:rsid w:val="004F0E40"/>
    <w:rsid w:val="004F19CD"/>
    <w:rsid w:val="004F1F6E"/>
    <w:rsid w:val="004F245D"/>
    <w:rsid w:val="004F5E93"/>
    <w:rsid w:val="004F603D"/>
    <w:rsid w:val="004F6545"/>
    <w:rsid w:val="004F6D32"/>
    <w:rsid w:val="004F6FC8"/>
    <w:rsid w:val="0050046F"/>
    <w:rsid w:val="00500EEF"/>
    <w:rsid w:val="005015CE"/>
    <w:rsid w:val="00501BD9"/>
    <w:rsid w:val="005041A7"/>
    <w:rsid w:val="00504E3C"/>
    <w:rsid w:val="00506456"/>
    <w:rsid w:val="00506825"/>
    <w:rsid w:val="00506D75"/>
    <w:rsid w:val="00506FA2"/>
    <w:rsid w:val="00507196"/>
    <w:rsid w:val="005103B1"/>
    <w:rsid w:val="00515680"/>
    <w:rsid w:val="005173F5"/>
    <w:rsid w:val="00517D7F"/>
    <w:rsid w:val="00517E7D"/>
    <w:rsid w:val="00520779"/>
    <w:rsid w:val="00521E8C"/>
    <w:rsid w:val="00523AAC"/>
    <w:rsid w:val="00523CF5"/>
    <w:rsid w:val="005246FD"/>
    <w:rsid w:val="00525A4C"/>
    <w:rsid w:val="00525C51"/>
    <w:rsid w:val="00530417"/>
    <w:rsid w:val="00530B0F"/>
    <w:rsid w:val="00532095"/>
    <w:rsid w:val="005321B7"/>
    <w:rsid w:val="005328C3"/>
    <w:rsid w:val="0053379A"/>
    <w:rsid w:val="005337D5"/>
    <w:rsid w:val="0053679A"/>
    <w:rsid w:val="00536C66"/>
    <w:rsid w:val="0054067C"/>
    <w:rsid w:val="00541C62"/>
    <w:rsid w:val="005437B7"/>
    <w:rsid w:val="00543E03"/>
    <w:rsid w:val="00545F4F"/>
    <w:rsid w:val="00545F60"/>
    <w:rsid w:val="00547754"/>
    <w:rsid w:val="0054782B"/>
    <w:rsid w:val="0055051C"/>
    <w:rsid w:val="00550BD7"/>
    <w:rsid w:val="005520E3"/>
    <w:rsid w:val="0055315D"/>
    <w:rsid w:val="005536BC"/>
    <w:rsid w:val="005544E5"/>
    <w:rsid w:val="00554B2A"/>
    <w:rsid w:val="00554B2F"/>
    <w:rsid w:val="00557118"/>
    <w:rsid w:val="005612C1"/>
    <w:rsid w:val="00562BC9"/>
    <w:rsid w:val="0056357E"/>
    <w:rsid w:val="00563B07"/>
    <w:rsid w:val="00564874"/>
    <w:rsid w:val="00566834"/>
    <w:rsid w:val="005668F0"/>
    <w:rsid w:val="005677E2"/>
    <w:rsid w:val="0056783D"/>
    <w:rsid w:val="0057019F"/>
    <w:rsid w:val="005704E5"/>
    <w:rsid w:val="00570549"/>
    <w:rsid w:val="0057101F"/>
    <w:rsid w:val="00571A9D"/>
    <w:rsid w:val="00571BA5"/>
    <w:rsid w:val="00573B85"/>
    <w:rsid w:val="00574342"/>
    <w:rsid w:val="005754DE"/>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4805"/>
    <w:rsid w:val="00596392"/>
    <w:rsid w:val="00596EAD"/>
    <w:rsid w:val="00597DFE"/>
    <w:rsid w:val="00597FAF"/>
    <w:rsid w:val="005A13E7"/>
    <w:rsid w:val="005A196E"/>
    <w:rsid w:val="005A3D06"/>
    <w:rsid w:val="005A3DA9"/>
    <w:rsid w:val="005A62E6"/>
    <w:rsid w:val="005A6CC1"/>
    <w:rsid w:val="005A6CCD"/>
    <w:rsid w:val="005A7107"/>
    <w:rsid w:val="005B174D"/>
    <w:rsid w:val="005B1762"/>
    <w:rsid w:val="005B29AF"/>
    <w:rsid w:val="005B39D2"/>
    <w:rsid w:val="005B3B36"/>
    <w:rsid w:val="005B545C"/>
    <w:rsid w:val="005B55F8"/>
    <w:rsid w:val="005B5924"/>
    <w:rsid w:val="005B6561"/>
    <w:rsid w:val="005C0312"/>
    <w:rsid w:val="005C0453"/>
    <w:rsid w:val="005C21D1"/>
    <w:rsid w:val="005C24B6"/>
    <w:rsid w:val="005C29FA"/>
    <w:rsid w:val="005C363D"/>
    <w:rsid w:val="005C3E40"/>
    <w:rsid w:val="005C5F92"/>
    <w:rsid w:val="005C6EDB"/>
    <w:rsid w:val="005D0763"/>
    <w:rsid w:val="005D0807"/>
    <w:rsid w:val="005D0FD8"/>
    <w:rsid w:val="005D3DE0"/>
    <w:rsid w:val="005D4C84"/>
    <w:rsid w:val="005D57F3"/>
    <w:rsid w:val="005D67EA"/>
    <w:rsid w:val="005D70E5"/>
    <w:rsid w:val="005E0B96"/>
    <w:rsid w:val="005E4156"/>
    <w:rsid w:val="005E41E4"/>
    <w:rsid w:val="005E6DB6"/>
    <w:rsid w:val="005E7559"/>
    <w:rsid w:val="005F212F"/>
    <w:rsid w:val="005F2C40"/>
    <w:rsid w:val="005F4DCE"/>
    <w:rsid w:val="005F5FC9"/>
    <w:rsid w:val="005F768A"/>
    <w:rsid w:val="0060184B"/>
    <w:rsid w:val="00601A52"/>
    <w:rsid w:val="00602B3C"/>
    <w:rsid w:val="00602E73"/>
    <w:rsid w:val="00603627"/>
    <w:rsid w:val="006036A6"/>
    <w:rsid w:val="00603E2B"/>
    <w:rsid w:val="00603FA8"/>
    <w:rsid w:val="006050DD"/>
    <w:rsid w:val="0060515C"/>
    <w:rsid w:val="006062EF"/>
    <w:rsid w:val="0061025C"/>
    <w:rsid w:val="00610DB8"/>
    <w:rsid w:val="00612192"/>
    <w:rsid w:val="006121E5"/>
    <w:rsid w:val="006124DE"/>
    <w:rsid w:val="00612D19"/>
    <w:rsid w:val="0061317B"/>
    <w:rsid w:val="00613972"/>
    <w:rsid w:val="00613D57"/>
    <w:rsid w:val="006159F2"/>
    <w:rsid w:val="00615E70"/>
    <w:rsid w:val="006170F2"/>
    <w:rsid w:val="00617398"/>
    <w:rsid w:val="0061761D"/>
    <w:rsid w:val="006207E9"/>
    <w:rsid w:val="00621E70"/>
    <w:rsid w:val="00626B7E"/>
    <w:rsid w:val="00632BA7"/>
    <w:rsid w:val="00632C89"/>
    <w:rsid w:val="00632E8C"/>
    <w:rsid w:val="00634F11"/>
    <w:rsid w:val="006359F5"/>
    <w:rsid w:val="00635A18"/>
    <w:rsid w:val="006371BF"/>
    <w:rsid w:val="006377D3"/>
    <w:rsid w:val="00637BB7"/>
    <w:rsid w:val="00642ADD"/>
    <w:rsid w:val="00643396"/>
    <w:rsid w:val="00643788"/>
    <w:rsid w:val="0064402C"/>
    <w:rsid w:val="006445A2"/>
    <w:rsid w:val="00645C45"/>
    <w:rsid w:val="00646179"/>
    <w:rsid w:val="006464FD"/>
    <w:rsid w:val="006474EE"/>
    <w:rsid w:val="0064763A"/>
    <w:rsid w:val="006544DB"/>
    <w:rsid w:val="00656647"/>
    <w:rsid w:val="0065713B"/>
    <w:rsid w:val="0065713C"/>
    <w:rsid w:val="0065773E"/>
    <w:rsid w:val="00660B1F"/>
    <w:rsid w:val="00662194"/>
    <w:rsid w:val="006637FA"/>
    <w:rsid w:val="006638D3"/>
    <w:rsid w:val="00663B17"/>
    <w:rsid w:val="00666A40"/>
    <w:rsid w:val="00671424"/>
    <w:rsid w:val="00674513"/>
    <w:rsid w:val="006755C1"/>
    <w:rsid w:val="00675A28"/>
    <w:rsid w:val="00676159"/>
    <w:rsid w:val="006772A7"/>
    <w:rsid w:val="006772CA"/>
    <w:rsid w:val="00677EE9"/>
    <w:rsid w:val="006804CF"/>
    <w:rsid w:val="006822DA"/>
    <w:rsid w:val="00682473"/>
    <w:rsid w:val="006829A8"/>
    <w:rsid w:val="00682FBC"/>
    <w:rsid w:val="00683A57"/>
    <w:rsid w:val="00684147"/>
    <w:rsid w:val="0068449E"/>
    <w:rsid w:val="00684A4C"/>
    <w:rsid w:val="006873EA"/>
    <w:rsid w:val="006918F7"/>
    <w:rsid w:val="00692162"/>
    <w:rsid w:val="00693024"/>
    <w:rsid w:val="00693F10"/>
    <w:rsid w:val="0069425F"/>
    <w:rsid w:val="00694ABE"/>
    <w:rsid w:val="00694E49"/>
    <w:rsid w:val="006A0E74"/>
    <w:rsid w:val="006A0FE1"/>
    <w:rsid w:val="006A218F"/>
    <w:rsid w:val="006A307E"/>
    <w:rsid w:val="006A3F76"/>
    <w:rsid w:val="006A4054"/>
    <w:rsid w:val="006A40A1"/>
    <w:rsid w:val="006A5C00"/>
    <w:rsid w:val="006A6165"/>
    <w:rsid w:val="006A6392"/>
    <w:rsid w:val="006A7E28"/>
    <w:rsid w:val="006B2116"/>
    <w:rsid w:val="006B2982"/>
    <w:rsid w:val="006B35BE"/>
    <w:rsid w:val="006C0A4C"/>
    <w:rsid w:val="006C1B43"/>
    <w:rsid w:val="006C1D7C"/>
    <w:rsid w:val="006C367C"/>
    <w:rsid w:val="006C3765"/>
    <w:rsid w:val="006C39BF"/>
    <w:rsid w:val="006C4775"/>
    <w:rsid w:val="006C687F"/>
    <w:rsid w:val="006C6FA2"/>
    <w:rsid w:val="006C7000"/>
    <w:rsid w:val="006C7763"/>
    <w:rsid w:val="006D012B"/>
    <w:rsid w:val="006D12A7"/>
    <w:rsid w:val="006D2BD5"/>
    <w:rsid w:val="006D3ECE"/>
    <w:rsid w:val="006D4E45"/>
    <w:rsid w:val="006D5350"/>
    <w:rsid w:val="006D7463"/>
    <w:rsid w:val="006E0317"/>
    <w:rsid w:val="006E0511"/>
    <w:rsid w:val="006E12C1"/>
    <w:rsid w:val="006E2140"/>
    <w:rsid w:val="006E5580"/>
    <w:rsid w:val="006E607F"/>
    <w:rsid w:val="006E7DC2"/>
    <w:rsid w:val="006F0D73"/>
    <w:rsid w:val="006F1342"/>
    <w:rsid w:val="006F3D80"/>
    <w:rsid w:val="006F3EF5"/>
    <w:rsid w:val="006F49F0"/>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6DEA"/>
    <w:rsid w:val="0072105B"/>
    <w:rsid w:val="0072284E"/>
    <w:rsid w:val="00723508"/>
    <w:rsid w:val="00725AF9"/>
    <w:rsid w:val="0073286C"/>
    <w:rsid w:val="007328CC"/>
    <w:rsid w:val="007330DF"/>
    <w:rsid w:val="00733260"/>
    <w:rsid w:val="00735070"/>
    <w:rsid w:val="00735AD3"/>
    <w:rsid w:val="007364DA"/>
    <w:rsid w:val="007409D2"/>
    <w:rsid w:val="00742222"/>
    <w:rsid w:val="00743EA9"/>
    <w:rsid w:val="0074529C"/>
    <w:rsid w:val="00747ECC"/>
    <w:rsid w:val="00750BF8"/>
    <w:rsid w:val="00750D2A"/>
    <w:rsid w:val="00750E2F"/>
    <w:rsid w:val="007515BC"/>
    <w:rsid w:val="00753328"/>
    <w:rsid w:val="00753433"/>
    <w:rsid w:val="00754E11"/>
    <w:rsid w:val="00756097"/>
    <w:rsid w:val="00764F3A"/>
    <w:rsid w:val="00765CC1"/>
    <w:rsid w:val="007669BA"/>
    <w:rsid w:val="00770261"/>
    <w:rsid w:val="007712EA"/>
    <w:rsid w:val="00772439"/>
    <w:rsid w:val="00773ACD"/>
    <w:rsid w:val="007768C5"/>
    <w:rsid w:val="0077715B"/>
    <w:rsid w:val="007773BD"/>
    <w:rsid w:val="00777B72"/>
    <w:rsid w:val="00777EEE"/>
    <w:rsid w:val="007811C0"/>
    <w:rsid w:val="007819CF"/>
    <w:rsid w:val="0078263F"/>
    <w:rsid w:val="00783657"/>
    <w:rsid w:val="00786840"/>
    <w:rsid w:val="00790852"/>
    <w:rsid w:val="00790EEE"/>
    <w:rsid w:val="00791304"/>
    <w:rsid w:val="00791677"/>
    <w:rsid w:val="00791E8E"/>
    <w:rsid w:val="007931A9"/>
    <w:rsid w:val="007944E8"/>
    <w:rsid w:val="00794E52"/>
    <w:rsid w:val="00794E6C"/>
    <w:rsid w:val="007952A7"/>
    <w:rsid w:val="00796982"/>
    <w:rsid w:val="007A02C7"/>
    <w:rsid w:val="007A05C6"/>
    <w:rsid w:val="007A0903"/>
    <w:rsid w:val="007A2381"/>
    <w:rsid w:val="007A2C70"/>
    <w:rsid w:val="007A375D"/>
    <w:rsid w:val="007A5826"/>
    <w:rsid w:val="007A657A"/>
    <w:rsid w:val="007B249F"/>
    <w:rsid w:val="007B2A5F"/>
    <w:rsid w:val="007B4330"/>
    <w:rsid w:val="007B435A"/>
    <w:rsid w:val="007B4E2A"/>
    <w:rsid w:val="007B5D7E"/>
    <w:rsid w:val="007B788E"/>
    <w:rsid w:val="007C0F48"/>
    <w:rsid w:val="007C17B1"/>
    <w:rsid w:val="007C43BB"/>
    <w:rsid w:val="007C6ED9"/>
    <w:rsid w:val="007C737B"/>
    <w:rsid w:val="007D0AF7"/>
    <w:rsid w:val="007D1D13"/>
    <w:rsid w:val="007D20FF"/>
    <w:rsid w:val="007D36F2"/>
    <w:rsid w:val="007D3B6C"/>
    <w:rsid w:val="007D57DC"/>
    <w:rsid w:val="007D5BA5"/>
    <w:rsid w:val="007E00A1"/>
    <w:rsid w:val="007E2BB1"/>
    <w:rsid w:val="007E2F2D"/>
    <w:rsid w:val="007E3A3A"/>
    <w:rsid w:val="007E3C1B"/>
    <w:rsid w:val="007E6D47"/>
    <w:rsid w:val="007E71C7"/>
    <w:rsid w:val="007F0096"/>
    <w:rsid w:val="007F2BB3"/>
    <w:rsid w:val="007F35FA"/>
    <w:rsid w:val="007F3724"/>
    <w:rsid w:val="007F4330"/>
    <w:rsid w:val="007F45A7"/>
    <w:rsid w:val="007F4C1B"/>
    <w:rsid w:val="007F62A9"/>
    <w:rsid w:val="008022F1"/>
    <w:rsid w:val="0080272A"/>
    <w:rsid w:val="0080288A"/>
    <w:rsid w:val="00802E2A"/>
    <w:rsid w:val="00803569"/>
    <w:rsid w:val="008049CE"/>
    <w:rsid w:val="00807058"/>
    <w:rsid w:val="0080739F"/>
    <w:rsid w:val="0080758E"/>
    <w:rsid w:val="0081025E"/>
    <w:rsid w:val="00812261"/>
    <w:rsid w:val="008124E6"/>
    <w:rsid w:val="00812B72"/>
    <w:rsid w:val="00813360"/>
    <w:rsid w:val="00813620"/>
    <w:rsid w:val="00816B77"/>
    <w:rsid w:val="00816F3A"/>
    <w:rsid w:val="008171ED"/>
    <w:rsid w:val="00820A94"/>
    <w:rsid w:val="00822DB3"/>
    <w:rsid w:val="00823B52"/>
    <w:rsid w:val="00823B90"/>
    <w:rsid w:val="00824BEA"/>
    <w:rsid w:val="008304E8"/>
    <w:rsid w:val="00831ACA"/>
    <w:rsid w:val="00831AD5"/>
    <w:rsid w:val="00831BAA"/>
    <w:rsid w:val="00831E32"/>
    <w:rsid w:val="00834C7B"/>
    <w:rsid w:val="00836208"/>
    <w:rsid w:val="00836367"/>
    <w:rsid w:val="00836D38"/>
    <w:rsid w:val="008375CF"/>
    <w:rsid w:val="008425D5"/>
    <w:rsid w:val="00843D20"/>
    <w:rsid w:val="00844454"/>
    <w:rsid w:val="00847192"/>
    <w:rsid w:val="0084731D"/>
    <w:rsid w:val="00850142"/>
    <w:rsid w:val="008511D0"/>
    <w:rsid w:val="00857420"/>
    <w:rsid w:val="0085773A"/>
    <w:rsid w:val="008603F1"/>
    <w:rsid w:val="00860CCE"/>
    <w:rsid w:val="00862540"/>
    <w:rsid w:val="00862551"/>
    <w:rsid w:val="0086294E"/>
    <w:rsid w:val="00863459"/>
    <w:rsid w:val="008637E1"/>
    <w:rsid w:val="00865E8F"/>
    <w:rsid w:val="008669BF"/>
    <w:rsid w:val="00867E68"/>
    <w:rsid w:val="00870D84"/>
    <w:rsid w:val="00872CDA"/>
    <w:rsid w:val="0087340F"/>
    <w:rsid w:val="00873D37"/>
    <w:rsid w:val="00874188"/>
    <w:rsid w:val="0087423E"/>
    <w:rsid w:val="00876879"/>
    <w:rsid w:val="0088302D"/>
    <w:rsid w:val="008830FE"/>
    <w:rsid w:val="00883A51"/>
    <w:rsid w:val="008841C7"/>
    <w:rsid w:val="00885271"/>
    <w:rsid w:val="00885C28"/>
    <w:rsid w:val="00885F6B"/>
    <w:rsid w:val="008866E0"/>
    <w:rsid w:val="00887803"/>
    <w:rsid w:val="00887ABA"/>
    <w:rsid w:val="00891481"/>
    <w:rsid w:val="00893A34"/>
    <w:rsid w:val="00893F1F"/>
    <w:rsid w:val="00897964"/>
    <w:rsid w:val="008A2903"/>
    <w:rsid w:val="008A2ECB"/>
    <w:rsid w:val="008A41D1"/>
    <w:rsid w:val="008A46F9"/>
    <w:rsid w:val="008A6B32"/>
    <w:rsid w:val="008A6D57"/>
    <w:rsid w:val="008A7DEB"/>
    <w:rsid w:val="008B068A"/>
    <w:rsid w:val="008B39F2"/>
    <w:rsid w:val="008B7CC7"/>
    <w:rsid w:val="008C0BAD"/>
    <w:rsid w:val="008C1654"/>
    <w:rsid w:val="008C2E66"/>
    <w:rsid w:val="008C3CF3"/>
    <w:rsid w:val="008C4059"/>
    <w:rsid w:val="008C5061"/>
    <w:rsid w:val="008D321E"/>
    <w:rsid w:val="008D4069"/>
    <w:rsid w:val="008D4205"/>
    <w:rsid w:val="008D4C74"/>
    <w:rsid w:val="008D578D"/>
    <w:rsid w:val="008D6F8D"/>
    <w:rsid w:val="008E0799"/>
    <w:rsid w:val="008E144C"/>
    <w:rsid w:val="008E1524"/>
    <w:rsid w:val="008E1751"/>
    <w:rsid w:val="008E321A"/>
    <w:rsid w:val="008E35D5"/>
    <w:rsid w:val="008E499D"/>
    <w:rsid w:val="008E53A1"/>
    <w:rsid w:val="008F1742"/>
    <w:rsid w:val="008F3401"/>
    <w:rsid w:val="008F45DD"/>
    <w:rsid w:val="008F524F"/>
    <w:rsid w:val="008F546B"/>
    <w:rsid w:val="008F7F16"/>
    <w:rsid w:val="009011FA"/>
    <w:rsid w:val="009026B4"/>
    <w:rsid w:val="00903A46"/>
    <w:rsid w:val="00907EF1"/>
    <w:rsid w:val="009112D6"/>
    <w:rsid w:val="00911779"/>
    <w:rsid w:val="00912583"/>
    <w:rsid w:val="00912FE6"/>
    <w:rsid w:val="0091537A"/>
    <w:rsid w:val="0091613C"/>
    <w:rsid w:val="00916AA9"/>
    <w:rsid w:val="00917216"/>
    <w:rsid w:val="00917703"/>
    <w:rsid w:val="00921613"/>
    <w:rsid w:val="00921AD9"/>
    <w:rsid w:val="00922DFB"/>
    <w:rsid w:val="00922E6F"/>
    <w:rsid w:val="00924DAD"/>
    <w:rsid w:val="00924EF9"/>
    <w:rsid w:val="00926B17"/>
    <w:rsid w:val="00931139"/>
    <w:rsid w:val="00931186"/>
    <w:rsid w:val="00931C60"/>
    <w:rsid w:val="00932268"/>
    <w:rsid w:val="00932330"/>
    <w:rsid w:val="009366A0"/>
    <w:rsid w:val="009407EE"/>
    <w:rsid w:val="00943B26"/>
    <w:rsid w:val="00950357"/>
    <w:rsid w:val="0095200D"/>
    <w:rsid w:val="009542D3"/>
    <w:rsid w:val="00956DA6"/>
    <w:rsid w:val="009575E3"/>
    <w:rsid w:val="00957F52"/>
    <w:rsid w:val="00960387"/>
    <w:rsid w:val="00961C3D"/>
    <w:rsid w:val="00961DC0"/>
    <w:rsid w:val="00962484"/>
    <w:rsid w:val="0096278C"/>
    <w:rsid w:val="009643C4"/>
    <w:rsid w:val="00967BAA"/>
    <w:rsid w:val="00970DF3"/>
    <w:rsid w:val="00975870"/>
    <w:rsid w:val="00975CDC"/>
    <w:rsid w:val="009768F2"/>
    <w:rsid w:val="00981A56"/>
    <w:rsid w:val="00983242"/>
    <w:rsid w:val="00983700"/>
    <w:rsid w:val="00984467"/>
    <w:rsid w:val="0098563C"/>
    <w:rsid w:val="0098603E"/>
    <w:rsid w:val="00986F53"/>
    <w:rsid w:val="0099053A"/>
    <w:rsid w:val="009918E8"/>
    <w:rsid w:val="00991ACC"/>
    <w:rsid w:val="00992345"/>
    <w:rsid w:val="00993572"/>
    <w:rsid w:val="009936BF"/>
    <w:rsid w:val="00995D58"/>
    <w:rsid w:val="0099604A"/>
    <w:rsid w:val="009962FE"/>
    <w:rsid w:val="00997B75"/>
    <w:rsid w:val="00997E46"/>
    <w:rsid w:val="009A05EE"/>
    <w:rsid w:val="009A0E5A"/>
    <w:rsid w:val="009A1F84"/>
    <w:rsid w:val="009A237B"/>
    <w:rsid w:val="009A23EE"/>
    <w:rsid w:val="009A2C24"/>
    <w:rsid w:val="009A4293"/>
    <w:rsid w:val="009A43AF"/>
    <w:rsid w:val="009A6068"/>
    <w:rsid w:val="009B0464"/>
    <w:rsid w:val="009B1209"/>
    <w:rsid w:val="009B2E15"/>
    <w:rsid w:val="009B3F9B"/>
    <w:rsid w:val="009B4464"/>
    <w:rsid w:val="009B5ED9"/>
    <w:rsid w:val="009B687E"/>
    <w:rsid w:val="009B78C5"/>
    <w:rsid w:val="009B7CCC"/>
    <w:rsid w:val="009C4DC5"/>
    <w:rsid w:val="009C4F2E"/>
    <w:rsid w:val="009C5262"/>
    <w:rsid w:val="009C6B0A"/>
    <w:rsid w:val="009D07A9"/>
    <w:rsid w:val="009D176F"/>
    <w:rsid w:val="009D5865"/>
    <w:rsid w:val="009D5E4C"/>
    <w:rsid w:val="009D6D25"/>
    <w:rsid w:val="009E03FB"/>
    <w:rsid w:val="009E17B9"/>
    <w:rsid w:val="009E39BD"/>
    <w:rsid w:val="009E56D2"/>
    <w:rsid w:val="009F06E5"/>
    <w:rsid w:val="009F09E6"/>
    <w:rsid w:val="009F39B2"/>
    <w:rsid w:val="009F630C"/>
    <w:rsid w:val="009F7B9A"/>
    <w:rsid w:val="009F7F75"/>
    <w:rsid w:val="00A0358C"/>
    <w:rsid w:val="00A03704"/>
    <w:rsid w:val="00A05AD3"/>
    <w:rsid w:val="00A067D6"/>
    <w:rsid w:val="00A06AC7"/>
    <w:rsid w:val="00A11347"/>
    <w:rsid w:val="00A11C67"/>
    <w:rsid w:val="00A12961"/>
    <w:rsid w:val="00A136AC"/>
    <w:rsid w:val="00A13885"/>
    <w:rsid w:val="00A13C27"/>
    <w:rsid w:val="00A144CF"/>
    <w:rsid w:val="00A169B4"/>
    <w:rsid w:val="00A16CD8"/>
    <w:rsid w:val="00A178DF"/>
    <w:rsid w:val="00A20C92"/>
    <w:rsid w:val="00A214BF"/>
    <w:rsid w:val="00A227F2"/>
    <w:rsid w:val="00A240B1"/>
    <w:rsid w:val="00A241BD"/>
    <w:rsid w:val="00A25BDB"/>
    <w:rsid w:val="00A260E7"/>
    <w:rsid w:val="00A2777E"/>
    <w:rsid w:val="00A3103A"/>
    <w:rsid w:val="00A31268"/>
    <w:rsid w:val="00A31E8F"/>
    <w:rsid w:val="00A3580A"/>
    <w:rsid w:val="00A372C2"/>
    <w:rsid w:val="00A40AF3"/>
    <w:rsid w:val="00A41E37"/>
    <w:rsid w:val="00A41FC7"/>
    <w:rsid w:val="00A44EB9"/>
    <w:rsid w:val="00A458F0"/>
    <w:rsid w:val="00A46A67"/>
    <w:rsid w:val="00A474F8"/>
    <w:rsid w:val="00A51CC9"/>
    <w:rsid w:val="00A51EF6"/>
    <w:rsid w:val="00A52763"/>
    <w:rsid w:val="00A52964"/>
    <w:rsid w:val="00A541BB"/>
    <w:rsid w:val="00A637DD"/>
    <w:rsid w:val="00A65EA6"/>
    <w:rsid w:val="00A66BE0"/>
    <w:rsid w:val="00A708C8"/>
    <w:rsid w:val="00A7280D"/>
    <w:rsid w:val="00A72D91"/>
    <w:rsid w:val="00A73D4B"/>
    <w:rsid w:val="00A748A3"/>
    <w:rsid w:val="00A75583"/>
    <w:rsid w:val="00A761FA"/>
    <w:rsid w:val="00A771C0"/>
    <w:rsid w:val="00A80CA4"/>
    <w:rsid w:val="00A81192"/>
    <w:rsid w:val="00A81297"/>
    <w:rsid w:val="00A82A72"/>
    <w:rsid w:val="00A85A08"/>
    <w:rsid w:val="00A86724"/>
    <w:rsid w:val="00A8672D"/>
    <w:rsid w:val="00A90B0E"/>
    <w:rsid w:val="00A90B93"/>
    <w:rsid w:val="00A92E1D"/>
    <w:rsid w:val="00A94F1D"/>
    <w:rsid w:val="00A95810"/>
    <w:rsid w:val="00A95DA6"/>
    <w:rsid w:val="00A97006"/>
    <w:rsid w:val="00A97DC2"/>
    <w:rsid w:val="00AA0305"/>
    <w:rsid w:val="00AA1E55"/>
    <w:rsid w:val="00AA2A15"/>
    <w:rsid w:val="00AA2A96"/>
    <w:rsid w:val="00AA2B71"/>
    <w:rsid w:val="00AA42A7"/>
    <w:rsid w:val="00AA50D5"/>
    <w:rsid w:val="00AA714E"/>
    <w:rsid w:val="00AB1C8B"/>
    <w:rsid w:val="00AB4B80"/>
    <w:rsid w:val="00AB7678"/>
    <w:rsid w:val="00AC014E"/>
    <w:rsid w:val="00AC238D"/>
    <w:rsid w:val="00AC4B7F"/>
    <w:rsid w:val="00AC7238"/>
    <w:rsid w:val="00AC7BEB"/>
    <w:rsid w:val="00AC7C05"/>
    <w:rsid w:val="00AD162D"/>
    <w:rsid w:val="00AD16E4"/>
    <w:rsid w:val="00AD210F"/>
    <w:rsid w:val="00AD2189"/>
    <w:rsid w:val="00AD2C02"/>
    <w:rsid w:val="00AD2D68"/>
    <w:rsid w:val="00AD31A9"/>
    <w:rsid w:val="00AD5287"/>
    <w:rsid w:val="00AD6884"/>
    <w:rsid w:val="00AD6CF5"/>
    <w:rsid w:val="00AD7847"/>
    <w:rsid w:val="00AE097A"/>
    <w:rsid w:val="00AE12FE"/>
    <w:rsid w:val="00AE1B5A"/>
    <w:rsid w:val="00AE2151"/>
    <w:rsid w:val="00AE249D"/>
    <w:rsid w:val="00AE2CBC"/>
    <w:rsid w:val="00AE31B0"/>
    <w:rsid w:val="00AE3EC0"/>
    <w:rsid w:val="00AE6FC4"/>
    <w:rsid w:val="00AF0479"/>
    <w:rsid w:val="00AF08F0"/>
    <w:rsid w:val="00AF26A2"/>
    <w:rsid w:val="00AF3DFB"/>
    <w:rsid w:val="00AF411C"/>
    <w:rsid w:val="00AF4B64"/>
    <w:rsid w:val="00AF7EC6"/>
    <w:rsid w:val="00B01B51"/>
    <w:rsid w:val="00B03333"/>
    <w:rsid w:val="00B033B6"/>
    <w:rsid w:val="00B0379D"/>
    <w:rsid w:val="00B0406A"/>
    <w:rsid w:val="00B06841"/>
    <w:rsid w:val="00B06B03"/>
    <w:rsid w:val="00B07DB6"/>
    <w:rsid w:val="00B105A9"/>
    <w:rsid w:val="00B113E5"/>
    <w:rsid w:val="00B1162D"/>
    <w:rsid w:val="00B14C06"/>
    <w:rsid w:val="00B153F0"/>
    <w:rsid w:val="00B162A3"/>
    <w:rsid w:val="00B17ECC"/>
    <w:rsid w:val="00B23398"/>
    <w:rsid w:val="00B245B0"/>
    <w:rsid w:val="00B26E56"/>
    <w:rsid w:val="00B31879"/>
    <w:rsid w:val="00B3311C"/>
    <w:rsid w:val="00B33125"/>
    <w:rsid w:val="00B34A3B"/>
    <w:rsid w:val="00B34A3E"/>
    <w:rsid w:val="00B355C5"/>
    <w:rsid w:val="00B3673D"/>
    <w:rsid w:val="00B44C6C"/>
    <w:rsid w:val="00B4757F"/>
    <w:rsid w:val="00B5187A"/>
    <w:rsid w:val="00B5229A"/>
    <w:rsid w:val="00B52E33"/>
    <w:rsid w:val="00B54C33"/>
    <w:rsid w:val="00B55CD1"/>
    <w:rsid w:val="00B605F9"/>
    <w:rsid w:val="00B61C67"/>
    <w:rsid w:val="00B6314D"/>
    <w:rsid w:val="00B64BD8"/>
    <w:rsid w:val="00B70EFF"/>
    <w:rsid w:val="00B713DA"/>
    <w:rsid w:val="00B71654"/>
    <w:rsid w:val="00B725D6"/>
    <w:rsid w:val="00B727C2"/>
    <w:rsid w:val="00B738C7"/>
    <w:rsid w:val="00B747AC"/>
    <w:rsid w:val="00B75E1D"/>
    <w:rsid w:val="00B77124"/>
    <w:rsid w:val="00B8023E"/>
    <w:rsid w:val="00B82106"/>
    <w:rsid w:val="00B82526"/>
    <w:rsid w:val="00B82809"/>
    <w:rsid w:val="00B87915"/>
    <w:rsid w:val="00B9084D"/>
    <w:rsid w:val="00B91224"/>
    <w:rsid w:val="00B91420"/>
    <w:rsid w:val="00B92DEC"/>
    <w:rsid w:val="00B9525A"/>
    <w:rsid w:val="00BA015D"/>
    <w:rsid w:val="00BA064C"/>
    <w:rsid w:val="00BA08F9"/>
    <w:rsid w:val="00BA0C85"/>
    <w:rsid w:val="00BA1B22"/>
    <w:rsid w:val="00BA3395"/>
    <w:rsid w:val="00BA4091"/>
    <w:rsid w:val="00BA4735"/>
    <w:rsid w:val="00BA54D5"/>
    <w:rsid w:val="00BB2DB8"/>
    <w:rsid w:val="00BB3A50"/>
    <w:rsid w:val="00BB4D9B"/>
    <w:rsid w:val="00BB521A"/>
    <w:rsid w:val="00BB647C"/>
    <w:rsid w:val="00BC0C83"/>
    <w:rsid w:val="00BC33E7"/>
    <w:rsid w:val="00BC5A0A"/>
    <w:rsid w:val="00BC5BB5"/>
    <w:rsid w:val="00BC61B1"/>
    <w:rsid w:val="00BC74B2"/>
    <w:rsid w:val="00BD1F16"/>
    <w:rsid w:val="00BD201F"/>
    <w:rsid w:val="00BD27A9"/>
    <w:rsid w:val="00BD55D3"/>
    <w:rsid w:val="00BD787F"/>
    <w:rsid w:val="00BD7E26"/>
    <w:rsid w:val="00BE00F2"/>
    <w:rsid w:val="00BE209A"/>
    <w:rsid w:val="00BE215F"/>
    <w:rsid w:val="00BE2293"/>
    <w:rsid w:val="00BE23E1"/>
    <w:rsid w:val="00BE2455"/>
    <w:rsid w:val="00BE24AF"/>
    <w:rsid w:val="00BE2E23"/>
    <w:rsid w:val="00BE37DF"/>
    <w:rsid w:val="00BE37E1"/>
    <w:rsid w:val="00BE4B28"/>
    <w:rsid w:val="00BE4ED0"/>
    <w:rsid w:val="00BE53B9"/>
    <w:rsid w:val="00BE57F6"/>
    <w:rsid w:val="00BE6E5D"/>
    <w:rsid w:val="00BE7220"/>
    <w:rsid w:val="00BF021D"/>
    <w:rsid w:val="00BF2D80"/>
    <w:rsid w:val="00BF2DF2"/>
    <w:rsid w:val="00BF32A0"/>
    <w:rsid w:val="00BF34A5"/>
    <w:rsid w:val="00BF3828"/>
    <w:rsid w:val="00BF4F4D"/>
    <w:rsid w:val="00BF5144"/>
    <w:rsid w:val="00BF5E9D"/>
    <w:rsid w:val="00BF7D2A"/>
    <w:rsid w:val="00C00747"/>
    <w:rsid w:val="00C01116"/>
    <w:rsid w:val="00C02336"/>
    <w:rsid w:val="00C03BDD"/>
    <w:rsid w:val="00C04254"/>
    <w:rsid w:val="00C043A7"/>
    <w:rsid w:val="00C044F1"/>
    <w:rsid w:val="00C050D3"/>
    <w:rsid w:val="00C10374"/>
    <w:rsid w:val="00C12840"/>
    <w:rsid w:val="00C1302A"/>
    <w:rsid w:val="00C13480"/>
    <w:rsid w:val="00C1593D"/>
    <w:rsid w:val="00C172E3"/>
    <w:rsid w:val="00C217D7"/>
    <w:rsid w:val="00C21899"/>
    <w:rsid w:val="00C21910"/>
    <w:rsid w:val="00C21971"/>
    <w:rsid w:val="00C221D3"/>
    <w:rsid w:val="00C22372"/>
    <w:rsid w:val="00C22791"/>
    <w:rsid w:val="00C244FF"/>
    <w:rsid w:val="00C268EB"/>
    <w:rsid w:val="00C27FC3"/>
    <w:rsid w:val="00C33D51"/>
    <w:rsid w:val="00C34065"/>
    <w:rsid w:val="00C35BF3"/>
    <w:rsid w:val="00C3670D"/>
    <w:rsid w:val="00C41370"/>
    <w:rsid w:val="00C41EED"/>
    <w:rsid w:val="00C442B6"/>
    <w:rsid w:val="00C459A1"/>
    <w:rsid w:val="00C47A2B"/>
    <w:rsid w:val="00C5096F"/>
    <w:rsid w:val="00C50CC6"/>
    <w:rsid w:val="00C5302D"/>
    <w:rsid w:val="00C5403F"/>
    <w:rsid w:val="00C55956"/>
    <w:rsid w:val="00C55CDD"/>
    <w:rsid w:val="00C5787F"/>
    <w:rsid w:val="00C57E44"/>
    <w:rsid w:val="00C60E71"/>
    <w:rsid w:val="00C61038"/>
    <w:rsid w:val="00C61A6F"/>
    <w:rsid w:val="00C621F6"/>
    <w:rsid w:val="00C62F4A"/>
    <w:rsid w:val="00C6318D"/>
    <w:rsid w:val="00C634DB"/>
    <w:rsid w:val="00C63883"/>
    <w:rsid w:val="00C649C5"/>
    <w:rsid w:val="00C66506"/>
    <w:rsid w:val="00C70641"/>
    <w:rsid w:val="00C72EF0"/>
    <w:rsid w:val="00C7318D"/>
    <w:rsid w:val="00C74C12"/>
    <w:rsid w:val="00C74CC2"/>
    <w:rsid w:val="00C76487"/>
    <w:rsid w:val="00C77322"/>
    <w:rsid w:val="00C77ACD"/>
    <w:rsid w:val="00C81584"/>
    <w:rsid w:val="00C82FC1"/>
    <w:rsid w:val="00C83726"/>
    <w:rsid w:val="00C85536"/>
    <w:rsid w:val="00C9240D"/>
    <w:rsid w:val="00C957C2"/>
    <w:rsid w:val="00C96565"/>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1C9E"/>
    <w:rsid w:val="00CB2278"/>
    <w:rsid w:val="00CB354D"/>
    <w:rsid w:val="00CB6BD8"/>
    <w:rsid w:val="00CB74C1"/>
    <w:rsid w:val="00CC0031"/>
    <w:rsid w:val="00CC1B2D"/>
    <w:rsid w:val="00CC2C4F"/>
    <w:rsid w:val="00CC3735"/>
    <w:rsid w:val="00CC386C"/>
    <w:rsid w:val="00CC3FDF"/>
    <w:rsid w:val="00CC60B9"/>
    <w:rsid w:val="00CD1628"/>
    <w:rsid w:val="00CD2712"/>
    <w:rsid w:val="00CD35A0"/>
    <w:rsid w:val="00CD41EE"/>
    <w:rsid w:val="00CD44BD"/>
    <w:rsid w:val="00CD476F"/>
    <w:rsid w:val="00CD60E6"/>
    <w:rsid w:val="00CD664F"/>
    <w:rsid w:val="00CD6BCB"/>
    <w:rsid w:val="00CD7C95"/>
    <w:rsid w:val="00CE0D16"/>
    <w:rsid w:val="00CE3D5E"/>
    <w:rsid w:val="00CE49E7"/>
    <w:rsid w:val="00CE642E"/>
    <w:rsid w:val="00CF034B"/>
    <w:rsid w:val="00CF32E9"/>
    <w:rsid w:val="00CF345C"/>
    <w:rsid w:val="00CF4E94"/>
    <w:rsid w:val="00CF56C1"/>
    <w:rsid w:val="00CF75BA"/>
    <w:rsid w:val="00D0100E"/>
    <w:rsid w:val="00D010E3"/>
    <w:rsid w:val="00D01A19"/>
    <w:rsid w:val="00D02E90"/>
    <w:rsid w:val="00D0482D"/>
    <w:rsid w:val="00D05810"/>
    <w:rsid w:val="00D0645F"/>
    <w:rsid w:val="00D10925"/>
    <w:rsid w:val="00D15ADE"/>
    <w:rsid w:val="00D20416"/>
    <w:rsid w:val="00D20CCF"/>
    <w:rsid w:val="00D21942"/>
    <w:rsid w:val="00D22B65"/>
    <w:rsid w:val="00D23682"/>
    <w:rsid w:val="00D30BD9"/>
    <w:rsid w:val="00D30C9F"/>
    <w:rsid w:val="00D31275"/>
    <w:rsid w:val="00D3196B"/>
    <w:rsid w:val="00D324FC"/>
    <w:rsid w:val="00D35F36"/>
    <w:rsid w:val="00D378DF"/>
    <w:rsid w:val="00D41322"/>
    <w:rsid w:val="00D42B0C"/>
    <w:rsid w:val="00D45AFF"/>
    <w:rsid w:val="00D47AC5"/>
    <w:rsid w:val="00D5090D"/>
    <w:rsid w:val="00D5113F"/>
    <w:rsid w:val="00D52351"/>
    <w:rsid w:val="00D56336"/>
    <w:rsid w:val="00D56BA7"/>
    <w:rsid w:val="00D576E9"/>
    <w:rsid w:val="00D5781D"/>
    <w:rsid w:val="00D617EF"/>
    <w:rsid w:val="00D62ECD"/>
    <w:rsid w:val="00D65CF2"/>
    <w:rsid w:val="00D6682C"/>
    <w:rsid w:val="00D66CF8"/>
    <w:rsid w:val="00D66DB5"/>
    <w:rsid w:val="00D67F9B"/>
    <w:rsid w:val="00D7008D"/>
    <w:rsid w:val="00D7086E"/>
    <w:rsid w:val="00D70C49"/>
    <w:rsid w:val="00D70F3A"/>
    <w:rsid w:val="00D71EDD"/>
    <w:rsid w:val="00D72BEF"/>
    <w:rsid w:val="00D72C62"/>
    <w:rsid w:val="00D73886"/>
    <w:rsid w:val="00D76AB8"/>
    <w:rsid w:val="00D772B3"/>
    <w:rsid w:val="00D77A52"/>
    <w:rsid w:val="00D81B58"/>
    <w:rsid w:val="00D81C14"/>
    <w:rsid w:val="00D832D5"/>
    <w:rsid w:val="00D83376"/>
    <w:rsid w:val="00D84B5D"/>
    <w:rsid w:val="00D853FF"/>
    <w:rsid w:val="00D85D1A"/>
    <w:rsid w:val="00D8705F"/>
    <w:rsid w:val="00D87A07"/>
    <w:rsid w:val="00D87EE9"/>
    <w:rsid w:val="00D92A15"/>
    <w:rsid w:val="00D934FF"/>
    <w:rsid w:val="00D943DD"/>
    <w:rsid w:val="00D957C0"/>
    <w:rsid w:val="00D965FE"/>
    <w:rsid w:val="00D971A2"/>
    <w:rsid w:val="00D97670"/>
    <w:rsid w:val="00DA0546"/>
    <w:rsid w:val="00DA1332"/>
    <w:rsid w:val="00DA377B"/>
    <w:rsid w:val="00DA48F6"/>
    <w:rsid w:val="00DA5238"/>
    <w:rsid w:val="00DA53C1"/>
    <w:rsid w:val="00DA5621"/>
    <w:rsid w:val="00DA5B67"/>
    <w:rsid w:val="00DA7B33"/>
    <w:rsid w:val="00DA7ECD"/>
    <w:rsid w:val="00DB09E4"/>
    <w:rsid w:val="00DB1903"/>
    <w:rsid w:val="00DB2D17"/>
    <w:rsid w:val="00DB5E4D"/>
    <w:rsid w:val="00DB5F9F"/>
    <w:rsid w:val="00DB6D1F"/>
    <w:rsid w:val="00DC11CB"/>
    <w:rsid w:val="00DC13EA"/>
    <w:rsid w:val="00DC1BB7"/>
    <w:rsid w:val="00DC3ADA"/>
    <w:rsid w:val="00DC4A0B"/>
    <w:rsid w:val="00DC4D66"/>
    <w:rsid w:val="00DC73B8"/>
    <w:rsid w:val="00DC78F4"/>
    <w:rsid w:val="00DD026E"/>
    <w:rsid w:val="00DD1715"/>
    <w:rsid w:val="00DD22A1"/>
    <w:rsid w:val="00DD2C4D"/>
    <w:rsid w:val="00DD35FE"/>
    <w:rsid w:val="00DD37BF"/>
    <w:rsid w:val="00DD4340"/>
    <w:rsid w:val="00DD44AD"/>
    <w:rsid w:val="00DD45F6"/>
    <w:rsid w:val="00DD5596"/>
    <w:rsid w:val="00DD5A7F"/>
    <w:rsid w:val="00DD6B23"/>
    <w:rsid w:val="00DE0322"/>
    <w:rsid w:val="00DE1E06"/>
    <w:rsid w:val="00DE342A"/>
    <w:rsid w:val="00DE48C3"/>
    <w:rsid w:val="00DE493A"/>
    <w:rsid w:val="00DE5099"/>
    <w:rsid w:val="00DE58AE"/>
    <w:rsid w:val="00DE7190"/>
    <w:rsid w:val="00DF1157"/>
    <w:rsid w:val="00DF178D"/>
    <w:rsid w:val="00DF2711"/>
    <w:rsid w:val="00DF2E2D"/>
    <w:rsid w:val="00DF38C7"/>
    <w:rsid w:val="00DF4392"/>
    <w:rsid w:val="00DF4E1F"/>
    <w:rsid w:val="00DF69A1"/>
    <w:rsid w:val="00DF6DE1"/>
    <w:rsid w:val="00DF752E"/>
    <w:rsid w:val="00DF765A"/>
    <w:rsid w:val="00E0035B"/>
    <w:rsid w:val="00E00956"/>
    <w:rsid w:val="00E011B3"/>
    <w:rsid w:val="00E01A14"/>
    <w:rsid w:val="00E01A51"/>
    <w:rsid w:val="00E02EE2"/>
    <w:rsid w:val="00E04736"/>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45F0"/>
    <w:rsid w:val="00E2566D"/>
    <w:rsid w:val="00E27820"/>
    <w:rsid w:val="00E27CD5"/>
    <w:rsid w:val="00E304B3"/>
    <w:rsid w:val="00E32827"/>
    <w:rsid w:val="00E329AF"/>
    <w:rsid w:val="00E342B0"/>
    <w:rsid w:val="00E34AA9"/>
    <w:rsid w:val="00E350B7"/>
    <w:rsid w:val="00E356BA"/>
    <w:rsid w:val="00E37D1E"/>
    <w:rsid w:val="00E40979"/>
    <w:rsid w:val="00E435B7"/>
    <w:rsid w:val="00E43A26"/>
    <w:rsid w:val="00E466D8"/>
    <w:rsid w:val="00E46AF2"/>
    <w:rsid w:val="00E47557"/>
    <w:rsid w:val="00E503F7"/>
    <w:rsid w:val="00E5543F"/>
    <w:rsid w:val="00E6140D"/>
    <w:rsid w:val="00E61F52"/>
    <w:rsid w:val="00E6414B"/>
    <w:rsid w:val="00E64851"/>
    <w:rsid w:val="00E65386"/>
    <w:rsid w:val="00E66BC8"/>
    <w:rsid w:val="00E67C51"/>
    <w:rsid w:val="00E70BD3"/>
    <w:rsid w:val="00E71783"/>
    <w:rsid w:val="00E71967"/>
    <w:rsid w:val="00E7237E"/>
    <w:rsid w:val="00E72A5A"/>
    <w:rsid w:val="00E72D5C"/>
    <w:rsid w:val="00E735B1"/>
    <w:rsid w:val="00E735C0"/>
    <w:rsid w:val="00E73BE0"/>
    <w:rsid w:val="00E741ED"/>
    <w:rsid w:val="00E770AD"/>
    <w:rsid w:val="00E77FD2"/>
    <w:rsid w:val="00E81DCB"/>
    <w:rsid w:val="00E85206"/>
    <w:rsid w:val="00E85D69"/>
    <w:rsid w:val="00E90B31"/>
    <w:rsid w:val="00E90BDF"/>
    <w:rsid w:val="00E914D3"/>
    <w:rsid w:val="00E929ED"/>
    <w:rsid w:val="00E940AC"/>
    <w:rsid w:val="00E94F36"/>
    <w:rsid w:val="00E95883"/>
    <w:rsid w:val="00EA258A"/>
    <w:rsid w:val="00EA447E"/>
    <w:rsid w:val="00EA4DBC"/>
    <w:rsid w:val="00EA50AB"/>
    <w:rsid w:val="00EB037F"/>
    <w:rsid w:val="00EB10EA"/>
    <w:rsid w:val="00EB1595"/>
    <w:rsid w:val="00EB31AB"/>
    <w:rsid w:val="00EB4EFE"/>
    <w:rsid w:val="00EB5751"/>
    <w:rsid w:val="00EC175E"/>
    <w:rsid w:val="00EC22D7"/>
    <w:rsid w:val="00EC245A"/>
    <w:rsid w:val="00EC4BAE"/>
    <w:rsid w:val="00EC5B7C"/>
    <w:rsid w:val="00EC5D37"/>
    <w:rsid w:val="00EC6A3F"/>
    <w:rsid w:val="00ED2391"/>
    <w:rsid w:val="00ED3DA3"/>
    <w:rsid w:val="00EE378F"/>
    <w:rsid w:val="00EE6411"/>
    <w:rsid w:val="00EE66C7"/>
    <w:rsid w:val="00EE6B2F"/>
    <w:rsid w:val="00EE70C3"/>
    <w:rsid w:val="00EF02F8"/>
    <w:rsid w:val="00EF0400"/>
    <w:rsid w:val="00EF2A4D"/>
    <w:rsid w:val="00EF4B67"/>
    <w:rsid w:val="00EF5730"/>
    <w:rsid w:val="00EF5C83"/>
    <w:rsid w:val="00EF7D7A"/>
    <w:rsid w:val="00F002B2"/>
    <w:rsid w:val="00F00AC2"/>
    <w:rsid w:val="00F01C27"/>
    <w:rsid w:val="00F0204B"/>
    <w:rsid w:val="00F03B3D"/>
    <w:rsid w:val="00F05177"/>
    <w:rsid w:val="00F0601A"/>
    <w:rsid w:val="00F0724E"/>
    <w:rsid w:val="00F12FA2"/>
    <w:rsid w:val="00F14C67"/>
    <w:rsid w:val="00F15518"/>
    <w:rsid w:val="00F17616"/>
    <w:rsid w:val="00F22E5F"/>
    <w:rsid w:val="00F233B0"/>
    <w:rsid w:val="00F24A6E"/>
    <w:rsid w:val="00F24E5E"/>
    <w:rsid w:val="00F25D76"/>
    <w:rsid w:val="00F26DA9"/>
    <w:rsid w:val="00F27CA2"/>
    <w:rsid w:val="00F31D64"/>
    <w:rsid w:val="00F3257B"/>
    <w:rsid w:val="00F33537"/>
    <w:rsid w:val="00F33736"/>
    <w:rsid w:val="00F33B09"/>
    <w:rsid w:val="00F3434E"/>
    <w:rsid w:val="00F358FC"/>
    <w:rsid w:val="00F36D4A"/>
    <w:rsid w:val="00F376EB"/>
    <w:rsid w:val="00F37FE5"/>
    <w:rsid w:val="00F40EC2"/>
    <w:rsid w:val="00F40EFA"/>
    <w:rsid w:val="00F41545"/>
    <w:rsid w:val="00F41EEA"/>
    <w:rsid w:val="00F4341D"/>
    <w:rsid w:val="00F4545C"/>
    <w:rsid w:val="00F45E80"/>
    <w:rsid w:val="00F50177"/>
    <w:rsid w:val="00F51132"/>
    <w:rsid w:val="00F51CC5"/>
    <w:rsid w:val="00F51F90"/>
    <w:rsid w:val="00F567BF"/>
    <w:rsid w:val="00F56AC0"/>
    <w:rsid w:val="00F56F0E"/>
    <w:rsid w:val="00F56F47"/>
    <w:rsid w:val="00F57335"/>
    <w:rsid w:val="00F57A39"/>
    <w:rsid w:val="00F61F72"/>
    <w:rsid w:val="00F62680"/>
    <w:rsid w:val="00F63723"/>
    <w:rsid w:val="00F63BA4"/>
    <w:rsid w:val="00F65E9E"/>
    <w:rsid w:val="00F7025D"/>
    <w:rsid w:val="00F72085"/>
    <w:rsid w:val="00F73FF5"/>
    <w:rsid w:val="00F74EFB"/>
    <w:rsid w:val="00F76F54"/>
    <w:rsid w:val="00F7712A"/>
    <w:rsid w:val="00F77955"/>
    <w:rsid w:val="00F803F8"/>
    <w:rsid w:val="00F80F5F"/>
    <w:rsid w:val="00F8144D"/>
    <w:rsid w:val="00F82B0E"/>
    <w:rsid w:val="00F8415B"/>
    <w:rsid w:val="00F84424"/>
    <w:rsid w:val="00F869F8"/>
    <w:rsid w:val="00F86B46"/>
    <w:rsid w:val="00F86BE3"/>
    <w:rsid w:val="00F90BFD"/>
    <w:rsid w:val="00F90EFD"/>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B0933"/>
    <w:rsid w:val="00FB13E0"/>
    <w:rsid w:val="00FB2CD0"/>
    <w:rsid w:val="00FB38D6"/>
    <w:rsid w:val="00FB4CA8"/>
    <w:rsid w:val="00FB52C8"/>
    <w:rsid w:val="00FB5EBA"/>
    <w:rsid w:val="00FB6B34"/>
    <w:rsid w:val="00FB7359"/>
    <w:rsid w:val="00FC07C4"/>
    <w:rsid w:val="00FC1619"/>
    <w:rsid w:val="00FC19E8"/>
    <w:rsid w:val="00FC22CF"/>
    <w:rsid w:val="00FC3B31"/>
    <w:rsid w:val="00FC43D1"/>
    <w:rsid w:val="00FC4541"/>
    <w:rsid w:val="00FC5866"/>
    <w:rsid w:val="00FC5B63"/>
    <w:rsid w:val="00FC5E53"/>
    <w:rsid w:val="00FC7BC5"/>
    <w:rsid w:val="00FD0BDA"/>
    <w:rsid w:val="00FD3EB9"/>
    <w:rsid w:val="00FD4975"/>
    <w:rsid w:val="00FD4992"/>
    <w:rsid w:val="00FD79FF"/>
    <w:rsid w:val="00FE1315"/>
    <w:rsid w:val="00FE297B"/>
    <w:rsid w:val="00FE3880"/>
    <w:rsid w:val="00FE3B83"/>
    <w:rsid w:val="00FE47DF"/>
    <w:rsid w:val="00FE7555"/>
    <w:rsid w:val="00FE75D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2225"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rsid w:val="007B2A5F"/>
    <w:pPr>
      <w:spacing w:line="300" w:lineRule="atLeast"/>
      <w:jc w:val="both"/>
    </w:pPr>
    <w:rPr>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rsid w:val="007B2A5F"/>
    <w:pPr>
      <w:spacing w:line="300" w:lineRule="atLeast"/>
      <w:jc w:val="both"/>
    </w:pPr>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taxpolicy.ird.govt.nz/publications/2012-ip-mineral-mining/overview" TargetMode="External"/><Relationship Id="rId1" Type="http://schemas.openxmlformats.org/officeDocument/2006/relationships/hyperlink" Target="http://www.ird.govt.nz/resources/a/e/aee2f96e-f5c6-4b1f-ae75-e951c8bae62e/tib-vol26-no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5526</Words>
  <Characters>30117</Characters>
  <Application>Microsoft Office Word</Application>
  <DocSecurity>0</DocSecurity>
  <Lines>654</Lines>
  <Paragraphs>258</Paragraphs>
  <ScaleCrop>false</ScaleCrop>
  <HeadingPairs>
    <vt:vector size="2" baseType="variant">
      <vt:variant>
        <vt:lpstr>Title</vt:lpstr>
      </vt:variant>
      <vt:variant>
        <vt:i4>1</vt:i4>
      </vt:variant>
    </vt:vector>
  </HeadingPairs>
  <TitlesOfParts>
    <vt:vector size="1" baseType="lpstr">
      <vt:lpstr>Regulatory impact statement - Tax treatment of petroleum mining decommissioning (17 October 2016)</vt:lpstr>
    </vt:vector>
  </TitlesOfParts>
  <Company>Inland Revenue</Company>
  <LinksUpToDate>false</LinksUpToDate>
  <CharactersWithSpaces>35385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Tax treatment of petroleum mining decommissioning (17 October 2016)</dc:title>
  <dc:creator>Policy and Strategy</dc:creator>
  <dc:description>Published April 2017.</dc:description>
  <cp:lastModifiedBy>David Nind</cp:lastModifiedBy>
  <cp:revision>2</cp:revision>
  <dcterms:created xsi:type="dcterms:W3CDTF">2017-04-03T06:08:00Z</dcterms:created>
  <dcterms:modified xsi:type="dcterms:W3CDTF">2017-04-03T06:09:00Z</dcterms:modified>
</cp:coreProperties>
</file>