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EE6F84">
      <w:pPr>
        <w:pStyle w:val="RISheading"/>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sz w:val="32"/>
          <w:szCs w:val="32"/>
        </w:rPr>
        <w:t>Regulatory Impact Statement</w:t>
      </w:r>
      <w:bookmarkEnd w:id="1"/>
      <w:bookmarkEnd w:id="2"/>
      <w:bookmarkEnd w:id="3"/>
      <w:bookmarkEnd w:id="4"/>
      <w:bookmarkEnd w:id="5"/>
    </w:p>
    <w:p w:rsidR="00EE6F84" w:rsidRDefault="00EE6F84" w:rsidP="004342F0">
      <w:pPr>
        <w:pStyle w:val="RISheading"/>
        <w:rPr>
          <w:spacing w:val="0"/>
          <w:w w:val="100"/>
        </w:rPr>
      </w:pPr>
    </w:p>
    <w:p w:rsidR="000545DC" w:rsidRPr="004342F0" w:rsidRDefault="00FD6D9B" w:rsidP="004342F0">
      <w:pPr>
        <w:pStyle w:val="RISheading"/>
        <w:rPr>
          <w:spacing w:val="0"/>
          <w:w w:val="100"/>
        </w:rPr>
      </w:pPr>
      <w:r>
        <w:rPr>
          <w:spacing w:val="0"/>
          <w:w w:val="100"/>
        </w:rPr>
        <w:t>Requiring non-resident IRD number applicants to have a New Zealand bank account</w:t>
      </w:r>
    </w:p>
    <w:p w:rsidR="000545DC" w:rsidRPr="004342F0" w:rsidRDefault="001C6912" w:rsidP="004342F0">
      <w:pPr>
        <w:pStyle w:val="RISheading"/>
        <w:rPr>
          <w:spacing w:val="0"/>
          <w:w w:val="100"/>
        </w:rPr>
      </w:pPr>
      <w:r w:rsidRPr="004342F0">
        <w:rPr>
          <w:spacing w:val="0"/>
          <w:w w:val="100"/>
        </w:rPr>
        <w:t xml:space="preserve">Agency </w:t>
      </w:r>
      <w:r w:rsidR="000545DC" w:rsidRPr="004342F0">
        <w:rPr>
          <w:spacing w:val="0"/>
          <w:w w:val="100"/>
        </w:rPr>
        <w:t xml:space="preserve">Disclosure Statement </w:t>
      </w:r>
    </w:p>
    <w:p w:rsidR="000545DC" w:rsidRPr="004342F0" w:rsidRDefault="000545DC" w:rsidP="00197FD4">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w:t>
      </w:r>
      <w:r w:rsidR="00FD6D9B">
        <w:rPr>
          <w:rFonts w:ascii="Times New Roman" w:hAnsi="Times New Roman"/>
          <w:sz w:val="24"/>
          <w:szCs w:val="24"/>
        </w:rPr>
        <w:t xml:space="preserve">(RIS) </w:t>
      </w:r>
      <w:r w:rsidRPr="004342F0">
        <w:rPr>
          <w:rFonts w:ascii="Times New Roman" w:hAnsi="Times New Roman"/>
          <w:sz w:val="24"/>
          <w:szCs w:val="24"/>
        </w:rPr>
        <w:t xml:space="preserve">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r w:rsidR="00FD6D9B">
        <w:rPr>
          <w:rFonts w:ascii="Times New Roman" w:hAnsi="Times New Roman"/>
          <w:sz w:val="24"/>
          <w:szCs w:val="24"/>
        </w:rPr>
        <w:t xml:space="preserve"> </w:t>
      </w:r>
      <w:r w:rsidRPr="004342F0">
        <w:rPr>
          <w:rFonts w:ascii="Times New Roman" w:hAnsi="Times New Roman"/>
          <w:sz w:val="24"/>
          <w:szCs w:val="24"/>
        </w:rPr>
        <w:t xml:space="preserve">It provides an analysis of options </w:t>
      </w:r>
      <w:r w:rsidR="00E909D5">
        <w:rPr>
          <w:rFonts w:ascii="Times New Roman" w:hAnsi="Times New Roman"/>
          <w:sz w:val="24"/>
          <w:szCs w:val="24"/>
        </w:rPr>
        <w:t xml:space="preserve">on </w:t>
      </w:r>
      <w:r w:rsidR="00FD6D9B">
        <w:rPr>
          <w:rFonts w:ascii="Times New Roman" w:hAnsi="Times New Roman"/>
          <w:sz w:val="24"/>
          <w:szCs w:val="24"/>
        </w:rPr>
        <w:t>whether to continue with the requirement for offshore persons to open a New Zealand bank account before they are issued with an IRD number.</w:t>
      </w:r>
    </w:p>
    <w:p w:rsidR="004342F0" w:rsidRPr="004342F0" w:rsidRDefault="004342F0" w:rsidP="00197FD4">
      <w:pPr>
        <w:pStyle w:val="Text"/>
        <w:spacing w:before="0" w:after="0" w:line="240" w:lineRule="auto"/>
        <w:ind w:right="170"/>
        <w:rPr>
          <w:rFonts w:ascii="Times New Roman" w:hAnsi="Times New Roman"/>
          <w:sz w:val="24"/>
          <w:szCs w:val="24"/>
          <w:lang w:val="en-NZ"/>
        </w:rPr>
      </w:pPr>
    </w:p>
    <w:p w:rsidR="000545DC" w:rsidRPr="00FD6D9B" w:rsidRDefault="00FD6D9B" w:rsidP="007B6AFC">
      <w:pPr>
        <w:pStyle w:val="Bullet-list"/>
        <w:spacing w:after="0" w:line="240" w:lineRule="auto"/>
        <w:ind w:left="0" w:right="170" w:firstLine="0"/>
        <w:jc w:val="both"/>
        <w:rPr>
          <w:rFonts w:ascii="Times New Roman" w:hAnsi="Times New Roman"/>
          <w:sz w:val="24"/>
          <w:szCs w:val="24"/>
        </w:rPr>
      </w:pPr>
      <w:r w:rsidRPr="00FD6D9B">
        <w:rPr>
          <w:rFonts w:ascii="Times New Roman" w:hAnsi="Times New Roman"/>
          <w:sz w:val="24"/>
          <w:szCs w:val="24"/>
        </w:rPr>
        <w:t xml:space="preserve">Officials </w:t>
      </w:r>
      <w:r>
        <w:rPr>
          <w:rFonts w:ascii="Times New Roman" w:hAnsi="Times New Roman"/>
          <w:sz w:val="24"/>
          <w:szCs w:val="24"/>
        </w:rPr>
        <w:t xml:space="preserve">have been provided evidence from a range of stakeholders that the bank account requirement is making it difficult in </w:t>
      </w:r>
      <w:r w:rsidR="00E909D5">
        <w:rPr>
          <w:rFonts w:ascii="Times New Roman" w:hAnsi="Times New Roman"/>
          <w:sz w:val="24"/>
          <w:szCs w:val="24"/>
        </w:rPr>
        <w:t xml:space="preserve">a number of </w:t>
      </w:r>
      <w:r>
        <w:rPr>
          <w:rFonts w:ascii="Times New Roman" w:hAnsi="Times New Roman"/>
          <w:sz w:val="24"/>
          <w:szCs w:val="24"/>
        </w:rPr>
        <w:t>cases for people to comply with their New Zealand tax obligations</w:t>
      </w:r>
      <w:r w:rsidR="00487B3C">
        <w:rPr>
          <w:rFonts w:ascii="Times New Roman" w:hAnsi="Times New Roman"/>
          <w:sz w:val="24"/>
          <w:szCs w:val="24"/>
        </w:rPr>
        <w:t>.</w:t>
      </w:r>
      <w:r w:rsidR="00EE6F84">
        <w:rPr>
          <w:rFonts w:ascii="Times New Roman" w:hAnsi="Times New Roman"/>
          <w:sz w:val="24"/>
          <w:szCs w:val="24"/>
        </w:rPr>
        <w:t xml:space="preserve">  </w:t>
      </w:r>
      <w:r>
        <w:rPr>
          <w:rFonts w:ascii="Times New Roman" w:hAnsi="Times New Roman"/>
          <w:sz w:val="24"/>
          <w:szCs w:val="24"/>
        </w:rPr>
        <w:t xml:space="preserve">We have anecdotal evidence of the impact of this restriction but are unable to determine the full extent of its impact on the New Zealand tax system and wider economy.  </w:t>
      </w:r>
    </w:p>
    <w:p w:rsidR="00385EC1" w:rsidRPr="004342F0" w:rsidRDefault="00385EC1" w:rsidP="00197FD4">
      <w:pPr>
        <w:pStyle w:val="Text"/>
        <w:spacing w:before="0" w:after="0" w:line="240" w:lineRule="auto"/>
        <w:ind w:right="170"/>
        <w:rPr>
          <w:rFonts w:ascii="Times New Roman" w:hAnsi="Times New Roman"/>
          <w:sz w:val="24"/>
          <w:szCs w:val="24"/>
          <w:lang w:val="en-NZ"/>
        </w:rPr>
      </w:pPr>
    </w:p>
    <w:p w:rsidR="00385EC1" w:rsidRPr="00FD6D9B" w:rsidRDefault="00FD6D9B" w:rsidP="00197FD4">
      <w:pPr>
        <w:pStyle w:val="Text"/>
        <w:spacing w:before="0" w:after="0" w:line="240" w:lineRule="auto"/>
        <w:ind w:right="170"/>
        <w:rPr>
          <w:rFonts w:ascii="Times New Roman" w:hAnsi="Times New Roman"/>
          <w:sz w:val="24"/>
          <w:szCs w:val="24"/>
          <w:lang w:val="en-NZ"/>
        </w:rPr>
      </w:pPr>
      <w:r w:rsidRPr="00FD6D9B">
        <w:rPr>
          <w:rFonts w:ascii="Times New Roman" w:hAnsi="Times New Roman"/>
          <w:sz w:val="24"/>
          <w:szCs w:val="24"/>
          <w:lang w:val="en-NZ"/>
        </w:rPr>
        <w:t>Targeted</w:t>
      </w:r>
      <w:r>
        <w:rPr>
          <w:rFonts w:ascii="Times New Roman" w:hAnsi="Times New Roman"/>
          <w:sz w:val="24"/>
          <w:szCs w:val="24"/>
          <w:lang w:val="en-NZ"/>
        </w:rPr>
        <w:t xml:space="preserve"> consultation was undertaken with Chartered Accountants Australia and New Zealand, Corporate Taxpayers Group, New Zealand Bankers’ Association and the New Zealand Law Society, who represent the majority of those affected by the requirement.  All respondent</w:t>
      </w:r>
      <w:r w:rsidR="00EE6F84">
        <w:rPr>
          <w:rFonts w:ascii="Times New Roman" w:hAnsi="Times New Roman"/>
          <w:sz w:val="24"/>
          <w:szCs w:val="24"/>
          <w:lang w:val="en-NZ"/>
        </w:rPr>
        <w:t xml:space="preserve">s have welcomed the review.  </w:t>
      </w:r>
      <w:r>
        <w:rPr>
          <w:rFonts w:ascii="Times New Roman" w:hAnsi="Times New Roman"/>
          <w:sz w:val="24"/>
          <w:szCs w:val="24"/>
          <w:lang w:val="en-NZ"/>
        </w:rPr>
        <w:t>There was no support for the status quo and all submitters supported reform.  Evidence of further examples where the bank account requirement is causing difficulties ha</w:t>
      </w:r>
      <w:r w:rsidR="00FB7973">
        <w:rPr>
          <w:rFonts w:ascii="Times New Roman" w:hAnsi="Times New Roman"/>
          <w:sz w:val="24"/>
          <w:szCs w:val="24"/>
          <w:lang w:val="en-NZ"/>
        </w:rPr>
        <w:t>s</w:t>
      </w:r>
      <w:r>
        <w:rPr>
          <w:rFonts w:ascii="Times New Roman" w:hAnsi="Times New Roman"/>
          <w:sz w:val="24"/>
          <w:szCs w:val="24"/>
          <w:lang w:val="en-NZ"/>
        </w:rPr>
        <w:t xml:space="preserve"> been provided.</w:t>
      </w:r>
    </w:p>
    <w:p w:rsidR="004342F0" w:rsidRPr="004342F0" w:rsidRDefault="004342F0" w:rsidP="009A23EE">
      <w:pPr>
        <w:pStyle w:val="Text"/>
        <w:spacing w:before="0" w:after="0" w:line="240" w:lineRule="auto"/>
        <w:ind w:right="170"/>
        <w:rPr>
          <w:rFonts w:ascii="Times New Roman" w:hAnsi="Times New Roman"/>
          <w:sz w:val="24"/>
          <w:szCs w:val="24"/>
          <w:lang w:val="en-NZ"/>
        </w:rPr>
      </w:pPr>
    </w:p>
    <w:p w:rsidR="00385EC1" w:rsidRDefault="00385EC1" w:rsidP="009A23EE">
      <w:pPr>
        <w:pStyle w:val="Text"/>
        <w:spacing w:before="0" w:after="0" w:line="240" w:lineRule="auto"/>
        <w:ind w:right="170"/>
        <w:rPr>
          <w:rFonts w:ascii="Times New Roman" w:hAnsi="Times New Roman"/>
          <w:sz w:val="24"/>
          <w:szCs w:val="24"/>
          <w:lang w:val="en-NZ"/>
        </w:rPr>
      </w:pPr>
    </w:p>
    <w:p w:rsidR="00EE6F84" w:rsidRPr="004342F0" w:rsidRDefault="00EE6F84" w:rsidP="009A23EE">
      <w:pPr>
        <w:pStyle w:val="Text"/>
        <w:spacing w:before="0" w:after="0" w:line="240" w:lineRule="auto"/>
        <w:ind w:right="170"/>
        <w:rPr>
          <w:rFonts w:ascii="Times New Roman" w:hAnsi="Times New Roman"/>
          <w:sz w:val="24"/>
          <w:szCs w:val="24"/>
          <w:lang w:val="en-NZ"/>
        </w:rPr>
      </w:pPr>
    </w:p>
    <w:p w:rsidR="00085660" w:rsidRPr="004342F0" w:rsidRDefault="00085660" w:rsidP="009A23EE">
      <w:pPr>
        <w:pStyle w:val="Text"/>
        <w:spacing w:before="0" w:after="0" w:line="240" w:lineRule="auto"/>
        <w:ind w:right="170"/>
        <w:rPr>
          <w:rFonts w:ascii="Times New Roman" w:hAnsi="Times New Roman"/>
          <w:sz w:val="24"/>
          <w:szCs w:val="24"/>
          <w:lang w:val="en-NZ"/>
        </w:rPr>
      </w:pPr>
    </w:p>
    <w:p w:rsidR="00085660" w:rsidRPr="004342F0" w:rsidRDefault="00F41A97"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Peter Frawley</w:t>
      </w:r>
    </w:p>
    <w:p w:rsidR="009F7B9A" w:rsidRPr="004342F0" w:rsidRDefault="00F41A97"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w:t>
      </w:r>
      <w:r w:rsidR="005A62E6">
        <w:rPr>
          <w:rFonts w:ascii="Times New Roman" w:hAnsi="Times New Roman"/>
          <w:sz w:val="24"/>
          <w:szCs w:val="24"/>
          <w:lang w:val="en-NZ"/>
        </w:rPr>
        <w:t>, Policy and Strategy</w:t>
      </w:r>
    </w:p>
    <w:p w:rsidR="001C6912" w:rsidRPr="004342F0" w:rsidRDefault="001C6912" w:rsidP="004342F0">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rsidR="000545DC" w:rsidRPr="004342F0" w:rsidRDefault="000545DC" w:rsidP="0043388D">
      <w:pPr>
        <w:pStyle w:val="Text"/>
        <w:tabs>
          <w:tab w:val="left" w:pos="567"/>
        </w:tabs>
        <w:spacing w:before="0" w:after="0" w:line="240" w:lineRule="auto"/>
        <w:ind w:right="170" w:firstLine="567"/>
        <w:rPr>
          <w:rFonts w:ascii="Times New Roman" w:hAnsi="Times New Roman"/>
          <w:sz w:val="24"/>
          <w:szCs w:val="24"/>
          <w:lang w:val="en-NZ"/>
        </w:rPr>
      </w:pPr>
    </w:p>
    <w:p w:rsidR="000545DC" w:rsidRPr="004342F0" w:rsidRDefault="000337D9" w:rsidP="004342F0">
      <w:pPr>
        <w:pStyle w:val="Text"/>
        <w:tabs>
          <w:tab w:val="left" w:pos="567"/>
        </w:tabs>
        <w:spacing w:before="0" w:after="0" w:line="240" w:lineRule="auto"/>
        <w:ind w:right="170"/>
        <w:rPr>
          <w:rFonts w:ascii="Times New Roman" w:hAnsi="Times New Roman"/>
          <w:sz w:val="24"/>
          <w:szCs w:val="24"/>
          <w:lang w:val="en-NZ"/>
        </w:rPr>
      </w:pPr>
      <w:r w:rsidRPr="005161C3">
        <w:rPr>
          <w:rFonts w:ascii="Times New Roman" w:hAnsi="Times New Roman"/>
          <w:sz w:val="24"/>
          <w:szCs w:val="24"/>
          <w:lang w:val="en-NZ"/>
        </w:rPr>
        <w:t>30</w:t>
      </w:r>
      <w:r w:rsidR="00FB7973" w:rsidRPr="005161C3">
        <w:rPr>
          <w:rFonts w:ascii="Times New Roman" w:hAnsi="Times New Roman"/>
          <w:sz w:val="24"/>
          <w:szCs w:val="24"/>
          <w:lang w:val="en-NZ"/>
        </w:rPr>
        <w:t xml:space="preserve"> November </w:t>
      </w:r>
      <w:r w:rsidR="00F41A97" w:rsidRPr="005161C3">
        <w:rPr>
          <w:rFonts w:ascii="Times New Roman" w:hAnsi="Times New Roman"/>
          <w:sz w:val="24"/>
          <w:szCs w:val="24"/>
          <w:lang w:val="en-NZ"/>
        </w:rPr>
        <w:t>2016</w:t>
      </w:r>
    </w:p>
    <w:p w:rsidR="000545DC" w:rsidRPr="004342F0" w:rsidRDefault="001C6912" w:rsidP="004342F0">
      <w:pPr>
        <w:pStyle w:val="RISheading"/>
        <w:rPr>
          <w:spacing w:val="0"/>
          <w:w w:val="100"/>
        </w:rPr>
      </w:pPr>
      <w:bookmarkStart w:id="7" w:name="_Toc244580363"/>
      <w:bookmarkStart w:id="8" w:name="_Toc244587039"/>
      <w:bookmarkStart w:id="9" w:name="_Toc244857273"/>
      <w:bookmarkStart w:id="10" w:name="_Toc244912538"/>
      <w:bookmarkStart w:id="11" w:name="_Toc244916995"/>
      <w:r w:rsidRPr="004342F0">
        <w:rPr>
          <w:spacing w:val="0"/>
          <w:w w:val="100"/>
        </w:rPr>
        <w:br w:type="page"/>
      </w:r>
      <w:r w:rsidRPr="004342F0">
        <w:rPr>
          <w:spacing w:val="0"/>
          <w:w w:val="100"/>
        </w:rPr>
        <w:lastRenderedPageBreak/>
        <w:t>STATUS QUO AND PROBLEM DEFINITION</w:t>
      </w:r>
      <w:bookmarkEnd w:id="7"/>
      <w:bookmarkEnd w:id="8"/>
      <w:bookmarkEnd w:id="9"/>
      <w:bookmarkEnd w:id="10"/>
      <w:bookmarkEnd w:id="11"/>
      <w:r w:rsidR="00B514AE">
        <w:rPr>
          <w:spacing w:val="0"/>
          <w:w w:val="100"/>
        </w:rPr>
        <w:t xml:space="preserve"> </w:t>
      </w:r>
    </w:p>
    <w:p w:rsidR="00772BEF" w:rsidRDefault="00772BEF" w:rsidP="00772BEF">
      <w:pPr>
        <w:pStyle w:val="Bullet-list"/>
        <w:spacing w:after="0" w:line="240" w:lineRule="auto"/>
        <w:ind w:left="0" w:firstLine="0"/>
        <w:jc w:val="both"/>
        <w:rPr>
          <w:rFonts w:ascii="Times New Roman" w:hAnsi="Times New Roman"/>
          <w:b/>
          <w:sz w:val="24"/>
          <w:szCs w:val="24"/>
        </w:rPr>
      </w:pPr>
      <w:r>
        <w:rPr>
          <w:rFonts w:ascii="Times New Roman" w:hAnsi="Times New Roman"/>
          <w:b/>
          <w:sz w:val="24"/>
          <w:szCs w:val="24"/>
        </w:rPr>
        <w:t>Introduction of the bank account requirement</w:t>
      </w:r>
    </w:p>
    <w:p w:rsidR="00772BEF" w:rsidRPr="00772BEF" w:rsidRDefault="00772BEF" w:rsidP="00772BEF">
      <w:pPr>
        <w:pStyle w:val="Bullet-list"/>
        <w:tabs>
          <w:tab w:val="num" w:pos="567"/>
        </w:tabs>
        <w:spacing w:after="0" w:line="240" w:lineRule="auto"/>
        <w:ind w:left="0" w:firstLine="0"/>
        <w:jc w:val="both"/>
        <w:rPr>
          <w:rFonts w:ascii="Times New Roman" w:hAnsi="Times New Roman"/>
          <w:b/>
          <w:sz w:val="24"/>
          <w:szCs w:val="24"/>
        </w:rPr>
      </w:pPr>
    </w:p>
    <w:p w:rsidR="0021506A" w:rsidRDefault="00F41A97" w:rsidP="00AA28B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A law change effective from 1 October 2015 requires all offshore persons to provide</w:t>
      </w:r>
      <w:r w:rsidR="00197FD4">
        <w:rPr>
          <w:rFonts w:ascii="Times New Roman" w:hAnsi="Times New Roman"/>
          <w:sz w:val="24"/>
          <w:szCs w:val="24"/>
        </w:rPr>
        <w:t xml:space="preserve"> evidence</w:t>
      </w:r>
      <w:r w:rsidR="007B2AD6">
        <w:rPr>
          <w:rFonts w:ascii="Times New Roman" w:hAnsi="Times New Roman"/>
          <w:sz w:val="24"/>
          <w:szCs w:val="24"/>
        </w:rPr>
        <w:t xml:space="preserve"> of</w:t>
      </w:r>
      <w:r>
        <w:rPr>
          <w:rFonts w:ascii="Times New Roman" w:hAnsi="Times New Roman"/>
          <w:sz w:val="24"/>
          <w:szCs w:val="24"/>
        </w:rPr>
        <w:t xml:space="preserve"> a current New Zealand bank account </w:t>
      </w:r>
      <w:r w:rsidR="00197FD4">
        <w:rPr>
          <w:rFonts w:ascii="Times New Roman" w:hAnsi="Times New Roman"/>
          <w:sz w:val="24"/>
          <w:szCs w:val="24"/>
        </w:rPr>
        <w:t>before an IRD number can be issued to them</w:t>
      </w:r>
      <w:r w:rsidR="00FB7973">
        <w:rPr>
          <w:rFonts w:ascii="Times New Roman" w:hAnsi="Times New Roman"/>
          <w:sz w:val="24"/>
          <w:szCs w:val="24"/>
        </w:rPr>
        <w:t>.</w:t>
      </w:r>
      <w:r>
        <w:rPr>
          <w:rFonts w:ascii="Times New Roman" w:hAnsi="Times New Roman"/>
          <w:sz w:val="24"/>
          <w:szCs w:val="24"/>
        </w:rPr>
        <w:t xml:space="preserve"> </w:t>
      </w:r>
      <w:r w:rsidR="0021506A">
        <w:rPr>
          <w:rFonts w:ascii="Times New Roman" w:hAnsi="Times New Roman"/>
          <w:sz w:val="24"/>
          <w:szCs w:val="24"/>
        </w:rPr>
        <w:t xml:space="preserve">This </w:t>
      </w:r>
      <w:r w:rsidR="00890F1B">
        <w:rPr>
          <w:rFonts w:ascii="Times New Roman" w:hAnsi="Times New Roman"/>
          <w:sz w:val="24"/>
          <w:szCs w:val="24"/>
        </w:rPr>
        <w:t xml:space="preserve">requirement </w:t>
      </w:r>
      <w:r w:rsidR="0021506A">
        <w:rPr>
          <w:rFonts w:ascii="Times New Roman" w:hAnsi="Times New Roman"/>
          <w:sz w:val="24"/>
          <w:szCs w:val="24"/>
        </w:rPr>
        <w:t xml:space="preserve">was </w:t>
      </w:r>
      <w:r w:rsidR="00890F1B">
        <w:rPr>
          <w:rFonts w:ascii="Times New Roman" w:hAnsi="Times New Roman"/>
          <w:sz w:val="24"/>
          <w:szCs w:val="24"/>
        </w:rPr>
        <w:t>brought in</w:t>
      </w:r>
      <w:r w:rsidR="0021506A">
        <w:rPr>
          <w:rFonts w:ascii="Times New Roman" w:hAnsi="Times New Roman"/>
          <w:sz w:val="24"/>
          <w:szCs w:val="24"/>
        </w:rPr>
        <w:t xml:space="preserve"> as part of a suite of initiatives announced in</w:t>
      </w:r>
      <w:r w:rsidR="007B2AD6">
        <w:rPr>
          <w:rFonts w:ascii="Times New Roman" w:hAnsi="Times New Roman"/>
          <w:sz w:val="24"/>
          <w:szCs w:val="24"/>
        </w:rPr>
        <w:t xml:space="preserve"> </w:t>
      </w:r>
      <w:r w:rsidR="0021506A">
        <w:rPr>
          <w:rFonts w:ascii="Times New Roman" w:hAnsi="Times New Roman"/>
          <w:sz w:val="24"/>
          <w:szCs w:val="24"/>
        </w:rPr>
        <w:t xml:space="preserve">Budget 2015 related to property transactions and </w:t>
      </w:r>
      <w:r w:rsidR="00DE1D73">
        <w:rPr>
          <w:rFonts w:ascii="Times New Roman" w:hAnsi="Times New Roman"/>
          <w:sz w:val="24"/>
          <w:szCs w:val="24"/>
        </w:rPr>
        <w:t xml:space="preserve">to </w:t>
      </w:r>
      <w:r w:rsidR="0021506A">
        <w:rPr>
          <w:rFonts w:ascii="Times New Roman" w:hAnsi="Times New Roman"/>
          <w:sz w:val="24"/>
          <w:szCs w:val="24"/>
        </w:rPr>
        <w:t>assist Inland Revenue in enforcing compliance with these rules.</w:t>
      </w:r>
    </w:p>
    <w:p w:rsidR="0021506A" w:rsidRDefault="0021506A" w:rsidP="0021506A">
      <w:pPr>
        <w:pStyle w:val="Bullet-list"/>
        <w:tabs>
          <w:tab w:val="num" w:pos="567"/>
        </w:tabs>
        <w:spacing w:after="0" w:line="240" w:lineRule="auto"/>
        <w:ind w:left="0" w:firstLine="0"/>
        <w:jc w:val="both"/>
        <w:rPr>
          <w:rFonts w:ascii="Times New Roman" w:hAnsi="Times New Roman"/>
          <w:sz w:val="24"/>
          <w:szCs w:val="24"/>
        </w:rPr>
      </w:pPr>
    </w:p>
    <w:p w:rsidR="00197FD4" w:rsidRPr="00197FD4" w:rsidRDefault="0021506A" w:rsidP="00EA7761">
      <w:pPr>
        <w:pStyle w:val="Bullet-list"/>
        <w:numPr>
          <w:ilvl w:val="0"/>
          <w:numId w:val="3"/>
        </w:numPr>
        <w:tabs>
          <w:tab w:val="clear" w:pos="720"/>
          <w:tab w:val="num" w:pos="567"/>
        </w:tabs>
        <w:spacing w:line="240" w:lineRule="auto"/>
        <w:ind w:left="0" w:firstLine="0"/>
        <w:jc w:val="both"/>
        <w:rPr>
          <w:rFonts w:ascii="Times New Roman" w:hAnsi="Times New Roman"/>
          <w:sz w:val="24"/>
          <w:szCs w:val="24"/>
        </w:rPr>
      </w:pPr>
      <w:r>
        <w:rPr>
          <w:rFonts w:ascii="Times New Roman" w:hAnsi="Times New Roman"/>
          <w:sz w:val="24"/>
          <w:szCs w:val="24"/>
        </w:rPr>
        <w:t>The</w:t>
      </w:r>
      <w:r w:rsidR="004B562C">
        <w:rPr>
          <w:rFonts w:ascii="Times New Roman" w:hAnsi="Times New Roman"/>
          <w:sz w:val="24"/>
          <w:szCs w:val="24"/>
        </w:rPr>
        <w:t xml:space="preserve"> Budget 2015 property changes</w:t>
      </w:r>
      <w:r>
        <w:rPr>
          <w:rFonts w:ascii="Times New Roman" w:hAnsi="Times New Roman"/>
          <w:sz w:val="24"/>
          <w:szCs w:val="24"/>
        </w:rPr>
        <w:t xml:space="preserve"> included:</w:t>
      </w:r>
    </w:p>
    <w:p w:rsidR="0021506A" w:rsidRDefault="0021506A" w:rsidP="00EA7761">
      <w:pPr>
        <w:pStyle w:val="Bullet-list"/>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Requiring all parties to a property transaction to provide an IRD number to Land Information New Zealand as </w:t>
      </w:r>
      <w:r w:rsidR="00E57EBE">
        <w:rPr>
          <w:rFonts w:ascii="Times New Roman" w:hAnsi="Times New Roman"/>
          <w:sz w:val="24"/>
          <w:szCs w:val="24"/>
        </w:rPr>
        <w:t>part of the transaction process</w:t>
      </w:r>
      <w:r w:rsidR="00890F1B">
        <w:rPr>
          <w:rFonts w:ascii="Times New Roman" w:hAnsi="Times New Roman"/>
          <w:sz w:val="24"/>
          <w:szCs w:val="24"/>
        </w:rPr>
        <w:t xml:space="preserve"> (unless subject to an exemption)</w:t>
      </w:r>
    </w:p>
    <w:p w:rsidR="0021506A" w:rsidRDefault="0021506A" w:rsidP="00EA7761">
      <w:pPr>
        <w:pStyle w:val="Bullet-list"/>
        <w:numPr>
          <w:ilvl w:val="0"/>
          <w:numId w:val="23"/>
        </w:numPr>
        <w:spacing w:line="240" w:lineRule="auto"/>
        <w:jc w:val="both"/>
        <w:rPr>
          <w:rFonts w:ascii="Times New Roman" w:hAnsi="Times New Roman"/>
          <w:sz w:val="24"/>
          <w:szCs w:val="24"/>
        </w:rPr>
      </w:pPr>
      <w:r>
        <w:rPr>
          <w:rFonts w:ascii="Times New Roman" w:hAnsi="Times New Roman"/>
          <w:sz w:val="24"/>
          <w:szCs w:val="24"/>
        </w:rPr>
        <w:t>Requiring all offshore persons to provide evidence of a functioning New Zealand bank account before obtaining an IRD number</w:t>
      </w:r>
    </w:p>
    <w:p w:rsidR="0021506A" w:rsidRDefault="0021506A" w:rsidP="00EA7761">
      <w:pPr>
        <w:pStyle w:val="Bullet-list"/>
        <w:numPr>
          <w:ilvl w:val="0"/>
          <w:numId w:val="23"/>
        </w:numPr>
        <w:spacing w:line="240" w:lineRule="auto"/>
        <w:jc w:val="both"/>
        <w:rPr>
          <w:rFonts w:ascii="Times New Roman" w:hAnsi="Times New Roman"/>
          <w:sz w:val="24"/>
          <w:szCs w:val="24"/>
        </w:rPr>
      </w:pPr>
      <w:r>
        <w:rPr>
          <w:rFonts w:ascii="Times New Roman" w:hAnsi="Times New Roman"/>
          <w:sz w:val="24"/>
          <w:szCs w:val="24"/>
        </w:rPr>
        <w:t>The two year bright-line test for sales of residential property</w:t>
      </w:r>
    </w:p>
    <w:p w:rsidR="00833876" w:rsidRPr="005945E6" w:rsidRDefault="0021506A" w:rsidP="005945E6">
      <w:pPr>
        <w:pStyle w:val="Bullet-list"/>
        <w:numPr>
          <w:ilvl w:val="0"/>
          <w:numId w:val="23"/>
        </w:numPr>
        <w:spacing w:line="240" w:lineRule="auto"/>
        <w:jc w:val="both"/>
        <w:rPr>
          <w:rFonts w:ascii="Times New Roman" w:hAnsi="Times New Roman"/>
          <w:sz w:val="24"/>
          <w:szCs w:val="24"/>
        </w:rPr>
      </w:pPr>
      <w:r>
        <w:rPr>
          <w:rFonts w:ascii="Times New Roman" w:hAnsi="Times New Roman"/>
          <w:sz w:val="24"/>
          <w:szCs w:val="24"/>
        </w:rPr>
        <w:t>Residential land withholding tax</w:t>
      </w:r>
    </w:p>
    <w:p w:rsidR="00833876" w:rsidRDefault="00833876" w:rsidP="00EA7761">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833876">
        <w:rPr>
          <w:rFonts w:ascii="Times New Roman" w:hAnsi="Times New Roman"/>
          <w:sz w:val="24"/>
          <w:szCs w:val="24"/>
        </w:rPr>
        <w:t>The bank account requirement has proved to be difficult to comply with for a number of offshore persons. As the</w:t>
      </w:r>
      <w:r w:rsidRPr="00EA7761">
        <w:rPr>
          <w:rFonts w:ascii="Times New Roman" w:hAnsi="Times New Roman"/>
          <w:sz w:val="24"/>
          <w:szCs w:val="24"/>
        </w:rPr>
        <w:t xml:space="preserve">se offshore persons find it difficult or impossible to comply with the requirement, they are unable to get an IRD number, and in many cases to account for their New Zealand tax liability. </w:t>
      </w:r>
    </w:p>
    <w:p w:rsidR="00833876" w:rsidRPr="00833876" w:rsidRDefault="00833876" w:rsidP="00EA7761">
      <w:pPr>
        <w:pStyle w:val="Bullet-list"/>
        <w:spacing w:after="0" w:line="240" w:lineRule="auto"/>
        <w:ind w:left="0" w:firstLine="0"/>
        <w:jc w:val="both"/>
        <w:rPr>
          <w:rFonts w:ascii="Times New Roman" w:hAnsi="Times New Roman"/>
          <w:sz w:val="24"/>
          <w:szCs w:val="24"/>
        </w:rPr>
      </w:pPr>
    </w:p>
    <w:p w:rsidR="00833876" w:rsidRDefault="00833876" w:rsidP="00EA7761">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bank account requirement can also affect sales of New Zealand property owned by offshore persons. </w:t>
      </w:r>
      <w:r w:rsidR="00EE6F84">
        <w:rPr>
          <w:rFonts w:ascii="Times New Roman" w:hAnsi="Times New Roman"/>
          <w:sz w:val="24"/>
          <w:szCs w:val="24"/>
        </w:rPr>
        <w:t xml:space="preserve"> </w:t>
      </w:r>
      <w:r>
        <w:rPr>
          <w:rFonts w:ascii="Times New Roman" w:hAnsi="Times New Roman"/>
          <w:sz w:val="24"/>
          <w:szCs w:val="24"/>
        </w:rPr>
        <w:t>Land Information New Zealand requires an IRD number to be provided</w:t>
      </w:r>
      <w:r w:rsidR="00E909D5">
        <w:rPr>
          <w:rFonts w:ascii="Times New Roman" w:hAnsi="Times New Roman"/>
          <w:sz w:val="24"/>
          <w:szCs w:val="24"/>
        </w:rPr>
        <w:t xml:space="preserve"> for all</w:t>
      </w:r>
      <w:r>
        <w:rPr>
          <w:rFonts w:ascii="Times New Roman" w:hAnsi="Times New Roman"/>
          <w:sz w:val="24"/>
          <w:szCs w:val="24"/>
        </w:rPr>
        <w:t xml:space="preserve"> property transfers, unless the transfer is subject to an exemption. This is one of </w:t>
      </w:r>
      <w:r w:rsidR="00E909D5">
        <w:rPr>
          <w:rFonts w:ascii="Times New Roman" w:hAnsi="Times New Roman"/>
          <w:sz w:val="24"/>
          <w:szCs w:val="24"/>
        </w:rPr>
        <w:t xml:space="preserve">the </w:t>
      </w:r>
      <w:r>
        <w:rPr>
          <w:rFonts w:ascii="Times New Roman" w:hAnsi="Times New Roman"/>
          <w:sz w:val="24"/>
          <w:szCs w:val="24"/>
        </w:rPr>
        <w:t>Budget 2015 property changes noted above.</w:t>
      </w:r>
    </w:p>
    <w:p w:rsidR="00833876" w:rsidRDefault="00833876" w:rsidP="00EA7761">
      <w:pPr>
        <w:pStyle w:val="ListParagraph"/>
        <w:rPr>
          <w:rFonts w:ascii="Times New Roman" w:hAnsi="Times New Roman"/>
          <w:sz w:val="24"/>
          <w:szCs w:val="24"/>
        </w:rPr>
      </w:pPr>
    </w:p>
    <w:p w:rsidR="00833876" w:rsidRDefault="00833876" w:rsidP="00EA7761">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number of offshore persons may require an IRD number </w:t>
      </w:r>
      <w:r w:rsidR="00EA7761">
        <w:rPr>
          <w:rFonts w:ascii="Times New Roman" w:hAnsi="Times New Roman"/>
          <w:sz w:val="24"/>
          <w:szCs w:val="24"/>
        </w:rPr>
        <w:t>to be processed urgently or without delay</w:t>
      </w:r>
      <w:r>
        <w:rPr>
          <w:rFonts w:ascii="Times New Roman" w:hAnsi="Times New Roman"/>
          <w:sz w:val="24"/>
          <w:szCs w:val="24"/>
        </w:rPr>
        <w:t>s</w:t>
      </w:r>
      <w:r w:rsidR="00EA7761">
        <w:rPr>
          <w:rFonts w:ascii="Times New Roman" w:hAnsi="Times New Roman"/>
          <w:sz w:val="24"/>
          <w:szCs w:val="24"/>
        </w:rPr>
        <w:t>,</w:t>
      </w:r>
      <w:r>
        <w:rPr>
          <w:rFonts w:ascii="Times New Roman" w:hAnsi="Times New Roman"/>
          <w:sz w:val="24"/>
          <w:szCs w:val="24"/>
        </w:rPr>
        <w:t xml:space="preserve"> </w:t>
      </w:r>
      <w:r w:rsidR="00EA7761">
        <w:rPr>
          <w:rFonts w:ascii="Times New Roman" w:hAnsi="Times New Roman"/>
          <w:sz w:val="24"/>
          <w:szCs w:val="24"/>
        </w:rPr>
        <w:t>in order to meet their</w:t>
      </w:r>
      <w:r w:rsidR="00E909D5">
        <w:rPr>
          <w:rFonts w:ascii="Times New Roman" w:hAnsi="Times New Roman"/>
          <w:sz w:val="24"/>
          <w:szCs w:val="24"/>
        </w:rPr>
        <w:t xml:space="preserve"> New Zealand tax </w:t>
      </w:r>
      <w:r w:rsidR="00595852">
        <w:rPr>
          <w:rFonts w:ascii="Times New Roman" w:hAnsi="Times New Roman"/>
          <w:sz w:val="24"/>
          <w:szCs w:val="24"/>
        </w:rPr>
        <w:t>obligations</w:t>
      </w:r>
      <w:r w:rsidRPr="003B3207">
        <w:rPr>
          <w:rFonts w:ascii="Times New Roman" w:hAnsi="Times New Roman"/>
          <w:sz w:val="24"/>
          <w:szCs w:val="24"/>
        </w:rPr>
        <w:t xml:space="preserve"> on time.</w:t>
      </w:r>
    </w:p>
    <w:p w:rsidR="00833876" w:rsidRDefault="00833876" w:rsidP="00EA7761">
      <w:pPr>
        <w:pStyle w:val="ListParagraph"/>
        <w:rPr>
          <w:rFonts w:ascii="Times New Roman" w:hAnsi="Times New Roman"/>
          <w:sz w:val="24"/>
          <w:szCs w:val="24"/>
        </w:rPr>
      </w:pPr>
    </w:p>
    <w:p w:rsidR="00EA7761" w:rsidRDefault="00EA7761" w:rsidP="00EA7761">
      <w:pPr>
        <w:pStyle w:val="Bullet-list"/>
        <w:spacing w:line="240" w:lineRule="auto"/>
        <w:jc w:val="both"/>
        <w:rPr>
          <w:rFonts w:ascii="Times New Roman" w:hAnsi="Times New Roman"/>
          <w:sz w:val="24"/>
          <w:szCs w:val="24"/>
        </w:rPr>
      </w:pPr>
      <w:r w:rsidRPr="00EA7761">
        <w:rPr>
          <w:rFonts w:ascii="Times New Roman" w:hAnsi="Times New Roman"/>
          <w:b/>
          <w:sz w:val="24"/>
          <w:szCs w:val="24"/>
        </w:rPr>
        <w:t>An</w:t>
      </w:r>
      <w:r>
        <w:rPr>
          <w:rFonts w:ascii="Times New Roman" w:hAnsi="Times New Roman"/>
          <w:sz w:val="24"/>
          <w:szCs w:val="24"/>
        </w:rPr>
        <w:t xml:space="preserve"> “</w:t>
      </w:r>
      <w:r>
        <w:rPr>
          <w:rFonts w:ascii="Times New Roman" w:hAnsi="Times New Roman"/>
          <w:b/>
          <w:sz w:val="24"/>
          <w:szCs w:val="24"/>
        </w:rPr>
        <w:t>o</w:t>
      </w:r>
      <w:r w:rsidRPr="00EA7761">
        <w:rPr>
          <w:rFonts w:ascii="Times New Roman" w:hAnsi="Times New Roman"/>
          <w:b/>
          <w:sz w:val="24"/>
          <w:szCs w:val="24"/>
        </w:rPr>
        <w:t>ffshore person”</w:t>
      </w:r>
    </w:p>
    <w:p w:rsidR="00EF103C" w:rsidRDefault="00EF103C" w:rsidP="00AA28B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For the purposes of the bank account requirement an “offshore person” includes both individuals and non-individuals.</w:t>
      </w:r>
    </w:p>
    <w:p w:rsidR="00EF103C" w:rsidRDefault="00EF103C" w:rsidP="00EF103C">
      <w:pPr>
        <w:pStyle w:val="Bullet-list"/>
        <w:tabs>
          <w:tab w:val="num" w:pos="567"/>
        </w:tabs>
        <w:spacing w:after="0" w:line="240" w:lineRule="auto"/>
        <w:ind w:left="0" w:firstLine="0"/>
        <w:jc w:val="both"/>
        <w:rPr>
          <w:rFonts w:ascii="Times New Roman" w:hAnsi="Times New Roman"/>
          <w:sz w:val="24"/>
          <w:szCs w:val="24"/>
        </w:rPr>
      </w:pPr>
    </w:p>
    <w:p w:rsidR="00EF103C" w:rsidRDefault="00EF103C" w:rsidP="004B562C">
      <w:pPr>
        <w:pStyle w:val="Bullet-list"/>
        <w:numPr>
          <w:ilvl w:val="0"/>
          <w:numId w:val="3"/>
        </w:numPr>
        <w:tabs>
          <w:tab w:val="clear" w:pos="720"/>
          <w:tab w:val="num" w:pos="567"/>
        </w:tabs>
        <w:spacing w:line="240" w:lineRule="auto"/>
        <w:ind w:left="0" w:firstLine="0"/>
        <w:jc w:val="both"/>
        <w:rPr>
          <w:rFonts w:ascii="Times New Roman" w:hAnsi="Times New Roman"/>
          <w:sz w:val="24"/>
          <w:szCs w:val="24"/>
        </w:rPr>
      </w:pPr>
      <w:r>
        <w:rPr>
          <w:rFonts w:ascii="Times New Roman" w:hAnsi="Times New Roman"/>
          <w:sz w:val="24"/>
          <w:szCs w:val="24"/>
        </w:rPr>
        <w:t>An individual is an offshore person if they are:</w:t>
      </w:r>
    </w:p>
    <w:p w:rsidR="00197FD4" w:rsidRPr="004B562C" w:rsidRDefault="00197FD4" w:rsidP="004B562C">
      <w:pPr>
        <w:pStyle w:val="Bullet-list"/>
        <w:numPr>
          <w:ilvl w:val="0"/>
          <w:numId w:val="22"/>
        </w:numPr>
        <w:spacing w:line="240" w:lineRule="auto"/>
        <w:jc w:val="both"/>
        <w:rPr>
          <w:rFonts w:ascii="Times New Roman" w:hAnsi="Times New Roman"/>
          <w:sz w:val="24"/>
          <w:szCs w:val="24"/>
        </w:rPr>
      </w:pPr>
      <w:r w:rsidRPr="004B562C">
        <w:rPr>
          <w:rFonts w:ascii="Times New Roman" w:hAnsi="Times New Roman"/>
          <w:sz w:val="24"/>
          <w:szCs w:val="24"/>
        </w:rPr>
        <w:t>not a New Zealand citizen and do not hold a residence class visa granted</w:t>
      </w:r>
      <w:r w:rsidR="00E909D5">
        <w:rPr>
          <w:rFonts w:ascii="Times New Roman" w:hAnsi="Times New Roman"/>
          <w:sz w:val="24"/>
          <w:szCs w:val="24"/>
        </w:rPr>
        <w:t xml:space="preserve"> under the Immigration Act 2009;</w:t>
      </w:r>
      <w:r w:rsidRPr="004B562C">
        <w:rPr>
          <w:rFonts w:ascii="Times New Roman" w:hAnsi="Times New Roman"/>
          <w:sz w:val="24"/>
          <w:szCs w:val="24"/>
        </w:rPr>
        <w:t xml:space="preserve"> or</w:t>
      </w:r>
    </w:p>
    <w:p w:rsidR="00197FD4" w:rsidRPr="004B562C" w:rsidRDefault="00197FD4" w:rsidP="004B562C">
      <w:pPr>
        <w:pStyle w:val="Bullet-list"/>
        <w:numPr>
          <w:ilvl w:val="0"/>
          <w:numId w:val="22"/>
        </w:numPr>
        <w:spacing w:line="240" w:lineRule="auto"/>
        <w:jc w:val="both"/>
        <w:rPr>
          <w:rFonts w:ascii="Times New Roman" w:hAnsi="Times New Roman"/>
          <w:sz w:val="24"/>
          <w:szCs w:val="24"/>
        </w:rPr>
      </w:pPr>
      <w:r w:rsidRPr="004B562C">
        <w:rPr>
          <w:rFonts w:ascii="Times New Roman" w:hAnsi="Times New Roman"/>
          <w:sz w:val="24"/>
          <w:szCs w:val="24"/>
        </w:rPr>
        <w:t xml:space="preserve">a New Zealand citizen who is outside New Zealand and has not been in New Zealand </w:t>
      </w:r>
      <w:r w:rsidR="00EE6F84">
        <w:rPr>
          <w:rFonts w:ascii="Times New Roman" w:hAnsi="Times New Roman"/>
          <w:sz w:val="24"/>
          <w:szCs w:val="24"/>
        </w:rPr>
        <w:t>within</w:t>
      </w:r>
      <w:r w:rsidRPr="004B562C">
        <w:rPr>
          <w:rFonts w:ascii="Times New Roman" w:hAnsi="Times New Roman"/>
          <w:sz w:val="24"/>
          <w:szCs w:val="24"/>
        </w:rPr>
        <w:t xml:space="preserve"> the last 3 yea</w:t>
      </w:r>
      <w:r w:rsidR="00E909D5">
        <w:rPr>
          <w:rFonts w:ascii="Times New Roman" w:hAnsi="Times New Roman"/>
          <w:sz w:val="24"/>
          <w:szCs w:val="24"/>
        </w:rPr>
        <w:t>rs;</w:t>
      </w:r>
      <w:r w:rsidRPr="004B562C">
        <w:rPr>
          <w:rFonts w:ascii="Times New Roman" w:hAnsi="Times New Roman"/>
          <w:sz w:val="24"/>
          <w:szCs w:val="24"/>
        </w:rPr>
        <w:t xml:space="preserve"> or</w:t>
      </w:r>
    </w:p>
    <w:p w:rsidR="004B562C" w:rsidRPr="00EA7761" w:rsidRDefault="00197FD4" w:rsidP="00E909D5">
      <w:pPr>
        <w:pStyle w:val="Bullet-list"/>
        <w:numPr>
          <w:ilvl w:val="0"/>
          <w:numId w:val="22"/>
        </w:numPr>
        <w:spacing w:line="240" w:lineRule="auto"/>
        <w:jc w:val="both"/>
        <w:rPr>
          <w:lang w:val="en-GB" w:eastAsia="en-GB"/>
        </w:rPr>
      </w:pPr>
      <w:r w:rsidRPr="004B562C">
        <w:rPr>
          <w:rFonts w:ascii="Times New Roman" w:hAnsi="Times New Roman"/>
          <w:sz w:val="24"/>
          <w:szCs w:val="24"/>
        </w:rPr>
        <w:t xml:space="preserve">a holder of a residence class visa granted under the </w:t>
      </w:r>
      <w:bookmarkStart w:id="12" w:name="DLM1440300"/>
      <w:bookmarkEnd w:id="12"/>
      <w:r w:rsidRPr="004B562C">
        <w:rPr>
          <w:rFonts w:ascii="Times New Roman" w:hAnsi="Times New Roman"/>
          <w:sz w:val="24"/>
          <w:szCs w:val="24"/>
        </w:rPr>
        <w:fldChar w:fldCharType="begin"/>
      </w:r>
      <w:r w:rsidRPr="004B562C">
        <w:rPr>
          <w:rFonts w:ascii="Times New Roman" w:hAnsi="Times New Roman"/>
          <w:sz w:val="24"/>
          <w:szCs w:val="24"/>
        </w:rPr>
        <w:instrText xml:space="preserve"> HYPERLINK "http://www.legislation.govt.nz/act/public/1994/0166/latest/link.aspx?search=sw_096be8ed812dda87_offshore_25_se&amp;p=1&amp;id=DLM1440300" \l "DLM1440300" </w:instrText>
      </w:r>
      <w:r w:rsidRPr="004B562C">
        <w:rPr>
          <w:rFonts w:ascii="Times New Roman" w:hAnsi="Times New Roman"/>
          <w:sz w:val="24"/>
          <w:szCs w:val="24"/>
        </w:rPr>
        <w:fldChar w:fldCharType="separate"/>
      </w:r>
      <w:r w:rsidRPr="004B562C">
        <w:rPr>
          <w:rFonts w:ascii="Times New Roman" w:hAnsi="Times New Roman"/>
          <w:sz w:val="24"/>
          <w:szCs w:val="24"/>
        </w:rPr>
        <w:t>Immigration Act</w:t>
      </w:r>
      <w:r w:rsidRPr="004B562C">
        <w:rPr>
          <w:rFonts w:ascii="Times New Roman" w:hAnsi="Times New Roman"/>
          <w:sz w:val="24"/>
          <w:szCs w:val="24"/>
        </w:rPr>
        <w:fldChar w:fldCharType="end"/>
      </w:r>
      <w:r w:rsidRPr="004B562C">
        <w:rPr>
          <w:rFonts w:ascii="Times New Roman" w:hAnsi="Times New Roman"/>
          <w:sz w:val="24"/>
          <w:szCs w:val="24"/>
        </w:rPr>
        <w:t xml:space="preserve"> 2009, who is outside New Zealand and has not been in New Zealand within the last 12 months.</w:t>
      </w:r>
    </w:p>
    <w:p w:rsidR="00436206" w:rsidRDefault="00436206" w:rsidP="00AA28B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A non-individual, such as a company or a trust, is an offshore person if they are 25% or more controlled or owned by an offshore person.</w:t>
      </w:r>
    </w:p>
    <w:p w:rsidR="00772BEF" w:rsidRDefault="00772BEF" w:rsidP="00772BEF">
      <w:pPr>
        <w:pStyle w:val="Bullet-list"/>
        <w:tabs>
          <w:tab w:val="num" w:pos="567"/>
        </w:tabs>
        <w:spacing w:after="0" w:line="240" w:lineRule="auto"/>
        <w:ind w:left="0" w:firstLine="0"/>
        <w:jc w:val="both"/>
        <w:rPr>
          <w:rFonts w:ascii="Times New Roman" w:hAnsi="Times New Roman"/>
          <w:sz w:val="24"/>
          <w:szCs w:val="24"/>
        </w:rPr>
      </w:pPr>
    </w:p>
    <w:p w:rsidR="00EA7761" w:rsidRDefault="00EA7761" w:rsidP="00735FB9">
      <w:pPr>
        <w:pStyle w:val="Bullet-list"/>
        <w:spacing w:line="240" w:lineRule="auto"/>
        <w:jc w:val="both"/>
        <w:rPr>
          <w:rFonts w:ascii="Times New Roman" w:hAnsi="Times New Roman"/>
          <w:sz w:val="24"/>
          <w:szCs w:val="24"/>
        </w:rPr>
      </w:pPr>
      <w:r w:rsidRPr="00735FB9">
        <w:rPr>
          <w:rFonts w:ascii="Times New Roman" w:hAnsi="Times New Roman"/>
          <w:b/>
          <w:sz w:val="24"/>
          <w:szCs w:val="24"/>
        </w:rPr>
        <w:lastRenderedPageBreak/>
        <w:t>Identity verification</w:t>
      </w:r>
    </w:p>
    <w:p w:rsidR="00772BEF" w:rsidRPr="00772BEF" w:rsidRDefault="007B2AD6" w:rsidP="00AA28B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lang w:val="en-GB"/>
        </w:rPr>
        <w:t>At the time the bank account requirement was introduced, t</w:t>
      </w:r>
      <w:r w:rsidR="00772BEF" w:rsidRPr="00772BEF">
        <w:rPr>
          <w:rFonts w:ascii="Times New Roman" w:hAnsi="Times New Roman"/>
          <w:sz w:val="24"/>
          <w:szCs w:val="24"/>
          <w:lang w:val="en-GB"/>
        </w:rPr>
        <w:t>he Government consider</w:t>
      </w:r>
      <w:r w:rsidR="00772BEF">
        <w:rPr>
          <w:rFonts w:ascii="Times New Roman" w:hAnsi="Times New Roman"/>
          <w:sz w:val="24"/>
          <w:szCs w:val="24"/>
          <w:lang w:val="en-GB"/>
        </w:rPr>
        <w:t>ed</w:t>
      </w:r>
      <w:r w:rsidR="00772BEF" w:rsidRPr="00772BEF">
        <w:rPr>
          <w:rFonts w:ascii="Times New Roman" w:hAnsi="Times New Roman"/>
          <w:sz w:val="24"/>
          <w:szCs w:val="24"/>
          <w:lang w:val="en-GB"/>
        </w:rPr>
        <w:t xml:space="preserve"> that requiring offshore persons to have a New Zealand bank account </w:t>
      </w:r>
      <w:r w:rsidR="00772BEF" w:rsidRPr="0043388D">
        <w:rPr>
          <w:rFonts w:ascii="Times New Roman" w:hAnsi="Times New Roman"/>
          <w:sz w:val="24"/>
          <w:szCs w:val="24"/>
          <w:lang w:val="en-GB"/>
        </w:rPr>
        <w:t xml:space="preserve">would </w:t>
      </w:r>
      <w:r w:rsidR="00772BEF" w:rsidRPr="00772BEF">
        <w:rPr>
          <w:rFonts w:ascii="Times New Roman" w:hAnsi="Times New Roman"/>
          <w:sz w:val="24"/>
          <w:szCs w:val="24"/>
          <w:lang w:val="en-GB"/>
        </w:rPr>
        <w:t>provid</w:t>
      </w:r>
      <w:r w:rsidR="00197FD4">
        <w:rPr>
          <w:rFonts w:ascii="Times New Roman" w:hAnsi="Times New Roman"/>
          <w:sz w:val="24"/>
          <w:szCs w:val="24"/>
          <w:lang w:val="en-GB"/>
        </w:rPr>
        <w:t>e</w:t>
      </w:r>
      <w:r w:rsidR="00772BEF" w:rsidRPr="00772BEF">
        <w:rPr>
          <w:rFonts w:ascii="Times New Roman" w:hAnsi="Times New Roman"/>
          <w:sz w:val="24"/>
          <w:szCs w:val="24"/>
          <w:lang w:val="en-GB"/>
        </w:rPr>
        <w:t xml:space="preserve"> Inland Revenue wi</w:t>
      </w:r>
      <w:r w:rsidR="00772BEF">
        <w:rPr>
          <w:rFonts w:ascii="Times New Roman" w:hAnsi="Times New Roman"/>
          <w:sz w:val="24"/>
          <w:szCs w:val="24"/>
          <w:lang w:val="en-GB"/>
        </w:rPr>
        <w:t>th confidence that it knew</w:t>
      </w:r>
      <w:r w:rsidR="00772BEF" w:rsidRPr="00772BEF">
        <w:rPr>
          <w:rFonts w:ascii="Times New Roman" w:hAnsi="Times New Roman"/>
          <w:sz w:val="24"/>
          <w:szCs w:val="24"/>
          <w:lang w:val="en-GB"/>
        </w:rPr>
        <w:t xml:space="preserve"> who it </w:t>
      </w:r>
      <w:r w:rsidR="00772BEF">
        <w:rPr>
          <w:rFonts w:ascii="Times New Roman" w:hAnsi="Times New Roman"/>
          <w:sz w:val="24"/>
          <w:szCs w:val="24"/>
          <w:lang w:val="en-GB"/>
        </w:rPr>
        <w:t>wa</w:t>
      </w:r>
      <w:r w:rsidR="00772BEF" w:rsidRPr="00772BEF">
        <w:rPr>
          <w:rFonts w:ascii="Times New Roman" w:hAnsi="Times New Roman"/>
          <w:sz w:val="24"/>
          <w:szCs w:val="24"/>
          <w:lang w:val="en-GB"/>
        </w:rPr>
        <w:t xml:space="preserve">s dealing </w:t>
      </w:r>
      <w:r w:rsidR="00DE1D73">
        <w:rPr>
          <w:rFonts w:ascii="Times New Roman" w:hAnsi="Times New Roman"/>
          <w:sz w:val="24"/>
          <w:szCs w:val="24"/>
          <w:lang w:val="en-GB"/>
        </w:rPr>
        <w:t xml:space="preserve">with </w:t>
      </w:r>
      <w:r w:rsidR="000B6DE7">
        <w:rPr>
          <w:rFonts w:ascii="Times New Roman" w:hAnsi="Times New Roman"/>
          <w:sz w:val="24"/>
          <w:szCs w:val="24"/>
          <w:lang w:val="en-GB"/>
        </w:rPr>
        <w:t xml:space="preserve">by </w:t>
      </w:r>
      <w:r w:rsidR="00F177B8">
        <w:rPr>
          <w:rFonts w:ascii="Times New Roman" w:hAnsi="Times New Roman"/>
          <w:sz w:val="24"/>
          <w:szCs w:val="24"/>
          <w:lang w:val="en-GB"/>
        </w:rPr>
        <w:t>requir</w:t>
      </w:r>
      <w:r w:rsidR="000B6DE7">
        <w:rPr>
          <w:rFonts w:ascii="Times New Roman" w:hAnsi="Times New Roman"/>
          <w:sz w:val="24"/>
          <w:szCs w:val="24"/>
          <w:lang w:val="en-GB"/>
        </w:rPr>
        <w:t>ing</w:t>
      </w:r>
      <w:r w:rsidR="00F177B8">
        <w:rPr>
          <w:rFonts w:ascii="Times New Roman" w:hAnsi="Times New Roman"/>
          <w:sz w:val="24"/>
          <w:szCs w:val="24"/>
          <w:lang w:val="en-GB"/>
        </w:rPr>
        <w:t xml:space="preserve"> the identity verification rules in the Anti-Money Laundering and Countering Financing of Terrorism Act 2009 (</w:t>
      </w:r>
      <w:r w:rsidR="00DE1D73">
        <w:rPr>
          <w:rFonts w:ascii="Times New Roman" w:hAnsi="Times New Roman"/>
          <w:sz w:val="24"/>
          <w:szCs w:val="24"/>
          <w:lang w:val="en-GB"/>
        </w:rPr>
        <w:t>“</w:t>
      </w:r>
      <w:r w:rsidR="00F177B8">
        <w:rPr>
          <w:rFonts w:ascii="Times New Roman" w:hAnsi="Times New Roman"/>
          <w:sz w:val="24"/>
          <w:szCs w:val="24"/>
          <w:lang w:val="en-GB"/>
        </w:rPr>
        <w:t>AML Act</w:t>
      </w:r>
      <w:r w:rsidR="00DE1D73">
        <w:rPr>
          <w:rFonts w:ascii="Times New Roman" w:hAnsi="Times New Roman"/>
          <w:sz w:val="24"/>
          <w:szCs w:val="24"/>
          <w:lang w:val="en-GB"/>
        </w:rPr>
        <w:t>”</w:t>
      </w:r>
      <w:r w:rsidR="00F177B8">
        <w:rPr>
          <w:rFonts w:ascii="Times New Roman" w:hAnsi="Times New Roman"/>
          <w:sz w:val="24"/>
          <w:szCs w:val="24"/>
          <w:lang w:val="en-GB"/>
        </w:rPr>
        <w:t>) to apply to all offshore persons applying for an IRD number, whether for the reason of transactions involving New Zealand property or any other reason.</w:t>
      </w:r>
    </w:p>
    <w:p w:rsidR="00772BEF" w:rsidRDefault="00772BEF" w:rsidP="00772BEF">
      <w:pPr>
        <w:pStyle w:val="ListParagraph"/>
        <w:rPr>
          <w:rFonts w:ascii="Times New Roman" w:hAnsi="Times New Roman"/>
          <w:sz w:val="24"/>
          <w:szCs w:val="24"/>
        </w:rPr>
      </w:pPr>
    </w:p>
    <w:p w:rsidR="006878F9" w:rsidRPr="006878F9" w:rsidRDefault="006878F9" w:rsidP="006878F9">
      <w:pPr>
        <w:pStyle w:val="Bullet-list"/>
        <w:numPr>
          <w:ilvl w:val="0"/>
          <w:numId w:val="3"/>
        </w:numPr>
        <w:tabs>
          <w:tab w:val="clear" w:pos="720"/>
        </w:tabs>
        <w:spacing w:after="0" w:line="240" w:lineRule="auto"/>
        <w:ind w:left="0" w:firstLine="0"/>
        <w:jc w:val="both"/>
        <w:rPr>
          <w:rFonts w:ascii="Times New Roman" w:hAnsi="Times New Roman"/>
          <w:sz w:val="24"/>
          <w:szCs w:val="24"/>
          <w:lang w:val="en-GB"/>
        </w:rPr>
      </w:pPr>
      <w:r w:rsidRPr="006878F9">
        <w:rPr>
          <w:rFonts w:ascii="Times New Roman" w:hAnsi="Times New Roman"/>
          <w:sz w:val="24"/>
          <w:szCs w:val="24"/>
          <w:lang w:val="en-GB"/>
        </w:rPr>
        <w:t>Currently when a non-resident or offshore individual (</w:t>
      </w:r>
      <w:r w:rsidR="00E57EBE">
        <w:rPr>
          <w:rFonts w:ascii="Times New Roman" w:hAnsi="Times New Roman"/>
          <w:sz w:val="24"/>
          <w:szCs w:val="24"/>
          <w:lang w:val="en-GB"/>
        </w:rPr>
        <w:t xml:space="preserve">form </w:t>
      </w:r>
      <w:r w:rsidRPr="006878F9">
        <w:rPr>
          <w:rFonts w:ascii="Times New Roman" w:hAnsi="Times New Roman"/>
          <w:sz w:val="24"/>
          <w:szCs w:val="24"/>
          <w:lang w:val="en-GB"/>
        </w:rPr>
        <w:t>IR742) or non-individual (</w:t>
      </w:r>
      <w:r w:rsidR="00E57EBE">
        <w:rPr>
          <w:rFonts w:ascii="Times New Roman" w:hAnsi="Times New Roman"/>
          <w:sz w:val="24"/>
          <w:szCs w:val="24"/>
          <w:lang w:val="en-GB"/>
        </w:rPr>
        <w:t xml:space="preserve">form </w:t>
      </w:r>
      <w:r w:rsidRPr="006878F9">
        <w:rPr>
          <w:rFonts w:ascii="Times New Roman" w:hAnsi="Times New Roman"/>
          <w:sz w:val="24"/>
          <w:szCs w:val="24"/>
          <w:lang w:val="en-GB"/>
        </w:rPr>
        <w:t>IR744) applies for an IRD number, they must provide the</w:t>
      </w:r>
      <w:r w:rsidR="00890F1B">
        <w:rPr>
          <w:rFonts w:ascii="Times New Roman" w:hAnsi="Times New Roman"/>
          <w:sz w:val="24"/>
          <w:szCs w:val="24"/>
          <w:lang w:val="en-GB"/>
        </w:rPr>
        <w:t xml:space="preserve"> Commissioner with the </w:t>
      </w:r>
      <w:r w:rsidRPr="006878F9">
        <w:rPr>
          <w:rFonts w:ascii="Times New Roman" w:hAnsi="Times New Roman"/>
          <w:sz w:val="24"/>
          <w:szCs w:val="24"/>
          <w:lang w:val="en-GB"/>
        </w:rPr>
        <w:t xml:space="preserve"> following</w:t>
      </w:r>
      <w:r w:rsidR="00890F1B">
        <w:rPr>
          <w:rFonts w:ascii="Times New Roman" w:hAnsi="Times New Roman"/>
          <w:sz w:val="24"/>
          <w:szCs w:val="24"/>
          <w:lang w:val="en-GB"/>
        </w:rPr>
        <w:t xml:space="preserve"> information</w:t>
      </w:r>
      <w:r w:rsidRPr="006878F9">
        <w:rPr>
          <w:rFonts w:ascii="Times New Roman" w:hAnsi="Times New Roman"/>
          <w:sz w:val="24"/>
          <w:szCs w:val="24"/>
          <w:lang w:val="en-GB"/>
        </w:rPr>
        <w:t>:</w:t>
      </w:r>
    </w:p>
    <w:p w:rsidR="006878F9" w:rsidRDefault="006878F9" w:rsidP="006878F9">
      <w:pPr>
        <w:pStyle w:val="ListParagraph"/>
        <w:rPr>
          <w:rFonts w:ascii="Times New Roman" w:hAnsi="Times New Roman"/>
          <w:sz w:val="24"/>
          <w:szCs w:val="24"/>
          <w:lang w:val="en-GB"/>
        </w:rPr>
      </w:pPr>
    </w:p>
    <w:p w:rsidR="00487B3C" w:rsidRPr="00EA7761" w:rsidRDefault="0008415A" w:rsidP="00EA7761">
      <w:pPr>
        <w:pStyle w:val="Bullet-list"/>
        <w:numPr>
          <w:ilvl w:val="0"/>
          <w:numId w:val="25"/>
        </w:numPr>
        <w:spacing w:line="240" w:lineRule="auto"/>
        <w:jc w:val="both"/>
        <w:rPr>
          <w:rFonts w:ascii="Times New Roman" w:hAnsi="Times New Roman"/>
          <w:sz w:val="24"/>
          <w:szCs w:val="24"/>
        </w:rPr>
      </w:pPr>
      <w:r w:rsidRPr="00EA7761">
        <w:rPr>
          <w:rFonts w:ascii="Times New Roman" w:hAnsi="Times New Roman"/>
          <w:sz w:val="24"/>
          <w:szCs w:val="24"/>
        </w:rPr>
        <w:t xml:space="preserve">Their names </w:t>
      </w:r>
    </w:p>
    <w:p w:rsidR="0008415A" w:rsidRPr="00EA7761" w:rsidRDefault="0008415A"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Date of birth for individuals</w:t>
      </w:r>
    </w:p>
    <w:p w:rsidR="0008415A" w:rsidRPr="00EA7761" w:rsidRDefault="0008415A"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Type of organisation for non-individuals</w:t>
      </w:r>
    </w:p>
    <w:p w:rsidR="006878F9" w:rsidRPr="00EA7761" w:rsidRDefault="006878F9"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 xml:space="preserve">Photographic </w:t>
      </w:r>
      <w:r w:rsidR="0008415A" w:rsidRPr="00EA7761">
        <w:rPr>
          <w:rFonts w:ascii="Times New Roman" w:hAnsi="Times New Roman"/>
          <w:sz w:val="24"/>
          <w:szCs w:val="24"/>
        </w:rPr>
        <w:t>i</w:t>
      </w:r>
      <w:r w:rsidRPr="00EA7761">
        <w:rPr>
          <w:rFonts w:ascii="Times New Roman" w:hAnsi="Times New Roman"/>
          <w:sz w:val="24"/>
          <w:szCs w:val="24"/>
        </w:rPr>
        <w:t>dentification</w:t>
      </w:r>
      <w:r w:rsidR="0008415A" w:rsidRPr="00EA7761">
        <w:rPr>
          <w:rFonts w:ascii="Times New Roman" w:hAnsi="Times New Roman"/>
          <w:sz w:val="24"/>
          <w:szCs w:val="24"/>
        </w:rPr>
        <w:t xml:space="preserve"> for individuals</w:t>
      </w:r>
    </w:p>
    <w:p w:rsidR="006878F9" w:rsidRPr="00EA7761" w:rsidRDefault="006878F9"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 xml:space="preserve">Proof of </w:t>
      </w:r>
      <w:r w:rsidR="0008415A" w:rsidRPr="00EA7761">
        <w:rPr>
          <w:rFonts w:ascii="Times New Roman" w:hAnsi="Times New Roman"/>
          <w:sz w:val="24"/>
          <w:szCs w:val="24"/>
        </w:rPr>
        <w:t xml:space="preserve">their current </w:t>
      </w:r>
      <w:r w:rsidRPr="00EA7761">
        <w:rPr>
          <w:rFonts w:ascii="Times New Roman" w:hAnsi="Times New Roman"/>
          <w:sz w:val="24"/>
          <w:szCs w:val="24"/>
        </w:rPr>
        <w:t>address</w:t>
      </w:r>
      <w:r w:rsidR="0008415A" w:rsidRPr="00EA7761">
        <w:rPr>
          <w:rFonts w:ascii="Times New Roman" w:hAnsi="Times New Roman"/>
          <w:sz w:val="24"/>
          <w:szCs w:val="24"/>
        </w:rPr>
        <w:t>, or the most recent previous address</w:t>
      </w:r>
    </w:p>
    <w:p w:rsidR="0008415A" w:rsidRPr="00EA7761" w:rsidRDefault="0008415A"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Contact details</w:t>
      </w:r>
    </w:p>
    <w:p w:rsidR="006878F9" w:rsidRPr="00EA7761" w:rsidRDefault="006878F9"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Proof of any intended activity in N</w:t>
      </w:r>
      <w:r w:rsidR="00C059BC" w:rsidRPr="00EA7761">
        <w:rPr>
          <w:rFonts w:ascii="Times New Roman" w:hAnsi="Times New Roman"/>
          <w:sz w:val="24"/>
          <w:szCs w:val="24"/>
        </w:rPr>
        <w:t xml:space="preserve">ew </w:t>
      </w:r>
      <w:r w:rsidRPr="00EA7761">
        <w:rPr>
          <w:rFonts w:ascii="Times New Roman" w:hAnsi="Times New Roman"/>
          <w:sz w:val="24"/>
          <w:szCs w:val="24"/>
        </w:rPr>
        <w:t>Z</w:t>
      </w:r>
      <w:r w:rsidR="00C059BC" w:rsidRPr="00EA7761">
        <w:rPr>
          <w:rFonts w:ascii="Times New Roman" w:hAnsi="Times New Roman"/>
          <w:sz w:val="24"/>
          <w:szCs w:val="24"/>
        </w:rPr>
        <w:t>ealand</w:t>
      </w:r>
      <w:r w:rsidR="0008415A" w:rsidRPr="00EA7761">
        <w:rPr>
          <w:rFonts w:ascii="Times New Roman" w:hAnsi="Times New Roman"/>
          <w:sz w:val="24"/>
          <w:szCs w:val="24"/>
        </w:rPr>
        <w:t xml:space="preserve"> for individuals</w:t>
      </w:r>
    </w:p>
    <w:p w:rsidR="00C059BC" w:rsidRPr="00EA7761" w:rsidRDefault="0008415A"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Overseas t</w:t>
      </w:r>
      <w:r w:rsidR="00C059BC" w:rsidRPr="00EA7761">
        <w:rPr>
          <w:rFonts w:ascii="Times New Roman" w:hAnsi="Times New Roman"/>
          <w:sz w:val="24"/>
          <w:szCs w:val="24"/>
        </w:rPr>
        <w:t>ax</w:t>
      </w:r>
      <w:r w:rsidRPr="00EA7761">
        <w:rPr>
          <w:rFonts w:ascii="Times New Roman" w:hAnsi="Times New Roman"/>
          <w:sz w:val="24"/>
          <w:szCs w:val="24"/>
        </w:rPr>
        <w:t>payer identification n</w:t>
      </w:r>
      <w:r w:rsidR="00C059BC" w:rsidRPr="00EA7761">
        <w:rPr>
          <w:rFonts w:ascii="Times New Roman" w:hAnsi="Times New Roman"/>
          <w:sz w:val="24"/>
          <w:szCs w:val="24"/>
        </w:rPr>
        <w:t>umber</w:t>
      </w:r>
    </w:p>
    <w:p w:rsidR="0008415A" w:rsidRPr="00EA7761" w:rsidRDefault="0008415A"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Business description and code for non-individuals</w:t>
      </w:r>
    </w:p>
    <w:p w:rsidR="00C059BC" w:rsidRPr="00EA7761" w:rsidRDefault="00C059BC"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Copy of a certificate of incorporation for companies</w:t>
      </w:r>
    </w:p>
    <w:p w:rsidR="00C059BC" w:rsidRPr="00EA7761" w:rsidRDefault="00C059BC"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A copy of certificate of registration, trust deed or agreement, or equivalent overseas constituting document for entities other than companies</w:t>
      </w:r>
    </w:p>
    <w:p w:rsidR="00C059BC" w:rsidRPr="00EA7761" w:rsidRDefault="00C059BC"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Details of the stock exchange listing for companies listed on a stock exchange</w:t>
      </w:r>
    </w:p>
    <w:p w:rsidR="00C059BC" w:rsidRPr="00EA7761" w:rsidRDefault="00C059BC" w:rsidP="00EA7761">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 xml:space="preserve">Names, addresses </w:t>
      </w:r>
      <w:r w:rsidR="004B562C" w:rsidRPr="00EA7761">
        <w:rPr>
          <w:rFonts w:ascii="Times New Roman" w:hAnsi="Times New Roman"/>
          <w:sz w:val="24"/>
          <w:szCs w:val="24"/>
        </w:rPr>
        <w:t xml:space="preserve">and </w:t>
      </w:r>
      <w:r w:rsidRPr="00EA7761">
        <w:rPr>
          <w:rFonts w:ascii="Times New Roman" w:hAnsi="Times New Roman"/>
          <w:sz w:val="24"/>
          <w:szCs w:val="24"/>
        </w:rPr>
        <w:t xml:space="preserve">IRD numbers of shareholders, directors, partners </w:t>
      </w:r>
      <w:r w:rsidR="004B562C" w:rsidRPr="00EA7761">
        <w:rPr>
          <w:rFonts w:ascii="Times New Roman" w:hAnsi="Times New Roman"/>
          <w:sz w:val="24"/>
          <w:szCs w:val="24"/>
        </w:rPr>
        <w:t xml:space="preserve">and </w:t>
      </w:r>
      <w:r w:rsidRPr="00EA7761">
        <w:rPr>
          <w:rFonts w:ascii="Times New Roman" w:hAnsi="Times New Roman"/>
          <w:sz w:val="24"/>
          <w:szCs w:val="24"/>
        </w:rPr>
        <w:t>trustees (as applicable)</w:t>
      </w:r>
    </w:p>
    <w:p w:rsidR="005945E6" w:rsidRPr="005945E6" w:rsidRDefault="006878F9" w:rsidP="005945E6">
      <w:pPr>
        <w:pStyle w:val="Bullet-list"/>
        <w:numPr>
          <w:ilvl w:val="0"/>
          <w:numId w:val="24"/>
        </w:numPr>
        <w:spacing w:line="240" w:lineRule="auto"/>
        <w:jc w:val="both"/>
        <w:rPr>
          <w:rFonts w:ascii="Times New Roman" w:hAnsi="Times New Roman"/>
          <w:sz w:val="24"/>
          <w:szCs w:val="24"/>
        </w:rPr>
      </w:pPr>
      <w:r w:rsidRPr="00EA7761">
        <w:rPr>
          <w:rFonts w:ascii="Times New Roman" w:hAnsi="Times New Roman"/>
          <w:sz w:val="24"/>
          <w:szCs w:val="24"/>
        </w:rPr>
        <w:t>Proof of a fully fu</w:t>
      </w:r>
      <w:r w:rsidR="00C059BC" w:rsidRPr="00EA7761">
        <w:rPr>
          <w:rFonts w:ascii="Times New Roman" w:hAnsi="Times New Roman"/>
          <w:sz w:val="24"/>
          <w:szCs w:val="24"/>
        </w:rPr>
        <w:t>n</w:t>
      </w:r>
      <w:r w:rsidRPr="00EA7761">
        <w:rPr>
          <w:rFonts w:ascii="Times New Roman" w:hAnsi="Times New Roman"/>
          <w:sz w:val="24"/>
          <w:szCs w:val="24"/>
        </w:rPr>
        <w:t>ctional N</w:t>
      </w:r>
      <w:r w:rsidR="00C059BC" w:rsidRPr="00EA7761">
        <w:rPr>
          <w:rFonts w:ascii="Times New Roman" w:hAnsi="Times New Roman"/>
          <w:sz w:val="24"/>
          <w:szCs w:val="24"/>
        </w:rPr>
        <w:t xml:space="preserve">ew </w:t>
      </w:r>
      <w:r w:rsidRPr="00EA7761">
        <w:rPr>
          <w:rFonts w:ascii="Times New Roman" w:hAnsi="Times New Roman"/>
          <w:sz w:val="24"/>
          <w:szCs w:val="24"/>
        </w:rPr>
        <w:t>Z</w:t>
      </w:r>
      <w:r w:rsidR="00C059BC" w:rsidRPr="00EA7761">
        <w:rPr>
          <w:rFonts w:ascii="Times New Roman" w:hAnsi="Times New Roman"/>
          <w:sz w:val="24"/>
          <w:szCs w:val="24"/>
        </w:rPr>
        <w:t>ealand</w:t>
      </w:r>
      <w:r w:rsidRPr="00EA7761">
        <w:rPr>
          <w:rFonts w:ascii="Times New Roman" w:hAnsi="Times New Roman"/>
          <w:sz w:val="24"/>
          <w:szCs w:val="24"/>
        </w:rPr>
        <w:t xml:space="preserve"> bank account, or</w:t>
      </w:r>
      <w:r w:rsidR="00C059BC" w:rsidRPr="00EA7761">
        <w:rPr>
          <w:rFonts w:ascii="Times New Roman" w:hAnsi="Times New Roman"/>
          <w:sz w:val="24"/>
          <w:szCs w:val="24"/>
        </w:rPr>
        <w:t xml:space="preserve"> p</w:t>
      </w:r>
      <w:r w:rsidR="00E57EBE" w:rsidRPr="00EA7761">
        <w:rPr>
          <w:rFonts w:ascii="Times New Roman" w:hAnsi="Times New Roman"/>
          <w:sz w:val="24"/>
          <w:szCs w:val="24"/>
        </w:rPr>
        <w:t>roof that c</w:t>
      </w:r>
      <w:r w:rsidRPr="00EA7761">
        <w:rPr>
          <w:rFonts w:ascii="Times New Roman" w:hAnsi="Times New Roman"/>
          <w:sz w:val="24"/>
          <w:szCs w:val="24"/>
        </w:rPr>
        <w:t>ustomer due diligence has been completed by a New Zealand reporting entity under</w:t>
      </w:r>
      <w:r w:rsidR="00DE1D73" w:rsidRPr="00EA7761">
        <w:rPr>
          <w:rFonts w:ascii="Times New Roman" w:hAnsi="Times New Roman"/>
          <w:sz w:val="24"/>
          <w:szCs w:val="24"/>
        </w:rPr>
        <w:t xml:space="preserve"> the</w:t>
      </w:r>
      <w:r w:rsidRPr="00EA7761">
        <w:rPr>
          <w:rFonts w:ascii="Times New Roman" w:hAnsi="Times New Roman"/>
          <w:sz w:val="24"/>
          <w:szCs w:val="24"/>
        </w:rPr>
        <w:t xml:space="preserve"> rules</w:t>
      </w:r>
      <w:r w:rsidR="005945E6">
        <w:rPr>
          <w:rFonts w:ascii="Times New Roman" w:hAnsi="Times New Roman"/>
          <w:sz w:val="24"/>
          <w:szCs w:val="24"/>
        </w:rPr>
        <w:t xml:space="preserve"> in the AML Act</w:t>
      </w:r>
    </w:p>
    <w:p w:rsidR="0008415A" w:rsidRPr="00FB7973" w:rsidRDefault="0008415A" w:rsidP="00FB7973">
      <w:pPr>
        <w:pStyle w:val="ListParagraph"/>
        <w:numPr>
          <w:ilvl w:val="0"/>
          <w:numId w:val="3"/>
        </w:numPr>
        <w:tabs>
          <w:tab w:val="clear" w:pos="720"/>
        </w:tabs>
        <w:ind w:left="0" w:firstLine="0"/>
        <w:rPr>
          <w:rFonts w:ascii="Times New Roman" w:hAnsi="Times New Roman"/>
          <w:sz w:val="24"/>
          <w:szCs w:val="24"/>
        </w:rPr>
      </w:pPr>
      <w:r w:rsidRPr="007B6AFC">
        <w:rPr>
          <w:rFonts w:ascii="Times New Roman" w:hAnsi="Times New Roman"/>
          <w:sz w:val="24"/>
          <w:szCs w:val="24"/>
        </w:rPr>
        <w:t xml:space="preserve">Individual offshore persons applying for an IRD number, who are in New Zealand at the time of applying, must personally present their identity documents for verification at an Inland Revenue office, New Zealand Automobile Association, or Kiwibank. </w:t>
      </w:r>
      <w:r w:rsidR="00590B90">
        <w:rPr>
          <w:rFonts w:ascii="Times New Roman" w:hAnsi="Times New Roman"/>
          <w:sz w:val="24"/>
          <w:szCs w:val="24"/>
        </w:rPr>
        <w:t xml:space="preserve"> </w:t>
      </w:r>
      <w:r w:rsidRPr="007B6AFC">
        <w:rPr>
          <w:rFonts w:ascii="Times New Roman" w:hAnsi="Times New Roman"/>
          <w:sz w:val="24"/>
          <w:szCs w:val="24"/>
        </w:rPr>
        <w:t>Offshore persons not in New Zealand at the time of applying for an IRD number can apply by post or electronically.</w:t>
      </w:r>
      <w:r w:rsidR="00FB7973">
        <w:rPr>
          <w:rFonts w:ascii="Times New Roman" w:hAnsi="Times New Roman"/>
          <w:sz w:val="24"/>
          <w:szCs w:val="24"/>
        </w:rPr>
        <w:t xml:space="preserve"> </w:t>
      </w:r>
      <w:r w:rsidR="00FB7973" w:rsidRPr="0043388D">
        <w:rPr>
          <w:rFonts w:ascii="Times New Roman" w:hAnsi="Times New Roman"/>
          <w:sz w:val="24"/>
          <w:szCs w:val="24"/>
        </w:rPr>
        <w:t>Those applying for an IRD number on behalf of non-individual offshore applicants, do not need to personally present their identity documents for verification and can apply by post or electronically.</w:t>
      </w:r>
    </w:p>
    <w:p w:rsidR="00FB7973" w:rsidRPr="0043388D" w:rsidRDefault="00FB7973" w:rsidP="0043388D">
      <w:pPr>
        <w:pStyle w:val="Bullet-list"/>
        <w:tabs>
          <w:tab w:val="num" w:pos="567"/>
        </w:tabs>
        <w:spacing w:after="0" w:line="240" w:lineRule="auto"/>
        <w:ind w:left="0" w:firstLine="0"/>
        <w:jc w:val="both"/>
        <w:rPr>
          <w:rFonts w:ascii="Times New Roman" w:hAnsi="Times New Roman"/>
          <w:sz w:val="24"/>
          <w:szCs w:val="24"/>
          <w:lang w:val="en-GB"/>
        </w:rPr>
      </w:pPr>
    </w:p>
    <w:p w:rsidR="0031757C" w:rsidRDefault="00FB7973" w:rsidP="0043388D">
      <w:pPr>
        <w:pStyle w:val="ListParagraph"/>
        <w:numPr>
          <w:ilvl w:val="0"/>
          <w:numId w:val="3"/>
        </w:numPr>
        <w:tabs>
          <w:tab w:val="clear" w:pos="720"/>
        </w:tabs>
        <w:ind w:left="0" w:firstLine="0"/>
        <w:rPr>
          <w:rFonts w:ascii="Times New Roman" w:hAnsi="Times New Roman"/>
          <w:sz w:val="24"/>
          <w:szCs w:val="24"/>
        </w:rPr>
      </w:pPr>
      <w:r w:rsidRPr="0043388D">
        <w:rPr>
          <w:rFonts w:ascii="Times New Roman" w:hAnsi="Times New Roman"/>
          <w:sz w:val="24"/>
          <w:szCs w:val="24"/>
        </w:rPr>
        <w:t>Inland Revenue from time to time reviews its identity verification procedures, and changes them as may be required. This is done to ensure that the procedures remain robust and fit for purpose to keep pace with any developments. Another review is currently underway, with the particular focus on</w:t>
      </w:r>
      <w:r w:rsidR="0031757C">
        <w:rPr>
          <w:rFonts w:ascii="Times New Roman" w:hAnsi="Times New Roman"/>
          <w:sz w:val="24"/>
          <w:szCs w:val="24"/>
        </w:rPr>
        <w:t>:</w:t>
      </w:r>
    </w:p>
    <w:p w:rsidR="0031757C" w:rsidRPr="0031757C" w:rsidRDefault="0031757C" w:rsidP="0031757C">
      <w:pPr>
        <w:pStyle w:val="ListParagraph"/>
        <w:rPr>
          <w:rFonts w:ascii="Times New Roman" w:hAnsi="Times New Roman"/>
          <w:sz w:val="24"/>
          <w:szCs w:val="24"/>
        </w:rPr>
      </w:pPr>
    </w:p>
    <w:p w:rsidR="0031757C" w:rsidRDefault="0031757C" w:rsidP="0031757C">
      <w:pPr>
        <w:pStyle w:val="Bullet-list"/>
        <w:numPr>
          <w:ilvl w:val="0"/>
          <w:numId w:val="24"/>
        </w:numPr>
        <w:spacing w:line="240" w:lineRule="auto"/>
        <w:jc w:val="both"/>
        <w:rPr>
          <w:rFonts w:ascii="Times New Roman" w:hAnsi="Times New Roman"/>
          <w:sz w:val="24"/>
          <w:szCs w:val="24"/>
        </w:rPr>
      </w:pPr>
      <w:r>
        <w:rPr>
          <w:rFonts w:ascii="Times New Roman" w:hAnsi="Times New Roman"/>
          <w:sz w:val="24"/>
          <w:szCs w:val="24"/>
        </w:rPr>
        <w:t>I</w:t>
      </w:r>
      <w:r w:rsidR="00FB7973" w:rsidRPr="0043388D">
        <w:rPr>
          <w:rFonts w:ascii="Times New Roman" w:hAnsi="Times New Roman"/>
          <w:sz w:val="24"/>
          <w:szCs w:val="24"/>
        </w:rPr>
        <w:t>ndividual IRD number applicants who are not in New Zealand at the time of applying for an IRD number, and</w:t>
      </w:r>
    </w:p>
    <w:p w:rsidR="00772BEF" w:rsidRPr="0031757C" w:rsidRDefault="0031757C" w:rsidP="0031757C">
      <w:pPr>
        <w:pStyle w:val="Bullet-list"/>
        <w:numPr>
          <w:ilvl w:val="0"/>
          <w:numId w:val="24"/>
        </w:numPr>
        <w:spacing w:line="240" w:lineRule="auto"/>
        <w:jc w:val="both"/>
        <w:rPr>
          <w:rFonts w:ascii="Times New Roman" w:hAnsi="Times New Roman"/>
          <w:sz w:val="24"/>
          <w:szCs w:val="24"/>
        </w:rPr>
      </w:pPr>
      <w:r>
        <w:rPr>
          <w:rFonts w:ascii="Times New Roman" w:hAnsi="Times New Roman"/>
          <w:sz w:val="24"/>
          <w:szCs w:val="24"/>
        </w:rPr>
        <w:t>Non-individuals</w:t>
      </w:r>
    </w:p>
    <w:p w:rsidR="00772BEF" w:rsidRDefault="00F177B8" w:rsidP="005945E6">
      <w:pPr>
        <w:pStyle w:val="ListParagraph"/>
        <w:numPr>
          <w:ilvl w:val="0"/>
          <w:numId w:val="3"/>
        </w:numPr>
        <w:tabs>
          <w:tab w:val="clear" w:pos="720"/>
        </w:tabs>
        <w:spacing w:before="240"/>
        <w:ind w:left="0" w:firstLine="0"/>
        <w:rPr>
          <w:rFonts w:ascii="Times New Roman" w:hAnsi="Times New Roman"/>
          <w:sz w:val="24"/>
          <w:szCs w:val="24"/>
        </w:rPr>
      </w:pPr>
      <w:r w:rsidRPr="00F177B8">
        <w:rPr>
          <w:rFonts w:ascii="Times New Roman" w:hAnsi="Times New Roman"/>
          <w:sz w:val="24"/>
          <w:szCs w:val="24"/>
        </w:rPr>
        <w:t xml:space="preserve">Under </w:t>
      </w:r>
      <w:r w:rsidR="0043388D">
        <w:rPr>
          <w:rFonts w:ascii="Times New Roman" w:hAnsi="Times New Roman"/>
          <w:sz w:val="24"/>
          <w:szCs w:val="24"/>
        </w:rPr>
        <w:t xml:space="preserve">the </w:t>
      </w:r>
      <w:r w:rsidRPr="00F177B8">
        <w:rPr>
          <w:rFonts w:ascii="Times New Roman" w:hAnsi="Times New Roman"/>
          <w:sz w:val="24"/>
          <w:szCs w:val="24"/>
        </w:rPr>
        <w:t xml:space="preserve">current </w:t>
      </w:r>
      <w:r w:rsidR="005945E6">
        <w:rPr>
          <w:rFonts w:ascii="Times New Roman" w:hAnsi="Times New Roman"/>
          <w:sz w:val="24"/>
          <w:szCs w:val="24"/>
        </w:rPr>
        <w:t>anti-money laundering (</w:t>
      </w:r>
      <w:r w:rsidRPr="00F177B8">
        <w:rPr>
          <w:rFonts w:ascii="Times New Roman" w:hAnsi="Times New Roman"/>
          <w:sz w:val="24"/>
          <w:szCs w:val="24"/>
        </w:rPr>
        <w:t>AML</w:t>
      </w:r>
      <w:r w:rsidR="005945E6">
        <w:rPr>
          <w:rFonts w:ascii="Times New Roman" w:hAnsi="Times New Roman"/>
          <w:sz w:val="24"/>
          <w:szCs w:val="24"/>
        </w:rPr>
        <w:t>)</w:t>
      </w:r>
      <w:r w:rsidRPr="00F177B8">
        <w:rPr>
          <w:rFonts w:ascii="Times New Roman" w:hAnsi="Times New Roman"/>
          <w:sz w:val="24"/>
          <w:szCs w:val="24"/>
        </w:rPr>
        <w:t xml:space="preserve"> rules, financial institutions are required to perform customer due diligence and report suspicious transactions.  The</w:t>
      </w:r>
      <w:r w:rsidR="00F57883">
        <w:rPr>
          <w:rFonts w:ascii="Times New Roman" w:hAnsi="Times New Roman"/>
          <w:sz w:val="24"/>
          <w:szCs w:val="24"/>
        </w:rPr>
        <w:t xml:space="preserve"> </w:t>
      </w:r>
      <w:r w:rsidRPr="00F177B8">
        <w:rPr>
          <w:rFonts w:ascii="Times New Roman" w:hAnsi="Times New Roman"/>
          <w:sz w:val="24"/>
          <w:szCs w:val="24"/>
        </w:rPr>
        <w:t xml:space="preserve">proposed Phase 2 of the </w:t>
      </w:r>
      <w:r w:rsidR="005945E6">
        <w:rPr>
          <w:rFonts w:ascii="Times New Roman" w:hAnsi="Times New Roman"/>
          <w:sz w:val="24"/>
          <w:szCs w:val="24"/>
        </w:rPr>
        <w:t>AML</w:t>
      </w:r>
      <w:r w:rsidR="007B2AD6">
        <w:rPr>
          <w:rFonts w:ascii="Times New Roman" w:hAnsi="Times New Roman"/>
          <w:sz w:val="24"/>
          <w:szCs w:val="24"/>
        </w:rPr>
        <w:t xml:space="preserve"> </w:t>
      </w:r>
      <w:r w:rsidR="00DE1D73">
        <w:rPr>
          <w:rFonts w:ascii="Times New Roman" w:hAnsi="Times New Roman"/>
          <w:sz w:val="24"/>
          <w:szCs w:val="24"/>
        </w:rPr>
        <w:t>measures</w:t>
      </w:r>
      <w:r w:rsidRPr="00F177B8">
        <w:rPr>
          <w:rFonts w:ascii="Times New Roman" w:hAnsi="Times New Roman"/>
          <w:sz w:val="24"/>
          <w:szCs w:val="24"/>
        </w:rPr>
        <w:t xml:space="preserve"> will </w:t>
      </w:r>
      <w:r w:rsidR="00F57883">
        <w:rPr>
          <w:rFonts w:ascii="Times New Roman" w:hAnsi="Times New Roman"/>
          <w:sz w:val="24"/>
          <w:szCs w:val="24"/>
        </w:rPr>
        <w:t>require</w:t>
      </w:r>
      <w:r w:rsidR="007B2AD6">
        <w:rPr>
          <w:rFonts w:ascii="Times New Roman" w:hAnsi="Times New Roman"/>
          <w:sz w:val="24"/>
          <w:szCs w:val="24"/>
        </w:rPr>
        <w:t xml:space="preserve"> a wider range of professionals, including</w:t>
      </w:r>
      <w:r w:rsidR="00F57883">
        <w:rPr>
          <w:rFonts w:ascii="Times New Roman" w:hAnsi="Times New Roman"/>
          <w:sz w:val="24"/>
          <w:szCs w:val="24"/>
        </w:rPr>
        <w:t xml:space="preserve"> New Zealand </w:t>
      </w:r>
      <w:r w:rsidR="00DE1D73">
        <w:rPr>
          <w:rFonts w:ascii="Times New Roman" w:hAnsi="Times New Roman"/>
          <w:sz w:val="24"/>
          <w:szCs w:val="24"/>
        </w:rPr>
        <w:t>lawyers</w:t>
      </w:r>
      <w:r w:rsidR="007B2AD6">
        <w:rPr>
          <w:rFonts w:ascii="Times New Roman" w:hAnsi="Times New Roman"/>
          <w:sz w:val="24"/>
          <w:szCs w:val="24"/>
        </w:rPr>
        <w:t xml:space="preserve"> and </w:t>
      </w:r>
      <w:r w:rsidR="007B2AD6" w:rsidRPr="00F177B8">
        <w:rPr>
          <w:rFonts w:ascii="Times New Roman" w:hAnsi="Times New Roman"/>
          <w:sz w:val="24"/>
          <w:szCs w:val="24"/>
        </w:rPr>
        <w:t>conveyancers</w:t>
      </w:r>
      <w:r w:rsidR="00DE1D73">
        <w:rPr>
          <w:rFonts w:ascii="Times New Roman" w:hAnsi="Times New Roman"/>
          <w:sz w:val="24"/>
          <w:szCs w:val="24"/>
        </w:rPr>
        <w:t xml:space="preserve">, </w:t>
      </w:r>
      <w:r w:rsidR="00F57883">
        <w:rPr>
          <w:rFonts w:ascii="Times New Roman" w:hAnsi="Times New Roman"/>
          <w:sz w:val="24"/>
          <w:szCs w:val="24"/>
        </w:rPr>
        <w:t>to conduct customer due diligence on their clients</w:t>
      </w:r>
      <w:r w:rsidRPr="00F177B8">
        <w:rPr>
          <w:rFonts w:ascii="Times New Roman" w:hAnsi="Times New Roman"/>
          <w:sz w:val="24"/>
          <w:szCs w:val="24"/>
        </w:rPr>
        <w:t>.</w:t>
      </w:r>
      <w:r w:rsidR="000B6DE7">
        <w:rPr>
          <w:rFonts w:ascii="Times New Roman" w:hAnsi="Times New Roman"/>
          <w:sz w:val="24"/>
          <w:szCs w:val="24"/>
        </w:rPr>
        <w:t xml:space="preserve"> </w:t>
      </w:r>
      <w:r w:rsidR="007B2AD6">
        <w:rPr>
          <w:rFonts w:ascii="Times New Roman" w:hAnsi="Times New Roman"/>
          <w:sz w:val="24"/>
          <w:szCs w:val="24"/>
        </w:rPr>
        <w:t>The Ant</w:t>
      </w:r>
      <w:r w:rsidR="0008415A">
        <w:rPr>
          <w:rFonts w:ascii="Times New Roman" w:hAnsi="Times New Roman"/>
          <w:sz w:val="24"/>
          <w:szCs w:val="24"/>
        </w:rPr>
        <w:t>i-</w:t>
      </w:r>
      <w:r w:rsidR="007B2AD6">
        <w:rPr>
          <w:rFonts w:ascii="Times New Roman" w:hAnsi="Times New Roman"/>
          <w:sz w:val="24"/>
          <w:szCs w:val="24"/>
        </w:rPr>
        <w:t>Money Laundering and Countering of the Financial Terrorism</w:t>
      </w:r>
      <w:r w:rsidR="0008415A">
        <w:rPr>
          <w:rFonts w:ascii="Times New Roman" w:hAnsi="Times New Roman"/>
          <w:sz w:val="24"/>
          <w:szCs w:val="24"/>
        </w:rPr>
        <w:t xml:space="preserve"> Amendment</w:t>
      </w:r>
      <w:r w:rsidR="007B2AD6">
        <w:rPr>
          <w:rFonts w:ascii="Times New Roman" w:hAnsi="Times New Roman"/>
          <w:sz w:val="24"/>
          <w:szCs w:val="24"/>
        </w:rPr>
        <w:t xml:space="preserve"> Bill is expected to be</w:t>
      </w:r>
      <w:r w:rsidR="0008415A">
        <w:rPr>
          <w:rFonts w:ascii="Times New Roman" w:hAnsi="Times New Roman"/>
          <w:sz w:val="24"/>
          <w:szCs w:val="24"/>
        </w:rPr>
        <w:t xml:space="preserve"> implemented by 2020</w:t>
      </w:r>
      <w:r w:rsidR="000B6DE7">
        <w:rPr>
          <w:rFonts w:ascii="Times New Roman" w:hAnsi="Times New Roman"/>
          <w:sz w:val="24"/>
          <w:szCs w:val="24"/>
        </w:rPr>
        <w:t>.</w:t>
      </w:r>
    </w:p>
    <w:p w:rsidR="00061338" w:rsidRDefault="00061338" w:rsidP="007B6AFC">
      <w:pPr>
        <w:pStyle w:val="ListParagraph"/>
        <w:ind w:left="0"/>
        <w:rPr>
          <w:rFonts w:ascii="Times New Roman" w:hAnsi="Times New Roman"/>
          <w:sz w:val="24"/>
          <w:szCs w:val="24"/>
        </w:rPr>
      </w:pPr>
    </w:p>
    <w:p w:rsidR="00F84BE6" w:rsidRPr="00537899" w:rsidRDefault="00F84BE6" w:rsidP="007B6AFC">
      <w:pPr>
        <w:pStyle w:val="ListParagraph"/>
        <w:numPr>
          <w:ilvl w:val="0"/>
          <w:numId w:val="3"/>
        </w:numPr>
        <w:tabs>
          <w:tab w:val="clear" w:pos="720"/>
        </w:tabs>
        <w:ind w:left="0" w:firstLine="0"/>
        <w:rPr>
          <w:rFonts w:ascii="Times New Roman" w:hAnsi="Times New Roman"/>
          <w:sz w:val="24"/>
          <w:szCs w:val="24"/>
        </w:rPr>
      </w:pPr>
      <w:r w:rsidRPr="00537899">
        <w:rPr>
          <w:rFonts w:ascii="Times New Roman" w:hAnsi="Times New Roman"/>
          <w:sz w:val="24"/>
          <w:szCs w:val="24"/>
        </w:rPr>
        <w:t>There are a limited number of exceptions from the bank account requirement. They are:</w:t>
      </w:r>
    </w:p>
    <w:p w:rsidR="00F84BE6" w:rsidRPr="00537899" w:rsidRDefault="00F84BE6" w:rsidP="007B6AFC">
      <w:pPr>
        <w:pStyle w:val="ListParagraph"/>
        <w:ind w:left="0"/>
        <w:rPr>
          <w:rFonts w:ascii="Times New Roman" w:hAnsi="Times New Roman"/>
          <w:sz w:val="24"/>
          <w:szCs w:val="24"/>
        </w:rPr>
      </w:pPr>
    </w:p>
    <w:p w:rsidR="00F84BE6" w:rsidRPr="00537899" w:rsidRDefault="00F84BE6" w:rsidP="007B6AFC">
      <w:pPr>
        <w:pStyle w:val="Bullet-list"/>
        <w:numPr>
          <w:ilvl w:val="0"/>
          <w:numId w:val="6"/>
        </w:numPr>
        <w:spacing w:after="0" w:line="240" w:lineRule="auto"/>
        <w:ind w:left="567"/>
        <w:jc w:val="both"/>
        <w:rPr>
          <w:rFonts w:ascii="Times New Roman" w:hAnsi="Times New Roman"/>
          <w:sz w:val="24"/>
          <w:szCs w:val="24"/>
          <w:lang w:val="en-GB"/>
        </w:rPr>
      </w:pPr>
      <w:r w:rsidRPr="00537899">
        <w:rPr>
          <w:rFonts w:ascii="Times New Roman" w:hAnsi="Times New Roman"/>
          <w:sz w:val="24"/>
          <w:szCs w:val="24"/>
          <w:lang w:val="en-GB"/>
        </w:rPr>
        <w:t xml:space="preserve">When a person requires an IRD number only because they are a non-resident supplier of goods and services under the </w:t>
      </w:r>
      <w:bookmarkStart w:id="13" w:name="DLM81034"/>
      <w:r w:rsidRPr="00537899">
        <w:rPr>
          <w:rFonts w:ascii="Times New Roman" w:hAnsi="Times New Roman"/>
          <w:sz w:val="24"/>
          <w:szCs w:val="24"/>
          <w:lang w:val="en-GB"/>
        </w:rPr>
        <w:fldChar w:fldCharType="begin"/>
      </w:r>
      <w:r w:rsidRPr="00537899">
        <w:rPr>
          <w:rFonts w:ascii="Times New Roman" w:hAnsi="Times New Roman"/>
          <w:sz w:val="24"/>
          <w:szCs w:val="24"/>
          <w:lang w:val="en-GB"/>
        </w:rPr>
        <w:instrText xml:space="preserve"> HYPERLINK "http://www.legislation.govt.nz/act/public/1994/0166/latest/link.aspx?id=DLM81034" \l "DLM81034" </w:instrText>
      </w:r>
      <w:r w:rsidRPr="00537899">
        <w:rPr>
          <w:rFonts w:ascii="Times New Roman" w:hAnsi="Times New Roman"/>
          <w:sz w:val="24"/>
          <w:szCs w:val="24"/>
          <w:lang w:val="en-GB"/>
        </w:rPr>
        <w:fldChar w:fldCharType="separate"/>
      </w:r>
      <w:r w:rsidRPr="00537899">
        <w:rPr>
          <w:rFonts w:ascii="Times New Roman" w:hAnsi="Times New Roman"/>
          <w:sz w:val="24"/>
          <w:szCs w:val="24"/>
          <w:lang w:val="en-GB"/>
        </w:rPr>
        <w:t>Goods and Services Tax Act 1985</w:t>
      </w:r>
      <w:r w:rsidRPr="00537899">
        <w:rPr>
          <w:rFonts w:ascii="Times New Roman" w:hAnsi="Times New Roman"/>
          <w:sz w:val="24"/>
          <w:szCs w:val="24"/>
          <w:lang w:val="en-GB"/>
        </w:rPr>
        <w:fldChar w:fldCharType="end"/>
      </w:r>
      <w:bookmarkEnd w:id="13"/>
      <w:r w:rsidRPr="00537899">
        <w:rPr>
          <w:rFonts w:ascii="Times New Roman" w:hAnsi="Times New Roman"/>
          <w:sz w:val="24"/>
          <w:szCs w:val="24"/>
          <w:lang w:val="en-GB"/>
        </w:rPr>
        <w:t>;</w:t>
      </w:r>
    </w:p>
    <w:p w:rsidR="00F84BE6" w:rsidRPr="00537899" w:rsidRDefault="00F84BE6" w:rsidP="007B6AFC">
      <w:pPr>
        <w:pStyle w:val="Bullet-list"/>
        <w:spacing w:after="0" w:line="240" w:lineRule="auto"/>
        <w:ind w:left="567" w:firstLine="0"/>
        <w:jc w:val="both"/>
        <w:rPr>
          <w:rFonts w:ascii="Times New Roman" w:hAnsi="Times New Roman"/>
          <w:sz w:val="24"/>
          <w:szCs w:val="24"/>
          <w:lang w:val="en-GB"/>
        </w:rPr>
      </w:pPr>
    </w:p>
    <w:p w:rsidR="00DE1D73" w:rsidRPr="00537899" w:rsidRDefault="00F84BE6" w:rsidP="007B6AFC">
      <w:pPr>
        <w:pStyle w:val="Bullet-list"/>
        <w:numPr>
          <w:ilvl w:val="0"/>
          <w:numId w:val="6"/>
        </w:numPr>
        <w:spacing w:after="0" w:line="240" w:lineRule="auto"/>
        <w:ind w:left="567"/>
        <w:jc w:val="both"/>
        <w:rPr>
          <w:rFonts w:ascii="Times New Roman" w:hAnsi="Times New Roman"/>
          <w:sz w:val="24"/>
          <w:szCs w:val="24"/>
          <w:lang w:val="en-GB"/>
        </w:rPr>
      </w:pPr>
      <w:r w:rsidRPr="00537899">
        <w:rPr>
          <w:rFonts w:ascii="Times New Roman" w:hAnsi="Times New Roman"/>
          <w:sz w:val="24"/>
          <w:szCs w:val="24"/>
          <w:lang w:val="en-GB"/>
        </w:rPr>
        <w:t xml:space="preserve">When a reporting entity under the </w:t>
      </w:r>
      <w:hyperlink r:id="rId9" w:anchor="DLM2140700" w:history="1">
        <w:r w:rsidRPr="00537899">
          <w:rPr>
            <w:rFonts w:ascii="Times New Roman" w:hAnsi="Times New Roman"/>
            <w:sz w:val="24"/>
            <w:szCs w:val="24"/>
            <w:lang w:val="en-GB"/>
          </w:rPr>
          <w:t>AML Act</w:t>
        </w:r>
      </w:hyperlink>
      <w:r w:rsidRPr="00537899">
        <w:rPr>
          <w:rFonts w:ascii="Times New Roman" w:hAnsi="Times New Roman"/>
          <w:sz w:val="24"/>
          <w:szCs w:val="24"/>
          <w:lang w:val="en-GB"/>
        </w:rPr>
        <w:t xml:space="preserve"> has conducted customer due diligence procedures for the offshore person.</w:t>
      </w:r>
    </w:p>
    <w:p w:rsidR="000B6DE7" w:rsidRPr="000B6DE7" w:rsidRDefault="000B6DE7" w:rsidP="000B6DE7">
      <w:pPr>
        <w:pStyle w:val="ListParagraph"/>
        <w:rPr>
          <w:rFonts w:ascii="Times New Roman" w:hAnsi="Times New Roman"/>
          <w:sz w:val="24"/>
          <w:szCs w:val="24"/>
        </w:rPr>
      </w:pPr>
    </w:p>
    <w:p w:rsidR="000B6DE7" w:rsidRDefault="000B6DE7" w:rsidP="00AA28BC">
      <w:pPr>
        <w:pStyle w:val="ListParagraph"/>
        <w:numPr>
          <w:ilvl w:val="0"/>
          <w:numId w:val="3"/>
        </w:numPr>
        <w:tabs>
          <w:tab w:val="clear" w:pos="720"/>
        </w:tabs>
        <w:ind w:left="0" w:firstLine="0"/>
        <w:rPr>
          <w:rFonts w:ascii="Times New Roman" w:hAnsi="Times New Roman"/>
          <w:sz w:val="24"/>
          <w:szCs w:val="24"/>
        </w:rPr>
      </w:pPr>
      <w:r>
        <w:rPr>
          <w:rFonts w:ascii="Times New Roman" w:hAnsi="Times New Roman"/>
          <w:sz w:val="24"/>
          <w:szCs w:val="24"/>
        </w:rPr>
        <w:t>The bank account requirement has also been simplified for non-resident seasonal workers (for example, workers who come from Pacific countries to pick fruit).  They can use the NSW</w:t>
      </w:r>
      <w:r w:rsidRPr="000B6DE7">
        <w:rPr>
          <w:rStyle w:val="FootnoteReference"/>
          <w:rFonts w:ascii="Times New Roman" w:hAnsi="Times New Roman"/>
          <w:szCs w:val="24"/>
        </w:rPr>
        <w:footnoteReference w:id="1"/>
      </w:r>
      <w:r>
        <w:rPr>
          <w:rFonts w:ascii="Times New Roman" w:hAnsi="Times New Roman"/>
          <w:sz w:val="24"/>
          <w:szCs w:val="24"/>
        </w:rPr>
        <w:t xml:space="preserve"> tax code for the first month of their employment, even though they may not have an IRD number and/or a New Zealand bank account.  After that month, an IRD number must be provided for the NSW tax code to continue to apply, and a bank account is then required.</w:t>
      </w:r>
    </w:p>
    <w:p w:rsidR="000B6DE7" w:rsidRDefault="000B6DE7" w:rsidP="000B6DE7">
      <w:pPr>
        <w:spacing w:after="0"/>
        <w:rPr>
          <w:rFonts w:ascii="Times New Roman" w:hAnsi="Times New Roman"/>
          <w:sz w:val="24"/>
          <w:szCs w:val="24"/>
        </w:rPr>
      </w:pPr>
    </w:p>
    <w:p w:rsidR="000337D9" w:rsidRPr="000337D9" w:rsidRDefault="00D91F13" w:rsidP="000337D9">
      <w:pPr>
        <w:pStyle w:val="ListParagraph"/>
        <w:numPr>
          <w:ilvl w:val="0"/>
          <w:numId w:val="3"/>
        </w:numPr>
        <w:tabs>
          <w:tab w:val="clear" w:pos="720"/>
        </w:tabs>
        <w:ind w:left="0" w:firstLine="0"/>
        <w:rPr>
          <w:rFonts w:ascii="Times New Roman" w:hAnsi="Times New Roman"/>
          <w:sz w:val="24"/>
          <w:szCs w:val="24"/>
        </w:rPr>
      </w:pPr>
      <w:r w:rsidRPr="007B6AFC">
        <w:rPr>
          <w:rFonts w:ascii="Times New Roman" w:hAnsi="Times New Roman"/>
          <w:sz w:val="24"/>
          <w:szCs w:val="24"/>
        </w:rPr>
        <w:t xml:space="preserve">During the last year, Inland Revenue has been approached by a number of organisations and individuals raising concerns with the current bank account requirement. </w:t>
      </w:r>
      <w:r w:rsidR="000337D9">
        <w:rPr>
          <w:rFonts w:ascii="Times New Roman" w:hAnsi="Times New Roman"/>
          <w:sz w:val="24"/>
          <w:szCs w:val="24"/>
        </w:rPr>
        <w:t xml:space="preserve"> The submitters advised that due to the difficulties associated with the opening of a bank account, offshore persons are unable to get an IRD number and</w:t>
      </w:r>
      <w:r w:rsidR="00E909D5">
        <w:rPr>
          <w:rFonts w:ascii="Times New Roman" w:hAnsi="Times New Roman"/>
          <w:sz w:val="24"/>
          <w:szCs w:val="24"/>
        </w:rPr>
        <w:t>, in turn,</w:t>
      </w:r>
      <w:r w:rsidR="000337D9">
        <w:rPr>
          <w:rFonts w:ascii="Times New Roman" w:hAnsi="Times New Roman"/>
          <w:sz w:val="24"/>
          <w:szCs w:val="24"/>
        </w:rPr>
        <w:t xml:space="preserve"> comply with their New Zealand tax liabilities.</w:t>
      </w:r>
    </w:p>
    <w:p w:rsidR="00D91F13" w:rsidRPr="00D91F13" w:rsidRDefault="00D91F13" w:rsidP="00D91F13">
      <w:pPr>
        <w:tabs>
          <w:tab w:val="left" w:pos="567"/>
        </w:tabs>
        <w:spacing w:after="0" w:line="300" w:lineRule="atLeast"/>
        <w:jc w:val="both"/>
        <w:rPr>
          <w:rFonts w:ascii="Times New Roman" w:hAnsi="Times New Roman"/>
          <w:sz w:val="24"/>
          <w:lang w:val="en-NZ" w:eastAsia="en-AU"/>
        </w:rPr>
      </w:pPr>
    </w:p>
    <w:p w:rsidR="00D91F13" w:rsidRPr="007B6AFC" w:rsidRDefault="00D91F13" w:rsidP="007B6AFC">
      <w:pPr>
        <w:pStyle w:val="ListParagraph"/>
        <w:numPr>
          <w:ilvl w:val="0"/>
          <w:numId w:val="3"/>
        </w:numPr>
        <w:tabs>
          <w:tab w:val="clear" w:pos="720"/>
        </w:tabs>
        <w:ind w:left="0" w:firstLine="0"/>
        <w:rPr>
          <w:rFonts w:ascii="Times New Roman" w:hAnsi="Times New Roman"/>
          <w:sz w:val="24"/>
          <w:szCs w:val="24"/>
        </w:rPr>
      </w:pPr>
      <w:r w:rsidRPr="007B6AFC">
        <w:rPr>
          <w:rFonts w:ascii="Times New Roman" w:hAnsi="Times New Roman"/>
          <w:sz w:val="24"/>
          <w:szCs w:val="24"/>
        </w:rPr>
        <w:t xml:space="preserve">In the March 2016 report on the Taxation (Residential Land Withholding Tax, GST on Online Services, and Student Loans) Bill, which brought in the exceptions to the bank account requirement, the Finance and Expenditure Committee noted that it is aware of some practical difficulties with the bank account requirement. The Committee also noted that officials have undertaken to continue </w:t>
      </w:r>
      <w:r w:rsidR="008705F5">
        <w:rPr>
          <w:rFonts w:ascii="Times New Roman" w:hAnsi="Times New Roman"/>
          <w:sz w:val="24"/>
          <w:szCs w:val="24"/>
        </w:rPr>
        <w:t xml:space="preserve">to </w:t>
      </w:r>
      <w:r w:rsidRPr="007B6AFC">
        <w:rPr>
          <w:rFonts w:ascii="Times New Roman" w:hAnsi="Times New Roman"/>
          <w:sz w:val="24"/>
          <w:szCs w:val="24"/>
        </w:rPr>
        <w:t>work on solutions, whether legislative or operational, to address practical difficulties and unintended consequences.</w:t>
      </w:r>
    </w:p>
    <w:p w:rsidR="00D91F13" w:rsidRPr="007B6AFC" w:rsidRDefault="00D91F13" w:rsidP="007B6AFC">
      <w:pPr>
        <w:pStyle w:val="ListParagraph"/>
        <w:ind w:left="0"/>
        <w:rPr>
          <w:rFonts w:ascii="Times New Roman" w:hAnsi="Times New Roman"/>
          <w:sz w:val="24"/>
          <w:szCs w:val="24"/>
        </w:rPr>
      </w:pPr>
    </w:p>
    <w:p w:rsidR="00D91F13" w:rsidRDefault="00D91F13" w:rsidP="007B6AFC">
      <w:pPr>
        <w:pStyle w:val="ListParagraph"/>
        <w:numPr>
          <w:ilvl w:val="0"/>
          <w:numId w:val="3"/>
        </w:numPr>
        <w:tabs>
          <w:tab w:val="clear" w:pos="720"/>
        </w:tabs>
        <w:ind w:left="0" w:firstLine="0"/>
        <w:rPr>
          <w:rFonts w:ascii="Times New Roman" w:hAnsi="Times New Roman"/>
          <w:sz w:val="24"/>
          <w:lang w:eastAsia="en-AU"/>
        </w:rPr>
      </w:pPr>
      <w:r w:rsidRPr="007B6AFC">
        <w:rPr>
          <w:rFonts w:ascii="Times New Roman" w:hAnsi="Times New Roman"/>
          <w:sz w:val="24"/>
          <w:szCs w:val="24"/>
        </w:rPr>
        <w:t>A review of this requirement has been included in the</w:t>
      </w:r>
      <w:r w:rsidR="00E909D5">
        <w:rPr>
          <w:rFonts w:ascii="Times New Roman" w:hAnsi="Times New Roman"/>
          <w:sz w:val="24"/>
          <w:szCs w:val="24"/>
        </w:rPr>
        <w:t xml:space="preserve"> recent</w:t>
      </w:r>
      <w:r w:rsidRPr="007B6AFC">
        <w:rPr>
          <w:rFonts w:ascii="Times New Roman" w:hAnsi="Times New Roman"/>
          <w:sz w:val="24"/>
          <w:szCs w:val="24"/>
        </w:rPr>
        <w:t xml:space="preserve"> refresh of the Tax Policy Work Programme</w:t>
      </w:r>
      <w:r w:rsidR="00EA7761">
        <w:rPr>
          <w:rFonts w:ascii="Times New Roman" w:hAnsi="Times New Roman"/>
          <w:sz w:val="24"/>
          <w:szCs w:val="24"/>
        </w:rPr>
        <w:t xml:space="preserve">. </w:t>
      </w:r>
      <w:r w:rsidRPr="007B6AFC">
        <w:rPr>
          <w:rFonts w:ascii="Times New Roman" w:hAnsi="Times New Roman"/>
          <w:sz w:val="24"/>
          <w:szCs w:val="24"/>
        </w:rPr>
        <w:t>As part of the review, Inland Revenue has consulted with interested parties.</w:t>
      </w:r>
      <w:r w:rsidRPr="00D91F13">
        <w:rPr>
          <w:rFonts w:ascii="Times New Roman" w:hAnsi="Times New Roman"/>
          <w:sz w:val="24"/>
          <w:lang w:eastAsia="en-AU"/>
        </w:rPr>
        <w:tab/>
      </w:r>
    </w:p>
    <w:p w:rsidR="00D97095" w:rsidRPr="00D91F13" w:rsidRDefault="00D97095" w:rsidP="004F5EBE">
      <w:pPr>
        <w:pStyle w:val="ListParagraph"/>
        <w:ind w:left="0"/>
        <w:rPr>
          <w:rFonts w:ascii="Times New Roman" w:hAnsi="Times New Roman"/>
          <w:sz w:val="24"/>
          <w:lang w:eastAsia="en-AU"/>
        </w:rPr>
      </w:pPr>
    </w:p>
    <w:p w:rsidR="000B6DE7" w:rsidRDefault="00F57883" w:rsidP="000B6DE7">
      <w:pPr>
        <w:spacing w:after="0"/>
        <w:rPr>
          <w:rFonts w:ascii="Times New Roman" w:hAnsi="Times New Roman"/>
          <w:b/>
          <w:sz w:val="24"/>
          <w:szCs w:val="24"/>
        </w:rPr>
      </w:pPr>
      <w:r>
        <w:rPr>
          <w:rFonts w:ascii="Times New Roman" w:hAnsi="Times New Roman"/>
          <w:b/>
          <w:sz w:val="24"/>
          <w:szCs w:val="24"/>
        </w:rPr>
        <w:t xml:space="preserve">Issues </w:t>
      </w:r>
      <w:r w:rsidR="000B6DE7" w:rsidRPr="000B6DE7">
        <w:rPr>
          <w:rFonts w:ascii="Times New Roman" w:hAnsi="Times New Roman"/>
          <w:b/>
          <w:sz w:val="24"/>
          <w:szCs w:val="24"/>
        </w:rPr>
        <w:t>with the bank account requirement</w:t>
      </w:r>
    </w:p>
    <w:p w:rsidR="000B6DE7" w:rsidRPr="000B6DE7" w:rsidRDefault="000B6DE7" w:rsidP="000B6DE7">
      <w:pPr>
        <w:spacing w:after="0"/>
        <w:rPr>
          <w:rFonts w:ascii="Times New Roman" w:hAnsi="Times New Roman"/>
          <w:b/>
          <w:sz w:val="24"/>
          <w:szCs w:val="24"/>
        </w:rPr>
      </w:pPr>
    </w:p>
    <w:p w:rsidR="007B3AB2" w:rsidRPr="007B3AB2" w:rsidRDefault="007B3AB2" w:rsidP="00AA28BC">
      <w:pPr>
        <w:pStyle w:val="ListParagraph"/>
        <w:numPr>
          <w:ilvl w:val="0"/>
          <w:numId w:val="3"/>
        </w:numPr>
        <w:tabs>
          <w:tab w:val="clear" w:pos="720"/>
        </w:tabs>
        <w:ind w:left="0" w:firstLine="0"/>
        <w:rPr>
          <w:rFonts w:ascii="Times New Roman" w:hAnsi="Times New Roman"/>
          <w:sz w:val="24"/>
          <w:szCs w:val="24"/>
        </w:rPr>
      </w:pPr>
      <w:r w:rsidRPr="007B3AB2">
        <w:rPr>
          <w:rFonts w:ascii="Times New Roman" w:hAnsi="Times New Roman"/>
          <w:sz w:val="24"/>
          <w:szCs w:val="24"/>
          <w:lang w:val="en-GB"/>
        </w:rPr>
        <w:t xml:space="preserve">Inland Revenue has received a </w:t>
      </w:r>
      <w:r w:rsidRPr="00EA7761">
        <w:rPr>
          <w:rFonts w:ascii="Times New Roman" w:hAnsi="Times New Roman"/>
          <w:sz w:val="24"/>
          <w:szCs w:val="24"/>
          <w:lang w:val="en-GB"/>
        </w:rPr>
        <w:t>large volume</w:t>
      </w:r>
      <w:r w:rsidRPr="007B3AB2">
        <w:rPr>
          <w:rFonts w:ascii="Times New Roman" w:hAnsi="Times New Roman"/>
          <w:sz w:val="24"/>
          <w:szCs w:val="24"/>
          <w:lang w:val="en-GB"/>
        </w:rPr>
        <w:t xml:space="preserve"> of feedback from affected persons on the issues caused by the bank account requirement for obtaining an IRD number.</w:t>
      </w:r>
      <w:r w:rsidR="00590B90">
        <w:rPr>
          <w:rFonts w:ascii="Times New Roman" w:hAnsi="Times New Roman"/>
          <w:sz w:val="24"/>
          <w:szCs w:val="24"/>
          <w:lang w:val="en-GB"/>
        </w:rPr>
        <w:t xml:space="preserve"> </w:t>
      </w:r>
      <w:r w:rsidRPr="007B3AB2">
        <w:rPr>
          <w:rFonts w:ascii="Times New Roman" w:hAnsi="Times New Roman"/>
          <w:sz w:val="24"/>
          <w:szCs w:val="24"/>
          <w:lang w:val="en-GB"/>
        </w:rPr>
        <w:t xml:space="preserve"> There have been </w:t>
      </w:r>
      <w:r w:rsidRPr="00EA7761">
        <w:rPr>
          <w:rFonts w:ascii="Times New Roman" w:hAnsi="Times New Roman"/>
          <w:sz w:val="24"/>
          <w:szCs w:val="24"/>
          <w:lang w:val="en-GB"/>
        </w:rPr>
        <w:t>many cases</w:t>
      </w:r>
      <w:r w:rsidRPr="007B3AB2">
        <w:rPr>
          <w:rFonts w:ascii="Times New Roman" w:hAnsi="Times New Roman"/>
          <w:sz w:val="24"/>
          <w:szCs w:val="24"/>
          <w:lang w:val="en-GB"/>
        </w:rPr>
        <w:t xml:space="preserve"> where offshore persons have faced difficulties obtaining a bank account in New Zealand, which stops them from getting an IRD number, and</w:t>
      </w:r>
      <w:r w:rsidR="0043388D">
        <w:rPr>
          <w:rFonts w:ascii="Times New Roman" w:hAnsi="Times New Roman"/>
          <w:sz w:val="24"/>
          <w:szCs w:val="24"/>
          <w:lang w:val="en-GB"/>
        </w:rPr>
        <w:t xml:space="preserve"> </w:t>
      </w:r>
      <w:r w:rsidRPr="007B3AB2">
        <w:rPr>
          <w:rFonts w:ascii="Times New Roman" w:hAnsi="Times New Roman"/>
          <w:sz w:val="24"/>
          <w:szCs w:val="24"/>
          <w:lang w:val="en-GB"/>
        </w:rPr>
        <w:t>complying with their New Zealand tax obligations.</w:t>
      </w:r>
    </w:p>
    <w:p w:rsidR="007B3AB2" w:rsidRDefault="007B3AB2" w:rsidP="007B3AB2">
      <w:pPr>
        <w:pStyle w:val="ListParagraph"/>
        <w:ind w:left="0"/>
        <w:rPr>
          <w:rFonts w:ascii="Times New Roman" w:hAnsi="Times New Roman"/>
          <w:sz w:val="24"/>
          <w:szCs w:val="24"/>
        </w:rPr>
      </w:pPr>
    </w:p>
    <w:p w:rsidR="007B3AB2" w:rsidRDefault="007B3AB2" w:rsidP="00AA28BC">
      <w:pPr>
        <w:pStyle w:val="ListParagraph"/>
        <w:numPr>
          <w:ilvl w:val="0"/>
          <w:numId w:val="3"/>
        </w:numPr>
        <w:tabs>
          <w:tab w:val="clear" w:pos="720"/>
        </w:tabs>
        <w:ind w:left="0" w:firstLine="0"/>
        <w:rPr>
          <w:rFonts w:ascii="Times New Roman" w:hAnsi="Times New Roman"/>
          <w:sz w:val="24"/>
          <w:szCs w:val="24"/>
        </w:rPr>
      </w:pPr>
      <w:r w:rsidRPr="007B3AB2">
        <w:rPr>
          <w:rFonts w:ascii="Times New Roman" w:hAnsi="Times New Roman"/>
          <w:sz w:val="24"/>
          <w:szCs w:val="24"/>
        </w:rPr>
        <w:t xml:space="preserve">The issues that have been brought to </w:t>
      </w:r>
      <w:r>
        <w:rPr>
          <w:rFonts w:ascii="Times New Roman" w:hAnsi="Times New Roman"/>
          <w:sz w:val="24"/>
          <w:szCs w:val="24"/>
        </w:rPr>
        <w:t>officials</w:t>
      </w:r>
      <w:r w:rsidR="00061338">
        <w:rPr>
          <w:rFonts w:ascii="Times New Roman" w:hAnsi="Times New Roman"/>
          <w:sz w:val="24"/>
          <w:szCs w:val="24"/>
        </w:rPr>
        <w:t>’</w:t>
      </w:r>
      <w:r w:rsidRPr="007B3AB2">
        <w:rPr>
          <w:rFonts w:ascii="Times New Roman" w:hAnsi="Times New Roman"/>
          <w:sz w:val="24"/>
          <w:szCs w:val="24"/>
        </w:rPr>
        <w:t xml:space="preserve"> attention can be generally divided into the following categories:</w:t>
      </w:r>
    </w:p>
    <w:p w:rsidR="00590B90" w:rsidRPr="007B3AB2" w:rsidRDefault="00590B90" w:rsidP="00590B90">
      <w:pPr>
        <w:pStyle w:val="ListParagraph"/>
        <w:ind w:left="0"/>
        <w:rPr>
          <w:rFonts w:ascii="Times New Roman" w:hAnsi="Times New Roman"/>
          <w:sz w:val="24"/>
          <w:szCs w:val="24"/>
        </w:rPr>
      </w:pPr>
    </w:p>
    <w:p w:rsidR="007B3AB2" w:rsidRPr="007B3AB2" w:rsidRDefault="007B3AB2" w:rsidP="00872009">
      <w:pPr>
        <w:pStyle w:val="Bullet-list"/>
        <w:numPr>
          <w:ilvl w:val="0"/>
          <w:numId w:val="24"/>
        </w:numPr>
        <w:spacing w:line="240" w:lineRule="auto"/>
        <w:jc w:val="both"/>
        <w:rPr>
          <w:rFonts w:ascii="Times New Roman" w:hAnsi="Times New Roman"/>
          <w:sz w:val="24"/>
          <w:szCs w:val="24"/>
        </w:rPr>
      </w:pPr>
      <w:r w:rsidRPr="007B3AB2">
        <w:rPr>
          <w:rFonts w:ascii="Times New Roman" w:hAnsi="Times New Roman"/>
          <w:sz w:val="24"/>
          <w:szCs w:val="24"/>
        </w:rPr>
        <w:t>New Zealand banks are unwilling to issue bank accounts to offshore persons</w:t>
      </w:r>
    </w:p>
    <w:p w:rsidR="007B3AB2" w:rsidRPr="007B3AB2" w:rsidRDefault="007B3AB2" w:rsidP="00872009">
      <w:pPr>
        <w:pStyle w:val="Bullet-list"/>
        <w:numPr>
          <w:ilvl w:val="0"/>
          <w:numId w:val="24"/>
        </w:numPr>
        <w:spacing w:line="240" w:lineRule="auto"/>
        <w:jc w:val="both"/>
        <w:rPr>
          <w:rFonts w:ascii="Times New Roman" w:hAnsi="Times New Roman"/>
          <w:sz w:val="24"/>
          <w:szCs w:val="24"/>
        </w:rPr>
      </w:pPr>
      <w:r w:rsidRPr="007B3AB2">
        <w:rPr>
          <w:rFonts w:ascii="Times New Roman" w:hAnsi="Times New Roman"/>
          <w:sz w:val="24"/>
          <w:szCs w:val="24"/>
        </w:rPr>
        <w:t xml:space="preserve">There </w:t>
      </w:r>
      <w:r w:rsidR="0043388D">
        <w:rPr>
          <w:rFonts w:ascii="Times New Roman" w:hAnsi="Times New Roman"/>
          <w:sz w:val="24"/>
          <w:szCs w:val="24"/>
        </w:rPr>
        <w:t xml:space="preserve">can be </w:t>
      </w:r>
      <w:r w:rsidRPr="007B3AB2">
        <w:rPr>
          <w:rFonts w:ascii="Times New Roman" w:hAnsi="Times New Roman"/>
          <w:sz w:val="24"/>
          <w:szCs w:val="24"/>
        </w:rPr>
        <w:t xml:space="preserve"> delays for offshore persons in obtaining a New Zealand bank account </w:t>
      </w:r>
    </w:p>
    <w:p w:rsidR="007B3AB2" w:rsidRPr="007B3AB2" w:rsidRDefault="007B3AB2" w:rsidP="00872009">
      <w:pPr>
        <w:pStyle w:val="Bullet-list"/>
        <w:numPr>
          <w:ilvl w:val="0"/>
          <w:numId w:val="24"/>
        </w:numPr>
        <w:spacing w:line="240" w:lineRule="auto"/>
        <w:jc w:val="both"/>
        <w:rPr>
          <w:rFonts w:ascii="Times New Roman" w:hAnsi="Times New Roman"/>
          <w:sz w:val="24"/>
          <w:szCs w:val="24"/>
        </w:rPr>
      </w:pPr>
      <w:r w:rsidRPr="007B3AB2">
        <w:rPr>
          <w:rFonts w:ascii="Times New Roman" w:hAnsi="Times New Roman"/>
          <w:sz w:val="24"/>
          <w:szCs w:val="24"/>
        </w:rPr>
        <w:t>The compliance costs of obtaining a</w:t>
      </w:r>
      <w:r w:rsidR="0043388D">
        <w:rPr>
          <w:rFonts w:ascii="Times New Roman" w:hAnsi="Times New Roman"/>
          <w:sz w:val="24"/>
          <w:szCs w:val="24"/>
        </w:rPr>
        <w:t xml:space="preserve"> New Zealand</w:t>
      </w:r>
      <w:r w:rsidRPr="007B3AB2">
        <w:rPr>
          <w:rFonts w:ascii="Times New Roman" w:hAnsi="Times New Roman"/>
          <w:sz w:val="24"/>
          <w:szCs w:val="24"/>
        </w:rPr>
        <w:t xml:space="preserve"> bank account are high</w:t>
      </w:r>
    </w:p>
    <w:p w:rsidR="000B6DE7" w:rsidRDefault="000B6DE7" w:rsidP="007B3AB2">
      <w:pPr>
        <w:pStyle w:val="ListParagraph"/>
        <w:ind w:left="0"/>
        <w:rPr>
          <w:rFonts w:ascii="Times New Roman" w:hAnsi="Times New Roman"/>
          <w:sz w:val="24"/>
          <w:szCs w:val="24"/>
        </w:rPr>
      </w:pPr>
    </w:p>
    <w:p w:rsidR="007B3AB2" w:rsidRPr="007B3AB2" w:rsidRDefault="007B3AB2" w:rsidP="007B3AB2">
      <w:pPr>
        <w:pStyle w:val="ListParagraph"/>
        <w:ind w:left="0"/>
        <w:rPr>
          <w:rFonts w:ascii="Times New Roman" w:hAnsi="Times New Roman"/>
          <w:b/>
          <w:i/>
          <w:sz w:val="24"/>
          <w:szCs w:val="24"/>
        </w:rPr>
      </w:pPr>
      <w:r w:rsidRPr="007B3AB2">
        <w:rPr>
          <w:rFonts w:ascii="Times New Roman" w:hAnsi="Times New Roman"/>
          <w:b/>
          <w:i/>
          <w:sz w:val="24"/>
          <w:szCs w:val="24"/>
        </w:rPr>
        <w:t>Banks unwilling to issue bank accounts</w:t>
      </w:r>
    </w:p>
    <w:p w:rsidR="007B3AB2" w:rsidRDefault="007B3AB2" w:rsidP="007B3AB2">
      <w:pPr>
        <w:pStyle w:val="ListParagraph"/>
        <w:ind w:left="0"/>
        <w:rPr>
          <w:rFonts w:ascii="Times New Roman" w:hAnsi="Times New Roman"/>
          <w:sz w:val="24"/>
          <w:szCs w:val="24"/>
        </w:rPr>
      </w:pPr>
    </w:p>
    <w:p w:rsidR="007B3AB2" w:rsidRPr="00363EDF" w:rsidRDefault="007B3AB2" w:rsidP="00AA28BC">
      <w:pPr>
        <w:pStyle w:val="TRNormal"/>
        <w:numPr>
          <w:ilvl w:val="0"/>
          <w:numId w:val="3"/>
        </w:numPr>
        <w:tabs>
          <w:tab w:val="clear" w:pos="720"/>
        </w:tabs>
        <w:ind w:left="0" w:firstLine="0"/>
      </w:pPr>
      <w:r w:rsidRPr="00A47C2D">
        <w:t xml:space="preserve">Banks are in </w:t>
      </w:r>
      <w:r w:rsidRPr="00EA7761">
        <w:t>a number of instances</w:t>
      </w:r>
      <w:r w:rsidRPr="00A47C2D">
        <w:t xml:space="preserve"> unwilling to </w:t>
      </w:r>
      <w:r>
        <w:t>open a bank account for</w:t>
      </w:r>
      <w:r w:rsidRPr="00A47C2D">
        <w:t xml:space="preserve"> people who are predominantly based overseas and </w:t>
      </w:r>
      <w:r>
        <w:t xml:space="preserve">who </w:t>
      </w:r>
      <w:r w:rsidRPr="00A47C2D">
        <w:t xml:space="preserve">are not going to </w:t>
      </w:r>
      <w:r>
        <w:t xml:space="preserve">have </w:t>
      </w:r>
      <w:r w:rsidR="00E909D5">
        <w:t>on-going business with the bank</w:t>
      </w:r>
      <w:r w:rsidRPr="00A47C2D">
        <w:t xml:space="preserve">. Opening an account for such persons is not cost-effective for the bank, as the cost of </w:t>
      </w:r>
      <w:r>
        <w:t xml:space="preserve">customer due diligence </w:t>
      </w:r>
      <w:r w:rsidRPr="00A47C2D">
        <w:t xml:space="preserve">outweighs the benefits the bank may get from having them as </w:t>
      </w:r>
      <w:r w:rsidR="00E909D5">
        <w:t>a customer</w:t>
      </w:r>
      <w:r w:rsidRPr="00A47C2D">
        <w:t>.</w:t>
      </w:r>
    </w:p>
    <w:p w:rsidR="007B3AB2" w:rsidRDefault="007B3AB2" w:rsidP="007B3AB2">
      <w:pPr>
        <w:spacing w:after="0"/>
        <w:rPr>
          <w:rFonts w:ascii="Times New Roman" w:hAnsi="Times New Roman"/>
          <w:b/>
          <w:i/>
          <w:sz w:val="24"/>
          <w:szCs w:val="24"/>
        </w:rPr>
      </w:pPr>
    </w:p>
    <w:p w:rsidR="007B3AB2" w:rsidRDefault="00D91F13" w:rsidP="007B3AB2">
      <w:pPr>
        <w:spacing w:after="0"/>
        <w:rPr>
          <w:rFonts w:ascii="Times New Roman" w:hAnsi="Times New Roman"/>
          <w:b/>
          <w:i/>
          <w:sz w:val="24"/>
          <w:szCs w:val="24"/>
        </w:rPr>
      </w:pPr>
      <w:r>
        <w:rPr>
          <w:rFonts w:ascii="Times New Roman" w:hAnsi="Times New Roman"/>
          <w:b/>
          <w:i/>
          <w:sz w:val="24"/>
          <w:szCs w:val="24"/>
        </w:rPr>
        <w:t>D</w:t>
      </w:r>
      <w:r w:rsidR="007B3AB2">
        <w:rPr>
          <w:rFonts w:ascii="Times New Roman" w:hAnsi="Times New Roman"/>
          <w:b/>
          <w:i/>
          <w:sz w:val="24"/>
          <w:szCs w:val="24"/>
        </w:rPr>
        <w:t>elay</w:t>
      </w:r>
      <w:r>
        <w:rPr>
          <w:rFonts w:ascii="Times New Roman" w:hAnsi="Times New Roman"/>
          <w:b/>
          <w:i/>
          <w:sz w:val="24"/>
          <w:szCs w:val="24"/>
        </w:rPr>
        <w:t>s</w:t>
      </w:r>
      <w:r w:rsidR="007B3AB2">
        <w:rPr>
          <w:rFonts w:ascii="Times New Roman" w:hAnsi="Times New Roman"/>
          <w:b/>
          <w:i/>
          <w:sz w:val="24"/>
          <w:szCs w:val="24"/>
        </w:rPr>
        <w:t xml:space="preserve"> in obtaining New Zealand bank accounts</w:t>
      </w:r>
    </w:p>
    <w:p w:rsidR="007B3AB2" w:rsidRPr="007B3AB2" w:rsidRDefault="007B3AB2" w:rsidP="007B3AB2">
      <w:pPr>
        <w:spacing w:after="0"/>
        <w:rPr>
          <w:rFonts w:ascii="Times New Roman" w:hAnsi="Times New Roman"/>
          <w:b/>
          <w:i/>
          <w:sz w:val="24"/>
          <w:szCs w:val="24"/>
        </w:rPr>
      </w:pPr>
    </w:p>
    <w:p w:rsidR="007B3AB2" w:rsidRPr="00A47C2D" w:rsidRDefault="007B3AB2" w:rsidP="00AA28BC">
      <w:pPr>
        <w:pStyle w:val="TRNormal"/>
        <w:numPr>
          <w:ilvl w:val="0"/>
          <w:numId w:val="3"/>
        </w:numPr>
        <w:tabs>
          <w:tab w:val="clear" w:pos="720"/>
        </w:tabs>
        <w:ind w:left="0" w:firstLine="0"/>
      </w:pPr>
      <w:r>
        <w:t xml:space="preserve">Officials have been provided with </w:t>
      </w:r>
      <w:r w:rsidRPr="00EA7761">
        <w:t>a number of examples</w:t>
      </w:r>
      <w:r>
        <w:t xml:space="preserve"> demonstrating that </w:t>
      </w:r>
      <w:r w:rsidR="00D91F13">
        <w:t xml:space="preserve">it can at times take between </w:t>
      </w:r>
      <w:r w:rsidR="00E909D5">
        <w:t xml:space="preserve">4 to </w:t>
      </w:r>
      <w:r>
        <w:t xml:space="preserve">6 months before a New Zealand bank account is issued to an offshore person. </w:t>
      </w:r>
    </w:p>
    <w:p w:rsidR="007B3AB2" w:rsidRDefault="007B3AB2" w:rsidP="007B3AB2">
      <w:pPr>
        <w:pStyle w:val="ListParagraph"/>
        <w:ind w:left="0"/>
        <w:rPr>
          <w:rFonts w:ascii="Times New Roman" w:hAnsi="Times New Roman"/>
          <w:sz w:val="24"/>
          <w:szCs w:val="24"/>
        </w:rPr>
      </w:pPr>
    </w:p>
    <w:p w:rsidR="00363EDF" w:rsidRPr="00363EDF" w:rsidRDefault="00363EDF" w:rsidP="007B3AB2">
      <w:pPr>
        <w:pStyle w:val="ListParagraph"/>
        <w:ind w:left="0"/>
        <w:rPr>
          <w:rFonts w:ascii="Times New Roman" w:hAnsi="Times New Roman"/>
          <w:b/>
          <w:i/>
          <w:sz w:val="24"/>
          <w:szCs w:val="24"/>
        </w:rPr>
      </w:pPr>
      <w:r>
        <w:rPr>
          <w:rFonts w:ascii="Times New Roman" w:hAnsi="Times New Roman"/>
          <w:b/>
          <w:i/>
          <w:sz w:val="24"/>
          <w:szCs w:val="24"/>
        </w:rPr>
        <w:t>Compliance costs</w:t>
      </w:r>
    </w:p>
    <w:p w:rsidR="00363EDF" w:rsidRDefault="00363EDF" w:rsidP="007B3AB2">
      <w:pPr>
        <w:pStyle w:val="ListParagraph"/>
        <w:ind w:left="0"/>
        <w:rPr>
          <w:rFonts w:ascii="Times New Roman" w:hAnsi="Times New Roman"/>
          <w:sz w:val="24"/>
          <w:szCs w:val="24"/>
        </w:rPr>
      </w:pPr>
    </w:p>
    <w:p w:rsidR="00EA7761" w:rsidRPr="004F5EBE" w:rsidRDefault="00EA7761" w:rsidP="004F5EBE">
      <w:pPr>
        <w:pStyle w:val="TRNormal"/>
        <w:numPr>
          <w:ilvl w:val="0"/>
          <w:numId w:val="3"/>
        </w:numPr>
        <w:tabs>
          <w:tab w:val="clear" w:pos="720"/>
        </w:tabs>
        <w:ind w:left="0" w:firstLine="0"/>
        <w:rPr>
          <w:b/>
        </w:rPr>
      </w:pPr>
      <w:r>
        <w:t>New Zealand banks and a number of submitters advised Inland Revenue that</w:t>
      </w:r>
      <w:r w:rsidRPr="0043388D">
        <w:t xml:space="preserve"> </w:t>
      </w:r>
      <w:r>
        <w:t>t</w:t>
      </w:r>
      <w:r w:rsidR="00363EDF" w:rsidRPr="0043388D">
        <w:t>o open a</w:t>
      </w:r>
      <w:r>
        <w:t xml:space="preserve"> bank</w:t>
      </w:r>
      <w:r w:rsidR="00363EDF" w:rsidRPr="0043388D">
        <w:t xml:space="preserve"> account in New Zealand, </w:t>
      </w:r>
      <w:r w:rsidRPr="0043388D">
        <w:t xml:space="preserve">personal presence here </w:t>
      </w:r>
      <w:r>
        <w:t xml:space="preserve">is </w:t>
      </w:r>
      <w:r w:rsidR="00363EDF" w:rsidRPr="0043388D">
        <w:t>require</w:t>
      </w:r>
      <w:r>
        <w:t>d</w:t>
      </w:r>
      <w:r w:rsidR="00363EDF" w:rsidRPr="0043388D">
        <w:t xml:space="preserve">.  </w:t>
      </w:r>
      <w:r>
        <w:t xml:space="preserve">In a number of cases, </w:t>
      </w:r>
      <w:r w:rsidR="00363EDF" w:rsidRPr="0043388D">
        <w:t>this can include having to fly to New Zealand from other parts of the world</w:t>
      </w:r>
      <w:r>
        <w:t>.</w:t>
      </w:r>
    </w:p>
    <w:p w:rsidR="000545DC" w:rsidRPr="00EA7761" w:rsidRDefault="000545DC" w:rsidP="004F5EBE">
      <w:pPr>
        <w:pStyle w:val="TRNormal"/>
        <w:rPr>
          <w:szCs w:val="24"/>
          <w:lang w:val="en-AU"/>
        </w:rPr>
      </w:pPr>
    </w:p>
    <w:p w:rsidR="00363EDF" w:rsidRDefault="00363EDF" w:rsidP="004342F0">
      <w:pPr>
        <w:pStyle w:val="spacer"/>
        <w:rPr>
          <w:rFonts w:ascii="Times New Roman" w:hAnsi="Times New Roman"/>
          <w:b/>
          <w:sz w:val="24"/>
          <w:szCs w:val="24"/>
          <w:lang w:val="en-AU"/>
        </w:rPr>
      </w:pPr>
      <w:r w:rsidRPr="00363EDF">
        <w:rPr>
          <w:rFonts w:ascii="Times New Roman" w:hAnsi="Times New Roman"/>
          <w:b/>
          <w:sz w:val="24"/>
          <w:szCs w:val="24"/>
          <w:lang w:val="en-AU"/>
        </w:rPr>
        <w:t>Scale of the problem</w:t>
      </w:r>
    </w:p>
    <w:p w:rsidR="00363EDF" w:rsidRDefault="00363EDF" w:rsidP="004342F0">
      <w:pPr>
        <w:pStyle w:val="spacer"/>
        <w:rPr>
          <w:rFonts w:ascii="Times New Roman" w:hAnsi="Times New Roman"/>
          <w:b/>
          <w:sz w:val="24"/>
          <w:szCs w:val="24"/>
          <w:lang w:val="en-AU"/>
        </w:rPr>
      </w:pPr>
    </w:p>
    <w:p w:rsidR="004F5EBE" w:rsidRDefault="004F5EBE" w:rsidP="004F5EBE">
      <w:pPr>
        <w:pStyle w:val="ListParagraph"/>
        <w:numPr>
          <w:ilvl w:val="0"/>
          <w:numId w:val="3"/>
        </w:numPr>
        <w:tabs>
          <w:tab w:val="clear" w:pos="720"/>
        </w:tabs>
        <w:ind w:left="0" w:firstLine="0"/>
        <w:rPr>
          <w:rFonts w:ascii="Times New Roman" w:hAnsi="Times New Roman"/>
          <w:sz w:val="24"/>
          <w:szCs w:val="24"/>
        </w:rPr>
      </w:pPr>
      <w:r w:rsidRPr="004F5EBE">
        <w:rPr>
          <w:rFonts w:ascii="Times New Roman" w:hAnsi="Times New Roman"/>
          <w:sz w:val="24"/>
          <w:szCs w:val="24"/>
        </w:rPr>
        <w:t xml:space="preserve">Between October 2015 and September 2016, Inland Revenue has issued the following quantum of IRD numbers: </w:t>
      </w:r>
    </w:p>
    <w:p w:rsidR="00D94BE5" w:rsidRPr="004F5EBE" w:rsidRDefault="00D94BE5" w:rsidP="004F5EBE">
      <w:pPr>
        <w:pStyle w:val="ListParagraph"/>
        <w:ind w:left="0"/>
        <w:rPr>
          <w:rFonts w:ascii="Times New Roman" w:hAnsi="Times New Roman"/>
          <w:sz w:val="24"/>
          <w:szCs w:val="24"/>
        </w:rPr>
      </w:pPr>
    </w:p>
    <w:p w:rsidR="00872009" w:rsidRPr="00872009" w:rsidRDefault="00085000" w:rsidP="00872009">
      <w:pPr>
        <w:pStyle w:val="Bullet-list"/>
        <w:numPr>
          <w:ilvl w:val="0"/>
          <w:numId w:val="25"/>
        </w:numPr>
        <w:spacing w:line="240" w:lineRule="auto"/>
        <w:jc w:val="both"/>
        <w:rPr>
          <w:rFonts w:ascii="Times New Roman" w:hAnsi="Times New Roman"/>
          <w:sz w:val="24"/>
          <w:szCs w:val="24"/>
        </w:rPr>
      </w:pPr>
      <w:r>
        <w:rPr>
          <w:rFonts w:ascii="Times New Roman" w:hAnsi="Times New Roman"/>
          <w:sz w:val="24"/>
          <w:szCs w:val="24"/>
        </w:rPr>
        <w:t>101,646</w:t>
      </w:r>
      <w:r w:rsidR="004F5EBE">
        <w:rPr>
          <w:rFonts w:ascii="Times New Roman" w:hAnsi="Times New Roman"/>
          <w:sz w:val="24"/>
          <w:szCs w:val="24"/>
        </w:rPr>
        <w:t xml:space="preserve"> IRD numbers for </w:t>
      </w:r>
      <w:r w:rsidR="00D94BE5" w:rsidRPr="00D94BE5">
        <w:rPr>
          <w:rFonts w:ascii="Times New Roman" w:hAnsi="Times New Roman"/>
          <w:sz w:val="24"/>
          <w:szCs w:val="24"/>
        </w:rPr>
        <w:t>offshore/non-resident</w:t>
      </w:r>
      <w:r w:rsidR="00C26096" w:rsidRPr="005945E6">
        <w:rPr>
          <w:rStyle w:val="FootnoteReference"/>
          <w:szCs w:val="24"/>
        </w:rPr>
        <w:footnoteReference w:id="2"/>
      </w:r>
      <w:r w:rsidR="00D94BE5" w:rsidRPr="005945E6">
        <w:rPr>
          <w:rStyle w:val="FootnoteReference"/>
        </w:rPr>
        <w:t xml:space="preserve"> </w:t>
      </w:r>
      <w:r w:rsidR="004F5EBE">
        <w:rPr>
          <w:rFonts w:ascii="Times New Roman" w:hAnsi="Times New Roman"/>
          <w:sz w:val="24"/>
          <w:szCs w:val="24"/>
        </w:rPr>
        <w:t>individuals</w:t>
      </w:r>
    </w:p>
    <w:p w:rsidR="00872009" w:rsidRPr="00872009" w:rsidRDefault="00085000" w:rsidP="00872009">
      <w:pPr>
        <w:pStyle w:val="Bullet-list"/>
        <w:numPr>
          <w:ilvl w:val="0"/>
          <w:numId w:val="25"/>
        </w:numPr>
        <w:spacing w:line="240" w:lineRule="auto"/>
        <w:jc w:val="both"/>
        <w:rPr>
          <w:rFonts w:ascii="Times New Roman" w:hAnsi="Times New Roman"/>
          <w:sz w:val="24"/>
          <w:szCs w:val="24"/>
        </w:rPr>
      </w:pPr>
      <w:r>
        <w:rPr>
          <w:rFonts w:ascii="Times New Roman" w:hAnsi="Times New Roman"/>
          <w:sz w:val="24"/>
          <w:szCs w:val="24"/>
        </w:rPr>
        <w:t>1,582</w:t>
      </w:r>
      <w:r w:rsidR="004F5EBE">
        <w:rPr>
          <w:rFonts w:ascii="Times New Roman" w:hAnsi="Times New Roman"/>
          <w:sz w:val="24"/>
          <w:szCs w:val="24"/>
        </w:rPr>
        <w:t xml:space="preserve"> IRD numbers for offsh</w:t>
      </w:r>
      <w:r w:rsidR="00872009">
        <w:rPr>
          <w:rFonts w:ascii="Times New Roman" w:hAnsi="Times New Roman"/>
          <w:sz w:val="24"/>
          <w:szCs w:val="24"/>
        </w:rPr>
        <w:t>ore/non-resident non-individuals</w:t>
      </w:r>
    </w:p>
    <w:p w:rsidR="00872009" w:rsidRPr="00872009" w:rsidRDefault="00085000" w:rsidP="00872009">
      <w:pPr>
        <w:pStyle w:val="Bullet-list"/>
        <w:numPr>
          <w:ilvl w:val="0"/>
          <w:numId w:val="25"/>
        </w:numPr>
        <w:spacing w:line="240" w:lineRule="auto"/>
        <w:jc w:val="both"/>
        <w:rPr>
          <w:rFonts w:ascii="Times New Roman" w:hAnsi="Times New Roman"/>
          <w:sz w:val="24"/>
          <w:szCs w:val="24"/>
        </w:rPr>
      </w:pPr>
      <w:r>
        <w:rPr>
          <w:rFonts w:ascii="Times New Roman" w:hAnsi="Times New Roman"/>
          <w:sz w:val="24"/>
          <w:szCs w:val="24"/>
        </w:rPr>
        <w:t>102,307</w:t>
      </w:r>
      <w:r w:rsidR="004F5EBE">
        <w:rPr>
          <w:rFonts w:ascii="Times New Roman" w:hAnsi="Times New Roman"/>
          <w:sz w:val="24"/>
          <w:szCs w:val="24"/>
        </w:rPr>
        <w:t xml:space="preserve"> IRD numbers for</w:t>
      </w:r>
      <w:r w:rsidR="00D94BE5" w:rsidRPr="00D94BE5">
        <w:rPr>
          <w:rFonts w:ascii="Times New Roman" w:hAnsi="Times New Roman"/>
          <w:sz w:val="24"/>
          <w:szCs w:val="24"/>
        </w:rPr>
        <w:t xml:space="preserve"> resident individuals</w:t>
      </w:r>
    </w:p>
    <w:p w:rsidR="004F5EBE" w:rsidRDefault="00085000" w:rsidP="00872009">
      <w:pPr>
        <w:pStyle w:val="Bullet-list"/>
        <w:numPr>
          <w:ilvl w:val="0"/>
          <w:numId w:val="25"/>
        </w:numPr>
        <w:spacing w:line="240" w:lineRule="auto"/>
        <w:jc w:val="both"/>
        <w:rPr>
          <w:rFonts w:ascii="Times New Roman" w:hAnsi="Times New Roman"/>
          <w:sz w:val="24"/>
          <w:szCs w:val="24"/>
        </w:rPr>
      </w:pPr>
      <w:r>
        <w:rPr>
          <w:rFonts w:ascii="Times New Roman" w:hAnsi="Times New Roman"/>
          <w:sz w:val="24"/>
          <w:szCs w:val="24"/>
        </w:rPr>
        <w:t>93,781</w:t>
      </w:r>
      <w:r w:rsidR="004F5EBE">
        <w:rPr>
          <w:rFonts w:ascii="Times New Roman" w:hAnsi="Times New Roman"/>
          <w:sz w:val="24"/>
          <w:szCs w:val="24"/>
        </w:rPr>
        <w:t xml:space="preserve"> IRD numbers for resident non-individuals</w:t>
      </w:r>
    </w:p>
    <w:p w:rsidR="004F23DA" w:rsidRDefault="004F23DA" w:rsidP="00C65B81">
      <w:pPr>
        <w:pStyle w:val="spacer"/>
        <w:jc w:val="both"/>
        <w:rPr>
          <w:rFonts w:ascii="Times New Roman" w:hAnsi="Times New Roman"/>
          <w:sz w:val="24"/>
          <w:szCs w:val="24"/>
          <w:lang w:val="en-AU"/>
        </w:rPr>
      </w:pPr>
    </w:p>
    <w:p w:rsidR="00D91F13" w:rsidRPr="007B6AFC" w:rsidRDefault="00D91F13" w:rsidP="00C65B81">
      <w:pPr>
        <w:pStyle w:val="spacer"/>
        <w:numPr>
          <w:ilvl w:val="0"/>
          <w:numId w:val="3"/>
        </w:numPr>
        <w:tabs>
          <w:tab w:val="clear" w:pos="720"/>
        </w:tabs>
        <w:ind w:left="0" w:firstLine="0"/>
        <w:jc w:val="both"/>
        <w:rPr>
          <w:rFonts w:ascii="Times New Roman" w:hAnsi="Times New Roman"/>
          <w:sz w:val="24"/>
          <w:szCs w:val="24"/>
          <w:lang w:val="en-AU"/>
        </w:rPr>
      </w:pPr>
      <w:r w:rsidRPr="007B6AFC">
        <w:rPr>
          <w:rFonts w:ascii="Times New Roman" w:hAnsi="Times New Roman"/>
          <w:sz w:val="24"/>
          <w:szCs w:val="24"/>
          <w:lang w:val="en-AU"/>
        </w:rPr>
        <w:t xml:space="preserve">4,512 </w:t>
      </w:r>
      <w:r w:rsidR="00E909D5">
        <w:rPr>
          <w:rFonts w:ascii="Times New Roman" w:hAnsi="Times New Roman"/>
          <w:sz w:val="24"/>
          <w:szCs w:val="24"/>
          <w:lang w:val="en-AU"/>
        </w:rPr>
        <w:t>of offshore/non-resident</w:t>
      </w:r>
      <w:r w:rsidR="00085000">
        <w:rPr>
          <w:rFonts w:ascii="Times New Roman" w:hAnsi="Times New Roman"/>
          <w:sz w:val="24"/>
          <w:szCs w:val="24"/>
          <w:lang w:val="en-AU"/>
        </w:rPr>
        <w:t xml:space="preserve"> </w:t>
      </w:r>
      <w:r w:rsidRPr="007B6AFC">
        <w:rPr>
          <w:rFonts w:ascii="Times New Roman" w:hAnsi="Times New Roman"/>
          <w:sz w:val="24"/>
          <w:szCs w:val="24"/>
          <w:lang w:val="en-AU"/>
        </w:rPr>
        <w:t>applications</w:t>
      </w:r>
      <w:r w:rsidR="00E909D5">
        <w:rPr>
          <w:rFonts w:ascii="Times New Roman" w:hAnsi="Times New Roman"/>
          <w:sz w:val="24"/>
          <w:szCs w:val="24"/>
          <w:lang w:val="en-AU"/>
        </w:rPr>
        <w:t xml:space="preserve"> by individuals</w:t>
      </w:r>
      <w:r w:rsidRPr="007B6AFC">
        <w:rPr>
          <w:rFonts w:ascii="Times New Roman" w:hAnsi="Times New Roman"/>
          <w:sz w:val="24"/>
          <w:szCs w:val="24"/>
          <w:lang w:val="en-AU"/>
        </w:rPr>
        <w:t xml:space="preserve"> were sent back as they did not provide all of the required information. </w:t>
      </w:r>
    </w:p>
    <w:p w:rsidR="00D91F13" w:rsidRPr="007B6AFC" w:rsidRDefault="00D91F13" w:rsidP="00C65B81">
      <w:pPr>
        <w:pStyle w:val="spacer"/>
        <w:jc w:val="both"/>
        <w:rPr>
          <w:rFonts w:ascii="Times New Roman" w:hAnsi="Times New Roman"/>
          <w:sz w:val="24"/>
          <w:szCs w:val="24"/>
          <w:lang w:val="en-AU"/>
        </w:rPr>
      </w:pPr>
    </w:p>
    <w:p w:rsidR="00D91F13" w:rsidRDefault="00D91F13" w:rsidP="00C65B81">
      <w:pPr>
        <w:pStyle w:val="spacer"/>
        <w:numPr>
          <w:ilvl w:val="0"/>
          <w:numId w:val="3"/>
        </w:numPr>
        <w:tabs>
          <w:tab w:val="clear" w:pos="720"/>
        </w:tabs>
        <w:ind w:left="0" w:firstLine="0"/>
        <w:jc w:val="both"/>
        <w:rPr>
          <w:rFonts w:ascii="Times New Roman" w:hAnsi="Times New Roman"/>
          <w:sz w:val="24"/>
          <w:szCs w:val="24"/>
          <w:lang w:val="en-AU"/>
        </w:rPr>
      </w:pPr>
      <w:r w:rsidRPr="007B6AFC">
        <w:rPr>
          <w:rFonts w:ascii="Times New Roman" w:hAnsi="Times New Roman"/>
          <w:sz w:val="24"/>
          <w:szCs w:val="24"/>
          <w:lang w:val="en-AU"/>
        </w:rPr>
        <w:t>Where all required information is not provided on the form, Inland Revenue first contacts the applicant by phone, email or post.  In most cases when a contact is made, the issue is either resolved over the phone, or the applicant provides a copy of what is required. The overwhelming majority of the 4,512 applications that were sent back are attributed to the absence of a New Zealand bank account.</w:t>
      </w:r>
      <w:r w:rsidR="00E909D5" w:rsidRPr="00E909D5">
        <w:rPr>
          <w:rFonts w:ascii="Times New Roman" w:hAnsi="Times New Roman"/>
          <w:sz w:val="24"/>
          <w:szCs w:val="24"/>
          <w:lang w:val="en-AU"/>
        </w:rPr>
        <w:t xml:space="preserve"> </w:t>
      </w:r>
      <w:r w:rsidR="00E909D5">
        <w:rPr>
          <w:rFonts w:ascii="Times New Roman" w:hAnsi="Times New Roman"/>
          <w:sz w:val="24"/>
          <w:szCs w:val="24"/>
          <w:lang w:val="en-AU"/>
        </w:rPr>
        <w:t>Some of these applications could have been successfully resolved at a later stage.</w:t>
      </w:r>
    </w:p>
    <w:p w:rsidR="004F23DA" w:rsidRDefault="004F23DA" w:rsidP="00C65B81">
      <w:pPr>
        <w:pStyle w:val="ListParagraph"/>
        <w:rPr>
          <w:rFonts w:ascii="Times New Roman" w:hAnsi="Times New Roman"/>
          <w:sz w:val="24"/>
          <w:szCs w:val="24"/>
          <w:lang w:val="en-AU"/>
        </w:rPr>
      </w:pPr>
    </w:p>
    <w:p w:rsidR="004F23DA" w:rsidRPr="00C65B81" w:rsidRDefault="004F23DA" w:rsidP="00C65B81">
      <w:pPr>
        <w:pStyle w:val="spacer"/>
        <w:numPr>
          <w:ilvl w:val="0"/>
          <w:numId w:val="3"/>
        </w:numPr>
        <w:tabs>
          <w:tab w:val="clear" w:pos="720"/>
        </w:tabs>
        <w:ind w:left="0" w:firstLine="0"/>
        <w:jc w:val="both"/>
        <w:rPr>
          <w:rFonts w:ascii="Times New Roman" w:hAnsi="Times New Roman"/>
          <w:sz w:val="24"/>
          <w:szCs w:val="24"/>
          <w:lang w:val="en-AU"/>
        </w:rPr>
      </w:pPr>
      <w:r>
        <w:rPr>
          <w:rFonts w:ascii="Times New Roman" w:hAnsi="Times New Roman"/>
          <w:sz w:val="24"/>
          <w:szCs w:val="24"/>
          <w:lang w:val="en-AU"/>
        </w:rPr>
        <w:t>O</w:t>
      </w:r>
      <w:r w:rsidRPr="00C65B81">
        <w:rPr>
          <w:rFonts w:ascii="Times New Roman" w:hAnsi="Times New Roman"/>
          <w:sz w:val="24"/>
          <w:szCs w:val="24"/>
          <w:lang w:val="en-AU"/>
        </w:rPr>
        <w:t xml:space="preserve">fficials were advised by </w:t>
      </w:r>
      <w:r w:rsidR="00E909D5">
        <w:rPr>
          <w:rFonts w:ascii="Times New Roman" w:hAnsi="Times New Roman"/>
          <w:sz w:val="24"/>
          <w:szCs w:val="24"/>
          <w:lang w:val="en-AU"/>
        </w:rPr>
        <w:t xml:space="preserve">some </w:t>
      </w:r>
      <w:r w:rsidRPr="00C65B81">
        <w:rPr>
          <w:rFonts w:ascii="Times New Roman" w:hAnsi="Times New Roman"/>
          <w:sz w:val="24"/>
          <w:szCs w:val="24"/>
          <w:lang w:val="en-AU"/>
        </w:rPr>
        <w:t xml:space="preserve">large accounting firms that in </w:t>
      </w:r>
      <w:r w:rsidRPr="004F5EBE">
        <w:rPr>
          <w:rFonts w:ascii="Times New Roman" w:hAnsi="Times New Roman"/>
          <w:sz w:val="24"/>
          <w:szCs w:val="24"/>
          <w:lang w:val="en-AU"/>
        </w:rPr>
        <w:t>a number of cases</w:t>
      </w:r>
      <w:r w:rsidRPr="00C65B81">
        <w:rPr>
          <w:rFonts w:ascii="Times New Roman" w:hAnsi="Times New Roman"/>
          <w:sz w:val="24"/>
          <w:szCs w:val="24"/>
          <w:lang w:val="en-AU"/>
        </w:rPr>
        <w:t xml:space="preserve"> offshore persons decided not to apply for a New Zealand bank account at all, due to perceived difficulties associated with obtaining it. As a result, they had also not applied for an IRD number. The number of offshore persons affected in this way has not been provided to officials. Therefore, the total number of offshore applicants who experienced difficulties with the bank account requirement </w:t>
      </w:r>
      <w:r w:rsidR="00982020">
        <w:rPr>
          <w:rFonts w:ascii="Times New Roman" w:hAnsi="Times New Roman"/>
          <w:sz w:val="24"/>
          <w:szCs w:val="24"/>
          <w:lang w:val="en-AU"/>
        </w:rPr>
        <w:t xml:space="preserve">is likely to </w:t>
      </w:r>
      <w:r w:rsidRPr="00C65B81">
        <w:rPr>
          <w:rFonts w:ascii="Times New Roman" w:hAnsi="Times New Roman"/>
          <w:sz w:val="24"/>
          <w:szCs w:val="24"/>
          <w:lang w:val="en-AU"/>
        </w:rPr>
        <w:t>be greater than 4,512.</w:t>
      </w:r>
      <w:r w:rsidR="00D009CF">
        <w:rPr>
          <w:rFonts w:ascii="Times New Roman" w:hAnsi="Times New Roman"/>
          <w:sz w:val="24"/>
          <w:szCs w:val="24"/>
          <w:lang w:val="en-AU"/>
        </w:rPr>
        <w:t xml:space="preserve"> </w:t>
      </w:r>
    </w:p>
    <w:p w:rsidR="004F23DA" w:rsidRPr="007B6AFC" w:rsidRDefault="004F23DA" w:rsidP="00C65B81">
      <w:pPr>
        <w:pStyle w:val="spacer"/>
        <w:jc w:val="both"/>
        <w:rPr>
          <w:rFonts w:ascii="Times New Roman" w:hAnsi="Times New Roman"/>
          <w:sz w:val="24"/>
          <w:szCs w:val="24"/>
          <w:lang w:val="en-AU"/>
        </w:rPr>
      </w:pPr>
    </w:p>
    <w:p w:rsidR="000545DC" w:rsidRPr="004342F0" w:rsidRDefault="00D943DD" w:rsidP="0031757C">
      <w:pPr>
        <w:pStyle w:val="RISheading"/>
        <w:jc w:val="both"/>
        <w:rPr>
          <w:spacing w:val="0"/>
          <w:w w:val="100"/>
        </w:rPr>
      </w:pPr>
      <w:bookmarkStart w:id="14" w:name="_Toc244580364"/>
      <w:bookmarkStart w:id="15" w:name="_Toc244587040"/>
      <w:bookmarkStart w:id="16" w:name="_Toc244857274"/>
      <w:bookmarkStart w:id="17" w:name="_Toc244912539"/>
      <w:bookmarkStart w:id="18" w:name="_Toc244916996"/>
      <w:r w:rsidRPr="004342F0">
        <w:rPr>
          <w:spacing w:val="0"/>
          <w:w w:val="100"/>
        </w:rPr>
        <w:t>OBJECTIVES</w:t>
      </w:r>
      <w:bookmarkEnd w:id="14"/>
      <w:bookmarkEnd w:id="15"/>
      <w:bookmarkEnd w:id="16"/>
      <w:bookmarkEnd w:id="17"/>
      <w:bookmarkEnd w:id="18"/>
    </w:p>
    <w:p w:rsidR="00391E6D" w:rsidRPr="004F5EBE" w:rsidRDefault="00AA28BC" w:rsidP="0031757C">
      <w:pPr>
        <w:pStyle w:val="TRNormal"/>
        <w:numPr>
          <w:ilvl w:val="0"/>
          <w:numId w:val="3"/>
        </w:numPr>
        <w:tabs>
          <w:tab w:val="clear" w:pos="720"/>
          <w:tab w:val="num" w:pos="0"/>
          <w:tab w:val="left" w:pos="567"/>
        </w:tabs>
        <w:ind w:left="0" w:firstLine="0"/>
        <w:rPr>
          <w:spacing w:val="-2"/>
        </w:rPr>
      </w:pPr>
      <w:r w:rsidRPr="004F5EBE">
        <w:rPr>
          <w:szCs w:val="24"/>
        </w:rPr>
        <w:t xml:space="preserve">The </w:t>
      </w:r>
      <w:r w:rsidRPr="004F5EBE">
        <w:rPr>
          <w:b/>
          <w:szCs w:val="24"/>
        </w:rPr>
        <w:t>main objective</w:t>
      </w:r>
      <w:r w:rsidR="005C03B0" w:rsidRPr="004F5EBE">
        <w:rPr>
          <w:b/>
          <w:szCs w:val="24"/>
        </w:rPr>
        <w:t xml:space="preserve"> </w:t>
      </w:r>
      <w:r w:rsidR="005C03B0" w:rsidRPr="004F5EBE">
        <w:rPr>
          <w:szCs w:val="24"/>
        </w:rPr>
        <w:t>of the review</w:t>
      </w:r>
      <w:r w:rsidRPr="004F5EBE">
        <w:rPr>
          <w:b/>
          <w:szCs w:val="24"/>
        </w:rPr>
        <w:t xml:space="preserve"> </w:t>
      </w:r>
      <w:r w:rsidR="00C77741" w:rsidRPr="004F5EBE">
        <w:rPr>
          <w:szCs w:val="24"/>
        </w:rPr>
        <w:t xml:space="preserve">is </w:t>
      </w:r>
      <w:r w:rsidR="005C03B0" w:rsidRPr="004F5EBE">
        <w:rPr>
          <w:szCs w:val="24"/>
        </w:rPr>
        <w:t>to</w:t>
      </w:r>
      <w:r w:rsidR="00391E6D" w:rsidRPr="004F5EBE">
        <w:rPr>
          <w:szCs w:val="24"/>
        </w:rPr>
        <w:t xml:space="preserve"> resolve in an efficient way </w:t>
      </w:r>
      <w:r w:rsidR="00AE20EE" w:rsidRPr="004F5EBE">
        <w:rPr>
          <w:szCs w:val="24"/>
        </w:rPr>
        <w:t>the</w:t>
      </w:r>
      <w:r w:rsidR="00391E6D" w:rsidRPr="004F5EBE">
        <w:rPr>
          <w:szCs w:val="24"/>
        </w:rPr>
        <w:t xml:space="preserve"> </w:t>
      </w:r>
      <w:r w:rsidR="00AE20EE" w:rsidRPr="004F5EBE">
        <w:rPr>
          <w:szCs w:val="24"/>
        </w:rPr>
        <w:t xml:space="preserve">issues </w:t>
      </w:r>
      <w:r w:rsidR="00391E6D" w:rsidRPr="004F5EBE">
        <w:rPr>
          <w:szCs w:val="24"/>
        </w:rPr>
        <w:t xml:space="preserve">arising </w:t>
      </w:r>
      <w:r w:rsidR="00AE20EE" w:rsidRPr="004F5EBE">
        <w:rPr>
          <w:szCs w:val="24"/>
        </w:rPr>
        <w:t>from the</w:t>
      </w:r>
      <w:r w:rsidR="00391E6D" w:rsidRPr="004F5EBE">
        <w:rPr>
          <w:szCs w:val="24"/>
        </w:rPr>
        <w:t xml:space="preserve"> current requirement for offshore persons to have a New Zealand</w:t>
      </w:r>
      <w:r w:rsidR="00AE20EE" w:rsidRPr="004F5EBE">
        <w:rPr>
          <w:szCs w:val="24"/>
        </w:rPr>
        <w:t xml:space="preserve"> bank account </w:t>
      </w:r>
      <w:r w:rsidR="00391E6D" w:rsidRPr="004F5EBE">
        <w:rPr>
          <w:szCs w:val="24"/>
        </w:rPr>
        <w:t xml:space="preserve">before they can be issued with an IRD number. </w:t>
      </w:r>
    </w:p>
    <w:p w:rsidR="007A38F5" w:rsidRPr="00391E6D" w:rsidRDefault="007A38F5" w:rsidP="0031757C">
      <w:pPr>
        <w:pStyle w:val="TRNormal"/>
        <w:tabs>
          <w:tab w:val="left" w:pos="567"/>
        </w:tabs>
        <w:rPr>
          <w:szCs w:val="24"/>
        </w:rPr>
      </w:pPr>
    </w:p>
    <w:p w:rsidR="007A38F5" w:rsidRPr="007B6AFC" w:rsidRDefault="007A38F5" w:rsidP="0031757C">
      <w:pPr>
        <w:pStyle w:val="spacer"/>
        <w:numPr>
          <w:ilvl w:val="0"/>
          <w:numId w:val="3"/>
        </w:numPr>
        <w:tabs>
          <w:tab w:val="clear" w:pos="720"/>
        </w:tabs>
        <w:ind w:left="0" w:firstLine="0"/>
        <w:jc w:val="both"/>
        <w:rPr>
          <w:rFonts w:ascii="Times New Roman" w:hAnsi="Times New Roman"/>
          <w:sz w:val="24"/>
          <w:szCs w:val="24"/>
          <w:lang w:val="en-AU"/>
        </w:rPr>
      </w:pPr>
      <w:r w:rsidRPr="007B6AFC">
        <w:rPr>
          <w:rFonts w:ascii="Times New Roman" w:hAnsi="Times New Roman"/>
          <w:sz w:val="24"/>
          <w:szCs w:val="24"/>
          <w:lang w:val="en-AU"/>
        </w:rPr>
        <w:t>All options are assessed against the status quo in relation to the main objective and the following criteria:</w:t>
      </w:r>
    </w:p>
    <w:p w:rsidR="007A38F5" w:rsidRDefault="007A38F5" w:rsidP="0031757C">
      <w:pPr>
        <w:pStyle w:val="ListParagraph"/>
        <w:rPr>
          <w:rFonts w:ascii="Times New Roman" w:hAnsi="Times New Roman"/>
          <w:sz w:val="24"/>
          <w:szCs w:val="24"/>
        </w:rPr>
      </w:pPr>
    </w:p>
    <w:p w:rsidR="00C77741" w:rsidRDefault="00C77741" w:rsidP="0031757C">
      <w:pPr>
        <w:pStyle w:val="Bullet-list"/>
        <w:numPr>
          <w:ilvl w:val="0"/>
          <w:numId w:val="11"/>
        </w:numPr>
        <w:spacing w:after="0" w:line="240" w:lineRule="auto"/>
        <w:jc w:val="both"/>
        <w:rPr>
          <w:rFonts w:ascii="Times New Roman" w:hAnsi="Times New Roman"/>
          <w:sz w:val="24"/>
          <w:szCs w:val="24"/>
        </w:rPr>
      </w:pPr>
      <w:r>
        <w:rPr>
          <w:rFonts w:ascii="Times New Roman" w:hAnsi="Times New Roman"/>
          <w:b/>
          <w:sz w:val="24"/>
          <w:szCs w:val="24"/>
        </w:rPr>
        <w:t>Robustness of the identity checks</w:t>
      </w:r>
      <w:r w:rsidRPr="008D3E7A">
        <w:rPr>
          <w:rFonts w:ascii="Times New Roman" w:hAnsi="Times New Roman"/>
          <w:sz w:val="24"/>
          <w:szCs w:val="24"/>
        </w:rPr>
        <w:t>:</w:t>
      </w:r>
      <w:r>
        <w:rPr>
          <w:rFonts w:ascii="Times New Roman" w:hAnsi="Times New Roman"/>
          <w:sz w:val="24"/>
          <w:szCs w:val="24"/>
        </w:rPr>
        <w:t xml:space="preserve"> The Commissioner should be satisfied with the identity of the offshore person applying for an IRD number.</w:t>
      </w:r>
    </w:p>
    <w:p w:rsidR="00872009" w:rsidRPr="00C65B81" w:rsidRDefault="00872009" w:rsidP="0031757C">
      <w:pPr>
        <w:pStyle w:val="Bullet-list"/>
        <w:spacing w:after="0" w:line="240" w:lineRule="auto"/>
        <w:ind w:left="927" w:firstLine="0"/>
        <w:jc w:val="both"/>
        <w:rPr>
          <w:rFonts w:ascii="Times New Roman" w:hAnsi="Times New Roman"/>
          <w:sz w:val="24"/>
          <w:szCs w:val="24"/>
        </w:rPr>
      </w:pPr>
    </w:p>
    <w:p w:rsidR="007A38F5" w:rsidRDefault="00FF12CE" w:rsidP="0031757C">
      <w:pPr>
        <w:pStyle w:val="Bullet-list"/>
        <w:numPr>
          <w:ilvl w:val="0"/>
          <w:numId w:val="11"/>
        </w:numPr>
        <w:spacing w:after="0" w:line="240" w:lineRule="auto"/>
        <w:jc w:val="both"/>
        <w:rPr>
          <w:rFonts w:ascii="Times New Roman" w:hAnsi="Times New Roman"/>
          <w:sz w:val="24"/>
          <w:szCs w:val="24"/>
        </w:rPr>
      </w:pPr>
      <w:r>
        <w:rPr>
          <w:rFonts w:ascii="Times New Roman" w:hAnsi="Times New Roman"/>
          <w:b/>
          <w:sz w:val="24"/>
          <w:szCs w:val="24"/>
        </w:rPr>
        <w:t>Economic e</w:t>
      </w:r>
      <w:r w:rsidR="007A38F5" w:rsidRPr="007A38F5">
        <w:rPr>
          <w:rFonts w:ascii="Times New Roman" w:hAnsi="Times New Roman"/>
          <w:b/>
          <w:sz w:val="24"/>
          <w:szCs w:val="24"/>
        </w:rPr>
        <w:t>fficiency</w:t>
      </w:r>
      <w:r>
        <w:rPr>
          <w:rFonts w:ascii="Times New Roman" w:hAnsi="Times New Roman"/>
          <w:sz w:val="24"/>
          <w:szCs w:val="24"/>
        </w:rPr>
        <w:t xml:space="preserve">:  </w:t>
      </w:r>
      <w:r w:rsidR="007A38F5">
        <w:rPr>
          <w:rFonts w:ascii="Times New Roman" w:hAnsi="Times New Roman"/>
          <w:sz w:val="24"/>
          <w:szCs w:val="24"/>
        </w:rPr>
        <w:t>People should not be prevented from complying with their tax obligations or completing commercial transactions</w:t>
      </w:r>
      <w:r w:rsidR="00AF0542">
        <w:rPr>
          <w:rFonts w:ascii="Times New Roman" w:hAnsi="Times New Roman"/>
          <w:sz w:val="24"/>
          <w:szCs w:val="24"/>
        </w:rPr>
        <w:t xml:space="preserve"> by </w:t>
      </w:r>
      <w:r w:rsidR="003D656C">
        <w:rPr>
          <w:rFonts w:ascii="Times New Roman" w:hAnsi="Times New Roman"/>
          <w:sz w:val="24"/>
          <w:szCs w:val="24"/>
        </w:rPr>
        <w:t>being unable to get an IRD number.</w:t>
      </w:r>
    </w:p>
    <w:p w:rsidR="00872009" w:rsidRDefault="00872009" w:rsidP="0031757C">
      <w:pPr>
        <w:pStyle w:val="Bullet-list"/>
        <w:spacing w:after="0" w:line="240" w:lineRule="auto"/>
        <w:ind w:left="0" w:firstLine="0"/>
        <w:jc w:val="both"/>
        <w:rPr>
          <w:rFonts w:ascii="Times New Roman" w:hAnsi="Times New Roman"/>
          <w:sz w:val="24"/>
          <w:szCs w:val="24"/>
        </w:rPr>
      </w:pPr>
    </w:p>
    <w:p w:rsidR="006C5D88" w:rsidRDefault="00FF12CE" w:rsidP="006C5D88">
      <w:pPr>
        <w:pStyle w:val="Bullet-list"/>
        <w:numPr>
          <w:ilvl w:val="0"/>
          <w:numId w:val="11"/>
        </w:numPr>
        <w:spacing w:after="0" w:line="240" w:lineRule="auto"/>
        <w:jc w:val="both"/>
        <w:rPr>
          <w:rFonts w:ascii="Times New Roman" w:hAnsi="Times New Roman"/>
          <w:sz w:val="24"/>
          <w:szCs w:val="24"/>
        </w:rPr>
      </w:pPr>
      <w:r w:rsidRPr="00FF12CE">
        <w:rPr>
          <w:rFonts w:ascii="Times New Roman" w:hAnsi="Times New Roman"/>
          <w:b/>
          <w:sz w:val="24"/>
          <w:szCs w:val="24"/>
        </w:rPr>
        <w:t>Efficiency of compliance and administration</w:t>
      </w:r>
      <w:r>
        <w:rPr>
          <w:rFonts w:ascii="Times New Roman" w:hAnsi="Times New Roman"/>
          <w:sz w:val="24"/>
          <w:szCs w:val="24"/>
        </w:rPr>
        <w:t>:  The options should, to the extent possible, minimise compliance costs for taxpayers and administrative costs for Inland Revenue.</w:t>
      </w:r>
    </w:p>
    <w:p w:rsidR="006C5D88" w:rsidRPr="006C5D88" w:rsidRDefault="006C5D88" w:rsidP="006C5D88">
      <w:pPr>
        <w:pStyle w:val="Bullet-list"/>
        <w:spacing w:after="0" w:line="240" w:lineRule="auto"/>
        <w:ind w:left="0" w:firstLine="0"/>
        <w:jc w:val="both"/>
        <w:rPr>
          <w:rFonts w:ascii="Times New Roman" w:hAnsi="Times New Roman"/>
          <w:sz w:val="24"/>
          <w:szCs w:val="24"/>
        </w:rPr>
      </w:pPr>
    </w:p>
    <w:p w:rsidR="00FF12CE" w:rsidRDefault="00FF12CE" w:rsidP="006C5D88">
      <w:pPr>
        <w:pStyle w:val="TRNormal"/>
        <w:numPr>
          <w:ilvl w:val="0"/>
          <w:numId w:val="3"/>
        </w:numPr>
        <w:tabs>
          <w:tab w:val="clear" w:pos="720"/>
          <w:tab w:val="num" w:pos="0"/>
          <w:tab w:val="left" w:pos="567"/>
        </w:tabs>
        <w:ind w:left="0" w:firstLine="0"/>
        <w:rPr>
          <w:szCs w:val="24"/>
        </w:rPr>
      </w:pPr>
      <w:r>
        <w:rPr>
          <w:szCs w:val="24"/>
        </w:rPr>
        <w:t>There is a trade-off between criteria (</w:t>
      </w:r>
      <w:r w:rsidR="003D656C">
        <w:rPr>
          <w:szCs w:val="24"/>
        </w:rPr>
        <w:t>a</w:t>
      </w:r>
      <w:r>
        <w:rPr>
          <w:szCs w:val="24"/>
        </w:rPr>
        <w:t>) and (</w:t>
      </w:r>
      <w:r w:rsidR="003D656C">
        <w:rPr>
          <w:szCs w:val="24"/>
        </w:rPr>
        <w:t>b)</w:t>
      </w:r>
      <w:r>
        <w:rPr>
          <w:szCs w:val="24"/>
        </w:rPr>
        <w:t xml:space="preserve"> as preventing an IRD number being </w:t>
      </w:r>
      <w:r w:rsidR="005C03B0">
        <w:rPr>
          <w:szCs w:val="24"/>
        </w:rPr>
        <w:t xml:space="preserve">issued to the person </w:t>
      </w:r>
      <w:r>
        <w:rPr>
          <w:szCs w:val="24"/>
        </w:rPr>
        <w:t xml:space="preserve">until certain information is available can restrict </w:t>
      </w:r>
      <w:r w:rsidR="005C03B0">
        <w:rPr>
          <w:szCs w:val="24"/>
        </w:rPr>
        <w:t>the person’s ability to comply</w:t>
      </w:r>
      <w:r w:rsidR="00A431E8">
        <w:rPr>
          <w:szCs w:val="24"/>
        </w:rPr>
        <w:t xml:space="preserve"> with</w:t>
      </w:r>
      <w:r w:rsidR="005C03B0">
        <w:rPr>
          <w:szCs w:val="24"/>
        </w:rPr>
        <w:t xml:space="preserve"> their</w:t>
      </w:r>
      <w:r w:rsidR="00A431E8">
        <w:rPr>
          <w:szCs w:val="24"/>
        </w:rPr>
        <w:t xml:space="preserve"> New Zealand tax obligations</w:t>
      </w:r>
      <w:r>
        <w:rPr>
          <w:szCs w:val="24"/>
        </w:rPr>
        <w:t>.</w:t>
      </w:r>
      <w:r w:rsidR="006826B0">
        <w:rPr>
          <w:szCs w:val="24"/>
        </w:rPr>
        <w:t xml:space="preserve">  While these criteria must be balanced against each other it is most important that these requirements do not prevent </w:t>
      </w:r>
      <w:r w:rsidR="00A431E8">
        <w:rPr>
          <w:szCs w:val="24"/>
        </w:rPr>
        <w:t xml:space="preserve">compliance with New Zealand tax obligations </w:t>
      </w:r>
      <w:r w:rsidR="006826B0">
        <w:rPr>
          <w:szCs w:val="24"/>
        </w:rPr>
        <w:t>or</w:t>
      </w:r>
      <w:r w:rsidR="006C5D88">
        <w:rPr>
          <w:szCs w:val="24"/>
        </w:rPr>
        <w:t xml:space="preserve"> affect</w:t>
      </w:r>
      <w:r w:rsidR="006826B0">
        <w:rPr>
          <w:szCs w:val="24"/>
        </w:rPr>
        <w:t xml:space="preserve"> </w:t>
      </w:r>
      <w:r w:rsidR="00A431E8">
        <w:rPr>
          <w:szCs w:val="24"/>
        </w:rPr>
        <w:t>property</w:t>
      </w:r>
      <w:r w:rsidR="006826B0">
        <w:rPr>
          <w:szCs w:val="24"/>
        </w:rPr>
        <w:t xml:space="preserve"> </w:t>
      </w:r>
      <w:r w:rsidR="00A431E8">
        <w:rPr>
          <w:szCs w:val="24"/>
        </w:rPr>
        <w:t xml:space="preserve">sales. </w:t>
      </w:r>
      <w:r w:rsidR="006826B0">
        <w:rPr>
          <w:szCs w:val="24"/>
        </w:rPr>
        <w:t>Criterion (</w:t>
      </w:r>
      <w:r w:rsidR="003D656C">
        <w:rPr>
          <w:szCs w:val="24"/>
        </w:rPr>
        <w:t>c</w:t>
      </w:r>
      <w:r w:rsidR="006826B0">
        <w:rPr>
          <w:szCs w:val="24"/>
        </w:rPr>
        <w:t>)</w:t>
      </w:r>
      <w:r w:rsidR="00AE20EE">
        <w:rPr>
          <w:szCs w:val="24"/>
        </w:rPr>
        <w:t xml:space="preserve"> is linked to criterion (</w:t>
      </w:r>
      <w:r w:rsidR="00C77741">
        <w:rPr>
          <w:szCs w:val="24"/>
        </w:rPr>
        <w:t>b</w:t>
      </w:r>
      <w:r w:rsidR="00AE20EE">
        <w:rPr>
          <w:szCs w:val="24"/>
        </w:rPr>
        <w:t xml:space="preserve">), as compliance with tax obligations can be undermined if the costs of compliance </w:t>
      </w:r>
      <w:r w:rsidR="00DC5220">
        <w:rPr>
          <w:szCs w:val="24"/>
        </w:rPr>
        <w:t>are</w:t>
      </w:r>
      <w:r w:rsidR="00AE20EE">
        <w:rPr>
          <w:szCs w:val="24"/>
        </w:rPr>
        <w:t xml:space="preserve"> perceived as high.</w:t>
      </w:r>
      <w:r w:rsidR="006826B0">
        <w:rPr>
          <w:szCs w:val="24"/>
        </w:rPr>
        <w:t xml:space="preserve"> </w:t>
      </w:r>
    </w:p>
    <w:p w:rsidR="005470D1" w:rsidRDefault="005470D1" w:rsidP="0031757C">
      <w:pPr>
        <w:pStyle w:val="spacer"/>
        <w:jc w:val="both"/>
        <w:rPr>
          <w:rFonts w:ascii="Times New Roman" w:hAnsi="Times New Roman"/>
          <w:sz w:val="24"/>
          <w:szCs w:val="24"/>
        </w:rPr>
      </w:pPr>
    </w:p>
    <w:p w:rsidR="005470D1" w:rsidRPr="004342F0" w:rsidRDefault="005470D1" w:rsidP="0031757C">
      <w:pPr>
        <w:pStyle w:val="spacer"/>
        <w:numPr>
          <w:ilvl w:val="0"/>
          <w:numId w:val="3"/>
        </w:numPr>
        <w:ind w:left="0" w:firstLine="0"/>
        <w:jc w:val="both"/>
        <w:rPr>
          <w:rFonts w:ascii="Times New Roman" w:hAnsi="Times New Roman"/>
          <w:sz w:val="24"/>
          <w:szCs w:val="24"/>
        </w:rPr>
      </w:pPr>
      <w:r>
        <w:rPr>
          <w:rFonts w:ascii="Times New Roman" w:hAnsi="Times New Roman"/>
          <w:sz w:val="24"/>
          <w:szCs w:val="24"/>
        </w:rPr>
        <w:t>A constraint on the potential options is</w:t>
      </w:r>
      <w:r w:rsidR="00061338">
        <w:rPr>
          <w:rFonts w:ascii="Times New Roman" w:hAnsi="Times New Roman"/>
          <w:sz w:val="24"/>
          <w:szCs w:val="24"/>
        </w:rPr>
        <w:t xml:space="preserve"> that</w:t>
      </w:r>
      <w:r>
        <w:rPr>
          <w:rFonts w:ascii="Times New Roman" w:hAnsi="Times New Roman"/>
          <w:sz w:val="24"/>
          <w:szCs w:val="24"/>
        </w:rPr>
        <w:t xml:space="preserve"> </w:t>
      </w:r>
      <w:r w:rsidR="00727EFF">
        <w:rPr>
          <w:rFonts w:ascii="Times New Roman" w:hAnsi="Times New Roman"/>
          <w:sz w:val="24"/>
          <w:szCs w:val="24"/>
        </w:rPr>
        <w:t xml:space="preserve">Inland Revenue </w:t>
      </w:r>
      <w:r w:rsidR="00942D34">
        <w:rPr>
          <w:rFonts w:ascii="Times New Roman" w:hAnsi="Times New Roman"/>
          <w:sz w:val="24"/>
          <w:szCs w:val="24"/>
        </w:rPr>
        <w:t xml:space="preserve">is not, and </w:t>
      </w:r>
      <w:r w:rsidR="00727EFF">
        <w:rPr>
          <w:rFonts w:ascii="Times New Roman" w:hAnsi="Times New Roman"/>
          <w:sz w:val="24"/>
          <w:szCs w:val="24"/>
        </w:rPr>
        <w:t xml:space="preserve">does not </w:t>
      </w:r>
      <w:r w:rsidR="00942D34">
        <w:rPr>
          <w:rFonts w:ascii="Times New Roman" w:hAnsi="Times New Roman"/>
          <w:sz w:val="24"/>
          <w:szCs w:val="24"/>
        </w:rPr>
        <w:t xml:space="preserve">intend to become, </w:t>
      </w:r>
      <w:r w:rsidR="00727EFF">
        <w:rPr>
          <w:rFonts w:ascii="Times New Roman" w:hAnsi="Times New Roman"/>
          <w:sz w:val="24"/>
          <w:szCs w:val="24"/>
        </w:rPr>
        <w:t xml:space="preserve">an AML agent in its own right.  </w:t>
      </w:r>
    </w:p>
    <w:p w:rsidR="006C5D88" w:rsidRDefault="006C5D88" w:rsidP="0031757C">
      <w:pPr>
        <w:pStyle w:val="RISheading"/>
        <w:jc w:val="both"/>
        <w:rPr>
          <w:spacing w:val="0"/>
          <w:w w:val="100"/>
        </w:rPr>
      </w:pPr>
      <w:bookmarkStart w:id="19" w:name="_Toc244580365"/>
      <w:bookmarkStart w:id="20" w:name="_Toc244587041"/>
      <w:bookmarkStart w:id="21" w:name="_Toc244857275"/>
      <w:bookmarkStart w:id="22" w:name="_Toc244912540"/>
      <w:bookmarkStart w:id="23" w:name="_Toc244916997"/>
    </w:p>
    <w:p w:rsidR="00320A3C" w:rsidRPr="004342F0" w:rsidRDefault="00D943DD" w:rsidP="0031757C">
      <w:pPr>
        <w:pStyle w:val="RISheading"/>
        <w:jc w:val="both"/>
        <w:rPr>
          <w:spacing w:val="0"/>
          <w:w w:val="100"/>
        </w:rPr>
      </w:pPr>
      <w:r w:rsidRPr="004342F0">
        <w:rPr>
          <w:spacing w:val="0"/>
          <w:w w:val="100"/>
        </w:rPr>
        <w:t>REGULATORY IMPACT ANALYSIS</w:t>
      </w:r>
      <w:bookmarkEnd w:id="19"/>
      <w:bookmarkEnd w:id="20"/>
      <w:bookmarkEnd w:id="21"/>
      <w:bookmarkEnd w:id="22"/>
      <w:bookmarkEnd w:id="23"/>
      <w:r w:rsidRPr="004342F0">
        <w:rPr>
          <w:spacing w:val="0"/>
          <w:w w:val="100"/>
        </w:rPr>
        <w:t xml:space="preserve"> </w:t>
      </w:r>
    </w:p>
    <w:p w:rsidR="006878F9" w:rsidRDefault="006878F9" w:rsidP="0031757C">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Officials have identified four options to address the problem:</w:t>
      </w:r>
    </w:p>
    <w:p w:rsidR="0031757C" w:rsidRPr="0031757C" w:rsidRDefault="0031757C" w:rsidP="0031757C">
      <w:pPr>
        <w:pStyle w:val="CommentText"/>
        <w:spacing w:after="0" w:line="240" w:lineRule="auto"/>
        <w:jc w:val="both"/>
        <w:rPr>
          <w:rFonts w:ascii="Times New Roman" w:hAnsi="Times New Roman"/>
          <w:sz w:val="24"/>
          <w:szCs w:val="24"/>
        </w:rPr>
      </w:pPr>
    </w:p>
    <w:p w:rsidR="00872009" w:rsidRPr="00872009" w:rsidRDefault="006878F9" w:rsidP="0031757C">
      <w:pPr>
        <w:pStyle w:val="Bullet-list"/>
        <w:numPr>
          <w:ilvl w:val="0"/>
          <w:numId w:val="23"/>
        </w:numPr>
        <w:spacing w:line="240" w:lineRule="auto"/>
        <w:jc w:val="both"/>
        <w:rPr>
          <w:rFonts w:ascii="Times New Roman" w:hAnsi="Times New Roman"/>
          <w:sz w:val="24"/>
          <w:szCs w:val="24"/>
        </w:rPr>
      </w:pPr>
      <w:r>
        <w:rPr>
          <w:rFonts w:ascii="Times New Roman" w:hAnsi="Times New Roman"/>
          <w:sz w:val="24"/>
          <w:szCs w:val="24"/>
        </w:rPr>
        <w:t>Option 1 – The status quo</w:t>
      </w:r>
    </w:p>
    <w:p w:rsidR="00590B90" w:rsidRPr="00872009" w:rsidRDefault="006878F9" w:rsidP="0031757C">
      <w:pPr>
        <w:pStyle w:val="Bullet-list"/>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Option 2 – </w:t>
      </w:r>
      <w:r w:rsidR="00AE20EE">
        <w:rPr>
          <w:rFonts w:ascii="Times New Roman" w:hAnsi="Times New Roman"/>
          <w:sz w:val="24"/>
          <w:szCs w:val="24"/>
        </w:rPr>
        <w:t>Providing the Commissioner of Inland Revenue with a discretion to issue IRD numbers to offshore persons who do not have a New Zealand bank account</w:t>
      </w:r>
    </w:p>
    <w:p w:rsidR="00590B90" w:rsidRPr="00872009" w:rsidRDefault="006878F9" w:rsidP="0031757C">
      <w:pPr>
        <w:pStyle w:val="Bullet-list"/>
        <w:numPr>
          <w:ilvl w:val="0"/>
          <w:numId w:val="23"/>
        </w:numPr>
        <w:spacing w:line="240" w:lineRule="auto"/>
        <w:jc w:val="both"/>
        <w:rPr>
          <w:rFonts w:ascii="Times New Roman" w:hAnsi="Times New Roman"/>
          <w:sz w:val="24"/>
          <w:szCs w:val="24"/>
        </w:rPr>
      </w:pPr>
      <w:r>
        <w:rPr>
          <w:rFonts w:ascii="Times New Roman" w:hAnsi="Times New Roman"/>
          <w:sz w:val="24"/>
          <w:szCs w:val="24"/>
        </w:rPr>
        <w:t>Option 3 –</w:t>
      </w:r>
      <w:r w:rsidR="0031757C">
        <w:rPr>
          <w:rFonts w:ascii="Times New Roman" w:hAnsi="Times New Roman"/>
          <w:sz w:val="24"/>
          <w:szCs w:val="24"/>
        </w:rPr>
        <w:t xml:space="preserve"> </w:t>
      </w:r>
      <w:r w:rsidR="00AE20EE">
        <w:rPr>
          <w:rFonts w:ascii="Times New Roman" w:hAnsi="Times New Roman"/>
          <w:sz w:val="24"/>
          <w:szCs w:val="24"/>
        </w:rPr>
        <w:t>Making further exceptions to the requirement for specific categories of offshore persons</w:t>
      </w:r>
    </w:p>
    <w:p w:rsidR="007D06A3" w:rsidRPr="0037760A" w:rsidRDefault="006878F9" w:rsidP="0037760A">
      <w:pPr>
        <w:pStyle w:val="Bullet-list"/>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Option 4 – </w:t>
      </w:r>
      <w:r w:rsidR="00AE20EE">
        <w:rPr>
          <w:rFonts w:ascii="Times New Roman" w:hAnsi="Times New Roman"/>
          <w:sz w:val="24"/>
          <w:szCs w:val="24"/>
        </w:rPr>
        <w:t>Removing the requirement for an offshore person to have a New Zealand bank account before they can be issued with an IRD number</w:t>
      </w:r>
    </w:p>
    <w:p w:rsidR="006878F9" w:rsidRDefault="006878F9" w:rsidP="0031757C">
      <w:pPr>
        <w:pStyle w:val="CommentText"/>
        <w:spacing w:after="0" w:line="240" w:lineRule="auto"/>
        <w:jc w:val="both"/>
        <w:rPr>
          <w:rFonts w:ascii="Times New Roman" w:hAnsi="Times New Roman"/>
          <w:b/>
          <w:sz w:val="24"/>
          <w:szCs w:val="24"/>
        </w:rPr>
      </w:pPr>
      <w:r>
        <w:rPr>
          <w:rFonts w:ascii="Times New Roman" w:hAnsi="Times New Roman"/>
          <w:b/>
          <w:sz w:val="24"/>
          <w:szCs w:val="24"/>
        </w:rPr>
        <w:t>Option 1</w:t>
      </w:r>
    </w:p>
    <w:p w:rsidR="006878F9" w:rsidRDefault="006878F9" w:rsidP="0031757C">
      <w:pPr>
        <w:pStyle w:val="CommentText"/>
        <w:spacing w:after="0" w:line="240" w:lineRule="auto"/>
        <w:jc w:val="both"/>
        <w:rPr>
          <w:rFonts w:ascii="Times New Roman" w:hAnsi="Times New Roman"/>
          <w:b/>
          <w:sz w:val="24"/>
          <w:szCs w:val="24"/>
        </w:rPr>
      </w:pPr>
    </w:p>
    <w:p w:rsidR="006878F9" w:rsidRDefault="006878F9" w:rsidP="0031757C">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1 is the status quo.  Offshore persons would continue to </w:t>
      </w:r>
      <w:r w:rsidR="007300A5">
        <w:rPr>
          <w:rFonts w:ascii="Times New Roman" w:hAnsi="Times New Roman"/>
          <w:sz w:val="24"/>
          <w:szCs w:val="24"/>
        </w:rPr>
        <w:t xml:space="preserve">be </w:t>
      </w:r>
      <w:r>
        <w:rPr>
          <w:rFonts w:ascii="Times New Roman" w:hAnsi="Times New Roman"/>
          <w:sz w:val="24"/>
          <w:szCs w:val="24"/>
        </w:rPr>
        <w:t>require</w:t>
      </w:r>
      <w:r w:rsidR="007300A5">
        <w:rPr>
          <w:rFonts w:ascii="Times New Roman" w:hAnsi="Times New Roman"/>
          <w:sz w:val="24"/>
          <w:szCs w:val="24"/>
        </w:rPr>
        <w:t>d to hold</w:t>
      </w:r>
      <w:r>
        <w:rPr>
          <w:rFonts w:ascii="Times New Roman" w:hAnsi="Times New Roman"/>
          <w:sz w:val="24"/>
          <w:szCs w:val="24"/>
        </w:rPr>
        <w:t xml:space="preserve"> a</w:t>
      </w:r>
      <w:r w:rsidR="00727EFF">
        <w:rPr>
          <w:rFonts w:ascii="Times New Roman" w:hAnsi="Times New Roman"/>
          <w:sz w:val="24"/>
          <w:szCs w:val="24"/>
        </w:rPr>
        <w:t xml:space="preserve"> functioning</w:t>
      </w:r>
      <w:r>
        <w:rPr>
          <w:rFonts w:ascii="Times New Roman" w:hAnsi="Times New Roman"/>
          <w:sz w:val="24"/>
          <w:szCs w:val="24"/>
        </w:rPr>
        <w:t xml:space="preserve"> New Zealand bank account to obtain an IRD number</w:t>
      </w:r>
      <w:r w:rsidR="007E7D6C">
        <w:rPr>
          <w:rFonts w:ascii="Times New Roman" w:hAnsi="Times New Roman"/>
          <w:sz w:val="24"/>
          <w:szCs w:val="24"/>
        </w:rPr>
        <w:t>.</w:t>
      </w:r>
    </w:p>
    <w:p w:rsidR="006878F9" w:rsidRDefault="006878F9" w:rsidP="0031757C">
      <w:pPr>
        <w:pStyle w:val="CommentText"/>
        <w:spacing w:after="0" w:line="240" w:lineRule="auto"/>
        <w:jc w:val="both"/>
        <w:rPr>
          <w:rFonts w:ascii="Times New Roman" w:hAnsi="Times New Roman"/>
          <w:sz w:val="24"/>
          <w:szCs w:val="24"/>
        </w:rPr>
      </w:pPr>
    </w:p>
    <w:p w:rsidR="006878F9" w:rsidRPr="006878F9" w:rsidRDefault="006C5D88" w:rsidP="0031757C">
      <w:pPr>
        <w:pStyle w:val="CommentText"/>
        <w:spacing w:after="0" w:line="240" w:lineRule="auto"/>
        <w:jc w:val="both"/>
        <w:rPr>
          <w:rFonts w:ascii="Times New Roman" w:hAnsi="Times New Roman"/>
          <w:b/>
          <w:i/>
          <w:sz w:val="24"/>
          <w:szCs w:val="24"/>
        </w:rPr>
      </w:pPr>
      <w:r>
        <w:rPr>
          <w:rFonts w:ascii="Times New Roman" w:hAnsi="Times New Roman"/>
          <w:b/>
          <w:i/>
          <w:sz w:val="24"/>
          <w:szCs w:val="24"/>
        </w:rPr>
        <w:t>Assessment against criteria –</w:t>
      </w:r>
      <w:r w:rsidR="001638CB">
        <w:rPr>
          <w:rFonts w:ascii="Times New Roman" w:hAnsi="Times New Roman"/>
          <w:b/>
          <w:i/>
          <w:sz w:val="24"/>
          <w:szCs w:val="24"/>
        </w:rPr>
        <w:t xml:space="preserve"> </w:t>
      </w:r>
      <w:r>
        <w:rPr>
          <w:rFonts w:ascii="Times New Roman" w:hAnsi="Times New Roman"/>
          <w:b/>
          <w:i/>
          <w:sz w:val="24"/>
          <w:szCs w:val="24"/>
        </w:rPr>
        <w:t>O</w:t>
      </w:r>
      <w:r w:rsidR="006878F9">
        <w:rPr>
          <w:rFonts w:ascii="Times New Roman" w:hAnsi="Times New Roman"/>
          <w:b/>
          <w:i/>
          <w:sz w:val="24"/>
          <w:szCs w:val="24"/>
        </w:rPr>
        <w:t>ption 1</w:t>
      </w:r>
    </w:p>
    <w:p w:rsidR="006878F9" w:rsidRDefault="006878F9" w:rsidP="0031757C">
      <w:pPr>
        <w:pStyle w:val="CommentText"/>
        <w:spacing w:after="0" w:line="240" w:lineRule="auto"/>
        <w:jc w:val="both"/>
        <w:rPr>
          <w:rFonts w:ascii="Times New Roman" w:hAnsi="Times New Roman"/>
          <w:sz w:val="24"/>
          <w:szCs w:val="24"/>
        </w:rPr>
      </w:pPr>
    </w:p>
    <w:p w:rsidR="00C77741" w:rsidRDefault="00D13B79" w:rsidP="0031757C">
      <w:pPr>
        <w:pStyle w:val="CommentText"/>
        <w:numPr>
          <w:ilvl w:val="0"/>
          <w:numId w:val="3"/>
        </w:numPr>
        <w:spacing w:after="0" w:line="240" w:lineRule="auto"/>
        <w:ind w:left="0" w:firstLine="0"/>
        <w:jc w:val="both"/>
        <w:rPr>
          <w:rFonts w:ascii="Times New Roman" w:hAnsi="Times New Roman"/>
          <w:sz w:val="24"/>
          <w:szCs w:val="24"/>
        </w:rPr>
      </w:pPr>
      <w:r w:rsidRPr="00481666">
        <w:rPr>
          <w:rFonts w:ascii="Times New Roman" w:hAnsi="Times New Roman"/>
          <w:sz w:val="24"/>
          <w:szCs w:val="24"/>
        </w:rPr>
        <w:t xml:space="preserve">Option 1 </w:t>
      </w:r>
      <w:r w:rsidR="00C77741">
        <w:rPr>
          <w:rFonts w:ascii="Times New Roman" w:hAnsi="Times New Roman"/>
          <w:sz w:val="24"/>
          <w:szCs w:val="24"/>
        </w:rPr>
        <w:t xml:space="preserve">does not </w:t>
      </w:r>
      <w:r w:rsidRPr="00481666">
        <w:rPr>
          <w:rFonts w:ascii="Times New Roman" w:hAnsi="Times New Roman"/>
          <w:sz w:val="24"/>
          <w:szCs w:val="24"/>
        </w:rPr>
        <w:t xml:space="preserve">meet </w:t>
      </w:r>
      <w:r w:rsidR="00481666" w:rsidRPr="00481666">
        <w:rPr>
          <w:rFonts w:ascii="Times New Roman" w:hAnsi="Times New Roman"/>
          <w:sz w:val="24"/>
          <w:szCs w:val="24"/>
        </w:rPr>
        <w:t xml:space="preserve">the main </w:t>
      </w:r>
      <w:r w:rsidRPr="00481666">
        <w:rPr>
          <w:rFonts w:ascii="Times New Roman" w:hAnsi="Times New Roman"/>
          <w:sz w:val="24"/>
          <w:szCs w:val="24"/>
        </w:rPr>
        <w:t>object</w:t>
      </w:r>
      <w:r w:rsidR="005A3E49" w:rsidRPr="00481666">
        <w:rPr>
          <w:rFonts w:ascii="Times New Roman" w:hAnsi="Times New Roman"/>
          <w:sz w:val="24"/>
          <w:szCs w:val="24"/>
        </w:rPr>
        <w:t>ive</w:t>
      </w:r>
      <w:r w:rsidR="00C77741">
        <w:rPr>
          <w:rFonts w:ascii="Times New Roman" w:hAnsi="Times New Roman"/>
          <w:sz w:val="24"/>
          <w:szCs w:val="24"/>
        </w:rPr>
        <w:t>.</w:t>
      </w:r>
    </w:p>
    <w:p w:rsidR="00C77741" w:rsidRDefault="00C77741" w:rsidP="0031757C">
      <w:pPr>
        <w:pStyle w:val="CommentText"/>
        <w:spacing w:after="0" w:line="240" w:lineRule="auto"/>
        <w:jc w:val="both"/>
        <w:rPr>
          <w:rFonts w:ascii="Times New Roman" w:hAnsi="Times New Roman"/>
          <w:sz w:val="24"/>
          <w:szCs w:val="24"/>
        </w:rPr>
      </w:pPr>
    </w:p>
    <w:p w:rsidR="00481666" w:rsidRDefault="00C77741" w:rsidP="0031757C">
      <w:pPr>
        <w:pStyle w:val="CommentText"/>
        <w:numPr>
          <w:ilvl w:val="0"/>
          <w:numId w:val="3"/>
        </w:numPr>
        <w:spacing w:after="0" w:line="240" w:lineRule="auto"/>
        <w:ind w:left="0" w:firstLine="0"/>
        <w:jc w:val="both"/>
        <w:rPr>
          <w:rFonts w:ascii="Times New Roman" w:hAnsi="Times New Roman"/>
          <w:sz w:val="24"/>
          <w:szCs w:val="24"/>
        </w:rPr>
      </w:pPr>
      <w:r w:rsidRPr="00C65B81">
        <w:rPr>
          <w:rFonts w:ascii="Times New Roman" w:hAnsi="Times New Roman"/>
          <w:i/>
          <w:sz w:val="24"/>
          <w:szCs w:val="24"/>
        </w:rPr>
        <w:t>Robustness of the identity checks.</w:t>
      </w:r>
      <w:r>
        <w:rPr>
          <w:rFonts w:ascii="Times New Roman" w:hAnsi="Times New Roman"/>
          <w:sz w:val="24"/>
          <w:szCs w:val="24"/>
        </w:rPr>
        <w:t xml:space="preserve"> Option 1 meet</w:t>
      </w:r>
      <w:r w:rsidR="00ED5CF0">
        <w:rPr>
          <w:rFonts w:ascii="Times New Roman" w:hAnsi="Times New Roman"/>
          <w:sz w:val="24"/>
          <w:szCs w:val="24"/>
        </w:rPr>
        <w:t>s</w:t>
      </w:r>
      <w:r>
        <w:rPr>
          <w:rFonts w:ascii="Times New Roman" w:hAnsi="Times New Roman"/>
          <w:sz w:val="24"/>
          <w:szCs w:val="24"/>
        </w:rPr>
        <w:t xml:space="preserve"> this criterion. The Commissioner can continue to rely on the customer due diligence processes undertaken by New Zealand banks before a bank account is issued to an offshore perso</w:t>
      </w:r>
      <w:r w:rsidR="00ED5CF0">
        <w:rPr>
          <w:rFonts w:ascii="Times New Roman" w:hAnsi="Times New Roman"/>
          <w:sz w:val="24"/>
          <w:szCs w:val="24"/>
        </w:rPr>
        <w:t>n.</w:t>
      </w:r>
    </w:p>
    <w:p w:rsidR="00D13B79" w:rsidRPr="00906B80" w:rsidRDefault="00D13B79" w:rsidP="0031757C">
      <w:pPr>
        <w:pStyle w:val="CommentText"/>
        <w:spacing w:after="0" w:line="240" w:lineRule="auto"/>
        <w:jc w:val="both"/>
        <w:rPr>
          <w:rFonts w:ascii="Times New Roman" w:hAnsi="Times New Roman"/>
          <w:sz w:val="24"/>
          <w:szCs w:val="24"/>
        </w:rPr>
      </w:pPr>
    </w:p>
    <w:p w:rsidR="007D06A3" w:rsidRDefault="00D13B79" w:rsidP="0031757C">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i/>
          <w:sz w:val="24"/>
          <w:szCs w:val="24"/>
        </w:rPr>
        <w:t>Economic efficiency.</w:t>
      </w:r>
      <w:r>
        <w:rPr>
          <w:rFonts w:ascii="Times New Roman" w:hAnsi="Times New Roman"/>
          <w:sz w:val="24"/>
          <w:szCs w:val="24"/>
        </w:rPr>
        <w:t xml:space="preserve">  Option 1 does not meet this criterion. </w:t>
      </w:r>
      <w:r w:rsidR="00C50700">
        <w:rPr>
          <w:rFonts w:ascii="Times New Roman" w:hAnsi="Times New Roman"/>
          <w:sz w:val="24"/>
          <w:szCs w:val="24"/>
        </w:rPr>
        <w:t xml:space="preserve">In excess of 4,500 </w:t>
      </w:r>
      <w:r>
        <w:rPr>
          <w:rFonts w:ascii="Times New Roman" w:hAnsi="Times New Roman"/>
          <w:sz w:val="24"/>
          <w:szCs w:val="24"/>
        </w:rPr>
        <w:t xml:space="preserve">offshore persons </w:t>
      </w:r>
      <w:r w:rsidR="00D009CF">
        <w:rPr>
          <w:rFonts w:ascii="Times New Roman" w:hAnsi="Times New Roman"/>
          <w:sz w:val="24"/>
          <w:szCs w:val="24"/>
        </w:rPr>
        <w:t xml:space="preserve">had difficulties with or </w:t>
      </w:r>
      <w:r w:rsidR="00C50700">
        <w:rPr>
          <w:rFonts w:ascii="Times New Roman" w:hAnsi="Times New Roman"/>
          <w:sz w:val="24"/>
          <w:szCs w:val="24"/>
        </w:rPr>
        <w:t>we</w:t>
      </w:r>
      <w:r>
        <w:rPr>
          <w:rFonts w:ascii="Times New Roman" w:hAnsi="Times New Roman"/>
          <w:sz w:val="24"/>
          <w:szCs w:val="24"/>
        </w:rPr>
        <w:t xml:space="preserve">re unable to obtain an IRD number </w:t>
      </w:r>
      <w:r w:rsidR="00C50700">
        <w:rPr>
          <w:rFonts w:ascii="Times New Roman" w:hAnsi="Times New Roman"/>
          <w:sz w:val="24"/>
          <w:szCs w:val="24"/>
        </w:rPr>
        <w:t xml:space="preserve">in the year to September 2016, </w:t>
      </w:r>
      <w:r>
        <w:rPr>
          <w:rFonts w:ascii="Times New Roman" w:hAnsi="Times New Roman"/>
          <w:sz w:val="24"/>
          <w:szCs w:val="24"/>
        </w:rPr>
        <w:t xml:space="preserve">which </w:t>
      </w:r>
      <w:r w:rsidR="00942D34">
        <w:rPr>
          <w:rFonts w:ascii="Times New Roman" w:hAnsi="Times New Roman"/>
          <w:sz w:val="24"/>
          <w:szCs w:val="24"/>
        </w:rPr>
        <w:t xml:space="preserve">adversely affected </w:t>
      </w:r>
      <w:r w:rsidR="00C50700">
        <w:rPr>
          <w:rFonts w:ascii="Times New Roman" w:hAnsi="Times New Roman"/>
          <w:sz w:val="24"/>
          <w:szCs w:val="24"/>
        </w:rPr>
        <w:t>their</w:t>
      </w:r>
      <w:r w:rsidR="00906B80">
        <w:rPr>
          <w:rFonts w:ascii="Times New Roman" w:hAnsi="Times New Roman"/>
          <w:sz w:val="24"/>
          <w:szCs w:val="24"/>
        </w:rPr>
        <w:t xml:space="preserve"> compliance with </w:t>
      </w:r>
      <w:r w:rsidR="005E1F25">
        <w:rPr>
          <w:rFonts w:ascii="Times New Roman" w:hAnsi="Times New Roman"/>
          <w:sz w:val="24"/>
          <w:szCs w:val="24"/>
        </w:rPr>
        <w:t>New Zealand tax</w:t>
      </w:r>
      <w:r w:rsidR="00906B80">
        <w:rPr>
          <w:rFonts w:ascii="Times New Roman" w:hAnsi="Times New Roman"/>
          <w:sz w:val="24"/>
          <w:szCs w:val="24"/>
        </w:rPr>
        <w:t xml:space="preserve"> obligations and </w:t>
      </w:r>
      <w:r w:rsidR="00D009CF">
        <w:rPr>
          <w:rFonts w:ascii="Times New Roman" w:hAnsi="Times New Roman"/>
          <w:sz w:val="24"/>
          <w:szCs w:val="24"/>
        </w:rPr>
        <w:t>affected</w:t>
      </w:r>
      <w:r w:rsidR="00906B80">
        <w:rPr>
          <w:rFonts w:ascii="Times New Roman" w:hAnsi="Times New Roman"/>
          <w:sz w:val="24"/>
          <w:szCs w:val="24"/>
        </w:rPr>
        <w:t xml:space="preserve"> sales of New Zealand </w:t>
      </w:r>
      <w:r>
        <w:rPr>
          <w:rFonts w:ascii="Times New Roman" w:hAnsi="Times New Roman"/>
          <w:sz w:val="24"/>
          <w:szCs w:val="24"/>
        </w:rPr>
        <w:t>property</w:t>
      </w:r>
      <w:r w:rsidR="005E1F25">
        <w:rPr>
          <w:rFonts w:ascii="Times New Roman" w:hAnsi="Times New Roman"/>
          <w:sz w:val="24"/>
          <w:szCs w:val="24"/>
        </w:rPr>
        <w:t>.</w:t>
      </w:r>
      <w:r>
        <w:rPr>
          <w:rFonts w:ascii="Times New Roman" w:hAnsi="Times New Roman"/>
          <w:sz w:val="24"/>
          <w:szCs w:val="24"/>
        </w:rPr>
        <w:t xml:space="preserve"> </w:t>
      </w:r>
    </w:p>
    <w:p w:rsidR="00D13B79" w:rsidRDefault="00D13B79" w:rsidP="0031757C">
      <w:pPr>
        <w:pStyle w:val="CommentText"/>
        <w:spacing w:after="0" w:line="240" w:lineRule="auto"/>
        <w:jc w:val="both"/>
      </w:pPr>
    </w:p>
    <w:p w:rsidR="00D13B79" w:rsidRPr="006878F9" w:rsidRDefault="00D13B79" w:rsidP="0031757C">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i/>
          <w:sz w:val="24"/>
          <w:szCs w:val="24"/>
        </w:rPr>
        <w:t>Efficiency of compliance and administration.</w:t>
      </w:r>
      <w:r>
        <w:rPr>
          <w:rFonts w:ascii="Times New Roman" w:hAnsi="Times New Roman"/>
          <w:sz w:val="24"/>
          <w:szCs w:val="24"/>
        </w:rPr>
        <w:t xml:space="preserve">  Option 1 does not meet this criterion</w:t>
      </w:r>
      <w:r w:rsidRPr="00D009CF">
        <w:rPr>
          <w:rFonts w:ascii="Times New Roman" w:hAnsi="Times New Roman"/>
          <w:sz w:val="24"/>
          <w:szCs w:val="24"/>
        </w:rPr>
        <w:t xml:space="preserve">. </w:t>
      </w:r>
      <w:r w:rsidR="00481666" w:rsidRPr="00D009CF">
        <w:rPr>
          <w:rFonts w:ascii="Times New Roman" w:hAnsi="Times New Roman"/>
          <w:sz w:val="24"/>
          <w:szCs w:val="24"/>
        </w:rPr>
        <w:t>A number of</w:t>
      </w:r>
      <w:r w:rsidR="00481666">
        <w:rPr>
          <w:rFonts w:ascii="Times New Roman" w:hAnsi="Times New Roman"/>
          <w:sz w:val="24"/>
          <w:szCs w:val="24"/>
        </w:rPr>
        <w:t xml:space="preserve"> o</w:t>
      </w:r>
      <w:r>
        <w:rPr>
          <w:rFonts w:ascii="Times New Roman" w:hAnsi="Times New Roman"/>
          <w:sz w:val="24"/>
          <w:szCs w:val="24"/>
        </w:rPr>
        <w:t>ffshore persons are i</w:t>
      </w:r>
      <w:r w:rsidR="00481666">
        <w:rPr>
          <w:rFonts w:ascii="Times New Roman" w:hAnsi="Times New Roman"/>
          <w:sz w:val="24"/>
          <w:szCs w:val="24"/>
        </w:rPr>
        <w:t>n</w:t>
      </w:r>
      <w:r>
        <w:rPr>
          <w:rFonts w:ascii="Times New Roman" w:hAnsi="Times New Roman"/>
          <w:sz w:val="24"/>
          <w:szCs w:val="24"/>
        </w:rPr>
        <w:t xml:space="preserve">curring high costs and suffering delays in getting a New Zealand bank account.  </w:t>
      </w:r>
      <w:r w:rsidR="005A3E49">
        <w:rPr>
          <w:rFonts w:ascii="Times New Roman" w:hAnsi="Times New Roman"/>
          <w:sz w:val="24"/>
          <w:szCs w:val="24"/>
        </w:rPr>
        <w:t>As Inland Revenue is relying on the processes operated by financial institutions the administration costs are low</w:t>
      </w:r>
      <w:r w:rsidR="00481666">
        <w:rPr>
          <w:rFonts w:ascii="Times New Roman" w:hAnsi="Times New Roman"/>
          <w:sz w:val="24"/>
          <w:szCs w:val="24"/>
        </w:rPr>
        <w:t>.</w:t>
      </w:r>
    </w:p>
    <w:p w:rsidR="006878F9" w:rsidRDefault="006878F9" w:rsidP="0031757C">
      <w:pPr>
        <w:pStyle w:val="CommentText"/>
        <w:spacing w:after="0" w:line="240" w:lineRule="auto"/>
        <w:jc w:val="both"/>
        <w:rPr>
          <w:rFonts w:ascii="Times New Roman" w:hAnsi="Times New Roman"/>
          <w:b/>
          <w:sz w:val="24"/>
          <w:szCs w:val="24"/>
        </w:rPr>
      </w:pPr>
    </w:p>
    <w:p w:rsidR="006878F9" w:rsidRDefault="006878F9" w:rsidP="0031757C">
      <w:pPr>
        <w:pStyle w:val="CommentText"/>
        <w:spacing w:after="0" w:line="240" w:lineRule="auto"/>
        <w:jc w:val="both"/>
        <w:rPr>
          <w:rFonts w:ascii="Times New Roman" w:hAnsi="Times New Roman"/>
          <w:b/>
          <w:sz w:val="24"/>
          <w:szCs w:val="24"/>
        </w:rPr>
      </w:pPr>
      <w:r>
        <w:rPr>
          <w:rFonts w:ascii="Times New Roman" w:hAnsi="Times New Roman"/>
          <w:b/>
          <w:sz w:val="24"/>
          <w:szCs w:val="24"/>
        </w:rPr>
        <w:t>Option 2</w:t>
      </w:r>
    </w:p>
    <w:p w:rsidR="006878F9" w:rsidRDefault="006878F9" w:rsidP="0031757C">
      <w:pPr>
        <w:pStyle w:val="CommentText"/>
        <w:spacing w:after="0" w:line="240" w:lineRule="auto"/>
        <w:jc w:val="both"/>
        <w:rPr>
          <w:rFonts w:ascii="Times New Roman" w:hAnsi="Times New Roman"/>
          <w:sz w:val="24"/>
          <w:szCs w:val="24"/>
        </w:rPr>
      </w:pPr>
    </w:p>
    <w:p w:rsidR="006878F9" w:rsidRDefault="006878F9" w:rsidP="0031757C">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Option 2 would</w:t>
      </w:r>
      <w:r w:rsidR="00C65B81">
        <w:rPr>
          <w:rFonts w:ascii="Times New Roman" w:hAnsi="Times New Roman"/>
          <w:sz w:val="24"/>
          <w:szCs w:val="24"/>
        </w:rPr>
        <w:t xml:space="preserve"> retain the bank account requirement but</w:t>
      </w:r>
      <w:r>
        <w:rPr>
          <w:rFonts w:ascii="Times New Roman" w:hAnsi="Times New Roman"/>
          <w:sz w:val="24"/>
          <w:szCs w:val="24"/>
        </w:rPr>
        <w:t xml:space="preserve"> </w:t>
      </w:r>
      <w:r w:rsidR="00481666">
        <w:rPr>
          <w:rFonts w:ascii="Times New Roman" w:hAnsi="Times New Roman"/>
          <w:sz w:val="24"/>
          <w:szCs w:val="24"/>
        </w:rPr>
        <w:t xml:space="preserve">introduce </w:t>
      </w:r>
      <w:r w:rsidR="00A6211D">
        <w:rPr>
          <w:rFonts w:ascii="Times New Roman" w:hAnsi="Times New Roman"/>
          <w:sz w:val="24"/>
          <w:szCs w:val="24"/>
        </w:rPr>
        <w:t xml:space="preserve">a </w:t>
      </w:r>
      <w:r w:rsidR="00481666">
        <w:rPr>
          <w:rFonts w:ascii="Times New Roman" w:hAnsi="Times New Roman"/>
          <w:sz w:val="24"/>
          <w:szCs w:val="24"/>
        </w:rPr>
        <w:t xml:space="preserve">Commissioner’s discretion to issue IRD numbers to offshore persons who do not have a New Zealand bank account. The key principle guiding the exercise of discretion </w:t>
      </w:r>
      <w:r w:rsidR="00A6211D">
        <w:rPr>
          <w:rFonts w:ascii="Times New Roman" w:hAnsi="Times New Roman"/>
          <w:sz w:val="24"/>
          <w:szCs w:val="24"/>
        </w:rPr>
        <w:t xml:space="preserve">would be </w:t>
      </w:r>
      <w:r w:rsidR="00481666">
        <w:rPr>
          <w:rFonts w:ascii="Times New Roman" w:hAnsi="Times New Roman"/>
          <w:sz w:val="24"/>
          <w:szCs w:val="24"/>
        </w:rPr>
        <w:t>that the Commissioner is satisfied as to the offshore person’s identity.</w:t>
      </w:r>
    </w:p>
    <w:p w:rsidR="006878F9" w:rsidRDefault="006878F9" w:rsidP="0031757C">
      <w:pPr>
        <w:pStyle w:val="CommentText"/>
        <w:spacing w:after="0" w:line="240" w:lineRule="auto"/>
        <w:jc w:val="both"/>
        <w:rPr>
          <w:rFonts w:ascii="Times New Roman" w:hAnsi="Times New Roman"/>
          <w:sz w:val="24"/>
          <w:szCs w:val="24"/>
        </w:rPr>
      </w:pPr>
    </w:p>
    <w:p w:rsidR="00481666" w:rsidRPr="00D22986" w:rsidRDefault="006C5D88" w:rsidP="0031757C">
      <w:pPr>
        <w:pStyle w:val="CommentText"/>
        <w:spacing w:after="0" w:line="240" w:lineRule="auto"/>
        <w:jc w:val="both"/>
        <w:rPr>
          <w:rFonts w:ascii="Times New Roman" w:hAnsi="Times New Roman"/>
          <w:b/>
          <w:i/>
          <w:sz w:val="24"/>
          <w:szCs w:val="24"/>
        </w:rPr>
      </w:pPr>
      <w:r>
        <w:rPr>
          <w:rFonts w:ascii="Times New Roman" w:hAnsi="Times New Roman"/>
          <w:b/>
          <w:i/>
          <w:sz w:val="24"/>
          <w:szCs w:val="24"/>
        </w:rPr>
        <w:t>Assessment against criteria – O</w:t>
      </w:r>
      <w:r w:rsidR="00D22986">
        <w:rPr>
          <w:rFonts w:ascii="Times New Roman" w:hAnsi="Times New Roman"/>
          <w:b/>
          <w:i/>
          <w:sz w:val="24"/>
          <w:szCs w:val="24"/>
        </w:rPr>
        <w:t>ption 2</w:t>
      </w:r>
    </w:p>
    <w:p w:rsidR="00481666" w:rsidRDefault="00481666" w:rsidP="0031757C">
      <w:pPr>
        <w:pStyle w:val="CommentText"/>
        <w:spacing w:after="0" w:line="240" w:lineRule="auto"/>
        <w:jc w:val="both"/>
        <w:rPr>
          <w:rFonts w:ascii="Times New Roman" w:hAnsi="Times New Roman"/>
          <w:sz w:val="24"/>
          <w:szCs w:val="24"/>
        </w:rPr>
      </w:pPr>
    </w:p>
    <w:p w:rsidR="00481666" w:rsidRDefault="00071C53" w:rsidP="0031757C">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Option 2</w:t>
      </w:r>
      <w:r w:rsidR="00481666" w:rsidRPr="00481666">
        <w:rPr>
          <w:rFonts w:ascii="Times New Roman" w:hAnsi="Times New Roman"/>
          <w:sz w:val="24"/>
          <w:szCs w:val="24"/>
        </w:rPr>
        <w:t xml:space="preserve"> meets </w:t>
      </w:r>
      <w:r w:rsidR="00C77741">
        <w:rPr>
          <w:rFonts w:ascii="Times New Roman" w:hAnsi="Times New Roman"/>
          <w:sz w:val="24"/>
          <w:szCs w:val="24"/>
        </w:rPr>
        <w:t xml:space="preserve">the </w:t>
      </w:r>
      <w:r w:rsidR="00481666" w:rsidRPr="00481666">
        <w:rPr>
          <w:rFonts w:ascii="Times New Roman" w:hAnsi="Times New Roman"/>
          <w:sz w:val="24"/>
          <w:szCs w:val="24"/>
        </w:rPr>
        <w:t>main objective. It will allow</w:t>
      </w:r>
      <w:r w:rsidR="00942D34">
        <w:rPr>
          <w:rFonts w:ascii="Times New Roman" w:hAnsi="Times New Roman"/>
          <w:sz w:val="24"/>
          <w:szCs w:val="24"/>
        </w:rPr>
        <w:t xml:space="preserve"> the Commissioner</w:t>
      </w:r>
      <w:r w:rsidR="00481666" w:rsidRPr="00481666">
        <w:rPr>
          <w:rFonts w:ascii="Times New Roman" w:hAnsi="Times New Roman"/>
          <w:sz w:val="24"/>
          <w:szCs w:val="24"/>
        </w:rPr>
        <w:t xml:space="preserve"> to effectively deal with instances where issues with the bank account requirement arise</w:t>
      </w:r>
      <w:r w:rsidR="00481666">
        <w:rPr>
          <w:rFonts w:ascii="Times New Roman" w:hAnsi="Times New Roman"/>
          <w:sz w:val="24"/>
          <w:szCs w:val="24"/>
        </w:rPr>
        <w:t>.</w:t>
      </w:r>
    </w:p>
    <w:p w:rsidR="00C77741" w:rsidRDefault="00C77741" w:rsidP="0031757C">
      <w:pPr>
        <w:pStyle w:val="CommentText"/>
        <w:spacing w:after="0" w:line="240" w:lineRule="auto"/>
        <w:jc w:val="both"/>
        <w:rPr>
          <w:rFonts w:ascii="Times New Roman" w:hAnsi="Times New Roman"/>
          <w:sz w:val="24"/>
          <w:szCs w:val="24"/>
        </w:rPr>
      </w:pPr>
    </w:p>
    <w:p w:rsidR="00C77741" w:rsidRDefault="00C77741" w:rsidP="0031757C">
      <w:pPr>
        <w:pStyle w:val="CommentText"/>
        <w:numPr>
          <w:ilvl w:val="0"/>
          <w:numId w:val="3"/>
        </w:numPr>
        <w:spacing w:after="0" w:line="240" w:lineRule="auto"/>
        <w:ind w:left="0" w:firstLine="0"/>
        <w:jc w:val="both"/>
        <w:rPr>
          <w:rFonts w:ascii="Times New Roman" w:hAnsi="Times New Roman"/>
          <w:sz w:val="24"/>
          <w:szCs w:val="24"/>
        </w:rPr>
      </w:pPr>
      <w:r w:rsidRPr="00906279">
        <w:rPr>
          <w:rFonts w:ascii="Times New Roman" w:hAnsi="Times New Roman"/>
          <w:i/>
          <w:sz w:val="24"/>
          <w:szCs w:val="24"/>
        </w:rPr>
        <w:t>Robustness of the identity checks</w:t>
      </w:r>
      <w:r w:rsidR="00C65B81">
        <w:rPr>
          <w:rFonts w:ascii="Times New Roman" w:hAnsi="Times New Roman"/>
          <w:i/>
          <w:sz w:val="24"/>
          <w:szCs w:val="24"/>
        </w:rPr>
        <w:t xml:space="preserve">. </w:t>
      </w:r>
      <w:r w:rsidR="00C65B81">
        <w:rPr>
          <w:rFonts w:ascii="Times New Roman" w:hAnsi="Times New Roman"/>
          <w:sz w:val="24"/>
          <w:szCs w:val="24"/>
        </w:rPr>
        <w:t>Option 2 meets this criterion. The Commissioner will only issue IRD numbers where she is satisfied with the identity of an offshore person.</w:t>
      </w:r>
    </w:p>
    <w:p w:rsidR="00481666" w:rsidRPr="00481666" w:rsidRDefault="00481666" w:rsidP="00C65B81">
      <w:pPr>
        <w:pStyle w:val="CommentText"/>
        <w:spacing w:after="0" w:line="240" w:lineRule="auto"/>
        <w:jc w:val="both"/>
        <w:rPr>
          <w:rFonts w:ascii="Times New Roman" w:hAnsi="Times New Roman"/>
          <w:sz w:val="24"/>
          <w:szCs w:val="24"/>
        </w:rPr>
      </w:pPr>
    </w:p>
    <w:p w:rsidR="00934B1F" w:rsidRDefault="00481666" w:rsidP="00C65B81">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i/>
          <w:sz w:val="24"/>
          <w:szCs w:val="24"/>
        </w:rPr>
        <w:t>Economic efficiency.</w:t>
      </w:r>
      <w:r w:rsidR="00071C53">
        <w:rPr>
          <w:rFonts w:ascii="Times New Roman" w:hAnsi="Times New Roman"/>
          <w:sz w:val="24"/>
          <w:szCs w:val="24"/>
        </w:rPr>
        <w:t xml:space="preserve">  Option 2</w:t>
      </w:r>
      <w:r>
        <w:rPr>
          <w:rFonts w:ascii="Times New Roman" w:hAnsi="Times New Roman"/>
          <w:sz w:val="24"/>
          <w:szCs w:val="24"/>
        </w:rPr>
        <w:t xml:space="preserve"> is</w:t>
      </w:r>
      <w:r w:rsidR="00071C53">
        <w:rPr>
          <w:rFonts w:ascii="Times New Roman" w:hAnsi="Times New Roman"/>
          <w:sz w:val="24"/>
          <w:szCs w:val="24"/>
        </w:rPr>
        <w:t xml:space="preserve"> better than the status quo</w:t>
      </w:r>
      <w:r>
        <w:rPr>
          <w:rFonts w:ascii="Times New Roman" w:hAnsi="Times New Roman"/>
          <w:sz w:val="24"/>
          <w:szCs w:val="24"/>
        </w:rPr>
        <w:t xml:space="preserve">. </w:t>
      </w:r>
      <w:r w:rsidR="00934B1F">
        <w:rPr>
          <w:rFonts w:ascii="Times New Roman" w:hAnsi="Times New Roman"/>
          <w:sz w:val="24"/>
          <w:szCs w:val="24"/>
        </w:rPr>
        <w:t>It will give the Commissioner sufficient flexibility to deal on a timely basis with a range of different cases where she has confidence in the identity of a person.</w:t>
      </w:r>
      <w:r>
        <w:rPr>
          <w:rFonts w:ascii="Times New Roman" w:hAnsi="Times New Roman"/>
          <w:sz w:val="24"/>
          <w:szCs w:val="24"/>
        </w:rPr>
        <w:t xml:space="preserve"> </w:t>
      </w:r>
      <w:r w:rsidR="00590B90">
        <w:rPr>
          <w:rFonts w:ascii="Times New Roman" w:hAnsi="Times New Roman"/>
          <w:sz w:val="24"/>
          <w:szCs w:val="24"/>
        </w:rPr>
        <w:t xml:space="preserve"> </w:t>
      </w:r>
      <w:r w:rsidR="00934B1F">
        <w:rPr>
          <w:rFonts w:ascii="Times New Roman" w:hAnsi="Times New Roman"/>
          <w:sz w:val="24"/>
          <w:szCs w:val="24"/>
        </w:rPr>
        <w:t>Although a number of o</w:t>
      </w:r>
      <w:r>
        <w:rPr>
          <w:rFonts w:ascii="Times New Roman" w:hAnsi="Times New Roman"/>
          <w:sz w:val="24"/>
          <w:szCs w:val="24"/>
        </w:rPr>
        <w:t xml:space="preserve">ffshore persons who are unable to open a New Zealand bank account could get an IRD number </w:t>
      </w:r>
      <w:r w:rsidR="00942D34">
        <w:rPr>
          <w:rFonts w:ascii="Times New Roman" w:hAnsi="Times New Roman"/>
          <w:sz w:val="24"/>
          <w:szCs w:val="24"/>
        </w:rPr>
        <w:t xml:space="preserve">if </w:t>
      </w:r>
      <w:r>
        <w:rPr>
          <w:rFonts w:ascii="Times New Roman" w:hAnsi="Times New Roman"/>
          <w:sz w:val="24"/>
          <w:szCs w:val="24"/>
        </w:rPr>
        <w:t>the Commissioner</w:t>
      </w:r>
      <w:r w:rsidR="00071C53">
        <w:rPr>
          <w:rFonts w:ascii="Times New Roman" w:hAnsi="Times New Roman"/>
          <w:sz w:val="24"/>
          <w:szCs w:val="24"/>
        </w:rPr>
        <w:t xml:space="preserve"> is satisfied with their identity</w:t>
      </w:r>
      <w:r w:rsidR="00934B1F">
        <w:rPr>
          <w:rFonts w:ascii="Times New Roman" w:hAnsi="Times New Roman"/>
          <w:sz w:val="24"/>
          <w:szCs w:val="24"/>
        </w:rPr>
        <w:t>, t</w:t>
      </w:r>
      <w:r>
        <w:rPr>
          <w:rFonts w:ascii="Times New Roman" w:hAnsi="Times New Roman"/>
          <w:sz w:val="24"/>
          <w:szCs w:val="24"/>
        </w:rPr>
        <w:t xml:space="preserve">here would continue to be </w:t>
      </w:r>
      <w:r w:rsidR="00934B1F">
        <w:rPr>
          <w:rFonts w:ascii="Times New Roman" w:hAnsi="Times New Roman"/>
          <w:sz w:val="24"/>
          <w:szCs w:val="24"/>
        </w:rPr>
        <w:t xml:space="preserve">other </w:t>
      </w:r>
      <w:r>
        <w:rPr>
          <w:rFonts w:ascii="Times New Roman" w:hAnsi="Times New Roman"/>
          <w:sz w:val="24"/>
          <w:szCs w:val="24"/>
        </w:rPr>
        <w:t xml:space="preserve">offshore persons who </w:t>
      </w:r>
      <w:r w:rsidR="00590B90">
        <w:rPr>
          <w:rFonts w:ascii="Times New Roman" w:hAnsi="Times New Roman"/>
          <w:sz w:val="24"/>
          <w:szCs w:val="24"/>
        </w:rPr>
        <w:t>are unable</w:t>
      </w:r>
      <w:r>
        <w:rPr>
          <w:rFonts w:ascii="Times New Roman" w:hAnsi="Times New Roman"/>
          <w:sz w:val="24"/>
          <w:szCs w:val="24"/>
        </w:rPr>
        <w:t xml:space="preserve"> to get an IRD number when discretion was not exercised. </w:t>
      </w:r>
    </w:p>
    <w:p w:rsidR="00481666" w:rsidRDefault="00481666" w:rsidP="00D009CF">
      <w:pPr>
        <w:pStyle w:val="CommentText"/>
        <w:spacing w:after="0" w:line="240" w:lineRule="auto"/>
        <w:jc w:val="both"/>
      </w:pPr>
    </w:p>
    <w:p w:rsidR="00481666" w:rsidRDefault="00481666" w:rsidP="00C65B81">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i/>
          <w:sz w:val="24"/>
          <w:szCs w:val="24"/>
        </w:rPr>
        <w:t>Efficiency of compliance and administration.</w:t>
      </w:r>
      <w:r>
        <w:rPr>
          <w:rFonts w:ascii="Times New Roman" w:hAnsi="Times New Roman"/>
          <w:sz w:val="24"/>
          <w:szCs w:val="24"/>
        </w:rPr>
        <w:t xml:space="preserve">  Option </w:t>
      </w:r>
      <w:r w:rsidR="00071C53">
        <w:rPr>
          <w:rFonts w:ascii="Times New Roman" w:hAnsi="Times New Roman"/>
          <w:sz w:val="24"/>
          <w:szCs w:val="24"/>
        </w:rPr>
        <w:t>2</w:t>
      </w:r>
      <w:r>
        <w:rPr>
          <w:rFonts w:ascii="Times New Roman" w:hAnsi="Times New Roman"/>
          <w:sz w:val="24"/>
          <w:szCs w:val="24"/>
        </w:rPr>
        <w:t xml:space="preserve"> is </w:t>
      </w:r>
      <w:r w:rsidR="00D009CF">
        <w:rPr>
          <w:rFonts w:ascii="Times New Roman" w:hAnsi="Times New Roman"/>
          <w:sz w:val="24"/>
          <w:szCs w:val="24"/>
        </w:rPr>
        <w:t xml:space="preserve">better than the status quo for compliance costs, but worse than the status quo for administrative costs. </w:t>
      </w:r>
      <w:r w:rsidR="00590B90">
        <w:rPr>
          <w:rFonts w:ascii="Times New Roman" w:hAnsi="Times New Roman"/>
          <w:sz w:val="24"/>
          <w:szCs w:val="24"/>
        </w:rPr>
        <w:t xml:space="preserve"> </w:t>
      </w:r>
      <w:r w:rsidR="00D009CF">
        <w:rPr>
          <w:rFonts w:ascii="Times New Roman" w:hAnsi="Times New Roman"/>
          <w:sz w:val="24"/>
          <w:szCs w:val="24"/>
        </w:rPr>
        <w:t xml:space="preserve">Overall, we consider Option 2 </w:t>
      </w:r>
      <w:r w:rsidR="00934B1F">
        <w:rPr>
          <w:rFonts w:ascii="Times New Roman" w:hAnsi="Times New Roman"/>
          <w:sz w:val="24"/>
          <w:szCs w:val="24"/>
        </w:rPr>
        <w:t xml:space="preserve">the same as </w:t>
      </w:r>
      <w:r>
        <w:rPr>
          <w:rFonts w:ascii="Times New Roman" w:hAnsi="Times New Roman"/>
          <w:sz w:val="24"/>
          <w:szCs w:val="24"/>
        </w:rPr>
        <w:t xml:space="preserve">the status quo.  </w:t>
      </w:r>
      <w:r w:rsidR="00071C53">
        <w:rPr>
          <w:rFonts w:ascii="Times New Roman" w:hAnsi="Times New Roman"/>
          <w:sz w:val="24"/>
          <w:szCs w:val="24"/>
        </w:rPr>
        <w:t>O</w:t>
      </w:r>
      <w:r>
        <w:rPr>
          <w:rFonts w:ascii="Times New Roman" w:hAnsi="Times New Roman"/>
          <w:sz w:val="24"/>
          <w:szCs w:val="24"/>
        </w:rPr>
        <w:t>ffshore persons</w:t>
      </w:r>
      <w:r w:rsidR="00071C53">
        <w:rPr>
          <w:rFonts w:ascii="Times New Roman" w:hAnsi="Times New Roman"/>
          <w:sz w:val="24"/>
          <w:szCs w:val="24"/>
        </w:rPr>
        <w:t>’ costs</w:t>
      </w:r>
      <w:r>
        <w:rPr>
          <w:rFonts w:ascii="Times New Roman" w:hAnsi="Times New Roman"/>
          <w:sz w:val="24"/>
          <w:szCs w:val="24"/>
        </w:rPr>
        <w:t xml:space="preserve"> would </w:t>
      </w:r>
      <w:r w:rsidR="00071C53">
        <w:rPr>
          <w:rFonts w:ascii="Times New Roman" w:hAnsi="Times New Roman"/>
          <w:sz w:val="24"/>
          <w:szCs w:val="24"/>
        </w:rPr>
        <w:t>reduce as they would be able to apply</w:t>
      </w:r>
      <w:r>
        <w:rPr>
          <w:rFonts w:ascii="Times New Roman" w:hAnsi="Times New Roman"/>
          <w:sz w:val="24"/>
          <w:szCs w:val="24"/>
        </w:rPr>
        <w:t xml:space="preserve"> for the </w:t>
      </w:r>
      <w:r w:rsidR="00071C53">
        <w:rPr>
          <w:rFonts w:ascii="Times New Roman" w:hAnsi="Times New Roman"/>
          <w:sz w:val="24"/>
          <w:szCs w:val="24"/>
        </w:rPr>
        <w:t xml:space="preserve">Commissioner’s </w:t>
      </w:r>
      <w:r>
        <w:rPr>
          <w:rFonts w:ascii="Times New Roman" w:hAnsi="Times New Roman"/>
          <w:sz w:val="24"/>
          <w:szCs w:val="24"/>
        </w:rPr>
        <w:t>discretion</w:t>
      </w:r>
      <w:r w:rsidR="00071C53">
        <w:rPr>
          <w:rFonts w:ascii="Times New Roman" w:hAnsi="Times New Roman"/>
          <w:sz w:val="24"/>
          <w:szCs w:val="24"/>
        </w:rPr>
        <w:t xml:space="preserve"> instead.</w:t>
      </w:r>
      <w:r>
        <w:rPr>
          <w:rFonts w:ascii="Times New Roman" w:hAnsi="Times New Roman"/>
          <w:sz w:val="24"/>
          <w:szCs w:val="24"/>
        </w:rPr>
        <w:t xml:space="preserve"> </w:t>
      </w:r>
      <w:r w:rsidR="00590B90">
        <w:rPr>
          <w:rFonts w:ascii="Times New Roman" w:hAnsi="Times New Roman"/>
          <w:sz w:val="24"/>
          <w:szCs w:val="24"/>
        </w:rPr>
        <w:t xml:space="preserve"> </w:t>
      </w:r>
      <w:r w:rsidR="00071C53">
        <w:rPr>
          <w:rFonts w:ascii="Times New Roman" w:hAnsi="Times New Roman"/>
          <w:sz w:val="24"/>
          <w:szCs w:val="24"/>
        </w:rPr>
        <w:t xml:space="preserve">Administratively, </w:t>
      </w:r>
      <w:r>
        <w:rPr>
          <w:rFonts w:ascii="Times New Roman" w:hAnsi="Times New Roman"/>
          <w:sz w:val="24"/>
          <w:szCs w:val="24"/>
        </w:rPr>
        <w:t>Inland Revenue would have to allocate additional resources to consider the exercise of the discretion on a case</w:t>
      </w:r>
      <w:r w:rsidR="00590B90">
        <w:rPr>
          <w:rFonts w:ascii="Times New Roman" w:hAnsi="Times New Roman"/>
          <w:sz w:val="24"/>
          <w:szCs w:val="24"/>
        </w:rPr>
        <w:t>-by-</w:t>
      </w:r>
      <w:r>
        <w:rPr>
          <w:rFonts w:ascii="Times New Roman" w:hAnsi="Times New Roman"/>
          <w:sz w:val="24"/>
          <w:szCs w:val="24"/>
        </w:rPr>
        <w:t xml:space="preserve">case basis. </w:t>
      </w:r>
      <w:r w:rsidR="006C5D88">
        <w:rPr>
          <w:rFonts w:ascii="Times New Roman" w:hAnsi="Times New Roman"/>
          <w:sz w:val="24"/>
          <w:szCs w:val="24"/>
        </w:rPr>
        <w:t>These additional administrative costs are not significant.</w:t>
      </w:r>
    </w:p>
    <w:p w:rsidR="00071C53" w:rsidRDefault="00071C53" w:rsidP="00215630">
      <w:pPr>
        <w:pStyle w:val="ListParagraph"/>
        <w:rPr>
          <w:rFonts w:ascii="Times New Roman" w:hAnsi="Times New Roman"/>
          <w:sz w:val="24"/>
          <w:szCs w:val="24"/>
        </w:rPr>
      </w:pPr>
    </w:p>
    <w:p w:rsidR="00071C53" w:rsidRDefault="00071C53" w:rsidP="00C65B81">
      <w:pPr>
        <w:pStyle w:val="CommentText"/>
        <w:spacing w:after="0" w:line="240" w:lineRule="auto"/>
        <w:jc w:val="both"/>
        <w:rPr>
          <w:rFonts w:ascii="Times New Roman" w:hAnsi="Times New Roman"/>
          <w:b/>
          <w:sz w:val="24"/>
          <w:szCs w:val="24"/>
        </w:rPr>
      </w:pPr>
      <w:r>
        <w:rPr>
          <w:rFonts w:ascii="Times New Roman" w:hAnsi="Times New Roman"/>
          <w:b/>
          <w:sz w:val="24"/>
          <w:szCs w:val="24"/>
        </w:rPr>
        <w:t>Option 3</w:t>
      </w:r>
    </w:p>
    <w:p w:rsidR="00071C53" w:rsidRDefault="00071C53" w:rsidP="00C65B81">
      <w:pPr>
        <w:pStyle w:val="CommentText"/>
        <w:spacing w:after="0" w:line="240" w:lineRule="auto"/>
        <w:jc w:val="both"/>
        <w:rPr>
          <w:rFonts w:ascii="Times New Roman" w:hAnsi="Times New Roman"/>
          <w:b/>
          <w:sz w:val="24"/>
          <w:szCs w:val="24"/>
        </w:rPr>
      </w:pPr>
    </w:p>
    <w:p w:rsidR="00ED5CF0" w:rsidRDefault="006C5D88" w:rsidP="00D009CF">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Under O</w:t>
      </w:r>
      <w:r w:rsidR="00071C53" w:rsidRPr="00ED5CF0">
        <w:rPr>
          <w:rFonts w:ascii="Times New Roman" w:hAnsi="Times New Roman"/>
          <w:sz w:val="24"/>
          <w:szCs w:val="24"/>
        </w:rPr>
        <w:t>ption 3</w:t>
      </w:r>
      <w:r w:rsidR="00934B1F" w:rsidRPr="00ED5CF0">
        <w:rPr>
          <w:rFonts w:ascii="Times New Roman" w:hAnsi="Times New Roman"/>
          <w:sz w:val="24"/>
          <w:szCs w:val="24"/>
        </w:rPr>
        <w:t xml:space="preserve">, the bank account requirement </w:t>
      </w:r>
      <w:r w:rsidR="00C65B81" w:rsidRPr="00ED5CF0">
        <w:rPr>
          <w:rFonts w:ascii="Times New Roman" w:hAnsi="Times New Roman"/>
          <w:sz w:val="24"/>
          <w:szCs w:val="24"/>
        </w:rPr>
        <w:t>would</w:t>
      </w:r>
      <w:r w:rsidR="00934B1F" w:rsidRPr="00ED5CF0">
        <w:rPr>
          <w:rFonts w:ascii="Times New Roman" w:hAnsi="Times New Roman"/>
          <w:sz w:val="24"/>
          <w:szCs w:val="24"/>
        </w:rPr>
        <w:t xml:space="preserve"> be</w:t>
      </w:r>
      <w:r w:rsidR="00C65B81" w:rsidRPr="00ED5CF0">
        <w:rPr>
          <w:rFonts w:ascii="Times New Roman" w:hAnsi="Times New Roman"/>
          <w:sz w:val="24"/>
          <w:szCs w:val="24"/>
        </w:rPr>
        <w:t xml:space="preserve"> </w:t>
      </w:r>
      <w:r w:rsidR="00071C53" w:rsidRPr="00ED5CF0">
        <w:rPr>
          <w:rFonts w:ascii="Times New Roman" w:hAnsi="Times New Roman"/>
          <w:sz w:val="24"/>
          <w:szCs w:val="24"/>
        </w:rPr>
        <w:t>retain</w:t>
      </w:r>
      <w:r w:rsidR="00934B1F" w:rsidRPr="00ED5CF0">
        <w:rPr>
          <w:rFonts w:ascii="Times New Roman" w:hAnsi="Times New Roman"/>
          <w:sz w:val="24"/>
          <w:szCs w:val="24"/>
        </w:rPr>
        <w:t>ed</w:t>
      </w:r>
      <w:r w:rsidR="00071C53" w:rsidRPr="00ED5CF0">
        <w:rPr>
          <w:rFonts w:ascii="Times New Roman" w:hAnsi="Times New Roman"/>
          <w:sz w:val="24"/>
          <w:szCs w:val="24"/>
        </w:rPr>
        <w:t xml:space="preserve"> but </w:t>
      </w:r>
      <w:r w:rsidR="00934B1F" w:rsidRPr="00ED5CF0">
        <w:rPr>
          <w:rFonts w:ascii="Times New Roman" w:hAnsi="Times New Roman"/>
          <w:sz w:val="24"/>
          <w:szCs w:val="24"/>
        </w:rPr>
        <w:t xml:space="preserve">there would be </w:t>
      </w:r>
      <w:r w:rsidR="00071C53" w:rsidRPr="00ED5CF0">
        <w:rPr>
          <w:rFonts w:ascii="Times New Roman" w:hAnsi="Times New Roman"/>
          <w:sz w:val="24"/>
          <w:szCs w:val="24"/>
        </w:rPr>
        <w:t>further exceptions to the requirement for specific categories of offshore persons.</w:t>
      </w:r>
      <w:r w:rsidR="00286637" w:rsidRPr="00ED5CF0">
        <w:rPr>
          <w:rFonts w:ascii="Times New Roman" w:hAnsi="Times New Roman"/>
          <w:sz w:val="24"/>
          <w:szCs w:val="24"/>
        </w:rPr>
        <w:t xml:space="preserve"> </w:t>
      </w:r>
      <w:r w:rsidR="00590B90">
        <w:rPr>
          <w:rFonts w:ascii="Times New Roman" w:hAnsi="Times New Roman"/>
          <w:sz w:val="24"/>
          <w:szCs w:val="24"/>
        </w:rPr>
        <w:t xml:space="preserve"> </w:t>
      </w:r>
      <w:r w:rsidR="00ED5CF0" w:rsidRPr="00ED5CF0">
        <w:rPr>
          <w:rFonts w:ascii="Times New Roman" w:hAnsi="Times New Roman"/>
          <w:sz w:val="24"/>
          <w:szCs w:val="24"/>
        </w:rPr>
        <w:t>Candidates for exceptions would be o</w:t>
      </w:r>
      <w:r w:rsidR="00286637" w:rsidRPr="00ED5CF0">
        <w:rPr>
          <w:rFonts w:ascii="Times New Roman" w:hAnsi="Times New Roman"/>
          <w:sz w:val="24"/>
          <w:szCs w:val="24"/>
        </w:rPr>
        <w:t xml:space="preserve">ffshore persons or groups of offshore persons </w:t>
      </w:r>
      <w:r w:rsidR="00ED5CF0" w:rsidRPr="00ED5CF0">
        <w:rPr>
          <w:rFonts w:ascii="Times New Roman" w:hAnsi="Times New Roman"/>
          <w:sz w:val="24"/>
          <w:szCs w:val="24"/>
        </w:rPr>
        <w:t xml:space="preserve">in relation to whom the </w:t>
      </w:r>
      <w:r w:rsidR="00286637" w:rsidRPr="00ED5CF0">
        <w:rPr>
          <w:rFonts w:ascii="Times New Roman" w:hAnsi="Times New Roman"/>
          <w:sz w:val="24"/>
          <w:szCs w:val="24"/>
        </w:rPr>
        <w:t>risk</w:t>
      </w:r>
      <w:r w:rsidR="00ED5CF0" w:rsidRPr="00ED5CF0">
        <w:rPr>
          <w:rFonts w:ascii="Times New Roman" w:hAnsi="Times New Roman"/>
          <w:sz w:val="24"/>
          <w:szCs w:val="24"/>
        </w:rPr>
        <w:t xml:space="preserve"> resulting</w:t>
      </w:r>
      <w:r w:rsidR="00286637" w:rsidRPr="00ED5CF0">
        <w:rPr>
          <w:rFonts w:ascii="Times New Roman" w:hAnsi="Times New Roman"/>
          <w:sz w:val="24"/>
          <w:szCs w:val="24"/>
        </w:rPr>
        <w:t xml:space="preserve"> from not complying with the AML requirements </w:t>
      </w:r>
      <w:r w:rsidR="00ED5CF0" w:rsidRPr="00ED5CF0">
        <w:rPr>
          <w:rFonts w:ascii="Times New Roman" w:hAnsi="Times New Roman"/>
          <w:sz w:val="24"/>
          <w:szCs w:val="24"/>
        </w:rPr>
        <w:t xml:space="preserve">is </w:t>
      </w:r>
      <w:r w:rsidR="00286637" w:rsidRPr="00ED5CF0">
        <w:rPr>
          <w:rFonts w:ascii="Times New Roman" w:hAnsi="Times New Roman"/>
          <w:sz w:val="24"/>
          <w:szCs w:val="24"/>
        </w:rPr>
        <w:t>low</w:t>
      </w:r>
      <w:r w:rsidR="00ED5CF0" w:rsidRPr="00ED5CF0">
        <w:rPr>
          <w:rFonts w:ascii="Times New Roman" w:hAnsi="Times New Roman"/>
          <w:sz w:val="24"/>
          <w:szCs w:val="24"/>
        </w:rPr>
        <w:t>.</w:t>
      </w:r>
      <w:r w:rsidR="00286637" w:rsidRPr="00ED5CF0">
        <w:rPr>
          <w:rFonts w:ascii="Times New Roman" w:hAnsi="Times New Roman"/>
          <w:sz w:val="24"/>
          <w:szCs w:val="24"/>
        </w:rPr>
        <w:t xml:space="preserve">  This would be an extension to the limited ex</w:t>
      </w:r>
      <w:r w:rsidR="00ED5CF0" w:rsidRPr="00ED5CF0">
        <w:rPr>
          <w:rFonts w:ascii="Times New Roman" w:hAnsi="Times New Roman"/>
          <w:sz w:val="24"/>
          <w:szCs w:val="24"/>
        </w:rPr>
        <w:t>ceptions</w:t>
      </w:r>
      <w:r w:rsidR="00286637" w:rsidRPr="00ED5CF0">
        <w:rPr>
          <w:rFonts w:ascii="Times New Roman" w:hAnsi="Times New Roman"/>
          <w:sz w:val="24"/>
          <w:szCs w:val="24"/>
        </w:rPr>
        <w:t xml:space="preserve"> already in place.  </w:t>
      </w:r>
    </w:p>
    <w:p w:rsidR="00071C53" w:rsidRPr="00ED5CF0" w:rsidRDefault="00071C53" w:rsidP="00D009CF">
      <w:pPr>
        <w:pStyle w:val="CommentText"/>
        <w:spacing w:after="0" w:line="240" w:lineRule="auto"/>
        <w:jc w:val="both"/>
        <w:rPr>
          <w:rFonts w:ascii="Times New Roman" w:hAnsi="Times New Roman"/>
          <w:sz w:val="24"/>
          <w:szCs w:val="24"/>
        </w:rPr>
      </w:pPr>
    </w:p>
    <w:p w:rsidR="00286637" w:rsidRDefault="006C5D88" w:rsidP="00C65B81">
      <w:pPr>
        <w:pStyle w:val="CommentText"/>
        <w:spacing w:after="0" w:line="240" w:lineRule="auto"/>
        <w:jc w:val="both"/>
        <w:rPr>
          <w:rFonts w:ascii="Times New Roman" w:hAnsi="Times New Roman"/>
          <w:b/>
          <w:i/>
          <w:sz w:val="24"/>
          <w:szCs w:val="24"/>
        </w:rPr>
      </w:pPr>
      <w:r>
        <w:rPr>
          <w:rFonts w:ascii="Times New Roman" w:hAnsi="Times New Roman"/>
          <w:b/>
          <w:i/>
          <w:sz w:val="24"/>
          <w:szCs w:val="24"/>
        </w:rPr>
        <w:t>Assessment against criteria – O</w:t>
      </w:r>
      <w:r w:rsidR="00286637">
        <w:rPr>
          <w:rFonts w:ascii="Times New Roman" w:hAnsi="Times New Roman"/>
          <w:b/>
          <w:i/>
          <w:sz w:val="24"/>
          <w:szCs w:val="24"/>
        </w:rPr>
        <w:t>ption 3</w:t>
      </w:r>
    </w:p>
    <w:p w:rsidR="00286637" w:rsidRDefault="00286637" w:rsidP="00C65B81">
      <w:pPr>
        <w:pStyle w:val="CommentText"/>
        <w:spacing w:after="0" w:line="240" w:lineRule="auto"/>
        <w:jc w:val="both"/>
        <w:rPr>
          <w:rFonts w:ascii="Times New Roman" w:hAnsi="Times New Roman"/>
          <w:b/>
          <w:i/>
          <w:sz w:val="24"/>
          <w:szCs w:val="24"/>
        </w:rPr>
      </w:pPr>
    </w:p>
    <w:p w:rsidR="00C65B81" w:rsidRDefault="00286637" w:rsidP="00C65B81">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3 does not meet the main objective, as the exceptions process is not efficient to address issues of offshore persons who urgently need an IRD number. </w:t>
      </w:r>
    </w:p>
    <w:p w:rsidR="00C65B81" w:rsidRDefault="00C65B81" w:rsidP="00C65B81">
      <w:pPr>
        <w:pStyle w:val="CommentText"/>
        <w:spacing w:after="0" w:line="240" w:lineRule="auto"/>
        <w:jc w:val="both"/>
        <w:rPr>
          <w:rFonts w:ascii="Times New Roman" w:hAnsi="Times New Roman"/>
          <w:sz w:val="24"/>
          <w:szCs w:val="24"/>
        </w:rPr>
      </w:pPr>
    </w:p>
    <w:p w:rsidR="00286637" w:rsidRDefault="00C65B81" w:rsidP="00C65B81">
      <w:pPr>
        <w:pStyle w:val="CommentText"/>
        <w:numPr>
          <w:ilvl w:val="0"/>
          <w:numId w:val="3"/>
        </w:numPr>
        <w:spacing w:after="0" w:line="240" w:lineRule="auto"/>
        <w:ind w:left="0" w:firstLine="0"/>
        <w:jc w:val="both"/>
        <w:rPr>
          <w:rFonts w:ascii="Times New Roman" w:hAnsi="Times New Roman"/>
          <w:sz w:val="24"/>
          <w:szCs w:val="24"/>
        </w:rPr>
      </w:pPr>
      <w:r w:rsidRPr="00906279">
        <w:rPr>
          <w:rFonts w:ascii="Times New Roman" w:hAnsi="Times New Roman"/>
          <w:i/>
          <w:sz w:val="24"/>
          <w:szCs w:val="24"/>
        </w:rPr>
        <w:t>Robustness of the identity checks</w:t>
      </w:r>
      <w:r>
        <w:rPr>
          <w:rFonts w:ascii="Times New Roman" w:hAnsi="Times New Roman"/>
          <w:i/>
          <w:sz w:val="24"/>
          <w:szCs w:val="24"/>
        </w:rPr>
        <w:t xml:space="preserve">. </w:t>
      </w:r>
      <w:r>
        <w:rPr>
          <w:rFonts w:ascii="Times New Roman" w:hAnsi="Times New Roman"/>
          <w:sz w:val="24"/>
          <w:szCs w:val="24"/>
        </w:rPr>
        <w:t>Option 3 meets this criterion.</w:t>
      </w:r>
      <w:r w:rsidR="00590B90">
        <w:rPr>
          <w:rFonts w:ascii="Times New Roman" w:hAnsi="Times New Roman"/>
          <w:sz w:val="24"/>
          <w:szCs w:val="24"/>
        </w:rPr>
        <w:t xml:space="preserve">  </w:t>
      </w:r>
      <w:r>
        <w:rPr>
          <w:rFonts w:ascii="Times New Roman" w:hAnsi="Times New Roman"/>
          <w:sz w:val="24"/>
          <w:szCs w:val="24"/>
        </w:rPr>
        <w:t>The Commissioner can continue to rely on the customer due diligence processes undertaken by New Zealand banks before a bank account is issued to an offshore person</w:t>
      </w:r>
      <w:r w:rsidR="00283098">
        <w:rPr>
          <w:rFonts w:ascii="Times New Roman" w:hAnsi="Times New Roman"/>
          <w:sz w:val="24"/>
          <w:szCs w:val="24"/>
        </w:rPr>
        <w:t xml:space="preserve">. </w:t>
      </w:r>
      <w:r w:rsidR="00590B90">
        <w:rPr>
          <w:rFonts w:ascii="Times New Roman" w:hAnsi="Times New Roman"/>
          <w:sz w:val="24"/>
          <w:szCs w:val="24"/>
        </w:rPr>
        <w:t xml:space="preserve"> </w:t>
      </w:r>
      <w:r w:rsidR="00283098">
        <w:rPr>
          <w:rFonts w:ascii="Times New Roman" w:hAnsi="Times New Roman"/>
          <w:sz w:val="24"/>
          <w:szCs w:val="24"/>
        </w:rPr>
        <w:t xml:space="preserve">Offshore persons subject to an exception may not be subject to the customer due diligence processes of a bank or another financial institution. Instead, the Commissioner will </w:t>
      </w:r>
      <w:r w:rsidR="006C5D88">
        <w:rPr>
          <w:rFonts w:ascii="Times New Roman" w:hAnsi="Times New Roman"/>
          <w:sz w:val="24"/>
          <w:szCs w:val="24"/>
        </w:rPr>
        <w:t>rely on her own identity checks.</w:t>
      </w:r>
    </w:p>
    <w:p w:rsidR="00286637" w:rsidRDefault="00286637" w:rsidP="00C65B81">
      <w:pPr>
        <w:pStyle w:val="CommentText"/>
        <w:spacing w:after="0" w:line="240" w:lineRule="auto"/>
        <w:jc w:val="both"/>
        <w:rPr>
          <w:rFonts w:ascii="Times New Roman" w:hAnsi="Times New Roman"/>
          <w:sz w:val="24"/>
          <w:szCs w:val="24"/>
        </w:rPr>
      </w:pPr>
    </w:p>
    <w:p w:rsidR="00286637" w:rsidRDefault="00286637" w:rsidP="00C65B81">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i/>
          <w:sz w:val="24"/>
          <w:szCs w:val="24"/>
        </w:rPr>
        <w:t>Economic efficiency.</w:t>
      </w:r>
      <w:r>
        <w:rPr>
          <w:rFonts w:ascii="Times New Roman" w:hAnsi="Times New Roman"/>
          <w:sz w:val="24"/>
          <w:szCs w:val="24"/>
        </w:rPr>
        <w:t xml:space="preserve">  Option 3 is an improvement on the status quo, but not as good as Option 2.  Offshore persons who </w:t>
      </w:r>
      <w:r w:rsidR="00ED5CF0">
        <w:rPr>
          <w:rFonts w:ascii="Times New Roman" w:hAnsi="Times New Roman"/>
          <w:sz w:val="24"/>
          <w:szCs w:val="24"/>
        </w:rPr>
        <w:t xml:space="preserve">qualified for an </w:t>
      </w:r>
      <w:r>
        <w:rPr>
          <w:rFonts w:ascii="Times New Roman" w:hAnsi="Times New Roman"/>
          <w:sz w:val="24"/>
          <w:szCs w:val="24"/>
        </w:rPr>
        <w:t>ex</w:t>
      </w:r>
      <w:r w:rsidR="00ED5CF0">
        <w:rPr>
          <w:rFonts w:ascii="Times New Roman" w:hAnsi="Times New Roman"/>
          <w:sz w:val="24"/>
          <w:szCs w:val="24"/>
        </w:rPr>
        <w:t>ception</w:t>
      </w:r>
      <w:r>
        <w:rPr>
          <w:rFonts w:ascii="Times New Roman" w:hAnsi="Times New Roman"/>
          <w:sz w:val="24"/>
          <w:szCs w:val="24"/>
        </w:rPr>
        <w:t xml:space="preserve"> would be able to obtain an IRD number.  There would be no change for offshore persons who did not qualify for one of the exemptions.</w:t>
      </w:r>
    </w:p>
    <w:p w:rsidR="00286637" w:rsidRPr="006C3276" w:rsidRDefault="00286637" w:rsidP="00C65B81">
      <w:pPr>
        <w:pStyle w:val="CommentText"/>
        <w:spacing w:after="0" w:line="240" w:lineRule="auto"/>
        <w:jc w:val="both"/>
        <w:rPr>
          <w:rFonts w:ascii="Times New Roman" w:hAnsi="Times New Roman"/>
          <w:sz w:val="24"/>
          <w:szCs w:val="24"/>
        </w:rPr>
      </w:pPr>
    </w:p>
    <w:p w:rsidR="00283098" w:rsidRPr="00E923E8" w:rsidRDefault="00286637" w:rsidP="00C65B81">
      <w:pPr>
        <w:pStyle w:val="CommentText"/>
        <w:numPr>
          <w:ilvl w:val="0"/>
          <w:numId w:val="3"/>
        </w:numPr>
        <w:spacing w:after="0" w:line="240" w:lineRule="auto"/>
        <w:ind w:left="0" w:firstLine="0"/>
        <w:jc w:val="both"/>
        <w:rPr>
          <w:szCs w:val="24"/>
        </w:rPr>
      </w:pPr>
      <w:r>
        <w:rPr>
          <w:rFonts w:ascii="Times New Roman" w:hAnsi="Times New Roman"/>
          <w:i/>
          <w:sz w:val="24"/>
          <w:szCs w:val="24"/>
        </w:rPr>
        <w:t>Efficiency of compliance and administration.</w:t>
      </w:r>
      <w:r w:rsidRPr="00151B49">
        <w:rPr>
          <w:rFonts w:ascii="Times New Roman" w:hAnsi="Times New Roman"/>
          <w:i/>
          <w:sz w:val="24"/>
          <w:szCs w:val="24"/>
        </w:rPr>
        <w:t xml:space="preserve">  </w:t>
      </w:r>
      <w:r>
        <w:rPr>
          <w:rFonts w:ascii="Times New Roman" w:hAnsi="Times New Roman"/>
          <w:sz w:val="24"/>
          <w:szCs w:val="24"/>
        </w:rPr>
        <w:t>Option 3</w:t>
      </w:r>
      <w:r w:rsidRPr="00151B49">
        <w:rPr>
          <w:rFonts w:ascii="Times New Roman" w:hAnsi="Times New Roman"/>
          <w:sz w:val="24"/>
          <w:szCs w:val="24"/>
        </w:rPr>
        <w:t xml:space="preserve"> is </w:t>
      </w:r>
      <w:r>
        <w:rPr>
          <w:rFonts w:ascii="Times New Roman" w:hAnsi="Times New Roman"/>
          <w:sz w:val="24"/>
          <w:szCs w:val="24"/>
        </w:rPr>
        <w:t xml:space="preserve">slightly better </w:t>
      </w:r>
      <w:r w:rsidR="006C5D88">
        <w:rPr>
          <w:rFonts w:ascii="Times New Roman" w:hAnsi="Times New Roman"/>
          <w:sz w:val="24"/>
          <w:szCs w:val="24"/>
        </w:rPr>
        <w:t xml:space="preserve">than the status quo. </w:t>
      </w:r>
      <w:r w:rsidRPr="00151B49">
        <w:rPr>
          <w:rFonts w:ascii="Times New Roman" w:hAnsi="Times New Roman"/>
          <w:sz w:val="24"/>
          <w:szCs w:val="24"/>
        </w:rPr>
        <w:t xml:space="preserve">Although offshore persons who qualified for the exemption would have their compliance costs reduced by no longer being required to open a New Zealand bank account, </w:t>
      </w:r>
      <w:r w:rsidR="00A92F1A">
        <w:rPr>
          <w:rFonts w:ascii="Times New Roman" w:hAnsi="Times New Roman"/>
          <w:sz w:val="24"/>
          <w:szCs w:val="24"/>
        </w:rPr>
        <w:t>t</w:t>
      </w:r>
      <w:r w:rsidR="00A92F1A" w:rsidRPr="00151B49">
        <w:rPr>
          <w:rFonts w:ascii="Times New Roman" w:hAnsi="Times New Roman"/>
          <w:sz w:val="24"/>
          <w:szCs w:val="24"/>
        </w:rPr>
        <w:t>here would be no change for offshore persons who did not qualify for an exemption</w:t>
      </w:r>
      <w:r w:rsidR="00A92F1A">
        <w:rPr>
          <w:rFonts w:ascii="Times New Roman" w:hAnsi="Times New Roman"/>
          <w:sz w:val="24"/>
          <w:szCs w:val="24"/>
        </w:rPr>
        <w:t>. T</w:t>
      </w:r>
      <w:r w:rsidR="00283098">
        <w:rPr>
          <w:rFonts w:ascii="Times New Roman" w:hAnsi="Times New Roman"/>
          <w:sz w:val="24"/>
          <w:szCs w:val="24"/>
        </w:rPr>
        <w:t>he following implications may result:</w:t>
      </w:r>
    </w:p>
    <w:p w:rsidR="00E923E8" w:rsidRPr="00D009CF" w:rsidRDefault="00E923E8" w:rsidP="00E923E8">
      <w:pPr>
        <w:pStyle w:val="CommentText"/>
        <w:spacing w:after="0" w:line="240" w:lineRule="auto"/>
        <w:jc w:val="both"/>
        <w:rPr>
          <w:szCs w:val="24"/>
        </w:rPr>
      </w:pPr>
    </w:p>
    <w:p w:rsidR="00283098" w:rsidRPr="00872009" w:rsidRDefault="00A92F1A" w:rsidP="00872009">
      <w:pPr>
        <w:pStyle w:val="Bullet-list"/>
        <w:numPr>
          <w:ilvl w:val="0"/>
          <w:numId w:val="23"/>
        </w:numPr>
        <w:spacing w:line="240" w:lineRule="auto"/>
        <w:jc w:val="both"/>
        <w:rPr>
          <w:rFonts w:ascii="Times New Roman" w:hAnsi="Times New Roman"/>
          <w:sz w:val="24"/>
          <w:szCs w:val="24"/>
        </w:rPr>
      </w:pPr>
      <w:r>
        <w:rPr>
          <w:rFonts w:ascii="Times New Roman" w:hAnsi="Times New Roman"/>
          <w:sz w:val="24"/>
          <w:szCs w:val="24"/>
        </w:rPr>
        <w:t>L</w:t>
      </w:r>
      <w:r w:rsidR="00286637" w:rsidRPr="00151B49">
        <w:rPr>
          <w:rFonts w:ascii="Times New Roman" w:hAnsi="Times New Roman"/>
          <w:sz w:val="24"/>
          <w:szCs w:val="24"/>
        </w:rPr>
        <w:t>egislating for every single instance would be highly resource-intensive and result in complex rules as cases where difficulties arise are wide-spread</w:t>
      </w:r>
      <w:r>
        <w:rPr>
          <w:rFonts w:ascii="Times New Roman" w:hAnsi="Times New Roman"/>
          <w:sz w:val="24"/>
          <w:szCs w:val="24"/>
        </w:rPr>
        <w:t>.</w:t>
      </w:r>
      <w:r w:rsidRPr="00A92F1A">
        <w:rPr>
          <w:rFonts w:ascii="Times New Roman" w:hAnsi="Times New Roman"/>
          <w:sz w:val="24"/>
          <w:szCs w:val="24"/>
        </w:rPr>
        <w:t xml:space="preserve"> </w:t>
      </w:r>
      <w:r w:rsidRPr="00151B49">
        <w:rPr>
          <w:rFonts w:ascii="Times New Roman" w:hAnsi="Times New Roman"/>
          <w:sz w:val="24"/>
          <w:szCs w:val="24"/>
        </w:rPr>
        <w:t>As legislative changes require time to be implemented, it may not suit offshore persons experiencing difficulties with the bank account requirement who need a more urgent response</w:t>
      </w:r>
      <w:r>
        <w:rPr>
          <w:rFonts w:ascii="Times New Roman" w:hAnsi="Times New Roman"/>
          <w:sz w:val="24"/>
          <w:szCs w:val="24"/>
        </w:rPr>
        <w:t>.</w:t>
      </w:r>
    </w:p>
    <w:p w:rsidR="00286637" w:rsidRPr="00872009" w:rsidRDefault="00A92F1A" w:rsidP="00872009">
      <w:pPr>
        <w:pStyle w:val="Bullet-list"/>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There would be </w:t>
      </w:r>
      <w:r w:rsidR="00286637">
        <w:rPr>
          <w:rFonts w:ascii="Times New Roman" w:hAnsi="Times New Roman"/>
          <w:sz w:val="24"/>
          <w:szCs w:val="24"/>
        </w:rPr>
        <w:t>an increase in administration costs due to Inland Revenue having to confirm whether an offshore person claiming to meet an exemption actually did so</w:t>
      </w:r>
      <w:r w:rsidR="00286637" w:rsidRPr="00151B49">
        <w:rPr>
          <w:rFonts w:ascii="Times New Roman" w:hAnsi="Times New Roman"/>
          <w:sz w:val="24"/>
          <w:szCs w:val="24"/>
        </w:rPr>
        <w:t xml:space="preserve">.  </w:t>
      </w:r>
    </w:p>
    <w:p w:rsidR="00286637" w:rsidRPr="007B6AFC" w:rsidRDefault="00286637" w:rsidP="00286637">
      <w:pPr>
        <w:pStyle w:val="CommentText"/>
        <w:spacing w:after="0" w:line="240" w:lineRule="auto"/>
        <w:rPr>
          <w:rFonts w:ascii="Times New Roman" w:hAnsi="Times New Roman"/>
          <w:sz w:val="24"/>
          <w:szCs w:val="24"/>
        </w:rPr>
      </w:pPr>
    </w:p>
    <w:p w:rsidR="00071C53" w:rsidRDefault="00286637" w:rsidP="0031757C">
      <w:pPr>
        <w:pStyle w:val="CommentText"/>
        <w:spacing w:after="0" w:line="240" w:lineRule="auto"/>
        <w:jc w:val="both"/>
        <w:rPr>
          <w:rFonts w:ascii="Times New Roman" w:hAnsi="Times New Roman"/>
          <w:b/>
          <w:sz w:val="24"/>
          <w:szCs w:val="24"/>
        </w:rPr>
      </w:pPr>
      <w:r w:rsidRPr="007B6AFC">
        <w:rPr>
          <w:rFonts w:ascii="Times New Roman" w:hAnsi="Times New Roman"/>
          <w:b/>
          <w:sz w:val="24"/>
          <w:szCs w:val="24"/>
        </w:rPr>
        <w:t>Option 4</w:t>
      </w:r>
    </w:p>
    <w:p w:rsidR="00481666" w:rsidRPr="00D22986" w:rsidRDefault="00481666" w:rsidP="0031757C">
      <w:pPr>
        <w:pStyle w:val="CommentText"/>
        <w:spacing w:after="0" w:line="240" w:lineRule="auto"/>
        <w:jc w:val="both"/>
        <w:rPr>
          <w:rFonts w:ascii="Times New Roman" w:hAnsi="Times New Roman"/>
          <w:b/>
          <w:i/>
          <w:sz w:val="24"/>
          <w:szCs w:val="24"/>
        </w:rPr>
      </w:pPr>
    </w:p>
    <w:p w:rsidR="00286637" w:rsidRDefault="00286637" w:rsidP="0031757C">
      <w:pPr>
        <w:pStyle w:val="CommentText"/>
        <w:numPr>
          <w:ilvl w:val="0"/>
          <w:numId w:val="3"/>
        </w:numPr>
        <w:spacing w:after="0" w:line="240" w:lineRule="auto"/>
        <w:ind w:left="0" w:firstLine="0"/>
        <w:jc w:val="both"/>
        <w:rPr>
          <w:rFonts w:ascii="Times New Roman" w:hAnsi="Times New Roman"/>
          <w:sz w:val="24"/>
          <w:szCs w:val="24"/>
        </w:rPr>
      </w:pPr>
      <w:r w:rsidRPr="00286637">
        <w:rPr>
          <w:rFonts w:ascii="Times New Roman" w:hAnsi="Times New Roman"/>
          <w:sz w:val="24"/>
          <w:szCs w:val="24"/>
        </w:rPr>
        <w:t xml:space="preserve">Option 4 is to remove the requirement for an offshore person to have a New Zealand bank account </w:t>
      </w:r>
      <w:r w:rsidRPr="007B6AFC">
        <w:rPr>
          <w:rFonts w:ascii="Times New Roman" w:hAnsi="Times New Roman"/>
          <w:sz w:val="24"/>
          <w:szCs w:val="24"/>
        </w:rPr>
        <w:t>before they can be issued with an IRD number.</w:t>
      </w:r>
    </w:p>
    <w:p w:rsidR="00E923E8" w:rsidRDefault="00E923E8" w:rsidP="0031757C">
      <w:pPr>
        <w:pStyle w:val="CommentText"/>
        <w:spacing w:after="0" w:line="240" w:lineRule="auto"/>
        <w:jc w:val="both"/>
        <w:rPr>
          <w:rFonts w:ascii="Times New Roman" w:hAnsi="Times New Roman"/>
          <w:b/>
          <w:i/>
          <w:sz w:val="24"/>
          <w:szCs w:val="24"/>
        </w:rPr>
      </w:pPr>
    </w:p>
    <w:p w:rsidR="00D009CF" w:rsidRDefault="000A0549" w:rsidP="0031757C">
      <w:pPr>
        <w:pStyle w:val="CommentText"/>
        <w:spacing w:after="0" w:line="240" w:lineRule="auto"/>
        <w:jc w:val="both"/>
        <w:rPr>
          <w:rFonts w:ascii="Times New Roman" w:hAnsi="Times New Roman"/>
          <w:b/>
          <w:i/>
          <w:sz w:val="24"/>
          <w:szCs w:val="24"/>
        </w:rPr>
      </w:pPr>
      <w:r>
        <w:rPr>
          <w:rFonts w:ascii="Times New Roman" w:hAnsi="Times New Roman"/>
          <w:b/>
          <w:i/>
          <w:sz w:val="24"/>
          <w:szCs w:val="24"/>
        </w:rPr>
        <w:t>Assessment against criteria – O</w:t>
      </w:r>
      <w:r w:rsidR="00D009CF">
        <w:rPr>
          <w:rFonts w:ascii="Times New Roman" w:hAnsi="Times New Roman"/>
          <w:b/>
          <w:i/>
          <w:sz w:val="24"/>
          <w:szCs w:val="24"/>
        </w:rPr>
        <w:t>ption 4</w:t>
      </w:r>
    </w:p>
    <w:p w:rsidR="00D009CF" w:rsidRPr="00215630" w:rsidRDefault="00D009CF" w:rsidP="0031757C">
      <w:pPr>
        <w:pStyle w:val="CommentText"/>
        <w:spacing w:after="0" w:line="240" w:lineRule="auto"/>
        <w:jc w:val="both"/>
        <w:rPr>
          <w:rFonts w:ascii="Times New Roman" w:hAnsi="Times New Roman"/>
          <w:sz w:val="24"/>
          <w:szCs w:val="24"/>
        </w:rPr>
      </w:pPr>
    </w:p>
    <w:p w:rsidR="00C65B81" w:rsidRDefault="009A40F3" w:rsidP="0031757C">
      <w:pPr>
        <w:pStyle w:val="CommentText"/>
        <w:numPr>
          <w:ilvl w:val="0"/>
          <w:numId w:val="3"/>
        </w:numPr>
        <w:tabs>
          <w:tab w:val="clear" w:pos="720"/>
        </w:tabs>
        <w:spacing w:after="0" w:line="240" w:lineRule="auto"/>
        <w:ind w:left="0" w:firstLine="0"/>
        <w:jc w:val="both"/>
        <w:rPr>
          <w:rFonts w:ascii="Times New Roman" w:hAnsi="Times New Roman"/>
          <w:sz w:val="24"/>
          <w:szCs w:val="24"/>
        </w:rPr>
      </w:pPr>
      <w:r w:rsidRPr="007B6AFC">
        <w:rPr>
          <w:rFonts w:ascii="Times New Roman" w:hAnsi="Times New Roman"/>
          <w:sz w:val="24"/>
          <w:szCs w:val="24"/>
        </w:rPr>
        <w:t xml:space="preserve">Option </w:t>
      </w:r>
      <w:r w:rsidR="00286637" w:rsidRPr="007B6AFC">
        <w:rPr>
          <w:rFonts w:ascii="Times New Roman" w:hAnsi="Times New Roman"/>
          <w:sz w:val="24"/>
          <w:szCs w:val="24"/>
        </w:rPr>
        <w:t>4</w:t>
      </w:r>
      <w:r w:rsidRPr="007B6AFC">
        <w:rPr>
          <w:rFonts w:ascii="Times New Roman" w:hAnsi="Times New Roman"/>
          <w:sz w:val="24"/>
          <w:szCs w:val="24"/>
        </w:rPr>
        <w:t xml:space="preserve"> meets the main objective. </w:t>
      </w:r>
      <w:r w:rsidR="00E923E8">
        <w:rPr>
          <w:rFonts w:ascii="Times New Roman" w:hAnsi="Times New Roman"/>
          <w:sz w:val="24"/>
          <w:szCs w:val="24"/>
        </w:rPr>
        <w:t xml:space="preserve"> </w:t>
      </w:r>
      <w:r w:rsidR="00895776" w:rsidRPr="007B6AFC">
        <w:rPr>
          <w:rFonts w:ascii="Times New Roman" w:hAnsi="Times New Roman"/>
          <w:sz w:val="24"/>
          <w:szCs w:val="24"/>
        </w:rPr>
        <w:t xml:space="preserve">The </w:t>
      </w:r>
      <w:r w:rsidR="007B6AFC" w:rsidRPr="007B6AFC">
        <w:rPr>
          <w:rFonts w:ascii="Times New Roman" w:hAnsi="Times New Roman"/>
          <w:sz w:val="24"/>
          <w:szCs w:val="24"/>
        </w:rPr>
        <w:t>remov</w:t>
      </w:r>
      <w:r w:rsidR="00286637" w:rsidRPr="007B6AFC">
        <w:rPr>
          <w:rFonts w:ascii="Times New Roman" w:hAnsi="Times New Roman"/>
          <w:sz w:val="24"/>
          <w:szCs w:val="24"/>
        </w:rPr>
        <w:t xml:space="preserve">al of the bank account </w:t>
      </w:r>
      <w:r w:rsidR="00895776" w:rsidRPr="007B6AFC">
        <w:rPr>
          <w:rFonts w:ascii="Times New Roman" w:hAnsi="Times New Roman"/>
          <w:sz w:val="24"/>
          <w:szCs w:val="24"/>
        </w:rPr>
        <w:t>requirement</w:t>
      </w:r>
      <w:r w:rsidR="00286637" w:rsidRPr="007B6AFC">
        <w:rPr>
          <w:rFonts w:ascii="Times New Roman" w:hAnsi="Times New Roman"/>
          <w:sz w:val="24"/>
          <w:szCs w:val="24"/>
        </w:rPr>
        <w:t xml:space="preserve"> would address the difficulties that offshore persons experience with it. </w:t>
      </w:r>
    </w:p>
    <w:p w:rsidR="00C65B81" w:rsidRDefault="00C65B81" w:rsidP="0031757C">
      <w:pPr>
        <w:pStyle w:val="CommentText"/>
        <w:spacing w:after="0" w:line="240" w:lineRule="auto"/>
        <w:jc w:val="both"/>
        <w:rPr>
          <w:rFonts w:ascii="Times New Roman" w:hAnsi="Times New Roman"/>
          <w:sz w:val="24"/>
          <w:szCs w:val="24"/>
        </w:rPr>
      </w:pPr>
    </w:p>
    <w:p w:rsidR="00ED5CF0" w:rsidRPr="00D009CF" w:rsidRDefault="00C65B81" w:rsidP="0031757C">
      <w:pPr>
        <w:pStyle w:val="CommentText"/>
        <w:numPr>
          <w:ilvl w:val="0"/>
          <w:numId w:val="3"/>
        </w:numPr>
        <w:tabs>
          <w:tab w:val="clear" w:pos="720"/>
        </w:tabs>
        <w:spacing w:after="0" w:line="240" w:lineRule="auto"/>
        <w:ind w:left="0" w:firstLine="0"/>
        <w:jc w:val="both"/>
        <w:rPr>
          <w:rFonts w:ascii="Times New Roman" w:hAnsi="Times New Roman"/>
          <w:sz w:val="24"/>
          <w:szCs w:val="24"/>
        </w:rPr>
      </w:pPr>
      <w:r w:rsidRPr="00906279">
        <w:rPr>
          <w:rFonts w:ascii="Times New Roman" w:hAnsi="Times New Roman"/>
          <w:i/>
          <w:sz w:val="24"/>
          <w:szCs w:val="24"/>
        </w:rPr>
        <w:t>Robustness of the identity checks</w:t>
      </w:r>
      <w:r>
        <w:rPr>
          <w:rFonts w:ascii="Times New Roman" w:hAnsi="Times New Roman"/>
          <w:i/>
          <w:sz w:val="24"/>
          <w:szCs w:val="24"/>
        </w:rPr>
        <w:t xml:space="preserve">. </w:t>
      </w:r>
      <w:r w:rsidRPr="007B6AFC">
        <w:rPr>
          <w:rFonts w:ascii="Times New Roman" w:hAnsi="Times New Roman"/>
          <w:sz w:val="24"/>
          <w:szCs w:val="24"/>
        </w:rPr>
        <w:t xml:space="preserve">Option 4 </w:t>
      </w:r>
      <w:r>
        <w:rPr>
          <w:rFonts w:ascii="Times New Roman" w:hAnsi="Times New Roman"/>
          <w:sz w:val="24"/>
          <w:szCs w:val="24"/>
        </w:rPr>
        <w:t>does not meet</w:t>
      </w:r>
      <w:r w:rsidR="00ED5CF0">
        <w:rPr>
          <w:rFonts w:ascii="Times New Roman" w:hAnsi="Times New Roman"/>
          <w:sz w:val="24"/>
          <w:szCs w:val="24"/>
        </w:rPr>
        <w:t xml:space="preserve"> this criterion</w:t>
      </w:r>
      <w:r>
        <w:rPr>
          <w:rFonts w:ascii="Times New Roman" w:hAnsi="Times New Roman"/>
          <w:sz w:val="24"/>
          <w:szCs w:val="24"/>
        </w:rPr>
        <w:t>.</w:t>
      </w:r>
      <w:r w:rsidRPr="007B6AFC">
        <w:rPr>
          <w:rFonts w:ascii="Times New Roman" w:hAnsi="Times New Roman"/>
          <w:sz w:val="24"/>
          <w:szCs w:val="24"/>
        </w:rPr>
        <w:t xml:space="preserve"> </w:t>
      </w:r>
      <w:r w:rsidR="00E923E8">
        <w:rPr>
          <w:rFonts w:ascii="Times New Roman" w:hAnsi="Times New Roman"/>
          <w:sz w:val="24"/>
          <w:szCs w:val="24"/>
        </w:rPr>
        <w:t xml:space="preserve"> </w:t>
      </w:r>
      <w:r w:rsidR="007B6AFC" w:rsidRPr="007B6AFC">
        <w:rPr>
          <w:rFonts w:ascii="Times New Roman" w:hAnsi="Times New Roman"/>
          <w:sz w:val="24"/>
          <w:szCs w:val="24"/>
        </w:rPr>
        <w:t>It does not ensure that the Commissioner’s identity processes remain robust, as the Commissioner will not be able to rely on the customer due diligence checks performed by financial institutions.</w:t>
      </w:r>
    </w:p>
    <w:p w:rsidR="00ED5CF0" w:rsidRDefault="00ED5CF0" w:rsidP="0031757C">
      <w:pPr>
        <w:pStyle w:val="ListParagraph"/>
        <w:rPr>
          <w:rFonts w:ascii="Times New Roman" w:hAnsi="Times New Roman"/>
          <w:sz w:val="24"/>
          <w:szCs w:val="24"/>
        </w:rPr>
      </w:pPr>
    </w:p>
    <w:p w:rsidR="00A92F1A" w:rsidRDefault="009A40F3" w:rsidP="0031757C">
      <w:pPr>
        <w:pStyle w:val="CommentText"/>
        <w:numPr>
          <w:ilvl w:val="0"/>
          <w:numId w:val="3"/>
        </w:numPr>
        <w:tabs>
          <w:tab w:val="clear" w:pos="720"/>
        </w:tabs>
        <w:spacing w:after="0" w:line="240" w:lineRule="auto"/>
        <w:ind w:left="0" w:firstLine="0"/>
        <w:jc w:val="both"/>
        <w:rPr>
          <w:rFonts w:ascii="Times New Roman" w:hAnsi="Times New Roman"/>
          <w:sz w:val="24"/>
          <w:szCs w:val="24"/>
        </w:rPr>
      </w:pPr>
      <w:r>
        <w:rPr>
          <w:rFonts w:ascii="Times New Roman" w:hAnsi="Times New Roman"/>
          <w:i/>
          <w:sz w:val="24"/>
          <w:szCs w:val="24"/>
        </w:rPr>
        <w:t>Economic efficiency.</w:t>
      </w:r>
      <w:r>
        <w:rPr>
          <w:rFonts w:ascii="Times New Roman" w:hAnsi="Times New Roman"/>
          <w:sz w:val="24"/>
          <w:szCs w:val="24"/>
        </w:rPr>
        <w:t xml:space="preserve">  Option </w:t>
      </w:r>
      <w:r w:rsidR="007B6AFC">
        <w:rPr>
          <w:rFonts w:ascii="Times New Roman" w:hAnsi="Times New Roman"/>
          <w:sz w:val="24"/>
          <w:szCs w:val="24"/>
        </w:rPr>
        <w:t>4</w:t>
      </w:r>
      <w:r w:rsidR="002F3288">
        <w:rPr>
          <w:rFonts w:ascii="Times New Roman" w:hAnsi="Times New Roman"/>
          <w:sz w:val="24"/>
          <w:szCs w:val="24"/>
        </w:rPr>
        <w:t xml:space="preserve"> is a</w:t>
      </w:r>
      <w:r w:rsidR="00B85754">
        <w:rPr>
          <w:rFonts w:ascii="Times New Roman" w:hAnsi="Times New Roman"/>
          <w:sz w:val="24"/>
          <w:szCs w:val="24"/>
        </w:rPr>
        <w:t xml:space="preserve"> significant</w:t>
      </w:r>
      <w:r w:rsidR="002F3288">
        <w:rPr>
          <w:rFonts w:ascii="Times New Roman" w:hAnsi="Times New Roman"/>
          <w:sz w:val="24"/>
          <w:szCs w:val="24"/>
        </w:rPr>
        <w:t xml:space="preserve"> </w:t>
      </w:r>
      <w:r>
        <w:rPr>
          <w:rFonts w:ascii="Times New Roman" w:hAnsi="Times New Roman"/>
          <w:sz w:val="24"/>
          <w:szCs w:val="24"/>
        </w:rPr>
        <w:t xml:space="preserve">improvement on the status quo.  </w:t>
      </w:r>
      <w:r w:rsidR="00E923E8">
        <w:rPr>
          <w:rFonts w:ascii="Times New Roman" w:hAnsi="Times New Roman"/>
          <w:sz w:val="24"/>
          <w:szCs w:val="24"/>
        </w:rPr>
        <w:t xml:space="preserve"> </w:t>
      </w:r>
      <w:r w:rsidR="002F3288">
        <w:rPr>
          <w:rFonts w:ascii="Times New Roman" w:hAnsi="Times New Roman"/>
          <w:sz w:val="24"/>
          <w:szCs w:val="24"/>
        </w:rPr>
        <w:t>Offshore persons who could not open a New Zealand bank account would</w:t>
      </w:r>
      <w:r w:rsidR="00895776">
        <w:rPr>
          <w:rFonts w:ascii="Times New Roman" w:hAnsi="Times New Roman"/>
          <w:sz w:val="24"/>
          <w:szCs w:val="24"/>
        </w:rPr>
        <w:t xml:space="preserve"> </w:t>
      </w:r>
      <w:r w:rsidR="002F3288">
        <w:rPr>
          <w:rFonts w:ascii="Times New Roman" w:hAnsi="Times New Roman"/>
          <w:sz w:val="24"/>
          <w:szCs w:val="24"/>
        </w:rPr>
        <w:t xml:space="preserve">be able to </w:t>
      </w:r>
      <w:r w:rsidR="00B85754">
        <w:rPr>
          <w:rFonts w:ascii="Times New Roman" w:hAnsi="Times New Roman"/>
          <w:sz w:val="24"/>
          <w:szCs w:val="24"/>
        </w:rPr>
        <w:t xml:space="preserve">obtain IRD numbers </w:t>
      </w:r>
      <w:r w:rsidR="00895776">
        <w:rPr>
          <w:rFonts w:ascii="Times New Roman" w:hAnsi="Times New Roman"/>
          <w:sz w:val="24"/>
          <w:szCs w:val="24"/>
        </w:rPr>
        <w:t xml:space="preserve">and </w:t>
      </w:r>
      <w:r w:rsidR="00B85754">
        <w:rPr>
          <w:rFonts w:ascii="Times New Roman" w:hAnsi="Times New Roman"/>
          <w:sz w:val="24"/>
          <w:szCs w:val="24"/>
        </w:rPr>
        <w:t xml:space="preserve">comply with their </w:t>
      </w:r>
      <w:r w:rsidR="00895776">
        <w:rPr>
          <w:rFonts w:ascii="Times New Roman" w:hAnsi="Times New Roman"/>
          <w:sz w:val="24"/>
          <w:szCs w:val="24"/>
        </w:rPr>
        <w:t xml:space="preserve">New Zealand </w:t>
      </w:r>
      <w:r w:rsidR="00B85754">
        <w:rPr>
          <w:rFonts w:ascii="Times New Roman" w:hAnsi="Times New Roman"/>
          <w:sz w:val="24"/>
          <w:szCs w:val="24"/>
        </w:rPr>
        <w:t>tax obligations and complete commercial transactions.</w:t>
      </w:r>
    </w:p>
    <w:p w:rsidR="009A40F3" w:rsidRDefault="009A40F3" w:rsidP="0031757C">
      <w:pPr>
        <w:pStyle w:val="CommentText"/>
        <w:spacing w:after="0" w:line="240" w:lineRule="auto"/>
        <w:jc w:val="both"/>
      </w:pPr>
    </w:p>
    <w:p w:rsidR="009A40F3" w:rsidRPr="006878F9" w:rsidRDefault="009A40F3" w:rsidP="0031757C">
      <w:pPr>
        <w:pStyle w:val="CommentText"/>
        <w:numPr>
          <w:ilvl w:val="0"/>
          <w:numId w:val="3"/>
        </w:numPr>
        <w:spacing w:after="0" w:line="240" w:lineRule="auto"/>
        <w:ind w:left="0" w:firstLine="0"/>
        <w:jc w:val="both"/>
        <w:rPr>
          <w:rFonts w:ascii="Times New Roman" w:hAnsi="Times New Roman"/>
          <w:sz w:val="24"/>
          <w:szCs w:val="24"/>
        </w:rPr>
      </w:pPr>
      <w:r>
        <w:rPr>
          <w:rFonts w:ascii="Times New Roman" w:hAnsi="Times New Roman"/>
          <w:i/>
          <w:sz w:val="24"/>
          <w:szCs w:val="24"/>
        </w:rPr>
        <w:t>Efficiency of compliance and administration.</w:t>
      </w:r>
      <w:r>
        <w:rPr>
          <w:rFonts w:ascii="Times New Roman" w:hAnsi="Times New Roman"/>
          <w:sz w:val="24"/>
          <w:szCs w:val="24"/>
        </w:rPr>
        <w:t xml:space="preserve">  Option </w:t>
      </w:r>
      <w:r w:rsidR="007B6AFC">
        <w:rPr>
          <w:rFonts w:ascii="Times New Roman" w:hAnsi="Times New Roman"/>
          <w:sz w:val="24"/>
          <w:szCs w:val="24"/>
        </w:rPr>
        <w:t>4</w:t>
      </w:r>
      <w:r>
        <w:rPr>
          <w:rFonts w:ascii="Times New Roman" w:hAnsi="Times New Roman"/>
          <w:sz w:val="24"/>
          <w:szCs w:val="24"/>
        </w:rPr>
        <w:t xml:space="preserve"> is a significant improvement over the status quo.  </w:t>
      </w:r>
      <w:r w:rsidR="00895776">
        <w:rPr>
          <w:rFonts w:ascii="Times New Roman" w:hAnsi="Times New Roman"/>
          <w:sz w:val="24"/>
          <w:szCs w:val="24"/>
        </w:rPr>
        <w:t>As a New Zealand bank account would no longer be required, o</w:t>
      </w:r>
      <w:r>
        <w:rPr>
          <w:rFonts w:ascii="Times New Roman" w:hAnsi="Times New Roman"/>
          <w:sz w:val="24"/>
          <w:szCs w:val="24"/>
        </w:rPr>
        <w:t xml:space="preserve">ffshore persons will not have to be present in New Zealand </w:t>
      </w:r>
      <w:r w:rsidR="00895776">
        <w:rPr>
          <w:rFonts w:ascii="Times New Roman" w:hAnsi="Times New Roman"/>
          <w:sz w:val="24"/>
          <w:szCs w:val="24"/>
        </w:rPr>
        <w:t xml:space="preserve">for the purposes of </w:t>
      </w:r>
      <w:r>
        <w:rPr>
          <w:rFonts w:ascii="Times New Roman" w:hAnsi="Times New Roman"/>
          <w:sz w:val="24"/>
          <w:szCs w:val="24"/>
        </w:rPr>
        <w:t>open</w:t>
      </w:r>
      <w:r w:rsidR="00895776">
        <w:rPr>
          <w:rFonts w:ascii="Times New Roman" w:hAnsi="Times New Roman"/>
          <w:sz w:val="24"/>
          <w:szCs w:val="24"/>
        </w:rPr>
        <w:t>ing</w:t>
      </w:r>
      <w:r>
        <w:rPr>
          <w:rFonts w:ascii="Times New Roman" w:hAnsi="Times New Roman"/>
          <w:sz w:val="24"/>
          <w:szCs w:val="24"/>
        </w:rPr>
        <w:t xml:space="preserve"> a bank account</w:t>
      </w:r>
      <w:r w:rsidR="00895776">
        <w:rPr>
          <w:rFonts w:ascii="Times New Roman" w:hAnsi="Times New Roman"/>
          <w:sz w:val="24"/>
          <w:szCs w:val="24"/>
        </w:rPr>
        <w:t>,</w:t>
      </w:r>
      <w:r>
        <w:rPr>
          <w:rFonts w:ascii="Times New Roman" w:hAnsi="Times New Roman"/>
          <w:sz w:val="24"/>
          <w:szCs w:val="24"/>
        </w:rPr>
        <w:t xml:space="preserve"> and will be able to get an IRD number in a timely manner.  Compliance costs</w:t>
      </w:r>
      <w:r w:rsidR="00A94F81">
        <w:rPr>
          <w:rFonts w:ascii="Times New Roman" w:hAnsi="Times New Roman"/>
          <w:sz w:val="24"/>
          <w:szCs w:val="24"/>
        </w:rPr>
        <w:t xml:space="preserve"> for offshore persons will be reduced. Compliance costs</w:t>
      </w:r>
      <w:r>
        <w:rPr>
          <w:rFonts w:ascii="Times New Roman" w:hAnsi="Times New Roman"/>
          <w:sz w:val="24"/>
          <w:szCs w:val="24"/>
        </w:rPr>
        <w:t xml:space="preserve"> for banks will</w:t>
      </w:r>
      <w:r w:rsidR="00A94F81">
        <w:rPr>
          <w:rFonts w:ascii="Times New Roman" w:hAnsi="Times New Roman"/>
          <w:sz w:val="24"/>
          <w:szCs w:val="24"/>
        </w:rPr>
        <w:t xml:space="preserve"> also</w:t>
      </w:r>
      <w:r>
        <w:rPr>
          <w:rFonts w:ascii="Times New Roman" w:hAnsi="Times New Roman"/>
          <w:sz w:val="24"/>
          <w:szCs w:val="24"/>
        </w:rPr>
        <w:t xml:space="preserve"> be reduced as they will no longer have to consider opening accounts for offshore customers who have no other need for a New Zealand bank account.  </w:t>
      </w:r>
      <w:r w:rsidR="002F3288">
        <w:rPr>
          <w:rFonts w:ascii="Times New Roman" w:hAnsi="Times New Roman"/>
          <w:sz w:val="24"/>
          <w:szCs w:val="24"/>
        </w:rPr>
        <w:t xml:space="preserve">Administration costs will be reduced as Inland Revenue will no longer have to consider whether </w:t>
      </w:r>
      <w:r w:rsidR="00A94F81">
        <w:rPr>
          <w:rFonts w:ascii="Times New Roman" w:hAnsi="Times New Roman"/>
          <w:sz w:val="24"/>
          <w:szCs w:val="24"/>
        </w:rPr>
        <w:t>an offshore person has a functional</w:t>
      </w:r>
      <w:r w:rsidR="002F3288">
        <w:rPr>
          <w:rFonts w:ascii="Times New Roman" w:hAnsi="Times New Roman"/>
          <w:sz w:val="24"/>
          <w:szCs w:val="24"/>
        </w:rPr>
        <w:t xml:space="preserve"> bank account</w:t>
      </w:r>
      <w:r w:rsidR="00A94F81">
        <w:rPr>
          <w:rFonts w:ascii="Times New Roman" w:hAnsi="Times New Roman"/>
          <w:sz w:val="24"/>
          <w:szCs w:val="24"/>
        </w:rPr>
        <w:t xml:space="preserve">, </w:t>
      </w:r>
      <w:r w:rsidR="002F3288">
        <w:rPr>
          <w:rFonts w:ascii="Times New Roman" w:hAnsi="Times New Roman"/>
          <w:sz w:val="24"/>
          <w:szCs w:val="24"/>
        </w:rPr>
        <w:t>and will also not have to consider arrangements where offshore persons are unable to comply with tax or commercial obligatio</w:t>
      </w:r>
      <w:r w:rsidR="0031757C">
        <w:rPr>
          <w:rFonts w:ascii="Times New Roman" w:hAnsi="Times New Roman"/>
          <w:sz w:val="24"/>
          <w:szCs w:val="24"/>
        </w:rPr>
        <w:t>ns due to being unable to get a bank account and an</w:t>
      </w:r>
      <w:r w:rsidR="002F3288">
        <w:rPr>
          <w:rFonts w:ascii="Times New Roman" w:hAnsi="Times New Roman"/>
          <w:sz w:val="24"/>
          <w:szCs w:val="24"/>
        </w:rPr>
        <w:t xml:space="preserve"> IRD number.</w:t>
      </w:r>
    </w:p>
    <w:p w:rsidR="003F7C6A" w:rsidRPr="003F7C6A" w:rsidRDefault="003F7C6A" w:rsidP="0031757C">
      <w:pPr>
        <w:pStyle w:val="CommentText"/>
        <w:spacing w:after="0" w:line="240" w:lineRule="auto"/>
        <w:jc w:val="both"/>
        <w:rPr>
          <w:rFonts w:ascii="Times New Roman" w:hAnsi="Times New Roman"/>
          <w:sz w:val="24"/>
          <w:szCs w:val="24"/>
        </w:rPr>
      </w:pPr>
    </w:p>
    <w:p w:rsidR="000545DC" w:rsidRPr="004342F0" w:rsidRDefault="00D943DD" w:rsidP="0031757C">
      <w:pPr>
        <w:pStyle w:val="RISheading"/>
        <w:jc w:val="both"/>
        <w:rPr>
          <w:spacing w:val="0"/>
          <w:w w:val="100"/>
        </w:rPr>
      </w:pPr>
      <w:bookmarkStart w:id="24" w:name="_Toc244580366"/>
      <w:bookmarkStart w:id="25" w:name="_Toc244587042"/>
      <w:bookmarkStart w:id="26" w:name="_Toc244857276"/>
      <w:bookmarkStart w:id="27" w:name="_Toc244912541"/>
      <w:bookmarkStart w:id="28" w:name="_Toc244916998"/>
      <w:r w:rsidRPr="004342F0">
        <w:rPr>
          <w:spacing w:val="0"/>
          <w:w w:val="100"/>
        </w:rPr>
        <w:t>CONSULTATION</w:t>
      </w:r>
      <w:bookmarkEnd w:id="24"/>
      <w:bookmarkEnd w:id="25"/>
      <w:bookmarkEnd w:id="26"/>
      <w:bookmarkEnd w:id="27"/>
      <w:bookmarkEnd w:id="28"/>
    </w:p>
    <w:p w:rsidR="0014479C" w:rsidRDefault="0014479C" w:rsidP="0031757C">
      <w:pPr>
        <w:pStyle w:val="Bullet-list"/>
        <w:numPr>
          <w:ilvl w:val="0"/>
          <w:numId w:val="3"/>
        </w:numPr>
        <w:spacing w:after="0" w:line="240" w:lineRule="auto"/>
        <w:ind w:left="0" w:firstLine="0"/>
        <w:jc w:val="both"/>
        <w:rPr>
          <w:rFonts w:ascii="Times New Roman" w:hAnsi="Times New Roman"/>
          <w:sz w:val="24"/>
          <w:szCs w:val="24"/>
        </w:rPr>
      </w:pPr>
      <w:r w:rsidRPr="00595852">
        <w:rPr>
          <w:rFonts w:ascii="Times New Roman" w:hAnsi="Times New Roman"/>
          <w:sz w:val="24"/>
          <w:szCs w:val="24"/>
        </w:rPr>
        <w:t xml:space="preserve">In August </w:t>
      </w:r>
      <w:r w:rsidR="00F84BE6" w:rsidRPr="00595852">
        <w:rPr>
          <w:rFonts w:ascii="Times New Roman" w:hAnsi="Times New Roman"/>
          <w:sz w:val="24"/>
          <w:szCs w:val="24"/>
        </w:rPr>
        <w:t xml:space="preserve">and September </w:t>
      </w:r>
      <w:r w:rsidRPr="00595852">
        <w:rPr>
          <w:rFonts w:ascii="Times New Roman" w:hAnsi="Times New Roman"/>
          <w:sz w:val="24"/>
          <w:szCs w:val="24"/>
        </w:rPr>
        <w:t>2016 targeted consultation was undertaken with Chartered Accountants Australia and New Zealand, Corporate Taxpayers Group, New Zealand Bankers’ Association and the New Zealand Law Society</w:t>
      </w:r>
      <w:r w:rsidR="0087134A" w:rsidRPr="00595852">
        <w:rPr>
          <w:rFonts w:ascii="Times New Roman" w:hAnsi="Times New Roman"/>
          <w:sz w:val="24"/>
          <w:szCs w:val="24"/>
        </w:rPr>
        <w:t>.</w:t>
      </w:r>
      <w:r w:rsidR="00A92F1A" w:rsidRPr="00595852">
        <w:rPr>
          <w:rFonts w:ascii="Times New Roman" w:hAnsi="Times New Roman"/>
          <w:sz w:val="24"/>
          <w:szCs w:val="24"/>
        </w:rPr>
        <w:t xml:space="preserve"> </w:t>
      </w:r>
    </w:p>
    <w:p w:rsidR="00595852" w:rsidRPr="00595852" w:rsidRDefault="00595852" w:rsidP="0031757C">
      <w:pPr>
        <w:pStyle w:val="Bullet-list"/>
        <w:spacing w:after="0" w:line="240" w:lineRule="auto"/>
        <w:ind w:left="0" w:firstLine="0"/>
        <w:jc w:val="both"/>
        <w:rPr>
          <w:rFonts w:ascii="Times New Roman" w:hAnsi="Times New Roman"/>
          <w:sz w:val="24"/>
          <w:szCs w:val="24"/>
        </w:rPr>
      </w:pPr>
    </w:p>
    <w:p w:rsidR="0014479C" w:rsidRPr="00C65B81" w:rsidRDefault="0014479C" w:rsidP="0031757C">
      <w:pPr>
        <w:pStyle w:val="Bullet-list"/>
        <w:numPr>
          <w:ilvl w:val="0"/>
          <w:numId w:val="3"/>
        </w:numPr>
        <w:spacing w:after="0" w:line="240" w:lineRule="auto"/>
        <w:ind w:left="0" w:firstLine="0"/>
        <w:jc w:val="both"/>
        <w:rPr>
          <w:rFonts w:ascii="Times New Roman" w:hAnsi="Times New Roman"/>
          <w:sz w:val="24"/>
          <w:szCs w:val="24"/>
        </w:rPr>
      </w:pPr>
      <w:r w:rsidRPr="00C65B81">
        <w:rPr>
          <w:rFonts w:ascii="Times New Roman" w:hAnsi="Times New Roman"/>
          <w:sz w:val="24"/>
          <w:szCs w:val="24"/>
        </w:rPr>
        <w:t xml:space="preserve">All </w:t>
      </w:r>
      <w:r w:rsidR="00595852">
        <w:rPr>
          <w:rFonts w:ascii="Times New Roman" w:hAnsi="Times New Roman"/>
          <w:sz w:val="24"/>
          <w:szCs w:val="24"/>
        </w:rPr>
        <w:t xml:space="preserve">submitters </w:t>
      </w:r>
      <w:r w:rsidRPr="00C65B81">
        <w:rPr>
          <w:rFonts w:ascii="Times New Roman" w:hAnsi="Times New Roman"/>
          <w:sz w:val="24"/>
          <w:szCs w:val="24"/>
        </w:rPr>
        <w:t xml:space="preserve">have welcomed the review.  There was no support for the status quo and all submitters supported reform.  Evidence </w:t>
      </w:r>
      <w:r w:rsidR="00346CC2">
        <w:rPr>
          <w:rFonts w:ascii="Times New Roman" w:hAnsi="Times New Roman"/>
          <w:sz w:val="24"/>
          <w:szCs w:val="24"/>
        </w:rPr>
        <w:t xml:space="preserve">through </w:t>
      </w:r>
      <w:r w:rsidRPr="00C65B81">
        <w:rPr>
          <w:rFonts w:ascii="Times New Roman" w:hAnsi="Times New Roman"/>
          <w:sz w:val="24"/>
          <w:szCs w:val="24"/>
        </w:rPr>
        <w:t xml:space="preserve">further examples where the bank account requirement is causing difficulties </w:t>
      </w:r>
      <w:r w:rsidR="002C3B96">
        <w:rPr>
          <w:rFonts w:ascii="Times New Roman" w:hAnsi="Times New Roman"/>
          <w:sz w:val="24"/>
          <w:szCs w:val="24"/>
        </w:rPr>
        <w:t xml:space="preserve">was </w:t>
      </w:r>
      <w:r w:rsidRPr="00C65B81">
        <w:rPr>
          <w:rFonts w:ascii="Times New Roman" w:hAnsi="Times New Roman"/>
          <w:sz w:val="24"/>
          <w:szCs w:val="24"/>
        </w:rPr>
        <w:t>provided.</w:t>
      </w:r>
      <w:r w:rsidR="0031757C">
        <w:rPr>
          <w:rFonts w:ascii="Times New Roman" w:hAnsi="Times New Roman"/>
          <w:sz w:val="24"/>
          <w:szCs w:val="24"/>
        </w:rPr>
        <w:t xml:space="preserve"> Some submitters preferred the removal of the bank account requirement, while others supported the option of Commissioner’s discretion and/or further exceptions.</w:t>
      </w:r>
    </w:p>
    <w:p w:rsidR="00D943DD" w:rsidRPr="004342F0" w:rsidRDefault="00D943DD" w:rsidP="004342F0">
      <w:pPr>
        <w:pStyle w:val="spacer"/>
        <w:rPr>
          <w:rFonts w:ascii="Times New Roman" w:hAnsi="Times New Roman"/>
          <w:sz w:val="24"/>
          <w:szCs w:val="24"/>
          <w:lang w:val="en-AU"/>
        </w:rPr>
      </w:pPr>
      <w:bookmarkStart w:id="29" w:name="_Preferred_option_[optional]"/>
      <w:bookmarkStart w:id="30" w:name="_Toc244580367"/>
      <w:bookmarkStart w:id="31" w:name="_Toc244587043"/>
      <w:bookmarkStart w:id="32" w:name="_Toc244857277"/>
      <w:bookmarkStart w:id="33" w:name="_Toc244912542"/>
      <w:bookmarkStart w:id="34" w:name="_Toc244916999"/>
      <w:bookmarkEnd w:id="29"/>
    </w:p>
    <w:p w:rsidR="000545DC" w:rsidRPr="004342F0" w:rsidRDefault="00D943DD" w:rsidP="0031757C">
      <w:pPr>
        <w:pStyle w:val="RISheading"/>
        <w:jc w:val="both"/>
        <w:rPr>
          <w:spacing w:val="0"/>
          <w:w w:val="100"/>
        </w:rPr>
      </w:pPr>
      <w:r w:rsidRPr="004342F0">
        <w:rPr>
          <w:spacing w:val="0"/>
          <w:w w:val="100"/>
        </w:rPr>
        <w:t>CONCLUSIONS AND RECOMMENDATIONS</w:t>
      </w:r>
      <w:bookmarkEnd w:id="30"/>
      <w:bookmarkEnd w:id="31"/>
      <w:bookmarkEnd w:id="32"/>
      <w:bookmarkEnd w:id="33"/>
      <w:bookmarkEnd w:id="34"/>
    </w:p>
    <w:p w:rsidR="0014479C" w:rsidRPr="007B2A5F" w:rsidRDefault="0014479C" w:rsidP="0031757C">
      <w:pPr>
        <w:pStyle w:val="Bullet-list"/>
        <w:numPr>
          <w:ilvl w:val="0"/>
          <w:numId w:val="3"/>
        </w:numPr>
        <w:spacing w:after="0" w:line="240" w:lineRule="auto"/>
        <w:ind w:left="0" w:firstLine="0"/>
        <w:jc w:val="both"/>
        <w:rPr>
          <w:rFonts w:ascii="Times New Roman" w:hAnsi="Times New Roman"/>
          <w:b/>
          <w:sz w:val="24"/>
          <w:szCs w:val="24"/>
        </w:rPr>
      </w:pPr>
      <w:bookmarkStart w:id="35" w:name="_Toc244580368"/>
      <w:bookmarkStart w:id="36" w:name="_Toc244587044"/>
      <w:bookmarkStart w:id="37" w:name="_Toc244857278"/>
      <w:bookmarkStart w:id="38" w:name="_Toc244912543"/>
      <w:bookmarkStart w:id="39" w:name="_Toc244917000"/>
      <w:r>
        <w:rPr>
          <w:rFonts w:ascii="Times New Roman" w:hAnsi="Times New Roman"/>
          <w:sz w:val="24"/>
          <w:szCs w:val="24"/>
        </w:rPr>
        <w:t>The following table summarises the consideration of the options from the regulatory analysis section above.  Within the overview table the following symbols are used:</w:t>
      </w:r>
    </w:p>
    <w:p w:rsidR="0014479C" w:rsidRDefault="0014479C" w:rsidP="0031757C">
      <w:pPr>
        <w:pStyle w:val="Bullet-list"/>
        <w:spacing w:after="0" w:line="240" w:lineRule="auto"/>
        <w:ind w:left="0" w:firstLine="0"/>
        <w:jc w:val="both"/>
        <w:rPr>
          <w:rFonts w:ascii="Times New Roman" w:hAnsi="Times New Roman"/>
          <w:b/>
          <w:sz w:val="24"/>
          <w:szCs w:val="24"/>
        </w:rPr>
      </w:pPr>
    </w:p>
    <w:p w:rsidR="0014479C" w:rsidRPr="00FB52C8" w:rsidRDefault="0014479C" w:rsidP="0031757C">
      <w:pPr>
        <w:spacing w:after="0"/>
        <w:ind w:left="2268"/>
        <w:jc w:val="both"/>
        <w:rPr>
          <w:rFonts w:ascii="Times New Roman" w:eastAsiaTheme="minorHAnsi" w:hAnsi="Times New Roman"/>
          <w:sz w:val="24"/>
          <w:szCs w:val="24"/>
        </w:rPr>
      </w:pPr>
      <w:r w:rsidRPr="00FB52C8">
        <w:rPr>
          <w:rFonts w:ascii="Wingdings 2" w:eastAsiaTheme="minorHAnsi" w:hAnsi="Wingdings 2"/>
          <w:szCs w:val="24"/>
          <w:lang w:eastAsia="en-US"/>
        </w:rPr>
        <w:t></w:t>
      </w:r>
      <w:r w:rsidRPr="00FB52C8">
        <w:rPr>
          <w:rFonts w:ascii="Wingdings 2" w:eastAsiaTheme="minorHAnsi" w:hAnsi="Wingdings 2"/>
          <w:szCs w:val="24"/>
          <w:lang w:eastAsia="en-US"/>
        </w:rPr>
        <w:t></w:t>
      </w:r>
      <w:r w:rsidRPr="00FB52C8">
        <w:rPr>
          <w:rFonts w:ascii="Wingdings 2" w:eastAsiaTheme="minorHAnsi" w:hAnsi="Wingdings 2"/>
          <w:szCs w:val="24"/>
          <w:lang w:eastAsia="en-US"/>
        </w:rPr>
        <w:tab/>
      </w:r>
      <w:r w:rsidRPr="00FB52C8">
        <w:rPr>
          <w:rFonts w:ascii="Times New Roman" w:eastAsiaTheme="minorHAnsi" w:hAnsi="Times New Roman"/>
          <w:sz w:val="24"/>
          <w:szCs w:val="24"/>
        </w:rPr>
        <w:t>Significantly better than the status quo</w:t>
      </w:r>
    </w:p>
    <w:p w:rsidR="0014479C" w:rsidRPr="00FB52C8" w:rsidRDefault="0014479C" w:rsidP="0031757C">
      <w:pPr>
        <w:pStyle w:val="ListParagraph"/>
        <w:numPr>
          <w:ilvl w:val="0"/>
          <w:numId w:val="13"/>
        </w:numPr>
        <w:ind w:left="2835" w:hanging="567"/>
        <w:rPr>
          <w:rFonts w:ascii="Times New Roman" w:eastAsiaTheme="minorHAnsi" w:hAnsi="Times New Roman"/>
          <w:sz w:val="24"/>
          <w:szCs w:val="24"/>
        </w:rPr>
      </w:pPr>
      <w:r w:rsidRPr="00FB52C8">
        <w:rPr>
          <w:rFonts w:ascii="Times New Roman" w:eastAsiaTheme="minorHAnsi" w:hAnsi="Times New Roman"/>
          <w:sz w:val="24"/>
          <w:szCs w:val="24"/>
        </w:rPr>
        <w:t>Better than the status quo</w:t>
      </w:r>
    </w:p>
    <w:p w:rsidR="0014479C" w:rsidRPr="00A57E40" w:rsidRDefault="00595852" w:rsidP="0031757C">
      <w:pPr>
        <w:pStyle w:val="ListParagraph"/>
        <w:numPr>
          <w:ilvl w:val="0"/>
          <w:numId w:val="12"/>
        </w:numPr>
        <w:ind w:left="2268" w:firstLine="0"/>
        <w:rPr>
          <w:rFonts w:ascii="Times New Roman" w:eastAsiaTheme="minorHAnsi" w:hAnsi="Times New Roman"/>
          <w:sz w:val="24"/>
          <w:szCs w:val="24"/>
        </w:rPr>
      </w:pPr>
      <w:r>
        <w:rPr>
          <w:rFonts w:ascii="Times New Roman" w:eastAsiaTheme="minorHAnsi" w:hAnsi="Times New Roman"/>
          <w:sz w:val="24"/>
          <w:szCs w:val="24"/>
        </w:rPr>
        <w:t>S</w:t>
      </w:r>
      <w:r w:rsidR="00872009">
        <w:rPr>
          <w:rFonts w:ascii="Times New Roman" w:eastAsiaTheme="minorHAnsi" w:hAnsi="Times New Roman"/>
          <w:sz w:val="24"/>
          <w:szCs w:val="24"/>
        </w:rPr>
        <w:t>ame as</w:t>
      </w:r>
      <w:r w:rsidR="0014479C" w:rsidRPr="00A57E40">
        <w:rPr>
          <w:rFonts w:ascii="Times New Roman" w:eastAsiaTheme="minorHAnsi" w:hAnsi="Times New Roman"/>
          <w:sz w:val="24"/>
          <w:szCs w:val="24"/>
        </w:rPr>
        <w:t xml:space="preserve"> the status quo </w:t>
      </w:r>
    </w:p>
    <w:p w:rsidR="0014479C" w:rsidRDefault="0014479C" w:rsidP="0031757C">
      <w:pPr>
        <w:spacing w:after="0" w:line="240" w:lineRule="auto"/>
        <w:ind w:left="2268"/>
        <w:contextualSpacing/>
        <w:jc w:val="both"/>
        <w:rPr>
          <w:rFonts w:ascii="Times New Roman" w:eastAsiaTheme="minorHAnsi" w:hAnsi="Times New Roman"/>
          <w:sz w:val="24"/>
          <w:szCs w:val="24"/>
          <w:lang w:val="en-NZ" w:eastAsia="en-US"/>
        </w:rPr>
      </w:pPr>
      <w:r w:rsidRPr="00A57E40">
        <w:rPr>
          <w:rFonts w:ascii="Wingdings 2" w:eastAsiaTheme="minorHAnsi" w:hAnsi="Wingdings 2"/>
          <w:sz w:val="24"/>
          <w:szCs w:val="24"/>
          <w:lang w:val="en-NZ" w:eastAsia="en-US"/>
        </w:rPr>
        <w:t></w:t>
      </w:r>
      <w:r w:rsidRPr="00A57E40">
        <w:rPr>
          <w:rFonts w:ascii="Wingdings 2" w:eastAsiaTheme="minorHAnsi" w:hAnsi="Wingdings 2"/>
          <w:sz w:val="24"/>
          <w:szCs w:val="24"/>
          <w:lang w:val="en-NZ" w:eastAsia="en-US"/>
        </w:rPr>
        <w:t></w:t>
      </w:r>
      <w:r w:rsidRPr="00A57E40">
        <w:rPr>
          <w:rFonts w:ascii="Wingdings 2" w:eastAsiaTheme="minorHAnsi" w:hAnsi="Wingdings 2"/>
          <w:sz w:val="24"/>
          <w:szCs w:val="24"/>
          <w:lang w:val="en-NZ" w:eastAsia="en-US"/>
        </w:rPr>
        <w:tab/>
      </w:r>
      <w:r w:rsidRPr="00A57E40">
        <w:rPr>
          <w:rFonts w:ascii="Times New Roman" w:eastAsiaTheme="minorHAnsi" w:hAnsi="Times New Roman"/>
          <w:sz w:val="24"/>
          <w:szCs w:val="24"/>
          <w:lang w:val="en-NZ" w:eastAsia="en-US"/>
        </w:rPr>
        <w:t xml:space="preserve">Worse than the status quo </w:t>
      </w:r>
    </w:p>
    <w:p w:rsidR="00215630" w:rsidRPr="00A57E40" w:rsidRDefault="00215630" w:rsidP="0014479C">
      <w:pPr>
        <w:spacing w:after="0" w:line="240" w:lineRule="auto"/>
        <w:ind w:left="2268"/>
        <w:contextualSpacing/>
        <w:jc w:val="both"/>
        <w:rPr>
          <w:rFonts w:ascii="Times New Roman" w:eastAsiaTheme="minorHAnsi" w:hAnsi="Times New Roman"/>
          <w:sz w:val="24"/>
          <w:szCs w:val="24"/>
          <w:lang w:val="en-NZ" w:eastAsia="en-US"/>
        </w:rPr>
      </w:pPr>
    </w:p>
    <w:p w:rsidR="0014479C" w:rsidRDefault="0014479C" w:rsidP="0014479C">
      <w:pPr>
        <w:pStyle w:val="Bullet-list"/>
        <w:spacing w:after="0" w:line="240" w:lineRule="auto"/>
        <w:ind w:left="0" w:firstLine="0"/>
        <w:rPr>
          <w:rFonts w:ascii="Times New Roman" w:hAnsi="Times New Roman"/>
          <w:b/>
          <w:sz w:val="24"/>
          <w:szCs w:val="24"/>
        </w:rPr>
      </w:pPr>
    </w:p>
    <w:tbl>
      <w:tblPr>
        <w:tblStyle w:val="TableGrid"/>
        <w:tblW w:w="0" w:type="auto"/>
        <w:tblCellMar>
          <w:top w:w="85" w:type="dxa"/>
          <w:bottom w:w="85" w:type="dxa"/>
        </w:tblCellMar>
        <w:tblLook w:val="04A0" w:firstRow="1" w:lastRow="0" w:firstColumn="1" w:lastColumn="0" w:noHBand="0" w:noVBand="1"/>
      </w:tblPr>
      <w:tblGrid>
        <w:gridCol w:w="4643"/>
        <w:gridCol w:w="4644"/>
      </w:tblGrid>
      <w:tr w:rsidR="0014479C" w:rsidRPr="00A57E40" w:rsidTr="00331243">
        <w:trPr>
          <w:tblHeader/>
        </w:trPr>
        <w:tc>
          <w:tcPr>
            <w:tcW w:w="4643" w:type="dxa"/>
            <w:shd w:val="clear" w:color="auto" w:fill="F2F2F2" w:themeFill="background1" w:themeFillShade="F2"/>
          </w:tcPr>
          <w:p w:rsidR="0014479C" w:rsidRPr="00A57E40" w:rsidRDefault="0014479C" w:rsidP="00E57EBE">
            <w:pPr>
              <w:pStyle w:val="TRNormal"/>
              <w:tabs>
                <w:tab w:val="left" w:pos="567"/>
              </w:tabs>
              <w:spacing w:line="240" w:lineRule="auto"/>
              <w:rPr>
                <w:b/>
                <w:sz w:val="22"/>
              </w:rPr>
            </w:pPr>
            <w:r w:rsidRPr="00A57E40">
              <w:rPr>
                <w:b/>
                <w:sz w:val="22"/>
              </w:rPr>
              <w:t>Options</w:t>
            </w:r>
          </w:p>
        </w:tc>
        <w:tc>
          <w:tcPr>
            <w:tcW w:w="4644" w:type="dxa"/>
            <w:shd w:val="clear" w:color="auto" w:fill="F2F2F2" w:themeFill="background1" w:themeFillShade="F2"/>
          </w:tcPr>
          <w:p w:rsidR="0014479C" w:rsidRPr="00A57E40" w:rsidRDefault="0014479C" w:rsidP="00E57EBE">
            <w:pPr>
              <w:pStyle w:val="TRNormal"/>
              <w:tabs>
                <w:tab w:val="left" w:pos="567"/>
              </w:tabs>
              <w:spacing w:line="240" w:lineRule="auto"/>
              <w:rPr>
                <w:b/>
                <w:sz w:val="22"/>
              </w:rPr>
            </w:pPr>
            <w:r w:rsidRPr="00A57E40">
              <w:rPr>
                <w:b/>
                <w:sz w:val="22"/>
              </w:rPr>
              <w:t>Analysis against the objective and criteria</w:t>
            </w:r>
          </w:p>
        </w:tc>
      </w:tr>
      <w:tr w:rsidR="0014479C" w:rsidRPr="00A57E40" w:rsidTr="00E57EBE">
        <w:tc>
          <w:tcPr>
            <w:tcW w:w="4643" w:type="dxa"/>
          </w:tcPr>
          <w:p w:rsidR="0014479C" w:rsidRPr="00A57E40" w:rsidRDefault="0014479C" w:rsidP="00E57EBE">
            <w:pPr>
              <w:pStyle w:val="TRNormal"/>
              <w:tabs>
                <w:tab w:val="left" w:pos="567"/>
              </w:tabs>
              <w:spacing w:line="240" w:lineRule="auto"/>
              <w:rPr>
                <w:sz w:val="22"/>
              </w:rPr>
            </w:pPr>
            <w:r w:rsidRPr="00A57E40">
              <w:rPr>
                <w:sz w:val="22"/>
              </w:rPr>
              <w:t>Option 1 – Status quo</w:t>
            </w:r>
          </w:p>
        </w:tc>
        <w:tc>
          <w:tcPr>
            <w:tcW w:w="4644" w:type="dxa"/>
          </w:tcPr>
          <w:p w:rsidR="00E20D1F" w:rsidRDefault="00215630" w:rsidP="00B85754">
            <w:pPr>
              <w:pStyle w:val="TRNormal"/>
              <w:tabs>
                <w:tab w:val="left" w:pos="567"/>
              </w:tabs>
              <w:spacing w:line="240" w:lineRule="auto"/>
              <w:rPr>
                <w:sz w:val="22"/>
              </w:rPr>
            </w:pPr>
            <w:r>
              <w:rPr>
                <w:sz w:val="22"/>
              </w:rPr>
              <w:t>Does not m</w:t>
            </w:r>
            <w:r w:rsidR="0014479C" w:rsidRPr="00A57E40">
              <w:rPr>
                <w:sz w:val="22"/>
              </w:rPr>
              <w:t>eet the main objective</w:t>
            </w:r>
          </w:p>
          <w:p w:rsidR="0014479C" w:rsidRDefault="00E20D1F" w:rsidP="00B85754">
            <w:pPr>
              <w:pStyle w:val="TRNormal"/>
              <w:tabs>
                <w:tab w:val="left" w:pos="567"/>
              </w:tabs>
              <w:spacing w:line="240" w:lineRule="auto"/>
              <w:rPr>
                <w:sz w:val="22"/>
              </w:rPr>
            </w:pPr>
            <w:r>
              <w:rPr>
                <w:sz w:val="22"/>
              </w:rPr>
              <w:t>Meets the robustness of identity checks criterion</w:t>
            </w:r>
          </w:p>
          <w:p w:rsidR="0031757C" w:rsidRDefault="00D009CF" w:rsidP="00B85754">
            <w:pPr>
              <w:pStyle w:val="TRNormal"/>
              <w:tabs>
                <w:tab w:val="left" w:pos="567"/>
              </w:tabs>
              <w:spacing w:line="240" w:lineRule="auto"/>
              <w:rPr>
                <w:sz w:val="22"/>
              </w:rPr>
            </w:pPr>
            <w:r>
              <w:rPr>
                <w:sz w:val="22"/>
              </w:rPr>
              <w:t>M</w:t>
            </w:r>
            <w:r w:rsidR="00B85754">
              <w:rPr>
                <w:sz w:val="22"/>
              </w:rPr>
              <w:t>eet</w:t>
            </w:r>
            <w:r w:rsidR="00A92F1A">
              <w:rPr>
                <w:sz w:val="22"/>
              </w:rPr>
              <w:t>s</w:t>
            </w:r>
            <w:r w:rsidR="00872009">
              <w:rPr>
                <w:sz w:val="22"/>
              </w:rPr>
              <w:t xml:space="preserve"> economic efficiency</w:t>
            </w:r>
            <w:r w:rsidR="0031757C">
              <w:rPr>
                <w:sz w:val="22"/>
              </w:rPr>
              <w:t xml:space="preserve"> criterion</w:t>
            </w:r>
          </w:p>
          <w:p w:rsidR="00B85754" w:rsidRPr="00A57E40" w:rsidRDefault="0031757C" w:rsidP="0031757C">
            <w:pPr>
              <w:pStyle w:val="TRNormal"/>
              <w:tabs>
                <w:tab w:val="left" w:pos="567"/>
              </w:tabs>
              <w:spacing w:line="240" w:lineRule="auto"/>
              <w:rPr>
                <w:sz w:val="22"/>
              </w:rPr>
            </w:pPr>
            <w:r>
              <w:rPr>
                <w:sz w:val="22"/>
              </w:rPr>
              <w:t>Meets efficiency of compliance and administration criterion</w:t>
            </w:r>
          </w:p>
        </w:tc>
      </w:tr>
      <w:tr w:rsidR="0014479C" w:rsidRPr="00A57E40" w:rsidTr="00E57EBE">
        <w:tc>
          <w:tcPr>
            <w:tcW w:w="4643" w:type="dxa"/>
          </w:tcPr>
          <w:p w:rsidR="0014479C" w:rsidRPr="00A57E40" w:rsidRDefault="0014479C" w:rsidP="007B6AFC">
            <w:pPr>
              <w:pStyle w:val="TRNormal"/>
              <w:tabs>
                <w:tab w:val="left" w:pos="567"/>
              </w:tabs>
              <w:spacing w:line="240" w:lineRule="auto"/>
              <w:rPr>
                <w:sz w:val="22"/>
              </w:rPr>
            </w:pPr>
            <w:r w:rsidRPr="00A57E40">
              <w:rPr>
                <w:sz w:val="22"/>
              </w:rPr>
              <w:t xml:space="preserve">Option 2 – </w:t>
            </w:r>
            <w:r w:rsidR="007B6AFC">
              <w:rPr>
                <w:sz w:val="22"/>
              </w:rPr>
              <w:t xml:space="preserve">Commissioner discretion </w:t>
            </w:r>
          </w:p>
        </w:tc>
        <w:tc>
          <w:tcPr>
            <w:tcW w:w="4644" w:type="dxa"/>
          </w:tcPr>
          <w:p w:rsidR="0014479C" w:rsidRPr="00A57E40" w:rsidRDefault="0014479C" w:rsidP="00E57EBE">
            <w:pPr>
              <w:pStyle w:val="TRNormal"/>
              <w:tabs>
                <w:tab w:val="left" w:pos="567"/>
              </w:tabs>
              <w:spacing w:line="240" w:lineRule="auto"/>
              <w:rPr>
                <w:sz w:val="22"/>
              </w:rPr>
            </w:pPr>
            <w:r w:rsidRPr="00A57E40">
              <w:rPr>
                <w:sz w:val="22"/>
              </w:rPr>
              <w:t>Meets the main objective</w:t>
            </w:r>
          </w:p>
          <w:p w:rsidR="0014479C" w:rsidRPr="00A57E40" w:rsidRDefault="00E20D1F" w:rsidP="00E57EBE">
            <w:pPr>
              <w:pStyle w:val="TRNormal"/>
              <w:tabs>
                <w:tab w:val="left" w:pos="567"/>
              </w:tabs>
              <w:spacing w:line="240" w:lineRule="auto"/>
              <w:rPr>
                <w:sz w:val="22"/>
              </w:rPr>
            </w:pPr>
            <w:r>
              <w:rPr>
                <w:sz w:val="22"/>
              </w:rPr>
              <w:t xml:space="preserve">Robustness of identity checks </w:t>
            </w:r>
            <w:r w:rsidRPr="00A57E40">
              <w:rPr>
                <w:rFonts w:ascii="Wingdings 2" w:eastAsiaTheme="minorHAnsi" w:hAnsi="Wingdings 2"/>
                <w:szCs w:val="24"/>
                <w:lang w:eastAsia="en-US"/>
              </w:rPr>
              <w:t></w:t>
            </w:r>
          </w:p>
          <w:p w:rsidR="0014479C" w:rsidRPr="00A57E40" w:rsidRDefault="00B85754" w:rsidP="00E57EBE">
            <w:pPr>
              <w:pStyle w:val="TRNormal"/>
              <w:tabs>
                <w:tab w:val="left" w:pos="567"/>
              </w:tabs>
              <w:spacing w:line="240" w:lineRule="auto"/>
              <w:rPr>
                <w:sz w:val="22"/>
              </w:rPr>
            </w:pPr>
            <w:r>
              <w:rPr>
                <w:sz w:val="22"/>
              </w:rPr>
              <w:t>Economic efficiency</w:t>
            </w:r>
            <w:r w:rsidR="0014479C" w:rsidRPr="00A57E40">
              <w:rPr>
                <w:sz w:val="22"/>
              </w:rPr>
              <w:t xml:space="preserve"> </w:t>
            </w:r>
            <w:r w:rsidR="0014479C" w:rsidRPr="00A57E40">
              <w:rPr>
                <w:rFonts w:ascii="Wingdings 2" w:eastAsiaTheme="minorHAnsi" w:hAnsi="Wingdings 2"/>
                <w:szCs w:val="24"/>
                <w:lang w:eastAsia="en-US"/>
              </w:rPr>
              <w:t></w:t>
            </w:r>
          </w:p>
          <w:p w:rsidR="0014479C" w:rsidRPr="00D009CF" w:rsidRDefault="0014479C" w:rsidP="00A92F1A">
            <w:pPr>
              <w:pStyle w:val="TRNormal"/>
              <w:tabs>
                <w:tab w:val="left" w:pos="567"/>
              </w:tabs>
              <w:spacing w:after="240" w:line="240" w:lineRule="auto"/>
              <w:rPr>
                <w:sz w:val="22"/>
              </w:rPr>
            </w:pPr>
            <w:r>
              <w:rPr>
                <w:sz w:val="22"/>
              </w:rPr>
              <w:t>Efficiency of compliance and administration</w:t>
            </w:r>
            <w:r w:rsidR="00A92F1A">
              <w:rPr>
                <w:sz w:val="22"/>
              </w:rPr>
              <w:t xml:space="preserve"> </w:t>
            </w:r>
            <w:r w:rsidR="00A92F1A" w:rsidRPr="00A57E40">
              <w:rPr>
                <w:rFonts w:ascii="Wingdings 2" w:eastAsiaTheme="minorHAnsi" w:hAnsi="Wingdings 2"/>
                <w:szCs w:val="24"/>
                <w:lang w:eastAsia="en-US"/>
              </w:rPr>
              <w:t></w:t>
            </w:r>
            <w:r w:rsidRPr="00A57E40">
              <w:rPr>
                <w:sz w:val="22"/>
              </w:rPr>
              <w:t xml:space="preserve"> </w:t>
            </w:r>
          </w:p>
        </w:tc>
      </w:tr>
      <w:tr w:rsidR="0014479C" w:rsidRPr="00A57E40" w:rsidTr="00E57EBE">
        <w:tc>
          <w:tcPr>
            <w:tcW w:w="4643" w:type="dxa"/>
          </w:tcPr>
          <w:p w:rsidR="0014479C" w:rsidRPr="00A57E40" w:rsidRDefault="0014479C" w:rsidP="007B6AFC">
            <w:pPr>
              <w:pStyle w:val="TRNormal"/>
              <w:tabs>
                <w:tab w:val="left" w:pos="567"/>
              </w:tabs>
              <w:spacing w:line="240" w:lineRule="auto"/>
              <w:rPr>
                <w:sz w:val="22"/>
              </w:rPr>
            </w:pPr>
            <w:r w:rsidRPr="00A57E40">
              <w:rPr>
                <w:sz w:val="22"/>
              </w:rPr>
              <w:t xml:space="preserve">Option 3 – </w:t>
            </w:r>
            <w:r w:rsidR="007B6AFC">
              <w:rPr>
                <w:sz w:val="22"/>
              </w:rPr>
              <w:t>Specific legislative exemptions</w:t>
            </w:r>
            <w:r w:rsidR="007B6AFC" w:rsidDel="007B6AFC">
              <w:rPr>
                <w:sz w:val="22"/>
              </w:rPr>
              <w:t xml:space="preserve"> </w:t>
            </w:r>
          </w:p>
        </w:tc>
        <w:tc>
          <w:tcPr>
            <w:tcW w:w="4644" w:type="dxa"/>
          </w:tcPr>
          <w:p w:rsidR="00E20D1F" w:rsidRDefault="00215630" w:rsidP="00E57EBE">
            <w:pPr>
              <w:pStyle w:val="TRNormal"/>
              <w:tabs>
                <w:tab w:val="left" w:pos="567"/>
              </w:tabs>
              <w:spacing w:line="240" w:lineRule="auto"/>
              <w:rPr>
                <w:sz w:val="22"/>
              </w:rPr>
            </w:pPr>
            <w:r>
              <w:rPr>
                <w:sz w:val="22"/>
              </w:rPr>
              <w:t>Does not m</w:t>
            </w:r>
            <w:r w:rsidR="0014479C" w:rsidRPr="00A57E40">
              <w:rPr>
                <w:sz w:val="22"/>
              </w:rPr>
              <w:t>eet</w:t>
            </w:r>
            <w:r>
              <w:rPr>
                <w:sz w:val="22"/>
              </w:rPr>
              <w:t xml:space="preserve"> </w:t>
            </w:r>
            <w:r w:rsidR="0014479C" w:rsidRPr="00A57E40">
              <w:rPr>
                <w:sz w:val="22"/>
              </w:rPr>
              <w:t>the main objective</w:t>
            </w:r>
          </w:p>
          <w:p w:rsidR="00E20D1F" w:rsidRDefault="00E20D1F" w:rsidP="00E20D1F">
            <w:pPr>
              <w:pStyle w:val="TRNormal"/>
              <w:tabs>
                <w:tab w:val="left" w:pos="567"/>
              </w:tabs>
              <w:spacing w:line="240" w:lineRule="auto"/>
              <w:rPr>
                <w:sz w:val="22"/>
              </w:rPr>
            </w:pPr>
            <w:r>
              <w:rPr>
                <w:sz w:val="22"/>
              </w:rPr>
              <w:t xml:space="preserve">Robustness of identity checks </w:t>
            </w:r>
            <w:r w:rsidRPr="00A57E40">
              <w:rPr>
                <w:rFonts w:ascii="Wingdings 2" w:eastAsiaTheme="minorHAnsi" w:hAnsi="Wingdings 2"/>
                <w:szCs w:val="24"/>
                <w:lang w:eastAsia="en-US"/>
              </w:rPr>
              <w:t></w:t>
            </w:r>
          </w:p>
          <w:p w:rsidR="00A92F1A" w:rsidRDefault="00B85754" w:rsidP="00B85754">
            <w:pPr>
              <w:pStyle w:val="TRNormal"/>
              <w:tabs>
                <w:tab w:val="left" w:pos="567"/>
              </w:tabs>
              <w:spacing w:line="240" w:lineRule="auto"/>
              <w:rPr>
                <w:sz w:val="22"/>
              </w:rPr>
            </w:pPr>
            <w:r>
              <w:rPr>
                <w:sz w:val="22"/>
              </w:rPr>
              <w:t>Economic efficiency</w:t>
            </w:r>
            <w:r w:rsidRPr="00A57E40">
              <w:rPr>
                <w:sz w:val="22"/>
              </w:rPr>
              <w:t xml:space="preserve"> </w:t>
            </w:r>
            <w:r w:rsidR="00872009" w:rsidRPr="00A57E40">
              <w:rPr>
                <w:rFonts w:ascii="Wingdings 2" w:eastAsiaTheme="minorHAnsi" w:hAnsi="Wingdings 2"/>
                <w:szCs w:val="24"/>
                <w:lang w:eastAsia="en-US"/>
              </w:rPr>
              <w:t></w:t>
            </w:r>
          </w:p>
          <w:p w:rsidR="0014479C" w:rsidRPr="00A57E40" w:rsidRDefault="00B85754" w:rsidP="00A92F1A">
            <w:pPr>
              <w:pStyle w:val="TRNormal"/>
              <w:tabs>
                <w:tab w:val="left" w:pos="567"/>
              </w:tabs>
              <w:spacing w:line="240" w:lineRule="auto"/>
              <w:rPr>
                <w:rFonts w:ascii="Wingdings 2" w:hAnsi="Wingdings 2"/>
                <w:sz w:val="22"/>
                <w:szCs w:val="24"/>
              </w:rPr>
            </w:pPr>
            <w:r>
              <w:rPr>
                <w:sz w:val="22"/>
              </w:rPr>
              <w:t>Efficiency of compliance and administration</w:t>
            </w:r>
            <w:r w:rsidRPr="00A57E40">
              <w:rPr>
                <w:sz w:val="22"/>
              </w:rPr>
              <w:t xml:space="preserve"> </w:t>
            </w:r>
            <w:r w:rsidR="00A92F1A" w:rsidRPr="00A57E40">
              <w:rPr>
                <w:rFonts w:ascii="Wingdings 2" w:eastAsiaTheme="minorHAnsi" w:hAnsi="Wingdings 2"/>
                <w:szCs w:val="24"/>
                <w:lang w:eastAsia="en-US"/>
              </w:rPr>
              <w:t></w:t>
            </w:r>
          </w:p>
        </w:tc>
      </w:tr>
      <w:tr w:rsidR="0014479C" w:rsidRPr="00A57E40" w:rsidTr="00E57EBE">
        <w:tc>
          <w:tcPr>
            <w:tcW w:w="4643" w:type="dxa"/>
          </w:tcPr>
          <w:p w:rsidR="0014479C" w:rsidRPr="00A57E40" w:rsidRDefault="00B85754" w:rsidP="007B6AFC">
            <w:pPr>
              <w:pStyle w:val="TRNormal"/>
              <w:tabs>
                <w:tab w:val="left" w:pos="567"/>
              </w:tabs>
              <w:spacing w:line="240" w:lineRule="auto"/>
              <w:rPr>
                <w:sz w:val="22"/>
              </w:rPr>
            </w:pPr>
            <w:r>
              <w:rPr>
                <w:sz w:val="22"/>
              </w:rPr>
              <w:t xml:space="preserve">Option 4 – </w:t>
            </w:r>
            <w:r w:rsidR="000A0549">
              <w:rPr>
                <w:sz w:val="22"/>
              </w:rPr>
              <w:t>Removing</w:t>
            </w:r>
            <w:r w:rsidR="007B6AFC">
              <w:rPr>
                <w:sz w:val="22"/>
              </w:rPr>
              <w:t xml:space="preserve"> requirement for bank account</w:t>
            </w:r>
            <w:r w:rsidR="007B6AFC" w:rsidDel="007B6AFC">
              <w:rPr>
                <w:sz w:val="22"/>
              </w:rPr>
              <w:t xml:space="preserve"> </w:t>
            </w:r>
          </w:p>
        </w:tc>
        <w:tc>
          <w:tcPr>
            <w:tcW w:w="4644" w:type="dxa"/>
          </w:tcPr>
          <w:p w:rsidR="0014479C" w:rsidRPr="00A57E40" w:rsidRDefault="0014479C" w:rsidP="00E57EBE">
            <w:pPr>
              <w:pStyle w:val="TRNormal"/>
              <w:tabs>
                <w:tab w:val="left" w:pos="567"/>
              </w:tabs>
              <w:spacing w:line="240" w:lineRule="auto"/>
              <w:rPr>
                <w:sz w:val="22"/>
              </w:rPr>
            </w:pPr>
            <w:r w:rsidRPr="00A57E40">
              <w:rPr>
                <w:sz w:val="22"/>
              </w:rPr>
              <w:t>Meets the main objective</w:t>
            </w:r>
          </w:p>
          <w:p w:rsidR="0014479C" w:rsidRPr="00A57E40" w:rsidRDefault="00E20D1F" w:rsidP="00E57EBE">
            <w:pPr>
              <w:pStyle w:val="TRNormal"/>
              <w:tabs>
                <w:tab w:val="left" w:pos="567"/>
              </w:tabs>
              <w:spacing w:line="240" w:lineRule="auto"/>
              <w:rPr>
                <w:sz w:val="22"/>
              </w:rPr>
            </w:pPr>
            <w:r>
              <w:rPr>
                <w:sz w:val="22"/>
              </w:rPr>
              <w:t xml:space="preserve">Robustness of identity checks </w:t>
            </w:r>
            <w:r w:rsidRPr="00A57E40">
              <w:rPr>
                <w:rFonts w:ascii="Wingdings 2" w:eastAsiaTheme="minorHAnsi" w:hAnsi="Wingdings 2"/>
                <w:szCs w:val="24"/>
                <w:lang w:eastAsia="en-US"/>
              </w:rPr>
              <w:t></w:t>
            </w:r>
            <w:r w:rsidRPr="00A57E40">
              <w:rPr>
                <w:rFonts w:ascii="Wingdings 2" w:eastAsiaTheme="minorHAnsi" w:hAnsi="Wingdings 2"/>
                <w:szCs w:val="24"/>
                <w:lang w:eastAsia="en-US"/>
              </w:rPr>
              <w:t></w:t>
            </w:r>
          </w:p>
          <w:p w:rsidR="00B85754" w:rsidRPr="00A57E40" w:rsidRDefault="00B85754" w:rsidP="00B85754">
            <w:pPr>
              <w:pStyle w:val="TRNormal"/>
              <w:tabs>
                <w:tab w:val="left" w:pos="567"/>
              </w:tabs>
              <w:spacing w:line="240" w:lineRule="auto"/>
              <w:rPr>
                <w:sz w:val="22"/>
              </w:rPr>
            </w:pPr>
            <w:r>
              <w:rPr>
                <w:sz w:val="22"/>
              </w:rPr>
              <w:t>Economic efficiency</w:t>
            </w:r>
            <w:r w:rsidRPr="00A57E40">
              <w:rPr>
                <w:sz w:val="22"/>
              </w:rPr>
              <w:t xml:space="preserve"> </w:t>
            </w:r>
            <w:r w:rsidR="00D75F6D" w:rsidRPr="00FB52C8">
              <w:rPr>
                <w:rFonts w:ascii="Wingdings 2" w:eastAsiaTheme="minorHAnsi" w:hAnsi="Wingdings 2"/>
                <w:szCs w:val="24"/>
                <w:lang w:eastAsia="en-US"/>
              </w:rPr>
              <w:t></w:t>
            </w:r>
            <w:r w:rsidR="00D75F6D" w:rsidRPr="00FB52C8">
              <w:rPr>
                <w:rFonts w:ascii="Wingdings 2" w:eastAsiaTheme="minorHAnsi" w:hAnsi="Wingdings 2"/>
                <w:szCs w:val="24"/>
                <w:lang w:eastAsia="en-US"/>
              </w:rPr>
              <w:t></w:t>
            </w:r>
          </w:p>
          <w:p w:rsidR="0014479C" w:rsidRPr="00A57E40" w:rsidRDefault="00B85754" w:rsidP="00D75F6D">
            <w:pPr>
              <w:pStyle w:val="TRNormal"/>
              <w:tabs>
                <w:tab w:val="left" w:pos="567"/>
              </w:tabs>
              <w:spacing w:line="240" w:lineRule="auto"/>
              <w:rPr>
                <w:sz w:val="22"/>
              </w:rPr>
            </w:pPr>
            <w:r>
              <w:rPr>
                <w:sz w:val="22"/>
              </w:rPr>
              <w:t>Efficiency of compliance and administration</w:t>
            </w:r>
            <w:r w:rsidRPr="00A57E40">
              <w:rPr>
                <w:sz w:val="22"/>
              </w:rPr>
              <w:t xml:space="preserve"> </w:t>
            </w:r>
            <w:r w:rsidR="00D75F6D" w:rsidRPr="00FB52C8">
              <w:rPr>
                <w:rFonts w:ascii="Wingdings 2" w:eastAsiaTheme="minorHAnsi" w:hAnsi="Wingdings 2"/>
                <w:szCs w:val="24"/>
                <w:lang w:eastAsia="en-US"/>
              </w:rPr>
              <w:t></w:t>
            </w:r>
            <w:r w:rsidR="00D75F6D" w:rsidRPr="00FB52C8">
              <w:rPr>
                <w:rFonts w:ascii="Wingdings 2" w:eastAsiaTheme="minorHAnsi" w:hAnsi="Wingdings 2"/>
                <w:szCs w:val="24"/>
                <w:lang w:eastAsia="en-US"/>
              </w:rPr>
              <w:t></w:t>
            </w:r>
          </w:p>
        </w:tc>
      </w:tr>
    </w:tbl>
    <w:p w:rsidR="00D943DD" w:rsidRDefault="00D943DD" w:rsidP="004342F0">
      <w:pPr>
        <w:pStyle w:val="spacer"/>
        <w:rPr>
          <w:rFonts w:ascii="Times New Roman" w:hAnsi="Times New Roman"/>
          <w:sz w:val="24"/>
          <w:szCs w:val="24"/>
          <w:lang w:val="en-AU"/>
        </w:rPr>
      </w:pPr>
    </w:p>
    <w:p w:rsidR="00B85754" w:rsidRPr="00B85754" w:rsidRDefault="00D75F6D" w:rsidP="0031757C">
      <w:pPr>
        <w:pStyle w:val="Bullet-list"/>
        <w:numPr>
          <w:ilvl w:val="0"/>
          <w:numId w:val="3"/>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Two </w:t>
      </w:r>
      <w:r w:rsidR="00B85754">
        <w:rPr>
          <w:rFonts w:ascii="Times New Roman" w:hAnsi="Times New Roman"/>
          <w:sz w:val="24"/>
          <w:szCs w:val="24"/>
        </w:rPr>
        <w:t>options meet the main objective</w:t>
      </w:r>
      <w:r w:rsidR="0031757C">
        <w:rPr>
          <w:rFonts w:ascii="Times New Roman" w:hAnsi="Times New Roman"/>
          <w:sz w:val="24"/>
          <w:szCs w:val="24"/>
        </w:rPr>
        <w:t xml:space="preserve"> (Options 2 and 4)</w:t>
      </w:r>
      <w:r>
        <w:rPr>
          <w:rFonts w:ascii="Times New Roman" w:hAnsi="Times New Roman"/>
          <w:sz w:val="24"/>
          <w:szCs w:val="24"/>
        </w:rPr>
        <w:t>, and two do not</w:t>
      </w:r>
      <w:r w:rsidR="0031757C">
        <w:rPr>
          <w:rFonts w:ascii="Times New Roman" w:hAnsi="Times New Roman"/>
          <w:sz w:val="24"/>
          <w:szCs w:val="24"/>
        </w:rPr>
        <w:t xml:space="preserve"> (Options 1 and 3)</w:t>
      </w:r>
      <w:r>
        <w:rPr>
          <w:rFonts w:ascii="Times New Roman" w:hAnsi="Times New Roman"/>
          <w:sz w:val="24"/>
          <w:szCs w:val="24"/>
        </w:rPr>
        <w:t>.</w:t>
      </w:r>
      <w:r w:rsidR="00B85754">
        <w:rPr>
          <w:rFonts w:ascii="Times New Roman" w:hAnsi="Times New Roman"/>
          <w:sz w:val="24"/>
          <w:szCs w:val="24"/>
        </w:rPr>
        <w:t xml:space="preserve"> </w:t>
      </w:r>
      <w:r>
        <w:rPr>
          <w:rFonts w:ascii="Times New Roman" w:hAnsi="Times New Roman"/>
          <w:sz w:val="24"/>
          <w:szCs w:val="24"/>
        </w:rPr>
        <w:t>O</w:t>
      </w:r>
      <w:r w:rsidR="00B85754">
        <w:rPr>
          <w:rFonts w:ascii="Times New Roman" w:hAnsi="Times New Roman"/>
          <w:sz w:val="24"/>
          <w:szCs w:val="24"/>
        </w:rPr>
        <w:t>ption</w:t>
      </w:r>
      <w:r>
        <w:rPr>
          <w:rFonts w:ascii="Times New Roman" w:hAnsi="Times New Roman"/>
          <w:sz w:val="24"/>
          <w:szCs w:val="24"/>
        </w:rPr>
        <w:t xml:space="preserve"> 2 </w:t>
      </w:r>
      <w:r w:rsidR="00B85754">
        <w:rPr>
          <w:rFonts w:ascii="Times New Roman" w:hAnsi="Times New Roman"/>
          <w:sz w:val="24"/>
          <w:szCs w:val="24"/>
        </w:rPr>
        <w:t>is</w:t>
      </w:r>
      <w:r>
        <w:rPr>
          <w:rFonts w:ascii="Times New Roman" w:hAnsi="Times New Roman"/>
          <w:sz w:val="24"/>
          <w:szCs w:val="24"/>
        </w:rPr>
        <w:t xml:space="preserve"> better than Option 4 because the robustness of identity checks is better maintained under Option</w:t>
      </w:r>
      <w:r w:rsidR="001F07F4">
        <w:rPr>
          <w:rFonts w:ascii="Times New Roman" w:hAnsi="Times New Roman"/>
          <w:sz w:val="24"/>
          <w:szCs w:val="24"/>
        </w:rPr>
        <w:t xml:space="preserve"> </w:t>
      </w:r>
      <w:r>
        <w:rPr>
          <w:rFonts w:ascii="Times New Roman" w:hAnsi="Times New Roman"/>
          <w:sz w:val="24"/>
          <w:szCs w:val="24"/>
        </w:rPr>
        <w:t>2. O</w:t>
      </w:r>
      <w:r w:rsidR="00B85754">
        <w:rPr>
          <w:rFonts w:ascii="Times New Roman" w:hAnsi="Times New Roman"/>
          <w:sz w:val="24"/>
          <w:szCs w:val="24"/>
        </w:rPr>
        <w:t xml:space="preserve">fficials </w:t>
      </w:r>
      <w:r>
        <w:rPr>
          <w:rFonts w:ascii="Times New Roman" w:hAnsi="Times New Roman"/>
          <w:sz w:val="24"/>
          <w:szCs w:val="24"/>
        </w:rPr>
        <w:t>therefore</w:t>
      </w:r>
      <w:r w:rsidR="001638CB">
        <w:rPr>
          <w:rFonts w:ascii="Times New Roman" w:hAnsi="Times New Roman"/>
          <w:sz w:val="24"/>
          <w:szCs w:val="24"/>
        </w:rPr>
        <w:t>, on balance,</w:t>
      </w:r>
      <w:r>
        <w:rPr>
          <w:rFonts w:ascii="Times New Roman" w:hAnsi="Times New Roman"/>
          <w:sz w:val="24"/>
          <w:szCs w:val="24"/>
        </w:rPr>
        <w:t xml:space="preserve"> </w:t>
      </w:r>
      <w:r w:rsidR="00B85754">
        <w:rPr>
          <w:rFonts w:ascii="Times New Roman" w:hAnsi="Times New Roman"/>
          <w:sz w:val="24"/>
          <w:szCs w:val="24"/>
        </w:rPr>
        <w:t xml:space="preserve">recommend </w:t>
      </w:r>
      <w:r w:rsidR="001F07F4">
        <w:rPr>
          <w:rFonts w:ascii="Times New Roman" w:hAnsi="Times New Roman"/>
          <w:sz w:val="24"/>
          <w:szCs w:val="24"/>
        </w:rPr>
        <w:t>O</w:t>
      </w:r>
      <w:r w:rsidR="00B85754">
        <w:rPr>
          <w:rFonts w:ascii="Times New Roman" w:hAnsi="Times New Roman"/>
          <w:sz w:val="24"/>
          <w:szCs w:val="24"/>
        </w:rPr>
        <w:t>ption 2.</w:t>
      </w:r>
    </w:p>
    <w:p w:rsidR="00B85754" w:rsidRPr="00B85754" w:rsidRDefault="00B85754" w:rsidP="0031757C">
      <w:pPr>
        <w:pStyle w:val="Bullet-list"/>
        <w:spacing w:after="0" w:line="240" w:lineRule="auto"/>
        <w:ind w:left="0" w:firstLine="0"/>
        <w:jc w:val="both"/>
        <w:rPr>
          <w:rFonts w:ascii="Times New Roman" w:hAnsi="Times New Roman"/>
          <w:b/>
          <w:sz w:val="24"/>
          <w:szCs w:val="24"/>
        </w:rPr>
      </w:pPr>
    </w:p>
    <w:p w:rsidR="00D75F6D" w:rsidRDefault="00B85754" w:rsidP="0031757C">
      <w:pPr>
        <w:pStyle w:val="Bullet-list"/>
        <w:numPr>
          <w:ilvl w:val="0"/>
          <w:numId w:val="3"/>
        </w:numPr>
        <w:spacing w:after="0" w:line="240" w:lineRule="auto"/>
        <w:ind w:left="0" w:firstLine="0"/>
        <w:jc w:val="both"/>
        <w:rPr>
          <w:rFonts w:ascii="Times New Roman" w:hAnsi="Times New Roman"/>
          <w:sz w:val="24"/>
          <w:szCs w:val="24"/>
        </w:rPr>
      </w:pPr>
      <w:r w:rsidRPr="00D75F6D">
        <w:rPr>
          <w:rFonts w:ascii="Times New Roman" w:hAnsi="Times New Roman"/>
          <w:sz w:val="24"/>
          <w:szCs w:val="24"/>
        </w:rPr>
        <w:t>Since the introduction of the status quo officials have been made aware that the bank account requirement is making it difficult for people to comply with their New Zealand tax obligations</w:t>
      </w:r>
      <w:r w:rsidR="00D75F6D" w:rsidRPr="00D75F6D">
        <w:rPr>
          <w:rFonts w:ascii="Times New Roman" w:hAnsi="Times New Roman"/>
          <w:sz w:val="24"/>
          <w:szCs w:val="24"/>
        </w:rPr>
        <w:t>.</w:t>
      </w:r>
      <w:r w:rsidRPr="00D75F6D">
        <w:rPr>
          <w:rFonts w:ascii="Times New Roman" w:hAnsi="Times New Roman"/>
          <w:sz w:val="24"/>
          <w:szCs w:val="24"/>
        </w:rPr>
        <w:t xml:space="preserve"> </w:t>
      </w:r>
      <w:r w:rsidR="00D75F6D" w:rsidRPr="00D75F6D">
        <w:rPr>
          <w:rFonts w:ascii="Times New Roman" w:hAnsi="Times New Roman"/>
          <w:sz w:val="24"/>
          <w:szCs w:val="24"/>
        </w:rPr>
        <w:t xml:space="preserve">Option 2 </w:t>
      </w:r>
      <w:r w:rsidRPr="00D75F6D">
        <w:rPr>
          <w:rFonts w:ascii="Times New Roman" w:hAnsi="Times New Roman"/>
          <w:sz w:val="24"/>
          <w:szCs w:val="24"/>
        </w:rPr>
        <w:t xml:space="preserve">will </w:t>
      </w:r>
      <w:r w:rsidR="00910F27" w:rsidRPr="00D75F6D">
        <w:rPr>
          <w:rFonts w:ascii="Times New Roman" w:hAnsi="Times New Roman"/>
          <w:sz w:val="24"/>
          <w:szCs w:val="24"/>
        </w:rPr>
        <w:t>re</w:t>
      </w:r>
      <w:r w:rsidR="00D75F6D" w:rsidRPr="00D75F6D">
        <w:rPr>
          <w:rFonts w:ascii="Times New Roman" w:hAnsi="Times New Roman"/>
          <w:sz w:val="24"/>
          <w:szCs w:val="24"/>
        </w:rPr>
        <w:t>duce</w:t>
      </w:r>
      <w:r w:rsidR="00910F27" w:rsidRPr="00D75F6D">
        <w:rPr>
          <w:rFonts w:ascii="Times New Roman" w:hAnsi="Times New Roman"/>
          <w:sz w:val="24"/>
          <w:szCs w:val="24"/>
        </w:rPr>
        <w:t xml:space="preserve"> these costs </w:t>
      </w:r>
      <w:r w:rsidR="00D75F6D" w:rsidRPr="00D75F6D">
        <w:rPr>
          <w:rFonts w:ascii="Times New Roman" w:hAnsi="Times New Roman"/>
          <w:sz w:val="24"/>
          <w:szCs w:val="24"/>
        </w:rPr>
        <w:t>while also allowing for the robustness of the identity checks to be maintained</w:t>
      </w:r>
      <w:r w:rsidR="00A92F1A">
        <w:rPr>
          <w:rFonts w:ascii="Times New Roman" w:hAnsi="Times New Roman"/>
          <w:sz w:val="24"/>
          <w:szCs w:val="24"/>
        </w:rPr>
        <w:t>.</w:t>
      </w:r>
      <w:r w:rsidR="00D75F6D" w:rsidRPr="00D75F6D">
        <w:rPr>
          <w:rFonts w:ascii="Times New Roman" w:hAnsi="Times New Roman"/>
          <w:sz w:val="24"/>
          <w:szCs w:val="24"/>
        </w:rPr>
        <w:t xml:space="preserve"> </w:t>
      </w:r>
    </w:p>
    <w:p w:rsidR="00910F27" w:rsidRPr="00D75F6D" w:rsidRDefault="00910F27" w:rsidP="0031757C">
      <w:pPr>
        <w:pStyle w:val="Bullet-list"/>
        <w:spacing w:after="0" w:line="240" w:lineRule="auto"/>
        <w:ind w:left="0" w:firstLine="0"/>
        <w:jc w:val="both"/>
        <w:rPr>
          <w:rFonts w:ascii="Times New Roman" w:hAnsi="Times New Roman"/>
          <w:sz w:val="24"/>
          <w:szCs w:val="24"/>
        </w:rPr>
      </w:pPr>
    </w:p>
    <w:p w:rsidR="00910F27" w:rsidRDefault="00910F27" w:rsidP="0031757C">
      <w:pPr>
        <w:pStyle w:val="Bullet-lis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3 is not preferred.  Although it will improve the situation for </w:t>
      </w:r>
      <w:r w:rsidR="00D75F6D">
        <w:rPr>
          <w:rFonts w:ascii="Times New Roman" w:hAnsi="Times New Roman"/>
          <w:sz w:val="24"/>
          <w:szCs w:val="24"/>
        </w:rPr>
        <w:t xml:space="preserve">some </w:t>
      </w:r>
      <w:r>
        <w:rPr>
          <w:rFonts w:ascii="Times New Roman" w:hAnsi="Times New Roman"/>
          <w:sz w:val="24"/>
          <w:szCs w:val="24"/>
        </w:rPr>
        <w:t>offshore persons who cannot open a New Zealand bank account</w:t>
      </w:r>
      <w:r w:rsidR="00D75F6D">
        <w:rPr>
          <w:rFonts w:ascii="Times New Roman" w:hAnsi="Times New Roman"/>
          <w:sz w:val="24"/>
          <w:szCs w:val="24"/>
        </w:rPr>
        <w:t>, the exceptions process is lengthy and is not suited for offshore persons who need an IRD number urgently.</w:t>
      </w:r>
      <w:r>
        <w:rPr>
          <w:rFonts w:ascii="Times New Roman" w:hAnsi="Times New Roman"/>
          <w:sz w:val="24"/>
          <w:szCs w:val="24"/>
        </w:rPr>
        <w:t xml:space="preserve"> </w:t>
      </w:r>
      <w:r w:rsidR="00D75F6D">
        <w:rPr>
          <w:rFonts w:ascii="Times New Roman" w:hAnsi="Times New Roman"/>
          <w:sz w:val="24"/>
          <w:szCs w:val="24"/>
        </w:rPr>
        <w:t xml:space="preserve">It </w:t>
      </w:r>
      <w:r>
        <w:rPr>
          <w:rFonts w:ascii="Times New Roman" w:hAnsi="Times New Roman"/>
          <w:sz w:val="24"/>
          <w:szCs w:val="24"/>
        </w:rPr>
        <w:t xml:space="preserve">will </w:t>
      </w:r>
      <w:r w:rsidR="00D75F6D">
        <w:rPr>
          <w:rFonts w:ascii="Times New Roman" w:hAnsi="Times New Roman"/>
          <w:sz w:val="24"/>
          <w:szCs w:val="24"/>
        </w:rPr>
        <w:t xml:space="preserve">also </w:t>
      </w:r>
      <w:r>
        <w:rPr>
          <w:rFonts w:ascii="Times New Roman" w:hAnsi="Times New Roman"/>
          <w:sz w:val="24"/>
          <w:szCs w:val="24"/>
        </w:rPr>
        <w:t>not resolve the issue for offshore persons who</w:t>
      </w:r>
      <w:r w:rsidR="002C3B96">
        <w:rPr>
          <w:rFonts w:ascii="Times New Roman" w:hAnsi="Times New Roman"/>
          <w:sz w:val="24"/>
          <w:szCs w:val="24"/>
        </w:rPr>
        <w:t xml:space="preserve"> do not qualify for an exception</w:t>
      </w:r>
      <w:r>
        <w:rPr>
          <w:rFonts w:ascii="Times New Roman" w:hAnsi="Times New Roman"/>
          <w:sz w:val="24"/>
          <w:szCs w:val="24"/>
        </w:rPr>
        <w:t>.</w:t>
      </w:r>
    </w:p>
    <w:p w:rsidR="00910F27" w:rsidRDefault="00910F27" w:rsidP="0031757C">
      <w:pPr>
        <w:pStyle w:val="ListParagraph"/>
        <w:rPr>
          <w:rFonts w:ascii="Times New Roman" w:hAnsi="Times New Roman"/>
          <w:sz w:val="24"/>
          <w:szCs w:val="24"/>
        </w:rPr>
      </w:pPr>
    </w:p>
    <w:p w:rsidR="00910F27" w:rsidRPr="00B85754" w:rsidRDefault="001638CB" w:rsidP="0031757C">
      <w:pPr>
        <w:pStyle w:val="Bullet-lis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Although </w:t>
      </w:r>
      <w:r w:rsidR="00910F27">
        <w:rPr>
          <w:rFonts w:ascii="Times New Roman" w:hAnsi="Times New Roman"/>
          <w:sz w:val="24"/>
          <w:szCs w:val="24"/>
        </w:rPr>
        <w:t xml:space="preserve">Option 4 </w:t>
      </w:r>
      <w:r>
        <w:rPr>
          <w:rFonts w:ascii="Times New Roman" w:hAnsi="Times New Roman"/>
          <w:sz w:val="24"/>
          <w:szCs w:val="24"/>
        </w:rPr>
        <w:t xml:space="preserve">rates higher than other options on the efficiency criteria, it </w:t>
      </w:r>
      <w:r w:rsidR="00910F27">
        <w:rPr>
          <w:rFonts w:ascii="Times New Roman" w:hAnsi="Times New Roman"/>
          <w:sz w:val="24"/>
          <w:szCs w:val="24"/>
        </w:rPr>
        <w:t xml:space="preserve">is not preferred </w:t>
      </w:r>
      <w:r>
        <w:rPr>
          <w:rFonts w:ascii="Times New Roman" w:hAnsi="Times New Roman"/>
          <w:sz w:val="24"/>
          <w:szCs w:val="24"/>
        </w:rPr>
        <w:t xml:space="preserve">at this time </w:t>
      </w:r>
      <w:r w:rsidR="00910F27">
        <w:rPr>
          <w:rFonts w:ascii="Times New Roman" w:hAnsi="Times New Roman"/>
          <w:sz w:val="24"/>
          <w:szCs w:val="24"/>
        </w:rPr>
        <w:t xml:space="preserve">as </w:t>
      </w:r>
      <w:r w:rsidR="000F0136">
        <w:rPr>
          <w:rFonts w:ascii="Times New Roman" w:hAnsi="Times New Roman"/>
          <w:sz w:val="24"/>
          <w:szCs w:val="24"/>
        </w:rPr>
        <w:t>the robustness of id</w:t>
      </w:r>
      <w:r>
        <w:rPr>
          <w:rFonts w:ascii="Times New Roman" w:hAnsi="Times New Roman"/>
          <w:sz w:val="24"/>
          <w:szCs w:val="24"/>
        </w:rPr>
        <w:t>entity checks will be reduced</w:t>
      </w:r>
      <w:r w:rsidR="000F0136">
        <w:rPr>
          <w:rFonts w:ascii="Times New Roman" w:hAnsi="Times New Roman"/>
          <w:sz w:val="24"/>
          <w:szCs w:val="24"/>
        </w:rPr>
        <w:t>.</w:t>
      </w:r>
      <w:r>
        <w:rPr>
          <w:rFonts w:ascii="Times New Roman" w:hAnsi="Times New Roman"/>
          <w:sz w:val="24"/>
          <w:szCs w:val="24"/>
        </w:rPr>
        <w:t xml:space="preserve"> However, as indicated in the </w:t>
      </w:r>
      <w:r w:rsidRPr="001638CB">
        <w:rPr>
          <w:rFonts w:ascii="Times New Roman" w:hAnsi="Times New Roman"/>
          <w:i/>
          <w:sz w:val="24"/>
          <w:szCs w:val="24"/>
        </w:rPr>
        <w:t>Monitoring, Evaluation and Review</w:t>
      </w:r>
      <w:r>
        <w:rPr>
          <w:rFonts w:ascii="Times New Roman" w:hAnsi="Times New Roman"/>
          <w:sz w:val="24"/>
          <w:szCs w:val="24"/>
        </w:rPr>
        <w:t xml:space="preserve"> section of this RIS, once the second phase of the AML legislation is implemented</w:t>
      </w:r>
      <w:r w:rsidR="000F0136">
        <w:rPr>
          <w:rFonts w:ascii="Times New Roman" w:hAnsi="Times New Roman"/>
          <w:sz w:val="24"/>
          <w:szCs w:val="24"/>
        </w:rPr>
        <w:t xml:space="preserve"> </w:t>
      </w:r>
      <w:r>
        <w:rPr>
          <w:rFonts w:ascii="Times New Roman" w:hAnsi="Times New Roman"/>
          <w:sz w:val="24"/>
          <w:szCs w:val="24"/>
        </w:rPr>
        <w:t>officials will seek approval to review the bank account requirement again. Such a review may result in a recommendation to remove the bank account requirement.</w:t>
      </w:r>
    </w:p>
    <w:p w:rsidR="00B85754" w:rsidRPr="004342F0" w:rsidRDefault="00B85754" w:rsidP="0031757C">
      <w:pPr>
        <w:pStyle w:val="spacer"/>
        <w:jc w:val="both"/>
        <w:rPr>
          <w:rFonts w:ascii="Times New Roman" w:hAnsi="Times New Roman"/>
          <w:sz w:val="24"/>
          <w:szCs w:val="24"/>
          <w:lang w:val="en-AU"/>
        </w:rPr>
      </w:pPr>
    </w:p>
    <w:p w:rsidR="000545DC" w:rsidRPr="004342F0" w:rsidRDefault="00D943DD" w:rsidP="0031757C">
      <w:pPr>
        <w:pStyle w:val="RISheading"/>
        <w:jc w:val="both"/>
        <w:rPr>
          <w:spacing w:val="0"/>
          <w:w w:val="100"/>
        </w:rPr>
      </w:pPr>
      <w:r w:rsidRPr="004342F0">
        <w:rPr>
          <w:spacing w:val="0"/>
          <w:w w:val="100"/>
        </w:rPr>
        <w:t>IMPLEMENTATION</w:t>
      </w:r>
      <w:bookmarkEnd w:id="35"/>
      <w:bookmarkEnd w:id="36"/>
      <w:bookmarkEnd w:id="37"/>
      <w:bookmarkEnd w:id="38"/>
      <w:bookmarkEnd w:id="39"/>
      <w:r w:rsidRPr="004342F0">
        <w:rPr>
          <w:spacing w:val="0"/>
          <w:w w:val="100"/>
        </w:rPr>
        <w:t xml:space="preserve"> </w:t>
      </w:r>
    </w:p>
    <w:p w:rsidR="00D1495C" w:rsidRPr="00D1495C" w:rsidRDefault="00D1495C" w:rsidP="0031757C">
      <w:pPr>
        <w:pStyle w:val="Bullet-lis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Changes to </w:t>
      </w:r>
      <w:r w:rsidR="00595852">
        <w:rPr>
          <w:rFonts w:ascii="Times New Roman" w:hAnsi="Times New Roman"/>
          <w:sz w:val="24"/>
          <w:szCs w:val="24"/>
        </w:rPr>
        <w:t>provide the Commissioner with discretion</w:t>
      </w:r>
      <w:r w:rsidR="000F0136">
        <w:rPr>
          <w:rFonts w:ascii="Times New Roman" w:hAnsi="Times New Roman"/>
          <w:sz w:val="24"/>
          <w:szCs w:val="24"/>
        </w:rPr>
        <w:t xml:space="preserve"> to issue IRD numbers where she is satisfied with the identity of the offshore person </w:t>
      </w:r>
      <w:r>
        <w:rPr>
          <w:rFonts w:ascii="Times New Roman" w:hAnsi="Times New Roman"/>
          <w:sz w:val="24"/>
          <w:szCs w:val="24"/>
        </w:rPr>
        <w:t>would require an amendment to the Tax Administration Act 1994.  This amendment would be included in the next available omnibus tax bill, scheduled for introduction in early 2017.  This change would apply from the date of enactment of that bill.</w:t>
      </w:r>
    </w:p>
    <w:p w:rsidR="00D1495C" w:rsidRDefault="00D1495C" w:rsidP="0031757C">
      <w:pPr>
        <w:pStyle w:val="Bullet-list"/>
        <w:spacing w:after="0" w:line="240" w:lineRule="auto"/>
        <w:ind w:left="0" w:firstLine="0"/>
        <w:jc w:val="both"/>
        <w:rPr>
          <w:rFonts w:ascii="Times New Roman" w:hAnsi="Times New Roman"/>
          <w:sz w:val="24"/>
          <w:szCs w:val="24"/>
        </w:rPr>
      </w:pPr>
    </w:p>
    <w:p w:rsidR="000F0136" w:rsidRDefault="00D1495C" w:rsidP="0031757C">
      <w:pPr>
        <w:pStyle w:val="Bullet-list"/>
        <w:numPr>
          <w:ilvl w:val="0"/>
          <w:numId w:val="3"/>
        </w:numPr>
        <w:spacing w:after="0" w:line="240" w:lineRule="auto"/>
        <w:ind w:left="0" w:firstLine="0"/>
        <w:jc w:val="both"/>
        <w:rPr>
          <w:rFonts w:ascii="Times New Roman" w:hAnsi="Times New Roman"/>
          <w:sz w:val="24"/>
          <w:szCs w:val="24"/>
        </w:rPr>
      </w:pPr>
      <w:r w:rsidRPr="000F0136">
        <w:rPr>
          <w:rFonts w:ascii="Times New Roman" w:hAnsi="Times New Roman"/>
          <w:sz w:val="24"/>
          <w:szCs w:val="24"/>
        </w:rPr>
        <w:t>This change would reduce compliance costs for offshore persons</w:t>
      </w:r>
      <w:r w:rsidR="00B473A3" w:rsidRPr="000F0136">
        <w:rPr>
          <w:rFonts w:ascii="Times New Roman" w:hAnsi="Times New Roman"/>
          <w:sz w:val="24"/>
          <w:szCs w:val="24"/>
        </w:rPr>
        <w:t xml:space="preserve">.  </w:t>
      </w:r>
      <w:r w:rsidR="000F0136">
        <w:rPr>
          <w:rFonts w:ascii="Times New Roman" w:hAnsi="Times New Roman"/>
          <w:sz w:val="24"/>
          <w:szCs w:val="24"/>
        </w:rPr>
        <w:t xml:space="preserve">It may </w:t>
      </w:r>
      <w:r w:rsidR="001F07F4">
        <w:rPr>
          <w:rFonts w:ascii="Times New Roman" w:hAnsi="Times New Roman"/>
          <w:sz w:val="24"/>
          <w:szCs w:val="24"/>
        </w:rPr>
        <w:t xml:space="preserve">increase </w:t>
      </w:r>
      <w:r w:rsidR="000F0136">
        <w:rPr>
          <w:rFonts w:ascii="Times New Roman" w:hAnsi="Times New Roman"/>
          <w:sz w:val="24"/>
          <w:szCs w:val="24"/>
        </w:rPr>
        <w:t>administrative costs</w:t>
      </w:r>
      <w:r w:rsidR="001F07F4">
        <w:rPr>
          <w:rFonts w:ascii="Times New Roman" w:hAnsi="Times New Roman"/>
          <w:sz w:val="24"/>
          <w:szCs w:val="24"/>
        </w:rPr>
        <w:t>. These costs are not expected to be significant.</w:t>
      </w:r>
    </w:p>
    <w:p w:rsidR="00B473A3" w:rsidRPr="000F0136" w:rsidRDefault="00B473A3" w:rsidP="0031757C">
      <w:pPr>
        <w:pStyle w:val="Bullet-list"/>
        <w:spacing w:after="0" w:line="240" w:lineRule="auto"/>
        <w:ind w:left="0" w:firstLine="0"/>
        <w:jc w:val="both"/>
        <w:rPr>
          <w:rFonts w:ascii="Times New Roman" w:hAnsi="Times New Roman"/>
          <w:sz w:val="24"/>
          <w:szCs w:val="24"/>
        </w:rPr>
      </w:pPr>
    </w:p>
    <w:p w:rsidR="00B473A3" w:rsidRPr="004342F0" w:rsidRDefault="00B473A3" w:rsidP="0031757C">
      <w:pPr>
        <w:pStyle w:val="Bullet-lis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bill commentary and a </w:t>
      </w:r>
      <w:r>
        <w:rPr>
          <w:rFonts w:ascii="Times New Roman" w:hAnsi="Times New Roman"/>
          <w:i/>
          <w:sz w:val="24"/>
          <w:szCs w:val="24"/>
        </w:rPr>
        <w:t xml:space="preserve">Tax Information Bulletin </w:t>
      </w:r>
      <w:r w:rsidR="00595852">
        <w:rPr>
          <w:rFonts w:ascii="Times New Roman" w:hAnsi="Times New Roman"/>
          <w:sz w:val="24"/>
          <w:szCs w:val="24"/>
        </w:rPr>
        <w:t xml:space="preserve">article after </w:t>
      </w:r>
      <w:r>
        <w:rPr>
          <w:rFonts w:ascii="Times New Roman" w:hAnsi="Times New Roman"/>
          <w:sz w:val="24"/>
          <w:szCs w:val="24"/>
        </w:rPr>
        <w:t>enactment will explain the changes.</w:t>
      </w:r>
    </w:p>
    <w:p w:rsidR="00D943DD" w:rsidRPr="004342F0" w:rsidRDefault="00D943DD" w:rsidP="0031757C">
      <w:pPr>
        <w:pStyle w:val="spacer"/>
        <w:jc w:val="both"/>
        <w:rPr>
          <w:rFonts w:ascii="Times New Roman" w:hAnsi="Times New Roman"/>
          <w:sz w:val="24"/>
          <w:szCs w:val="24"/>
          <w:lang w:val="en-AU"/>
        </w:rPr>
      </w:pPr>
      <w:bookmarkStart w:id="40" w:name="_Toc244580369"/>
      <w:bookmarkStart w:id="41" w:name="_Toc244587045"/>
      <w:bookmarkStart w:id="42" w:name="_Toc244857279"/>
      <w:bookmarkStart w:id="43" w:name="_Toc244912544"/>
      <w:bookmarkStart w:id="44" w:name="_Toc244917001"/>
    </w:p>
    <w:p w:rsidR="000545DC" w:rsidRPr="004342F0" w:rsidRDefault="00D943DD" w:rsidP="0031757C">
      <w:pPr>
        <w:pStyle w:val="RISheading"/>
        <w:jc w:val="both"/>
        <w:rPr>
          <w:spacing w:val="0"/>
          <w:w w:val="100"/>
        </w:rPr>
      </w:pPr>
      <w:r w:rsidRPr="004342F0">
        <w:rPr>
          <w:spacing w:val="0"/>
          <w:w w:val="100"/>
        </w:rPr>
        <w:t>MONITORING, EVALUATION AND REVIEW</w:t>
      </w:r>
      <w:bookmarkEnd w:id="40"/>
      <w:bookmarkEnd w:id="41"/>
      <w:bookmarkEnd w:id="42"/>
      <w:bookmarkEnd w:id="43"/>
      <w:bookmarkEnd w:id="44"/>
    </w:p>
    <w:p w:rsidR="002C3B96" w:rsidRDefault="00B473A3" w:rsidP="0031757C">
      <w:pPr>
        <w:pStyle w:val="Bullet-lis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In general, any changes identified as necessary following enactment would be added to the tax policy work programme, and proposals would go through the Generic Tax Policy Process (GTPP).  The GTPP is a multi-stage process that has been used to design tax policy (and subsequently social policy administered by Inland Revenue) in New Zealand since 1995.  Opportunities for external consultation are built into various stages of the process.  In practice, any changes identified as necessary following enactment will be considered for inclusion in the tax policy work programme, and proposals would go through the GTPP.</w:t>
      </w:r>
    </w:p>
    <w:p w:rsidR="002C3B96" w:rsidRDefault="002C3B96" w:rsidP="0031757C">
      <w:pPr>
        <w:pStyle w:val="Bullet-list"/>
        <w:spacing w:after="0" w:line="240" w:lineRule="auto"/>
        <w:jc w:val="both"/>
        <w:rPr>
          <w:rFonts w:ascii="Times New Roman" w:hAnsi="Times New Roman"/>
          <w:sz w:val="24"/>
          <w:szCs w:val="24"/>
        </w:rPr>
      </w:pPr>
    </w:p>
    <w:p w:rsidR="002C3B96" w:rsidRDefault="002C3B96" w:rsidP="0031757C">
      <w:pPr>
        <w:pStyle w:val="Bullet-list"/>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w:t>
      </w:r>
      <w:r w:rsidR="00595852">
        <w:rPr>
          <w:rFonts w:ascii="Times New Roman" w:hAnsi="Times New Roman"/>
          <w:sz w:val="24"/>
          <w:szCs w:val="24"/>
        </w:rPr>
        <w:t xml:space="preserve">scheduled </w:t>
      </w:r>
      <w:r>
        <w:rPr>
          <w:rFonts w:ascii="Times New Roman" w:hAnsi="Times New Roman"/>
          <w:sz w:val="24"/>
          <w:szCs w:val="24"/>
        </w:rPr>
        <w:t>Anti-Money Laundering and Countering of Financing of Terrorism Amendment Bill, promoted by the Minister of Justice, will extend customer due diligence obligations to a wider range of professionals. This is also known as the second phase of AML legislation. It is anticipated that there will be a lead-in period before the amendments are fully implemented, with professionals such as lawyers, conveyancers, accountants, real estate agents, and dealers in some high value goods becoming registered entities on a rolled-out basis by 2020.</w:t>
      </w:r>
    </w:p>
    <w:p w:rsidR="002C3B96" w:rsidRDefault="002C3B96" w:rsidP="0031757C">
      <w:pPr>
        <w:pStyle w:val="ListParagraph"/>
        <w:rPr>
          <w:rFonts w:ascii="Times New Roman" w:hAnsi="Times New Roman"/>
          <w:sz w:val="24"/>
          <w:szCs w:val="24"/>
        </w:rPr>
      </w:pPr>
    </w:p>
    <w:p w:rsidR="00E909D5" w:rsidRPr="00595852" w:rsidRDefault="002C3B96" w:rsidP="0031757C">
      <w:pPr>
        <w:pStyle w:val="Bullet-list"/>
        <w:numPr>
          <w:ilvl w:val="0"/>
          <w:numId w:val="3"/>
        </w:numPr>
        <w:spacing w:after="0" w:line="240" w:lineRule="auto"/>
        <w:ind w:left="0" w:firstLine="0"/>
        <w:jc w:val="both"/>
        <w:rPr>
          <w:rFonts w:ascii="Times New Roman" w:hAnsi="Times New Roman"/>
          <w:sz w:val="24"/>
          <w:szCs w:val="24"/>
        </w:rPr>
      </w:pPr>
      <w:r w:rsidRPr="00331243">
        <w:rPr>
          <w:rFonts w:ascii="Times New Roman" w:hAnsi="Times New Roman"/>
          <w:sz w:val="24"/>
          <w:szCs w:val="24"/>
        </w:rPr>
        <w:t>Following the enactment and the implementation of the scheduled Anti-Money Laundering and Countering of Financing of Terrorism Amendment Bill by 2020, officials will</w:t>
      </w:r>
      <w:r w:rsidR="00595852">
        <w:rPr>
          <w:rFonts w:ascii="Times New Roman" w:hAnsi="Times New Roman"/>
          <w:sz w:val="24"/>
          <w:szCs w:val="24"/>
        </w:rPr>
        <w:t xml:space="preserve"> seek approval to</w:t>
      </w:r>
      <w:r w:rsidRPr="00595852">
        <w:rPr>
          <w:rFonts w:ascii="Times New Roman" w:hAnsi="Times New Roman"/>
          <w:sz w:val="24"/>
          <w:szCs w:val="24"/>
        </w:rPr>
        <w:t xml:space="preserve"> review the bank account requirement again.</w:t>
      </w:r>
    </w:p>
    <w:p w:rsidR="00594805" w:rsidRPr="00331243" w:rsidRDefault="00594805" w:rsidP="00E909D5">
      <w:pPr>
        <w:pStyle w:val="Bullet-list"/>
        <w:spacing w:after="0" w:line="240" w:lineRule="auto"/>
        <w:ind w:left="0" w:firstLine="0"/>
        <w:jc w:val="both"/>
        <w:rPr>
          <w:rFonts w:ascii="Times New Roman" w:hAnsi="Times New Roman"/>
          <w:sz w:val="24"/>
          <w:szCs w:val="24"/>
        </w:rPr>
      </w:pPr>
    </w:p>
    <w:sectPr w:rsidR="00594805" w:rsidRPr="00331243" w:rsidSect="006474EE">
      <w:footerReference w:type="even" r:id="rId10"/>
      <w:footerReference w:type="default" r:id="rId11"/>
      <w:pgSz w:w="11907" w:h="16840"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FB" w:rsidRDefault="006526FB" w:rsidP="00F72085">
      <w:r>
        <w:separator/>
      </w:r>
    </w:p>
  </w:endnote>
  <w:endnote w:type="continuationSeparator" w:id="0">
    <w:p w:rsidR="006526FB" w:rsidRDefault="006526FB"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1A" w:rsidRDefault="00E61F1A"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61F1A" w:rsidRPr="00281580" w:rsidRDefault="00E61F1A"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1A" w:rsidRPr="00594805" w:rsidRDefault="00E61F1A"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4A7062">
      <w:rPr>
        <w:rStyle w:val="PageNumber"/>
        <w:rFonts w:ascii="Times New Roman" w:hAnsi="Times New Roman"/>
        <w:color w:val="auto"/>
        <w:sz w:val="20"/>
        <w:szCs w:val="20"/>
      </w:rPr>
      <w:t>1</w:t>
    </w:r>
    <w:r w:rsidRPr="00594805">
      <w:rPr>
        <w:rStyle w:val="PageNumber"/>
        <w:rFonts w:ascii="Times New Roman" w:hAnsi="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FB" w:rsidRDefault="006526FB" w:rsidP="00F72085">
      <w:r>
        <w:separator/>
      </w:r>
    </w:p>
  </w:footnote>
  <w:footnote w:type="continuationSeparator" w:id="0">
    <w:p w:rsidR="006526FB" w:rsidRDefault="006526FB" w:rsidP="00F72085">
      <w:r>
        <w:continuationSeparator/>
      </w:r>
    </w:p>
  </w:footnote>
  <w:footnote w:id="1">
    <w:p w:rsidR="00E61F1A" w:rsidRPr="000B6DE7" w:rsidRDefault="00E61F1A" w:rsidP="00C545F2">
      <w:pPr>
        <w:pStyle w:val="FootnoteText"/>
        <w:tabs>
          <w:tab w:val="clear" w:pos="425"/>
        </w:tabs>
        <w:ind w:left="0" w:firstLine="0"/>
        <w:jc w:val="both"/>
        <w:rPr>
          <w:lang w:val="en-NZ"/>
        </w:rPr>
      </w:pPr>
      <w:r w:rsidRPr="000B6DE7">
        <w:rPr>
          <w:rStyle w:val="FootnoteReference"/>
          <w:rFonts w:ascii="Times New Roman" w:hAnsi="Times New Roman"/>
        </w:rPr>
        <w:footnoteRef/>
      </w:r>
      <w:r w:rsidRPr="000B6DE7">
        <w:rPr>
          <w:rStyle w:val="FootnoteReference"/>
          <w:rFonts w:ascii="Times New Roman" w:hAnsi="Times New Roman"/>
        </w:rPr>
        <w:t xml:space="preserve"> NSW tax code has a deduction of 10.5%.  Ordinarily, if no IRD number is provided, a “no-notification” tax deduction rate of 45% applies.</w:t>
      </w:r>
    </w:p>
  </w:footnote>
  <w:footnote w:id="2">
    <w:p w:rsidR="00E61F1A" w:rsidRPr="00C26096" w:rsidRDefault="00E61F1A" w:rsidP="00C545F2">
      <w:pPr>
        <w:pStyle w:val="FootnoteText"/>
        <w:tabs>
          <w:tab w:val="clear" w:pos="425"/>
        </w:tabs>
        <w:ind w:left="0" w:firstLine="0"/>
        <w:jc w:val="both"/>
        <w:rPr>
          <w:lang w:val="en-NZ"/>
        </w:rPr>
      </w:pPr>
      <w:r w:rsidRPr="00C26096">
        <w:rPr>
          <w:rStyle w:val="FootnoteReference"/>
          <w:rFonts w:ascii="Times New Roman" w:hAnsi="Times New Roman"/>
        </w:rPr>
        <w:footnoteRef/>
      </w:r>
      <w:r w:rsidRPr="00C26096">
        <w:rPr>
          <w:rStyle w:val="FootnoteReference"/>
          <w:rFonts w:ascii="Times New Roman" w:hAnsi="Times New Roman"/>
        </w:rPr>
        <w:t xml:space="preserve"> </w:t>
      </w:r>
      <w:r w:rsidR="005945E6">
        <w:rPr>
          <w:rFonts w:ascii="Times New Roman" w:hAnsi="Times New Roman"/>
        </w:rPr>
        <w:t xml:space="preserve"> </w:t>
      </w:r>
      <w:r w:rsidRPr="00C26096">
        <w:rPr>
          <w:rStyle w:val="FootnoteReference"/>
          <w:rFonts w:ascii="Times New Roman" w:hAnsi="Times New Roman"/>
        </w:rPr>
        <w:t>Offshore</w:t>
      </w:r>
      <w:r w:rsidR="006C5D88">
        <w:rPr>
          <w:rFonts w:ascii="Times New Roman" w:hAnsi="Times New Roman"/>
        </w:rPr>
        <w:t xml:space="preserve"> </w:t>
      </w:r>
      <w:r w:rsidRPr="00C26096">
        <w:rPr>
          <w:rStyle w:val="FootnoteReference"/>
          <w:rFonts w:ascii="Times New Roman" w:hAnsi="Times New Roman"/>
        </w:rPr>
        <w:t xml:space="preserve"> refers to offshore pe</w:t>
      </w:r>
      <w:r w:rsidR="006C5D88">
        <w:rPr>
          <w:rStyle w:val="FootnoteReference"/>
          <w:rFonts w:ascii="Times New Roman" w:hAnsi="Times New Roman"/>
        </w:rPr>
        <w:t xml:space="preserve">rsons under the definitions in paragraphs 7 and 8 of this RIS. </w:t>
      </w:r>
      <w:r w:rsidRPr="00C26096">
        <w:rPr>
          <w:rStyle w:val="FootnoteReference"/>
          <w:rFonts w:ascii="Times New Roman" w:hAnsi="Times New Roman"/>
        </w:rPr>
        <w:t>Non-resident refers to persons who are not New Zealand tax resident.  These definitions are not identical so it is possible to be an offshore person without being a non-resident and vice versa.  As offshore persons and non-resident applicants are required to complete the same IRD number application form it is not possible to isolate the applicants who are offshore persons.</w:t>
      </w:r>
      <w:r>
        <w:rPr>
          <w:lang w:val="en-N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CD5"/>
    <w:multiLevelType w:val="hybridMultilevel"/>
    <w:tmpl w:val="02C45734"/>
    <w:lvl w:ilvl="0" w:tplc="0B2A86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A4F1CD1"/>
    <w:multiLevelType w:val="hybridMultilevel"/>
    <w:tmpl w:val="9C6459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2922392"/>
    <w:multiLevelType w:val="hybridMultilevel"/>
    <w:tmpl w:val="8488C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70033C"/>
    <w:multiLevelType w:val="hybridMultilevel"/>
    <w:tmpl w:val="98B27F54"/>
    <w:lvl w:ilvl="0" w:tplc="292CCA9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689157B"/>
    <w:multiLevelType w:val="hybridMultilevel"/>
    <w:tmpl w:val="592E96D2"/>
    <w:lvl w:ilvl="0" w:tplc="FC362A48">
      <w:numFmt w:val="bullet"/>
      <w:lvlText w:val=""/>
      <w:lvlJc w:val="left"/>
      <w:pPr>
        <w:ind w:left="2629" w:hanging="360"/>
      </w:pPr>
      <w:rPr>
        <w:rFonts w:ascii="Wingdings 2" w:eastAsiaTheme="minorHAnsi" w:hAnsi="Wingdings 2" w:cs="Times New Roman" w:hint="default"/>
        <w:sz w:val="22"/>
      </w:rPr>
    </w:lvl>
    <w:lvl w:ilvl="1" w:tplc="14090003" w:tentative="1">
      <w:start w:val="1"/>
      <w:numFmt w:val="bullet"/>
      <w:lvlText w:val="o"/>
      <w:lvlJc w:val="left"/>
      <w:pPr>
        <w:ind w:left="3349" w:hanging="360"/>
      </w:pPr>
      <w:rPr>
        <w:rFonts w:ascii="Courier New" w:hAnsi="Courier New" w:cs="Courier New" w:hint="default"/>
      </w:rPr>
    </w:lvl>
    <w:lvl w:ilvl="2" w:tplc="14090005" w:tentative="1">
      <w:start w:val="1"/>
      <w:numFmt w:val="bullet"/>
      <w:lvlText w:val=""/>
      <w:lvlJc w:val="left"/>
      <w:pPr>
        <w:ind w:left="4069" w:hanging="360"/>
      </w:pPr>
      <w:rPr>
        <w:rFonts w:ascii="Wingdings" w:hAnsi="Wingdings" w:hint="default"/>
      </w:rPr>
    </w:lvl>
    <w:lvl w:ilvl="3" w:tplc="14090001" w:tentative="1">
      <w:start w:val="1"/>
      <w:numFmt w:val="bullet"/>
      <w:lvlText w:val=""/>
      <w:lvlJc w:val="left"/>
      <w:pPr>
        <w:ind w:left="4789" w:hanging="360"/>
      </w:pPr>
      <w:rPr>
        <w:rFonts w:ascii="Symbol" w:hAnsi="Symbol" w:hint="default"/>
      </w:rPr>
    </w:lvl>
    <w:lvl w:ilvl="4" w:tplc="14090003" w:tentative="1">
      <w:start w:val="1"/>
      <w:numFmt w:val="bullet"/>
      <w:lvlText w:val="o"/>
      <w:lvlJc w:val="left"/>
      <w:pPr>
        <w:ind w:left="5509" w:hanging="360"/>
      </w:pPr>
      <w:rPr>
        <w:rFonts w:ascii="Courier New" w:hAnsi="Courier New" w:cs="Courier New" w:hint="default"/>
      </w:rPr>
    </w:lvl>
    <w:lvl w:ilvl="5" w:tplc="14090005" w:tentative="1">
      <w:start w:val="1"/>
      <w:numFmt w:val="bullet"/>
      <w:lvlText w:val=""/>
      <w:lvlJc w:val="left"/>
      <w:pPr>
        <w:ind w:left="6229" w:hanging="360"/>
      </w:pPr>
      <w:rPr>
        <w:rFonts w:ascii="Wingdings" w:hAnsi="Wingdings" w:hint="default"/>
      </w:rPr>
    </w:lvl>
    <w:lvl w:ilvl="6" w:tplc="14090001" w:tentative="1">
      <w:start w:val="1"/>
      <w:numFmt w:val="bullet"/>
      <w:lvlText w:val=""/>
      <w:lvlJc w:val="left"/>
      <w:pPr>
        <w:ind w:left="6949" w:hanging="360"/>
      </w:pPr>
      <w:rPr>
        <w:rFonts w:ascii="Symbol" w:hAnsi="Symbol" w:hint="default"/>
      </w:rPr>
    </w:lvl>
    <w:lvl w:ilvl="7" w:tplc="14090003" w:tentative="1">
      <w:start w:val="1"/>
      <w:numFmt w:val="bullet"/>
      <w:lvlText w:val="o"/>
      <w:lvlJc w:val="left"/>
      <w:pPr>
        <w:ind w:left="7669" w:hanging="360"/>
      </w:pPr>
      <w:rPr>
        <w:rFonts w:ascii="Courier New" w:hAnsi="Courier New" w:cs="Courier New" w:hint="default"/>
      </w:rPr>
    </w:lvl>
    <w:lvl w:ilvl="8" w:tplc="14090005" w:tentative="1">
      <w:start w:val="1"/>
      <w:numFmt w:val="bullet"/>
      <w:lvlText w:val=""/>
      <w:lvlJc w:val="left"/>
      <w:pPr>
        <w:ind w:left="8389" w:hanging="360"/>
      </w:pPr>
      <w:rPr>
        <w:rFonts w:ascii="Wingdings" w:hAnsi="Wingdings" w:hint="default"/>
      </w:rPr>
    </w:lvl>
  </w:abstractNum>
  <w:abstractNum w:abstractNumId="6">
    <w:nsid w:val="28450D16"/>
    <w:multiLevelType w:val="hybridMultilevel"/>
    <w:tmpl w:val="48A45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D805608"/>
    <w:multiLevelType w:val="hybridMultilevel"/>
    <w:tmpl w:val="75582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773886"/>
    <w:multiLevelType w:val="hybridMultilevel"/>
    <w:tmpl w:val="5E763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0">
    <w:nsid w:val="35012DE6"/>
    <w:multiLevelType w:val="hybridMultilevel"/>
    <w:tmpl w:val="B4105CB8"/>
    <w:lvl w:ilvl="0" w:tplc="907686F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361F0803"/>
    <w:multiLevelType w:val="hybridMultilevel"/>
    <w:tmpl w:val="B86A38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0221FB6"/>
    <w:multiLevelType w:val="hybridMultilevel"/>
    <w:tmpl w:val="A9DA7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6270D61"/>
    <w:multiLevelType w:val="hybridMultilevel"/>
    <w:tmpl w:val="C3589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62F4703"/>
    <w:multiLevelType w:val="hybridMultilevel"/>
    <w:tmpl w:val="3622010A"/>
    <w:lvl w:ilvl="0" w:tplc="8E14043E">
      <w:start w:val="20"/>
      <w:numFmt w:val="bullet"/>
      <w:lvlText w:val=""/>
      <w:lvlJc w:val="left"/>
      <w:pPr>
        <w:ind w:left="2629" w:hanging="360"/>
      </w:pPr>
      <w:rPr>
        <w:rFonts w:ascii="Wingdings 2" w:eastAsiaTheme="minorHAnsi" w:hAnsi="Wingdings 2" w:cs="Times New Roman" w:hint="default"/>
      </w:rPr>
    </w:lvl>
    <w:lvl w:ilvl="1" w:tplc="14090003" w:tentative="1">
      <w:start w:val="1"/>
      <w:numFmt w:val="bullet"/>
      <w:lvlText w:val="o"/>
      <w:lvlJc w:val="left"/>
      <w:pPr>
        <w:ind w:left="3349" w:hanging="360"/>
      </w:pPr>
      <w:rPr>
        <w:rFonts w:ascii="Courier New" w:hAnsi="Courier New" w:cs="Courier New" w:hint="default"/>
      </w:rPr>
    </w:lvl>
    <w:lvl w:ilvl="2" w:tplc="14090005" w:tentative="1">
      <w:start w:val="1"/>
      <w:numFmt w:val="bullet"/>
      <w:lvlText w:val=""/>
      <w:lvlJc w:val="left"/>
      <w:pPr>
        <w:ind w:left="4069" w:hanging="360"/>
      </w:pPr>
      <w:rPr>
        <w:rFonts w:ascii="Wingdings" w:hAnsi="Wingdings" w:hint="default"/>
      </w:rPr>
    </w:lvl>
    <w:lvl w:ilvl="3" w:tplc="14090001" w:tentative="1">
      <w:start w:val="1"/>
      <w:numFmt w:val="bullet"/>
      <w:lvlText w:val=""/>
      <w:lvlJc w:val="left"/>
      <w:pPr>
        <w:ind w:left="4789" w:hanging="360"/>
      </w:pPr>
      <w:rPr>
        <w:rFonts w:ascii="Symbol" w:hAnsi="Symbol" w:hint="default"/>
      </w:rPr>
    </w:lvl>
    <w:lvl w:ilvl="4" w:tplc="14090003" w:tentative="1">
      <w:start w:val="1"/>
      <w:numFmt w:val="bullet"/>
      <w:lvlText w:val="o"/>
      <w:lvlJc w:val="left"/>
      <w:pPr>
        <w:ind w:left="5509" w:hanging="360"/>
      </w:pPr>
      <w:rPr>
        <w:rFonts w:ascii="Courier New" w:hAnsi="Courier New" w:cs="Courier New" w:hint="default"/>
      </w:rPr>
    </w:lvl>
    <w:lvl w:ilvl="5" w:tplc="14090005" w:tentative="1">
      <w:start w:val="1"/>
      <w:numFmt w:val="bullet"/>
      <w:lvlText w:val=""/>
      <w:lvlJc w:val="left"/>
      <w:pPr>
        <w:ind w:left="6229" w:hanging="360"/>
      </w:pPr>
      <w:rPr>
        <w:rFonts w:ascii="Wingdings" w:hAnsi="Wingdings" w:hint="default"/>
      </w:rPr>
    </w:lvl>
    <w:lvl w:ilvl="6" w:tplc="14090001" w:tentative="1">
      <w:start w:val="1"/>
      <w:numFmt w:val="bullet"/>
      <w:lvlText w:val=""/>
      <w:lvlJc w:val="left"/>
      <w:pPr>
        <w:ind w:left="6949" w:hanging="360"/>
      </w:pPr>
      <w:rPr>
        <w:rFonts w:ascii="Symbol" w:hAnsi="Symbol" w:hint="default"/>
      </w:rPr>
    </w:lvl>
    <w:lvl w:ilvl="7" w:tplc="14090003" w:tentative="1">
      <w:start w:val="1"/>
      <w:numFmt w:val="bullet"/>
      <w:lvlText w:val="o"/>
      <w:lvlJc w:val="left"/>
      <w:pPr>
        <w:ind w:left="7669" w:hanging="360"/>
      </w:pPr>
      <w:rPr>
        <w:rFonts w:ascii="Courier New" w:hAnsi="Courier New" w:cs="Courier New" w:hint="default"/>
      </w:rPr>
    </w:lvl>
    <w:lvl w:ilvl="8" w:tplc="14090005" w:tentative="1">
      <w:start w:val="1"/>
      <w:numFmt w:val="bullet"/>
      <w:lvlText w:val=""/>
      <w:lvlJc w:val="left"/>
      <w:pPr>
        <w:ind w:left="8389" w:hanging="360"/>
      </w:pPr>
      <w:rPr>
        <w:rFonts w:ascii="Wingdings" w:hAnsi="Wingdings" w:hint="default"/>
      </w:rPr>
    </w:lvl>
  </w:abstractNum>
  <w:abstractNum w:abstractNumId="16">
    <w:nsid w:val="46643250"/>
    <w:multiLevelType w:val="hybridMultilevel"/>
    <w:tmpl w:val="CDACC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B4E3689"/>
    <w:multiLevelType w:val="hybridMultilevel"/>
    <w:tmpl w:val="C9B0E1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C1C2100"/>
    <w:multiLevelType w:val="hybridMultilevel"/>
    <w:tmpl w:val="17E2B0AC"/>
    <w:lvl w:ilvl="0" w:tplc="4CB29C0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nsid w:val="4C911148"/>
    <w:multiLevelType w:val="hybridMultilevel"/>
    <w:tmpl w:val="689CAA9C"/>
    <w:lvl w:ilvl="0" w:tplc="975ACA6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7314524"/>
    <w:multiLevelType w:val="hybridMultilevel"/>
    <w:tmpl w:val="6E181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2854CC4"/>
    <w:multiLevelType w:val="hybridMultilevel"/>
    <w:tmpl w:val="938AAE96"/>
    <w:lvl w:ilvl="0" w:tplc="14090001">
      <w:start w:val="1"/>
      <w:numFmt w:val="bullet"/>
      <w:lvlText w:val=""/>
      <w:lvlJc w:val="left"/>
      <w:pPr>
        <w:ind w:left="1440" w:hanging="72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3">
    <w:nsid w:val="6B1B34CC"/>
    <w:multiLevelType w:val="hybridMultilevel"/>
    <w:tmpl w:val="4E94D1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nsid w:val="7A305F74"/>
    <w:multiLevelType w:val="hybridMultilevel"/>
    <w:tmpl w:val="61F09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2"/>
  </w:num>
  <w:num w:numId="5">
    <w:abstractNumId w:val="17"/>
  </w:num>
  <w:num w:numId="6">
    <w:abstractNumId w:val="23"/>
  </w:num>
  <w:num w:numId="7">
    <w:abstractNumId w:val="10"/>
  </w:num>
  <w:num w:numId="8">
    <w:abstractNumId w:val="21"/>
  </w:num>
  <w:num w:numId="9">
    <w:abstractNumId w:val="18"/>
  </w:num>
  <w:num w:numId="10">
    <w:abstractNumId w:val="20"/>
  </w:num>
  <w:num w:numId="11">
    <w:abstractNumId w:val="19"/>
  </w:num>
  <w:num w:numId="12">
    <w:abstractNumId w:val="15"/>
  </w:num>
  <w:num w:numId="13">
    <w:abstractNumId w:val="5"/>
  </w:num>
  <w:num w:numId="14">
    <w:abstractNumId w:val="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4"/>
  </w:num>
  <w:num w:numId="19">
    <w:abstractNumId w:val="11"/>
  </w:num>
  <w:num w:numId="20">
    <w:abstractNumId w:val="0"/>
  </w:num>
  <w:num w:numId="21">
    <w:abstractNumId w:val="16"/>
  </w:num>
  <w:num w:numId="22">
    <w:abstractNumId w:val="13"/>
  </w:num>
  <w:num w:numId="23">
    <w:abstractNumId w:val="3"/>
  </w:num>
  <w:num w:numId="24">
    <w:abstractNumId w:val="24"/>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9B"/>
    <w:rsid w:val="00001539"/>
    <w:rsid w:val="00002433"/>
    <w:rsid w:val="000037F4"/>
    <w:rsid w:val="00004A8A"/>
    <w:rsid w:val="00005DC9"/>
    <w:rsid w:val="00010986"/>
    <w:rsid w:val="00010F7D"/>
    <w:rsid w:val="00012338"/>
    <w:rsid w:val="00013A18"/>
    <w:rsid w:val="00014196"/>
    <w:rsid w:val="000147DC"/>
    <w:rsid w:val="00015072"/>
    <w:rsid w:val="00016722"/>
    <w:rsid w:val="0002068B"/>
    <w:rsid w:val="000232EB"/>
    <w:rsid w:val="00023BAB"/>
    <w:rsid w:val="00023EA6"/>
    <w:rsid w:val="00024B22"/>
    <w:rsid w:val="0002568E"/>
    <w:rsid w:val="00025954"/>
    <w:rsid w:val="00030890"/>
    <w:rsid w:val="00030DEA"/>
    <w:rsid w:val="000337D9"/>
    <w:rsid w:val="00033950"/>
    <w:rsid w:val="000343E7"/>
    <w:rsid w:val="00035185"/>
    <w:rsid w:val="00036A3D"/>
    <w:rsid w:val="00036EE4"/>
    <w:rsid w:val="00041469"/>
    <w:rsid w:val="00041CD1"/>
    <w:rsid w:val="0004221C"/>
    <w:rsid w:val="000431FE"/>
    <w:rsid w:val="000435AD"/>
    <w:rsid w:val="00045AFC"/>
    <w:rsid w:val="00046F46"/>
    <w:rsid w:val="00047559"/>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1338"/>
    <w:rsid w:val="000655B2"/>
    <w:rsid w:val="00070193"/>
    <w:rsid w:val="00071C53"/>
    <w:rsid w:val="00073A19"/>
    <w:rsid w:val="00073F31"/>
    <w:rsid w:val="000745D3"/>
    <w:rsid w:val="00074B13"/>
    <w:rsid w:val="00074D02"/>
    <w:rsid w:val="0007562B"/>
    <w:rsid w:val="00080CE0"/>
    <w:rsid w:val="00080DE3"/>
    <w:rsid w:val="00082653"/>
    <w:rsid w:val="00082ABC"/>
    <w:rsid w:val="00083ADB"/>
    <w:rsid w:val="0008415A"/>
    <w:rsid w:val="00085000"/>
    <w:rsid w:val="00085660"/>
    <w:rsid w:val="00086007"/>
    <w:rsid w:val="000863E2"/>
    <w:rsid w:val="00086898"/>
    <w:rsid w:val="0008712F"/>
    <w:rsid w:val="00087C41"/>
    <w:rsid w:val="00095446"/>
    <w:rsid w:val="00096BFA"/>
    <w:rsid w:val="000A0549"/>
    <w:rsid w:val="000A073E"/>
    <w:rsid w:val="000A20D1"/>
    <w:rsid w:val="000A248B"/>
    <w:rsid w:val="000A39F4"/>
    <w:rsid w:val="000A43F8"/>
    <w:rsid w:val="000A4419"/>
    <w:rsid w:val="000A5CA8"/>
    <w:rsid w:val="000B005C"/>
    <w:rsid w:val="000B01CC"/>
    <w:rsid w:val="000B0480"/>
    <w:rsid w:val="000B0615"/>
    <w:rsid w:val="000B0C12"/>
    <w:rsid w:val="000B0D42"/>
    <w:rsid w:val="000B16BF"/>
    <w:rsid w:val="000B2052"/>
    <w:rsid w:val="000B5B1E"/>
    <w:rsid w:val="000B6DE7"/>
    <w:rsid w:val="000C0912"/>
    <w:rsid w:val="000C2669"/>
    <w:rsid w:val="000C26E9"/>
    <w:rsid w:val="000C3EB5"/>
    <w:rsid w:val="000C43B6"/>
    <w:rsid w:val="000C684B"/>
    <w:rsid w:val="000C6EED"/>
    <w:rsid w:val="000C79FD"/>
    <w:rsid w:val="000D012A"/>
    <w:rsid w:val="000D0C67"/>
    <w:rsid w:val="000D0FA0"/>
    <w:rsid w:val="000D2A6B"/>
    <w:rsid w:val="000D31FE"/>
    <w:rsid w:val="000D5E01"/>
    <w:rsid w:val="000D6393"/>
    <w:rsid w:val="000D670A"/>
    <w:rsid w:val="000D77C0"/>
    <w:rsid w:val="000D7C12"/>
    <w:rsid w:val="000E0036"/>
    <w:rsid w:val="000E310A"/>
    <w:rsid w:val="000E3979"/>
    <w:rsid w:val="000E3CE1"/>
    <w:rsid w:val="000E73FF"/>
    <w:rsid w:val="000E7C1C"/>
    <w:rsid w:val="000F0136"/>
    <w:rsid w:val="000F03B0"/>
    <w:rsid w:val="000F162C"/>
    <w:rsid w:val="000F3333"/>
    <w:rsid w:val="000F6F99"/>
    <w:rsid w:val="000F7020"/>
    <w:rsid w:val="00101A24"/>
    <w:rsid w:val="00113146"/>
    <w:rsid w:val="00114F56"/>
    <w:rsid w:val="001158BA"/>
    <w:rsid w:val="00116006"/>
    <w:rsid w:val="00116B51"/>
    <w:rsid w:val="0012410B"/>
    <w:rsid w:val="00125812"/>
    <w:rsid w:val="00125ADD"/>
    <w:rsid w:val="00126CD1"/>
    <w:rsid w:val="00127757"/>
    <w:rsid w:val="00130E8F"/>
    <w:rsid w:val="001336E3"/>
    <w:rsid w:val="001339BB"/>
    <w:rsid w:val="00134A56"/>
    <w:rsid w:val="00136EED"/>
    <w:rsid w:val="00141B20"/>
    <w:rsid w:val="00141D39"/>
    <w:rsid w:val="00142051"/>
    <w:rsid w:val="00143437"/>
    <w:rsid w:val="00144369"/>
    <w:rsid w:val="0014479C"/>
    <w:rsid w:val="00144ADC"/>
    <w:rsid w:val="00144BBB"/>
    <w:rsid w:val="00146FC1"/>
    <w:rsid w:val="00150932"/>
    <w:rsid w:val="00152D49"/>
    <w:rsid w:val="00157E18"/>
    <w:rsid w:val="00161022"/>
    <w:rsid w:val="00161358"/>
    <w:rsid w:val="001620EB"/>
    <w:rsid w:val="001638CB"/>
    <w:rsid w:val="0016538E"/>
    <w:rsid w:val="00166A7A"/>
    <w:rsid w:val="00166C49"/>
    <w:rsid w:val="001674EB"/>
    <w:rsid w:val="00167EE1"/>
    <w:rsid w:val="001705C4"/>
    <w:rsid w:val="00171281"/>
    <w:rsid w:val="001712D6"/>
    <w:rsid w:val="001726B0"/>
    <w:rsid w:val="00175644"/>
    <w:rsid w:val="001767C7"/>
    <w:rsid w:val="001800AF"/>
    <w:rsid w:val="00180A3B"/>
    <w:rsid w:val="00180BD5"/>
    <w:rsid w:val="00180D17"/>
    <w:rsid w:val="00183D99"/>
    <w:rsid w:val="00183EB1"/>
    <w:rsid w:val="00184219"/>
    <w:rsid w:val="00185884"/>
    <w:rsid w:val="001901C1"/>
    <w:rsid w:val="00190331"/>
    <w:rsid w:val="0019141D"/>
    <w:rsid w:val="00191B67"/>
    <w:rsid w:val="00191EEC"/>
    <w:rsid w:val="00194873"/>
    <w:rsid w:val="00194B8A"/>
    <w:rsid w:val="00194CF9"/>
    <w:rsid w:val="00194D99"/>
    <w:rsid w:val="00197273"/>
    <w:rsid w:val="00197FD4"/>
    <w:rsid w:val="001A13C8"/>
    <w:rsid w:val="001A1C61"/>
    <w:rsid w:val="001A1DFB"/>
    <w:rsid w:val="001A5694"/>
    <w:rsid w:val="001A5BEE"/>
    <w:rsid w:val="001B0726"/>
    <w:rsid w:val="001B0A7A"/>
    <w:rsid w:val="001B0DF0"/>
    <w:rsid w:val="001B1A87"/>
    <w:rsid w:val="001B1BDF"/>
    <w:rsid w:val="001B24D5"/>
    <w:rsid w:val="001B2869"/>
    <w:rsid w:val="001B3F6D"/>
    <w:rsid w:val="001B3F81"/>
    <w:rsid w:val="001B4E6C"/>
    <w:rsid w:val="001B54FC"/>
    <w:rsid w:val="001B7122"/>
    <w:rsid w:val="001C0CF6"/>
    <w:rsid w:val="001C2214"/>
    <w:rsid w:val="001C2524"/>
    <w:rsid w:val="001C41C2"/>
    <w:rsid w:val="001C6912"/>
    <w:rsid w:val="001D0A46"/>
    <w:rsid w:val="001D22ED"/>
    <w:rsid w:val="001D2FAC"/>
    <w:rsid w:val="001D3440"/>
    <w:rsid w:val="001D37FB"/>
    <w:rsid w:val="001D4D62"/>
    <w:rsid w:val="001D53A8"/>
    <w:rsid w:val="001D7325"/>
    <w:rsid w:val="001E12C8"/>
    <w:rsid w:val="001E1A8F"/>
    <w:rsid w:val="001E6AFE"/>
    <w:rsid w:val="001F0773"/>
    <w:rsid w:val="001F07F4"/>
    <w:rsid w:val="001F0DD3"/>
    <w:rsid w:val="001F1711"/>
    <w:rsid w:val="001F1A2D"/>
    <w:rsid w:val="001F21CB"/>
    <w:rsid w:val="001F6750"/>
    <w:rsid w:val="00200311"/>
    <w:rsid w:val="002008D1"/>
    <w:rsid w:val="00202E20"/>
    <w:rsid w:val="002036AA"/>
    <w:rsid w:val="00203789"/>
    <w:rsid w:val="00204A66"/>
    <w:rsid w:val="00205334"/>
    <w:rsid w:val="00213B41"/>
    <w:rsid w:val="0021506A"/>
    <w:rsid w:val="00215630"/>
    <w:rsid w:val="00216DB5"/>
    <w:rsid w:val="00216F08"/>
    <w:rsid w:val="00217A19"/>
    <w:rsid w:val="00222CA5"/>
    <w:rsid w:val="00223298"/>
    <w:rsid w:val="00224A1F"/>
    <w:rsid w:val="00224BD6"/>
    <w:rsid w:val="002253E9"/>
    <w:rsid w:val="002258FC"/>
    <w:rsid w:val="00226226"/>
    <w:rsid w:val="00227D78"/>
    <w:rsid w:val="00227FE4"/>
    <w:rsid w:val="002317B4"/>
    <w:rsid w:val="002331A0"/>
    <w:rsid w:val="00233DC9"/>
    <w:rsid w:val="0023447D"/>
    <w:rsid w:val="0023708B"/>
    <w:rsid w:val="00237318"/>
    <w:rsid w:val="00237FE9"/>
    <w:rsid w:val="0024128C"/>
    <w:rsid w:val="00245DA0"/>
    <w:rsid w:val="00247ADA"/>
    <w:rsid w:val="00251406"/>
    <w:rsid w:val="00257836"/>
    <w:rsid w:val="00264EEE"/>
    <w:rsid w:val="0026530E"/>
    <w:rsid w:val="00265DED"/>
    <w:rsid w:val="00265E6C"/>
    <w:rsid w:val="00266A30"/>
    <w:rsid w:val="0026794D"/>
    <w:rsid w:val="00267FAB"/>
    <w:rsid w:val="00270CAF"/>
    <w:rsid w:val="002712C8"/>
    <w:rsid w:val="002719ED"/>
    <w:rsid w:val="00271EB7"/>
    <w:rsid w:val="0027239E"/>
    <w:rsid w:val="00272E82"/>
    <w:rsid w:val="00273D5C"/>
    <w:rsid w:val="00273ECF"/>
    <w:rsid w:val="00275209"/>
    <w:rsid w:val="0027527B"/>
    <w:rsid w:val="00275B26"/>
    <w:rsid w:val="0027706F"/>
    <w:rsid w:val="00281580"/>
    <w:rsid w:val="00282DD1"/>
    <w:rsid w:val="00283098"/>
    <w:rsid w:val="00283259"/>
    <w:rsid w:val="00283AFA"/>
    <w:rsid w:val="00283D22"/>
    <w:rsid w:val="00286637"/>
    <w:rsid w:val="00287942"/>
    <w:rsid w:val="00292783"/>
    <w:rsid w:val="0029399F"/>
    <w:rsid w:val="00293E21"/>
    <w:rsid w:val="00295264"/>
    <w:rsid w:val="00295DFA"/>
    <w:rsid w:val="00296404"/>
    <w:rsid w:val="0029649F"/>
    <w:rsid w:val="002A05D3"/>
    <w:rsid w:val="002A06C6"/>
    <w:rsid w:val="002A107A"/>
    <w:rsid w:val="002A535E"/>
    <w:rsid w:val="002A5881"/>
    <w:rsid w:val="002A5E7A"/>
    <w:rsid w:val="002B0025"/>
    <w:rsid w:val="002B0801"/>
    <w:rsid w:val="002B0A3F"/>
    <w:rsid w:val="002B5324"/>
    <w:rsid w:val="002B56E7"/>
    <w:rsid w:val="002B5823"/>
    <w:rsid w:val="002B733A"/>
    <w:rsid w:val="002B7F4A"/>
    <w:rsid w:val="002C0074"/>
    <w:rsid w:val="002C097E"/>
    <w:rsid w:val="002C2315"/>
    <w:rsid w:val="002C301D"/>
    <w:rsid w:val="002C3B96"/>
    <w:rsid w:val="002C43CE"/>
    <w:rsid w:val="002C4A38"/>
    <w:rsid w:val="002C65B8"/>
    <w:rsid w:val="002C734D"/>
    <w:rsid w:val="002C744C"/>
    <w:rsid w:val="002D01BF"/>
    <w:rsid w:val="002D0FAA"/>
    <w:rsid w:val="002D3E81"/>
    <w:rsid w:val="002D4AC3"/>
    <w:rsid w:val="002D52A0"/>
    <w:rsid w:val="002D6691"/>
    <w:rsid w:val="002E0169"/>
    <w:rsid w:val="002E062E"/>
    <w:rsid w:val="002E1226"/>
    <w:rsid w:val="002E1D30"/>
    <w:rsid w:val="002E2678"/>
    <w:rsid w:val="002E28C6"/>
    <w:rsid w:val="002E4DB3"/>
    <w:rsid w:val="002E68E8"/>
    <w:rsid w:val="002E6D37"/>
    <w:rsid w:val="002E79A6"/>
    <w:rsid w:val="002F10BF"/>
    <w:rsid w:val="002F110D"/>
    <w:rsid w:val="002F3288"/>
    <w:rsid w:val="002F32BD"/>
    <w:rsid w:val="002F4407"/>
    <w:rsid w:val="002F5A1A"/>
    <w:rsid w:val="002F6E67"/>
    <w:rsid w:val="002F71F1"/>
    <w:rsid w:val="002F7C03"/>
    <w:rsid w:val="0030111A"/>
    <w:rsid w:val="003020F3"/>
    <w:rsid w:val="003022D4"/>
    <w:rsid w:val="003038AC"/>
    <w:rsid w:val="00305726"/>
    <w:rsid w:val="00306E9B"/>
    <w:rsid w:val="003076FA"/>
    <w:rsid w:val="00310D70"/>
    <w:rsid w:val="0031214B"/>
    <w:rsid w:val="00313F3E"/>
    <w:rsid w:val="00314A19"/>
    <w:rsid w:val="00315307"/>
    <w:rsid w:val="00315D17"/>
    <w:rsid w:val="00316B54"/>
    <w:rsid w:val="0031757C"/>
    <w:rsid w:val="003176BB"/>
    <w:rsid w:val="00317E1A"/>
    <w:rsid w:val="00320A3C"/>
    <w:rsid w:val="003232C2"/>
    <w:rsid w:val="003237B0"/>
    <w:rsid w:val="0032503F"/>
    <w:rsid w:val="003262CE"/>
    <w:rsid w:val="003264ED"/>
    <w:rsid w:val="003308B4"/>
    <w:rsid w:val="00331243"/>
    <w:rsid w:val="00333209"/>
    <w:rsid w:val="00334A4E"/>
    <w:rsid w:val="003352EF"/>
    <w:rsid w:val="003418C0"/>
    <w:rsid w:val="003424A8"/>
    <w:rsid w:val="003425F7"/>
    <w:rsid w:val="00343012"/>
    <w:rsid w:val="00343233"/>
    <w:rsid w:val="00343B25"/>
    <w:rsid w:val="003441E3"/>
    <w:rsid w:val="003445EA"/>
    <w:rsid w:val="00346CC2"/>
    <w:rsid w:val="00350175"/>
    <w:rsid w:val="00351EC0"/>
    <w:rsid w:val="00352990"/>
    <w:rsid w:val="00353113"/>
    <w:rsid w:val="00353518"/>
    <w:rsid w:val="00355DAA"/>
    <w:rsid w:val="003613F4"/>
    <w:rsid w:val="00361819"/>
    <w:rsid w:val="00361F3D"/>
    <w:rsid w:val="00362E2F"/>
    <w:rsid w:val="00362FE1"/>
    <w:rsid w:val="00363DCE"/>
    <w:rsid w:val="00363EDF"/>
    <w:rsid w:val="00365680"/>
    <w:rsid w:val="00366A1A"/>
    <w:rsid w:val="00367B6E"/>
    <w:rsid w:val="00370B2E"/>
    <w:rsid w:val="00372D68"/>
    <w:rsid w:val="0037447C"/>
    <w:rsid w:val="0037458C"/>
    <w:rsid w:val="00374E9A"/>
    <w:rsid w:val="00375E7C"/>
    <w:rsid w:val="00375FFD"/>
    <w:rsid w:val="003767F3"/>
    <w:rsid w:val="0037760A"/>
    <w:rsid w:val="00381DB8"/>
    <w:rsid w:val="003826A0"/>
    <w:rsid w:val="00383462"/>
    <w:rsid w:val="00384B58"/>
    <w:rsid w:val="00385683"/>
    <w:rsid w:val="00385EC1"/>
    <w:rsid w:val="00386DD1"/>
    <w:rsid w:val="00387CA4"/>
    <w:rsid w:val="00391389"/>
    <w:rsid w:val="00391E64"/>
    <w:rsid w:val="00391E6D"/>
    <w:rsid w:val="00395750"/>
    <w:rsid w:val="0039581F"/>
    <w:rsid w:val="00396861"/>
    <w:rsid w:val="0039783E"/>
    <w:rsid w:val="003A0009"/>
    <w:rsid w:val="003A0E47"/>
    <w:rsid w:val="003A4360"/>
    <w:rsid w:val="003A65A0"/>
    <w:rsid w:val="003A68AA"/>
    <w:rsid w:val="003A7561"/>
    <w:rsid w:val="003A76E4"/>
    <w:rsid w:val="003B09F2"/>
    <w:rsid w:val="003B1384"/>
    <w:rsid w:val="003B35B8"/>
    <w:rsid w:val="003B4A9D"/>
    <w:rsid w:val="003B4B13"/>
    <w:rsid w:val="003B4D2C"/>
    <w:rsid w:val="003B53A6"/>
    <w:rsid w:val="003C0785"/>
    <w:rsid w:val="003C1764"/>
    <w:rsid w:val="003C3AD0"/>
    <w:rsid w:val="003C722C"/>
    <w:rsid w:val="003C7985"/>
    <w:rsid w:val="003C7CAC"/>
    <w:rsid w:val="003C7E67"/>
    <w:rsid w:val="003D20ED"/>
    <w:rsid w:val="003D4ED7"/>
    <w:rsid w:val="003D6531"/>
    <w:rsid w:val="003D656C"/>
    <w:rsid w:val="003D6C84"/>
    <w:rsid w:val="003E017A"/>
    <w:rsid w:val="003E1FAF"/>
    <w:rsid w:val="003E20B9"/>
    <w:rsid w:val="003E3836"/>
    <w:rsid w:val="003E39B9"/>
    <w:rsid w:val="003E4AC8"/>
    <w:rsid w:val="003E4BB4"/>
    <w:rsid w:val="003E68B5"/>
    <w:rsid w:val="003F14AC"/>
    <w:rsid w:val="003F27A7"/>
    <w:rsid w:val="003F2D09"/>
    <w:rsid w:val="003F34BF"/>
    <w:rsid w:val="003F37EA"/>
    <w:rsid w:val="003F47F5"/>
    <w:rsid w:val="003F59CC"/>
    <w:rsid w:val="003F5E57"/>
    <w:rsid w:val="003F5F9D"/>
    <w:rsid w:val="003F7652"/>
    <w:rsid w:val="003F7C6A"/>
    <w:rsid w:val="003F7EDA"/>
    <w:rsid w:val="00401D87"/>
    <w:rsid w:val="00402BF8"/>
    <w:rsid w:val="00403755"/>
    <w:rsid w:val="0040387F"/>
    <w:rsid w:val="004038B1"/>
    <w:rsid w:val="00406227"/>
    <w:rsid w:val="00407D3B"/>
    <w:rsid w:val="0041363C"/>
    <w:rsid w:val="00414E9A"/>
    <w:rsid w:val="00415CC4"/>
    <w:rsid w:val="00415FD6"/>
    <w:rsid w:val="0041696F"/>
    <w:rsid w:val="00420D4C"/>
    <w:rsid w:val="00423B79"/>
    <w:rsid w:val="004240D2"/>
    <w:rsid w:val="00424ADF"/>
    <w:rsid w:val="004303B8"/>
    <w:rsid w:val="00431677"/>
    <w:rsid w:val="00433183"/>
    <w:rsid w:val="0043388D"/>
    <w:rsid w:val="00433AED"/>
    <w:rsid w:val="004342F0"/>
    <w:rsid w:val="004353DD"/>
    <w:rsid w:val="00435F4A"/>
    <w:rsid w:val="00436206"/>
    <w:rsid w:val="00437C49"/>
    <w:rsid w:val="0044117C"/>
    <w:rsid w:val="004418F2"/>
    <w:rsid w:val="00441F04"/>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4943"/>
    <w:rsid w:val="00455363"/>
    <w:rsid w:val="00456B8F"/>
    <w:rsid w:val="00457045"/>
    <w:rsid w:val="004574C4"/>
    <w:rsid w:val="00457A91"/>
    <w:rsid w:val="00460166"/>
    <w:rsid w:val="004604E9"/>
    <w:rsid w:val="00460A55"/>
    <w:rsid w:val="004610FB"/>
    <w:rsid w:val="0046180A"/>
    <w:rsid w:val="00462BC6"/>
    <w:rsid w:val="00463FEB"/>
    <w:rsid w:val="004660F2"/>
    <w:rsid w:val="00470C11"/>
    <w:rsid w:val="00471759"/>
    <w:rsid w:val="0047175C"/>
    <w:rsid w:val="004721E0"/>
    <w:rsid w:val="00472F9C"/>
    <w:rsid w:val="00473803"/>
    <w:rsid w:val="004755FE"/>
    <w:rsid w:val="004759BF"/>
    <w:rsid w:val="00476857"/>
    <w:rsid w:val="00476B4E"/>
    <w:rsid w:val="0047782F"/>
    <w:rsid w:val="00481666"/>
    <w:rsid w:val="004828C6"/>
    <w:rsid w:val="00484675"/>
    <w:rsid w:val="00484F33"/>
    <w:rsid w:val="004869CF"/>
    <w:rsid w:val="00487545"/>
    <w:rsid w:val="00487B3C"/>
    <w:rsid w:val="00490239"/>
    <w:rsid w:val="00490B1D"/>
    <w:rsid w:val="00491DC5"/>
    <w:rsid w:val="004929EC"/>
    <w:rsid w:val="004935F6"/>
    <w:rsid w:val="00493B10"/>
    <w:rsid w:val="00493F24"/>
    <w:rsid w:val="00495017"/>
    <w:rsid w:val="0049615F"/>
    <w:rsid w:val="004971EF"/>
    <w:rsid w:val="004A2043"/>
    <w:rsid w:val="004A2FD9"/>
    <w:rsid w:val="004A51CB"/>
    <w:rsid w:val="004A5D55"/>
    <w:rsid w:val="004A6D51"/>
    <w:rsid w:val="004A7062"/>
    <w:rsid w:val="004B03BE"/>
    <w:rsid w:val="004B0A80"/>
    <w:rsid w:val="004B1950"/>
    <w:rsid w:val="004B2839"/>
    <w:rsid w:val="004B300A"/>
    <w:rsid w:val="004B4E7B"/>
    <w:rsid w:val="004B562C"/>
    <w:rsid w:val="004B6D75"/>
    <w:rsid w:val="004B7418"/>
    <w:rsid w:val="004B78FA"/>
    <w:rsid w:val="004C0FBA"/>
    <w:rsid w:val="004C1080"/>
    <w:rsid w:val="004C2B29"/>
    <w:rsid w:val="004C3F7B"/>
    <w:rsid w:val="004C3FD4"/>
    <w:rsid w:val="004C43A8"/>
    <w:rsid w:val="004C4916"/>
    <w:rsid w:val="004C6A1A"/>
    <w:rsid w:val="004C78C4"/>
    <w:rsid w:val="004D2B88"/>
    <w:rsid w:val="004D2EB8"/>
    <w:rsid w:val="004D3A3F"/>
    <w:rsid w:val="004D512D"/>
    <w:rsid w:val="004D58A1"/>
    <w:rsid w:val="004D5D38"/>
    <w:rsid w:val="004D5F74"/>
    <w:rsid w:val="004D6ED4"/>
    <w:rsid w:val="004E0B42"/>
    <w:rsid w:val="004E10E0"/>
    <w:rsid w:val="004E198A"/>
    <w:rsid w:val="004E2A32"/>
    <w:rsid w:val="004E3061"/>
    <w:rsid w:val="004E3F7E"/>
    <w:rsid w:val="004E67E6"/>
    <w:rsid w:val="004F0E40"/>
    <w:rsid w:val="004F19CD"/>
    <w:rsid w:val="004F1F6E"/>
    <w:rsid w:val="004F23DA"/>
    <w:rsid w:val="004F245D"/>
    <w:rsid w:val="004F5E93"/>
    <w:rsid w:val="004F5EBE"/>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077FA"/>
    <w:rsid w:val="005103B1"/>
    <w:rsid w:val="0051286B"/>
    <w:rsid w:val="00515680"/>
    <w:rsid w:val="005161C3"/>
    <w:rsid w:val="005173F5"/>
    <w:rsid w:val="00517D7F"/>
    <w:rsid w:val="00517E7D"/>
    <w:rsid w:val="00520779"/>
    <w:rsid w:val="00521E8C"/>
    <w:rsid w:val="00523AAC"/>
    <w:rsid w:val="00523CF5"/>
    <w:rsid w:val="005246FD"/>
    <w:rsid w:val="00525A4C"/>
    <w:rsid w:val="00525C51"/>
    <w:rsid w:val="00530417"/>
    <w:rsid w:val="00530B0F"/>
    <w:rsid w:val="00532095"/>
    <w:rsid w:val="005321B7"/>
    <w:rsid w:val="005328C3"/>
    <w:rsid w:val="0053379A"/>
    <w:rsid w:val="005337D5"/>
    <w:rsid w:val="0053679A"/>
    <w:rsid w:val="00536C66"/>
    <w:rsid w:val="00537899"/>
    <w:rsid w:val="0054067C"/>
    <w:rsid w:val="00541C62"/>
    <w:rsid w:val="005437B7"/>
    <w:rsid w:val="00543E03"/>
    <w:rsid w:val="00545F4F"/>
    <w:rsid w:val="00545F60"/>
    <w:rsid w:val="005470D1"/>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3C89"/>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80450"/>
    <w:rsid w:val="00580CDE"/>
    <w:rsid w:val="00581009"/>
    <w:rsid w:val="005819B2"/>
    <w:rsid w:val="00582409"/>
    <w:rsid w:val="00582DC6"/>
    <w:rsid w:val="00583F9C"/>
    <w:rsid w:val="00585F5E"/>
    <w:rsid w:val="00586DC7"/>
    <w:rsid w:val="00590B90"/>
    <w:rsid w:val="00590BD9"/>
    <w:rsid w:val="00590D92"/>
    <w:rsid w:val="00591D93"/>
    <w:rsid w:val="00593561"/>
    <w:rsid w:val="005945E6"/>
    <w:rsid w:val="00594805"/>
    <w:rsid w:val="00595852"/>
    <w:rsid w:val="00596392"/>
    <w:rsid w:val="00596EAD"/>
    <w:rsid w:val="00597DFE"/>
    <w:rsid w:val="00597FAF"/>
    <w:rsid w:val="005A13E7"/>
    <w:rsid w:val="005A196E"/>
    <w:rsid w:val="005A3D06"/>
    <w:rsid w:val="005A3DA9"/>
    <w:rsid w:val="005A3E49"/>
    <w:rsid w:val="005A62E6"/>
    <w:rsid w:val="005A6CC1"/>
    <w:rsid w:val="005A6CCD"/>
    <w:rsid w:val="005A7107"/>
    <w:rsid w:val="005B174D"/>
    <w:rsid w:val="005B1762"/>
    <w:rsid w:val="005B29AF"/>
    <w:rsid w:val="005B39D2"/>
    <w:rsid w:val="005B3B36"/>
    <w:rsid w:val="005B545C"/>
    <w:rsid w:val="005B55F8"/>
    <w:rsid w:val="005B5924"/>
    <w:rsid w:val="005B6561"/>
    <w:rsid w:val="005C0312"/>
    <w:rsid w:val="005C03B0"/>
    <w:rsid w:val="005C0453"/>
    <w:rsid w:val="005C21D1"/>
    <w:rsid w:val="005C24B6"/>
    <w:rsid w:val="005C29FA"/>
    <w:rsid w:val="005C363D"/>
    <w:rsid w:val="005C3E40"/>
    <w:rsid w:val="005C5F92"/>
    <w:rsid w:val="005C6EDB"/>
    <w:rsid w:val="005D0763"/>
    <w:rsid w:val="005D0FD8"/>
    <w:rsid w:val="005D3DE0"/>
    <w:rsid w:val="005D4C84"/>
    <w:rsid w:val="005D57F3"/>
    <w:rsid w:val="005D67EA"/>
    <w:rsid w:val="005E0B96"/>
    <w:rsid w:val="005E1F25"/>
    <w:rsid w:val="005E4156"/>
    <w:rsid w:val="005E6DB6"/>
    <w:rsid w:val="005E7559"/>
    <w:rsid w:val="005F2C40"/>
    <w:rsid w:val="005F4DCE"/>
    <w:rsid w:val="005F5FC9"/>
    <w:rsid w:val="0060184B"/>
    <w:rsid w:val="00601A52"/>
    <w:rsid w:val="00602903"/>
    <w:rsid w:val="00602E73"/>
    <w:rsid w:val="00603627"/>
    <w:rsid w:val="006036A6"/>
    <w:rsid w:val="00603E2B"/>
    <w:rsid w:val="00603FA8"/>
    <w:rsid w:val="006050DD"/>
    <w:rsid w:val="006062EF"/>
    <w:rsid w:val="0061025C"/>
    <w:rsid w:val="00610DB8"/>
    <w:rsid w:val="006121E5"/>
    <w:rsid w:val="00612D19"/>
    <w:rsid w:val="0061317B"/>
    <w:rsid w:val="00613972"/>
    <w:rsid w:val="006159F2"/>
    <w:rsid w:val="00615E70"/>
    <w:rsid w:val="006170F2"/>
    <w:rsid w:val="00617398"/>
    <w:rsid w:val="0061761D"/>
    <w:rsid w:val="006207E9"/>
    <w:rsid w:val="00621E70"/>
    <w:rsid w:val="00626B7E"/>
    <w:rsid w:val="00632BA7"/>
    <w:rsid w:val="00632C89"/>
    <w:rsid w:val="00632E8C"/>
    <w:rsid w:val="00634F11"/>
    <w:rsid w:val="006359F5"/>
    <w:rsid w:val="00635A18"/>
    <w:rsid w:val="006371BF"/>
    <w:rsid w:val="006377D3"/>
    <w:rsid w:val="00637BB7"/>
    <w:rsid w:val="00642ADD"/>
    <w:rsid w:val="00643396"/>
    <w:rsid w:val="00643788"/>
    <w:rsid w:val="0064402C"/>
    <w:rsid w:val="006445A2"/>
    <w:rsid w:val="00645C45"/>
    <w:rsid w:val="00646179"/>
    <w:rsid w:val="006464FD"/>
    <w:rsid w:val="006474EE"/>
    <w:rsid w:val="0064763A"/>
    <w:rsid w:val="00650AFD"/>
    <w:rsid w:val="006526FB"/>
    <w:rsid w:val="006544DB"/>
    <w:rsid w:val="00656647"/>
    <w:rsid w:val="0065713B"/>
    <w:rsid w:val="0065713C"/>
    <w:rsid w:val="0065773E"/>
    <w:rsid w:val="00660B1F"/>
    <w:rsid w:val="00662194"/>
    <w:rsid w:val="006637FA"/>
    <w:rsid w:val="00663B17"/>
    <w:rsid w:val="00666A40"/>
    <w:rsid w:val="00671424"/>
    <w:rsid w:val="006755C1"/>
    <w:rsid w:val="00675A28"/>
    <w:rsid w:val="00676159"/>
    <w:rsid w:val="006772A7"/>
    <w:rsid w:val="006772CA"/>
    <w:rsid w:val="00677EE9"/>
    <w:rsid w:val="006804CF"/>
    <w:rsid w:val="006822DA"/>
    <w:rsid w:val="00682473"/>
    <w:rsid w:val="006826B0"/>
    <w:rsid w:val="006829A8"/>
    <w:rsid w:val="00682FBC"/>
    <w:rsid w:val="00683A57"/>
    <w:rsid w:val="0068449E"/>
    <w:rsid w:val="00684A4C"/>
    <w:rsid w:val="006873EA"/>
    <w:rsid w:val="006878F9"/>
    <w:rsid w:val="00692162"/>
    <w:rsid w:val="00693024"/>
    <w:rsid w:val="00694ABE"/>
    <w:rsid w:val="00694E49"/>
    <w:rsid w:val="006A0E74"/>
    <w:rsid w:val="006A0FE1"/>
    <w:rsid w:val="006A218F"/>
    <w:rsid w:val="006A3F76"/>
    <w:rsid w:val="006A4054"/>
    <w:rsid w:val="006A40A1"/>
    <w:rsid w:val="006A5C00"/>
    <w:rsid w:val="006A6165"/>
    <w:rsid w:val="006A6392"/>
    <w:rsid w:val="006A7E28"/>
    <w:rsid w:val="006B2116"/>
    <w:rsid w:val="006B2982"/>
    <w:rsid w:val="006B35BE"/>
    <w:rsid w:val="006C0A4C"/>
    <w:rsid w:val="006C1B43"/>
    <w:rsid w:val="006C1D7C"/>
    <w:rsid w:val="006C3276"/>
    <w:rsid w:val="006C3765"/>
    <w:rsid w:val="006C39BF"/>
    <w:rsid w:val="006C4775"/>
    <w:rsid w:val="006C5D88"/>
    <w:rsid w:val="006C6FA2"/>
    <w:rsid w:val="006C7000"/>
    <w:rsid w:val="006C7763"/>
    <w:rsid w:val="006D012B"/>
    <w:rsid w:val="006D12A7"/>
    <w:rsid w:val="006D2BD5"/>
    <w:rsid w:val="006D3ECE"/>
    <w:rsid w:val="006D4E45"/>
    <w:rsid w:val="006D5350"/>
    <w:rsid w:val="006E0317"/>
    <w:rsid w:val="006E0511"/>
    <w:rsid w:val="006E12C1"/>
    <w:rsid w:val="006E5580"/>
    <w:rsid w:val="006E607F"/>
    <w:rsid w:val="006E7DC2"/>
    <w:rsid w:val="006F0D73"/>
    <w:rsid w:val="006F1342"/>
    <w:rsid w:val="006F3D80"/>
    <w:rsid w:val="006F3EF5"/>
    <w:rsid w:val="006F49F0"/>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2105B"/>
    <w:rsid w:val="0072284E"/>
    <w:rsid w:val="00723508"/>
    <w:rsid w:val="00723795"/>
    <w:rsid w:val="00727EFF"/>
    <w:rsid w:val="007300A5"/>
    <w:rsid w:val="0073286C"/>
    <w:rsid w:val="007328CC"/>
    <w:rsid w:val="007330DF"/>
    <w:rsid w:val="00733260"/>
    <w:rsid w:val="00735070"/>
    <w:rsid w:val="00735AD3"/>
    <w:rsid w:val="00735FB9"/>
    <w:rsid w:val="007364DA"/>
    <w:rsid w:val="007409D2"/>
    <w:rsid w:val="00742222"/>
    <w:rsid w:val="00743EA9"/>
    <w:rsid w:val="0074529C"/>
    <w:rsid w:val="00747ECC"/>
    <w:rsid w:val="00750BF8"/>
    <w:rsid w:val="00750E2F"/>
    <w:rsid w:val="007515BC"/>
    <w:rsid w:val="00753328"/>
    <w:rsid w:val="00753433"/>
    <w:rsid w:val="00754E11"/>
    <w:rsid w:val="00756097"/>
    <w:rsid w:val="00764F3A"/>
    <w:rsid w:val="00765CC1"/>
    <w:rsid w:val="007669BA"/>
    <w:rsid w:val="00770261"/>
    <w:rsid w:val="007712EA"/>
    <w:rsid w:val="00772439"/>
    <w:rsid w:val="00772BEF"/>
    <w:rsid w:val="00773ACD"/>
    <w:rsid w:val="007768C5"/>
    <w:rsid w:val="0077715B"/>
    <w:rsid w:val="007773BD"/>
    <w:rsid w:val="00777B72"/>
    <w:rsid w:val="00777EEE"/>
    <w:rsid w:val="007811C0"/>
    <w:rsid w:val="007819CF"/>
    <w:rsid w:val="0078263F"/>
    <w:rsid w:val="00783657"/>
    <w:rsid w:val="00786840"/>
    <w:rsid w:val="00790852"/>
    <w:rsid w:val="00790EEE"/>
    <w:rsid w:val="00791304"/>
    <w:rsid w:val="00791677"/>
    <w:rsid w:val="00791E8E"/>
    <w:rsid w:val="007931A9"/>
    <w:rsid w:val="00794E52"/>
    <w:rsid w:val="00794E6C"/>
    <w:rsid w:val="007952A7"/>
    <w:rsid w:val="00796982"/>
    <w:rsid w:val="007A02C7"/>
    <w:rsid w:val="007A05C6"/>
    <w:rsid w:val="007A2C70"/>
    <w:rsid w:val="007A375D"/>
    <w:rsid w:val="007A38F5"/>
    <w:rsid w:val="007A5826"/>
    <w:rsid w:val="007A657A"/>
    <w:rsid w:val="007B249F"/>
    <w:rsid w:val="007B2AD6"/>
    <w:rsid w:val="007B3AB2"/>
    <w:rsid w:val="007B4330"/>
    <w:rsid w:val="007B435A"/>
    <w:rsid w:val="007B5D7E"/>
    <w:rsid w:val="007B6AFC"/>
    <w:rsid w:val="007B788E"/>
    <w:rsid w:val="007C17B1"/>
    <w:rsid w:val="007C43BB"/>
    <w:rsid w:val="007C6ED9"/>
    <w:rsid w:val="007C737B"/>
    <w:rsid w:val="007C7B54"/>
    <w:rsid w:val="007D06A3"/>
    <w:rsid w:val="007D1D13"/>
    <w:rsid w:val="007D20FF"/>
    <w:rsid w:val="007D36F2"/>
    <w:rsid w:val="007D3B6C"/>
    <w:rsid w:val="007D57DC"/>
    <w:rsid w:val="007E00A1"/>
    <w:rsid w:val="007E2BB1"/>
    <w:rsid w:val="007E2F2D"/>
    <w:rsid w:val="007E3A3A"/>
    <w:rsid w:val="007E3C1B"/>
    <w:rsid w:val="007E6D47"/>
    <w:rsid w:val="007E71C7"/>
    <w:rsid w:val="007E7D6C"/>
    <w:rsid w:val="007F0096"/>
    <w:rsid w:val="007F2BB3"/>
    <w:rsid w:val="007F35FA"/>
    <w:rsid w:val="007F3724"/>
    <w:rsid w:val="007F4330"/>
    <w:rsid w:val="007F45A7"/>
    <w:rsid w:val="007F4C1B"/>
    <w:rsid w:val="007F62A9"/>
    <w:rsid w:val="007F7D48"/>
    <w:rsid w:val="008022F1"/>
    <w:rsid w:val="0080288A"/>
    <w:rsid w:val="00802E2A"/>
    <w:rsid w:val="00803569"/>
    <w:rsid w:val="008049CE"/>
    <w:rsid w:val="00807058"/>
    <w:rsid w:val="0080739F"/>
    <w:rsid w:val="0080758E"/>
    <w:rsid w:val="0081025E"/>
    <w:rsid w:val="00812261"/>
    <w:rsid w:val="008124E6"/>
    <w:rsid w:val="00812B72"/>
    <w:rsid w:val="00813360"/>
    <w:rsid w:val="00813620"/>
    <w:rsid w:val="00816F3A"/>
    <w:rsid w:val="008171ED"/>
    <w:rsid w:val="00820A94"/>
    <w:rsid w:val="00822DB3"/>
    <w:rsid w:val="00823B52"/>
    <w:rsid w:val="00823B90"/>
    <w:rsid w:val="008304E8"/>
    <w:rsid w:val="00831ACA"/>
    <w:rsid w:val="00831AD5"/>
    <w:rsid w:val="00831BAA"/>
    <w:rsid w:val="00831E32"/>
    <w:rsid w:val="00833876"/>
    <w:rsid w:val="00833896"/>
    <w:rsid w:val="00834C7B"/>
    <w:rsid w:val="00836367"/>
    <w:rsid w:val="008375CF"/>
    <w:rsid w:val="008425D5"/>
    <w:rsid w:val="00843D20"/>
    <w:rsid w:val="00844454"/>
    <w:rsid w:val="00845D8B"/>
    <w:rsid w:val="00847192"/>
    <w:rsid w:val="0084731D"/>
    <w:rsid w:val="00850142"/>
    <w:rsid w:val="008511D0"/>
    <w:rsid w:val="00857420"/>
    <w:rsid w:val="0085773A"/>
    <w:rsid w:val="008603F1"/>
    <w:rsid w:val="00860CCE"/>
    <w:rsid w:val="00862540"/>
    <w:rsid w:val="00862551"/>
    <w:rsid w:val="0086294E"/>
    <w:rsid w:val="00863459"/>
    <w:rsid w:val="008637E1"/>
    <w:rsid w:val="008669BF"/>
    <w:rsid w:val="00867E68"/>
    <w:rsid w:val="008705F5"/>
    <w:rsid w:val="0087134A"/>
    <w:rsid w:val="00872009"/>
    <w:rsid w:val="00872CDA"/>
    <w:rsid w:val="0087340F"/>
    <w:rsid w:val="00873D37"/>
    <w:rsid w:val="00874188"/>
    <w:rsid w:val="00876879"/>
    <w:rsid w:val="0088302D"/>
    <w:rsid w:val="008830FE"/>
    <w:rsid w:val="00883A51"/>
    <w:rsid w:val="008841C7"/>
    <w:rsid w:val="00885271"/>
    <w:rsid w:val="00885C28"/>
    <w:rsid w:val="00885F6B"/>
    <w:rsid w:val="008866E0"/>
    <w:rsid w:val="00887803"/>
    <w:rsid w:val="00887ABA"/>
    <w:rsid w:val="00890F1B"/>
    <w:rsid w:val="00891481"/>
    <w:rsid w:val="00893A34"/>
    <w:rsid w:val="00893F1F"/>
    <w:rsid w:val="00894124"/>
    <w:rsid w:val="00895776"/>
    <w:rsid w:val="00897964"/>
    <w:rsid w:val="008A2903"/>
    <w:rsid w:val="008A2ECB"/>
    <w:rsid w:val="008A41D1"/>
    <w:rsid w:val="008A6B32"/>
    <w:rsid w:val="008A6D57"/>
    <w:rsid w:val="008A79EC"/>
    <w:rsid w:val="008A7DEB"/>
    <w:rsid w:val="008B39F2"/>
    <w:rsid w:val="008B7CC7"/>
    <w:rsid w:val="008C0BAD"/>
    <w:rsid w:val="008C1654"/>
    <w:rsid w:val="008C2E66"/>
    <w:rsid w:val="008C3CF3"/>
    <w:rsid w:val="008C4059"/>
    <w:rsid w:val="008C5061"/>
    <w:rsid w:val="008D321E"/>
    <w:rsid w:val="008D4069"/>
    <w:rsid w:val="008D4C74"/>
    <w:rsid w:val="008D578D"/>
    <w:rsid w:val="008D6F8D"/>
    <w:rsid w:val="008E0799"/>
    <w:rsid w:val="008E144C"/>
    <w:rsid w:val="008E1524"/>
    <w:rsid w:val="008E1751"/>
    <w:rsid w:val="008E35D5"/>
    <w:rsid w:val="008E499D"/>
    <w:rsid w:val="008F1742"/>
    <w:rsid w:val="008F3401"/>
    <w:rsid w:val="008F45DD"/>
    <w:rsid w:val="008F524F"/>
    <w:rsid w:val="008F546B"/>
    <w:rsid w:val="008F7F16"/>
    <w:rsid w:val="009011FA"/>
    <w:rsid w:val="00903A46"/>
    <w:rsid w:val="00906B80"/>
    <w:rsid w:val="00907EF1"/>
    <w:rsid w:val="00910F27"/>
    <w:rsid w:val="009112D6"/>
    <w:rsid w:val="00911779"/>
    <w:rsid w:val="00912583"/>
    <w:rsid w:val="00912FE6"/>
    <w:rsid w:val="00914851"/>
    <w:rsid w:val="0091537A"/>
    <w:rsid w:val="0091613C"/>
    <w:rsid w:val="00916AA9"/>
    <w:rsid w:val="00917703"/>
    <w:rsid w:val="00921613"/>
    <w:rsid w:val="00921AD9"/>
    <w:rsid w:val="00922DFB"/>
    <w:rsid w:val="00924DAD"/>
    <w:rsid w:val="00924EF9"/>
    <w:rsid w:val="00926B17"/>
    <w:rsid w:val="00931139"/>
    <w:rsid w:val="00931186"/>
    <w:rsid w:val="00931C60"/>
    <w:rsid w:val="00932330"/>
    <w:rsid w:val="00934B1F"/>
    <w:rsid w:val="009366A0"/>
    <w:rsid w:val="009407EE"/>
    <w:rsid w:val="00940DC2"/>
    <w:rsid w:val="00942D34"/>
    <w:rsid w:val="00943B26"/>
    <w:rsid w:val="00950357"/>
    <w:rsid w:val="0095200D"/>
    <w:rsid w:val="009542D3"/>
    <w:rsid w:val="00956DA6"/>
    <w:rsid w:val="009575E3"/>
    <w:rsid w:val="00957F52"/>
    <w:rsid w:val="00960387"/>
    <w:rsid w:val="00961C3D"/>
    <w:rsid w:val="00961DC0"/>
    <w:rsid w:val="00962484"/>
    <w:rsid w:val="0096278C"/>
    <w:rsid w:val="009643C4"/>
    <w:rsid w:val="00967BAA"/>
    <w:rsid w:val="00970DF3"/>
    <w:rsid w:val="00975870"/>
    <w:rsid w:val="00975CDC"/>
    <w:rsid w:val="009768F2"/>
    <w:rsid w:val="00981A56"/>
    <w:rsid w:val="00982020"/>
    <w:rsid w:val="00983242"/>
    <w:rsid w:val="00983700"/>
    <w:rsid w:val="00984467"/>
    <w:rsid w:val="0098563C"/>
    <w:rsid w:val="0098603E"/>
    <w:rsid w:val="00986F53"/>
    <w:rsid w:val="0099053A"/>
    <w:rsid w:val="009918E8"/>
    <w:rsid w:val="00991ACC"/>
    <w:rsid w:val="00992345"/>
    <w:rsid w:val="00993572"/>
    <w:rsid w:val="00995D58"/>
    <w:rsid w:val="0099604A"/>
    <w:rsid w:val="009962FE"/>
    <w:rsid w:val="00997E46"/>
    <w:rsid w:val="009A0E5A"/>
    <w:rsid w:val="009A1F84"/>
    <w:rsid w:val="009A237B"/>
    <w:rsid w:val="009A23EE"/>
    <w:rsid w:val="009A2C24"/>
    <w:rsid w:val="009A40F3"/>
    <w:rsid w:val="009A4293"/>
    <w:rsid w:val="009A6068"/>
    <w:rsid w:val="009B0464"/>
    <w:rsid w:val="009B1209"/>
    <w:rsid w:val="009B3F9B"/>
    <w:rsid w:val="009B4464"/>
    <w:rsid w:val="009B5ED9"/>
    <w:rsid w:val="009B687E"/>
    <w:rsid w:val="009B78C5"/>
    <w:rsid w:val="009C4DC5"/>
    <w:rsid w:val="009C4F2E"/>
    <w:rsid w:val="009C5262"/>
    <w:rsid w:val="009C6B0A"/>
    <w:rsid w:val="009D07A9"/>
    <w:rsid w:val="009D176F"/>
    <w:rsid w:val="009D5865"/>
    <w:rsid w:val="009D5E4C"/>
    <w:rsid w:val="009D6D25"/>
    <w:rsid w:val="009E03FB"/>
    <w:rsid w:val="009E17B9"/>
    <w:rsid w:val="009E39BD"/>
    <w:rsid w:val="009E56D2"/>
    <w:rsid w:val="009F06E5"/>
    <w:rsid w:val="009F09E6"/>
    <w:rsid w:val="009F39B2"/>
    <w:rsid w:val="009F630C"/>
    <w:rsid w:val="009F7B9A"/>
    <w:rsid w:val="009F7F75"/>
    <w:rsid w:val="00A0358C"/>
    <w:rsid w:val="00A03704"/>
    <w:rsid w:val="00A05AD3"/>
    <w:rsid w:val="00A067D6"/>
    <w:rsid w:val="00A06AC7"/>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60E7"/>
    <w:rsid w:val="00A2777E"/>
    <w:rsid w:val="00A3103A"/>
    <w:rsid w:val="00A31268"/>
    <w:rsid w:val="00A31E8F"/>
    <w:rsid w:val="00A32001"/>
    <w:rsid w:val="00A3580A"/>
    <w:rsid w:val="00A40AF3"/>
    <w:rsid w:val="00A41E37"/>
    <w:rsid w:val="00A41FC7"/>
    <w:rsid w:val="00A431E8"/>
    <w:rsid w:val="00A44EB9"/>
    <w:rsid w:val="00A458F0"/>
    <w:rsid w:val="00A46A67"/>
    <w:rsid w:val="00A474F8"/>
    <w:rsid w:val="00A51CC9"/>
    <w:rsid w:val="00A51EF6"/>
    <w:rsid w:val="00A52763"/>
    <w:rsid w:val="00A52964"/>
    <w:rsid w:val="00A53D6D"/>
    <w:rsid w:val="00A541BB"/>
    <w:rsid w:val="00A608B9"/>
    <w:rsid w:val="00A6211D"/>
    <w:rsid w:val="00A637DD"/>
    <w:rsid w:val="00A65EA6"/>
    <w:rsid w:val="00A72D91"/>
    <w:rsid w:val="00A73D4B"/>
    <w:rsid w:val="00A748A3"/>
    <w:rsid w:val="00A761FA"/>
    <w:rsid w:val="00A771C0"/>
    <w:rsid w:val="00A80CA4"/>
    <w:rsid w:val="00A81192"/>
    <w:rsid w:val="00A81297"/>
    <w:rsid w:val="00A82A72"/>
    <w:rsid w:val="00A85A08"/>
    <w:rsid w:val="00A86724"/>
    <w:rsid w:val="00A8672D"/>
    <w:rsid w:val="00A90B0E"/>
    <w:rsid w:val="00A90B93"/>
    <w:rsid w:val="00A92E1D"/>
    <w:rsid w:val="00A92F1A"/>
    <w:rsid w:val="00A94F1D"/>
    <w:rsid w:val="00A94F81"/>
    <w:rsid w:val="00A95810"/>
    <w:rsid w:val="00A95DA6"/>
    <w:rsid w:val="00A97006"/>
    <w:rsid w:val="00A97DC2"/>
    <w:rsid w:val="00AA0305"/>
    <w:rsid w:val="00AA1E55"/>
    <w:rsid w:val="00AA28BC"/>
    <w:rsid w:val="00AA2A15"/>
    <w:rsid w:val="00AA2A96"/>
    <w:rsid w:val="00AA2B71"/>
    <w:rsid w:val="00AA42A7"/>
    <w:rsid w:val="00AA50D5"/>
    <w:rsid w:val="00AA714E"/>
    <w:rsid w:val="00AB1C8B"/>
    <w:rsid w:val="00AB296E"/>
    <w:rsid w:val="00AB4B80"/>
    <w:rsid w:val="00AB7678"/>
    <w:rsid w:val="00AC014E"/>
    <w:rsid w:val="00AC238D"/>
    <w:rsid w:val="00AC4B7F"/>
    <w:rsid w:val="00AC7238"/>
    <w:rsid w:val="00AC7BEB"/>
    <w:rsid w:val="00AC7C05"/>
    <w:rsid w:val="00AD162D"/>
    <w:rsid w:val="00AD16E4"/>
    <w:rsid w:val="00AD2189"/>
    <w:rsid w:val="00AD2C02"/>
    <w:rsid w:val="00AD31A9"/>
    <w:rsid w:val="00AD5287"/>
    <w:rsid w:val="00AD6CF5"/>
    <w:rsid w:val="00AD7847"/>
    <w:rsid w:val="00AE097A"/>
    <w:rsid w:val="00AE1B5A"/>
    <w:rsid w:val="00AE20EE"/>
    <w:rsid w:val="00AE2151"/>
    <w:rsid w:val="00AE249D"/>
    <w:rsid w:val="00AE31B0"/>
    <w:rsid w:val="00AE3EC0"/>
    <w:rsid w:val="00AE6FC4"/>
    <w:rsid w:val="00AF0479"/>
    <w:rsid w:val="00AF0542"/>
    <w:rsid w:val="00AF26A2"/>
    <w:rsid w:val="00AF3DFB"/>
    <w:rsid w:val="00AF411C"/>
    <w:rsid w:val="00AF4B64"/>
    <w:rsid w:val="00AF5050"/>
    <w:rsid w:val="00AF7EC6"/>
    <w:rsid w:val="00B01B51"/>
    <w:rsid w:val="00B03333"/>
    <w:rsid w:val="00B033B6"/>
    <w:rsid w:val="00B0379D"/>
    <w:rsid w:val="00B0406A"/>
    <w:rsid w:val="00B06841"/>
    <w:rsid w:val="00B06B03"/>
    <w:rsid w:val="00B07DB6"/>
    <w:rsid w:val="00B113E5"/>
    <w:rsid w:val="00B1162D"/>
    <w:rsid w:val="00B14C06"/>
    <w:rsid w:val="00B153F0"/>
    <w:rsid w:val="00B162A3"/>
    <w:rsid w:val="00B162DA"/>
    <w:rsid w:val="00B1765A"/>
    <w:rsid w:val="00B17ECC"/>
    <w:rsid w:val="00B23398"/>
    <w:rsid w:val="00B245B0"/>
    <w:rsid w:val="00B26E56"/>
    <w:rsid w:val="00B31879"/>
    <w:rsid w:val="00B3311C"/>
    <w:rsid w:val="00B33125"/>
    <w:rsid w:val="00B34A3B"/>
    <w:rsid w:val="00B355C5"/>
    <w:rsid w:val="00B35F8B"/>
    <w:rsid w:val="00B3673D"/>
    <w:rsid w:val="00B44C6C"/>
    <w:rsid w:val="00B473A3"/>
    <w:rsid w:val="00B4757F"/>
    <w:rsid w:val="00B514AE"/>
    <w:rsid w:val="00B5187A"/>
    <w:rsid w:val="00B5229A"/>
    <w:rsid w:val="00B52E33"/>
    <w:rsid w:val="00B55CD1"/>
    <w:rsid w:val="00B605F9"/>
    <w:rsid w:val="00B61C67"/>
    <w:rsid w:val="00B6314D"/>
    <w:rsid w:val="00B64BD8"/>
    <w:rsid w:val="00B70EFF"/>
    <w:rsid w:val="00B713DA"/>
    <w:rsid w:val="00B71654"/>
    <w:rsid w:val="00B727C2"/>
    <w:rsid w:val="00B738C7"/>
    <w:rsid w:val="00B747AC"/>
    <w:rsid w:val="00B75E1D"/>
    <w:rsid w:val="00B77124"/>
    <w:rsid w:val="00B8023E"/>
    <w:rsid w:val="00B82106"/>
    <w:rsid w:val="00B82526"/>
    <w:rsid w:val="00B82809"/>
    <w:rsid w:val="00B85754"/>
    <w:rsid w:val="00B87915"/>
    <w:rsid w:val="00B9084D"/>
    <w:rsid w:val="00B91224"/>
    <w:rsid w:val="00B91420"/>
    <w:rsid w:val="00B92DEC"/>
    <w:rsid w:val="00B9525A"/>
    <w:rsid w:val="00B96297"/>
    <w:rsid w:val="00BA015D"/>
    <w:rsid w:val="00BA064C"/>
    <w:rsid w:val="00BA08F9"/>
    <w:rsid w:val="00BA0C85"/>
    <w:rsid w:val="00BA1B22"/>
    <w:rsid w:val="00BA4091"/>
    <w:rsid w:val="00BA4735"/>
    <w:rsid w:val="00BA54D5"/>
    <w:rsid w:val="00BB2DB8"/>
    <w:rsid w:val="00BB3A50"/>
    <w:rsid w:val="00BB4D9B"/>
    <w:rsid w:val="00BB647C"/>
    <w:rsid w:val="00BC0C83"/>
    <w:rsid w:val="00BC33E7"/>
    <w:rsid w:val="00BC5A0A"/>
    <w:rsid w:val="00BC61B1"/>
    <w:rsid w:val="00BC74B2"/>
    <w:rsid w:val="00BD1F16"/>
    <w:rsid w:val="00BD201F"/>
    <w:rsid w:val="00BD27A9"/>
    <w:rsid w:val="00BD55D3"/>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8C3"/>
    <w:rsid w:val="00BF4F4D"/>
    <w:rsid w:val="00BF5144"/>
    <w:rsid w:val="00BF5E9D"/>
    <w:rsid w:val="00C00747"/>
    <w:rsid w:val="00C01116"/>
    <w:rsid w:val="00C02336"/>
    <w:rsid w:val="00C04254"/>
    <w:rsid w:val="00C043A7"/>
    <w:rsid w:val="00C044F1"/>
    <w:rsid w:val="00C050D3"/>
    <w:rsid w:val="00C059BC"/>
    <w:rsid w:val="00C10374"/>
    <w:rsid w:val="00C12840"/>
    <w:rsid w:val="00C13480"/>
    <w:rsid w:val="00C1593D"/>
    <w:rsid w:val="00C172E3"/>
    <w:rsid w:val="00C217D7"/>
    <w:rsid w:val="00C21910"/>
    <w:rsid w:val="00C22372"/>
    <w:rsid w:val="00C22791"/>
    <w:rsid w:val="00C244FF"/>
    <w:rsid w:val="00C26096"/>
    <w:rsid w:val="00C268EB"/>
    <w:rsid w:val="00C27FC3"/>
    <w:rsid w:val="00C33D51"/>
    <w:rsid w:val="00C34065"/>
    <w:rsid w:val="00C35BF3"/>
    <w:rsid w:val="00C3670D"/>
    <w:rsid w:val="00C41370"/>
    <w:rsid w:val="00C41411"/>
    <w:rsid w:val="00C41EED"/>
    <w:rsid w:val="00C442B6"/>
    <w:rsid w:val="00C459A1"/>
    <w:rsid w:val="00C46CA7"/>
    <w:rsid w:val="00C47A2B"/>
    <w:rsid w:val="00C50700"/>
    <w:rsid w:val="00C5096F"/>
    <w:rsid w:val="00C50CC6"/>
    <w:rsid w:val="00C5302D"/>
    <w:rsid w:val="00C5403F"/>
    <w:rsid w:val="00C545F2"/>
    <w:rsid w:val="00C55956"/>
    <w:rsid w:val="00C55CDD"/>
    <w:rsid w:val="00C5787F"/>
    <w:rsid w:val="00C57E44"/>
    <w:rsid w:val="00C60E71"/>
    <w:rsid w:val="00C61A6F"/>
    <w:rsid w:val="00C62F4A"/>
    <w:rsid w:val="00C6318D"/>
    <w:rsid w:val="00C634DB"/>
    <w:rsid w:val="00C63883"/>
    <w:rsid w:val="00C65B81"/>
    <w:rsid w:val="00C66506"/>
    <w:rsid w:val="00C70641"/>
    <w:rsid w:val="00C72EF0"/>
    <w:rsid w:val="00C7318D"/>
    <w:rsid w:val="00C74CC2"/>
    <w:rsid w:val="00C76487"/>
    <w:rsid w:val="00C76F49"/>
    <w:rsid w:val="00C77322"/>
    <w:rsid w:val="00C77741"/>
    <w:rsid w:val="00C77ACD"/>
    <w:rsid w:val="00C81584"/>
    <w:rsid w:val="00C82D85"/>
    <w:rsid w:val="00C82FC1"/>
    <w:rsid w:val="00C83726"/>
    <w:rsid w:val="00C85536"/>
    <w:rsid w:val="00C9240D"/>
    <w:rsid w:val="00C92D7D"/>
    <w:rsid w:val="00C96565"/>
    <w:rsid w:val="00C975F3"/>
    <w:rsid w:val="00C9766A"/>
    <w:rsid w:val="00C9795B"/>
    <w:rsid w:val="00CA1310"/>
    <w:rsid w:val="00CA2599"/>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6BD8"/>
    <w:rsid w:val="00CB74C1"/>
    <w:rsid w:val="00CC0031"/>
    <w:rsid w:val="00CC1B2D"/>
    <w:rsid w:val="00CC2C4F"/>
    <w:rsid w:val="00CC3FDF"/>
    <w:rsid w:val="00CC60B9"/>
    <w:rsid w:val="00CD1628"/>
    <w:rsid w:val="00CD2712"/>
    <w:rsid w:val="00CD35A0"/>
    <w:rsid w:val="00CD41EE"/>
    <w:rsid w:val="00CD476F"/>
    <w:rsid w:val="00CD664F"/>
    <w:rsid w:val="00CD7C95"/>
    <w:rsid w:val="00CE3D5E"/>
    <w:rsid w:val="00CE3DAC"/>
    <w:rsid w:val="00CE49E7"/>
    <w:rsid w:val="00CE642E"/>
    <w:rsid w:val="00CF034B"/>
    <w:rsid w:val="00CF04C7"/>
    <w:rsid w:val="00CF32E9"/>
    <w:rsid w:val="00CF345C"/>
    <w:rsid w:val="00CF4E94"/>
    <w:rsid w:val="00CF56C1"/>
    <w:rsid w:val="00CF75BA"/>
    <w:rsid w:val="00D009CF"/>
    <w:rsid w:val="00D0100E"/>
    <w:rsid w:val="00D010E3"/>
    <w:rsid w:val="00D01A19"/>
    <w:rsid w:val="00D02E90"/>
    <w:rsid w:val="00D0482D"/>
    <w:rsid w:val="00D05810"/>
    <w:rsid w:val="00D10925"/>
    <w:rsid w:val="00D13B79"/>
    <w:rsid w:val="00D1495C"/>
    <w:rsid w:val="00D15ADE"/>
    <w:rsid w:val="00D20416"/>
    <w:rsid w:val="00D20CCF"/>
    <w:rsid w:val="00D21942"/>
    <w:rsid w:val="00D22986"/>
    <w:rsid w:val="00D22B65"/>
    <w:rsid w:val="00D23682"/>
    <w:rsid w:val="00D30BD9"/>
    <w:rsid w:val="00D30C9F"/>
    <w:rsid w:val="00D31275"/>
    <w:rsid w:val="00D3196B"/>
    <w:rsid w:val="00D324FC"/>
    <w:rsid w:val="00D35F36"/>
    <w:rsid w:val="00D378DF"/>
    <w:rsid w:val="00D41322"/>
    <w:rsid w:val="00D42B0C"/>
    <w:rsid w:val="00D47AC5"/>
    <w:rsid w:val="00D5090D"/>
    <w:rsid w:val="00D5113F"/>
    <w:rsid w:val="00D52351"/>
    <w:rsid w:val="00D56336"/>
    <w:rsid w:val="00D56BA7"/>
    <w:rsid w:val="00D576E9"/>
    <w:rsid w:val="00D5781D"/>
    <w:rsid w:val="00D617EF"/>
    <w:rsid w:val="00D62ECD"/>
    <w:rsid w:val="00D65CF2"/>
    <w:rsid w:val="00D65DE1"/>
    <w:rsid w:val="00D6682C"/>
    <w:rsid w:val="00D66CF8"/>
    <w:rsid w:val="00D66DB5"/>
    <w:rsid w:val="00D67F9B"/>
    <w:rsid w:val="00D7008D"/>
    <w:rsid w:val="00D7086E"/>
    <w:rsid w:val="00D70C49"/>
    <w:rsid w:val="00D70F3A"/>
    <w:rsid w:val="00D71EDD"/>
    <w:rsid w:val="00D72BEF"/>
    <w:rsid w:val="00D72C62"/>
    <w:rsid w:val="00D73886"/>
    <w:rsid w:val="00D75F6D"/>
    <w:rsid w:val="00D76AB8"/>
    <w:rsid w:val="00D772B3"/>
    <w:rsid w:val="00D77A52"/>
    <w:rsid w:val="00D81B58"/>
    <w:rsid w:val="00D81C14"/>
    <w:rsid w:val="00D832D5"/>
    <w:rsid w:val="00D83376"/>
    <w:rsid w:val="00D84B5D"/>
    <w:rsid w:val="00D853FF"/>
    <w:rsid w:val="00D8705F"/>
    <w:rsid w:val="00D87A07"/>
    <w:rsid w:val="00D91F13"/>
    <w:rsid w:val="00D92A15"/>
    <w:rsid w:val="00D934FF"/>
    <w:rsid w:val="00D943DD"/>
    <w:rsid w:val="00D94BE5"/>
    <w:rsid w:val="00D957C0"/>
    <w:rsid w:val="00D965FE"/>
    <w:rsid w:val="00D97095"/>
    <w:rsid w:val="00DA0546"/>
    <w:rsid w:val="00DA1332"/>
    <w:rsid w:val="00DA377B"/>
    <w:rsid w:val="00DA48F6"/>
    <w:rsid w:val="00DA5238"/>
    <w:rsid w:val="00DA53C1"/>
    <w:rsid w:val="00DA5621"/>
    <w:rsid w:val="00DA5B67"/>
    <w:rsid w:val="00DA7ECD"/>
    <w:rsid w:val="00DB09E4"/>
    <w:rsid w:val="00DB0F42"/>
    <w:rsid w:val="00DB2D17"/>
    <w:rsid w:val="00DB5E4D"/>
    <w:rsid w:val="00DB5F9F"/>
    <w:rsid w:val="00DB6D1F"/>
    <w:rsid w:val="00DB7F06"/>
    <w:rsid w:val="00DC11CB"/>
    <w:rsid w:val="00DC13EA"/>
    <w:rsid w:val="00DC1BB7"/>
    <w:rsid w:val="00DC3ADA"/>
    <w:rsid w:val="00DC4A0B"/>
    <w:rsid w:val="00DC4D66"/>
    <w:rsid w:val="00DC5220"/>
    <w:rsid w:val="00DC73B8"/>
    <w:rsid w:val="00DC78F4"/>
    <w:rsid w:val="00DD026E"/>
    <w:rsid w:val="00DD1715"/>
    <w:rsid w:val="00DD2C4D"/>
    <w:rsid w:val="00DD35FE"/>
    <w:rsid w:val="00DD37BF"/>
    <w:rsid w:val="00DD4340"/>
    <w:rsid w:val="00DD44AD"/>
    <w:rsid w:val="00DD45F6"/>
    <w:rsid w:val="00DD5596"/>
    <w:rsid w:val="00DD5A7F"/>
    <w:rsid w:val="00DD6B23"/>
    <w:rsid w:val="00DE1D73"/>
    <w:rsid w:val="00DE1E06"/>
    <w:rsid w:val="00DE342A"/>
    <w:rsid w:val="00DE48C3"/>
    <w:rsid w:val="00DE493A"/>
    <w:rsid w:val="00DE5099"/>
    <w:rsid w:val="00DE58AE"/>
    <w:rsid w:val="00DE7190"/>
    <w:rsid w:val="00DF1157"/>
    <w:rsid w:val="00DF178D"/>
    <w:rsid w:val="00DF2711"/>
    <w:rsid w:val="00DF2E2D"/>
    <w:rsid w:val="00DF38C7"/>
    <w:rsid w:val="00DF4392"/>
    <w:rsid w:val="00DF4E1F"/>
    <w:rsid w:val="00DF69A1"/>
    <w:rsid w:val="00DF6DE1"/>
    <w:rsid w:val="00DF752E"/>
    <w:rsid w:val="00E0035B"/>
    <w:rsid w:val="00E00956"/>
    <w:rsid w:val="00E011B3"/>
    <w:rsid w:val="00E01A14"/>
    <w:rsid w:val="00E01A51"/>
    <w:rsid w:val="00E02EE2"/>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0D1F"/>
    <w:rsid w:val="00E245F0"/>
    <w:rsid w:val="00E2566D"/>
    <w:rsid w:val="00E27820"/>
    <w:rsid w:val="00E304B3"/>
    <w:rsid w:val="00E32827"/>
    <w:rsid w:val="00E329AF"/>
    <w:rsid w:val="00E342B0"/>
    <w:rsid w:val="00E3437C"/>
    <w:rsid w:val="00E350B7"/>
    <w:rsid w:val="00E356BA"/>
    <w:rsid w:val="00E37D1E"/>
    <w:rsid w:val="00E40979"/>
    <w:rsid w:val="00E435B7"/>
    <w:rsid w:val="00E43A26"/>
    <w:rsid w:val="00E466D8"/>
    <w:rsid w:val="00E46AF2"/>
    <w:rsid w:val="00E47557"/>
    <w:rsid w:val="00E503F7"/>
    <w:rsid w:val="00E5543F"/>
    <w:rsid w:val="00E57EBE"/>
    <w:rsid w:val="00E6140D"/>
    <w:rsid w:val="00E61F1A"/>
    <w:rsid w:val="00E61F52"/>
    <w:rsid w:val="00E6414B"/>
    <w:rsid w:val="00E64851"/>
    <w:rsid w:val="00E67C51"/>
    <w:rsid w:val="00E70BD3"/>
    <w:rsid w:val="00E71783"/>
    <w:rsid w:val="00E71967"/>
    <w:rsid w:val="00E7237E"/>
    <w:rsid w:val="00E72A5A"/>
    <w:rsid w:val="00E72D5C"/>
    <w:rsid w:val="00E735B1"/>
    <w:rsid w:val="00E73BE0"/>
    <w:rsid w:val="00E741ED"/>
    <w:rsid w:val="00E770AD"/>
    <w:rsid w:val="00E77FD2"/>
    <w:rsid w:val="00E81DCB"/>
    <w:rsid w:val="00E85206"/>
    <w:rsid w:val="00E909D5"/>
    <w:rsid w:val="00E90B31"/>
    <w:rsid w:val="00E90BDF"/>
    <w:rsid w:val="00E923E8"/>
    <w:rsid w:val="00E929ED"/>
    <w:rsid w:val="00E940AC"/>
    <w:rsid w:val="00E94F36"/>
    <w:rsid w:val="00E95883"/>
    <w:rsid w:val="00EA258A"/>
    <w:rsid w:val="00EA447E"/>
    <w:rsid w:val="00EA4DBC"/>
    <w:rsid w:val="00EA50AB"/>
    <w:rsid w:val="00EA7761"/>
    <w:rsid w:val="00EB037F"/>
    <w:rsid w:val="00EB10EA"/>
    <w:rsid w:val="00EB1595"/>
    <w:rsid w:val="00EB31AB"/>
    <w:rsid w:val="00EB4847"/>
    <w:rsid w:val="00EB4EFE"/>
    <w:rsid w:val="00EB5751"/>
    <w:rsid w:val="00EC175E"/>
    <w:rsid w:val="00EC22D7"/>
    <w:rsid w:val="00EC245A"/>
    <w:rsid w:val="00EC4BAE"/>
    <w:rsid w:val="00EC5B7C"/>
    <w:rsid w:val="00EC5D37"/>
    <w:rsid w:val="00EC6A3F"/>
    <w:rsid w:val="00ED2391"/>
    <w:rsid w:val="00ED3DA3"/>
    <w:rsid w:val="00ED5CF0"/>
    <w:rsid w:val="00EE6411"/>
    <w:rsid w:val="00EE66C7"/>
    <w:rsid w:val="00EE6B2F"/>
    <w:rsid w:val="00EE6F84"/>
    <w:rsid w:val="00EE70C3"/>
    <w:rsid w:val="00EF02F8"/>
    <w:rsid w:val="00EF0400"/>
    <w:rsid w:val="00EF103C"/>
    <w:rsid w:val="00EF1B7E"/>
    <w:rsid w:val="00EF5730"/>
    <w:rsid w:val="00EF5C83"/>
    <w:rsid w:val="00EF7D7A"/>
    <w:rsid w:val="00F002B2"/>
    <w:rsid w:val="00F00AC2"/>
    <w:rsid w:val="00F01C27"/>
    <w:rsid w:val="00F0204B"/>
    <w:rsid w:val="00F03B3D"/>
    <w:rsid w:val="00F05177"/>
    <w:rsid w:val="00F0601A"/>
    <w:rsid w:val="00F0724E"/>
    <w:rsid w:val="00F12FA2"/>
    <w:rsid w:val="00F14C67"/>
    <w:rsid w:val="00F15518"/>
    <w:rsid w:val="00F17616"/>
    <w:rsid w:val="00F177B8"/>
    <w:rsid w:val="00F22E5F"/>
    <w:rsid w:val="00F233B0"/>
    <w:rsid w:val="00F24E5E"/>
    <w:rsid w:val="00F25D76"/>
    <w:rsid w:val="00F26DA9"/>
    <w:rsid w:val="00F31D64"/>
    <w:rsid w:val="00F33537"/>
    <w:rsid w:val="00F33736"/>
    <w:rsid w:val="00F33B09"/>
    <w:rsid w:val="00F3434E"/>
    <w:rsid w:val="00F358FC"/>
    <w:rsid w:val="00F36D4A"/>
    <w:rsid w:val="00F376EB"/>
    <w:rsid w:val="00F37FE5"/>
    <w:rsid w:val="00F40EC2"/>
    <w:rsid w:val="00F40EFA"/>
    <w:rsid w:val="00F41545"/>
    <w:rsid w:val="00F41A97"/>
    <w:rsid w:val="00F41EEA"/>
    <w:rsid w:val="00F4341D"/>
    <w:rsid w:val="00F4545C"/>
    <w:rsid w:val="00F45E80"/>
    <w:rsid w:val="00F50177"/>
    <w:rsid w:val="00F51132"/>
    <w:rsid w:val="00F51CC5"/>
    <w:rsid w:val="00F51F90"/>
    <w:rsid w:val="00F5224D"/>
    <w:rsid w:val="00F567BF"/>
    <w:rsid w:val="00F56AC0"/>
    <w:rsid w:val="00F56F0E"/>
    <w:rsid w:val="00F56F47"/>
    <w:rsid w:val="00F57335"/>
    <w:rsid w:val="00F57883"/>
    <w:rsid w:val="00F57A39"/>
    <w:rsid w:val="00F61F72"/>
    <w:rsid w:val="00F62680"/>
    <w:rsid w:val="00F63723"/>
    <w:rsid w:val="00F63BA4"/>
    <w:rsid w:val="00F65E9E"/>
    <w:rsid w:val="00F7025D"/>
    <w:rsid w:val="00F72085"/>
    <w:rsid w:val="00F73FF5"/>
    <w:rsid w:val="00F74EFB"/>
    <w:rsid w:val="00F76F54"/>
    <w:rsid w:val="00F7712A"/>
    <w:rsid w:val="00F77955"/>
    <w:rsid w:val="00F803F8"/>
    <w:rsid w:val="00F8144D"/>
    <w:rsid w:val="00F82B0E"/>
    <w:rsid w:val="00F8415B"/>
    <w:rsid w:val="00F84424"/>
    <w:rsid w:val="00F84BE6"/>
    <w:rsid w:val="00F869F8"/>
    <w:rsid w:val="00F86B46"/>
    <w:rsid w:val="00F86BE3"/>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B0933"/>
    <w:rsid w:val="00FB13E0"/>
    <w:rsid w:val="00FB38D6"/>
    <w:rsid w:val="00FB4CA8"/>
    <w:rsid w:val="00FB5EBA"/>
    <w:rsid w:val="00FB6B34"/>
    <w:rsid w:val="00FB7973"/>
    <w:rsid w:val="00FC07C4"/>
    <w:rsid w:val="00FC1619"/>
    <w:rsid w:val="00FC19E8"/>
    <w:rsid w:val="00FC22CF"/>
    <w:rsid w:val="00FC3B31"/>
    <w:rsid w:val="00FC43D1"/>
    <w:rsid w:val="00FC4541"/>
    <w:rsid w:val="00FC5866"/>
    <w:rsid w:val="00FC5B63"/>
    <w:rsid w:val="00FC5E53"/>
    <w:rsid w:val="00FD0BDA"/>
    <w:rsid w:val="00FD3EB9"/>
    <w:rsid w:val="00FD4975"/>
    <w:rsid w:val="00FD4992"/>
    <w:rsid w:val="00FD6D9B"/>
    <w:rsid w:val="00FD79FF"/>
    <w:rsid w:val="00FE297B"/>
    <w:rsid w:val="00FE3880"/>
    <w:rsid w:val="00FE47DF"/>
    <w:rsid w:val="00FE7555"/>
    <w:rsid w:val="00FE75DD"/>
    <w:rsid w:val="00FF0C5F"/>
    <w:rsid w:val="00FF0CC1"/>
    <w:rsid w:val="00FF12CE"/>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link w:val="ListParagraphChar"/>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7B3AB2"/>
    <w:pPr>
      <w:spacing w:line="300" w:lineRule="atLeast"/>
      <w:jc w:val="both"/>
    </w:pPr>
    <w:rPr>
      <w:sz w:val="24"/>
      <w:lang w:eastAsia="en-AU"/>
    </w:rPr>
  </w:style>
  <w:style w:type="character" w:customStyle="1" w:styleId="ListParagraphChar">
    <w:name w:val="List Paragraph Char"/>
    <w:basedOn w:val="DefaultParagraphFont"/>
    <w:link w:val="ListParagraph"/>
    <w:uiPriority w:val="34"/>
    <w:rsid w:val="00F84BE6"/>
    <w:rPr>
      <w:rFonts w:ascii="Arial" w:hAnsi="Arial"/>
      <w:sz w:val="22"/>
      <w:lang w:eastAsia="en-US"/>
    </w:rPr>
  </w:style>
  <w:style w:type="paragraph" w:styleId="Revision">
    <w:name w:val="Revision"/>
    <w:hidden/>
    <w:uiPriority w:val="99"/>
    <w:semiHidden/>
    <w:rsid w:val="003D656C"/>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link w:val="ListParagraphChar"/>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7B3AB2"/>
    <w:pPr>
      <w:spacing w:line="300" w:lineRule="atLeast"/>
      <w:jc w:val="both"/>
    </w:pPr>
    <w:rPr>
      <w:sz w:val="24"/>
      <w:lang w:eastAsia="en-AU"/>
    </w:rPr>
  </w:style>
  <w:style w:type="character" w:customStyle="1" w:styleId="ListParagraphChar">
    <w:name w:val="List Paragraph Char"/>
    <w:basedOn w:val="DefaultParagraphFont"/>
    <w:link w:val="ListParagraph"/>
    <w:uiPriority w:val="34"/>
    <w:rsid w:val="00F84BE6"/>
    <w:rPr>
      <w:rFonts w:ascii="Arial" w:hAnsi="Arial"/>
      <w:sz w:val="22"/>
      <w:lang w:eastAsia="en-US"/>
    </w:rPr>
  </w:style>
  <w:style w:type="paragraph" w:styleId="Revision">
    <w:name w:val="Revision"/>
    <w:hidden/>
    <w:uiPriority w:val="99"/>
    <w:semiHidden/>
    <w:rsid w:val="003D656C"/>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slation.govt.nz/act/public/1994/0166/latest/link.aspx?id=DLM2140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C501-A527-4A4F-B093-B848BAA4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4155</Words>
  <Characters>22111</Characters>
  <Application>Microsoft Office Word</Application>
  <DocSecurity>0</DocSecurity>
  <Lines>491</Lines>
  <Paragraphs>197</Paragraphs>
  <ScaleCrop>false</ScaleCrop>
  <HeadingPairs>
    <vt:vector size="2" baseType="variant">
      <vt:variant>
        <vt:lpstr>Title</vt:lpstr>
      </vt:variant>
      <vt:variant>
        <vt:i4>1</vt:i4>
      </vt:variant>
    </vt:vector>
  </HeadingPairs>
  <TitlesOfParts>
    <vt:vector size="1" baseType="lpstr">
      <vt:lpstr>Regulatory impact statement - Requiring non-resident IRD number applicants to have a New Zealand bank account (30 November 2016)</vt:lpstr>
    </vt:vector>
  </TitlesOfParts>
  <Company>Inland Revenue</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Requiring non-resident IRD number applicants to have a New Zealand bank account (30 November 2016)</dc:title>
  <dc:subject/>
  <dc:creator>Policy and Strategy</dc:creator>
  <cp:keywords/>
  <dc:description>Published April 2017.</dc:description>
  <cp:lastModifiedBy>David Nind</cp:lastModifiedBy>
  <cp:revision>2</cp:revision>
  <dcterms:created xsi:type="dcterms:W3CDTF">2017-04-03T06:07:00Z</dcterms:created>
  <dcterms:modified xsi:type="dcterms:W3CDTF">2017-04-03T06:08:00Z</dcterms:modified>
</cp:coreProperties>
</file>