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F73EDF" w:rsidRDefault="007C737B" w:rsidP="00EE4CDF">
      <w:pPr>
        <w:pStyle w:val="RISheading"/>
        <w:spacing w:before="0"/>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F73EDF">
        <w:rPr>
          <w:w w:val="100"/>
          <w:sz w:val="32"/>
          <w:szCs w:val="32"/>
        </w:rPr>
        <w:t>Regulatory Impact Statement</w:t>
      </w:r>
      <w:bookmarkEnd w:id="1"/>
      <w:bookmarkEnd w:id="2"/>
      <w:bookmarkEnd w:id="3"/>
      <w:bookmarkEnd w:id="4"/>
      <w:bookmarkEnd w:id="5"/>
    </w:p>
    <w:p w:rsidR="000545DC" w:rsidRPr="00F73EDF" w:rsidRDefault="004F65B3" w:rsidP="00F7490D">
      <w:pPr>
        <w:pStyle w:val="RISheading"/>
        <w:jc w:val="both"/>
        <w:rPr>
          <w:spacing w:val="0"/>
          <w:w w:val="100"/>
        </w:rPr>
      </w:pPr>
      <w:r w:rsidRPr="00F73EDF">
        <w:rPr>
          <w:spacing w:val="0"/>
          <w:w w:val="100"/>
        </w:rPr>
        <w:t>Lloyd’s of London – tax simplification</w:t>
      </w:r>
    </w:p>
    <w:p w:rsidR="000545DC" w:rsidRPr="00F73EDF" w:rsidRDefault="001C6912" w:rsidP="00EE4CDF">
      <w:pPr>
        <w:pStyle w:val="RISheading"/>
        <w:jc w:val="both"/>
        <w:rPr>
          <w:spacing w:val="0"/>
          <w:w w:val="100"/>
        </w:rPr>
      </w:pPr>
      <w:r w:rsidRPr="00F73EDF">
        <w:rPr>
          <w:spacing w:val="0"/>
          <w:w w:val="100"/>
        </w:rPr>
        <w:t xml:space="preserve">Agency </w:t>
      </w:r>
      <w:r w:rsidR="000545DC" w:rsidRPr="00F73EDF">
        <w:rPr>
          <w:spacing w:val="0"/>
          <w:w w:val="100"/>
        </w:rPr>
        <w:t xml:space="preserve">Disclosure Statement </w:t>
      </w:r>
    </w:p>
    <w:p w:rsidR="000545DC" w:rsidRPr="00F73EDF" w:rsidRDefault="000545DC" w:rsidP="00EE4CDF">
      <w:pPr>
        <w:pStyle w:val="ListParagraph"/>
        <w:spacing w:line="300" w:lineRule="atLeast"/>
        <w:ind w:left="0" w:right="170"/>
        <w:contextualSpacing w:val="0"/>
        <w:rPr>
          <w:rFonts w:ascii="Times New Roman" w:hAnsi="Times New Roman"/>
          <w:sz w:val="24"/>
          <w:szCs w:val="24"/>
        </w:rPr>
      </w:pPr>
      <w:r w:rsidRPr="00F73EDF">
        <w:rPr>
          <w:rFonts w:ascii="Times New Roman" w:hAnsi="Times New Roman"/>
          <w:sz w:val="24"/>
          <w:szCs w:val="24"/>
        </w:rPr>
        <w:t xml:space="preserve">This Regulatory Impact Statement </w:t>
      </w:r>
      <w:r w:rsidR="0090245D" w:rsidRPr="00F73EDF">
        <w:rPr>
          <w:rFonts w:ascii="Times New Roman" w:hAnsi="Times New Roman"/>
          <w:sz w:val="24"/>
          <w:szCs w:val="24"/>
        </w:rPr>
        <w:t xml:space="preserve">(RIS) </w:t>
      </w:r>
      <w:r w:rsidRPr="00F73EDF">
        <w:rPr>
          <w:rFonts w:ascii="Times New Roman" w:hAnsi="Times New Roman"/>
          <w:sz w:val="24"/>
          <w:szCs w:val="24"/>
        </w:rPr>
        <w:t xml:space="preserve">has been prepared by </w:t>
      </w:r>
      <w:r w:rsidR="009F7B9A" w:rsidRPr="00F73EDF">
        <w:rPr>
          <w:rFonts w:ascii="Times New Roman" w:hAnsi="Times New Roman"/>
          <w:sz w:val="24"/>
          <w:szCs w:val="24"/>
        </w:rPr>
        <w:t>Inland Revenue</w:t>
      </w:r>
      <w:r w:rsidR="009A23EE" w:rsidRPr="00F73EDF">
        <w:rPr>
          <w:rFonts w:ascii="Times New Roman" w:hAnsi="Times New Roman"/>
          <w:sz w:val="24"/>
          <w:szCs w:val="24"/>
        </w:rPr>
        <w:t>.</w:t>
      </w:r>
    </w:p>
    <w:p w:rsidR="004342F0" w:rsidRPr="00F73EDF" w:rsidRDefault="004342F0" w:rsidP="00EE4CDF">
      <w:pPr>
        <w:pStyle w:val="ListParagraph"/>
        <w:spacing w:line="300" w:lineRule="atLeast"/>
        <w:ind w:left="0" w:right="170"/>
        <w:contextualSpacing w:val="0"/>
        <w:rPr>
          <w:rFonts w:ascii="Times New Roman" w:hAnsi="Times New Roman"/>
          <w:sz w:val="24"/>
          <w:szCs w:val="24"/>
        </w:rPr>
      </w:pPr>
    </w:p>
    <w:p w:rsidR="000545DC" w:rsidRPr="00F73EDF" w:rsidRDefault="000545DC" w:rsidP="00EE4CDF">
      <w:pPr>
        <w:pStyle w:val="ListParagraph"/>
        <w:spacing w:line="300" w:lineRule="atLeast"/>
        <w:ind w:left="0" w:right="170"/>
        <w:contextualSpacing w:val="0"/>
        <w:rPr>
          <w:rFonts w:ascii="Times New Roman" w:hAnsi="Times New Roman"/>
          <w:sz w:val="24"/>
          <w:szCs w:val="24"/>
        </w:rPr>
      </w:pPr>
      <w:r w:rsidRPr="00F73EDF">
        <w:rPr>
          <w:rFonts w:ascii="Times New Roman" w:hAnsi="Times New Roman"/>
          <w:sz w:val="24"/>
          <w:szCs w:val="24"/>
        </w:rPr>
        <w:t>It provides an analysis of options to</w:t>
      </w:r>
      <w:r w:rsidR="00C26907" w:rsidRPr="00F73EDF">
        <w:rPr>
          <w:rFonts w:ascii="Times New Roman" w:hAnsi="Times New Roman"/>
          <w:sz w:val="24"/>
          <w:szCs w:val="24"/>
        </w:rPr>
        <w:t xml:space="preserve"> </w:t>
      </w:r>
      <w:r w:rsidR="00CE0121" w:rsidRPr="00F73EDF">
        <w:rPr>
          <w:rFonts w:ascii="Times New Roman" w:hAnsi="Times New Roman"/>
          <w:sz w:val="24"/>
          <w:szCs w:val="24"/>
        </w:rPr>
        <w:t>simplify</w:t>
      </w:r>
      <w:r w:rsidR="00C26907" w:rsidRPr="00F73EDF">
        <w:rPr>
          <w:rFonts w:ascii="Times New Roman" w:hAnsi="Times New Roman"/>
          <w:sz w:val="24"/>
          <w:szCs w:val="24"/>
        </w:rPr>
        <w:t xml:space="preserve"> </w:t>
      </w:r>
      <w:r w:rsidR="00CE0121" w:rsidRPr="00F73EDF">
        <w:rPr>
          <w:rFonts w:ascii="Times New Roman" w:hAnsi="Times New Roman"/>
          <w:sz w:val="24"/>
          <w:szCs w:val="24"/>
        </w:rPr>
        <w:t>tax compliance</w:t>
      </w:r>
      <w:r w:rsidR="00334E66" w:rsidRPr="00F73EDF">
        <w:rPr>
          <w:rFonts w:ascii="Times New Roman" w:hAnsi="Times New Roman"/>
          <w:sz w:val="24"/>
          <w:szCs w:val="24"/>
          <w:lang w:val="en-GB" w:eastAsia="en-GB"/>
        </w:rPr>
        <w:t xml:space="preserve"> </w:t>
      </w:r>
      <w:r w:rsidR="00890FCE" w:rsidRPr="00F73EDF">
        <w:rPr>
          <w:rFonts w:ascii="Times New Roman" w:hAnsi="Times New Roman"/>
          <w:sz w:val="24"/>
          <w:szCs w:val="24"/>
          <w:lang w:val="en-GB" w:eastAsia="en-GB"/>
        </w:rPr>
        <w:t xml:space="preserve">for Lloyd’s of London in connection with income earned from its proposed New Zealand term-life insurance </w:t>
      </w:r>
      <w:r w:rsidR="005D4FD3" w:rsidRPr="00F73EDF">
        <w:rPr>
          <w:rFonts w:ascii="Times New Roman" w:hAnsi="Times New Roman"/>
          <w:sz w:val="24"/>
          <w:szCs w:val="24"/>
          <w:lang w:val="en-GB"/>
        </w:rPr>
        <w:t>business</w:t>
      </w:r>
      <w:r w:rsidR="009A23EE" w:rsidRPr="00F73EDF">
        <w:rPr>
          <w:rFonts w:ascii="Times New Roman" w:hAnsi="Times New Roman"/>
          <w:sz w:val="24"/>
          <w:szCs w:val="24"/>
        </w:rPr>
        <w:t>.</w:t>
      </w:r>
      <w:r w:rsidR="00CE0121" w:rsidRPr="00F73EDF">
        <w:rPr>
          <w:rFonts w:ascii="Times New Roman" w:hAnsi="Times New Roman"/>
          <w:sz w:val="24"/>
          <w:szCs w:val="24"/>
        </w:rPr>
        <w:t xml:space="preserve"> </w:t>
      </w:r>
      <w:r w:rsidR="003846FA" w:rsidRPr="00F73EDF">
        <w:rPr>
          <w:rFonts w:ascii="Times New Roman" w:hAnsi="Times New Roman"/>
          <w:sz w:val="24"/>
          <w:szCs w:val="24"/>
        </w:rPr>
        <w:t xml:space="preserve"> Ter</w:t>
      </w:r>
      <w:r w:rsidR="00531C85" w:rsidRPr="00F73EDF">
        <w:rPr>
          <w:rFonts w:ascii="Times New Roman" w:hAnsi="Times New Roman"/>
          <w:sz w:val="24"/>
          <w:szCs w:val="24"/>
        </w:rPr>
        <w:t>m</w:t>
      </w:r>
      <w:r w:rsidR="003846FA" w:rsidRPr="00F73EDF">
        <w:rPr>
          <w:rFonts w:ascii="Times New Roman" w:hAnsi="Times New Roman"/>
          <w:sz w:val="24"/>
          <w:szCs w:val="24"/>
        </w:rPr>
        <w:t>-life insurance is directed at life risk only and does not contain provision</w:t>
      </w:r>
      <w:r w:rsidR="0090245D" w:rsidRPr="00F73EDF">
        <w:rPr>
          <w:rFonts w:ascii="Times New Roman" w:hAnsi="Times New Roman"/>
          <w:sz w:val="24"/>
          <w:szCs w:val="24"/>
        </w:rPr>
        <w:t>s</w:t>
      </w:r>
      <w:r w:rsidR="003846FA" w:rsidRPr="00F73EDF">
        <w:rPr>
          <w:rFonts w:ascii="Times New Roman" w:hAnsi="Times New Roman"/>
          <w:sz w:val="24"/>
          <w:szCs w:val="24"/>
        </w:rPr>
        <w:t xml:space="preserve"> for policyholder savings.  </w:t>
      </w:r>
    </w:p>
    <w:p w:rsidR="003B4817" w:rsidRPr="00F73EDF" w:rsidRDefault="003B4817" w:rsidP="00554DDD">
      <w:pPr>
        <w:pStyle w:val="ListParagraph"/>
        <w:spacing w:line="300" w:lineRule="atLeast"/>
        <w:ind w:left="0" w:right="170"/>
        <w:contextualSpacing w:val="0"/>
        <w:rPr>
          <w:rFonts w:ascii="Times New Roman" w:hAnsi="Times New Roman"/>
          <w:sz w:val="24"/>
          <w:szCs w:val="24"/>
        </w:rPr>
      </w:pPr>
    </w:p>
    <w:p w:rsidR="00D809EA" w:rsidRPr="00F73EDF" w:rsidRDefault="005D4FD3" w:rsidP="00304235">
      <w:pPr>
        <w:pStyle w:val="ListParagraph"/>
        <w:spacing w:line="300" w:lineRule="atLeast"/>
        <w:ind w:left="0" w:right="170"/>
        <w:contextualSpacing w:val="0"/>
        <w:rPr>
          <w:rFonts w:ascii="Times New Roman" w:hAnsi="Times New Roman"/>
          <w:sz w:val="24"/>
          <w:szCs w:val="24"/>
        </w:rPr>
      </w:pPr>
      <w:r w:rsidRPr="00F73EDF">
        <w:rPr>
          <w:rFonts w:ascii="Times New Roman" w:hAnsi="Times New Roman"/>
          <w:sz w:val="24"/>
          <w:szCs w:val="24"/>
        </w:rPr>
        <w:t xml:space="preserve">The </w:t>
      </w:r>
      <w:r w:rsidR="00F657B3" w:rsidRPr="00F73EDF">
        <w:rPr>
          <w:rFonts w:ascii="Times New Roman" w:hAnsi="Times New Roman"/>
          <w:sz w:val="24"/>
          <w:szCs w:val="24"/>
        </w:rPr>
        <w:t xml:space="preserve">Income Tax Act 2007 </w:t>
      </w:r>
      <w:r w:rsidR="00D72442" w:rsidRPr="00F73EDF">
        <w:rPr>
          <w:rFonts w:ascii="Times New Roman" w:hAnsi="Times New Roman"/>
          <w:sz w:val="24"/>
          <w:szCs w:val="24"/>
        </w:rPr>
        <w:t xml:space="preserve">contains rules that </w:t>
      </w:r>
      <w:r w:rsidR="00F657B3" w:rsidRPr="00F73EDF">
        <w:rPr>
          <w:rFonts w:ascii="Times New Roman" w:hAnsi="Times New Roman"/>
          <w:sz w:val="24"/>
          <w:szCs w:val="24"/>
        </w:rPr>
        <w:t>requir</w:t>
      </w:r>
      <w:r w:rsidR="00D72442" w:rsidRPr="00F73EDF">
        <w:rPr>
          <w:rFonts w:ascii="Times New Roman" w:hAnsi="Times New Roman"/>
          <w:sz w:val="24"/>
          <w:szCs w:val="24"/>
        </w:rPr>
        <w:t>e</w:t>
      </w:r>
      <w:r w:rsidR="00F657B3" w:rsidRPr="00F73EDF">
        <w:rPr>
          <w:rFonts w:ascii="Times New Roman" w:hAnsi="Times New Roman"/>
          <w:sz w:val="24"/>
          <w:szCs w:val="24"/>
        </w:rPr>
        <w:t xml:space="preserve"> non-resident life insurers to file and pay tax in relation to their New Zealand business.  As Lloyd’s </w:t>
      </w:r>
      <w:r w:rsidRPr="00F73EDF">
        <w:rPr>
          <w:rFonts w:ascii="Times New Roman" w:hAnsi="Times New Roman"/>
          <w:sz w:val="24"/>
          <w:szCs w:val="24"/>
        </w:rPr>
        <w:t xml:space="preserve">trades as syndicates, these rules result in each Member of Lloyd’s that does business in New Zealand having to apply for an Inland Revenue number and file annual tax returns.  </w:t>
      </w:r>
      <w:r w:rsidR="00BF49B2" w:rsidRPr="00F73EDF">
        <w:rPr>
          <w:rFonts w:ascii="Times New Roman" w:hAnsi="Times New Roman"/>
          <w:sz w:val="24"/>
          <w:szCs w:val="24"/>
        </w:rPr>
        <w:t xml:space="preserve">This would </w:t>
      </w:r>
      <w:r w:rsidR="00D72442" w:rsidRPr="00F73EDF">
        <w:rPr>
          <w:rFonts w:ascii="Times New Roman" w:hAnsi="Times New Roman"/>
          <w:sz w:val="24"/>
          <w:szCs w:val="24"/>
        </w:rPr>
        <w:t xml:space="preserve">impose </w:t>
      </w:r>
      <w:r w:rsidR="00BF49B2" w:rsidRPr="00F73EDF">
        <w:rPr>
          <w:rFonts w:ascii="Times New Roman" w:hAnsi="Times New Roman"/>
          <w:sz w:val="24"/>
          <w:szCs w:val="24"/>
        </w:rPr>
        <w:t xml:space="preserve">considerable compliance costs on Lloyd’s in terms of calculating taxable income and paying tax at the Member’s correct marginal tax rate.  </w:t>
      </w:r>
      <w:r w:rsidR="00D2418F" w:rsidRPr="00F73EDF">
        <w:rPr>
          <w:rFonts w:ascii="Times New Roman" w:hAnsi="Times New Roman"/>
          <w:sz w:val="24"/>
          <w:szCs w:val="24"/>
        </w:rPr>
        <w:t xml:space="preserve">Inland Revenue would also face increased administration costs as </w:t>
      </w:r>
      <w:r w:rsidR="005016F1">
        <w:rPr>
          <w:rFonts w:ascii="Times New Roman" w:hAnsi="Times New Roman"/>
          <w:sz w:val="24"/>
          <w:szCs w:val="24"/>
        </w:rPr>
        <w:t xml:space="preserve">the requirements of the Income Tax Act would generate over time a significant </w:t>
      </w:r>
      <w:r w:rsidR="00D2418F" w:rsidRPr="00F73EDF">
        <w:rPr>
          <w:rFonts w:ascii="Times New Roman" w:hAnsi="Times New Roman"/>
          <w:sz w:val="24"/>
          <w:szCs w:val="24"/>
        </w:rPr>
        <w:t xml:space="preserve">increase in the volume of life insurer returns that are processed and audited for tax compliance.  </w:t>
      </w:r>
      <w:r w:rsidR="00D809EA" w:rsidRPr="00F73EDF">
        <w:rPr>
          <w:rFonts w:ascii="Times New Roman" w:hAnsi="Times New Roman"/>
          <w:sz w:val="24"/>
          <w:szCs w:val="24"/>
        </w:rPr>
        <w:t xml:space="preserve">These outcomes </w:t>
      </w:r>
      <w:r w:rsidR="00D72442" w:rsidRPr="00F73EDF">
        <w:rPr>
          <w:rFonts w:ascii="Times New Roman" w:hAnsi="Times New Roman"/>
          <w:sz w:val="24"/>
          <w:szCs w:val="24"/>
        </w:rPr>
        <w:t>give rise to efficiency concerns</w:t>
      </w:r>
      <w:r w:rsidR="00D809EA" w:rsidRPr="00F73EDF">
        <w:rPr>
          <w:rFonts w:ascii="Times New Roman" w:hAnsi="Times New Roman"/>
          <w:sz w:val="24"/>
          <w:szCs w:val="24"/>
        </w:rPr>
        <w:t xml:space="preserve">. </w:t>
      </w:r>
    </w:p>
    <w:p w:rsidR="00F70AAE" w:rsidRPr="00F73EDF" w:rsidRDefault="00F70AAE" w:rsidP="00D167F9">
      <w:pPr>
        <w:pStyle w:val="ListParagraph"/>
        <w:spacing w:line="300" w:lineRule="atLeast"/>
        <w:ind w:left="0" w:right="170"/>
        <w:contextualSpacing w:val="0"/>
        <w:rPr>
          <w:rFonts w:ascii="Times New Roman" w:hAnsi="Times New Roman"/>
          <w:sz w:val="24"/>
          <w:szCs w:val="24"/>
        </w:rPr>
      </w:pPr>
    </w:p>
    <w:p w:rsidR="00531C85" w:rsidRPr="00F73EDF" w:rsidRDefault="00BF73ED" w:rsidP="00DC7FA7">
      <w:pPr>
        <w:pStyle w:val="ListParagraph"/>
        <w:spacing w:line="300" w:lineRule="atLeast"/>
        <w:ind w:left="0" w:right="170"/>
        <w:contextualSpacing w:val="0"/>
        <w:rPr>
          <w:rFonts w:ascii="Times New Roman" w:hAnsi="Times New Roman"/>
          <w:sz w:val="24"/>
          <w:szCs w:val="24"/>
        </w:rPr>
      </w:pPr>
      <w:r w:rsidRPr="00F73EDF">
        <w:rPr>
          <w:rFonts w:ascii="Times New Roman" w:hAnsi="Times New Roman"/>
          <w:sz w:val="24"/>
          <w:szCs w:val="24"/>
        </w:rPr>
        <w:t xml:space="preserve">The analysis in this RIS is constrained by the fact that </w:t>
      </w:r>
      <w:r w:rsidR="00A22C81" w:rsidRPr="00F73EDF">
        <w:rPr>
          <w:rFonts w:ascii="Times New Roman" w:hAnsi="Times New Roman"/>
          <w:sz w:val="24"/>
          <w:szCs w:val="24"/>
        </w:rPr>
        <w:t>the problem and preferred solution is limited</w:t>
      </w:r>
      <w:r w:rsidR="00F3295B" w:rsidRPr="00F73EDF">
        <w:rPr>
          <w:rFonts w:ascii="Times New Roman" w:hAnsi="Times New Roman"/>
          <w:sz w:val="24"/>
          <w:szCs w:val="24"/>
        </w:rPr>
        <w:t xml:space="preserve"> </w:t>
      </w:r>
      <w:r w:rsidR="00F70AAE" w:rsidRPr="00F73EDF">
        <w:rPr>
          <w:rFonts w:ascii="Times New Roman" w:hAnsi="Times New Roman"/>
          <w:sz w:val="24"/>
          <w:szCs w:val="24"/>
        </w:rPr>
        <w:t xml:space="preserve">to Lloyd’s and </w:t>
      </w:r>
      <w:r w:rsidR="005D4FD3" w:rsidRPr="00F73EDF">
        <w:rPr>
          <w:rFonts w:ascii="Times New Roman" w:hAnsi="Times New Roman"/>
          <w:sz w:val="24"/>
          <w:szCs w:val="24"/>
        </w:rPr>
        <w:t xml:space="preserve">its authorised New Zealand agents.  </w:t>
      </w:r>
      <w:r w:rsidR="00EE0090" w:rsidRPr="00F73EDF">
        <w:rPr>
          <w:rFonts w:ascii="Times New Roman" w:hAnsi="Times New Roman"/>
          <w:sz w:val="24"/>
          <w:szCs w:val="24"/>
        </w:rPr>
        <w:t xml:space="preserve">There are wider issues concerning the treatment of life insurance sold by life insurers, including reinsurance.  Given current priorities on the Government’s tax policy work programme, these wider issues have not been considered </w:t>
      </w:r>
      <w:r w:rsidR="00D36CC9" w:rsidRPr="00F73EDF">
        <w:rPr>
          <w:rFonts w:ascii="Times New Roman" w:hAnsi="Times New Roman"/>
          <w:sz w:val="24"/>
          <w:szCs w:val="24"/>
        </w:rPr>
        <w:t>in depth</w:t>
      </w:r>
      <w:r w:rsidR="00EE0090" w:rsidRPr="00F73EDF">
        <w:rPr>
          <w:rFonts w:ascii="Times New Roman" w:hAnsi="Times New Roman"/>
          <w:sz w:val="24"/>
          <w:szCs w:val="24"/>
        </w:rPr>
        <w:t xml:space="preserve">.  </w:t>
      </w:r>
    </w:p>
    <w:p w:rsidR="00531C85" w:rsidRPr="00F73EDF" w:rsidRDefault="00531C85" w:rsidP="00B604A3">
      <w:pPr>
        <w:pStyle w:val="ListParagraph"/>
        <w:spacing w:line="300" w:lineRule="atLeast"/>
        <w:ind w:left="0" w:right="170"/>
        <w:contextualSpacing w:val="0"/>
        <w:rPr>
          <w:rFonts w:ascii="Times New Roman" w:hAnsi="Times New Roman"/>
          <w:sz w:val="24"/>
          <w:szCs w:val="24"/>
        </w:rPr>
      </w:pPr>
    </w:p>
    <w:p w:rsidR="00531C85" w:rsidRPr="00F73EDF" w:rsidRDefault="00F70AAE" w:rsidP="001D502B">
      <w:pPr>
        <w:pStyle w:val="ListParagraph"/>
        <w:spacing w:line="300" w:lineRule="atLeast"/>
        <w:ind w:left="0" w:right="170"/>
        <w:contextualSpacing w:val="0"/>
        <w:rPr>
          <w:rFonts w:ascii="Times New Roman" w:hAnsi="Times New Roman"/>
          <w:sz w:val="24"/>
          <w:szCs w:val="24"/>
        </w:rPr>
      </w:pPr>
      <w:r w:rsidRPr="00F73EDF">
        <w:rPr>
          <w:rFonts w:ascii="Times New Roman" w:hAnsi="Times New Roman"/>
          <w:sz w:val="24"/>
          <w:szCs w:val="24"/>
        </w:rPr>
        <w:t xml:space="preserve">Taxpayer </w:t>
      </w:r>
      <w:r w:rsidR="00531C85" w:rsidRPr="00F73EDF">
        <w:rPr>
          <w:rFonts w:ascii="Times New Roman" w:hAnsi="Times New Roman"/>
          <w:sz w:val="24"/>
          <w:szCs w:val="24"/>
        </w:rPr>
        <w:t xml:space="preserve">confidentiality provisions </w:t>
      </w:r>
      <w:r w:rsidRPr="00F73EDF">
        <w:rPr>
          <w:rFonts w:ascii="Times New Roman" w:hAnsi="Times New Roman"/>
          <w:sz w:val="24"/>
          <w:szCs w:val="24"/>
        </w:rPr>
        <w:t>prevent Inland Revenue from disclosing the expected value of Lloyd’s life insurance business in New Zealand.</w:t>
      </w:r>
      <w:r w:rsidR="00531C85" w:rsidRPr="00F73EDF">
        <w:rPr>
          <w:rFonts w:ascii="Times New Roman" w:hAnsi="Times New Roman"/>
          <w:sz w:val="24"/>
          <w:szCs w:val="24"/>
        </w:rPr>
        <w:t xml:space="preserve">  </w:t>
      </w:r>
      <w:r w:rsidR="004172F0" w:rsidRPr="00F73EDF">
        <w:rPr>
          <w:rFonts w:ascii="Times New Roman" w:hAnsi="Times New Roman"/>
          <w:sz w:val="24"/>
          <w:szCs w:val="24"/>
        </w:rPr>
        <w:t>In terms of scale, t</w:t>
      </w:r>
      <w:r w:rsidR="006E351E" w:rsidRPr="00F73EDF">
        <w:rPr>
          <w:rFonts w:ascii="Times New Roman" w:hAnsi="Times New Roman"/>
          <w:sz w:val="24"/>
          <w:szCs w:val="24"/>
        </w:rPr>
        <w:t xml:space="preserve">he current law as it applies to Lloyd’s </w:t>
      </w:r>
      <w:r w:rsidR="001E1714" w:rsidRPr="00F73EDF">
        <w:rPr>
          <w:rFonts w:ascii="Times New Roman" w:hAnsi="Times New Roman"/>
          <w:sz w:val="24"/>
          <w:szCs w:val="24"/>
        </w:rPr>
        <w:t xml:space="preserve">syndicates </w:t>
      </w:r>
      <w:r w:rsidR="006E351E" w:rsidRPr="00F73EDF">
        <w:rPr>
          <w:rFonts w:ascii="Times New Roman" w:hAnsi="Times New Roman"/>
          <w:sz w:val="24"/>
          <w:szCs w:val="24"/>
        </w:rPr>
        <w:t xml:space="preserve">produces compliance costs and costs on Inland Revenue that are out of proportion to the tax revenue at issue.  </w:t>
      </w:r>
    </w:p>
    <w:p w:rsidR="00531C85" w:rsidRPr="00F73EDF" w:rsidRDefault="00531C85">
      <w:pPr>
        <w:pStyle w:val="ListParagraph"/>
        <w:spacing w:line="300" w:lineRule="atLeast"/>
        <w:ind w:left="0" w:right="170"/>
        <w:contextualSpacing w:val="0"/>
        <w:rPr>
          <w:rFonts w:ascii="Times New Roman" w:hAnsi="Times New Roman"/>
          <w:sz w:val="24"/>
          <w:szCs w:val="24"/>
        </w:rPr>
      </w:pPr>
    </w:p>
    <w:p w:rsidR="00F70AAE" w:rsidRPr="00F73EDF" w:rsidRDefault="00F70AAE">
      <w:pPr>
        <w:pStyle w:val="ListParagraph"/>
        <w:spacing w:line="300" w:lineRule="atLeast"/>
        <w:ind w:left="0" w:right="170"/>
        <w:contextualSpacing w:val="0"/>
        <w:rPr>
          <w:rFonts w:ascii="Times New Roman" w:hAnsi="Times New Roman"/>
          <w:sz w:val="24"/>
          <w:szCs w:val="24"/>
        </w:rPr>
      </w:pPr>
      <w:r w:rsidRPr="00F73EDF">
        <w:rPr>
          <w:rFonts w:ascii="Times New Roman" w:hAnsi="Times New Roman"/>
          <w:sz w:val="24"/>
          <w:szCs w:val="24"/>
        </w:rPr>
        <w:t>As the proposal affects life insurers</w:t>
      </w:r>
      <w:r w:rsidR="004D5F58" w:rsidRPr="004D5F58">
        <w:rPr>
          <w:rFonts w:ascii="Times New Roman" w:hAnsi="Times New Roman"/>
          <w:sz w:val="24"/>
          <w:szCs w:val="24"/>
        </w:rPr>
        <w:t xml:space="preserve"> </w:t>
      </w:r>
      <w:r w:rsidR="004D5F58" w:rsidRPr="00F73EDF">
        <w:rPr>
          <w:rFonts w:ascii="Times New Roman" w:hAnsi="Times New Roman"/>
          <w:sz w:val="24"/>
          <w:szCs w:val="24"/>
        </w:rPr>
        <w:t>only</w:t>
      </w:r>
      <w:r w:rsidR="00A966D1" w:rsidRPr="00F73EDF">
        <w:rPr>
          <w:rFonts w:ascii="Times New Roman" w:hAnsi="Times New Roman"/>
          <w:sz w:val="24"/>
          <w:szCs w:val="24"/>
        </w:rPr>
        <w:t>,</w:t>
      </w:r>
      <w:r w:rsidRPr="00F73EDF">
        <w:rPr>
          <w:rFonts w:ascii="Times New Roman" w:hAnsi="Times New Roman"/>
          <w:sz w:val="24"/>
          <w:szCs w:val="24"/>
        </w:rPr>
        <w:t xml:space="preserve"> consultation was limited to the Financial Services Council, the representative body for New Zealand life insurers.  </w:t>
      </w:r>
      <w:r w:rsidR="000201F7" w:rsidRPr="00F73EDF">
        <w:rPr>
          <w:rFonts w:ascii="Times New Roman" w:hAnsi="Times New Roman"/>
          <w:sz w:val="24"/>
          <w:szCs w:val="24"/>
        </w:rPr>
        <w:t>Inland Revenue considers that level</w:t>
      </w:r>
      <w:r w:rsidR="00F4727E" w:rsidRPr="00F73EDF">
        <w:rPr>
          <w:rFonts w:ascii="Times New Roman" w:hAnsi="Times New Roman"/>
          <w:sz w:val="24"/>
          <w:szCs w:val="24"/>
        </w:rPr>
        <w:t xml:space="preserve"> of </w:t>
      </w:r>
      <w:r w:rsidR="00531C85" w:rsidRPr="00F73EDF">
        <w:rPr>
          <w:rFonts w:ascii="Times New Roman" w:hAnsi="Times New Roman"/>
          <w:sz w:val="24"/>
          <w:szCs w:val="24"/>
        </w:rPr>
        <w:t xml:space="preserve">consultation </w:t>
      </w:r>
      <w:r w:rsidR="00F4727E" w:rsidRPr="00F73EDF">
        <w:rPr>
          <w:rFonts w:ascii="Times New Roman" w:hAnsi="Times New Roman"/>
          <w:sz w:val="24"/>
          <w:szCs w:val="24"/>
        </w:rPr>
        <w:t>fairly reflected the</w:t>
      </w:r>
      <w:r w:rsidR="00531C85" w:rsidRPr="00F73EDF">
        <w:rPr>
          <w:rFonts w:ascii="Times New Roman" w:hAnsi="Times New Roman"/>
          <w:sz w:val="24"/>
          <w:szCs w:val="24"/>
        </w:rPr>
        <w:t xml:space="preserve"> nature of the issue under consideration and those affected.</w:t>
      </w:r>
    </w:p>
    <w:p w:rsidR="00F70AAE" w:rsidRPr="00F73EDF" w:rsidRDefault="00F70AAE">
      <w:pPr>
        <w:pStyle w:val="Text"/>
        <w:spacing w:before="0" w:after="0" w:line="300" w:lineRule="atLeast"/>
        <w:ind w:right="170"/>
        <w:rPr>
          <w:rFonts w:ascii="Times New Roman" w:hAnsi="Times New Roman"/>
          <w:sz w:val="24"/>
          <w:szCs w:val="24"/>
          <w:lang w:val="en-NZ"/>
        </w:rPr>
      </w:pPr>
    </w:p>
    <w:p w:rsidR="009029B8" w:rsidRPr="00F73EDF" w:rsidRDefault="009029B8" w:rsidP="007D649F">
      <w:pPr>
        <w:pStyle w:val="Text"/>
        <w:spacing w:before="0" w:after="0" w:line="300" w:lineRule="atLeast"/>
        <w:ind w:right="170"/>
        <w:rPr>
          <w:rFonts w:ascii="Times New Roman" w:hAnsi="Times New Roman"/>
          <w:sz w:val="24"/>
          <w:szCs w:val="24"/>
          <w:lang w:val="en-NZ"/>
        </w:rPr>
      </w:pPr>
    </w:p>
    <w:p w:rsidR="00A11A0D" w:rsidRPr="00F73EDF" w:rsidRDefault="00A11A0D" w:rsidP="007D649F">
      <w:pPr>
        <w:pStyle w:val="Text"/>
        <w:spacing w:before="0" w:after="0" w:line="300" w:lineRule="atLeast"/>
        <w:ind w:right="170"/>
        <w:rPr>
          <w:rFonts w:ascii="Times New Roman" w:hAnsi="Times New Roman"/>
          <w:sz w:val="24"/>
          <w:szCs w:val="24"/>
          <w:lang w:val="en-NZ"/>
        </w:rPr>
      </w:pPr>
    </w:p>
    <w:p w:rsidR="00085660" w:rsidRPr="00F73EDF" w:rsidRDefault="003C4E77" w:rsidP="007D649F">
      <w:pPr>
        <w:pStyle w:val="Text"/>
        <w:tabs>
          <w:tab w:val="left" w:pos="567"/>
        </w:tabs>
        <w:spacing w:before="0" w:after="0" w:line="300" w:lineRule="atLeast"/>
        <w:ind w:right="170"/>
        <w:rPr>
          <w:rFonts w:ascii="Times New Roman" w:hAnsi="Times New Roman"/>
          <w:sz w:val="24"/>
          <w:szCs w:val="24"/>
          <w:lang w:val="en-NZ"/>
        </w:rPr>
      </w:pPr>
      <w:r w:rsidRPr="00F73EDF">
        <w:rPr>
          <w:rFonts w:ascii="Times New Roman" w:hAnsi="Times New Roman"/>
          <w:sz w:val="24"/>
          <w:szCs w:val="24"/>
          <w:lang w:val="en-NZ"/>
        </w:rPr>
        <w:t>Brandon Sloan</w:t>
      </w:r>
    </w:p>
    <w:p w:rsidR="009F7B9A" w:rsidRPr="00F73EDF" w:rsidRDefault="003C4E77" w:rsidP="007D649F">
      <w:pPr>
        <w:pStyle w:val="Text"/>
        <w:tabs>
          <w:tab w:val="left" w:pos="567"/>
        </w:tabs>
        <w:spacing w:before="0" w:after="0" w:line="300" w:lineRule="atLeast"/>
        <w:ind w:right="170"/>
        <w:rPr>
          <w:rFonts w:ascii="Times New Roman" w:hAnsi="Times New Roman"/>
          <w:sz w:val="24"/>
          <w:szCs w:val="24"/>
          <w:lang w:val="en-NZ"/>
        </w:rPr>
      </w:pPr>
      <w:r w:rsidRPr="00F73EDF">
        <w:rPr>
          <w:rFonts w:ascii="Times New Roman" w:hAnsi="Times New Roman"/>
          <w:sz w:val="24"/>
          <w:szCs w:val="24"/>
          <w:lang w:val="en-NZ"/>
        </w:rPr>
        <w:t>Senior Policy Advisor</w:t>
      </w:r>
      <w:r w:rsidR="005A62E6" w:rsidRPr="00F73EDF">
        <w:rPr>
          <w:rFonts w:ascii="Times New Roman" w:hAnsi="Times New Roman"/>
          <w:sz w:val="24"/>
          <w:szCs w:val="24"/>
          <w:lang w:val="en-NZ"/>
        </w:rPr>
        <w:t>, Policy and Strategy</w:t>
      </w:r>
    </w:p>
    <w:p w:rsidR="002702C5" w:rsidRPr="00F73EDF" w:rsidRDefault="001C6912" w:rsidP="007D649F">
      <w:pPr>
        <w:pStyle w:val="Text"/>
        <w:tabs>
          <w:tab w:val="left" w:pos="567"/>
        </w:tabs>
        <w:spacing w:before="0" w:after="0" w:line="300" w:lineRule="atLeast"/>
        <w:ind w:right="170"/>
        <w:rPr>
          <w:rFonts w:ascii="Times New Roman" w:hAnsi="Times New Roman"/>
          <w:sz w:val="24"/>
          <w:szCs w:val="24"/>
          <w:lang w:val="en-NZ"/>
        </w:rPr>
      </w:pPr>
      <w:r w:rsidRPr="00F73EDF">
        <w:rPr>
          <w:rFonts w:ascii="Times New Roman" w:hAnsi="Times New Roman"/>
          <w:sz w:val="24"/>
          <w:szCs w:val="24"/>
          <w:lang w:val="en-NZ"/>
        </w:rPr>
        <w:t>Inland Revenue</w:t>
      </w:r>
    </w:p>
    <w:p w:rsidR="00A11A0D" w:rsidRPr="00F73EDF" w:rsidRDefault="00A11A0D" w:rsidP="007D649F">
      <w:pPr>
        <w:pStyle w:val="Text"/>
        <w:tabs>
          <w:tab w:val="left" w:pos="567"/>
        </w:tabs>
        <w:spacing w:before="0" w:after="0" w:line="300" w:lineRule="atLeast"/>
        <w:ind w:right="170"/>
        <w:rPr>
          <w:rFonts w:ascii="Times New Roman" w:hAnsi="Times New Roman"/>
          <w:sz w:val="24"/>
          <w:szCs w:val="24"/>
          <w:lang w:val="en-NZ"/>
        </w:rPr>
      </w:pPr>
    </w:p>
    <w:p w:rsidR="000545DC" w:rsidRPr="00F73EDF" w:rsidRDefault="00476451" w:rsidP="000D4F67">
      <w:pPr>
        <w:pStyle w:val="Text"/>
        <w:tabs>
          <w:tab w:val="left" w:pos="567"/>
        </w:tabs>
        <w:spacing w:before="0" w:after="180" w:line="300" w:lineRule="atLeast"/>
        <w:ind w:right="170"/>
        <w:jc w:val="left"/>
        <w:rPr>
          <w:rFonts w:ascii="Times New Roman" w:hAnsi="Times New Roman"/>
          <w:sz w:val="24"/>
          <w:szCs w:val="24"/>
          <w:lang w:val="en-NZ"/>
        </w:rPr>
      </w:pPr>
      <w:r w:rsidRPr="00F73EDF">
        <w:rPr>
          <w:rFonts w:ascii="Times New Roman" w:hAnsi="Times New Roman"/>
          <w:sz w:val="24"/>
          <w:szCs w:val="24"/>
          <w:lang w:val="en-NZ"/>
        </w:rPr>
        <w:t>17 October 2016</w:t>
      </w:r>
      <w:bookmarkStart w:id="7" w:name="_Toc244580363"/>
      <w:bookmarkStart w:id="8" w:name="_Toc244587039"/>
      <w:bookmarkStart w:id="9" w:name="_Toc244857273"/>
      <w:bookmarkStart w:id="10" w:name="_Toc244912538"/>
      <w:bookmarkStart w:id="11" w:name="_Toc244916995"/>
      <w:r w:rsidR="001C6912" w:rsidRPr="00F73EDF">
        <w:rPr>
          <w:rFonts w:ascii="Times New Roman" w:hAnsi="Times New Roman"/>
        </w:rPr>
        <w:br w:type="page"/>
      </w:r>
      <w:r w:rsidR="001C6912" w:rsidRPr="00F73EDF">
        <w:rPr>
          <w:rFonts w:ascii="Times New Roman" w:hAnsi="Times New Roman"/>
          <w:b/>
          <w:sz w:val="24"/>
          <w:szCs w:val="24"/>
        </w:rPr>
        <w:lastRenderedPageBreak/>
        <w:t>STATUS QUO AND PROBLEM DEFINITION</w:t>
      </w:r>
      <w:bookmarkEnd w:id="7"/>
      <w:bookmarkEnd w:id="8"/>
      <w:bookmarkEnd w:id="9"/>
      <w:bookmarkEnd w:id="10"/>
      <w:bookmarkEnd w:id="11"/>
    </w:p>
    <w:p w:rsidR="006602A1" w:rsidRPr="00F73EDF" w:rsidRDefault="00FC003F" w:rsidP="00F7490D">
      <w:pPr>
        <w:pStyle w:val="TRBodyText"/>
        <w:tabs>
          <w:tab w:val="left" w:pos="567"/>
        </w:tabs>
        <w:rPr>
          <w:szCs w:val="24"/>
        </w:rPr>
      </w:pPr>
      <w:r w:rsidRPr="00F73EDF">
        <w:rPr>
          <w:szCs w:val="24"/>
        </w:rPr>
        <w:fldChar w:fldCharType="begin"/>
      </w:r>
      <w:r w:rsidRPr="00F73EDF">
        <w:rPr>
          <w:szCs w:val="24"/>
        </w:rPr>
        <w:instrText xml:space="preserve"> AUTONUM  \* Arabic \s .  </w:instrText>
      </w:r>
      <w:r w:rsidRPr="00F73EDF">
        <w:rPr>
          <w:szCs w:val="24"/>
        </w:rPr>
        <w:fldChar w:fldCharType="end"/>
      </w:r>
      <w:r w:rsidRPr="00F73EDF">
        <w:rPr>
          <w:szCs w:val="24"/>
        </w:rPr>
        <w:tab/>
      </w:r>
      <w:r w:rsidR="006602A1" w:rsidRPr="00F73EDF">
        <w:rPr>
          <w:szCs w:val="24"/>
        </w:rPr>
        <w:t xml:space="preserve">Lloyd’s </w:t>
      </w:r>
      <w:r w:rsidR="00E9039A" w:rsidRPr="00F73EDF">
        <w:rPr>
          <w:szCs w:val="24"/>
        </w:rPr>
        <w:t xml:space="preserve">of London (Lloyd’s) </w:t>
      </w:r>
      <w:r w:rsidR="00A966D1" w:rsidRPr="00F73EDF">
        <w:rPr>
          <w:szCs w:val="24"/>
        </w:rPr>
        <w:t>has</w:t>
      </w:r>
      <w:r w:rsidR="006602A1" w:rsidRPr="00F73EDF">
        <w:rPr>
          <w:szCs w:val="24"/>
        </w:rPr>
        <w:t xml:space="preserve"> regulatory approval to write term-life insurance business in New Zealand.  </w:t>
      </w:r>
      <w:r w:rsidR="00791030" w:rsidRPr="00F73EDF">
        <w:rPr>
          <w:szCs w:val="24"/>
        </w:rPr>
        <w:t>While t</w:t>
      </w:r>
      <w:r w:rsidR="00B579D0" w:rsidRPr="00F73EDF">
        <w:rPr>
          <w:szCs w:val="24"/>
        </w:rPr>
        <w:t>axpayer confidential</w:t>
      </w:r>
      <w:r w:rsidR="002D2FC3">
        <w:rPr>
          <w:szCs w:val="24"/>
        </w:rPr>
        <w:t>ity</w:t>
      </w:r>
      <w:r w:rsidR="00B579D0" w:rsidRPr="00F73EDF">
        <w:rPr>
          <w:szCs w:val="24"/>
        </w:rPr>
        <w:t xml:space="preserve"> provisions</w:t>
      </w:r>
      <w:r w:rsidR="00D511BD" w:rsidRPr="00F73EDF">
        <w:rPr>
          <w:szCs w:val="24"/>
        </w:rPr>
        <w:t xml:space="preserve"> prevent Inland Revenue from disclosing the expected value of Lloyd’s </w:t>
      </w:r>
      <w:r w:rsidR="006602A1" w:rsidRPr="00F73EDF">
        <w:rPr>
          <w:szCs w:val="24"/>
        </w:rPr>
        <w:t>life insurance business in New Zealand</w:t>
      </w:r>
      <w:r w:rsidR="00D511BD" w:rsidRPr="00F73EDF">
        <w:rPr>
          <w:szCs w:val="24"/>
        </w:rPr>
        <w:t>, it is a minute fraction of total life insurance premium income</w:t>
      </w:r>
      <w:r w:rsidR="008942A1" w:rsidRPr="00F73EDF">
        <w:rPr>
          <w:szCs w:val="24"/>
        </w:rPr>
        <w:t xml:space="preserve"> sold in New Zealand</w:t>
      </w:r>
      <w:r w:rsidR="006602A1" w:rsidRPr="00F73EDF">
        <w:rPr>
          <w:szCs w:val="24"/>
        </w:rPr>
        <w:t>.</w:t>
      </w:r>
      <w:r w:rsidR="006602A1" w:rsidRPr="00F73EDF">
        <w:rPr>
          <w:rStyle w:val="FootnoteReference"/>
          <w:rFonts w:ascii="Times New Roman" w:hAnsi="Times New Roman"/>
          <w:szCs w:val="16"/>
        </w:rPr>
        <w:footnoteReference w:id="1"/>
      </w:r>
      <w:r w:rsidR="006602A1" w:rsidRPr="00F73EDF">
        <w:rPr>
          <w:sz w:val="16"/>
          <w:szCs w:val="16"/>
        </w:rPr>
        <w:t xml:space="preserve"> </w:t>
      </w:r>
      <w:r w:rsidR="006602A1" w:rsidRPr="00F73EDF">
        <w:rPr>
          <w:szCs w:val="24"/>
        </w:rPr>
        <w:t xml:space="preserve"> This business is expected to add capacity rather than substituting existing life insurance policies sold by New Zealand life insurers.  </w:t>
      </w:r>
    </w:p>
    <w:p w:rsidR="00726B75" w:rsidRPr="00F73EDF" w:rsidRDefault="00726B75" w:rsidP="00554DDD">
      <w:pPr>
        <w:pStyle w:val="TRBodyText"/>
        <w:tabs>
          <w:tab w:val="left" w:pos="567"/>
        </w:tabs>
        <w:rPr>
          <w:szCs w:val="24"/>
        </w:rPr>
      </w:pPr>
    </w:p>
    <w:p w:rsidR="00726B75" w:rsidRPr="00F73EDF" w:rsidRDefault="00726B75" w:rsidP="00304235">
      <w:pPr>
        <w:pStyle w:val="TRBodyText"/>
        <w:tabs>
          <w:tab w:val="left" w:pos="567"/>
        </w:tabs>
        <w:rPr>
          <w:szCs w:val="24"/>
        </w:rPr>
      </w:pPr>
      <w:r w:rsidRPr="00F73EDF">
        <w:rPr>
          <w:szCs w:val="24"/>
        </w:rPr>
        <w:fldChar w:fldCharType="begin"/>
      </w:r>
      <w:r w:rsidRPr="00F73EDF">
        <w:rPr>
          <w:szCs w:val="24"/>
        </w:rPr>
        <w:instrText xml:space="preserve"> AUTONUM  \* Arabic \s .  </w:instrText>
      </w:r>
      <w:r w:rsidRPr="00F73EDF">
        <w:rPr>
          <w:szCs w:val="24"/>
        </w:rPr>
        <w:fldChar w:fldCharType="end"/>
      </w:r>
      <w:r w:rsidRPr="00F73EDF">
        <w:rPr>
          <w:szCs w:val="24"/>
        </w:rPr>
        <w:tab/>
      </w:r>
      <w:r w:rsidR="00972F4E" w:rsidRPr="00F73EDF">
        <w:rPr>
          <w:szCs w:val="24"/>
        </w:rPr>
        <w:t xml:space="preserve">Lloyd’s is an insurance market, not an insurance company.  It is an institution where Members of the Society of Lloyd’s, both corporate and individual, join together in syndicates to insure risk.  </w:t>
      </w:r>
      <w:r w:rsidR="00D21781" w:rsidRPr="00F73EDF">
        <w:rPr>
          <w:szCs w:val="24"/>
        </w:rPr>
        <w:t xml:space="preserve">These syndicates have different market specialisations and risk profiles.  </w:t>
      </w:r>
      <w:r w:rsidR="00F732D1" w:rsidRPr="00F73EDF">
        <w:rPr>
          <w:szCs w:val="24"/>
        </w:rPr>
        <w:t>Over</w:t>
      </w:r>
      <w:r w:rsidR="00E80B71" w:rsidRPr="00F73EDF">
        <w:rPr>
          <w:szCs w:val="24"/>
        </w:rPr>
        <w:t xml:space="preserve"> </w:t>
      </w:r>
      <w:r w:rsidR="00F732D1" w:rsidRPr="00F73EDF">
        <w:rPr>
          <w:szCs w:val="24"/>
        </w:rPr>
        <w:t xml:space="preserve">time the underwriting activity attracted capital from outsiders </w:t>
      </w:r>
      <w:r w:rsidR="00B0480B" w:rsidRPr="00F73EDF">
        <w:rPr>
          <w:szCs w:val="24"/>
        </w:rPr>
        <w:t xml:space="preserve">in a subscription market, signifying that a </w:t>
      </w:r>
      <w:r w:rsidR="00E8156B" w:rsidRPr="00F73EDF">
        <w:rPr>
          <w:szCs w:val="24"/>
        </w:rPr>
        <w:t xml:space="preserve">series of underwriters would assume shares of risk.  </w:t>
      </w:r>
      <w:r w:rsidR="007838FE" w:rsidRPr="00F73EDF">
        <w:rPr>
          <w:szCs w:val="24"/>
        </w:rPr>
        <w:t xml:space="preserve">Members are required to be United Kingdom </w:t>
      </w:r>
      <w:r w:rsidR="002D2FC3">
        <w:rPr>
          <w:szCs w:val="24"/>
        </w:rPr>
        <w:t xml:space="preserve">tax </w:t>
      </w:r>
      <w:r w:rsidR="006B32A4" w:rsidRPr="00F73EDF">
        <w:rPr>
          <w:szCs w:val="24"/>
        </w:rPr>
        <w:t xml:space="preserve">residents under Lloyd’s governance rules.  </w:t>
      </w:r>
    </w:p>
    <w:p w:rsidR="004172F0" w:rsidRPr="00F73EDF" w:rsidRDefault="004172F0" w:rsidP="00B604A3">
      <w:pPr>
        <w:pStyle w:val="TRBodyText"/>
        <w:tabs>
          <w:tab w:val="left" w:pos="567"/>
        </w:tabs>
        <w:rPr>
          <w:szCs w:val="24"/>
        </w:rPr>
      </w:pPr>
    </w:p>
    <w:p w:rsidR="000545DC" w:rsidRPr="00F73EDF" w:rsidRDefault="00FC003F" w:rsidP="00B604A3">
      <w:pPr>
        <w:pStyle w:val="spacer"/>
        <w:spacing w:line="300" w:lineRule="atLeast"/>
        <w:jc w:val="both"/>
        <w:rPr>
          <w:rFonts w:ascii="Times New Roman" w:hAnsi="Times New Roman"/>
          <w:sz w:val="24"/>
          <w:szCs w:val="24"/>
        </w:rPr>
      </w:pPr>
      <w:r w:rsidRPr="00F73EDF">
        <w:rPr>
          <w:rFonts w:ascii="Times New Roman" w:hAnsi="Times New Roman"/>
          <w:sz w:val="24"/>
          <w:szCs w:val="24"/>
        </w:rPr>
        <w:fldChar w:fldCharType="begin"/>
      </w:r>
      <w:r w:rsidRPr="00F73EDF">
        <w:rPr>
          <w:rFonts w:ascii="Times New Roman" w:hAnsi="Times New Roman"/>
          <w:sz w:val="24"/>
          <w:szCs w:val="24"/>
        </w:rPr>
        <w:instrText xml:space="preserve"> AUTONUM  \* Arabic \s .  </w:instrText>
      </w:r>
      <w:r w:rsidRPr="00F73EDF">
        <w:rPr>
          <w:rFonts w:ascii="Times New Roman" w:hAnsi="Times New Roman"/>
          <w:sz w:val="24"/>
          <w:szCs w:val="24"/>
        </w:rPr>
        <w:fldChar w:fldCharType="end"/>
      </w:r>
      <w:r w:rsidRPr="00F73EDF">
        <w:rPr>
          <w:rFonts w:ascii="Times New Roman" w:hAnsi="Times New Roman"/>
          <w:sz w:val="24"/>
          <w:szCs w:val="24"/>
        </w:rPr>
        <w:tab/>
      </w:r>
      <w:r w:rsidR="006602A1" w:rsidRPr="00F73EDF">
        <w:rPr>
          <w:rFonts w:ascii="Times New Roman" w:hAnsi="Times New Roman"/>
          <w:sz w:val="24"/>
          <w:szCs w:val="24"/>
        </w:rPr>
        <w:t xml:space="preserve">Lloyd’s unique structure means that any amount of business in New Zealand would require </w:t>
      </w:r>
      <w:r w:rsidR="002D2FC3">
        <w:rPr>
          <w:rFonts w:ascii="Times New Roman" w:hAnsi="Times New Roman"/>
          <w:sz w:val="24"/>
          <w:szCs w:val="24"/>
        </w:rPr>
        <w:t xml:space="preserve">each </w:t>
      </w:r>
      <w:r w:rsidR="008E1D19" w:rsidRPr="00F73EDF">
        <w:rPr>
          <w:rFonts w:ascii="Times New Roman" w:hAnsi="Times New Roman"/>
          <w:sz w:val="24"/>
          <w:szCs w:val="24"/>
        </w:rPr>
        <w:t>Members</w:t>
      </w:r>
      <w:r w:rsidR="008D7BBB" w:rsidRPr="00F73EDF">
        <w:rPr>
          <w:rFonts w:ascii="Times New Roman" w:hAnsi="Times New Roman"/>
          <w:sz w:val="24"/>
          <w:szCs w:val="24"/>
        </w:rPr>
        <w:t xml:space="preserve"> </w:t>
      </w:r>
      <w:r w:rsidR="002D2FC3">
        <w:rPr>
          <w:rFonts w:ascii="Times New Roman" w:hAnsi="Times New Roman"/>
          <w:sz w:val="24"/>
          <w:szCs w:val="24"/>
        </w:rPr>
        <w:t xml:space="preserve">of a syndicate </w:t>
      </w:r>
      <w:r w:rsidR="008D7BBB" w:rsidRPr="00F73EDF">
        <w:rPr>
          <w:rFonts w:ascii="Times New Roman" w:hAnsi="Times New Roman"/>
          <w:sz w:val="24"/>
          <w:szCs w:val="24"/>
        </w:rPr>
        <w:t xml:space="preserve">to obtain Inland Revenue numbers and </w:t>
      </w:r>
      <w:r w:rsidR="006602A1" w:rsidRPr="00F73EDF">
        <w:rPr>
          <w:rFonts w:ascii="Times New Roman" w:hAnsi="Times New Roman"/>
          <w:sz w:val="24"/>
          <w:szCs w:val="24"/>
        </w:rPr>
        <w:t xml:space="preserve">file tax returns in New Zealand with material compliance and administration implications.  The problem arises because the Income Tax </w:t>
      </w:r>
      <w:r w:rsidR="00717670">
        <w:rPr>
          <w:rFonts w:ascii="Times New Roman" w:hAnsi="Times New Roman"/>
          <w:sz w:val="24"/>
          <w:szCs w:val="24"/>
        </w:rPr>
        <w:t xml:space="preserve">Act </w:t>
      </w:r>
      <w:r w:rsidR="006602A1" w:rsidRPr="00F73EDF">
        <w:rPr>
          <w:rFonts w:ascii="Times New Roman" w:hAnsi="Times New Roman"/>
          <w:sz w:val="24"/>
          <w:szCs w:val="24"/>
        </w:rPr>
        <w:t>rules for non-resident life insurers are designed with companies in mind rather than the syndicate approach used by Lloyd</w:t>
      </w:r>
      <w:r w:rsidR="00E01E77" w:rsidRPr="00F73EDF">
        <w:rPr>
          <w:rFonts w:ascii="Times New Roman" w:hAnsi="Times New Roman"/>
          <w:sz w:val="24"/>
          <w:szCs w:val="24"/>
        </w:rPr>
        <w:t>’</w:t>
      </w:r>
      <w:r w:rsidR="006602A1" w:rsidRPr="00F73EDF">
        <w:rPr>
          <w:rFonts w:ascii="Times New Roman" w:hAnsi="Times New Roman"/>
          <w:sz w:val="24"/>
          <w:szCs w:val="24"/>
        </w:rPr>
        <w:t>s.  Lloyd’s advise</w:t>
      </w:r>
      <w:r w:rsidR="00E86DAF" w:rsidRPr="00F73EDF">
        <w:rPr>
          <w:rFonts w:ascii="Times New Roman" w:hAnsi="Times New Roman"/>
          <w:sz w:val="24"/>
          <w:szCs w:val="24"/>
        </w:rPr>
        <w:t>s</w:t>
      </w:r>
      <w:r w:rsidR="006602A1" w:rsidRPr="00F73EDF">
        <w:rPr>
          <w:rFonts w:ascii="Times New Roman" w:hAnsi="Times New Roman"/>
          <w:sz w:val="24"/>
          <w:szCs w:val="24"/>
        </w:rPr>
        <w:t xml:space="preserve"> that its life syndicates in 2015 had 28</w:t>
      </w:r>
      <w:r w:rsidR="00CB2115">
        <w:rPr>
          <w:rFonts w:ascii="Times New Roman" w:hAnsi="Times New Roman"/>
          <w:sz w:val="24"/>
          <w:szCs w:val="24"/>
        </w:rPr>
        <w:t>2</w:t>
      </w:r>
      <w:r w:rsidR="006602A1" w:rsidRPr="00F73EDF">
        <w:rPr>
          <w:rFonts w:ascii="Times New Roman" w:hAnsi="Times New Roman"/>
          <w:sz w:val="24"/>
          <w:szCs w:val="24"/>
        </w:rPr>
        <w:t xml:space="preserve"> members, including 125 companies, 66 individuals and 91 partnerships.</w:t>
      </w:r>
      <w:r w:rsidR="00D36CC9" w:rsidRPr="00F73EDF">
        <w:rPr>
          <w:rFonts w:ascii="Times New Roman" w:hAnsi="Times New Roman"/>
          <w:sz w:val="24"/>
          <w:szCs w:val="24"/>
        </w:rPr>
        <w:t xml:space="preserve">  By way of comparison, Inland Revenue currently processes 58 returns from 34 life insurers.  </w:t>
      </w:r>
    </w:p>
    <w:p w:rsidR="00E9039A" w:rsidRPr="00F73EDF" w:rsidRDefault="00E9039A" w:rsidP="001D502B">
      <w:pPr>
        <w:pStyle w:val="spacer"/>
        <w:spacing w:line="300" w:lineRule="atLeast"/>
        <w:jc w:val="both"/>
        <w:rPr>
          <w:rFonts w:ascii="Times New Roman" w:hAnsi="Times New Roman"/>
          <w:sz w:val="24"/>
          <w:szCs w:val="24"/>
        </w:rPr>
      </w:pPr>
    </w:p>
    <w:p w:rsidR="00E9039A" w:rsidRPr="00F73EDF" w:rsidRDefault="00CA354D">
      <w:pPr>
        <w:pStyle w:val="spacer"/>
        <w:spacing w:line="300" w:lineRule="atLeast"/>
        <w:jc w:val="both"/>
        <w:rPr>
          <w:rFonts w:ascii="Times New Roman" w:hAnsi="Times New Roman"/>
          <w:sz w:val="24"/>
          <w:szCs w:val="24"/>
        </w:rPr>
      </w:pPr>
      <w:r w:rsidRPr="00F73EDF">
        <w:rPr>
          <w:rFonts w:ascii="Times New Roman" w:hAnsi="Times New Roman"/>
          <w:sz w:val="24"/>
          <w:szCs w:val="24"/>
        </w:rPr>
        <w:fldChar w:fldCharType="begin"/>
      </w:r>
      <w:r w:rsidRPr="00F73EDF">
        <w:rPr>
          <w:rFonts w:ascii="Times New Roman" w:hAnsi="Times New Roman"/>
          <w:sz w:val="24"/>
          <w:szCs w:val="24"/>
        </w:rPr>
        <w:instrText xml:space="preserve"> AUTONUM  \* Arabic \s .  </w:instrText>
      </w:r>
      <w:r w:rsidRPr="00F73EDF">
        <w:rPr>
          <w:rFonts w:ascii="Times New Roman" w:hAnsi="Times New Roman"/>
          <w:sz w:val="24"/>
          <w:szCs w:val="24"/>
        </w:rPr>
        <w:fldChar w:fldCharType="end"/>
      </w:r>
      <w:r w:rsidRPr="00F73EDF">
        <w:rPr>
          <w:rFonts w:ascii="Times New Roman" w:hAnsi="Times New Roman"/>
          <w:sz w:val="24"/>
          <w:szCs w:val="24"/>
        </w:rPr>
        <w:tab/>
      </w:r>
      <w:r w:rsidR="008D7BBB" w:rsidRPr="00F73EDF">
        <w:rPr>
          <w:rFonts w:ascii="Times New Roman" w:hAnsi="Times New Roman"/>
          <w:sz w:val="24"/>
          <w:szCs w:val="24"/>
        </w:rPr>
        <w:t xml:space="preserve">The current law would </w:t>
      </w:r>
      <w:r w:rsidR="00E9039A" w:rsidRPr="00F73EDF">
        <w:rPr>
          <w:rFonts w:ascii="Times New Roman" w:hAnsi="Times New Roman"/>
          <w:sz w:val="24"/>
          <w:szCs w:val="24"/>
        </w:rPr>
        <w:t xml:space="preserve">generate a </w:t>
      </w:r>
      <w:r w:rsidR="009029B8" w:rsidRPr="00F73EDF">
        <w:rPr>
          <w:rFonts w:ascii="Times New Roman" w:hAnsi="Times New Roman"/>
          <w:sz w:val="24"/>
          <w:szCs w:val="24"/>
        </w:rPr>
        <w:t>significant</w:t>
      </w:r>
      <w:r w:rsidR="00E9039A" w:rsidRPr="00F73EDF">
        <w:rPr>
          <w:rFonts w:ascii="Times New Roman" w:hAnsi="Times New Roman"/>
          <w:sz w:val="24"/>
          <w:szCs w:val="24"/>
        </w:rPr>
        <w:t xml:space="preserve"> increase in the number of complex life insurance tax returns received by Inland Revenue for what would be very small amounts of tax relating to each return.  </w:t>
      </w:r>
    </w:p>
    <w:p w:rsidR="00E9039A" w:rsidRPr="00F73EDF" w:rsidRDefault="00E9039A">
      <w:pPr>
        <w:pStyle w:val="spacer"/>
        <w:spacing w:line="300" w:lineRule="atLeast"/>
        <w:jc w:val="both"/>
        <w:rPr>
          <w:rFonts w:ascii="Times New Roman" w:hAnsi="Times New Roman"/>
          <w:sz w:val="24"/>
          <w:szCs w:val="24"/>
        </w:rPr>
      </w:pPr>
    </w:p>
    <w:bookmarkStart w:id="12" w:name="_Toc244580364"/>
    <w:bookmarkStart w:id="13" w:name="_Toc244587040"/>
    <w:bookmarkStart w:id="14" w:name="_Toc244857274"/>
    <w:bookmarkStart w:id="15" w:name="_Toc244912539"/>
    <w:bookmarkStart w:id="16" w:name="_Toc244916996"/>
    <w:p w:rsidR="00592F90" w:rsidRPr="00F73EDF" w:rsidRDefault="00592F90">
      <w:pPr>
        <w:pStyle w:val="TRBodyText"/>
        <w:tabs>
          <w:tab w:val="left" w:pos="567"/>
        </w:tabs>
      </w:pPr>
      <w:r w:rsidRPr="00F73EDF">
        <w:fldChar w:fldCharType="begin"/>
      </w:r>
      <w:r w:rsidRPr="00F73EDF">
        <w:instrText xml:space="preserve"> AUTONUM  \* Arabic \s .  </w:instrText>
      </w:r>
      <w:r w:rsidRPr="00F73EDF">
        <w:fldChar w:fldCharType="end"/>
      </w:r>
      <w:r w:rsidRPr="00F73EDF">
        <w:tab/>
        <w:t>Under current law, non-resident life insurers are required to complete tax returns for income (less allowable deductions and losses) for life insurance policies that are:</w:t>
      </w:r>
    </w:p>
    <w:p w:rsidR="00592F90" w:rsidRPr="00F73EDF" w:rsidRDefault="00592F90">
      <w:pPr>
        <w:pStyle w:val="TRBodyText"/>
        <w:tabs>
          <w:tab w:val="left" w:pos="567"/>
        </w:tabs>
      </w:pPr>
    </w:p>
    <w:p w:rsidR="00592F90" w:rsidRPr="00F73EDF" w:rsidRDefault="00D72442" w:rsidP="000269B7">
      <w:pPr>
        <w:pStyle w:val="TRListBullet"/>
        <w:tabs>
          <w:tab w:val="clear" w:pos="1134"/>
        </w:tabs>
        <w:spacing w:after="120"/>
        <w:ind w:left="539" w:hanging="539"/>
      </w:pPr>
      <w:r w:rsidRPr="00F73EDF">
        <w:t>o</w:t>
      </w:r>
      <w:r w:rsidR="00592F90" w:rsidRPr="00F73EDF">
        <w:t>ffered in New Zealand</w:t>
      </w:r>
      <w:r w:rsidRPr="00F73EDF">
        <w:t>;</w:t>
      </w:r>
      <w:r w:rsidR="00D92270" w:rsidRPr="00F73EDF">
        <w:t xml:space="preserve"> or</w:t>
      </w:r>
    </w:p>
    <w:p w:rsidR="00592F90" w:rsidRPr="00F73EDF" w:rsidRDefault="00D72442" w:rsidP="000269B7">
      <w:pPr>
        <w:pStyle w:val="TRListBullet"/>
        <w:tabs>
          <w:tab w:val="clear" w:pos="1134"/>
        </w:tabs>
        <w:spacing w:after="120"/>
        <w:ind w:left="539" w:hanging="539"/>
      </w:pPr>
      <w:r w:rsidRPr="00F73EDF">
        <w:t>o</w:t>
      </w:r>
      <w:r w:rsidR="00592F90" w:rsidRPr="00F73EDF">
        <w:t>ffered or entered into</w:t>
      </w:r>
      <w:r w:rsidR="004547CB" w:rsidRPr="00F73EDF">
        <w:t xml:space="preserve"> in</w:t>
      </w:r>
      <w:r w:rsidR="00592F90" w:rsidRPr="00F73EDF">
        <w:t xml:space="preserve"> New Zealand.</w:t>
      </w:r>
    </w:p>
    <w:p w:rsidR="00592F90" w:rsidRPr="00F73EDF" w:rsidRDefault="00592F90">
      <w:pPr>
        <w:pStyle w:val="TRBodyText"/>
        <w:tabs>
          <w:tab w:val="left" w:pos="567"/>
        </w:tabs>
      </w:pPr>
      <w:r w:rsidRPr="00F73EDF">
        <w:fldChar w:fldCharType="begin"/>
      </w:r>
      <w:r w:rsidRPr="00F73EDF">
        <w:instrText xml:space="preserve"> AUTONUM  \* Arabic \s .  </w:instrText>
      </w:r>
      <w:r w:rsidRPr="00F73EDF">
        <w:fldChar w:fldCharType="end"/>
      </w:r>
      <w:r w:rsidRPr="00F73EDF">
        <w:tab/>
        <w:t xml:space="preserve">Non-resident life insurers </w:t>
      </w:r>
      <w:r w:rsidR="00A42379" w:rsidRPr="00F73EDF">
        <w:t>can</w:t>
      </w:r>
      <w:r w:rsidRPr="00F73EDF">
        <w:t xml:space="preserve"> apply to Inland Revenue to file and pay </w:t>
      </w:r>
      <w:r w:rsidR="00F96CA2" w:rsidRPr="00F73EDF">
        <w:t xml:space="preserve">tax </w:t>
      </w:r>
      <w:r w:rsidRPr="00F73EDF">
        <w:t xml:space="preserve">as if they were New Zealand tax residents to the extent of their New Zealand business.  Compliance by non-residents with these rules is generally excellent.  </w:t>
      </w:r>
    </w:p>
    <w:p w:rsidR="00592F90" w:rsidRPr="00F73EDF" w:rsidRDefault="00592F90">
      <w:pPr>
        <w:pStyle w:val="TRBodyText"/>
        <w:tabs>
          <w:tab w:val="left" w:pos="567"/>
        </w:tabs>
      </w:pPr>
    </w:p>
    <w:p w:rsidR="00592F90" w:rsidRPr="00F73EDF" w:rsidRDefault="00592F90">
      <w:pPr>
        <w:pStyle w:val="TRBodyText"/>
        <w:tabs>
          <w:tab w:val="left" w:pos="567"/>
        </w:tabs>
      </w:pPr>
      <w:r w:rsidRPr="00F73EDF">
        <w:fldChar w:fldCharType="begin"/>
      </w:r>
      <w:r w:rsidRPr="00F73EDF">
        <w:instrText xml:space="preserve"> AUTONUM  \* Arabic \s .  </w:instrText>
      </w:r>
      <w:r w:rsidRPr="00F73EDF">
        <w:fldChar w:fldCharType="end"/>
      </w:r>
      <w:r w:rsidRPr="00F73EDF">
        <w:tab/>
        <w:t>A different set of rules apply to non-resident general insurers (non-life insurers).  Income from general insurance business that is attributed to New Zealand is deemed to be 10 percent of the gross premium.  No deductions are allowed and responsibility for returning the tax falls on a hierarchy of New Zealand persons (typically the insurer’s agent or the insured’s broker</w:t>
      </w:r>
      <w:r w:rsidR="006718FA" w:rsidRPr="00F73EDF">
        <w:t>)</w:t>
      </w:r>
      <w:r w:rsidRPr="00F73EDF">
        <w:t>.  There are well-established practi</w:t>
      </w:r>
      <w:r w:rsidR="00A42379" w:rsidRPr="00F73EDF">
        <w:t>c</w:t>
      </w:r>
      <w:r w:rsidRPr="00F73EDF">
        <w:t xml:space="preserve">es in the general insurance industry to ensure compliance with New Zealand’s tax obligations.  </w:t>
      </w:r>
    </w:p>
    <w:p w:rsidR="00592F90" w:rsidRPr="00F73EDF" w:rsidRDefault="00592F90">
      <w:pPr>
        <w:pStyle w:val="TRBodyText"/>
        <w:tabs>
          <w:tab w:val="left" w:pos="567"/>
        </w:tabs>
      </w:pPr>
    </w:p>
    <w:p w:rsidR="00222550" w:rsidRPr="00F73EDF" w:rsidRDefault="00592F90">
      <w:pPr>
        <w:pStyle w:val="TRBodyText"/>
        <w:tabs>
          <w:tab w:val="left" w:pos="567"/>
        </w:tabs>
      </w:pPr>
      <w:r w:rsidRPr="00F73EDF">
        <w:lastRenderedPageBreak/>
        <w:fldChar w:fldCharType="begin"/>
      </w:r>
      <w:r w:rsidRPr="00F73EDF">
        <w:instrText xml:space="preserve"> AUTONUM  \* Arabic \s .  </w:instrText>
      </w:r>
      <w:r w:rsidRPr="00F73EDF">
        <w:fldChar w:fldCharType="end"/>
      </w:r>
      <w:r w:rsidRPr="00F73EDF">
        <w:tab/>
        <w:t xml:space="preserve">Lloyd’s </w:t>
      </w:r>
      <w:r w:rsidR="00EC72C4" w:rsidRPr="00F73EDF">
        <w:t>has</w:t>
      </w:r>
      <w:r w:rsidRPr="00F73EDF">
        <w:t xml:space="preserve"> </w:t>
      </w:r>
      <w:r w:rsidR="00717670">
        <w:t>requested a</w:t>
      </w:r>
      <w:r w:rsidRPr="00F73EDF">
        <w:t xml:space="preserve"> legislative change that would allow income from New Zealand </w:t>
      </w:r>
      <w:r w:rsidR="00CB2115">
        <w:t>term-</w:t>
      </w:r>
      <w:r w:rsidRPr="00F73EDF">
        <w:t>life insurance business sold by Lloyd’s to be treated in a similar manner to general insurance premiums.  The effect of the</w:t>
      </w:r>
      <w:r w:rsidR="009F4117" w:rsidRPr="00F73EDF">
        <w:t xml:space="preserve"> </w:t>
      </w:r>
      <w:r w:rsidR="00D21AAE">
        <w:t xml:space="preserve">requested </w:t>
      </w:r>
      <w:r w:rsidRPr="00F73EDF">
        <w:t>change shift</w:t>
      </w:r>
      <w:r w:rsidR="00D21AAE">
        <w:t>s</w:t>
      </w:r>
      <w:r w:rsidRPr="00F73EDF">
        <w:t xml:space="preserve"> the tax compliance obligations from Lloyd’s syndicates to Lloyd’s New Zealand </w:t>
      </w:r>
      <w:r w:rsidR="001C0A52" w:rsidRPr="00F73EDF">
        <w:t>authorised</w:t>
      </w:r>
      <w:r w:rsidRPr="00F73EDF">
        <w:t xml:space="preserve"> agents.  </w:t>
      </w:r>
      <w:r w:rsidR="00CB2115">
        <w:t xml:space="preserve">Lloyd’s have established practices that ensure </w:t>
      </w:r>
      <w:r w:rsidR="009A6D10">
        <w:t>its New Zealand authorised agents comply with the</w:t>
      </w:r>
      <w:r w:rsidR="00CB2115">
        <w:t xml:space="preserve"> obligations required by the Income Tax Act and Tax Administration Act</w:t>
      </w:r>
      <w:r w:rsidR="00711E44">
        <w:t xml:space="preserve"> 1994</w:t>
      </w:r>
      <w:r w:rsidR="009A6D10">
        <w:t xml:space="preserve">.  </w:t>
      </w:r>
    </w:p>
    <w:p w:rsidR="00222550" w:rsidRPr="00F73EDF" w:rsidRDefault="00222550">
      <w:pPr>
        <w:pStyle w:val="TRBodyText"/>
        <w:tabs>
          <w:tab w:val="left" w:pos="567"/>
        </w:tabs>
      </w:pPr>
    </w:p>
    <w:p w:rsidR="00592F90" w:rsidRPr="00F73EDF" w:rsidRDefault="00222550">
      <w:pPr>
        <w:pStyle w:val="TRBodyText"/>
        <w:tabs>
          <w:tab w:val="left" w:pos="567"/>
        </w:tabs>
      </w:pPr>
      <w:r w:rsidRPr="00F73EDF">
        <w:fldChar w:fldCharType="begin"/>
      </w:r>
      <w:r w:rsidRPr="00F73EDF">
        <w:instrText xml:space="preserve"> AUTONUM  \* Arabic \s .  </w:instrText>
      </w:r>
      <w:r w:rsidRPr="00F73EDF">
        <w:fldChar w:fldCharType="end"/>
      </w:r>
      <w:r w:rsidRPr="00F73EDF">
        <w:tab/>
      </w:r>
      <w:r w:rsidR="002D65B9">
        <w:t xml:space="preserve">The purpose of the requested </w:t>
      </w:r>
      <w:r w:rsidR="00DC36DE">
        <w:t xml:space="preserve">legislative </w:t>
      </w:r>
      <w:r w:rsidR="0060046C" w:rsidRPr="00F73EDF">
        <w:t xml:space="preserve">change is not to provide a tax concession but improve the efficiency of tax system by </w:t>
      </w:r>
      <w:r w:rsidR="00AB578D" w:rsidRPr="00F73EDF">
        <w:t xml:space="preserve">significantly </w:t>
      </w:r>
      <w:r w:rsidR="0060046C" w:rsidRPr="00F73EDF">
        <w:t xml:space="preserve">reducing compliance and administration costs.  </w:t>
      </w:r>
    </w:p>
    <w:p w:rsidR="00592F90" w:rsidRPr="00F73EDF" w:rsidRDefault="00592F90">
      <w:pPr>
        <w:pStyle w:val="TRBodyText"/>
        <w:tabs>
          <w:tab w:val="left" w:pos="567"/>
        </w:tabs>
      </w:pPr>
    </w:p>
    <w:p w:rsidR="00592F90" w:rsidRPr="00F73EDF" w:rsidRDefault="00592F90">
      <w:pPr>
        <w:pStyle w:val="TRBodyText"/>
        <w:tabs>
          <w:tab w:val="left" w:pos="567"/>
        </w:tabs>
      </w:pPr>
      <w:r w:rsidRPr="00F73EDF">
        <w:fldChar w:fldCharType="begin"/>
      </w:r>
      <w:r w:rsidRPr="00F73EDF">
        <w:instrText xml:space="preserve"> AUTONUM  \* Arabic \s .  </w:instrText>
      </w:r>
      <w:r w:rsidRPr="00F73EDF">
        <w:fldChar w:fldCharType="end"/>
      </w:r>
      <w:r w:rsidRPr="00F73EDF">
        <w:tab/>
      </w:r>
      <w:r w:rsidR="000D58B1" w:rsidRPr="00F73EDF">
        <w:t>Inland Revenue has</w:t>
      </w:r>
      <w:r w:rsidRPr="00F73EDF">
        <w:t xml:space="preserve"> considered whether there is a good case for changing the </w:t>
      </w:r>
      <w:r w:rsidR="008D7BBB" w:rsidRPr="00F73EDF">
        <w:t xml:space="preserve">way that tax is calculated </w:t>
      </w:r>
      <w:r w:rsidRPr="00F73EDF">
        <w:t>for life insurance sold by Lloyd’s.  The current legislative settings for offshore life insurers require the calculation of taxable income after adjusting for allowable deductions and losses.  The rules ensure accuracy and the tax paid reflects the economic activity that has a connection with New Zealand.  The trade-off is the cost of compliance</w:t>
      </w:r>
      <w:r w:rsidR="006E4115" w:rsidRPr="00F73EDF">
        <w:t xml:space="preserve"> on taxpayers</w:t>
      </w:r>
      <w:r w:rsidRPr="00F73EDF">
        <w:t xml:space="preserve"> and, for Inland Revenue, the increased volume of returns that </w:t>
      </w:r>
      <w:r w:rsidR="005F30BB">
        <w:t>could</w:t>
      </w:r>
      <w:r w:rsidRPr="00F73EDF">
        <w:t xml:space="preserve"> result.  </w:t>
      </w:r>
    </w:p>
    <w:p w:rsidR="00F9553A" w:rsidRPr="00F73EDF" w:rsidRDefault="00F9553A">
      <w:pPr>
        <w:pStyle w:val="TRBodyText"/>
        <w:tabs>
          <w:tab w:val="left" w:pos="567"/>
        </w:tabs>
      </w:pPr>
    </w:p>
    <w:p w:rsidR="00F9553A" w:rsidRPr="00F73EDF" w:rsidRDefault="00F9553A">
      <w:pPr>
        <w:pStyle w:val="TRBodyText"/>
      </w:pPr>
      <w:r w:rsidRPr="00F73EDF">
        <w:fldChar w:fldCharType="begin"/>
      </w:r>
      <w:r w:rsidRPr="00F73EDF">
        <w:instrText xml:space="preserve"> AUTONUM  \* Arabic \s .  </w:instrText>
      </w:r>
      <w:r w:rsidRPr="00F73EDF">
        <w:fldChar w:fldCharType="end"/>
      </w:r>
      <w:r w:rsidRPr="00F73EDF">
        <w:tab/>
        <w:t>There are also additional tax compliance complexities created by the way that profit is recognised by Lloyd’s for each syndicate.  Typically, the profits from insurance business are not fully recognised until the end of a three-year reporting cycle</w:t>
      </w:r>
      <w:r w:rsidR="009029B8" w:rsidRPr="00F73EDF">
        <w:rPr>
          <w:szCs w:val="24"/>
        </w:rPr>
        <w:t xml:space="preserve"> based originally on the period of time it took a </w:t>
      </w:r>
      <w:r w:rsidR="00222550" w:rsidRPr="00F73EDF">
        <w:rPr>
          <w:szCs w:val="24"/>
        </w:rPr>
        <w:t>17</w:t>
      </w:r>
      <w:r w:rsidR="00222550" w:rsidRPr="00F73EDF">
        <w:rPr>
          <w:szCs w:val="24"/>
          <w:vertAlign w:val="superscript"/>
        </w:rPr>
        <w:t>th</w:t>
      </w:r>
      <w:r w:rsidR="00222550" w:rsidRPr="00F73EDF">
        <w:rPr>
          <w:szCs w:val="24"/>
        </w:rPr>
        <w:t xml:space="preserve"> century </w:t>
      </w:r>
      <w:r w:rsidR="009029B8" w:rsidRPr="00F73EDF">
        <w:rPr>
          <w:szCs w:val="24"/>
        </w:rPr>
        <w:t>ship to sail around the world</w:t>
      </w:r>
      <w:r w:rsidRPr="00F73EDF">
        <w:t xml:space="preserve">.  </w:t>
      </w:r>
      <w:r w:rsidR="00C03499" w:rsidRPr="00F73EDF">
        <w:t xml:space="preserve">Consider the </w:t>
      </w:r>
      <w:r w:rsidR="00852ABD" w:rsidRPr="00F73EDF">
        <w:t xml:space="preserve">description </w:t>
      </w:r>
      <w:r w:rsidR="00C03499" w:rsidRPr="00F73EDF">
        <w:t xml:space="preserve">below.  </w:t>
      </w:r>
      <w:r w:rsidRPr="00F73EDF">
        <w:t xml:space="preserve">While this reporting cycle is supported by annual interim reporting, this pattern of financial reporting does not translate well into income year concepts used </w:t>
      </w:r>
      <w:r w:rsidR="000E20E1" w:rsidRPr="00F73EDF">
        <w:t>in tax law</w:t>
      </w:r>
      <w:r w:rsidR="005662DB" w:rsidRPr="00F73EDF">
        <w:t xml:space="preserve"> and the </w:t>
      </w:r>
      <w:r w:rsidR="000E20E1" w:rsidRPr="00F73EDF">
        <w:t>administrative and compliance</w:t>
      </w:r>
      <w:r w:rsidR="00852ABD" w:rsidRPr="00F73EDF">
        <w:t xml:space="preserve"> </w:t>
      </w:r>
      <w:r w:rsidR="005662DB" w:rsidRPr="00F73EDF">
        <w:t>systems that hinge of</w:t>
      </w:r>
      <w:r w:rsidR="000E20E1" w:rsidRPr="00F73EDF">
        <w:t>f</w:t>
      </w:r>
      <w:r w:rsidR="005662DB" w:rsidRPr="00F73EDF">
        <w:t xml:space="preserve"> that concept (such as audit, disputes and collections)</w:t>
      </w:r>
      <w:r w:rsidR="00C72423" w:rsidRPr="00F73EDF">
        <w:t xml:space="preserve">.  </w:t>
      </w:r>
    </w:p>
    <w:p w:rsidR="00CC4F02" w:rsidRPr="00F73EDF" w:rsidRDefault="00B954ED" w:rsidP="000D4F67">
      <w:pPr>
        <w:pStyle w:val="Default"/>
        <w:pBdr>
          <w:top w:val="single" w:sz="4" w:space="6" w:color="auto"/>
          <w:left w:val="single" w:sz="4" w:space="4" w:color="auto"/>
          <w:bottom w:val="single" w:sz="4" w:space="6" w:color="auto"/>
          <w:right w:val="single" w:sz="4" w:space="4" w:color="auto"/>
        </w:pBdr>
        <w:spacing w:before="240" w:after="180" w:line="300" w:lineRule="atLeast"/>
        <w:jc w:val="both"/>
        <w:rPr>
          <w:rFonts w:ascii="Times New Roman" w:hAnsi="Times New Roman" w:cs="Times New Roman"/>
          <w:b/>
          <w:sz w:val="22"/>
          <w:szCs w:val="22"/>
        </w:rPr>
      </w:pPr>
      <w:r w:rsidRPr="00F73EDF">
        <w:rPr>
          <w:rFonts w:ascii="Times New Roman" w:hAnsi="Times New Roman" w:cs="Times New Roman"/>
          <w:b/>
          <w:sz w:val="22"/>
          <w:szCs w:val="22"/>
        </w:rPr>
        <w:t>Description of Lloyd’s three-</w:t>
      </w:r>
      <w:r w:rsidR="00CC4F02" w:rsidRPr="00F73EDF">
        <w:rPr>
          <w:rFonts w:ascii="Times New Roman" w:hAnsi="Times New Roman" w:cs="Times New Roman"/>
          <w:b/>
          <w:sz w:val="22"/>
          <w:szCs w:val="22"/>
        </w:rPr>
        <w:t>year reporting cycle</w:t>
      </w:r>
    </w:p>
    <w:p w:rsidR="00CC4F02" w:rsidRPr="00F73EDF" w:rsidRDefault="00CC4F02" w:rsidP="00222550">
      <w:pPr>
        <w:pStyle w:val="Default"/>
        <w:pBdr>
          <w:top w:val="single" w:sz="4" w:space="6" w:color="auto"/>
          <w:left w:val="single" w:sz="4" w:space="4" w:color="auto"/>
          <w:bottom w:val="single" w:sz="4" w:space="6" w:color="auto"/>
          <w:right w:val="single" w:sz="4" w:space="4" w:color="auto"/>
        </w:pBdr>
        <w:spacing w:after="120" w:line="300" w:lineRule="atLeast"/>
        <w:jc w:val="both"/>
        <w:rPr>
          <w:rFonts w:ascii="Times New Roman" w:hAnsi="Times New Roman" w:cs="Times New Roman"/>
          <w:sz w:val="22"/>
          <w:szCs w:val="22"/>
        </w:rPr>
      </w:pPr>
      <w:r w:rsidRPr="00F73EDF">
        <w:rPr>
          <w:rFonts w:ascii="Times New Roman" w:hAnsi="Times New Roman" w:cs="Times New Roman"/>
          <w:sz w:val="22"/>
          <w:szCs w:val="22"/>
        </w:rPr>
        <w:t xml:space="preserve">Member X underwrites on syndicate 123 for the 2014 year-of-account.  In November 2014, the syndicate’s managing agent gives a 12-month binding authority to a Lloyd’s authorised agent in country Z.  Premium and claims relating to that binding authority might be processed in 2014, 2015 and 2016 but all are allocated for 3-year accounting to the 2014 year-of-account. </w:t>
      </w:r>
    </w:p>
    <w:p w:rsidR="00CC4F02" w:rsidRPr="00F73EDF" w:rsidRDefault="00CC4F02" w:rsidP="00222550">
      <w:pPr>
        <w:pStyle w:val="Default"/>
        <w:pBdr>
          <w:top w:val="single" w:sz="4" w:space="6" w:color="auto"/>
          <w:left w:val="single" w:sz="4" w:space="4" w:color="auto"/>
          <w:bottom w:val="single" w:sz="4" w:space="6" w:color="auto"/>
          <w:right w:val="single" w:sz="4" w:space="4" w:color="auto"/>
        </w:pBdr>
        <w:spacing w:after="120" w:line="300" w:lineRule="atLeast"/>
        <w:jc w:val="both"/>
        <w:rPr>
          <w:rFonts w:ascii="Times New Roman" w:hAnsi="Times New Roman" w:cs="Times New Roman"/>
          <w:sz w:val="22"/>
          <w:szCs w:val="22"/>
        </w:rPr>
      </w:pPr>
      <w:r w:rsidRPr="00F73EDF">
        <w:rPr>
          <w:rFonts w:ascii="Times New Roman" w:hAnsi="Times New Roman" w:cs="Times New Roman"/>
          <w:sz w:val="22"/>
          <w:szCs w:val="22"/>
        </w:rPr>
        <w:t>The managing agent maintains the premiums trust fund into which all premium is received and for which claims and other expenses are paid.  No profit or loss is struck for the 2014 year</w:t>
      </w:r>
      <w:r w:rsidR="00B954ED" w:rsidRPr="00F73EDF">
        <w:rPr>
          <w:rFonts w:ascii="Times New Roman" w:hAnsi="Times New Roman" w:cs="Times New Roman"/>
          <w:sz w:val="22"/>
          <w:szCs w:val="22"/>
        </w:rPr>
        <w:t>-o</w:t>
      </w:r>
      <w:r w:rsidRPr="00F73EDF">
        <w:rPr>
          <w:rFonts w:ascii="Times New Roman" w:hAnsi="Times New Roman" w:cs="Times New Roman"/>
          <w:sz w:val="22"/>
          <w:szCs w:val="22"/>
        </w:rPr>
        <w:t>f</w:t>
      </w:r>
      <w:r w:rsidR="00B954ED" w:rsidRPr="00F73EDF">
        <w:rPr>
          <w:rFonts w:ascii="Times New Roman" w:hAnsi="Times New Roman" w:cs="Times New Roman"/>
          <w:sz w:val="22"/>
          <w:szCs w:val="22"/>
        </w:rPr>
        <w:t>-</w:t>
      </w:r>
      <w:r w:rsidRPr="00F73EDF">
        <w:rPr>
          <w:rFonts w:ascii="Times New Roman" w:hAnsi="Times New Roman" w:cs="Times New Roman"/>
          <w:sz w:val="22"/>
          <w:szCs w:val="22"/>
        </w:rPr>
        <w:t xml:space="preserve">account at the end of 2014 (or at the end of 2015).  Instead, the balance of the fund is carried forward until the end of 2016 (the 36-month point for that syndicate for that year of account). This allows time for claims to arise and liabilities to be quantified. </w:t>
      </w:r>
    </w:p>
    <w:p w:rsidR="00CC4F02" w:rsidRPr="00F73EDF" w:rsidRDefault="00B954ED" w:rsidP="000D4F67">
      <w:pPr>
        <w:pStyle w:val="Default"/>
        <w:pBdr>
          <w:top w:val="single" w:sz="4" w:space="6" w:color="auto"/>
          <w:left w:val="single" w:sz="4" w:space="4" w:color="auto"/>
          <w:bottom w:val="single" w:sz="4" w:space="6" w:color="auto"/>
          <w:right w:val="single" w:sz="4" w:space="4" w:color="auto"/>
        </w:pBdr>
        <w:spacing w:line="300" w:lineRule="atLeast"/>
        <w:jc w:val="both"/>
        <w:rPr>
          <w:rFonts w:ascii="Times New Roman" w:hAnsi="Times New Roman" w:cs="Times New Roman"/>
          <w:sz w:val="22"/>
          <w:szCs w:val="22"/>
        </w:rPr>
      </w:pPr>
      <w:r w:rsidRPr="00F73EDF">
        <w:rPr>
          <w:rFonts w:ascii="Times New Roman" w:hAnsi="Times New Roman" w:cs="Times New Roman"/>
          <w:sz w:val="22"/>
          <w:szCs w:val="22"/>
        </w:rPr>
        <w:t>The profit or loss for the year-of-</w:t>
      </w:r>
      <w:r w:rsidR="00CC4F02" w:rsidRPr="00F73EDF">
        <w:rPr>
          <w:rFonts w:ascii="Times New Roman" w:hAnsi="Times New Roman" w:cs="Times New Roman"/>
          <w:sz w:val="22"/>
          <w:szCs w:val="22"/>
        </w:rPr>
        <w:t>account is struck at the 36-month point.  The syndicate “declares” the result of the 2014 year of account in 2017 and “distributes” the profits of that syndicate to its Members at that time in proportion to their participation on the syndicate.  A loss will result in a cash-call to Members to make up the deficit.</w:t>
      </w:r>
    </w:p>
    <w:p w:rsidR="00291CB3" w:rsidRDefault="00291CB3">
      <w:pPr>
        <w:spacing w:after="0" w:line="240" w:lineRule="auto"/>
        <w:rPr>
          <w:rFonts w:ascii="Times New Roman" w:hAnsi="Times New Roman"/>
          <w:b/>
          <w:sz w:val="24"/>
          <w:szCs w:val="24"/>
        </w:rPr>
      </w:pPr>
      <w:r>
        <w:br w:type="page"/>
      </w:r>
    </w:p>
    <w:p w:rsidR="000545DC" w:rsidRPr="00F73EDF" w:rsidRDefault="00D943DD">
      <w:pPr>
        <w:pStyle w:val="RISheading"/>
        <w:jc w:val="both"/>
        <w:rPr>
          <w:spacing w:val="0"/>
          <w:w w:val="100"/>
        </w:rPr>
      </w:pPr>
      <w:r w:rsidRPr="00F73EDF">
        <w:rPr>
          <w:spacing w:val="0"/>
          <w:w w:val="100"/>
        </w:rPr>
        <w:t>OBJECTIVES</w:t>
      </w:r>
      <w:bookmarkEnd w:id="12"/>
      <w:bookmarkEnd w:id="13"/>
      <w:bookmarkEnd w:id="14"/>
      <w:bookmarkEnd w:id="15"/>
      <w:bookmarkEnd w:id="16"/>
    </w:p>
    <w:p w:rsidR="00E9039A" w:rsidRPr="00F73EDF" w:rsidRDefault="00E9039A">
      <w:pPr>
        <w:pStyle w:val="TRBodyText"/>
      </w:pPr>
      <w:r w:rsidRPr="00F73EDF">
        <w:fldChar w:fldCharType="begin"/>
      </w:r>
      <w:r w:rsidRPr="00F73EDF">
        <w:instrText xml:space="preserve"> AUTONUM  </w:instrText>
      </w:r>
      <w:r w:rsidRPr="00F73EDF">
        <w:fldChar w:fldCharType="end"/>
      </w:r>
      <w:r w:rsidRPr="00F73EDF">
        <w:tab/>
        <w:t xml:space="preserve">The </w:t>
      </w:r>
      <w:r w:rsidRPr="00F73EDF">
        <w:rPr>
          <w:b/>
        </w:rPr>
        <w:t>main</w:t>
      </w:r>
      <w:r w:rsidRPr="00F73EDF">
        <w:t xml:space="preserve"> </w:t>
      </w:r>
      <w:r w:rsidR="00EA1B1F" w:rsidRPr="00F73EDF">
        <w:t xml:space="preserve">objective </w:t>
      </w:r>
      <w:r w:rsidRPr="00F73EDF">
        <w:t xml:space="preserve">is to simplify the way tax is collected on </w:t>
      </w:r>
      <w:r w:rsidR="00EE5A1D">
        <w:t>term-</w:t>
      </w:r>
      <w:r w:rsidRPr="00F73EDF">
        <w:t>life insurance business carried on by Lloyd</w:t>
      </w:r>
      <w:r w:rsidR="00B954ED" w:rsidRPr="00F73EDF">
        <w:t>’</w:t>
      </w:r>
      <w:r w:rsidRPr="00F73EDF">
        <w:t xml:space="preserve">s in New Zealand in order to improve the overall efficiency of the tax system.  </w:t>
      </w:r>
    </w:p>
    <w:p w:rsidR="00E9039A" w:rsidRPr="00F73EDF" w:rsidRDefault="00E9039A">
      <w:pPr>
        <w:pStyle w:val="TRBodyText"/>
      </w:pPr>
    </w:p>
    <w:p w:rsidR="00E9039A" w:rsidRPr="00F73EDF" w:rsidRDefault="00E9039A">
      <w:pPr>
        <w:pStyle w:val="TRBodyText"/>
      </w:pPr>
      <w:r w:rsidRPr="00F73EDF">
        <w:fldChar w:fldCharType="begin"/>
      </w:r>
      <w:r w:rsidRPr="00F73EDF">
        <w:instrText xml:space="preserve"> AUTONUM  </w:instrText>
      </w:r>
      <w:r w:rsidRPr="00F73EDF">
        <w:fldChar w:fldCharType="end"/>
      </w:r>
      <w:r w:rsidRPr="00F73EDF">
        <w:tab/>
      </w:r>
      <w:r w:rsidR="00D72442" w:rsidRPr="00F73EDF">
        <w:t xml:space="preserve">All options are assessed against the status quo in relation to the main objective and the following criteria:  </w:t>
      </w:r>
    </w:p>
    <w:p w:rsidR="00E9039A" w:rsidRPr="00F73EDF" w:rsidRDefault="00E9039A">
      <w:pPr>
        <w:pStyle w:val="TRBodyText"/>
      </w:pPr>
    </w:p>
    <w:p w:rsidR="00E9039A" w:rsidRPr="00F73EDF" w:rsidRDefault="00D72442" w:rsidP="00774B8C">
      <w:pPr>
        <w:pStyle w:val="TRListBullet"/>
        <w:tabs>
          <w:tab w:val="clear" w:pos="1134"/>
          <w:tab w:val="num" w:pos="567"/>
        </w:tabs>
        <w:spacing w:after="120"/>
        <w:ind w:left="567"/>
      </w:pPr>
      <w:r w:rsidRPr="00F73EDF">
        <w:t xml:space="preserve">Efficiency of compliance </w:t>
      </w:r>
      <w:r w:rsidR="00334E66" w:rsidRPr="00F73EDF">
        <w:t>–</w:t>
      </w:r>
      <w:r w:rsidRPr="00F73EDF">
        <w:t xml:space="preserve"> </w:t>
      </w:r>
      <w:r w:rsidR="00334E66" w:rsidRPr="00F73EDF">
        <w:t xml:space="preserve">the options should </w:t>
      </w:r>
      <w:r w:rsidR="00E9039A" w:rsidRPr="00F73EDF">
        <w:t>minimise compli</w:t>
      </w:r>
      <w:r w:rsidR="00B954ED" w:rsidRPr="00F73EDF">
        <w:t>ance costs on Lloyd’s of London.</w:t>
      </w:r>
    </w:p>
    <w:p w:rsidR="00E9039A" w:rsidRPr="00F73EDF" w:rsidRDefault="00334E66" w:rsidP="00774B8C">
      <w:pPr>
        <w:pStyle w:val="TRListBullet"/>
        <w:spacing w:after="120"/>
        <w:ind w:left="567"/>
      </w:pPr>
      <w:r w:rsidRPr="00F73EDF">
        <w:t xml:space="preserve">Efficiency of administration – the options should </w:t>
      </w:r>
      <w:r w:rsidR="00E9039A" w:rsidRPr="00F73EDF">
        <w:t>minimise administration costs for Inland Revenue</w:t>
      </w:r>
      <w:r w:rsidRPr="00F73EDF">
        <w:t xml:space="preserve"> and the government</w:t>
      </w:r>
      <w:r w:rsidR="00B954ED" w:rsidRPr="00F73EDF">
        <w:t>.</w:t>
      </w:r>
    </w:p>
    <w:p w:rsidR="00E9039A" w:rsidRPr="00F73EDF" w:rsidRDefault="00334E66" w:rsidP="00774B8C">
      <w:pPr>
        <w:pStyle w:val="TRListBullet"/>
        <w:spacing w:after="120"/>
        <w:ind w:left="567"/>
      </w:pPr>
      <w:r w:rsidRPr="00F73EDF">
        <w:t xml:space="preserve">Sustainability – the options should </w:t>
      </w:r>
      <w:r w:rsidR="00E9039A" w:rsidRPr="00F73EDF">
        <w:t xml:space="preserve">maintain the integrity of the </w:t>
      </w:r>
      <w:r w:rsidR="00286412" w:rsidRPr="00F73EDF">
        <w:t>income tax base</w:t>
      </w:r>
      <w:r w:rsidR="00A1529D" w:rsidRPr="00F73EDF">
        <w:t xml:space="preserve"> and perceptions of fairness</w:t>
      </w:r>
      <w:r w:rsidR="006C66C8" w:rsidRPr="00F73EDF">
        <w:t>.</w:t>
      </w:r>
    </w:p>
    <w:p w:rsidR="00B56DDC" w:rsidRPr="00F73EDF" w:rsidRDefault="00592F90" w:rsidP="00430D21">
      <w:pPr>
        <w:pStyle w:val="TRListBullet"/>
        <w:numPr>
          <w:ilvl w:val="0"/>
          <w:numId w:val="0"/>
        </w:numPr>
        <w:spacing w:after="0"/>
        <w:rPr>
          <w:lang w:val="en-GB"/>
        </w:rPr>
      </w:pPr>
      <w:r w:rsidRPr="00F73EDF">
        <w:fldChar w:fldCharType="begin"/>
      </w:r>
      <w:r w:rsidRPr="00F73EDF">
        <w:instrText xml:space="preserve"> AUTONUM  \* Arabic \s .  </w:instrText>
      </w:r>
      <w:r w:rsidRPr="00F73EDF">
        <w:fldChar w:fldCharType="end"/>
      </w:r>
      <w:r w:rsidR="00C03680" w:rsidRPr="00F73EDF">
        <w:tab/>
      </w:r>
      <w:r w:rsidR="00B56DDC" w:rsidRPr="00F73EDF">
        <w:rPr>
          <w:lang w:val="en-GB"/>
        </w:rPr>
        <w:t xml:space="preserve">This RIS is solely concerned with Lloyd’s and there is no intention to review </w:t>
      </w:r>
      <w:r w:rsidR="00C72423" w:rsidRPr="00F73EDF">
        <w:rPr>
          <w:lang w:val="en-GB"/>
        </w:rPr>
        <w:t>the tax treatment of non-resident life insurers generally</w:t>
      </w:r>
      <w:r w:rsidR="00B56DDC" w:rsidRPr="00F73EDF">
        <w:rPr>
          <w:lang w:val="en-GB"/>
        </w:rPr>
        <w:t xml:space="preserve">.  The reason for </w:t>
      </w:r>
      <w:r w:rsidR="001C38CE" w:rsidRPr="00F73EDF">
        <w:rPr>
          <w:lang w:val="en-GB"/>
        </w:rPr>
        <w:t xml:space="preserve">considering </w:t>
      </w:r>
      <w:r w:rsidR="00B56DDC" w:rsidRPr="00F73EDF">
        <w:rPr>
          <w:lang w:val="en-GB"/>
        </w:rPr>
        <w:t xml:space="preserve">a specific set of rules for Lloyd’s </w:t>
      </w:r>
      <w:r w:rsidR="00D22E86" w:rsidRPr="00F73EDF">
        <w:rPr>
          <w:lang w:val="en-GB"/>
        </w:rPr>
        <w:t xml:space="preserve">syndicates </w:t>
      </w:r>
      <w:r w:rsidR="00B56DDC" w:rsidRPr="00F73EDF">
        <w:rPr>
          <w:lang w:val="en-GB"/>
        </w:rPr>
        <w:t>recognises its unique governance and the need for the tax system to work efficiently within</w:t>
      </w:r>
      <w:r w:rsidR="00C72423" w:rsidRPr="00F73EDF">
        <w:rPr>
          <w:lang w:val="en-GB"/>
        </w:rPr>
        <w:t xml:space="preserve"> current tax policy setting</w:t>
      </w:r>
      <w:r w:rsidR="0003674D" w:rsidRPr="00F73EDF">
        <w:rPr>
          <w:lang w:val="en-GB"/>
        </w:rPr>
        <w:t>s</w:t>
      </w:r>
      <w:r w:rsidR="00B56DDC" w:rsidRPr="00F73EDF">
        <w:rPr>
          <w:lang w:val="en-GB"/>
        </w:rPr>
        <w:t>.</w:t>
      </w:r>
    </w:p>
    <w:p w:rsidR="00430D21" w:rsidRPr="00F73EDF" w:rsidRDefault="00430D21" w:rsidP="00430D21">
      <w:pPr>
        <w:pStyle w:val="TRListBullet"/>
        <w:numPr>
          <w:ilvl w:val="0"/>
          <w:numId w:val="0"/>
        </w:numPr>
        <w:spacing w:after="0"/>
      </w:pPr>
    </w:p>
    <w:p w:rsidR="00F9553A" w:rsidRPr="00F73EDF" w:rsidRDefault="00F9553A" w:rsidP="007332B8">
      <w:pPr>
        <w:pStyle w:val="TRListBullet"/>
        <w:numPr>
          <w:ilvl w:val="0"/>
          <w:numId w:val="0"/>
        </w:numPr>
      </w:pPr>
      <w:r w:rsidRPr="00F73EDF">
        <w:fldChar w:fldCharType="begin"/>
      </w:r>
      <w:r w:rsidRPr="00F73EDF">
        <w:instrText xml:space="preserve"> AUTONUM  \* Arabic \s .  </w:instrText>
      </w:r>
      <w:r w:rsidRPr="00F73EDF">
        <w:fldChar w:fldCharType="end"/>
      </w:r>
      <w:r w:rsidRPr="00F73EDF">
        <w:tab/>
      </w:r>
      <w:r w:rsidR="00334E66" w:rsidRPr="00F73EDF">
        <w:t>T</w:t>
      </w:r>
      <w:r w:rsidR="00F4442C" w:rsidRPr="00F73EDF">
        <w:t xml:space="preserve">here are constraints on what is practically achievable by Inland Revenue and Lloyd’s.  These constraints </w:t>
      </w:r>
      <w:r w:rsidR="00594934" w:rsidRPr="00F73EDF">
        <w:t>create</w:t>
      </w:r>
      <w:r w:rsidR="00F4442C" w:rsidRPr="00F73EDF">
        <w:t xml:space="preserve"> </w:t>
      </w:r>
      <w:r w:rsidR="00594934" w:rsidRPr="00F73EDF">
        <w:t>trade-offs</w:t>
      </w:r>
      <w:r w:rsidR="00F4442C" w:rsidRPr="00F73EDF">
        <w:t xml:space="preserve"> when considering the available options.  </w:t>
      </w:r>
      <w:r w:rsidR="008D7BBB" w:rsidRPr="00F73EDF">
        <w:t xml:space="preserve">For example, there is a trade-off between </w:t>
      </w:r>
      <w:r w:rsidR="00685C79" w:rsidRPr="00F73EDF">
        <w:t>sustainability</w:t>
      </w:r>
      <w:r w:rsidR="008D7BBB" w:rsidRPr="00F73EDF">
        <w:t xml:space="preserve"> and </w:t>
      </w:r>
      <w:r w:rsidR="00685C79" w:rsidRPr="00F73EDF">
        <w:t>efficiency</w:t>
      </w:r>
      <w:r w:rsidR="008D7BBB" w:rsidRPr="00F73EDF">
        <w:t xml:space="preserve">.  </w:t>
      </w:r>
      <w:r w:rsidR="00594934" w:rsidRPr="00F73EDF">
        <w:t xml:space="preserve">Sustainability considers perceptions of fairness and the integrity </w:t>
      </w:r>
      <w:r w:rsidR="00D677A4" w:rsidRPr="00F73EDF">
        <w:t>of the tax system</w:t>
      </w:r>
      <w:r w:rsidR="00DF33FA" w:rsidRPr="00F73EDF">
        <w:t xml:space="preserve">.  </w:t>
      </w:r>
      <w:r w:rsidR="00FA2A44" w:rsidRPr="00F73EDF">
        <w:t>The a</w:t>
      </w:r>
      <w:r w:rsidR="00DF33FA" w:rsidRPr="00F73EDF">
        <w:t xml:space="preserve">ccuracy </w:t>
      </w:r>
      <w:r w:rsidR="00FA2A44" w:rsidRPr="00F73EDF">
        <w:t xml:space="preserve">of each option </w:t>
      </w:r>
      <w:r w:rsidR="00DF33FA" w:rsidRPr="00F73EDF">
        <w:t xml:space="preserve">is </w:t>
      </w:r>
      <w:r w:rsidR="00DB1794" w:rsidRPr="00F73EDF">
        <w:t>therefore an</w:t>
      </w:r>
      <w:r w:rsidR="00DF33FA" w:rsidRPr="00F73EDF">
        <w:t xml:space="preserve"> important policy consideration</w:t>
      </w:r>
      <w:r w:rsidR="00FA2A44" w:rsidRPr="00F73EDF">
        <w:t xml:space="preserve"> in terms of </w:t>
      </w:r>
      <w:r w:rsidR="00F85481" w:rsidRPr="00F73EDF">
        <w:t xml:space="preserve">a taxpayer’s </w:t>
      </w:r>
      <w:r w:rsidR="00FA2A44" w:rsidRPr="00F73EDF">
        <w:t xml:space="preserve">tax </w:t>
      </w:r>
      <w:r w:rsidR="00D231A2" w:rsidRPr="00F73EDF">
        <w:t>liability</w:t>
      </w:r>
      <w:r w:rsidR="00FA2A44" w:rsidRPr="00F73EDF">
        <w:t xml:space="preserve"> should bear a close relationship to </w:t>
      </w:r>
      <w:r w:rsidR="00F85481" w:rsidRPr="00F73EDF">
        <w:t>profitability</w:t>
      </w:r>
      <w:r w:rsidR="00DB1794" w:rsidRPr="00F73EDF">
        <w:t xml:space="preserve">.  </w:t>
      </w:r>
      <w:r w:rsidR="007332B8" w:rsidRPr="00F73EDF">
        <w:t>T</w:t>
      </w:r>
      <w:r w:rsidRPr="00F73EDF">
        <w:t xml:space="preserve">he life insurance industry is no exception to this.  </w:t>
      </w:r>
    </w:p>
    <w:p w:rsidR="00320A3C" w:rsidRPr="00F73EDF" w:rsidRDefault="00D943DD" w:rsidP="00F7490D">
      <w:pPr>
        <w:pStyle w:val="RISheading"/>
        <w:jc w:val="both"/>
        <w:rPr>
          <w:spacing w:val="0"/>
          <w:w w:val="100"/>
        </w:rPr>
      </w:pPr>
      <w:bookmarkStart w:id="17" w:name="_Toc244580365"/>
      <w:bookmarkStart w:id="18" w:name="_Toc244587041"/>
      <w:bookmarkStart w:id="19" w:name="_Toc244857275"/>
      <w:bookmarkStart w:id="20" w:name="_Toc244912540"/>
      <w:bookmarkStart w:id="21" w:name="_Toc244916997"/>
      <w:r w:rsidRPr="00F73EDF">
        <w:rPr>
          <w:spacing w:val="0"/>
          <w:w w:val="100"/>
        </w:rPr>
        <w:t>REGULATORY IMPACT ANALYSIS</w:t>
      </w:r>
      <w:bookmarkEnd w:id="17"/>
      <w:bookmarkEnd w:id="18"/>
      <w:bookmarkEnd w:id="19"/>
      <w:bookmarkEnd w:id="20"/>
      <w:bookmarkEnd w:id="21"/>
      <w:r w:rsidRPr="00F73EDF">
        <w:rPr>
          <w:spacing w:val="0"/>
          <w:w w:val="100"/>
        </w:rPr>
        <w:t xml:space="preserve"> </w:t>
      </w:r>
    </w:p>
    <w:p w:rsidR="00592F90" w:rsidRPr="00F73EDF" w:rsidRDefault="00592F90" w:rsidP="008E62A7">
      <w:pPr>
        <w:pStyle w:val="TRBodyText"/>
      </w:pPr>
      <w:r w:rsidRPr="00F73EDF">
        <w:fldChar w:fldCharType="begin"/>
      </w:r>
      <w:r w:rsidRPr="00F73EDF">
        <w:instrText xml:space="preserve"> AUTONUM  </w:instrText>
      </w:r>
      <w:r w:rsidRPr="00F73EDF">
        <w:fldChar w:fldCharType="end"/>
      </w:r>
      <w:r w:rsidRPr="00F73EDF">
        <w:tab/>
        <w:t>Four options are considered in this RIS</w:t>
      </w:r>
      <w:r w:rsidR="00B56DDC" w:rsidRPr="00F73EDF">
        <w:t>.  They are:</w:t>
      </w:r>
      <w:r w:rsidRPr="00F73EDF">
        <w:t xml:space="preserve"> </w:t>
      </w:r>
      <w:r w:rsidR="00BD2113" w:rsidRPr="00F73EDF">
        <w:t xml:space="preserve"> </w:t>
      </w:r>
    </w:p>
    <w:p w:rsidR="00D95C72" w:rsidRPr="00F73EDF" w:rsidRDefault="00D95C72" w:rsidP="00554DDD">
      <w:pPr>
        <w:pStyle w:val="TRBodyText"/>
      </w:pPr>
    </w:p>
    <w:p w:rsidR="001E0872" w:rsidRPr="00F73EDF" w:rsidRDefault="001E0872" w:rsidP="00774B8C">
      <w:pPr>
        <w:pStyle w:val="TRListBullet"/>
        <w:tabs>
          <w:tab w:val="clear" w:pos="1134"/>
          <w:tab w:val="num" w:pos="567"/>
        </w:tabs>
        <w:spacing w:after="120"/>
        <w:ind w:left="567"/>
      </w:pPr>
      <w:r w:rsidRPr="00F73EDF">
        <w:t xml:space="preserve">Option 1 (status quo) – Lloyd’s </w:t>
      </w:r>
      <w:r w:rsidR="00F9553A" w:rsidRPr="00F73EDF">
        <w:t>Members</w:t>
      </w:r>
      <w:r w:rsidRPr="00F73EDF">
        <w:t xml:space="preserve"> return tax on </w:t>
      </w:r>
      <w:r w:rsidR="007838FE" w:rsidRPr="00F73EDF">
        <w:t>their</w:t>
      </w:r>
      <w:r w:rsidRPr="00F73EDF">
        <w:t xml:space="preserve"> New Zealand life insurance business</w:t>
      </w:r>
      <w:r w:rsidR="00506DC0" w:rsidRPr="00F73EDF">
        <w:t>.</w:t>
      </w:r>
    </w:p>
    <w:p w:rsidR="001E0872" w:rsidRPr="00F73EDF" w:rsidRDefault="001E0872" w:rsidP="00774B8C">
      <w:pPr>
        <w:pStyle w:val="TRListBullet"/>
        <w:spacing w:after="120"/>
        <w:ind w:left="567"/>
      </w:pPr>
      <w:r w:rsidRPr="00F73EDF">
        <w:t xml:space="preserve">Option </w:t>
      </w:r>
      <w:r w:rsidR="002126FF">
        <w:t>2</w:t>
      </w:r>
      <w:r w:rsidRPr="00F73EDF">
        <w:t xml:space="preserve"> (treat </w:t>
      </w:r>
      <w:r w:rsidR="005E5A02" w:rsidRPr="00F73EDF">
        <w:t xml:space="preserve">Lloyd’s </w:t>
      </w:r>
      <w:r w:rsidRPr="00F73EDF">
        <w:t>syndicate</w:t>
      </w:r>
      <w:r w:rsidR="005E5A02" w:rsidRPr="00F73EDF">
        <w:t>s</w:t>
      </w:r>
      <w:r w:rsidRPr="00F73EDF">
        <w:t xml:space="preserve"> as a single taxpayer) – </w:t>
      </w:r>
      <w:r w:rsidR="00B954ED" w:rsidRPr="00F73EDF">
        <w:t>T</w:t>
      </w:r>
      <w:r w:rsidR="00506DC0" w:rsidRPr="00F73EDF">
        <w:t>reat a</w:t>
      </w:r>
      <w:r w:rsidRPr="00F73EDF">
        <w:t xml:space="preserve">ll Lloyd’s </w:t>
      </w:r>
      <w:r w:rsidR="00AB6D7B" w:rsidRPr="00F73EDF">
        <w:t xml:space="preserve">syndicates </w:t>
      </w:r>
      <w:r w:rsidR="009A7B0E" w:rsidRPr="00F73EDF">
        <w:t>that carry on life insurance business in New Zealand</w:t>
      </w:r>
      <w:r w:rsidRPr="00F73EDF">
        <w:t xml:space="preserve"> as one taxpayer</w:t>
      </w:r>
      <w:r w:rsidR="00506DC0" w:rsidRPr="00F73EDF">
        <w:t>.</w:t>
      </w:r>
    </w:p>
    <w:p w:rsidR="001E0872" w:rsidRPr="00F73EDF" w:rsidRDefault="001E0872" w:rsidP="00774B8C">
      <w:pPr>
        <w:pStyle w:val="TRListBullet"/>
        <w:tabs>
          <w:tab w:val="clear" w:pos="1134"/>
          <w:tab w:val="num" w:pos="567"/>
        </w:tabs>
        <w:spacing w:after="120"/>
        <w:ind w:left="567"/>
      </w:pPr>
      <w:r w:rsidRPr="00F73EDF">
        <w:t xml:space="preserve">Option </w:t>
      </w:r>
      <w:r w:rsidR="002126FF">
        <w:t>3</w:t>
      </w:r>
      <w:r w:rsidRPr="00F73EDF">
        <w:t xml:space="preserve"> (special presumptive tax rule) – </w:t>
      </w:r>
      <w:r w:rsidR="00B954ED" w:rsidRPr="00F73EDF">
        <w:t>E</w:t>
      </w:r>
      <w:r w:rsidR="00506DC0" w:rsidRPr="00F73EDF">
        <w:t xml:space="preserve">stablish a </w:t>
      </w:r>
      <w:r w:rsidRPr="00F73EDF">
        <w:t>special tax rule that imposes tax on the gross premiums of Lloyd’s term-life insurance products.</w:t>
      </w:r>
    </w:p>
    <w:p w:rsidR="001E0872" w:rsidRPr="00F73EDF" w:rsidRDefault="00BF0E04" w:rsidP="00B604A3">
      <w:pPr>
        <w:pStyle w:val="Bullet-list"/>
        <w:spacing w:after="0" w:line="300" w:lineRule="atLeast"/>
        <w:ind w:left="0" w:firstLine="0"/>
        <w:jc w:val="both"/>
        <w:rPr>
          <w:rFonts w:ascii="Times New Roman" w:hAnsi="Times New Roman"/>
          <w:sz w:val="24"/>
          <w:szCs w:val="24"/>
        </w:rPr>
      </w:pPr>
      <w:r w:rsidRPr="00F73EDF">
        <w:rPr>
          <w:rFonts w:ascii="Times New Roman" w:hAnsi="Times New Roman"/>
          <w:sz w:val="24"/>
          <w:szCs w:val="24"/>
        </w:rPr>
        <w:fldChar w:fldCharType="begin"/>
      </w:r>
      <w:r w:rsidRPr="00F73EDF">
        <w:rPr>
          <w:rFonts w:ascii="Times New Roman" w:hAnsi="Times New Roman"/>
          <w:sz w:val="24"/>
          <w:szCs w:val="24"/>
        </w:rPr>
        <w:instrText xml:space="preserve"> AUTONUM  \* Arabic \s .  </w:instrText>
      </w:r>
      <w:r w:rsidRPr="00F73EDF">
        <w:rPr>
          <w:rFonts w:ascii="Times New Roman" w:hAnsi="Times New Roman"/>
          <w:sz w:val="24"/>
          <w:szCs w:val="24"/>
        </w:rPr>
        <w:fldChar w:fldCharType="end"/>
      </w:r>
      <w:r w:rsidRPr="00F73EDF">
        <w:rPr>
          <w:rFonts w:ascii="Times New Roman" w:hAnsi="Times New Roman"/>
          <w:sz w:val="24"/>
          <w:szCs w:val="24"/>
        </w:rPr>
        <w:tab/>
        <w:t>The impact of each option is discussed below.  None of the options have</w:t>
      </w:r>
      <w:r w:rsidR="00852980" w:rsidRPr="00F73EDF">
        <w:rPr>
          <w:rFonts w:ascii="Times New Roman" w:hAnsi="Times New Roman"/>
          <w:sz w:val="24"/>
          <w:szCs w:val="24"/>
        </w:rPr>
        <w:t xml:space="preserve"> </w:t>
      </w:r>
      <w:r w:rsidR="00C308D9" w:rsidRPr="00F73EDF">
        <w:rPr>
          <w:rFonts w:ascii="Times New Roman" w:hAnsi="Times New Roman"/>
          <w:sz w:val="24"/>
          <w:szCs w:val="24"/>
        </w:rPr>
        <w:t>s</w:t>
      </w:r>
      <w:r w:rsidR="001E0872" w:rsidRPr="00F73EDF">
        <w:rPr>
          <w:rFonts w:ascii="Times New Roman" w:hAnsi="Times New Roman"/>
          <w:sz w:val="24"/>
          <w:szCs w:val="24"/>
        </w:rPr>
        <w:t>ocial, cultural or environmental impacts</w:t>
      </w:r>
      <w:r w:rsidR="00C308D9" w:rsidRPr="00F73EDF">
        <w:rPr>
          <w:rFonts w:ascii="Times New Roman" w:hAnsi="Times New Roman"/>
          <w:sz w:val="24"/>
          <w:szCs w:val="24"/>
        </w:rPr>
        <w:t>.</w:t>
      </w:r>
      <w:r w:rsidR="00D231A2" w:rsidRPr="00F73EDF">
        <w:rPr>
          <w:rFonts w:ascii="Times New Roman" w:hAnsi="Times New Roman"/>
          <w:sz w:val="24"/>
          <w:szCs w:val="24"/>
        </w:rPr>
        <w:t xml:space="preserve">  </w:t>
      </w:r>
      <w:r w:rsidR="00BF1E50" w:rsidRPr="00F73EDF">
        <w:rPr>
          <w:rFonts w:ascii="Times New Roman" w:hAnsi="Times New Roman"/>
          <w:sz w:val="24"/>
          <w:szCs w:val="24"/>
        </w:rPr>
        <w:t>All of the options considered are expected to be largely fiscally neutral</w:t>
      </w:r>
      <w:r w:rsidR="008356C7" w:rsidRPr="00F73EDF">
        <w:rPr>
          <w:rFonts w:ascii="Times New Roman" w:hAnsi="Times New Roman"/>
          <w:sz w:val="24"/>
          <w:szCs w:val="24"/>
        </w:rPr>
        <w:t xml:space="preserve"> relative to the status quo</w:t>
      </w:r>
      <w:r w:rsidR="00BF1E50" w:rsidRPr="00F73EDF">
        <w:rPr>
          <w:rFonts w:ascii="Times New Roman" w:hAnsi="Times New Roman"/>
          <w:sz w:val="24"/>
          <w:szCs w:val="24"/>
        </w:rPr>
        <w:t xml:space="preserve">.  </w:t>
      </w:r>
    </w:p>
    <w:p w:rsidR="00D943DD" w:rsidRPr="00F73EDF" w:rsidRDefault="003E34F4" w:rsidP="007D649F">
      <w:pPr>
        <w:pStyle w:val="spacer"/>
        <w:spacing w:before="240" w:after="180" w:line="300" w:lineRule="atLeast"/>
        <w:jc w:val="both"/>
        <w:rPr>
          <w:rFonts w:ascii="Times New Roman" w:hAnsi="Times New Roman"/>
          <w:b/>
          <w:sz w:val="24"/>
          <w:szCs w:val="24"/>
          <w:lang w:val="en-AU"/>
        </w:rPr>
      </w:pPr>
      <w:bookmarkStart w:id="22" w:name="_Toc244580366"/>
      <w:bookmarkStart w:id="23" w:name="_Toc244587042"/>
      <w:bookmarkStart w:id="24" w:name="_Toc244857276"/>
      <w:bookmarkStart w:id="25" w:name="_Toc244912541"/>
      <w:bookmarkStart w:id="26" w:name="_Toc244916998"/>
      <w:r w:rsidRPr="00F73EDF">
        <w:rPr>
          <w:rFonts w:ascii="Times New Roman" w:hAnsi="Times New Roman"/>
          <w:b/>
          <w:sz w:val="24"/>
          <w:szCs w:val="24"/>
          <w:lang w:val="en-AU"/>
        </w:rPr>
        <w:t>Option 1</w:t>
      </w:r>
      <w:r w:rsidR="00B954ED" w:rsidRPr="00F73EDF">
        <w:rPr>
          <w:rFonts w:ascii="Times New Roman" w:hAnsi="Times New Roman"/>
          <w:b/>
          <w:sz w:val="24"/>
          <w:szCs w:val="24"/>
          <w:lang w:val="en-AU"/>
        </w:rPr>
        <w:t xml:space="preserve"> –</w:t>
      </w:r>
      <w:r w:rsidR="004547CB" w:rsidRPr="00F73EDF">
        <w:rPr>
          <w:rFonts w:ascii="Times New Roman" w:hAnsi="Times New Roman"/>
          <w:b/>
          <w:sz w:val="24"/>
          <w:szCs w:val="24"/>
          <w:lang w:val="en-AU"/>
        </w:rPr>
        <w:t xml:space="preserve"> Status quo</w:t>
      </w:r>
    </w:p>
    <w:p w:rsidR="0006512F" w:rsidRPr="00F73EDF" w:rsidRDefault="003E34F4" w:rsidP="00F7490D">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r>
      <w:r w:rsidR="00282243" w:rsidRPr="00F73EDF">
        <w:rPr>
          <w:rFonts w:ascii="Times New Roman" w:hAnsi="Times New Roman"/>
          <w:sz w:val="24"/>
          <w:szCs w:val="24"/>
          <w:lang w:val="en-AU"/>
        </w:rPr>
        <w:t xml:space="preserve">This option would maintain the status quo.  </w:t>
      </w:r>
      <w:r w:rsidR="00BC6C39" w:rsidRPr="00F73EDF">
        <w:rPr>
          <w:rFonts w:ascii="Times New Roman" w:hAnsi="Times New Roman"/>
          <w:sz w:val="24"/>
          <w:szCs w:val="24"/>
          <w:lang w:val="en-AU"/>
        </w:rPr>
        <w:t xml:space="preserve">Lloyd’s Members would be required to obtain </w:t>
      </w:r>
      <w:r w:rsidR="00041FA2" w:rsidRPr="00F73EDF">
        <w:rPr>
          <w:rFonts w:ascii="Times New Roman" w:hAnsi="Times New Roman"/>
          <w:sz w:val="24"/>
          <w:szCs w:val="24"/>
          <w:lang w:val="en-AU"/>
        </w:rPr>
        <w:t xml:space="preserve">Inland Revenue </w:t>
      </w:r>
      <w:r w:rsidR="00BC6C39" w:rsidRPr="00F73EDF">
        <w:rPr>
          <w:rFonts w:ascii="Times New Roman" w:hAnsi="Times New Roman"/>
          <w:sz w:val="24"/>
          <w:szCs w:val="24"/>
          <w:lang w:val="en-AU"/>
        </w:rPr>
        <w:t xml:space="preserve">numbers and meet their obligations under the </w:t>
      </w:r>
      <w:r w:rsidR="0006512F" w:rsidRPr="00F73EDF">
        <w:rPr>
          <w:rFonts w:ascii="Times New Roman" w:hAnsi="Times New Roman"/>
          <w:sz w:val="24"/>
          <w:szCs w:val="24"/>
          <w:lang w:val="en-AU"/>
        </w:rPr>
        <w:t xml:space="preserve">Inland </w:t>
      </w:r>
      <w:r w:rsidR="00BC6C39" w:rsidRPr="00F73EDF">
        <w:rPr>
          <w:rFonts w:ascii="Times New Roman" w:hAnsi="Times New Roman"/>
          <w:sz w:val="24"/>
          <w:szCs w:val="24"/>
          <w:lang w:val="en-AU"/>
        </w:rPr>
        <w:t>Revenue Acts</w:t>
      </w:r>
      <w:r w:rsidR="00982C5C" w:rsidRPr="00F73EDF">
        <w:rPr>
          <w:rFonts w:ascii="Times New Roman" w:hAnsi="Times New Roman"/>
          <w:sz w:val="24"/>
          <w:szCs w:val="24"/>
          <w:lang w:val="en-AU"/>
        </w:rPr>
        <w:t>.</w:t>
      </w:r>
      <w:r w:rsidR="00BC6C39" w:rsidRPr="00F73EDF">
        <w:rPr>
          <w:rFonts w:ascii="Times New Roman" w:hAnsi="Times New Roman"/>
          <w:sz w:val="24"/>
          <w:szCs w:val="24"/>
          <w:lang w:val="en-AU"/>
        </w:rPr>
        <w:t xml:space="preserve"> </w:t>
      </w:r>
    </w:p>
    <w:p w:rsidR="00291CB3" w:rsidRDefault="00291CB3">
      <w:pPr>
        <w:spacing w:after="0" w:line="240" w:lineRule="auto"/>
        <w:rPr>
          <w:rFonts w:ascii="Times New Roman" w:hAnsi="Times New Roman"/>
          <w:b/>
          <w:i/>
          <w:sz w:val="24"/>
          <w:szCs w:val="24"/>
          <w:lang w:val="en-AU" w:eastAsia="en-AU"/>
        </w:rPr>
      </w:pPr>
      <w:r>
        <w:rPr>
          <w:rFonts w:ascii="Times New Roman" w:hAnsi="Times New Roman"/>
          <w:b/>
          <w:i/>
          <w:sz w:val="24"/>
          <w:szCs w:val="24"/>
          <w:lang w:val="en-AU"/>
        </w:rPr>
        <w:br w:type="page"/>
      </w:r>
    </w:p>
    <w:p w:rsidR="0006512F" w:rsidRPr="00F73EDF" w:rsidRDefault="0006512F" w:rsidP="007D649F">
      <w:pPr>
        <w:pStyle w:val="spacer"/>
        <w:spacing w:before="240" w:after="180" w:line="300" w:lineRule="atLeast"/>
        <w:jc w:val="both"/>
        <w:rPr>
          <w:rFonts w:ascii="Times New Roman" w:hAnsi="Times New Roman"/>
          <w:b/>
          <w:i/>
          <w:sz w:val="24"/>
          <w:szCs w:val="24"/>
          <w:lang w:val="en-AU"/>
        </w:rPr>
      </w:pPr>
      <w:r w:rsidRPr="00F73EDF">
        <w:rPr>
          <w:rFonts w:ascii="Times New Roman" w:hAnsi="Times New Roman"/>
          <w:b/>
          <w:i/>
          <w:sz w:val="24"/>
          <w:szCs w:val="24"/>
          <w:lang w:val="en-AU"/>
        </w:rPr>
        <w:t>Efficiency of compliance</w:t>
      </w:r>
    </w:p>
    <w:p w:rsidR="00D34F77" w:rsidRPr="00F73EDF" w:rsidRDefault="0006512F" w:rsidP="00D34F77">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r>
      <w:r w:rsidR="00982C5C" w:rsidRPr="00F73EDF">
        <w:rPr>
          <w:rFonts w:ascii="Times New Roman" w:hAnsi="Times New Roman"/>
          <w:sz w:val="24"/>
          <w:szCs w:val="24"/>
          <w:lang w:val="en-AU"/>
        </w:rPr>
        <w:t>Lloyd’s Members who carry on life insurance business in New Zealand would be required to obtain Inland Revenue numbers</w:t>
      </w:r>
      <w:r w:rsidR="00891AD4" w:rsidRPr="00F73EDF">
        <w:rPr>
          <w:rFonts w:ascii="Times New Roman" w:hAnsi="Times New Roman"/>
          <w:sz w:val="24"/>
          <w:szCs w:val="24"/>
          <w:lang w:val="en-AU"/>
        </w:rPr>
        <w:t xml:space="preserve"> and file annual tax returns</w:t>
      </w:r>
      <w:r w:rsidR="00982C5C" w:rsidRPr="00F73EDF">
        <w:rPr>
          <w:rFonts w:ascii="Times New Roman" w:hAnsi="Times New Roman"/>
          <w:sz w:val="24"/>
          <w:szCs w:val="24"/>
          <w:lang w:val="en-AU"/>
        </w:rPr>
        <w:t xml:space="preserve">. </w:t>
      </w:r>
      <w:r w:rsidR="00B91F89" w:rsidRPr="00F73EDF">
        <w:rPr>
          <w:rFonts w:ascii="Times New Roman" w:hAnsi="Times New Roman"/>
          <w:sz w:val="24"/>
          <w:szCs w:val="24"/>
          <w:lang w:val="en-AU"/>
        </w:rPr>
        <w:t xml:space="preserve"> </w:t>
      </w:r>
      <w:r w:rsidR="00DD7C13" w:rsidRPr="00F73EDF">
        <w:rPr>
          <w:rFonts w:ascii="Times New Roman" w:hAnsi="Times New Roman"/>
          <w:sz w:val="24"/>
          <w:szCs w:val="24"/>
          <w:lang w:val="en-AU"/>
        </w:rPr>
        <w:t xml:space="preserve">It is estimated that compliance with the current law could </w:t>
      </w:r>
      <w:r w:rsidR="008B14F2">
        <w:rPr>
          <w:rFonts w:ascii="Times New Roman" w:hAnsi="Times New Roman"/>
          <w:sz w:val="24"/>
          <w:szCs w:val="24"/>
          <w:lang w:val="en-AU"/>
        </w:rPr>
        <w:t xml:space="preserve">over time </w:t>
      </w:r>
      <w:r w:rsidR="008356C7" w:rsidRPr="00F73EDF">
        <w:rPr>
          <w:rFonts w:ascii="Times New Roman" w:hAnsi="Times New Roman"/>
          <w:sz w:val="24"/>
          <w:szCs w:val="24"/>
          <w:lang w:val="en-AU"/>
        </w:rPr>
        <w:t>create</w:t>
      </w:r>
      <w:r w:rsidR="00DD7C13" w:rsidRPr="00F73EDF">
        <w:rPr>
          <w:rFonts w:ascii="Times New Roman" w:hAnsi="Times New Roman"/>
          <w:sz w:val="24"/>
          <w:szCs w:val="24"/>
          <w:lang w:val="en-AU"/>
        </w:rPr>
        <w:t xml:space="preserve"> the need to produce </w:t>
      </w:r>
      <w:r w:rsidR="005F30BB">
        <w:rPr>
          <w:rFonts w:ascii="Times New Roman" w:hAnsi="Times New Roman"/>
          <w:sz w:val="24"/>
          <w:szCs w:val="24"/>
          <w:lang w:val="en-AU"/>
        </w:rPr>
        <w:t>a significant number of</w:t>
      </w:r>
      <w:r w:rsidR="00DD7C13" w:rsidRPr="00F73EDF">
        <w:rPr>
          <w:rFonts w:ascii="Times New Roman" w:hAnsi="Times New Roman"/>
          <w:sz w:val="24"/>
          <w:szCs w:val="24"/>
          <w:lang w:val="en-AU"/>
        </w:rPr>
        <w:t xml:space="preserve"> reasonabl</w:t>
      </w:r>
      <w:r w:rsidR="002624D0" w:rsidRPr="00F73EDF">
        <w:rPr>
          <w:rFonts w:ascii="Times New Roman" w:hAnsi="Times New Roman"/>
          <w:sz w:val="24"/>
          <w:szCs w:val="24"/>
          <w:lang w:val="en-AU"/>
        </w:rPr>
        <w:t>y</w:t>
      </w:r>
      <w:r w:rsidR="00DD7C13" w:rsidRPr="00F73EDF">
        <w:rPr>
          <w:rFonts w:ascii="Times New Roman" w:hAnsi="Times New Roman"/>
          <w:sz w:val="24"/>
          <w:szCs w:val="24"/>
          <w:lang w:val="en-AU"/>
        </w:rPr>
        <w:t xml:space="preserve"> complex </w:t>
      </w:r>
      <w:r w:rsidR="008356C7" w:rsidRPr="00F73EDF">
        <w:rPr>
          <w:rFonts w:ascii="Times New Roman" w:hAnsi="Times New Roman"/>
          <w:sz w:val="24"/>
          <w:szCs w:val="24"/>
          <w:lang w:val="en-AU"/>
        </w:rPr>
        <w:t xml:space="preserve">annual </w:t>
      </w:r>
      <w:r w:rsidR="00DD7C13" w:rsidRPr="00F73EDF">
        <w:rPr>
          <w:rFonts w:ascii="Times New Roman" w:hAnsi="Times New Roman"/>
          <w:sz w:val="24"/>
          <w:szCs w:val="24"/>
          <w:lang w:val="en-AU"/>
        </w:rPr>
        <w:t>tax returns</w:t>
      </w:r>
      <w:r w:rsidR="00A11311" w:rsidRPr="00F73EDF">
        <w:rPr>
          <w:rFonts w:ascii="Times New Roman" w:hAnsi="Times New Roman"/>
          <w:sz w:val="24"/>
          <w:szCs w:val="24"/>
          <w:lang w:val="en-AU"/>
        </w:rPr>
        <w:t>.</w:t>
      </w:r>
      <w:r w:rsidR="008356C7" w:rsidRPr="00F73EDF">
        <w:rPr>
          <w:rStyle w:val="FootnoteReference"/>
          <w:rFonts w:ascii="Times New Roman" w:hAnsi="Times New Roman"/>
          <w:szCs w:val="24"/>
          <w:lang w:val="en-AU"/>
        </w:rPr>
        <w:footnoteReference w:id="2"/>
      </w:r>
      <w:r w:rsidR="00A11311" w:rsidRPr="00F73EDF">
        <w:rPr>
          <w:rFonts w:ascii="Times New Roman" w:hAnsi="Times New Roman"/>
          <w:sz w:val="24"/>
          <w:szCs w:val="24"/>
          <w:lang w:val="en-AU"/>
        </w:rPr>
        <w:t xml:space="preserve">  </w:t>
      </w:r>
      <w:r w:rsidR="002624D0" w:rsidRPr="00F73EDF">
        <w:rPr>
          <w:rFonts w:ascii="Times New Roman" w:hAnsi="Times New Roman"/>
          <w:sz w:val="24"/>
          <w:szCs w:val="24"/>
          <w:lang w:val="en-AU"/>
        </w:rPr>
        <w:t xml:space="preserve">Each return </w:t>
      </w:r>
      <w:r w:rsidR="00C0489A" w:rsidRPr="00F73EDF">
        <w:rPr>
          <w:rFonts w:ascii="Times New Roman" w:hAnsi="Times New Roman"/>
          <w:sz w:val="24"/>
          <w:szCs w:val="24"/>
          <w:lang w:val="en-AU"/>
        </w:rPr>
        <w:t xml:space="preserve">would be for a very small sum of revenue. </w:t>
      </w:r>
      <w:r w:rsidR="00D34F77" w:rsidRPr="00F73EDF">
        <w:rPr>
          <w:rFonts w:ascii="Times New Roman" w:hAnsi="Times New Roman"/>
          <w:sz w:val="24"/>
          <w:szCs w:val="24"/>
          <w:lang w:val="en-AU"/>
        </w:rPr>
        <w:t>For Lloyd’s</w:t>
      </w:r>
      <w:r w:rsidR="00982C5C" w:rsidRPr="00F73EDF">
        <w:rPr>
          <w:rFonts w:ascii="Times New Roman" w:hAnsi="Times New Roman"/>
          <w:sz w:val="24"/>
          <w:szCs w:val="24"/>
          <w:lang w:val="en-AU"/>
        </w:rPr>
        <w:t>,</w:t>
      </w:r>
      <w:r w:rsidR="00D34F77" w:rsidRPr="00F73EDF">
        <w:rPr>
          <w:rFonts w:ascii="Times New Roman" w:hAnsi="Times New Roman"/>
          <w:sz w:val="24"/>
          <w:szCs w:val="24"/>
          <w:lang w:val="en-AU"/>
        </w:rPr>
        <w:t xml:space="preserve"> the current treatment of non-resident life insurers </w:t>
      </w:r>
      <w:r w:rsidR="002624D0" w:rsidRPr="00F73EDF">
        <w:rPr>
          <w:rFonts w:ascii="Times New Roman" w:hAnsi="Times New Roman"/>
          <w:sz w:val="24"/>
          <w:szCs w:val="24"/>
          <w:lang w:val="en-AU"/>
        </w:rPr>
        <w:t>would</w:t>
      </w:r>
      <w:r w:rsidR="00D34F77" w:rsidRPr="00F73EDF">
        <w:rPr>
          <w:rFonts w:ascii="Times New Roman" w:hAnsi="Times New Roman"/>
          <w:sz w:val="24"/>
          <w:szCs w:val="24"/>
          <w:lang w:val="en-AU"/>
        </w:rPr>
        <w:t xml:space="preserve"> impose considerable </w:t>
      </w:r>
      <w:r w:rsidR="008B14F2">
        <w:rPr>
          <w:rFonts w:ascii="Times New Roman" w:hAnsi="Times New Roman"/>
          <w:sz w:val="24"/>
          <w:szCs w:val="24"/>
          <w:lang w:val="en-AU"/>
        </w:rPr>
        <w:t>practical difficulties and compliance costs and act as a barrier to enter the New Zealand life insurance market</w:t>
      </w:r>
      <w:r w:rsidR="00D34F77" w:rsidRPr="00F73EDF">
        <w:rPr>
          <w:rFonts w:ascii="Times New Roman" w:hAnsi="Times New Roman"/>
          <w:sz w:val="24"/>
          <w:szCs w:val="24"/>
          <w:lang w:val="en-AU"/>
        </w:rPr>
        <w:t xml:space="preserve">.  </w:t>
      </w:r>
    </w:p>
    <w:p w:rsidR="0006512F" w:rsidRPr="00F73EDF" w:rsidRDefault="0006512F" w:rsidP="007D649F">
      <w:pPr>
        <w:pStyle w:val="spacer"/>
        <w:spacing w:before="240" w:after="180" w:line="300" w:lineRule="atLeast"/>
        <w:jc w:val="both"/>
        <w:rPr>
          <w:rFonts w:ascii="Times New Roman" w:hAnsi="Times New Roman"/>
          <w:b/>
          <w:i/>
          <w:sz w:val="24"/>
          <w:szCs w:val="24"/>
          <w:lang w:val="en-AU"/>
        </w:rPr>
      </w:pPr>
      <w:r w:rsidRPr="00F73EDF">
        <w:rPr>
          <w:rFonts w:ascii="Times New Roman" w:hAnsi="Times New Roman"/>
          <w:b/>
          <w:i/>
          <w:sz w:val="24"/>
          <w:szCs w:val="24"/>
          <w:lang w:val="en-AU"/>
        </w:rPr>
        <w:t>Efficiency of administration</w:t>
      </w:r>
    </w:p>
    <w:p w:rsidR="002C1290" w:rsidRPr="00F73EDF" w:rsidRDefault="0006512F" w:rsidP="00F7490D">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r>
      <w:r w:rsidR="007A3268" w:rsidRPr="00F73EDF">
        <w:rPr>
          <w:rFonts w:ascii="Times New Roman" w:hAnsi="Times New Roman"/>
          <w:sz w:val="24"/>
          <w:szCs w:val="24"/>
          <w:lang w:val="en-AU"/>
        </w:rPr>
        <w:t xml:space="preserve">Inland Revenue currently processes 58 tax returns from </w:t>
      </w:r>
      <w:r w:rsidR="007459BF" w:rsidRPr="00F73EDF">
        <w:rPr>
          <w:rFonts w:ascii="Times New Roman" w:hAnsi="Times New Roman"/>
          <w:sz w:val="24"/>
          <w:szCs w:val="24"/>
          <w:lang w:val="en-AU"/>
        </w:rPr>
        <w:t>34</w:t>
      </w:r>
      <w:r w:rsidR="0077155E" w:rsidRPr="00F73EDF">
        <w:rPr>
          <w:rFonts w:ascii="Times New Roman" w:hAnsi="Times New Roman"/>
          <w:sz w:val="24"/>
          <w:szCs w:val="24"/>
          <w:lang w:val="en-AU"/>
        </w:rPr>
        <w:t xml:space="preserve"> established life insurers operating in New Zealand.  Faced with a </w:t>
      </w:r>
      <w:r w:rsidR="00FC1496">
        <w:rPr>
          <w:rFonts w:ascii="Times New Roman" w:hAnsi="Times New Roman"/>
          <w:sz w:val="24"/>
          <w:szCs w:val="24"/>
          <w:lang w:val="en-AU"/>
        </w:rPr>
        <w:t>significant</w:t>
      </w:r>
      <w:r w:rsidR="0077155E" w:rsidRPr="00F73EDF">
        <w:rPr>
          <w:rFonts w:ascii="Times New Roman" w:hAnsi="Times New Roman"/>
          <w:sz w:val="24"/>
          <w:szCs w:val="24"/>
          <w:lang w:val="en-AU"/>
        </w:rPr>
        <w:t xml:space="preserve"> increase in the volume of tax returns from </w:t>
      </w:r>
      <w:r w:rsidR="000B564E" w:rsidRPr="00F73EDF">
        <w:rPr>
          <w:rFonts w:ascii="Times New Roman" w:hAnsi="Times New Roman"/>
          <w:sz w:val="24"/>
          <w:szCs w:val="24"/>
          <w:lang w:val="en-AU"/>
        </w:rPr>
        <w:t xml:space="preserve">Lloyd’s syndicate Members, </w:t>
      </w:r>
      <w:r w:rsidRPr="00F73EDF">
        <w:rPr>
          <w:rFonts w:ascii="Times New Roman" w:hAnsi="Times New Roman"/>
          <w:sz w:val="24"/>
          <w:szCs w:val="24"/>
          <w:lang w:val="en-AU"/>
        </w:rPr>
        <w:t xml:space="preserve">Inland Revenue would need to divert resource and time to manage the associated </w:t>
      </w:r>
      <w:r w:rsidR="00154016" w:rsidRPr="00F73EDF">
        <w:rPr>
          <w:rFonts w:ascii="Times New Roman" w:hAnsi="Times New Roman"/>
          <w:sz w:val="24"/>
          <w:szCs w:val="24"/>
          <w:lang w:val="en-AU"/>
        </w:rPr>
        <w:t xml:space="preserve">increase in return volume.  </w:t>
      </w:r>
    </w:p>
    <w:p w:rsidR="0040088E" w:rsidRPr="00F73EDF" w:rsidRDefault="0040088E" w:rsidP="00F7490D">
      <w:pPr>
        <w:pStyle w:val="spacer"/>
        <w:spacing w:line="300" w:lineRule="atLeast"/>
        <w:jc w:val="both"/>
        <w:rPr>
          <w:rFonts w:ascii="Times New Roman" w:hAnsi="Times New Roman"/>
          <w:sz w:val="24"/>
          <w:szCs w:val="24"/>
          <w:lang w:val="en-AU"/>
        </w:rPr>
      </w:pPr>
    </w:p>
    <w:p w:rsidR="00F534EC" w:rsidRPr="00F73EDF" w:rsidRDefault="0040088E" w:rsidP="00F7490D">
      <w:pPr>
        <w:pStyle w:val="spacer"/>
        <w:spacing w:line="300" w:lineRule="atLeast"/>
        <w:jc w:val="both"/>
        <w:rPr>
          <w:rFonts w:ascii="Times New Roman" w:hAnsi="Times New Roman"/>
          <w:sz w:val="24"/>
          <w:szCs w:val="24"/>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r>
      <w:r w:rsidR="007459BF" w:rsidRPr="00F73EDF">
        <w:rPr>
          <w:rFonts w:ascii="Times New Roman" w:hAnsi="Times New Roman"/>
          <w:sz w:val="24"/>
          <w:szCs w:val="24"/>
        </w:rPr>
        <w:t xml:space="preserve">Inland Revenue is also concerned that </w:t>
      </w:r>
      <w:r w:rsidR="007459BF" w:rsidRPr="00F73EDF">
        <w:rPr>
          <w:rFonts w:ascii="Times New Roman" w:hAnsi="Times New Roman"/>
          <w:sz w:val="24"/>
          <w:szCs w:val="24"/>
          <w:lang w:val="en-AU"/>
        </w:rPr>
        <w:t>the</w:t>
      </w:r>
      <w:r w:rsidRPr="00F73EDF">
        <w:rPr>
          <w:rFonts w:ascii="Times New Roman" w:hAnsi="Times New Roman"/>
          <w:sz w:val="24"/>
          <w:szCs w:val="24"/>
          <w:lang w:val="en-AU"/>
        </w:rPr>
        <w:t xml:space="preserve"> interaction of the Inland Revenue Acts and Lloyd’s three</w:t>
      </w:r>
      <w:r w:rsidR="00B954ED" w:rsidRPr="00F73EDF">
        <w:rPr>
          <w:rFonts w:ascii="Times New Roman" w:hAnsi="Times New Roman"/>
          <w:sz w:val="24"/>
          <w:szCs w:val="24"/>
          <w:lang w:val="en-AU"/>
        </w:rPr>
        <w:t>-</w:t>
      </w:r>
      <w:r w:rsidRPr="00F73EDF">
        <w:rPr>
          <w:rFonts w:ascii="Times New Roman" w:hAnsi="Times New Roman"/>
          <w:sz w:val="24"/>
          <w:szCs w:val="24"/>
          <w:lang w:val="en-AU"/>
        </w:rPr>
        <w:t xml:space="preserve">year financial reporting cycle </w:t>
      </w:r>
      <w:r w:rsidR="00F8426E" w:rsidRPr="00F73EDF">
        <w:rPr>
          <w:rFonts w:ascii="Times New Roman" w:hAnsi="Times New Roman"/>
          <w:sz w:val="24"/>
          <w:szCs w:val="24"/>
          <w:lang w:val="en-AU"/>
        </w:rPr>
        <w:t xml:space="preserve">gives rise to practical difficulties.  </w:t>
      </w:r>
      <w:r w:rsidR="007459BF" w:rsidRPr="00F73EDF">
        <w:rPr>
          <w:rFonts w:ascii="Times New Roman" w:hAnsi="Times New Roman"/>
          <w:sz w:val="24"/>
          <w:szCs w:val="24"/>
        </w:rPr>
        <w:t>T</w:t>
      </w:r>
      <w:r w:rsidR="00F534EC" w:rsidRPr="00F73EDF">
        <w:rPr>
          <w:rFonts w:ascii="Times New Roman" w:hAnsi="Times New Roman"/>
          <w:sz w:val="24"/>
          <w:szCs w:val="24"/>
        </w:rPr>
        <w:t xml:space="preserve">he four-year time bar, which prevents Inland Revenue from increasing tax assessments (except in the case of tax avoidance), would </w:t>
      </w:r>
      <w:r w:rsidR="00B954ED" w:rsidRPr="00F73EDF">
        <w:rPr>
          <w:rFonts w:ascii="Times New Roman" w:hAnsi="Times New Roman"/>
          <w:sz w:val="24"/>
          <w:szCs w:val="24"/>
        </w:rPr>
        <w:t>make it</w:t>
      </w:r>
      <w:r w:rsidR="00F534EC" w:rsidRPr="00F73EDF">
        <w:rPr>
          <w:rFonts w:ascii="Times New Roman" w:hAnsi="Times New Roman"/>
          <w:sz w:val="24"/>
          <w:szCs w:val="24"/>
        </w:rPr>
        <w:t xml:space="preserve"> difficult to maintain adequate audit and control </w:t>
      </w:r>
      <w:r w:rsidR="003968F6" w:rsidRPr="00F73EDF">
        <w:rPr>
          <w:rFonts w:ascii="Times New Roman" w:hAnsi="Times New Roman"/>
          <w:sz w:val="24"/>
          <w:szCs w:val="24"/>
        </w:rPr>
        <w:t>across all of Lloyd’s syndicate Member’s</w:t>
      </w:r>
      <w:r w:rsidR="00F534EC" w:rsidRPr="00F73EDF">
        <w:rPr>
          <w:rFonts w:ascii="Times New Roman" w:hAnsi="Times New Roman"/>
          <w:sz w:val="24"/>
          <w:szCs w:val="24"/>
        </w:rPr>
        <w:t xml:space="preserve"> profits (or losses) from business emerging over the three</w:t>
      </w:r>
      <w:r w:rsidR="005572BF" w:rsidRPr="00F73EDF">
        <w:rPr>
          <w:rFonts w:ascii="Times New Roman" w:hAnsi="Times New Roman"/>
          <w:sz w:val="24"/>
          <w:szCs w:val="24"/>
        </w:rPr>
        <w:t>-</w:t>
      </w:r>
      <w:r w:rsidR="00F534EC" w:rsidRPr="00F73EDF">
        <w:rPr>
          <w:rFonts w:ascii="Times New Roman" w:hAnsi="Times New Roman"/>
          <w:sz w:val="24"/>
          <w:szCs w:val="24"/>
        </w:rPr>
        <w:t>year business cycle.</w:t>
      </w:r>
      <w:r w:rsidR="005250E9" w:rsidRPr="00F73EDF">
        <w:rPr>
          <w:rFonts w:ascii="Times New Roman" w:hAnsi="Times New Roman"/>
          <w:sz w:val="24"/>
          <w:szCs w:val="24"/>
        </w:rPr>
        <w:t xml:space="preserve">  </w:t>
      </w:r>
    </w:p>
    <w:p w:rsidR="0006512F" w:rsidRPr="00F73EDF" w:rsidRDefault="0006512F" w:rsidP="007D649F">
      <w:pPr>
        <w:pStyle w:val="spacer"/>
        <w:spacing w:before="240" w:after="180" w:line="300" w:lineRule="atLeast"/>
        <w:jc w:val="both"/>
        <w:rPr>
          <w:rFonts w:ascii="Times New Roman" w:hAnsi="Times New Roman"/>
          <w:b/>
          <w:i/>
          <w:sz w:val="24"/>
          <w:szCs w:val="24"/>
          <w:lang w:val="en-AU"/>
        </w:rPr>
      </w:pPr>
      <w:r w:rsidRPr="00F73EDF">
        <w:rPr>
          <w:rFonts w:ascii="Times New Roman" w:hAnsi="Times New Roman"/>
          <w:b/>
          <w:i/>
          <w:sz w:val="24"/>
          <w:szCs w:val="24"/>
          <w:lang w:val="en-AU"/>
        </w:rPr>
        <w:t>Sustainability</w:t>
      </w:r>
    </w:p>
    <w:p w:rsidR="006F62E4" w:rsidRPr="00F73EDF" w:rsidRDefault="0006512F" w:rsidP="00665548">
      <w:pPr>
        <w:pStyle w:val="spacer"/>
        <w:spacing w:line="300" w:lineRule="atLeast"/>
        <w:jc w:val="both"/>
        <w:rPr>
          <w:rFonts w:ascii="Times New Roman" w:hAnsi="Times New Roman"/>
          <w:sz w:val="24"/>
          <w:szCs w:val="24"/>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t>Given the estimated value of New Zealand business that Lloyd’s expects to sell, the amount of income tax for each Member’s return is expected to be low.  Tax would be payable on the basis of the Member’s marginal tax rate (for companies 28% and individuals between the range of 10.5% to 33%).</w:t>
      </w:r>
      <w:r w:rsidR="00900343" w:rsidRPr="00F73EDF">
        <w:rPr>
          <w:rFonts w:ascii="Times New Roman" w:hAnsi="Times New Roman"/>
          <w:sz w:val="24"/>
          <w:szCs w:val="24"/>
          <w:lang w:val="en-AU"/>
        </w:rPr>
        <w:t xml:space="preserve">  </w:t>
      </w:r>
      <w:r w:rsidR="00900343" w:rsidRPr="00F73EDF">
        <w:rPr>
          <w:rFonts w:ascii="Times New Roman" w:hAnsi="Times New Roman"/>
          <w:sz w:val="24"/>
          <w:szCs w:val="24"/>
        </w:rPr>
        <w:t>This option ensures, however, that both resident and non-resident life insurers face the same rules</w:t>
      </w:r>
      <w:r w:rsidR="00A1529D" w:rsidRPr="00F73EDF">
        <w:rPr>
          <w:rFonts w:ascii="Times New Roman" w:hAnsi="Times New Roman"/>
          <w:sz w:val="24"/>
          <w:szCs w:val="24"/>
        </w:rPr>
        <w:t xml:space="preserve"> and preserves perceptions about the fairness of the tax system. </w:t>
      </w:r>
    </w:p>
    <w:p w:rsidR="0040088E" w:rsidRPr="00F73EDF" w:rsidRDefault="0040088E" w:rsidP="00665548">
      <w:pPr>
        <w:pStyle w:val="spacer"/>
        <w:spacing w:line="300" w:lineRule="atLeast"/>
        <w:jc w:val="both"/>
        <w:rPr>
          <w:rFonts w:ascii="Times New Roman" w:hAnsi="Times New Roman"/>
          <w:sz w:val="24"/>
          <w:szCs w:val="24"/>
          <w:lang w:val="en-AU"/>
        </w:rPr>
      </w:pPr>
    </w:p>
    <w:p w:rsidR="002C1290" w:rsidRPr="00F73EDF" w:rsidRDefault="006F62E4" w:rsidP="00665548">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r>
      <w:r w:rsidR="002C1290" w:rsidRPr="00F73EDF">
        <w:rPr>
          <w:rFonts w:ascii="Times New Roman" w:hAnsi="Times New Roman"/>
          <w:sz w:val="24"/>
          <w:szCs w:val="24"/>
          <w:lang w:val="en-AU"/>
        </w:rPr>
        <w:t>The status quo</w:t>
      </w:r>
      <w:r w:rsidR="00665548" w:rsidRPr="00F73EDF">
        <w:rPr>
          <w:rFonts w:ascii="Times New Roman" w:hAnsi="Times New Roman"/>
          <w:sz w:val="24"/>
          <w:szCs w:val="24"/>
          <w:lang w:val="en-AU"/>
        </w:rPr>
        <w:t>, however,</w:t>
      </w:r>
      <w:r w:rsidR="002C1290" w:rsidRPr="00F73EDF">
        <w:rPr>
          <w:rFonts w:ascii="Times New Roman" w:hAnsi="Times New Roman"/>
          <w:sz w:val="24"/>
          <w:szCs w:val="24"/>
          <w:lang w:val="en-AU"/>
        </w:rPr>
        <w:t xml:space="preserve"> is arguably inefficient </w:t>
      </w:r>
      <w:r w:rsidR="00FA20C2" w:rsidRPr="00F73EDF">
        <w:rPr>
          <w:rFonts w:ascii="Times New Roman" w:hAnsi="Times New Roman"/>
          <w:sz w:val="24"/>
          <w:szCs w:val="24"/>
          <w:lang w:val="en-AU"/>
        </w:rPr>
        <w:t>as it creates compliance and administration costs that are likely to exce</w:t>
      </w:r>
      <w:r w:rsidR="00A239D4" w:rsidRPr="00F73EDF">
        <w:rPr>
          <w:rFonts w:ascii="Times New Roman" w:hAnsi="Times New Roman"/>
          <w:sz w:val="24"/>
          <w:szCs w:val="24"/>
          <w:lang w:val="en-AU"/>
        </w:rPr>
        <w:t xml:space="preserve">ed the value of any tax payable from the sale of Lloyd’s term-life insurance in New Zealand.  </w:t>
      </w:r>
      <w:r w:rsidR="00E122A5" w:rsidRPr="00F73EDF">
        <w:rPr>
          <w:rFonts w:ascii="Times New Roman" w:hAnsi="Times New Roman"/>
          <w:sz w:val="24"/>
          <w:szCs w:val="24"/>
          <w:lang w:val="en-AU"/>
        </w:rPr>
        <w:t xml:space="preserve">The efficiency of the tax system is therefore a concern. </w:t>
      </w:r>
    </w:p>
    <w:p w:rsidR="00FF4830" w:rsidRPr="00F73EDF" w:rsidRDefault="00FF4830" w:rsidP="00F7490D">
      <w:pPr>
        <w:pStyle w:val="spacer"/>
        <w:spacing w:before="240" w:after="180" w:line="300" w:lineRule="atLeast"/>
        <w:jc w:val="both"/>
        <w:rPr>
          <w:rFonts w:ascii="Times New Roman" w:hAnsi="Times New Roman"/>
          <w:b/>
          <w:sz w:val="24"/>
          <w:szCs w:val="24"/>
          <w:lang w:val="en-AU"/>
        </w:rPr>
      </w:pPr>
      <w:r w:rsidRPr="00F73EDF">
        <w:rPr>
          <w:rFonts w:ascii="Times New Roman" w:hAnsi="Times New Roman"/>
          <w:b/>
          <w:sz w:val="24"/>
          <w:szCs w:val="24"/>
          <w:lang w:val="en-AU"/>
        </w:rPr>
        <w:t xml:space="preserve">Option </w:t>
      </w:r>
      <w:r w:rsidR="002126FF">
        <w:rPr>
          <w:rFonts w:ascii="Times New Roman" w:hAnsi="Times New Roman"/>
          <w:b/>
          <w:sz w:val="24"/>
          <w:szCs w:val="24"/>
          <w:lang w:val="en-AU"/>
        </w:rPr>
        <w:t>2</w:t>
      </w:r>
      <w:r w:rsidR="005E5A02" w:rsidRPr="00F73EDF">
        <w:rPr>
          <w:rFonts w:ascii="Times New Roman" w:hAnsi="Times New Roman"/>
          <w:b/>
          <w:sz w:val="24"/>
          <w:szCs w:val="24"/>
          <w:lang w:val="en-AU"/>
        </w:rPr>
        <w:t xml:space="preserve"> </w:t>
      </w:r>
      <w:r w:rsidR="00B954ED" w:rsidRPr="00F73EDF">
        <w:rPr>
          <w:rFonts w:ascii="Times New Roman" w:hAnsi="Times New Roman"/>
          <w:b/>
          <w:sz w:val="24"/>
          <w:szCs w:val="24"/>
          <w:lang w:val="en-AU"/>
        </w:rPr>
        <w:t>–</w:t>
      </w:r>
      <w:r w:rsidR="005E5A02" w:rsidRPr="00F73EDF">
        <w:rPr>
          <w:rFonts w:ascii="Times New Roman" w:hAnsi="Times New Roman"/>
          <w:b/>
          <w:sz w:val="24"/>
          <w:szCs w:val="24"/>
          <w:lang w:val="en-AU"/>
        </w:rPr>
        <w:t xml:space="preserve"> Treat Lloyd’s syndicates as a single taxpayer</w:t>
      </w:r>
    </w:p>
    <w:p w:rsidR="00B364C4" w:rsidRPr="00F73EDF" w:rsidRDefault="008D262D" w:rsidP="008E62A7">
      <w:pPr>
        <w:pStyle w:val="TRBodyText"/>
        <w:tabs>
          <w:tab w:val="left" w:pos="567"/>
        </w:tabs>
      </w:pPr>
      <w:r w:rsidRPr="00F73EDF">
        <w:fldChar w:fldCharType="begin"/>
      </w:r>
      <w:r w:rsidRPr="00F73EDF">
        <w:instrText xml:space="preserve"> AUTONUM  \* Arabic \s .  </w:instrText>
      </w:r>
      <w:r w:rsidRPr="00F73EDF">
        <w:fldChar w:fldCharType="end"/>
      </w:r>
      <w:r w:rsidRPr="00F73EDF">
        <w:tab/>
      </w:r>
      <w:r w:rsidR="003C3049" w:rsidRPr="00F73EDF">
        <w:t xml:space="preserve">This option would involve </w:t>
      </w:r>
      <w:r w:rsidR="00932EA9" w:rsidRPr="00F73EDF">
        <w:t xml:space="preserve">a </w:t>
      </w:r>
      <w:r w:rsidR="003C3049" w:rsidRPr="00F73EDF">
        <w:t xml:space="preserve">legislative change that would treat Lloyd’s syndicates as a single taxpayer for the purposes of the non-resident life insurance rules. </w:t>
      </w:r>
      <w:r w:rsidR="002336F2" w:rsidRPr="00F73EDF">
        <w:rPr>
          <w:lang w:val="en-GB"/>
        </w:rPr>
        <w:t>Tax would be calculated on the basis of income less allowable deductions and losses, and would require the completion of an annual return.  In this respect, tax liabilities would be correlated to profits from Lloyd’s syndicates</w:t>
      </w:r>
      <w:r w:rsidR="00F67D23" w:rsidRPr="00F73EDF">
        <w:rPr>
          <w:lang w:val="en-GB"/>
        </w:rPr>
        <w:t>’</w:t>
      </w:r>
      <w:r w:rsidR="002336F2" w:rsidRPr="00F73EDF">
        <w:rPr>
          <w:lang w:val="en-GB"/>
        </w:rPr>
        <w:t xml:space="preserve"> life insurance </w:t>
      </w:r>
      <w:r w:rsidR="00F67D23" w:rsidRPr="00F73EDF">
        <w:rPr>
          <w:lang w:val="en-GB"/>
        </w:rPr>
        <w:t xml:space="preserve">business in New Zealand.  </w:t>
      </w:r>
    </w:p>
    <w:p w:rsidR="00291CB3" w:rsidRDefault="00291CB3">
      <w:pPr>
        <w:spacing w:after="0" w:line="240" w:lineRule="auto"/>
        <w:rPr>
          <w:rFonts w:ascii="Times New Roman" w:hAnsi="Times New Roman"/>
          <w:b/>
          <w:i/>
          <w:sz w:val="24"/>
          <w:lang w:val="en-NZ" w:eastAsia="en-AU"/>
        </w:rPr>
      </w:pPr>
      <w:r>
        <w:rPr>
          <w:b/>
          <w:i/>
        </w:rPr>
        <w:br w:type="page"/>
      </w:r>
    </w:p>
    <w:p w:rsidR="009B6DCF" w:rsidRPr="00F73EDF" w:rsidRDefault="009B6DCF" w:rsidP="007D649F">
      <w:pPr>
        <w:pStyle w:val="TRBodyText"/>
        <w:tabs>
          <w:tab w:val="left" w:pos="567"/>
        </w:tabs>
        <w:spacing w:before="240" w:after="180"/>
        <w:rPr>
          <w:b/>
          <w:i/>
        </w:rPr>
      </w:pPr>
      <w:r w:rsidRPr="00F73EDF">
        <w:rPr>
          <w:b/>
          <w:i/>
        </w:rPr>
        <w:t>Efficiency of compliance</w:t>
      </w:r>
    </w:p>
    <w:p w:rsidR="00932EA9" w:rsidRPr="00F73EDF" w:rsidRDefault="00B364C4" w:rsidP="008E62A7">
      <w:pPr>
        <w:pStyle w:val="TRBodyText"/>
        <w:tabs>
          <w:tab w:val="left" w:pos="567"/>
        </w:tabs>
      </w:pPr>
      <w:r w:rsidRPr="00F73EDF">
        <w:fldChar w:fldCharType="begin"/>
      </w:r>
      <w:r w:rsidRPr="00F73EDF">
        <w:instrText xml:space="preserve"> AUTONUM  \* Arabic \s .  </w:instrText>
      </w:r>
      <w:r w:rsidRPr="00F73EDF">
        <w:fldChar w:fldCharType="end"/>
      </w:r>
      <w:r w:rsidRPr="00F73EDF">
        <w:tab/>
      </w:r>
      <w:r w:rsidR="00235424" w:rsidRPr="00F73EDF">
        <w:rPr>
          <w:lang w:val="en-GB"/>
        </w:rPr>
        <w:t>This option</w:t>
      </w:r>
      <w:r w:rsidR="00F36D53" w:rsidRPr="00F73EDF">
        <w:rPr>
          <w:lang w:val="en-GB"/>
        </w:rPr>
        <w:t xml:space="preserve"> removes the need for Lloyd’s </w:t>
      </w:r>
      <w:r w:rsidR="005572BF" w:rsidRPr="00F73EDF">
        <w:rPr>
          <w:lang w:val="en-GB"/>
        </w:rPr>
        <w:t>M</w:t>
      </w:r>
      <w:r w:rsidR="00F36D53" w:rsidRPr="00F73EDF">
        <w:rPr>
          <w:lang w:val="en-GB"/>
        </w:rPr>
        <w:t xml:space="preserve">embers to </w:t>
      </w:r>
      <w:r w:rsidR="002666D2" w:rsidRPr="00F73EDF">
        <w:rPr>
          <w:lang w:val="en-GB"/>
        </w:rPr>
        <w:t xml:space="preserve">individually </w:t>
      </w:r>
      <w:r w:rsidR="00F36D53" w:rsidRPr="00F73EDF">
        <w:rPr>
          <w:lang w:val="en-GB"/>
        </w:rPr>
        <w:t xml:space="preserve">obtain Inland Revenue numbers and file </w:t>
      </w:r>
      <w:r w:rsidR="002666D2" w:rsidRPr="00F73EDF">
        <w:t xml:space="preserve">annual tax returns.  Instead, one </w:t>
      </w:r>
      <w:r w:rsidR="00E937F2" w:rsidRPr="00F73EDF">
        <w:t xml:space="preserve">annual tax </w:t>
      </w:r>
      <w:r w:rsidR="002666D2" w:rsidRPr="00F73EDF">
        <w:t xml:space="preserve">return would be prepared for Lloyd’s business activity in New Zealand.  </w:t>
      </w:r>
      <w:r w:rsidR="006F64B6" w:rsidRPr="00F73EDF">
        <w:t xml:space="preserve">Preparation of the tax return and associated compliance would be undertaken in the United Kingdom.  This would involve compilation of syndicate activities and associate consolidation of information to meet New Zealand’s tax laws.  </w:t>
      </w:r>
      <w:r w:rsidR="00547154">
        <w:t xml:space="preserve">While this option offers some </w:t>
      </w:r>
      <w:r w:rsidR="00CF2A6A">
        <w:t>cost efficiencies</w:t>
      </w:r>
      <w:r w:rsidR="00547154">
        <w:t xml:space="preserve"> for Lloyd’s, it is still compliance intensive due to the need to consolidate information across multiple syndicates.  </w:t>
      </w:r>
    </w:p>
    <w:p w:rsidR="009B6DCF" w:rsidRPr="00F73EDF" w:rsidRDefault="009B6DCF" w:rsidP="007D649F">
      <w:pPr>
        <w:pStyle w:val="TRBodyText"/>
        <w:tabs>
          <w:tab w:val="left" w:pos="567"/>
        </w:tabs>
        <w:spacing w:before="240" w:after="180"/>
        <w:rPr>
          <w:b/>
          <w:i/>
        </w:rPr>
      </w:pPr>
      <w:r w:rsidRPr="00F73EDF">
        <w:rPr>
          <w:b/>
          <w:i/>
        </w:rPr>
        <w:t>Efficiency of administration</w:t>
      </w:r>
    </w:p>
    <w:p w:rsidR="0001414D" w:rsidRPr="00F73EDF" w:rsidRDefault="00932EA9" w:rsidP="008E62A7">
      <w:pPr>
        <w:pStyle w:val="TRBodyText"/>
        <w:tabs>
          <w:tab w:val="left" w:pos="567"/>
        </w:tabs>
      </w:pPr>
      <w:r w:rsidRPr="00F73EDF">
        <w:fldChar w:fldCharType="begin"/>
      </w:r>
      <w:r w:rsidRPr="00F73EDF">
        <w:instrText xml:space="preserve"> AUTONUM  \* Arabic \s .  </w:instrText>
      </w:r>
      <w:r w:rsidRPr="00F73EDF">
        <w:fldChar w:fldCharType="end"/>
      </w:r>
      <w:r w:rsidRPr="00F73EDF">
        <w:tab/>
      </w:r>
      <w:r w:rsidR="00B84247" w:rsidRPr="00F73EDF">
        <w:t>T</w:t>
      </w:r>
      <w:r w:rsidR="003A296E" w:rsidRPr="00F73EDF">
        <w:t xml:space="preserve">his option reduces the number of returns </w:t>
      </w:r>
      <w:r w:rsidR="00771132" w:rsidRPr="00F73EDF">
        <w:t>that Inland Revenue would be required to process</w:t>
      </w:r>
      <w:r w:rsidR="00B84247" w:rsidRPr="00F73EDF">
        <w:t xml:space="preserve">.  </w:t>
      </w:r>
      <w:r w:rsidR="00F6520D" w:rsidRPr="00F73EDF">
        <w:t>P</w:t>
      </w:r>
      <w:r w:rsidR="00C03499" w:rsidRPr="00F73EDF">
        <w:rPr>
          <w:szCs w:val="24"/>
        </w:rPr>
        <w:t xml:space="preserve">ractical concerns </w:t>
      </w:r>
      <w:r w:rsidR="004547CB" w:rsidRPr="00F73EDF">
        <w:rPr>
          <w:szCs w:val="24"/>
        </w:rPr>
        <w:t>remain</w:t>
      </w:r>
      <w:r w:rsidR="00346D64" w:rsidRPr="00F73EDF">
        <w:rPr>
          <w:szCs w:val="24"/>
        </w:rPr>
        <w:t xml:space="preserve">, however.  </w:t>
      </w:r>
      <w:r w:rsidR="00BC5BC4" w:rsidRPr="00F73EDF">
        <w:rPr>
          <w:szCs w:val="24"/>
        </w:rPr>
        <w:t xml:space="preserve">The return would be an amalgam of syndicate activity and would be complex to audit </w:t>
      </w:r>
      <w:r w:rsidR="00BE3368" w:rsidRPr="00F73EDF">
        <w:rPr>
          <w:szCs w:val="24"/>
        </w:rPr>
        <w:t>and</w:t>
      </w:r>
      <w:r w:rsidR="00BC5BC4" w:rsidRPr="00F73EDF">
        <w:rPr>
          <w:szCs w:val="24"/>
        </w:rPr>
        <w:t xml:space="preserve"> verify the correctness of any tax position in those returns.  </w:t>
      </w:r>
      <w:r w:rsidR="00BE3368" w:rsidRPr="00F73EDF">
        <w:rPr>
          <w:szCs w:val="24"/>
        </w:rPr>
        <w:t xml:space="preserve">The problem with </w:t>
      </w:r>
      <w:r w:rsidR="00C03499" w:rsidRPr="00F73EDF">
        <w:rPr>
          <w:szCs w:val="24"/>
        </w:rPr>
        <w:t xml:space="preserve">Lloyd’s </w:t>
      </w:r>
      <w:r w:rsidR="00C04C93" w:rsidRPr="00F73EDF">
        <w:rPr>
          <w:szCs w:val="24"/>
        </w:rPr>
        <w:t xml:space="preserve">three-yearly financial reporting </w:t>
      </w:r>
      <w:r w:rsidR="00C03499" w:rsidRPr="00F73EDF">
        <w:rPr>
          <w:szCs w:val="24"/>
        </w:rPr>
        <w:t xml:space="preserve">and </w:t>
      </w:r>
      <w:r w:rsidR="00296605" w:rsidRPr="00F73EDF">
        <w:rPr>
          <w:szCs w:val="24"/>
        </w:rPr>
        <w:t xml:space="preserve">its </w:t>
      </w:r>
      <w:r w:rsidR="00C03499" w:rsidRPr="00F73EDF">
        <w:rPr>
          <w:szCs w:val="24"/>
        </w:rPr>
        <w:t>interaction with the four-year time bar</w:t>
      </w:r>
      <w:r w:rsidR="004547CB" w:rsidRPr="00F73EDF">
        <w:rPr>
          <w:szCs w:val="24"/>
        </w:rPr>
        <w:t xml:space="preserve"> and tax administration system generally</w:t>
      </w:r>
      <w:r w:rsidR="00BE3368" w:rsidRPr="00F73EDF">
        <w:rPr>
          <w:szCs w:val="24"/>
        </w:rPr>
        <w:t xml:space="preserve"> is not addressed.  </w:t>
      </w:r>
      <w:r w:rsidR="00C03499" w:rsidRPr="00F73EDF">
        <w:rPr>
          <w:szCs w:val="24"/>
        </w:rPr>
        <w:t xml:space="preserve">  </w:t>
      </w:r>
    </w:p>
    <w:p w:rsidR="009B6DCF" w:rsidRPr="00F73EDF" w:rsidRDefault="009B6DCF" w:rsidP="007D649F">
      <w:pPr>
        <w:pStyle w:val="TRBodyText"/>
        <w:tabs>
          <w:tab w:val="left" w:pos="567"/>
        </w:tabs>
        <w:spacing w:before="240" w:after="180"/>
        <w:rPr>
          <w:b/>
          <w:i/>
        </w:rPr>
      </w:pPr>
      <w:r w:rsidRPr="00F73EDF">
        <w:rPr>
          <w:b/>
          <w:i/>
        </w:rPr>
        <w:t>Sustainability</w:t>
      </w:r>
    </w:p>
    <w:p w:rsidR="009B6DCF" w:rsidRPr="00F73EDF" w:rsidRDefault="00DC7FA7" w:rsidP="00F7490D">
      <w:pPr>
        <w:pStyle w:val="TRBodyText"/>
        <w:tabs>
          <w:tab w:val="left" w:pos="567"/>
        </w:tabs>
      </w:pPr>
      <w:r w:rsidRPr="00F73EDF">
        <w:fldChar w:fldCharType="begin"/>
      </w:r>
      <w:r w:rsidRPr="00F73EDF">
        <w:instrText xml:space="preserve"> AUTONUM  \* Arabic \s .  </w:instrText>
      </w:r>
      <w:r w:rsidRPr="00F73EDF">
        <w:fldChar w:fldCharType="end"/>
      </w:r>
      <w:r w:rsidRPr="00F73EDF">
        <w:tab/>
      </w:r>
      <w:r w:rsidR="004C47CF" w:rsidRPr="00F73EDF">
        <w:rPr>
          <w:lang w:val="en-GB"/>
        </w:rPr>
        <w:t xml:space="preserve">This option </w:t>
      </w:r>
      <w:r w:rsidR="00034671" w:rsidRPr="00F73EDF">
        <w:rPr>
          <w:lang w:val="en-GB"/>
        </w:rPr>
        <w:t>ensures</w:t>
      </w:r>
      <w:r w:rsidR="00562B00" w:rsidRPr="00F73EDF">
        <w:rPr>
          <w:lang w:val="en-GB"/>
        </w:rPr>
        <w:t xml:space="preserve"> that both</w:t>
      </w:r>
      <w:r w:rsidR="004C47CF" w:rsidRPr="00F73EDF">
        <w:rPr>
          <w:lang w:val="en-GB"/>
        </w:rPr>
        <w:t xml:space="preserve"> non-resident and </w:t>
      </w:r>
      <w:r w:rsidR="00855921" w:rsidRPr="00F73EDF">
        <w:rPr>
          <w:lang w:val="en-GB"/>
        </w:rPr>
        <w:t xml:space="preserve">resident life insurers face the same rules.  </w:t>
      </w:r>
      <w:r w:rsidR="00034671" w:rsidRPr="00F73EDF">
        <w:rPr>
          <w:lang w:val="en-GB"/>
        </w:rPr>
        <w:t xml:space="preserve">In this regard, the option protects the integrity of the tax base and perceptions </w:t>
      </w:r>
      <w:r w:rsidR="00C03499" w:rsidRPr="00F73EDF">
        <w:rPr>
          <w:lang w:val="en-GB"/>
        </w:rPr>
        <w:t xml:space="preserve">about its </w:t>
      </w:r>
      <w:r w:rsidR="00034671" w:rsidRPr="00F73EDF">
        <w:rPr>
          <w:lang w:val="en-GB"/>
        </w:rPr>
        <w:t xml:space="preserve">fairness.  </w:t>
      </w:r>
    </w:p>
    <w:p w:rsidR="00932EA9" w:rsidRPr="00F73EDF" w:rsidRDefault="00932EA9" w:rsidP="007D649F">
      <w:pPr>
        <w:pStyle w:val="spacer"/>
        <w:spacing w:before="240" w:after="180" w:line="300" w:lineRule="atLeast"/>
        <w:jc w:val="both"/>
        <w:rPr>
          <w:rFonts w:ascii="Times New Roman" w:hAnsi="Times New Roman"/>
          <w:b/>
          <w:sz w:val="24"/>
          <w:szCs w:val="24"/>
          <w:lang w:val="en-AU"/>
        </w:rPr>
      </w:pPr>
      <w:r w:rsidRPr="00F73EDF">
        <w:rPr>
          <w:rFonts w:ascii="Times New Roman" w:hAnsi="Times New Roman"/>
          <w:b/>
          <w:sz w:val="24"/>
          <w:szCs w:val="24"/>
          <w:lang w:val="en-AU"/>
        </w:rPr>
        <w:t xml:space="preserve">Option </w:t>
      </w:r>
      <w:r w:rsidR="002126FF">
        <w:rPr>
          <w:rFonts w:ascii="Times New Roman" w:hAnsi="Times New Roman"/>
          <w:b/>
          <w:sz w:val="24"/>
          <w:szCs w:val="24"/>
          <w:lang w:val="en-AU"/>
        </w:rPr>
        <w:t>3</w:t>
      </w:r>
      <w:r w:rsidR="007D641C" w:rsidRPr="00F73EDF">
        <w:rPr>
          <w:rFonts w:ascii="Times New Roman" w:hAnsi="Times New Roman"/>
          <w:b/>
          <w:sz w:val="24"/>
          <w:szCs w:val="24"/>
          <w:lang w:val="en-AU"/>
        </w:rPr>
        <w:t xml:space="preserve"> </w:t>
      </w:r>
      <w:r w:rsidR="00B954ED" w:rsidRPr="00F73EDF">
        <w:rPr>
          <w:rFonts w:ascii="Times New Roman" w:hAnsi="Times New Roman"/>
          <w:b/>
          <w:sz w:val="24"/>
          <w:szCs w:val="24"/>
          <w:lang w:val="en-AU"/>
        </w:rPr>
        <w:t>–</w:t>
      </w:r>
      <w:r w:rsidR="007D641C" w:rsidRPr="00F73EDF">
        <w:rPr>
          <w:rFonts w:ascii="Times New Roman" w:hAnsi="Times New Roman"/>
          <w:b/>
          <w:sz w:val="24"/>
          <w:szCs w:val="24"/>
          <w:lang w:val="en-AU"/>
        </w:rPr>
        <w:t xml:space="preserve"> Special presumptive tax rule</w:t>
      </w:r>
    </w:p>
    <w:p w:rsidR="00814A35" w:rsidRPr="00F73EDF" w:rsidRDefault="00932EA9" w:rsidP="00F7490D">
      <w:pPr>
        <w:pStyle w:val="TRBodyText"/>
        <w:tabs>
          <w:tab w:val="left" w:pos="567"/>
        </w:tabs>
      </w:pPr>
      <w:r w:rsidRPr="00F73EDF">
        <w:fldChar w:fldCharType="begin"/>
      </w:r>
      <w:r w:rsidRPr="00F73EDF">
        <w:instrText xml:space="preserve"> AUTONUM  \* Arabic \s .  </w:instrText>
      </w:r>
      <w:r w:rsidRPr="00F73EDF">
        <w:fldChar w:fldCharType="end"/>
      </w:r>
      <w:r w:rsidRPr="00F73EDF">
        <w:tab/>
      </w:r>
      <w:r w:rsidR="00DA5F0C" w:rsidRPr="00F73EDF">
        <w:t>This option involves a legislative change that would change the calculation of tax payable from the sale of Lloyd’s life insurance products in New Zealand</w:t>
      </w:r>
      <w:r w:rsidR="00103048" w:rsidRPr="00F73EDF">
        <w:t>.</w:t>
      </w:r>
    </w:p>
    <w:p w:rsidR="00814A35" w:rsidRPr="00F73EDF" w:rsidRDefault="00814A35" w:rsidP="008E62A7">
      <w:pPr>
        <w:pStyle w:val="TRBodyText"/>
        <w:tabs>
          <w:tab w:val="left" w:pos="567"/>
        </w:tabs>
      </w:pPr>
    </w:p>
    <w:p w:rsidR="00601AC9" w:rsidRPr="00F73EDF" w:rsidRDefault="00814A35" w:rsidP="00C04C93">
      <w:pPr>
        <w:pStyle w:val="spacer"/>
        <w:spacing w:line="300" w:lineRule="atLeast"/>
        <w:jc w:val="both"/>
        <w:rPr>
          <w:rFonts w:ascii="Times New Roman" w:hAnsi="Times New Roman"/>
          <w:b/>
          <w:i/>
          <w:sz w:val="24"/>
          <w:lang w:val="en-NZ"/>
        </w:rPr>
      </w:pPr>
      <w:r w:rsidRPr="00F73EDF">
        <w:rPr>
          <w:rFonts w:ascii="Times New Roman" w:hAnsi="Times New Roman"/>
          <w:sz w:val="24"/>
          <w:szCs w:val="24"/>
        </w:rPr>
        <w:fldChar w:fldCharType="begin"/>
      </w:r>
      <w:r w:rsidRPr="00F73EDF">
        <w:rPr>
          <w:rFonts w:ascii="Times New Roman" w:hAnsi="Times New Roman"/>
          <w:sz w:val="24"/>
          <w:szCs w:val="24"/>
        </w:rPr>
        <w:instrText xml:space="preserve"> AUTONUM  \* Arabic \s .  </w:instrText>
      </w:r>
      <w:r w:rsidRPr="00F73EDF">
        <w:rPr>
          <w:rFonts w:ascii="Times New Roman" w:hAnsi="Times New Roman"/>
          <w:sz w:val="24"/>
          <w:szCs w:val="24"/>
        </w:rPr>
        <w:fldChar w:fldCharType="end"/>
      </w:r>
      <w:r w:rsidRPr="00F73EDF">
        <w:rPr>
          <w:rFonts w:ascii="Times New Roman" w:hAnsi="Times New Roman"/>
          <w:sz w:val="24"/>
          <w:szCs w:val="24"/>
        </w:rPr>
        <w:tab/>
      </w:r>
      <w:r w:rsidR="00103048" w:rsidRPr="00F73EDF">
        <w:rPr>
          <w:rFonts w:ascii="Times New Roman" w:hAnsi="Times New Roman"/>
          <w:sz w:val="24"/>
          <w:szCs w:val="24"/>
        </w:rPr>
        <w:t xml:space="preserve">Instead of calculating tax using the approach described in options 1 </w:t>
      </w:r>
      <w:r w:rsidR="00BC2428" w:rsidRPr="00F73EDF">
        <w:rPr>
          <w:rFonts w:ascii="Times New Roman" w:hAnsi="Times New Roman"/>
          <w:sz w:val="24"/>
          <w:szCs w:val="24"/>
        </w:rPr>
        <w:t xml:space="preserve">and </w:t>
      </w:r>
      <w:r w:rsidR="00166C71">
        <w:rPr>
          <w:rFonts w:ascii="Times New Roman" w:hAnsi="Times New Roman"/>
          <w:sz w:val="24"/>
          <w:szCs w:val="24"/>
        </w:rPr>
        <w:t>2</w:t>
      </w:r>
      <w:r w:rsidR="00103048" w:rsidRPr="00F73EDF">
        <w:rPr>
          <w:rFonts w:ascii="Times New Roman" w:hAnsi="Times New Roman"/>
          <w:sz w:val="24"/>
          <w:szCs w:val="24"/>
        </w:rPr>
        <w:t xml:space="preserve">, </w:t>
      </w:r>
      <w:r w:rsidR="00626AC5" w:rsidRPr="00F73EDF">
        <w:rPr>
          <w:rFonts w:ascii="Times New Roman" w:hAnsi="Times New Roman"/>
          <w:sz w:val="24"/>
          <w:szCs w:val="24"/>
        </w:rPr>
        <w:t xml:space="preserve">a presumptive tax would be applied to the gross premiums earned by Lloyd’s for any term-life product sold in New Zealand.  </w:t>
      </w:r>
      <w:r w:rsidR="00757E36" w:rsidRPr="00F73EDF">
        <w:rPr>
          <w:rFonts w:ascii="Times New Roman" w:hAnsi="Times New Roman"/>
          <w:sz w:val="24"/>
          <w:szCs w:val="24"/>
        </w:rPr>
        <w:t xml:space="preserve">The tax rate applicable to this income would be 28%, consistent with the </w:t>
      </w:r>
      <w:r w:rsidR="00D8782F" w:rsidRPr="00F73EDF">
        <w:rPr>
          <w:rFonts w:ascii="Times New Roman" w:hAnsi="Times New Roman"/>
          <w:sz w:val="24"/>
          <w:szCs w:val="24"/>
        </w:rPr>
        <w:t xml:space="preserve">current </w:t>
      </w:r>
      <w:r w:rsidR="00757E36" w:rsidRPr="00F73EDF">
        <w:rPr>
          <w:rFonts w:ascii="Times New Roman" w:hAnsi="Times New Roman"/>
          <w:sz w:val="24"/>
          <w:szCs w:val="24"/>
        </w:rPr>
        <w:t xml:space="preserve">rate of company tax.  </w:t>
      </w:r>
      <w:r w:rsidR="00626AC5" w:rsidRPr="00F73EDF">
        <w:rPr>
          <w:rFonts w:ascii="Times New Roman" w:hAnsi="Times New Roman"/>
          <w:sz w:val="24"/>
          <w:szCs w:val="24"/>
        </w:rPr>
        <w:t xml:space="preserve">The presumptive tax would be calculated on the basis of 10 percent of gross premiums.  This approach is used for the taxation of general insurance sold by non-resident insurers to the New Zealand market.  </w:t>
      </w:r>
      <w:r w:rsidR="00E534A1" w:rsidRPr="00F73EDF">
        <w:rPr>
          <w:rFonts w:ascii="Times New Roman" w:hAnsi="Times New Roman"/>
          <w:sz w:val="24"/>
          <w:szCs w:val="24"/>
        </w:rPr>
        <w:t xml:space="preserve">Tax </w:t>
      </w:r>
      <w:r w:rsidR="00166C71">
        <w:rPr>
          <w:rFonts w:ascii="Times New Roman" w:hAnsi="Times New Roman"/>
          <w:sz w:val="24"/>
          <w:szCs w:val="24"/>
        </w:rPr>
        <w:t>would</w:t>
      </w:r>
      <w:r w:rsidR="009B6E20">
        <w:rPr>
          <w:rFonts w:ascii="Times New Roman" w:hAnsi="Times New Roman"/>
          <w:sz w:val="24"/>
          <w:szCs w:val="24"/>
        </w:rPr>
        <w:t xml:space="preserve"> be</w:t>
      </w:r>
      <w:r w:rsidR="00E534A1" w:rsidRPr="00F73EDF">
        <w:rPr>
          <w:rFonts w:ascii="Times New Roman" w:hAnsi="Times New Roman"/>
          <w:sz w:val="24"/>
          <w:szCs w:val="24"/>
        </w:rPr>
        <w:t xml:space="preserve"> </w:t>
      </w:r>
      <w:r w:rsidR="00601AC9" w:rsidRPr="00F73EDF">
        <w:rPr>
          <w:rFonts w:ascii="Times New Roman" w:hAnsi="Times New Roman"/>
          <w:sz w:val="24"/>
          <w:szCs w:val="24"/>
        </w:rPr>
        <w:t>calculated</w:t>
      </w:r>
      <w:r w:rsidR="00E534A1" w:rsidRPr="00F73EDF">
        <w:rPr>
          <w:rFonts w:ascii="Times New Roman" w:hAnsi="Times New Roman"/>
          <w:sz w:val="24"/>
          <w:szCs w:val="24"/>
        </w:rPr>
        <w:t xml:space="preserve"> and </w:t>
      </w:r>
      <w:r w:rsidR="00601AC9" w:rsidRPr="00F73EDF">
        <w:rPr>
          <w:rFonts w:ascii="Times New Roman" w:hAnsi="Times New Roman"/>
          <w:sz w:val="24"/>
          <w:szCs w:val="24"/>
        </w:rPr>
        <w:t>paid</w:t>
      </w:r>
      <w:r w:rsidR="00E534A1" w:rsidRPr="00F73EDF">
        <w:rPr>
          <w:rFonts w:ascii="Times New Roman" w:hAnsi="Times New Roman"/>
          <w:sz w:val="24"/>
          <w:szCs w:val="24"/>
        </w:rPr>
        <w:t xml:space="preserve"> by </w:t>
      </w:r>
      <w:r w:rsidR="00554DDD" w:rsidRPr="00F73EDF">
        <w:rPr>
          <w:rFonts w:ascii="Times New Roman" w:hAnsi="Times New Roman"/>
          <w:sz w:val="24"/>
          <w:szCs w:val="24"/>
        </w:rPr>
        <w:t>Lloyd’s</w:t>
      </w:r>
      <w:r w:rsidR="00E534A1" w:rsidRPr="00F73EDF">
        <w:rPr>
          <w:rFonts w:ascii="Times New Roman" w:hAnsi="Times New Roman"/>
          <w:sz w:val="24"/>
          <w:szCs w:val="24"/>
        </w:rPr>
        <w:t xml:space="preserve"> </w:t>
      </w:r>
      <w:r w:rsidR="00B579D0" w:rsidRPr="00F73EDF">
        <w:rPr>
          <w:rFonts w:ascii="Times New Roman" w:hAnsi="Times New Roman"/>
          <w:sz w:val="24"/>
          <w:szCs w:val="24"/>
        </w:rPr>
        <w:t xml:space="preserve">handful of </w:t>
      </w:r>
      <w:r w:rsidR="00E534A1" w:rsidRPr="00F73EDF">
        <w:rPr>
          <w:rFonts w:ascii="Times New Roman" w:hAnsi="Times New Roman"/>
          <w:sz w:val="24"/>
          <w:szCs w:val="24"/>
        </w:rPr>
        <w:t xml:space="preserve">New Zealand authorised </w:t>
      </w:r>
      <w:r w:rsidR="00554DDD" w:rsidRPr="00F73EDF">
        <w:rPr>
          <w:rFonts w:ascii="Times New Roman" w:hAnsi="Times New Roman"/>
          <w:sz w:val="24"/>
          <w:szCs w:val="24"/>
        </w:rPr>
        <w:t>agents</w:t>
      </w:r>
      <w:r w:rsidR="00E534A1" w:rsidRPr="00F73EDF">
        <w:rPr>
          <w:rFonts w:ascii="Times New Roman" w:hAnsi="Times New Roman"/>
          <w:sz w:val="24"/>
          <w:szCs w:val="24"/>
        </w:rPr>
        <w:t xml:space="preserve">.  </w:t>
      </w:r>
    </w:p>
    <w:p w:rsidR="00814A35" w:rsidRPr="00F73EDF" w:rsidRDefault="00814A35" w:rsidP="007D649F">
      <w:pPr>
        <w:pStyle w:val="TRBodyText"/>
        <w:tabs>
          <w:tab w:val="left" w:pos="567"/>
        </w:tabs>
        <w:spacing w:before="240" w:after="180"/>
        <w:rPr>
          <w:b/>
          <w:i/>
        </w:rPr>
      </w:pPr>
      <w:r w:rsidRPr="00F73EDF">
        <w:rPr>
          <w:b/>
          <w:i/>
        </w:rPr>
        <w:t>Efficiency of compliance</w:t>
      </w:r>
    </w:p>
    <w:p w:rsidR="00DC7FA7" w:rsidRPr="00F73EDF" w:rsidRDefault="00A6273B" w:rsidP="008E62A7">
      <w:pPr>
        <w:pStyle w:val="TRBodyText"/>
        <w:tabs>
          <w:tab w:val="left" w:pos="567"/>
        </w:tabs>
        <w:rPr>
          <w:lang w:val="en-GB"/>
        </w:rPr>
      </w:pPr>
      <w:r w:rsidRPr="00F73EDF">
        <w:fldChar w:fldCharType="begin"/>
      </w:r>
      <w:r w:rsidRPr="00F73EDF">
        <w:instrText xml:space="preserve"> AUTONUM  \* Arabic \s .  </w:instrText>
      </w:r>
      <w:r w:rsidRPr="00F73EDF">
        <w:fldChar w:fldCharType="end"/>
      </w:r>
      <w:r w:rsidRPr="00F73EDF">
        <w:tab/>
      </w:r>
      <w:r w:rsidR="00935333" w:rsidRPr="00F73EDF">
        <w:rPr>
          <w:lang w:val="en-GB"/>
        </w:rPr>
        <w:t xml:space="preserve">This option would change the way that tax </w:t>
      </w:r>
      <w:r w:rsidR="009A3F37" w:rsidRPr="00F73EDF">
        <w:rPr>
          <w:lang w:val="en-GB"/>
        </w:rPr>
        <w:t xml:space="preserve">is </w:t>
      </w:r>
      <w:r w:rsidR="00935333" w:rsidRPr="00F73EDF">
        <w:rPr>
          <w:lang w:val="en-GB"/>
        </w:rPr>
        <w:t xml:space="preserve">calculated and returned by Lloyd’s syndicates that carry on business in New Zealand.  </w:t>
      </w:r>
      <w:r w:rsidR="00304235" w:rsidRPr="00F73EDF">
        <w:rPr>
          <w:lang w:val="en-GB"/>
        </w:rPr>
        <w:t>It shifts the cost of compliance from Lloyd’s Members to Lloyd’s New Zealand</w:t>
      </w:r>
      <w:r w:rsidR="009A3F37" w:rsidRPr="00F73EDF">
        <w:rPr>
          <w:lang w:val="en-GB"/>
        </w:rPr>
        <w:t>-</w:t>
      </w:r>
      <w:r w:rsidR="00304235" w:rsidRPr="00F73EDF">
        <w:rPr>
          <w:lang w:val="en-GB"/>
        </w:rPr>
        <w:t xml:space="preserve">resident agents.  </w:t>
      </w:r>
      <w:r w:rsidR="00814A35" w:rsidRPr="00F73EDF">
        <w:rPr>
          <w:lang w:val="en-GB"/>
        </w:rPr>
        <w:t>Lloyd’s advise</w:t>
      </w:r>
      <w:r w:rsidR="009A3F37" w:rsidRPr="00F73EDF">
        <w:rPr>
          <w:lang w:val="en-GB"/>
        </w:rPr>
        <w:t>s</w:t>
      </w:r>
      <w:r w:rsidR="00814A35" w:rsidRPr="00F73EDF">
        <w:rPr>
          <w:lang w:val="en-GB"/>
        </w:rPr>
        <w:t xml:space="preserve"> that their agents </w:t>
      </w:r>
      <w:r w:rsidR="00FC1496">
        <w:rPr>
          <w:lang w:val="en-GB"/>
        </w:rPr>
        <w:t>would be</w:t>
      </w:r>
      <w:r w:rsidR="00814A35" w:rsidRPr="00F73EDF">
        <w:rPr>
          <w:lang w:val="en-GB"/>
        </w:rPr>
        <w:t xml:space="preserve"> suitably prepared to comply with the proposed legislation under this option.  </w:t>
      </w:r>
    </w:p>
    <w:p w:rsidR="00DC7FA7" w:rsidRPr="00F73EDF" w:rsidRDefault="00DC7FA7" w:rsidP="008E62A7">
      <w:pPr>
        <w:pStyle w:val="TRBodyText"/>
        <w:tabs>
          <w:tab w:val="left" w:pos="567"/>
        </w:tabs>
        <w:rPr>
          <w:lang w:val="en-GB"/>
        </w:rPr>
      </w:pPr>
    </w:p>
    <w:p w:rsidR="002433B1" w:rsidRPr="009B6E20" w:rsidRDefault="00DC7FA7" w:rsidP="009B6E20">
      <w:pPr>
        <w:pStyle w:val="TRListBullet"/>
        <w:numPr>
          <w:ilvl w:val="0"/>
          <w:numId w:val="0"/>
        </w:numPr>
        <w:spacing w:after="0"/>
        <w:rPr>
          <w:i/>
        </w:rPr>
      </w:pPr>
      <w:r w:rsidRPr="00F73EDF">
        <w:fldChar w:fldCharType="begin"/>
      </w:r>
      <w:r w:rsidRPr="00F73EDF">
        <w:instrText xml:space="preserve"> AUTONUM  \* Arabic \s .  </w:instrText>
      </w:r>
      <w:r w:rsidRPr="00F73EDF">
        <w:fldChar w:fldCharType="end"/>
      </w:r>
      <w:r w:rsidRPr="00F73EDF">
        <w:tab/>
        <w:t xml:space="preserve">Part of the cost savings for Lloyd’s is a result of the simplified calculation of tax and shifting tax compliance obligations to Lloyd’s authorised agents.  For </w:t>
      </w:r>
      <w:r w:rsidR="00B579D0" w:rsidRPr="00F73EDF">
        <w:t>this</w:t>
      </w:r>
      <w:r w:rsidRPr="00F73EDF">
        <w:t xml:space="preserve"> latter group, </w:t>
      </w:r>
      <w:r w:rsidR="00B579D0" w:rsidRPr="00F73EDF">
        <w:t>the</w:t>
      </w:r>
      <w:r w:rsidRPr="00F73EDF">
        <w:t xml:space="preserve"> cost of compliance is not anticipated to be significant as option </w:t>
      </w:r>
      <w:r w:rsidR="002126FF">
        <w:t>3</w:t>
      </w:r>
      <w:r w:rsidRPr="00F73EDF">
        <w:t xml:space="preserve"> is effectively an extension of </w:t>
      </w:r>
      <w:r w:rsidR="00B579D0" w:rsidRPr="00F73EDF">
        <w:t>its</w:t>
      </w:r>
      <w:r w:rsidRPr="00F73EDF">
        <w:t xml:space="preserve"> tax compliance in connection with Lloyd’s general insurance products.  There </w:t>
      </w:r>
      <w:r w:rsidR="00816A54" w:rsidRPr="00F73EDF">
        <w:t>would</w:t>
      </w:r>
      <w:r w:rsidRPr="00F73EDF">
        <w:t xml:space="preserve"> be a need for Lloyd’s </w:t>
      </w:r>
      <w:r w:rsidR="00C0675D" w:rsidRPr="00F73EDF">
        <w:t xml:space="preserve">authorised agents </w:t>
      </w:r>
      <w:r w:rsidRPr="00F73EDF">
        <w:t xml:space="preserve">to maintain records regarding the split between </w:t>
      </w:r>
      <w:r w:rsidR="00C41907" w:rsidRPr="00F73EDF">
        <w:t xml:space="preserve">sales of </w:t>
      </w:r>
      <w:r w:rsidRPr="00F73EDF">
        <w:t xml:space="preserve">life and non-life insurance.  </w:t>
      </w:r>
    </w:p>
    <w:p w:rsidR="00814A35" w:rsidRPr="00F73EDF" w:rsidRDefault="00814A35" w:rsidP="007D649F">
      <w:pPr>
        <w:pStyle w:val="TRBodyText"/>
        <w:tabs>
          <w:tab w:val="left" w:pos="567"/>
        </w:tabs>
        <w:spacing w:before="240" w:after="180"/>
        <w:rPr>
          <w:b/>
          <w:i/>
        </w:rPr>
      </w:pPr>
      <w:r w:rsidRPr="00F73EDF">
        <w:rPr>
          <w:b/>
          <w:i/>
        </w:rPr>
        <w:t>Efficiency of administration</w:t>
      </w:r>
    </w:p>
    <w:p w:rsidR="008D262D" w:rsidRPr="00F73EDF" w:rsidRDefault="0098732F" w:rsidP="008E62A7">
      <w:pPr>
        <w:pStyle w:val="spacer"/>
        <w:spacing w:line="300" w:lineRule="atLeast"/>
        <w:jc w:val="both"/>
        <w:rPr>
          <w:rFonts w:ascii="Times New Roman" w:hAnsi="Times New Roman"/>
          <w:sz w:val="24"/>
          <w:szCs w:val="24"/>
        </w:rPr>
      </w:pPr>
      <w:r w:rsidRPr="00F73EDF">
        <w:rPr>
          <w:rFonts w:ascii="Times New Roman" w:hAnsi="Times New Roman"/>
          <w:sz w:val="24"/>
          <w:szCs w:val="24"/>
        </w:rPr>
        <w:fldChar w:fldCharType="begin"/>
      </w:r>
      <w:r w:rsidRPr="00F73EDF">
        <w:rPr>
          <w:rFonts w:ascii="Times New Roman" w:hAnsi="Times New Roman"/>
          <w:sz w:val="24"/>
          <w:szCs w:val="24"/>
        </w:rPr>
        <w:instrText xml:space="preserve"> AUTONUM  \* Arabic \s .  </w:instrText>
      </w:r>
      <w:r w:rsidRPr="00F73EDF">
        <w:rPr>
          <w:rFonts w:ascii="Times New Roman" w:hAnsi="Times New Roman"/>
          <w:sz w:val="24"/>
          <w:szCs w:val="24"/>
        </w:rPr>
        <w:fldChar w:fldCharType="end"/>
      </w:r>
      <w:r w:rsidRPr="00F73EDF">
        <w:rPr>
          <w:rFonts w:ascii="Times New Roman" w:hAnsi="Times New Roman"/>
          <w:sz w:val="24"/>
          <w:szCs w:val="24"/>
        </w:rPr>
        <w:tab/>
        <w:t xml:space="preserve">This option </w:t>
      </w:r>
      <w:r w:rsidR="00D17C95" w:rsidRPr="00F73EDF">
        <w:rPr>
          <w:rFonts w:ascii="Times New Roman" w:hAnsi="Times New Roman"/>
          <w:sz w:val="24"/>
          <w:szCs w:val="24"/>
        </w:rPr>
        <w:t>would</w:t>
      </w:r>
      <w:r w:rsidRPr="00F73EDF">
        <w:rPr>
          <w:rFonts w:ascii="Times New Roman" w:hAnsi="Times New Roman"/>
          <w:sz w:val="24"/>
          <w:szCs w:val="24"/>
        </w:rPr>
        <w:t xml:space="preserve"> not </w:t>
      </w:r>
      <w:r w:rsidR="00304235" w:rsidRPr="00F73EDF">
        <w:rPr>
          <w:rFonts w:ascii="Times New Roman" w:hAnsi="Times New Roman"/>
          <w:sz w:val="24"/>
          <w:szCs w:val="24"/>
        </w:rPr>
        <w:t xml:space="preserve">significantly </w:t>
      </w:r>
      <w:r w:rsidRPr="00F73EDF">
        <w:rPr>
          <w:rFonts w:ascii="Times New Roman" w:hAnsi="Times New Roman"/>
          <w:sz w:val="24"/>
          <w:szCs w:val="24"/>
        </w:rPr>
        <w:t xml:space="preserve">increase the number of returns that Inland Revenue is required to process.  </w:t>
      </w:r>
      <w:r w:rsidR="000312B5" w:rsidRPr="00F73EDF">
        <w:rPr>
          <w:rFonts w:ascii="Times New Roman" w:hAnsi="Times New Roman"/>
          <w:sz w:val="24"/>
          <w:szCs w:val="24"/>
        </w:rPr>
        <w:t xml:space="preserve">The option </w:t>
      </w:r>
      <w:r w:rsidR="00D17C95" w:rsidRPr="00F73EDF">
        <w:rPr>
          <w:rFonts w:ascii="Times New Roman" w:hAnsi="Times New Roman"/>
          <w:sz w:val="24"/>
          <w:szCs w:val="24"/>
        </w:rPr>
        <w:t>would be</w:t>
      </w:r>
      <w:r w:rsidR="000312B5" w:rsidRPr="00F73EDF">
        <w:rPr>
          <w:rFonts w:ascii="Times New Roman" w:hAnsi="Times New Roman"/>
          <w:sz w:val="24"/>
          <w:szCs w:val="24"/>
        </w:rPr>
        <w:t xml:space="preserve"> consistent with income</w:t>
      </w:r>
      <w:r w:rsidR="009A3F37" w:rsidRPr="00F73EDF">
        <w:rPr>
          <w:rFonts w:ascii="Times New Roman" w:hAnsi="Times New Roman"/>
          <w:sz w:val="24"/>
          <w:szCs w:val="24"/>
        </w:rPr>
        <w:t>-</w:t>
      </w:r>
      <w:r w:rsidR="000312B5" w:rsidRPr="00F73EDF">
        <w:rPr>
          <w:rFonts w:ascii="Times New Roman" w:hAnsi="Times New Roman"/>
          <w:sz w:val="24"/>
          <w:szCs w:val="24"/>
        </w:rPr>
        <w:t xml:space="preserve">year concepts used by the </w:t>
      </w:r>
      <w:r w:rsidR="004547CB" w:rsidRPr="00F73EDF">
        <w:rPr>
          <w:rFonts w:ascii="Times New Roman" w:hAnsi="Times New Roman"/>
          <w:sz w:val="24"/>
          <w:szCs w:val="24"/>
        </w:rPr>
        <w:t>tax system</w:t>
      </w:r>
      <w:r w:rsidR="009A3F37" w:rsidRPr="00F73EDF">
        <w:rPr>
          <w:rFonts w:ascii="Times New Roman" w:hAnsi="Times New Roman"/>
          <w:sz w:val="24"/>
          <w:szCs w:val="24"/>
        </w:rPr>
        <w:t>,</w:t>
      </w:r>
      <w:r w:rsidR="000312B5" w:rsidRPr="00F73EDF">
        <w:rPr>
          <w:rFonts w:ascii="Times New Roman" w:hAnsi="Times New Roman"/>
          <w:sz w:val="24"/>
          <w:szCs w:val="24"/>
        </w:rPr>
        <w:t xml:space="preserve"> and Inland Revenue’s audit and control systems.  </w:t>
      </w:r>
    </w:p>
    <w:p w:rsidR="00814A35" w:rsidRPr="00F73EDF" w:rsidRDefault="00814A35" w:rsidP="007D649F">
      <w:pPr>
        <w:pStyle w:val="spacer"/>
        <w:spacing w:before="240" w:after="180" w:line="300" w:lineRule="atLeast"/>
        <w:jc w:val="both"/>
        <w:rPr>
          <w:rFonts w:ascii="Times New Roman" w:hAnsi="Times New Roman"/>
          <w:b/>
          <w:i/>
          <w:sz w:val="24"/>
          <w:szCs w:val="24"/>
          <w:lang w:val="en-NZ"/>
        </w:rPr>
      </w:pPr>
      <w:r w:rsidRPr="00F73EDF">
        <w:rPr>
          <w:rFonts w:ascii="Times New Roman" w:hAnsi="Times New Roman"/>
          <w:b/>
          <w:i/>
          <w:sz w:val="24"/>
          <w:szCs w:val="24"/>
          <w:lang w:val="en-NZ"/>
        </w:rPr>
        <w:t>Sustainability</w:t>
      </w:r>
    </w:p>
    <w:p w:rsidR="00814A35" w:rsidRDefault="00814A35" w:rsidP="008E62A7">
      <w:pPr>
        <w:pStyle w:val="spacer"/>
        <w:spacing w:line="300" w:lineRule="atLeast"/>
        <w:jc w:val="both"/>
        <w:rPr>
          <w:rFonts w:ascii="Times New Roman" w:hAnsi="Times New Roman"/>
          <w:sz w:val="24"/>
          <w:szCs w:val="24"/>
          <w:lang w:val="en-NZ"/>
        </w:rPr>
      </w:pPr>
      <w:r w:rsidRPr="00F73EDF">
        <w:rPr>
          <w:rFonts w:ascii="Times New Roman" w:hAnsi="Times New Roman"/>
          <w:sz w:val="24"/>
          <w:szCs w:val="24"/>
          <w:lang w:val="en-NZ"/>
        </w:rPr>
        <w:fldChar w:fldCharType="begin"/>
      </w:r>
      <w:r w:rsidRPr="00F73EDF">
        <w:rPr>
          <w:rFonts w:ascii="Times New Roman" w:hAnsi="Times New Roman"/>
          <w:sz w:val="24"/>
          <w:szCs w:val="24"/>
          <w:lang w:val="en-NZ"/>
        </w:rPr>
        <w:instrText xml:space="preserve"> AUTONUM  \* Arabic \s .  </w:instrText>
      </w:r>
      <w:r w:rsidRPr="00F73EDF">
        <w:rPr>
          <w:rFonts w:ascii="Times New Roman" w:hAnsi="Times New Roman"/>
          <w:sz w:val="24"/>
          <w:szCs w:val="24"/>
        </w:rPr>
        <w:fldChar w:fldCharType="end"/>
      </w:r>
      <w:r w:rsidRPr="00F73EDF">
        <w:rPr>
          <w:rFonts w:ascii="Times New Roman" w:hAnsi="Times New Roman"/>
          <w:sz w:val="24"/>
          <w:szCs w:val="24"/>
          <w:lang w:val="en-NZ"/>
        </w:rPr>
        <w:tab/>
        <w:t xml:space="preserve">Option </w:t>
      </w:r>
      <w:r w:rsidR="002126FF">
        <w:rPr>
          <w:rFonts w:ascii="Times New Roman" w:hAnsi="Times New Roman"/>
          <w:sz w:val="24"/>
          <w:szCs w:val="24"/>
          <w:lang w:val="en-NZ"/>
        </w:rPr>
        <w:t>3</w:t>
      </w:r>
      <w:r w:rsidRPr="00F73EDF">
        <w:rPr>
          <w:rFonts w:ascii="Times New Roman" w:hAnsi="Times New Roman"/>
          <w:sz w:val="24"/>
          <w:szCs w:val="24"/>
          <w:lang w:val="en-NZ"/>
        </w:rPr>
        <w:t xml:space="preserve"> is a pragmatic response to the problem and protects the integrity of the income tax base.  </w:t>
      </w:r>
    </w:p>
    <w:p w:rsidR="009B6E20" w:rsidRPr="00F73EDF" w:rsidRDefault="009B6E20" w:rsidP="008E62A7">
      <w:pPr>
        <w:pStyle w:val="spacer"/>
        <w:spacing w:line="300" w:lineRule="atLeast"/>
        <w:jc w:val="both"/>
        <w:rPr>
          <w:rFonts w:ascii="Times New Roman" w:hAnsi="Times New Roman"/>
          <w:sz w:val="24"/>
          <w:szCs w:val="24"/>
          <w:lang w:val="en-NZ"/>
        </w:rPr>
      </w:pPr>
    </w:p>
    <w:p w:rsidR="00814A35" w:rsidRDefault="009B6E20" w:rsidP="008E62A7">
      <w:pPr>
        <w:pStyle w:val="spacer"/>
        <w:spacing w:line="300" w:lineRule="atLeast"/>
        <w:jc w:val="both"/>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AUTONUM  \* Arabic \s .  </w:instrText>
      </w:r>
      <w:r>
        <w:rPr>
          <w:rFonts w:ascii="Times New Roman" w:hAnsi="Times New Roman"/>
          <w:sz w:val="24"/>
          <w:szCs w:val="24"/>
        </w:rPr>
        <w:fldChar w:fldCharType="end"/>
      </w:r>
      <w:r>
        <w:rPr>
          <w:rFonts w:ascii="Times New Roman" w:hAnsi="Times New Roman"/>
          <w:sz w:val="24"/>
          <w:szCs w:val="24"/>
        </w:rPr>
        <w:tab/>
        <w:t xml:space="preserve">It, however, </w:t>
      </w:r>
      <w:r w:rsidRPr="00F73EDF">
        <w:rPr>
          <w:rFonts w:ascii="Times New Roman" w:hAnsi="Times New Roman"/>
          <w:sz w:val="24"/>
          <w:szCs w:val="24"/>
        </w:rPr>
        <w:t xml:space="preserve">raises a question of fairness if the option produces a tax advantage to Lloyd’s that is not available to other life insurers.  </w:t>
      </w:r>
    </w:p>
    <w:p w:rsidR="009B6E20" w:rsidRPr="00F73EDF" w:rsidRDefault="009B6E20" w:rsidP="008E62A7">
      <w:pPr>
        <w:pStyle w:val="spacer"/>
        <w:spacing w:line="300" w:lineRule="atLeast"/>
        <w:jc w:val="both"/>
        <w:rPr>
          <w:rFonts w:ascii="Times New Roman" w:hAnsi="Times New Roman"/>
          <w:sz w:val="24"/>
          <w:szCs w:val="24"/>
        </w:rPr>
      </w:pPr>
    </w:p>
    <w:p w:rsidR="00C0675D" w:rsidRPr="00F73EDF" w:rsidRDefault="00C0675D" w:rsidP="00C0675D">
      <w:pPr>
        <w:pStyle w:val="spacer"/>
        <w:spacing w:line="300" w:lineRule="atLeast"/>
        <w:jc w:val="both"/>
        <w:rPr>
          <w:rFonts w:ascii="Times New Roman" w:hAnsi="Times New Roman"/>
          <w:sz w:val="24"/>
          <w:szCs w:val="24"/>
        </w:rPr>
      </w:pPr>
      <w:r w:rsidRPr="00F73EDF">
        <w:rPr>
          <w:rFonts w:ascii="Times New Roman" w:hAnsi="Times New Roman"/>
          <w:sz w:val="24"/>
          <w:szCs w:val="24"/>
        </w:rPr>
        <w:fldChar w:fldCharType="begin"/>
      </w:r>
      <w:r w:rsidRPr="00F73EDF">
        <w:rPr>
          <w:rFonts w:ascii="Times New Roman" w:hAnsi="Times New Roman"/>
          <w:sz w:val="24"/>
          <w:szCs w:val="24"/>
        </w:rPr>
        <w:instrText xml:space="preserve"> AUTONUM  \* Arabic \s .  </w:instrText>
      </w:r>
      <w:r w:rsidRPr="00F73EDF">
        <w:rPr>
          <w:rFonts w:ascii="Times New Roman" w:hAnsi="Times New Roman"/>
          <w:sz w:val="24"/>
          <w:szCs w:val="24"/>
        </w:rPr>
        <w:fldChar w:fldCharType="end"/>
      </w:r>
      <w:r w:rsidRPr="00F73EDF">
        <w:rPr>
          <w:rFonts w:ascii="Times New Roman" w:hAnsi="Times New Roman"/>
          <w:sz w:val="24"/>
          <w:szCs w:val="24"/>
        </w:rPr>
        <w:tab/>
        <w:t xml:space="preserve">To ensure the integrity of the tax system and perceptions of fairness, Inland Revenue considers that the deemed rate of taxable income should be reviewed periodically.  This is discussed in more detail under the heading </w:t>
      </w:r>
      <w:r w:rsidR="00587B52" w:rsidRPr="00F73EDF">
        <w:rPr>
          <w:rFonts w:ascii="Times New Roman" w:hAnsi="Times New Roman"/>
          <w:sz w:val="24"/>
          <w:szCs w:val="24"/>
        </w:rPr>
        <w:t>“Monitoring, evaluation and review”.</w:t>
      </w:r>
      <w:r w:rsidR="001C68E9" w:rsidRPr="00F73EDF">
        <w:rPr>
          <w:rFonts w:ascii="Times New Roman" w:hAnsi="Times New Roman"/>
          <w:sz w:val="24"/>
          <w:szCs w:val="24"/>
        </w:rPr>
        <w:t xml:space="preserve">  </w:t>
      </w:r>
    </w:p>
    <w:p w:rsidR="00C0675D" w:rsidRPr="00F73EDF" w:rsidRDefault="00C0675D" w:rsidP="008E62A7">
      <w:pPr>
        <w:pStyle w:val="spacer"/>
        <w:spacing w:line="300" w:lineRule="atLeast"/>
        <w:jc w:val="both"/>
        <w:rPr>
          <w:rFonts w:ascii="Times New Roman" w:hAnsi="Times New Roman"/>
          <w:sz w:val="24"/>
          <w:szCs w:val="24"/>
        </w:rPr>
      </w:pPr>
    </w:p>
    <w:p w:rsidR="00232B63" w:rsidRPr="00F73EDF" w:rsidRDefault="00232B63" w:rsidP="008E62A7">
      <w:pPr>
        <w:pStyle w:val="spacer"/>
        <w:spacing w:line="300" w:lineRule="atLeast"/>
        <w:jc w:val="both"/>
        <w:rPr>
          <w:rFonts w:ascii="Times New Roman" w:hAnsi="Times New Roman"/>
          <w:sz w:val="24"/>
          <w:szCs w:val="24"/>
        </w:rPr>
      </w:pPr>
      <w:r w:rsidRPr="00F73EDF">
        <w:rPr>
          <w:rFonts w:ascii="Times New Roman" w:hAnsi="Times New Roman"/>
          <w:sz w:val="24"/>
          <w:szCs w:val="24"/>
        </w:rPr>
        <w:fldChar w:fldCharType="begin"/>
      </w:r>
      <w:r w:rsidRPr="00F73EDF">
        <w:rPr>
          <w:rFonts w:ascii="Times New Roman" w:hAnsi="Times New Roman"/>
          <w:sz w:val="24"/>
          <w:szCs w:val="24"/>
        </w:rPr>
        <w:instrText xml:space="preserve"> AUTONUM  \* Arabic \s .  </w:instrText>
      </w:r>
      <w:r w:rsidRPr="00F73EDF">
        <w:rPr>
          <w:rFonts w:ascii="Times New Roman" w:hAnsi="Times New Roman"/>
          <w:sz w:val="24"/>
          <w:szCs w:val="24"/>
        </w:rPr>
        <w:fldChar w:fldCharType="end"/>
      </w:r>
      <w:r w:rsidRPr="00F73EDF">
        <w:rPr>
          <w:rFonts w:ascii="Times New Roman" w:hAnsi="Times New Roman"/>
          <w:sz w:val="24"/>
          <w:szCs w:val="24"/>
        </w:rPr>
        <w:tab/>
        <w:t>This option is not as accurate</w:t>
      </w:r>
      <w:r w:rsidR="006F4F2E" w:rsidRPr="00F73EDF">
        <w:rPr>
          <w:rFonts w:ascii="Times New Roman" w:hAnsi="Times New Roman"/>
          <w:sz w:val="24"/>
          <w:szCs w:val="24"/>
        </w:rPr>
        <w:t xml:space="preserve"> as options 1 </w:t>
      </w:r>
      <w:r w:rsidR="00D60F74" w:rsidRPr="00F73EDF">
        <w:rPr>
          <w:rFonts w:ascii="Times New Roman" w:hAnsi="Times New Roman"/>
          <w:sz w:val="24"/>
          <w:szCs w:val="24"/>
        </w:rPr>
        <w:t xml:space="preserve">and </w:t>
      </w:r>
      <w:r w:rsidR="009B6E20">
        <w:rPr>
          <w:rFonts w:ascii="Times New Roman" w:hAnsi="Times New Roman"/>
          <w:sz w:val="24"/>
          <w:szCs w:val="24"/>
        </w:rPr>
        <w:t>2</w:t>
      </w:r>
      <w:r w:rsidR="006F4F2E" w:rsidRPr="00F73EDF">
        <w:rPr>
          <w:rFonts w:ascii="Times New Roman" w:hAnsi="Times New Roman"/>
          <w:sz w:val="24"/>
          <w:szCs w:val="24"/>
        </w:rPr>
        <w:t xml:space="preserve"> for calculating </w:t>
      </w:r>
      <w:r w:rsidRPr="00F73EDF">
        <w:rPr>
          <w:rFonts w:ascii="Times New Roman" w:hAnsi="Times New Roman"/>
          <w:sz w:val="24"/>
          <w:szCs w:val="24"/>
        </w:rPr>
        <w:t>tax that should be paid by Lloyd’s in connection with its New Zealand term</w:t>
      </w:r>
      <w:r w:rsidR="009A3F37" w:rsidRPr="00F73EDF">
        <w:rPr>
          <w:rFonts w:ascii="Times New Roman" w:hAnsi="Times New Roman"/>
          <w:sz w:val="24"/>
          <w:szCs w:val="24"/>
        </w:rPr>
        <w:t>-</w:t>
      </w:r>
      <w:r w:rsidRPr="00F73EDF">
        <w:rPr>
          <w:rFonts w:ascii="Times New Roman" w:hAnsi="Times New Roman"/>
          <w:sz w:val="24"/>
          <w:szCs w:val="24"/>
        </w:rPr>
        <w:t xml:space="preserve">life insurance business.  </w:t>
      </w:r>
      <w:r w:rsidR="007303C3" w:rsidRPr="00F73EDF">
        <w:rPr>
          <w:rFonts w:ascii="Times New Roman" w:hAnsi="Times New Roman"/>
          <w:sz w:val="24"/>
          <w:szCs w:val="24"/>
        </w:rPr>
        <w:t xml:space="preserve">There is a risk that treating 10 percent of gross premiums as reflecting Lloyd’s profit </w:t>
      </w:r>
      <w:r w:rsidR="00060E2A" w:rsidRPr="00F73EDF">
        <w:rPr>
          <w:rFonts w:ascii="Times New Roman" w:hAnsi="Times New Roman"/>
          <w:sz w:val="24"/>
          <w:szCs w:val="24"/>
        </w:rPr>
        <w:t xml:space="preserve">from New Zealand </w:t>
      </w:r>
      <w:r w:rsidR="00D17C95" w:rsidRPr="00F73EDF">
        <w:rPr>
          <w:rFonts w:ascii="Times New Roman" w:hAnsi="Times New Roman"/>
          <w:sz w:val="24"/>
          <w:szCs w:val="24"/>
        </w:rPr>
        <w:t xml:space="preserve">would </w:t>
      </w:r>
      <w:r w:rsidR="00E426FA" w:rsidRPr="00F73EDF">
        <w:rPr>
          <w:rFonts w:ascii="Times New Roman" w:hAnsi="Times New Roman"/>
          <w:sz w:val="24"/>
          <w:szCs w:val="24"/>
        </w:rPr>
        <w:t>either overstate</w:t>
      </w:r>
      <w:r w:rsidR="00060E2A" w:rsidRPr="00F73EDF">
        <w:rPr>
          <w:rFonts w:ascii="Times New Roman" w:hAnsi="Times New Roman"/>
          <w:sz w:val="24"/>
          <w:szCs w:val="24"/>
        </w:rPr>
        <w:t xml:space="preserve"> or understate</w:t>
      </w:r>
      <w:r w:rsidR="00E426FA" w:rsidRPr="00F73EDF">
        <w:rPr>
          <w:rFonts w:ascii="Times New Roman" w:hAnsi="Times New Roman"/>
          <w:sz w:val="24"/>
          <w:szCs w:val="24"/>
        </w:rPr>
        <w:t xml:space="preserve"> taxable income</w:t>
      </w:r>
      <w:r w:rsidR="00060E2A" w:rsidRPr="00F73EDF">
        <w:rPr>
          <w:rFonts w:ascii="Times New Roman" w:hAnsi="Times New Roman"/>
          <w:sz w:val="24"/>
          <w:szCs w:val="24"/>
        </w:rPr>
        <w:t xml:space="preserve">.  </w:t>
      </w:r>
      <w:r w:rsidR="00C41907" w:rsidRPr="00F73EDF">
        <w:rPr>
          <w:rFonts w:ascii="Times New Roman" w:hAnsi="Times New Roman"/>
          <w:sz w:val="24"/>
          <w:szCs w:val="24"/>
        </w:rPr>
        <w:t xml:space="preserve">At least initially, it is likely that tax paid on Lloyd’s business activity in New Zealand would be higher than what would otherwise be payable under </w:t>
      </w:r>
      <w:r w:rsidR="009B6E20">
        <w:rPr>
          <w:rFonts w:ascii="Times New Roman" w:hAnsi="Times New Roman"/>
          <w:sz w:val="24"/>
          <w:szCs w:val="24"/>
        </w:rPr>
        <w:t>the status quo or option 2</w:t>
      </w:r>
      <w:r w:rsidR="0095705C" w:rsidRPr="00F73EDF">
        <w:rPr>
          <w:rFonts w:ascii="Times New Roman" w:hAnsi="Times New Roman"/>
          <w:sz w:val="24"/>
          <w:szCs w:val="24"/>
        </w:rPr>
        <w:t xml:space="preserve">. </w:t>
      </w:r>
      <w:r w:rsidR="00C41907" w:rsidRPr="00F73EDF">
        <w:rPr>
          <w:rFonts w:ascii="Times New Roman" w:hAnsi="Times New Roman"/>
          <w:sz w:val="24"/>
          <w:szCs w:val="24"/>
        </w:rPr>
        <w:t xml:space="preserve"> </w:t>
      </w:r>
      <w:r w:rsidR="009C2D45" w:rsidRPr="00F73EDF">
        <w:rPr>
          <w:rFonts w:ascii="Times New Roman" w:hAnsi="Times New Roman"/>
          <w:sz w:val="24"/>
          <w:szCs w:val="24"/>
        </w:rPr>
        <w:t xml:space="preserve">This is a trade-off for simplifying Lloyd’s tax compliance.  </w:t>
      </w:r>
    </w:p>
    <w:p w:rsidR="00726B75" w:rsidRPr="00F73EDF" w:rsidRDefault="00726B75" w:rsidP="00DC7FA7">
      <w:pPr>
        <w:pStyle w:val="spacer"/>
        <w:spacing w:line="300" w:lineRule="atLeast"/>
        <w:jc w:val="both"/>
        <w:rPr>
          <w:rFonts w:ascii="Times New Roman" w:hAnsi="Times New Roman"/>
          <w:sz w:val="24"/>
          <w:szCs w:val="24"/>
        </w:rPr>
      </w:pPr>
    </w:p>
    <w:p w:rsidR="00DC7FA7" w:rsidRPr="00F73EDF" w:rsidRDefault="00726B75" w:rsidP="00DC7FA7">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t xml:space="preserve">It is </w:t>
      </w:r>
      <w:r w:rsidR="00846A41" w:rsidRPr="00F73EDF">
        <w:rPr>
          <w:rFonts w:ascii="Times New Roman" w:hAnsi="Times New Roman"/>
          <w:sz w:val="24"/>
          <w:szCs w:val="24"/>
          <w:lang w:val="en-AU"/>
        </w:rPr>
        <w:t>relatively uncommon</w:t>
      </w:r>
      <w:r w:rsidRPr="00F73EDF">
        <w:rPr>
          <w:rFonts w:ascii="Times New Roman" w:hAnsi="Times New Roman"/>
          <w:sz w:val="24"/>
          <w:szCs w:val="24"/>
          <w:lang w:val="en-AU"/>
        </w:rPr>
        <w:t xml:space="preserve"> to have specific rules in the Income Tax Act for a </w:t>
      </w:r>
      <w:r w:rsidR="00C95812" w:rsidRPr="00F73EDF">
        <w:rPr>
          <w:rFonts w:ascii="Times New Roman" w:hAnsi="Times New Roman"/>
          <w:sz w:val="24"/>
          <w:szCs w:val="24"/>
          <w:lang w:val="en-AU"/>
        </w:rPr>
        <w:t>specified</w:t>
      </w:r>
      <w:r w:rsidR="00846A41" w:rsidRPr="00F73EDF">
        <w:rPr>
          <w:rFonts w:ascii="Times New Roman" w:hAnsi="Times New Roman"/>
          <w:sz w:val="24"/>
          <w:szCs w:val="24"/>
          <w:lang w:val="en-AU"/>
        </w:rPr>
        <w:t xml:space="preserve"> group of</w:t>
      </w:r>
      <w:r w:rsidR="009D2DE5" w:rsidRPr="00F73EDF">
        <w:rPr>
          <w:rFonts w:ascii="Times New Roman" w:hAnsi="Times New Roman"/>
          <w:sz w:val="24"/>
          <w:szCs w:val="24"/>
          <w:lang w:val="en-AU"/>
        </w:rPr>
        <w:t xml:space="preserve"> taxpayer</w:t>
      </w:r>
      <w:r w:rsidR="00C95812" w:rsidRPr="00F73EDF">
        <w:rPr>
          <w:rFonts w:ascii="Times New Roman" w:hAnsi="Times New Roman"/>
          <w:sz w:val="24"/>
          <w:szCs w:val="24"/>
          <w:lang w:val="en-AU"/>
        </w:rPr>
        <w:t>s</w:t>
      </w:r>
      <w:r w:rsidR="009D2DE5" w:rsidRPr="00F73EDF">
        <w:rPr>
          <w:rFonts w:ascii="Times New Roman" w:hAnsi="Times New Roman"/>
          <w:sz w:val="24"/>
          <w:szCs w:val="24"/>
          <w:lang w:val="en-AU"/>
        </w:rPr>
        <w:t xml:space="preserve">.  </w:t>
      </w:r>
      <w:r w:rsidR="00C95812" w:rsidRPr="00F73EDF">
        <w:rPr>
          <w:rFonts w:ascii="Times New Roman" w:hAnsi="Times New Roman"/>
          <w:sz w:val="24"/>
          <w:szCs w:val="24"/>
          <w:lang w:val="en-AU"/>
        </w:rPr>
        <w:t xml:space="preserve">In this particular case, the </w:t>
      </w:r>
      <w:r w:rsidR="002C7192" w:rsidRPr="00F73EDF">
        <w:rPr>
          <w:rFonts w:ascii="Times New Roman" w:hAnsi="Times New Roman"/>
          <w:sz w:val="24"/>
          <w:szCs w:val="24"/>
          <w:lang w:val="en-AU"/>
        </w:rPr>
        <w:t xml:space="preserve">use of </w:t>
      </w:r>
      <w:r w:rsidR="00C95812" w:rsidRPr="00F73EDF">
        <w:rPr>
          <w:rFonts w:ascii="Times New Roman" w:hAnsi="Times New Roman"/>
          <w:sz w:val="24"/>
          <w:szCs w:val="24"/>
          <w:lang w:val="en-AU"/>
        </w:rPr>
        <w:t xml:space="preserve">a </w:t>
      </w:r>
      <w:r w:rsidR="002C7192" w:rsidRPr="00F73EDF">
        <w:rPr>
          <w:rFonts w:ascii="Times New Roman" w:hAnsi="Times New Roman"/>
          <w:sz w:val="24"/>
          <w:szCs w:val="24"/>
          <w:lang w:val="en-AU"/>
        </w:rPr>
        <w:t xml:space="preserve">syndicate structure for insurance </w:t>
      </w:r>
      <w:r w:rsidR="00C95812" w:rsidRPr="00F73EDF">
        <w:rPr>
          <w:rFonts w:ascii="Times New Roman" w:hAnsi="Times New Roman"/>
          <w:sz w:val="24"/>
          <w:szCs w:val="24"/>
          <w:lang w:val="en-AU"/>
        </w:rPr>
        <w:t>does not fit within the conventional taxation rules for life insurance business</w:t>
      </w:r>
      <w:r w:rsidR="002C7192" w:rsidRPr="00F73EDF">
        <w:rPr>
          <w:rFonts w:ascii="Times New Roman" w:hAnsi="Times New Roman"/>
          <w:sz w:val="24"/>
          <w:szCs w:val="24"/>
          <w:lang w:val="en-AU"/>
        </w:rPr>
        <w:t xml:space="preserve">.  </w:t>
      </w:r>
      <w:r w:rsidR="00852980" w:rsidRPr="00F73EDF">
        <w:rPr>
          <w:rFonts w:ascii="Times New Roman" w:hAnsi="Times New Roman"/>
          <w:sz w:val="24"/>
          <w:szCs w:val="24"/>
          <w:lang w:val="en-AU"/>
        </w:rPr>
        <w:t>Tax and regulatory authorities in New Zealand</w:t>
      </w:r>
      <w:r w:rsidR="00FC1496">
        <w:rPr>
          <w:rFonts w:ascii="Times New Roman" w:hAnsi="Times New Roman"/>
          <w:sz w:val="24"/>
          <w:szCs w:val="24"/>
          <w:lang w:val="en-AU"/>
        </w:rPr>
        <w:t>,</w:t>
      </w:r>
      <w:r w:rsidR="00852980" w:rsidRPr="00F73EDF">
        <w:rPr>
          <w:rFonts w:ascii="Times New Roman" w:hAnsi="Times New Roman"/>
          <w:sz w:val="24"/>
          <w:szCs w:val="24"/>
          <w:lang w:val="en-AU"/>
        </w:rPr>
        <w:t xml:space="preserve"> Australia </w:t>
      </w:r>
      <w:r w:rsidR="00FC1496">
        <w:rPr>
          <w:rFonts w:ascii="Times New Roman" w:hAnsi="Times New Roman"/>
          <w:sz w:val="24"/>
          <w:szCs w:val="24"/>
          <w:lang w:val="en-AU"/>
        </w:rPr>
        <w:t xml:space="preserve">and elsewhere </w:t>
      </w:r>
      <w:r w:rsidR="00852980" w:rsidRPr="00F73EDF">
        <w:rPr>
          <w:rFonts w:ascii="Times New Roman" w:hAnsi="Times New Roman"/>
          <w:sz w:val="24"/>
          <w:szCs w:val="24"/>
          <w:lang w:val="en-AU"/>
        </w:rPr>
        <w:t xml:space="preserve">recognise that Lloyd’s does not fit within normal frameworks or rules.  </w:t>
      </w:r>
      <w:r w:rsidR="00DD31FD" w:rsidRPr="00F73EDF">
        <w:rPr>
          <w:rFonts w:ascii="Times New Roman" w:hAnsi="Times New Roman"/>
          <w:sz w:val="24"/>
          <w:szCs w:val="24"/>
          <w:lang w:val="en-AU"/>
        </w:rPr>
        <w:t>There are several examples of special rules and administrative arrangements to ensure proper compliance with regula</w:t>
      </w:r>
      <w:r w:rsidR="00DF1FF6" w:rsidRPr="00F73EDF">
        <w:rPr>
          <w:rFonts w:ascii="Times New Roman" w:hAnsi="Times New Roman"/>
          <w:sz w:val="24"/>
          <w:szCs w:val="24"/>
          <w:lang w:val="en-AU"/>
        </w:rPr>
        <w:t>tors and the payment of taxes.</w:t>
      </w:r>
      <w:r w:rsidR="00DF1FF6" w:rsidRPr="00F73EDF">
        <w:rPr>
          <w:rStyle w:val="FootnoteReference"/>
          <w:rFonts w:ascii="Times New Roman" w:hAnsi="Times New Roman"/>
          <w:szCs w:val="24"/>
          <w:lang w:val="en-AU"/>
        </w:rPr>
        <w:footnoteReference w:id="3"/>
      </w:r>
    </w:p>
    <w:p w:rsidR="009E39BD" w:rsidRPr="00F73EDF" w:rsidRDefault="00D943DD">
      <w:pPr>
        <w:pStyle w:val="RISheading"/>
        <w:jc w:val="both"/>
        <w:rPr>
          <w:spacing w:val="0"/>
          <w:w w:val="100"/>
        </w:rPr>
      </w:pPr>
      <w:r w:rsidRPr="00F73EDF">
        <w:rPr>
          <w:spacing w:val="0"/>
          <w:w w:val="100"/>
        </w:rPr>
        <w:t>CONSULTATION</w:t>
      </w:r>
      <w:bookmarkEnd w:id="22"/>
      <w:bookmarkEnd w:id="23"/>
      <w:bookmarkEnd w:id="24"/>
      <w:bookmarkEnd w:id="25"/>
      <w:bookmarkEnd w:id="26"/>
    </w:p>
    <w:bookmarkStart w:id="27" w:name="_Preferred_option_[optional]"/>
    <w:bookmarkStart w:id="28" w:name="_Toc244580367"/>
    <w:bookmarkStart w:id="29" w:name="_Toc244587043"/>
    <w:bookmarkStart w:id="30" w:name="_Toc244857277"/>
    <w:bookmarkStart w:id="31" w:name="_Toc244912542"/>
    <w:bookmarkStart w:id="32" w:name="_Toc244916999"/>
    <w:bookmarkEnd w:id="27"/>
    <w:p w:rsidR="00D943DD" w:rsidRPr="00F73EDF" w:rsidRDefault="00DC7FA7" w:rsidP="00DC7FA7">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r>
      <w:r w:rsidR="00490B11" w:rsidRPr="00F73EDF">
        <w:rPr>
          <w:rFonts w:ascii="Times New Roman" w:hAnsi="Times New Roman"/>
          <w:sz w:val="24"/>
          <w:szCs w:val="24"/>
          <w:lang w:val="en-AU"/>
        </w:rPr>
        <w:t xml:space="preserve">Inland Revenue wrote to the Financial Services Council </w:t>
      </w:r>
      <w:r w:rsidR="009A3F37" w:rsidRPr="00F73EDF">
        <w:rPr>
          <w:rFonts w:ascii="Times New Roman" w:hAnsi="Times New Roman"/>
          <w:sz w:val="24"/>
          <w:szCs w:val="24"/>
          <w:lang w:val="en-AU"/>
        </w:rPr>
        <w:t xml:space="preserve">(FSC) </w:t>
      </w:r>
      <w:r w:rsidR="00490B11" w:rsidRPr="00F73EDF">
        <w:rPr>
          <w:rFonts w:ascii="Times New Roman" w:hAnsi="Times New Roman"/>
          <w:sz w:val="24"/>
          <w:szCs w:val="24"/>
          <w:lang w:val="en-AU"/>
        </w:rPr>
        <w:t xml:space="preserve">seeking </w:t>
      </w:r>
      <w:r w:rsidR="009A3F37" w:rsidRPr="00F73EDF">
        <w:rPr>
          <w:rFonts w:ascii="Times New Roman" w:hAnsi="Times New Roman"/>
          <w:sz w:val="24"/>
          <w:szCs w:val="24"/>
          <w:lang w:val="en-AU"/>
        </w:rPr>
        <w:t>its</w:t>
      </w:r>
      <w:r w:rsidR="00490B11" w:rsidRPr="00F73EDF">
        <w:rPr>
          <w:rFonts w:ascii="Times New Roman" w:hAnsi="Times New Roman"/>
          <w:sz w:val="24"/>
          <w:szCs w:val="24"/>
          <w:lang w:val="en-AU"/>
        </w:rPr>
        <w:t xml:space="preserve"> views on option </w:t>
      </w:r>
      <w:r w:rsidR="002126FF">
        <w:rPr>
          <w:rFonts w:ascii="Times New Roman" w:hAnsi="Times New Roman"/>
          <w:sz w:val="24"/>
          <w:szCs w:val="24"/>
          <w:lang w:val="en-AU"/>
        </w:rPr>
        <w:t>3</w:t>
      </w:r>
      <w:r w:rsidR="00490B11" w:rsidRPr="00F73EDF">
        <w:rPr>
          <w:rFonts w:ascii="Times New Roman" w:hAnsi="Times New Roman"/>
          <w:sz w:val="24"/>
          <w:szCs w:val="24"/>
          <w:lang w:val="en-AU"/>
        </w:rPr>
        <w:t xml:space="preserve">.  The </w:t>
      </w:r>
      <w:r w:rsidR="002A7CF6" w:rsidRPr="00F73EDF">
        <w:rPr>
          <w:rFonts w:ascii="Times New Roman" w:hAnsi="Times New Roman"/>
          <w:sz w:val="24"/>
          <w:szCs w:val="24"/>
          <w:lang w:val="en-AU"/>
        </w:rPr>
        <w:t>FSC</w:t>
      </w:r>
      <w:r w:rsidR="00490B11" w:rsidRPr="00F73EDF">
        <w:rPr>
          <w:rFonts w:ascii="Times New Roman" w:hAnsi="Times New Roman"/>
          <w:sz w:val="24"/>
          <w:szCs w:val="24"/>
          <w:lang w:val="en-AU"/>
        </w:rPr>
        <w:t xml:space="preserve"> is the industry representative group for most insurers operating in New Zealand.  </w:t>
      </w:r>
    </w:p>
    <w:p w:rsidR="00D15FE1" w:rsidRPr="00F73EDF" w:rsidRDefault="00D15FE1" w:rsidP="00C10C3C">
      <w:pPr>
        <w:pStyle w:val="spacer"/>
        <w:spacing w:line="300" w:lineRule="atLeast"/>
        <w:jc w:val="both"/>
        <w:rPr>
          <w:rFonts w:ascii="Times New Roman" w:hAnsi="Times New Roman"/>
          <w:sz w:val="24"/>
          <w:szCs w:val="24"/>
          <w:lang w:val="en-AU"/>
        </w:rPr>
      </w:pPr>
    </w:p>
    <w:p w:rsidR="00C05515" w:rsidRDefault="000226A4" w:rsidP="00C05515">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r>
      <w:r w:rsidR="00D15FE1" w:rsidRPr="00F73EDF">
        <w:rPr>
          <w:rFonts w:ascii="Times New Roman" w:hAnsi="Times New Roman"/>
          <w:sz w:val="24"/>
          <w:szCs w:val="24"/>
          <w:lang w:val="en-AU"/>
        </w:rPr>
        <w:t xml:space="preserve">Private sector consultation was limited to the FSC as the matters discussed in this RIS </w:t>
      </w:r>
      <w:r w:rsidR="00EC71A4" w:rsidRPr="00F73EDF">
        <w:rPr>
          <w:rFonts w:ascii="Times New Roman" w:hAnsi="Times New Roman"/>
          <w:sz w:val="24"/>
          <w:szCs w:val="24"/>
          <w:lang w:val="en-AU"/>
        </w:rPr>
        <w:t>solely concern</w:t>
      </w:r>
      <w:r w:rsidR="00D15FE1" w:rsidRPr="00F73EDF">
        <w:rPr>
          <w:rFonts w:ascii="Times New Roman" w:hAnsi="Times New Roman"/>
          <w:sz w:val="24"/>
          <w:szCs w:val="24"/>
          <w:lang w:val="en-AU"/>
        </w:rPr>
        <w:t xml:space="preserve"> a new life insurer entering the New Zealand market.  No other private sector groups</w:t>
      </w:r>
      <w:r w:rsidR="00586496" w:rsidRPr="00F73EDF">
        <w:rPr>
          <w:rFonts w:ascii="Times New Roman" w:hAnsi="Times New Roman"/>
          <w:sz w:val="24"/>
          <w:szCs w:val="24"/>
          <w:lang w:val="en-AU"/>
        </w:rPr>
        <w:t xml:space="preserve"> with an interest in this issue </w:t>
      </w:r>
      <w:r w:rsidR="00D15FE1" w:rsidRPr="00F73EDF">
        <w:rPr>
          <w:rFonts w:ascii="Times New Roman" w:hAnsi="Times New Roman"/>
          <w:sz w:val="24"/>
          <w:szCs w:val="24"/>
          <w:lang w:val="en-AU"/>
        </w:rPr>
        <w:t xml:space="preserve">were identified.  </w:t>
      </w:r>
      <w:r w:rsidR="00D72A73" w:rsidRPr="00F73EDF">
        <w:rPr>
          <w:rFonts w:ascii="Times New Roman" w:hAnsi="Times New Roman"/>
          <w:sz w:val="24"/>
          <w:szCs w:val="24"/>
          <w:lang w:val="en-AU"/>
        </w:rPr>
        <w:t xml:space="preserve">The scale of the issue did not warrant extensive consultation using the generic tax policy process.  </w:t>
      </w:r>
      <w:r w:rsidR="00C05515">
        <w:rPr>
          <w:rFonts w:ascii="Times New Roman" w:hAnsi="Times New Roman"/>
          <w:sz w:val="24"/>
          <w:szCs w:val="24"/>
          <w:lang w:val="en-AU"/>
        </w:rPr>
        <w:br w:type="page"/>
      </w:r>
    </w:p>
    <w:p w:rsidR="00054AEB" w:rsidRPr="00F73EDF" w:rsidRDefault="000226A4" w:rsidP="00054AEB">
      <w:pPr>
        <w:pStyle w:val="TRBodyText"/>
        <w:tabs>
          <w:tab w:val="left" w:pos="567"/>
        </w:tabs>
      </w:pPr>
      <w:r w:rsidRPr="00F73EDF">
        <w:rPr>
          <w:szCs w:val="24"/>
          <w:lang w:val="en-AU"/>
        </w:rPr>
        <w:fldChar w:fldCharType="begin"/>
      </w:r>
      <w:r w:rsidRPr="00F73EDF">
        <w:rPr>
          <w:szCs w:val="24"/>
          <w:lang w:val="en-AU"/>
        </w:rPr>
        <w:instrText xml:space="preserve"> AUTONUM  \* Arabic \s .  </w:instrText>
      </w:r>
      <w:r w:rsidRPr="00F73EDF">
        <w:rPr>
          <w:szCs w:val="24"/>
          <w:lang w:val="en-AU"/>
        </w:rPr>
        <w:fldChar w:fldCharType="end"/>
      </w:r>
      <w:r w:rsidRPr="00F73EDF">
        <w:rPr>
          <w:szCs w:val="24"/>
          <w:lang w:val="en-AU"/>
        </w:rPr>
        <w:tab/>
      </w:r>
      <w:r w:rsidR="001B1480" w:rsidRPr="00F73EDF">
        <w:t xml:space="preserve">The FSC’s comments </w:t>
      </w:r>
      <w:r w:rsidR="00B7122D" w:rsidRPr="00F73EDF">
        <w:t xml:space="preserve">on option </w:t>
      </w:r>
      <w:r w:rsidR="002126FF">
        <w:t>3</w:t>
      </w:r>
      <w:r w:rsidR="00B7122D" w:rsidRPr="00F73EDF">
        <w:t xml:space="preserve"> </w:t>
      </w:r>
      <w:r w:rsidR="001B1480" w:rsidRPr="00F73EDF">
        <w:t>and Inland Revenue’s response are set out below</w:t>
      </w:r>
      <w:r w:rsidR="00054AEB" w:rsidRPr="00F73EDF">
        <w:t>:</w:t>
      </w:r>
    </w:p>
    <w:p w:rsidR="00054AEB" w:rsidRPr="00F73EDF" w:rsidRDefault="00054AEB" w:rsidP="00054AEB">
      <w:pPr>
        <w:pStyle w:val="TRBodyText"/>
      </w:pPr>
    </w:p>
    <w:p w:rsidR="00054AEB" w:rsidRPr="00F73EDF" w:rsidRDefault="00167711" w:rsidP="005D217D">
      <w:pPr>
        <w:pStyle w:val="TRListBullet"/>
        <w:tabs>
          <w:tab w:val="clear" w:pos="1134"/>
        </w:tabs>
        <w:spacing w:after="120"/>
        <w:ind w:left="567"/>
      </w:pPr>
      <w:r w:rsidRPr="00F73EDF">
        <w:t xml:space="preserve">Option </w:t>
      </w:r>
      <w:r w:rsidR="002126FF">
        <w:t>3</w:t>
      </w:r>
      <w:r w:rsidRPr="00F73EDF">
        <w:t xml:space="preserve"> could provide</w:t>
      </w:r>
      <w:r w:rsidR="00054AEB" w:rsidRPr="00F73EDF">
        <w:t xml:space="preserve"> a competitive advantage to a new entrant.  The FSC note</w:t>
      </w:r>
      <w:r w:rsidR="005D217D" w:rsidRPr="00F73EDF">
        <w:t>d</w:t>
      </w:r>
      <w:r w:rsidR="00054AEB" w:rsidRPr="00F73EDF">
        <w:t xml:space="preserve"> that the current rules require all life insurers whether New Zealand resident or not to comply with the same rules to ensure that a tax concession is not available to a particular life insurer.  </w:t>
      </w:r>
    </w:p>
    <w:p w:rsidR="005D217D" w:rsidRPr="00F73EDF" w:rsidRDefault="005D217D" w:rsidP="005D217D">
      <w:pPr>
        <w:pStyle w:val="TRListBullet"/>
        <w:numPr>
          <w:ilvl w:val="0"/>
          <w:numId w:val="0"/>
        </w:numPr>
        <w:spacing w:after="120"/>
        <w:ind w:left="567"/>
      </w:pPr>
      <w:r w:rsidRPr="00F73EDF">
        <w:t>Inland Revenue is reasonably confident that the proposed presumptive tax provides a reasonable proxy of profitability and, given the niche market</w:t>
      </w:r>
      <w:r w:rsidR="00213084" w:rsidRPr="00F73EDF">
        <w:t>s</w:t>
      </w:r>
      <w:r w:rsidRPr="00F73EDF">
        <w:t xml:space="preserve"> that Lloyd’s </w:t>
      </w:r>
      <w:r w:rsidR="00213084" w:rsidRPr="00F73EDF">
        <w:t xml:space="preserve">syndicates’ </w:t>
      </w:r>
      <w:r w:rsidRPr="00F73EDF">
        <w:t xml:space="preserve">intend to operate, the risk </w:t>
      </w:r>
      <w:r w:rsidR="004F51D5" w:rsidRPr="00F73EDF">
        <w:t xml:space="preserve">that option </w:t>
      </w:r>
      <w:r w:rsidR="002126FF">
        <w:t>3</w:t>
      </w:r>
      <w:r w:rsidRPr="00F73EDF">
        <w:t xml:space="preserve"> provid</w:t>
      </w:r>
      <w:r w:rsidR="004F51D5" w:rsidRPr="00F73EDF">
        <w:t>es</w:t>
      </w:r>
      <w:r w:rsidRPr="00F73EDF">
        <w:t xml:space="preserve"> Lloyd’s with an unfair competitive advantage is considered to be low.  </w:t>
      </w:r>
      <w:r w:rsidR="00EC71A4" w:rsidRPr="00F73EDF">
        <w:t xml:space="preserve">This will be the subject of regular monitoring.  </w:t>
      </w:r>
    </w:p>
    <w:p w:rsidR="00054AEB" w:rsidRPr="00F73EDF" w:rsidRDefault="00054AEB" w:rsidP="000269B7">
      <w:pPr>
        <w:pStyle w:val="TRListBullet"/>
        <w:tabs>
          <w:tab w:val="clear" w:pos="1134"/>
        </w:tabs>
        <w:spacing w:after="120"/>
        <w:ind w:left="539" w:hanging="539"/>
      </w:pPr>
      <w:r w:rsidRPr="00F73EDF">
        <w:t xml:space="preserve">Whether </w:t>
      </w:r>
      <w:r w:rsidR="004F51D5" w:rsidRPr="00F73EDF">
        <w:t xml:space="preserve">option </w:t>
      </w:r>
      <w:r w:rsidR="002126FF">
        <w:t>3</w:t>
      </w:r>
      <w:r w:rsidRPr="00F73EDF">
        <w:t xml:space="preserve"> should apply to all non-resident life insurers including reinsurers.  The proposal for Lloyd’s raises broader questions relating to the basis on which life insurance business by</w:t>
      </w:r>
      <w:r w:rsidR="009A3F37" w:rsidRPr="00F73EDF">
        <w:t>,</w:t>
      </w:r>
      <w:r w:rsidRPr="00F73EDF">
        <w:t xml:space="preserve"> and with</w:t>
      </w:r>
      <w:r w:rsidR="009A3F37" w:rsidRPr="00F73EDF">
        <w:t>,</w:t>
      </w:r>
      <w:r w:rsidRPr="00F73EDF">
        <w:t xml:space="preserve"> non-resident life insurers are taxed.</w:t>
      </w:r>
    </w:p>
    <w:p w:rsidR="005D217D" w:rsidRPr="00F73EDF" w:rsidRDefault="005D217D" w:rsidP="005D217D">
      <w:pPr>
        <w:pStyle w:val="TRListBullet"/>
        <w:numPr>
          <w:ilvl w:val="0"/>
          <w:numId w:val="0"/>
        </w:numPr>
        <w:spacing w:after="120"/>
        <w:ind w:left="567"/>
      </w:pPr>
      <w:r w:rsidRPr="00F73EDF">
        <w:t>Inland Revenue agrees that the proposal raises the possibility for wider consideration of the treatment of life insurance and life risk sold by life insurers</w:t>
      </w:r>
      <w:r w:rsidR="00EC71A4" w:rsidRPr="00F73EDF">
        <w:t>, but notes a potential for fiscal risk</w:t>
      </w:r>
      <w:r w:rsidRPr="00F73EDF">
        <w:t xml:space="preserve">.  The priority of any </w:t>
      </w:r>
      <w:r w:rsidR="004F51D5" w:rsidRPr="00F73EDF">
        <w:t xml:space="preserve">future </w:t>
      </w:r>
      <w:r w:rsidRPr="00F73EDF">
        <w:t xml:space="preserve">work on these matters </w:t>
      </w:r>
      <w:r w:rsidR="004F51D5" w:rsidRPr="00F73EDF">
        <w:t>would</w:t>
      </w:r>
      <w:r w:rsidRPr="00F73EDF">
        <w:t xml:space="preserve"> be considered as part of the tax policy work programme.  </w:t>
      </w:r>
    </w:p>
    <w:p w:rsidR="00054AEB" w:rsidRPr="00F73EDF" w:rsidRDefault="002E04E1" w:rsidP="000269B7">
      <w:pPr>
        <w:pStyle w:val="TRListBullet"/>
        <w:tabs>
          <w:tab w:val="clear" w:pos="1134"/>
        </w:tabs>
        <w:spacing w:after="120"/>
        <w:ind w:left="539" w:hanging="539"/>
      </w:pPr>
      <w:r w:rsidRPr="00F73EDF">
        <w:t>There are a number of technical issues with option</w:t>
      </w:r>
      <w:r w:rsidR="004F51D5" w:rsidRPr="00F73EDF">
        <w:t xml:space="preserve"> </w:t>
      </w:r>
      <w:r w:rsidR="002126FF">
        <w:t>3</w:t>
      </w:r>
      <w:r w:rsidRPr="00F73EDF">
        <w:t>, particularly relating to its detail</w:t>
      </w:r>
      <w:r w:rsidR="00242080" w:rsidRPr="00F73EDF">
        <w:t xml:space="preserve">.  These issues relate to </w:t>
      </w:r>
      <w:r w:rsidR="00054AEB" w:rsidRPr="00F73EDF">
        <w:t>who bears the liability for tax</w:t>
      </w:r>
      <w:r w:rsidR="00B77B3D" w:rsidRPr="00F73EDF">
        <w:t>, the type of life insurance product the option would apply to,</w:t>
      </w:r>
      <w:r w:rsidR="00054AEB" w:rsidRPr="00F73EDF">
        <w:t xml:space="preserve"> and the frequency of any review of </w:t>
      </w:r>
      <w:r w:rsidR="00B67BC6" w:rsidRPr="00F73EDF">
        <w:t xml:space="preserve">the deemed rate of taxable income on which option </w:t>
      </w:r>
      <w:r w:rsidR="002126FF">
        <w:t>3</w:t>
      </w:r>
      <w:r w:rsidR="00B67BC6" w:rsidRPr="00F73EDF">
        <w:t xml:space="preserve"> is based</w:t>
      </w:r>
      <w:r w:rsidR="00054AEB" w:rsidRPr="00F73EDF">
        <w:t>.</w:t>
      </w:r>
    </w:p>
    <w:p w:rsidR="005D217D" w:rsidRPr="00F73EDF" w:rsidRDefault="005D217D" w:rsidP="005D217D">
      <w:pPr>
        <w:pStyle w:val="TRListBullet"/>
        <w:numPr>
          <w:ilvl w:val="0"/>
          <w:numId w:val="0"/>
        </w:numPr>
        <w:spacing w:after="120"/>
        <w:ind w:left="539"/>
      </w:pPr>
      <w:r w:rsidRPr="00F73EDF">
        <w:t xml:space="preserve">The technical matters raised in submissions confirmed the need to confine option </w:t>
      </w:r>
      <w:r w:rsidR="002126FF">
        <w:t>3</w:t>
      </w:r>
      <w:r w:rsidRPr="00F73EDF">
        <w:t xml:space="preserve"> to the sale of term-life insurance policies and that the deemed amount of taxable inc</w:t>
      </w:r>
      <w:r w:rsidR="00D10C06" w:rsidRPr="00F73EDF">
        <w:t xml:space="preserve">ome of 10 percent be reviewed.  </w:t>
      </w:r>
      <w:r w:rsidR="001F7D4A" w:rsidRPr="00F73EDF">
        <w:t xml:space="preserve">As discussed, the obligation to calculate and pay tax would fall on Lloyd’s New Zealand authorised agents.  </w:t>
      </w:r>
    </w:p>
    <w:p w:rsidR="00054AEB" w:rsidRPr="00F73EDF" w:rsidRDefault="00DC7FA7" w:rsidP="00054AEB">
      <w:pPr>
        <w:pStyle w:val="TRBodyText"/>
        <w:tabs>
          <w:tab w:val="left" w:pos="567"/>
        </w:tabs>
      </w:pPr>
      <w:r w:rsidRPr="00F73EDF">
        <w:fldChar w:fldCharType="begin"/>
      </w:r>
      <w:r w:rsidRPr="00F73EDF">
        <w:instrText xml:space="preserve"> AUTONUM  \* Arabic \s .  </w:instrText>
      </w:r>
      <w:r w:rsidRPr="00F73EDF">
        <w:fldChar w:fldCharType="end"/>
      </w:r>
      <w:r w:rsidRPr="00F73EDF">
        <w:tab/>
      </w:r>
      <w:r w:rsidR="00BC0CDE" w:rsidRPr="00F73EDF">
        <w:t xml:space="preserve">The overall </w:t>
      </w:r>
      <w:r w:rsidR="00565398" w:rsidRPr="00F73EDF">
        <w:t>message</w:t>
      </w:r>
      <w:r w:rsidR="00BC0CDE" w:rsidRPr="00F73EDF">
        <w:t xml:space="preserve"> from consultation was a</w:t>
      </w:r>
      <w:r w:rsidR="00EC71A4" w:rsidRPr="00F73EDF">
        <w:t xml:space="preserve">n acknowledgement </w:t>
      </w:r>
      <w:r w:rsidR="00EE0090" w:rsidRPr="00F73EDF">
        <w:t>a compliance problem exists</w:t>
      </w:r>
      <w:r w:rsidR="00BC0CDE" w:rsidRPr="00F73EDF">
        <w:t xml:space="preserve"> and </w:t>
      </w:r>
      <w:r w:rsidR="00DA165C" w:rsidRPr="00F73EDF">
        <w:t>we infer that the FSC reluctantly accepts</w:t>
      </w:r>
      <w:r w:rsidR="00BC0CDE" w:rsidRPr="00F73EDF">
        <w:t xml:space="preserve"> option </w:t>
      </w:r>
      <w:r w:rsidR="002126FF">
        <w:t>3</w:t>
      </w:r>
      <w:r w:rsidR="00565398" w:rsidRPr="00F73EDF">
        <w:t xml:space="preserve">. </w:t>
      </w:r>
      <w:r w:rsidR="00BC0CDE" w:rsidRPr="00F73EDF">
        <w:t xml:space="preserve"> The FSC </w:t>
      </w:r>
      <w:r w:rsidR="00054AEB" w:rsidRPr="00F73EDF">
        <w:t xml:space="preserve">did not express any outright opposition to </w:t>
      </w:r>
      <w:r w:rsidR="000045E7" w:rsidRPr="00F73EDF">
        <w:t xml:space="preserve">option </w:t>
      </w:r>
      <w:r w:rsidR="002126FF">
        <w:t>3</w:t>
      </w:r>
      <w:r w:rsidR="00054AEB" w:rsidRPr="00F73EDF">
        <w:t xml:space="preserve">.  </w:t>
      </w:r>
    </w:p>
    <w:p w:rsidR="00C10C3C" w:rsidRPr="00F73EDF" w:rsidRDefault="00C10C3C" w:rsidP="00054AEB">
      <w:pPr>
        <w:pStyle w:val="TRBodyText"/>
        <w:tabs>
          <w:tab w:val="left" w:pos="567"/>
        </w:tabs>
      </w:pPr>
    </w:p>
    <w:p w:rsidR="00C10C3C" w:rsidRPr="00F73EDF" w:rsidRDefault="00C10C3C" w:rsidP="00054AEB">
      <w:pPr>
        <w:pStyle w:val="TRBodyText"/>
        <w:tabs>
          <w:tab w:val="left" w:pos="567"/>
        </w:tabs>
      </w:pPr>
      <w:r w:rsidRPr="00F73EDF">
        <w:fldChar w:fldCharType="begin"/>
      </w:r>
      <w:r w:rsidRPr="00F73EDF">
        <w:instrText xml:space="preserve"> AUTONUM  \* Arabic \s .  </w:instrText>
      </w:r>
      <w:r w:rsidRPr="00F73EDF">
        <w:fldChar w:fldCharType="end"/>
      </w:r>
      <w:r w:rsidRPr="00F73EDF">
        <w:tab/>
        <w:t xml:space="preserve">Lloyd’s was also consulted and </w:t>
      </w:r>
      <w:r w:rsidR="008D2F37" w:rsidRPr="00F73EDF">
        <w:t xml:space="preserve">supports option </w:t>
      </w:r>
      <w:r w:rsidR="002126FF">
        <w:t>3</w:t>
      </w:r>
      <w:r w:rsidR="008D2F37" w:rsidRPr="00F73EDF">
        <w:t xml:space="preserve">.  </w:t>
      </w:r>
    </w:p>
    <w:p w:rsidR="004D269F" w:rsidRPr="00F73EDF" w:rsidRDefault="004D269F" w:rsidP="00054AEB">
      <w:pPr>
        <w:pStyle w:val="TRBodyText"/>
        <w:tabs>
          <w:tab w:val="left" w:pos="567"/>
        </w:tabs>
      </w:pPr>
    </w:p>
    <w:p w:rsidR="00076150" w:rsidRPr="00F73EDF" w:rsidRDefault="002D284F" w:rsidP="00DC7FA7">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r>
      <w:r w:rsidR="00076150" w:rsidRPr="00F73EDF">
        <w:rPr>
          <w:rFonts w:ascii="Times New Roman" w:hAnsi="Times New Roman"/>
          <w:sz w:val="24"/>
          <w:szCs w:val="24"/>
          <w:lang w:val="en-AU"/>
        </w:rPr>
        <w:t xml:space="preserve">Inland Revenue also sought comment from the Treasury and the Reserve Bank.  </w:t>
      </w:r>
      <w:r w:rsidR="008D5CCD" w:rsidRPr="00F73EDF">
        <w:rPr>
          <w:rFonts w:ascii="Times New Roman" w:hAnsi="Times New Roman"/>
          <w:sz w:val="24"/>
          <w:szCs w:val="24"/>
        </w:rPr>
        <w:t xml:space="preserve">Both note that the costs imposed by the current law </w:t>
      </w:r>
      <w:r w:rsidR="000226A4" w:rsidRPr="00F73EDF">
        <w:rPr>
          <w:rFonts w:ascii="Times New Roman" w:hAnsi="Times New Roman"/>
          <w:sz w:val="24"/>
          <w:szCs w:val="24"/>
        </w:rPr>
        <w:t xml:space="preserve">(status quo) </w:t>
      </w:r>
      <w:r w:rsidR="008D5CCD" w:rsidRPr="00F73EDF">
        <w:rPr>
          <w:rFonts w:ascii="Times New Roman" w:hAnsi="Times New Roman"/>
          <w:sz w:val="24"/>
          <w:szCs w:val="24"/>
        </w:rPr>
        <w:t xml:space="preserve">are disproportionate to the tax revenue at issue.  </w:t>
      </w:r>
    </w:p>
    <w:p w:rsidR="00B604A3" w:rsidRPr="00F73EDF" w:rsidRDefault="00D943DD" w:rsidP="007D649F">
      <w:pPr>
        <w:spacing w:before="240" w:after="180" w:line="300" w:lineRule="atLeast"/>
        <w:rPr>
          <w:rFonts w:ascii="Times New Roman" w:hAnsi="Times New Roman"/>
          <w:b/>
          <w:sz w:val="24"/>
          <w:szCs w:val="24"/>
        </w:rPr>
      </w:pPr>
      <w:r w:rsidRPr="00F73EDF">
        <w:rPr>
          <w:rFonts w:ascii="Times New Roman" w:hAnsi="Times New Roman"/>
          <w:b/>
          <w:sz w:val="24"/>
          <w:szCs w:val="24"/>
        </w:rPr>
        <w:t>CONCLUSIONS AND RECOMMENDATIONS</w:t>
      </w:r>
      <w:bookmarkStart w:id="33" w:name="_Toc244580368"/>
      <w:bookmarkStart w:id="34" w:name="_Toc244587044"/>
      <w:bookmarkStart w:id="35" w:name="_Toc244857278"/>
      <w:bookmarkStart w:id="36" w:name="_Toc244912543"/>
      <w:bookmarkStart w:id="37" w:name="_Toc244917000"/>
      <w:bookmarkEnd w:id="28"/>
      <w:bookmarkEnd w:id="29"/>
      <w:bookmarkEnd w:id="30"/>
      <w:bookmarkEnd w:id="31"/>
      <w:bookmarkEnd w:id="32"/>
    </w:p>
    <w:p w:rsidR="00B604A3" w:rsidRPr="00F73EDF" w:rsidRDefault="00B604A3" w:rsidP="007D649F">
      <w:pPr>
        <w:spacing w:after="0" w:line="300" w:lineRule="atLeast"/>
        <w:jc w:val="both"/>
        <w:rPr>
          <w:rFonts w:ascii="Times New Roman" w:hAnsi="Times New Roman"/>
          <w:sz w:val="24"/>
          <w:szCs w:val="24"/>
        </w:rPr>
      </w:pPr>
      <w:r w:rsidRPr="00F73EDF">
        <w:rPr>
          <w:rFonts w:ascii="Times New Roman" w:hAnsi="Times New Roman"/>
          <w:sz w:val="24"/>
          <w:szCs w:val="24"/>
        </w:rPr>
        <w:fldChar w:fldCharType="begin"/>
      </w:r>
      <w:r w:rsidRPr="00F73EDF">
        <w:rPr>
          <w:rFonts w:ascii="Times New Roman" w:hAnsi="Times New Roman"/>
          <w:sz w:val="24"/>
          <w:szCs w:val="24"/>
        </w:rPr>
        <w:instrText xml:space="preserve"> AUTONUM  \* Arabic \s .  </w:instrText>
      </w:r>
      <w:r w:rsidRPr="00F73EDF">
        <w:rPr>
          <w:rFonts w:ascii="Times New Roman" w:hAnsi="Times New Roman"/>
          <w:sz w:val="24"/>
          <w:szCs w:val="24"/>
        </w:rPr>
        <w:fldChar w:fldCharType="end"/>
      </w:r>
      <w:r w:rsidRPr="00F73EDF">
        <w:rPr>
          <w:rFonts w:ascii="Times New Roman" w:hAnsi="Times New Roman"/>
          <w:sz w:val="24"/>
          <w:szCs w:val="24"/>
        </w:rPr>
        <w:tab/>
      </w:r>
      <w:r w:rsidR="005D217D" w:rsidRPr="00F73EDF">
        <w:rPr>
          <w:rFonts w:ascii="Times New Roman" w:hAnsi="Times New Roman"/>
          <w:sz w:val="24"/>
          <w:szCs w:val="24"/>
        </w:rPr>
        <w:t>The table “summary of options and analysis”</w:t>
      </w:r>
      <w:r w:rsidRPr="00F73EDF">
        <w:rPr>
          <w:rFonts w:ascii="Times New Roman" w:hAnsi="Times New Roman"/>
          <w:sz w:val="24"/>
          <w:szCs w:val="24"/>
        </w:rPr>
        <w:t xml:space="preserve"> </w:t>
      </w:r>
      <w:r w:rsidR="00A83D4F" w:rsidRPr="00F73EDF">
        <w:rPr>
          <w:rFonts w:ascii="Times New Roman" w:hAnsi="Times New Roman"/>
          <w:sz w:val="24"/>
          <w:szCs w:val="24"/>
        </w:rPr>
        <w:t xml:space="preserve">below </w:t>
      </w:r>
      <w:r w:rsidRPr="00F73EDF">
        <w:rPr>
          <w:rFonts w:ascii="Times New Roman" w:hAnsi="Times New Roman"/>
          <w:sz w:val="24"/>
          <w:szCs w:val="24"/>
        </w:rPr>
        <w:t xml:space="preserve">summarises the </w:t>
      </w:r>
      <w:r w:rsidR="00B9370B" w:rsidRPr="00F73EDF">
        <w:rPr>
          <w:rFonts w:ascii="Times New Roman" w:hAnsi="Times New Roman"/>
          <w:sz w:val="24"/>
          <w:szCs w:val="24"/>
        </w:rPr>
        <w:t>assessment of each option</w:t>
      </w:r>
      <w:r w:rsidRPr="00F73EDF">
        <w:rPr>
          <w:rFonts w:ascii="Times New Roman" w:hAnsi="Times New Roman"/>
          <w:sz w:val="24"/>
          <w:szCs w:val="24"/>
        </w:rPr>
        <w:t xml:space="preserve"> described in </w:t>
      </w:r>
      <w:r w:rsidR="00B9370B" w:rsidRPr="00F73EDF">
        <w:rPr>
          <w:rFonts w:ascii="Times New Roman" w:hAnsi="Times New Roman"/>
          <w:sz w:val="24"/>
          <w:szCs w:val="24"/>
        </w:rPr>
        <w:t>this RIS</w:t>
      </w:r>
      <w:r w:rsidRPr="00F73EDF">
        <w:rPr>
          <w:rFonts w:ascii="Times New Roman" w:hAnsi="Times New Roman"/>
          <w:sz w:val="24"/>
          <w:szCs w:val="24"/>
        </w:rPr>
        <w:t xml:space="preserve">.  The following symbols are used to </w:t>
      </w:r>
      <w:r w:rsidR="002D284F" w:rsidRPr="00F73EDF">
        <w:rPr>
          <w:rFonts w:ascii="Times New Roman" w:hAnsi="Times New Roman"/>
          <w:sz w:val="24"/>
          <w:szCs w:val="24"/>
        </w:rPr>
        <w:t>describe i</w:t>
      </w:r>
      <w:r w:rsidR="00F03C5E" w:rsidRPr="00F73EDF">
        <w:rPr>
          <w:rFonts w:ascii="Times New Roman" w:hAnsi="Times New Roman"/>
          <w:sz w:val="24"/>
          <w:szCs w:val="24"/>
        </w:rPr>
        <w:t>f the option improves on or is worse than t</w:t>
      </w:r>
      <w:r w:rsidR="002D284F" w:rsidRPr="00F73EDF">
        <w:rPr>
          <w:rFonts w:ascii="Times New Roman" w:hAnsi="Times New Roman"/>
          <w:sz w:val="24"/>
          <w:szCs w:val="24"/>
        </w:rPr>
        <w:t xml:space="preserve">he status quo.  </w:t>
      </w:r>
    </w:p>
    <w:p w:rsidR="002D284F" w:rsidRPr="00F73EDF" w:rsidRDefault="002D284F" w:rsidP="007D649F">
      <w:pPr>
        <w:spacing w:after="0" w:line="300" w:lineRule="atLeast"/>
        <w:rPr>
          <w:rFonts w:ascii="Times New Roman" w:hAnsi="Times New Roman"/>
          <w:sz w:val="24"/>
          <w:szCs w:val="24"/>
        </w:rPr>
      </w:pPr>
    </w:p>
    <w:p w:rsidR="00B604A3" w:rsidRPr="00F73EDF" w:rsidRDefault="00B604A3" w:rsidP="007D649F">
      <w:pPr>
        <w:spacing w:after="0" w:line="300" w:lineRule="atLeast"/>
        <w:ind w:left="2268"/>
        <w:rPr>
          <w:rFonts w:ascii="Times New Roman" w:eastAsiaTheme="minorHAnsi" w:hAnsi="Times New Roman"/>
          <w:sz w:val="24"/>
          <w:szCs w:val="24"/>
        </w:rPr>
      </w:pPr>
      <w:r w:rsidRPr="00F73EDF">
        <w:rPr>
          <w:rFonts w:ascii="Wingdings 2" w:eastAsiaTheme="minorHAnsi" w:hAnsi="Wingdings 2"/>
          <w:szCs w:val="24"/>
          <w:lang w:eastAsia="en-US"/>
        </w:rPr>
        <w:t></w:t>
      </w:r>
      <w:r w:rsidRPr="00F73EDF">
        <w:rPr>
          <w:rFonts w:ascii="Wingdings 2" w:eastAsiaTheme="minorHAnsi" w:hAnsi="Wingdings 2"/>
          <w:szCs w:val="24"/>
          <w:lang w:eastAsia="en-US"/>
        </w:rPr>
        <w:t></w:t>
      </w:r>
      <w:r w:rsidRPr="00F73EDF">
        <w:rPr>
          <w:rFonts w:ascii="Wingdings 2" w:eastAsiaTheme="minorHAnsi" w:hAnsi="Wingdings 2"/>
          <w:szCs w:val="24"/>
          <w:lang w:eastAsia="en-US"/>
        </w:rPr>
        <w:tab/>
      </w:r>
      <w:r w:rsidRPr="00F73EDF">
        <w:rPr>
          <w:rFonts w:ascii="Times New Roman" w:eastAsiaTheme="minorHAnsi" w:hAnsi="Times New Roman"/>
          <w:sz w:val="24"/>
          <w:szCs w:val="24"/>
        </w:rPr>
        <w:t>Significantly better than the status quo</w:t>
      </w:r>
    </w:p>
    <w:p w:rsidR="00B604A3" w:rsidRPr="00F73EDF" w:rsidRDefault="00B604A3" w:rsidP="007D649F">
      <w:pPr>
        <w:pStyle w:val="ListParagraph"/>
        <w:numPr>
          <w:ilvl w:val="0"/>
          <w:numId w:val="53"/>
        </w:numPr>
        <w:spacing w:line="300" w:lineRule="atLeast"/>
        <w:ind w:left="2835" w:hanging="567"/>
        <w:rPr>
          <w:rFonts w:ascii="Times New Roman" w:eastAsiaTheme="minorHAnsi" w:hAnsi="Times New Roman"/>
          <w:sz w:val="24"/>
          <w:szCs w:val="24"/>
        </w:rPr>
      </w:pPr>
      <w:r w:rsidRPr="00F73EDF">
        <w:rPr>
          <w:rFonts w:ascii="Times New Roman" w:eastAsiaTheme="minorHAnsi" w:hAnsi="Times New Roman"/>
          <w:sz w:val="24"/>
          <w:szCs w:val="24"/>
        </w:rPr>
        <w:t>Better than the status quo</w:t>
      </w:r>
    </w:p>
    <w:p w:rsidR="00B604A3" w:rsidRPr="00F73EDF" w:rsidRDefault="00B604A3" w:rsidP="007D649F">
      <w:pPr>
        <w:pStyle w:val="ListParagraph"/>
        <w:numPr>
          <w:ilvl w:val="0"/>
          <w:numId w:val="52"/>
        </w:numPr>
        <w:spacing w:line="300" w:lineRule="atLeast"/>
        <w:ind w:left="2268" w:firstLine="0"/>
        <w:rPr>
          <w:rFonts w:ascii="Times New Roman" w:eastAsiaTheme="minorHAnsi" w:hAnsi="Times New Roman"/>
          <w:sz w:val="24"/>
          <w:szCs w:val="24"/>
        </w:rPr>
      </w:pPr>
      <w:r w:rsidRPr="00F73EDF">
        <w:rPr>
          <w:rFonts w:ascii="Times New Roman" w:eastAsiaTheme="minorHAnsi" w:hAnsi="Times New Roman"/>
          <w:sz w:val="24"/>
          <w:szCs w:val="24"/>
        </w:rPr>
        <w:t xml:space="preserve">No better than the status quo </w:t>
      </w:r>
    </w:p>
    <w:p w:rsidR="00B604A3" w:rsidRPr="00F73EDF" w:rsidRDefault="00B604A3" w:rsidP="007D649F">
      <w:pPr>
        <w:spacing w:after="0" w:line="300" w:lineRule="atLeast"/>
        <w:ind w:left="2268"/>
        <w:contextualSpacing/>
        <w:jc w:val="both"/>
        <w:rPr>
          <w:rFonts w:ascii="Times New Roman" w:eastAsiaTheme="minorHAnsi" w:hAnsi="Times New Roman"/>
          <w:sz w:val="24"/>
          <w:szCs w:val="24"/>
          <w:lang w:val="en-NZ" w:eastAsia="en-US"/>
        </w:rPr>
      </w:pPr>
      <w:r w:rsidRPr="00F73EDF">
        <w:rPr>
          <w:rFonts w:ascii="Wingdings 2" w:eastAsiaTheme="minorHAnsi" w:hAnsi="Wingdings 2"/>
          <w:sz w:val="24"/>
          <w:szCs w:val="24"/>
          <w:lang w:val="en-NZ" w:eastAsia="en-US"/>
        </w:rPr>
        <w:t></w:t>
      </w:r>
      <w:r w:rsidRPr="00F73EDF">
        <w:rPr>
          <w:rFonts w:ascii="Wingdings 2" w:eastAsiaTheme="minorHAnsi" w:hAnsi="Wingdings 2"/>
          <w:sz w:val="24"/>
          <w:szCs w:val="24"/>
          <w:lang w:val="en-NZ" w:eastAsia="en-US"/>
        </w:rPr>
        <w:t></w:t>
      </w:r>
      <w:r w:rsidRPr="00F73EDF">
        <w:rPr>
          <w:rFonts w:ascii="Wingdings 2" w:eastAsiaTheme="minorHAnsi" w:hAnsi="Wingdings 2"/>
          <w:sz w:val="24"/>
          <w:szCs w:val="24"/>
          <w:lang w:val="en-NZ" w:eastAsia="en-US"/>
        </w:rPr>
        <w:tab/>
      </w:r>
      <w:r w:rsidRPr="00F73EDF">
        <w:rPr>
          <w:rFonts w:ascii="Times New Roman" w:eastAsiaTheme="minorHAnsi" w:hAnsi="Times New Roman"/>
          <w:sz w:val="24"/>
          <w:szCs w:val="24"/>
          <w:lang w:val="en-NZ" w:eastAsia="en-US"/>
        </w:rPr>
        <w:t xml:space="preserve">Worse than the status quo </w:t>
      </w:r>
    </w:p>
    <w:p w:rsidR="002126FF" w:rsidRDefault="002126FF">
      <w:pPr>
        <w:spacing w:after="0" w:line="240" w:lineRule="auto"/>
        <w:rPr>
          <w:rFonts w:ascii="Times New Roman" w:hAnsi="Times New Roman"/>
          <w:b/>
          <w:sz w:val="24"/>
          <w:szCs w:val="24"/>
          <w:lang w:val="en-AU" w:eastAsia="en-US"/>
        </w:rPr>
      </w:pPr>
      <w:r>
        <w:rPr>
          <w:rFonts w:ascii="Times New Roman" w:hAnsi="Times New Roman"/>
          <w:b/>
          <w:sz w:val="24"/>
          <w:szCs w:val="24"/>
        </w:rPr>
        <w:br w:type="page"/>
      </w:r>
    </w:p>
    <w:p w:rsidR="002D284F" w:rsidRPr="00F73EDF" w:rsidRDefault="002D284F" w:rsidP="007D649F">
      <w:pPr>
        <w:pStyle w:val="Bullet-list"/>
        <w:spacing w:after="0" w:line="300" w:lineRule="atLeast"/>
        <w:ind w:left="0" w:firstLine="0"/>
        <w:rPr>
          <w:rFonts w:ascii="Times New Roman" w:hAnsi="Times New Roman"/>
          <w:b/>
          <w:sz w:val="24"/>
          <w:szCs w:val="24"/>
        </w:rPr>
      </w:pPr>
      <w:r w:rsidRPr="00F73EDF">
        <w:rPr>
          <w:rFonts w:ascii="Times New Roman" w:hAnsi="Times New Roman"/>
          <w:b/>
          <w:sz w:val="24"/>
          <w:szCs w:val="24"/>
        </w:rPr>
        <w:t xml:space="preserve">Table </w:t>
      </w:r>
      <w:r w:rsidR="009A3F37" w:rsidRPr="00F73EDF">
        <w:rPr>
          <w:rFonts w:ascii="Times New Roman" w:hAnsi="Times New Roman"/>
          <w:b/>
          <w:sz w:val="24"/>
          <w:szCs w:val="24"/>
        </w:rPr>
        <w:t>1</w:t>
      </w:r>
      <w:r w:rsidRPr="00F73EDF">
        <w:rPr>
          <w:rFonts w:ascii="Times New Roman" w:hAnsi="Times New Roman"/>
          <w:b/>
          <w:sz w:val="24"/>
          <w:szCs w:val="24"/>
        </w:rPr>
        <w:t>: summary of options and analysis</w:t>
      </w:r>
    </w:p>
    <w:p w:rsidR="002D284F" w:rsidRPr="00F73EDF" w:rsidRDefault="002D284F" w:rsidP="007D649F">
      <w:pPr>
        <w:pStyle w:val="Bullet-list"/>
        <w:spacing w:after="0" w:line="300" w:lineRule="atLeast"/>
        <w:ind w:left="0" w:firstLine="0"/>
        <w:rPr>
          <w:rFonts w:ascii="Times New Roman" w:hAnsi="Times New Roman"/>
          <w:sz w:val="24"/>
          <w:szCs w:val="24"/>
        </w:rPr>
      </w:pPr>
    </w:p>
    <w:tbl>
      <w:tblPr>
        <w:tblStyle w:val="TableGrid"/>
        <w:tblW w:w="0" w:type="auto"/>
        <w:tblCellMar>
          <w:top w:w="85" w:type="dxa"/>
          <w:bottom w:w="85" w:type="dxa"/>
        </w:tblCellMar>
        <w:tblLook w:val="04A0" w:firstRow="1" w:lastRow="0" w:firstColumn="1" w:lastColumn="0" w:noHBand="0" w:noVBand="1"/>
      </w:tblPr>
      <w:tblGrid>
        <w:gridCol w:w="4621"/>
        <w:gridCol w:w="4622"/>
      </w:tblGrid>
      <w:tr w:rsidR="00B604A3" w:rsidRPr="00F73EDF" w:rsidTr="007D649F">
        <w:tc>
          <w:tcPr>
            <w:tcW w:w="4621" w:type="dxa"/>
          </w:tcPr>
          <w:p w:rsidR="00B604A3" w:rsidRPr="00F73EDF" w:rsidRDefault="00B604A3" w:rsidP="007D649F">
            <w:pPr>
              <w:pStyle w:val="TRNormal"/>
              <w:tabs>
                <w:tab w:val="left" w:pos="567"/>
              </w:tabs>
              <w:spacing w:after="60" w:line="240" w:lineRule="auto"/>
              <w:rPr>
                <w:rFonts w:ascii="Arial" w:hAnsi="Arial"/>
                <w:b/>
                <w:sz w:val="22"/>
                <w:lang w:val="en-GB"/>
              </w:rPr>
            </w:pPr>
            <w:r w:rsidRPr="00F73EDF">
              <w:rPr>
                <w:b/>
                <w:sz w:val="22"/>
              </w:rPr>
              <w:t>Options</w:t>
            </w:r>
          </w:p>
        </w:tc>
        <w:tc>
          <w:tcPr>
            <w:tcW w:w="4622" w:type="dxa"/>
          </w:tcPr>
          <w:p w:rsidR="00B604A3" w:rsidRPr="00F73EDF" w:rsidRDefault="00B604A3" w:rsidP="007D649F">
            <w:pPr>
              <w:pStyle w:val="TRNormal"/>
              <w:tabs>
                <w:tab w:val="left" w:pos="567"/>
              </w:tabs>
              <w:spacing w:after="60" w:line="240" w:lineRule="auto"/>
              <w:rPr>
                <w:rFonts w:ascii="Arial" w:hAnsi="Arial"/>
                <w:b/>
                <w:sz w:val="22"/>
                <w:lang w:val="en-GB"/>
              </w:rPr>
            </w:pPr>
            <w:r w:rsidRPr="00F73EDF">
              <w:rPr>
                <w:b/>
                <w:sz w:val="22"/>
              </w:rPr>
              <w:t>Analysis against the objective and criteria</w:t>
            </w:r>
          </w:p>
        </w:tc>
      </w:tr>
      <w:tr w:rsidR="00B604A3" w:rsidRPr="00F73EDF" w:rsidTr="007D649F">
        <w:tc>
          <w:tcPr>
            <w:tcW w:w="4621" w:type="dxa"/>
          </w:tcPr>
          <w:p w:rsidR="00B604A3" w:rsidRPr="00F73EDF" w:rsidRDefault="00B604A3" w:rsidP="007D649F">
            <w:pPr>
              <w:pStyle w:val="TRNormal"/>
              <w:tabs>
                <w:tab w:val="left" w:pos="567"/>
              </w:tabs>
              <w:spacing w:after="60" w:line="240" w:lineRule="auto"/>
              <w:rPr>
                <w:rFonts w:ascii="Arial" w:hAnsi="Arial"/>
                <w:sz w:val="22"/>
                <w:lang w:val="en-GB"/>
              </w:rPr>
            </w:pPr>
            <w:r w:rsidRPr="00F73EDF">
              <w:rPr>
                <w:sz w:val="22"/>
              </w:rPr>
              <w:t>Option 1 – Status quo</w:t>
            </w:r>
          </w:p>
        </w:tc>
        <w:tc>
          <w:tcPr>
            <w:tcW w:w="4622" w:type="dxa"/>
          </w:tcPr>
          <w:p w:rsidR="00B604A3" w:rsidRPr="00F73EDF" w:rsidRDefault="00B604A3" w:rsidP="007D649F">
            <w:pPr>
              <w:pStyle w:val="TRNormal"/>
              <w:tabs>
                <w:tab w:val="left" w:pos="567"/>
              </w:tabs>
              <w:spacing w:after="60" w:line="240" w:lineRule="auto"/>
              <w:rPr>
                <w:rFonts w:ascii="Arial" w:hAnsi="Arial"/>
                <w:sz w:val="22"/>
                <w:lang w:val="en-GB"/>
              </w:rPr>
            </w:pPr>
            <w:r w:rsidRPr="00F73EDF">
              <w:rPr>
                <w:sz w:val="22"/>
              </w:rPr>
              <w:t>Does not meet the main objective</w:t>
            </w:r>
          </w:p>
          <w:p w:rsidR="00D55D5A" w:rsidRPr="00F73EDF" w:rsidRDefault="00D55D5A" w:rsidP="007D649F">
            <w:pPr>
              <w:pStyle w:val="TRNormal"/>
              <w:tabs>
                <w:tab w:val="left" w:pos="567"/>
              </w:tabs>
              <w:spacing w:after="60" w:line="240" w:lineRule="auto"/>
              <w:rPr>
                <w:rFonts w:ascii="Arial" w:hAnsi="Arial"/>
                <w:sz w:val="22"/>
                <w:lang w:val="en-GB"/>
              </w:rPr>
            </w:pPr>
          </w:p>
        </w:tc>
      </w:tr>
      <w:tr w:rsidR="00B604A3" w:rsidRPr="00F73EDF" w:rsidTr="007D649F">
        <w:tc>
          <w:tcPr>
            <w:tcW w:w="4621" w:type="dxa"/>
          </w:tcPr>
          <w:p w:rsidR="00B604A3" w:rsidRPr="00F73EDF" w:rsidRDefault="00B604A3" w:rsidP="002126FF">
            <w:pPr>
              <w:pStyle w:val="TRNormal"/>
              <w:tabs>
                <w:tab w:val="left" w:pos="567"/>
              </w:tabs>
              <w:spacing w:after="60" w:line="240" w:lineRule="auto"/>
              <w:rPr>
                <w:rFonts w:ascii="Arial" w:hAnsi="Arial"/>
                <w:sz w:val="22"/>
                <w:lang w:val="en-GB"/>
              </w:rPr>
            </w:pPr>
            <w:r w:rsidRPr="00F73EDF">
              <w:rPr>
                <w:sz w:val="22"/>
              </w:rPr>
              <w:t xml:space="preserve">Option </w:t>
            </w:r>
            <w:r w:rsidR="002126FF">
              <w:rPr>
                <w:sz w:val="22"/>
              </w:rPr>
              <w:t>2</w:t>
            </w:r>
            <w:r w:rsidRPr="00F73EDF">
              <w:rPr>
                <w:sz w:val="22"/>
              </w:rPr>
              <w:t xml:space="preserve"> – </w:t>
            </w:r>
            <w:r w:rsidR="00D55D5A" w:rsidRPr="00F73EDF">
              <w:rPr>
                <w:sz w:val="22"/>
              </w:rPr>
              <w:t>Treat Lloyd’s syndicates as a single taxpayer</w:t>
            </w:r>
          </w:p>
        </w:tc>
        <w:tc>
          <w:tcPr>
            <w:tcW w:w="4622" w:type="dxa"/>
          </w:tcPr>
          <w:p w:rsidR="00B604A3" w:rsidRPr="00F73EDF" w:rsidRDefault="00B604A3" w:rsidP="007D649F">
            <w:pPr>
              <w:pStyle w:val="TRNormal"/>
              <w:tabs>
                <w:tab w:val="left" w:pos="567"/>
              </w:tabs>
              <w:spacing w:after="60" w:line="240" w:lineRule="auto"/>
              <w:rPr>
                <w:rFonts w:ascii="Arial" w:hAnsi="Arial"/>
                <w:sz w:val="22"/>
                <w:lang w:val="en-GB"/>
              </w:rPr>
            </w:pPr>
            <w:r w:rsidRPr="00F73EDF">
              <w:rPr>
                <w:sz w:val="22"/>
              </w:rPr>
              <w:t>Meets the main objective</w:t>
            </w:r>
            <w:r w:rsidR="003410A7">
              <w:rPr>
                <w:sz w:val="22"/>
              </w:rPr>
              <w:t xml:space="preserve"> in part</w:t>
            </w:r>
            <w:r w:rsidR="00387248" w:rsidRPr="00F73EDF">
              <w:rPr>
                <w:sz w:val="22"/>
              </w:rPr>
              <w:t>.</w:t>
            </w:r>
          </w:p>
          <w:p w:rsidR="00B604A3" w:rsidRPr="00F73EDF" w:rsidRDefault="00B604A3" w:rsidP="007D649F">
            <w:pPr>
              <w:pStyle w:val="TRNormal"/>
              <w:tabs>
                <w:tab w:val="left" w:pos="567"/>
              </w:tabs>
              <w:spacing w:after="60" w:line="240" w:lineRule="auto"/>
              <w:rPr>
                <w:rFonts w:ascii="Arial" w:hAnsi="Arial"/>
                <w:sz w:val="22"/>
                <w:lang w:val="en-GB"/>
              </w:rPr>
            </w:pPr>
          </w:p>
          <w:p w:rsidR="00B604A3" w:rsidRPr="00F73EDF" w:rsidRDefault="00115B1C" w:rsidP="007D649F">
            <w:pPr>
              <w:pStyle w:val="TRNormal"/>
              <w:tabs>
                <w:tab w:val="left" w:pos="567"/>
              </w:tabs>
              <w:spacing w:after="60" w:line="240" w:lineRule="auto"/>
              <w:rPr>
                <w:rFonts w:ascii="Arial" w:hAnsi="Arial"/>
                <w:sz w:val="22"/>
                <w:lang w:val="en-GB"/>
              </w:rPr>
            </w:pPr>
            <w:r w:rsidRPr="00F73EDF">
              <w:rPr>
                <w:sz w:val="22"/>
              </w:rPr>
              <w:t>Efficiency of compliance</w:t>
            </w:r>
            <w:r w:rsidR="00B604A3" w:rsidRPr="00F73EDF">
              <w:rPr>
                <w:sz w:val="22"/>
              </w:rPr>
              <w:t xml:space="preserve"> </w:t>
            </w:r>
            <w:r w:rsidR="00915BB1" w:rsidRPr="00F73EDF">
              <w:rPr>
                <w:rFonts w:ascii="Wingdings 2" w:eastAsiaTheme="minorHAnsi" w:hAnsi="Wingdings 2"/>
                <w:szCs w:val="24"/>
                <w:lang w:eastAsia="en-US"/>
              </w:rPr>
              <w:t></w:t>
            </w:r>
          </w:p>
          <w:p w:rsidR="00B604A3" w:rsidRPr="00F73EDF" w:rsidRDefault="00115B1C" w:rsidP="007D649F">
            <w:pPr>
              <w:pStyle w:val="TRNormal"/>
              <w:tabs>
                <w:tab w:val="left" w:pos="567"/>
              </w:tabs>
              <w:spacing w:after="60" w:line="240" w:lineRule="auto"/>
              <w:rPr>
                <w:rFonts w:ascii="Wingdings 2" w:eastAsiaTheme="minorHAnsi" w:hAnsi="Wingdings 2"/>
                <w:szCs w:val="24"/>
                <w:lang w:val="en-GB" w:eastAsia="en-US"/>
              </w:rPr>
            </w:pPr>
            <w:r w:rsidRPr="00F73EDF">
              <w:rPr>
                <w:sz w:val="22"/>
              </w:rPr>
              <w:t>Efficiency of administration</w:t>
            </w:r>
            <w:r w:rsidR="00B604A3" w:rsidRPr="00F73EDF">
              <w:rPr>
                <w:sz w:val="22"/>
              </w:rPr>
              <w:t xml:space="preserve"> </w:t>
            </w:r>
            <w:r w:rsidR="00F36D53" w:rsidRPr="00F73EDF">
              <w:rPr>
                <w:rFonts w:ascii="Wingdings 2" w:eastAsiaTheme="minorHAnsi" w:hAnsi="Wingdings 2"/>
                <w:szCs w:val="24"/>
                <w:lang w:eastAsia="en-US"/>
              </w:rPr>
              <w:t></w:t>
            </w:r>
          </w:p>
          <w:p w:rsidR="00B604A3" w:rsidRPr="00F73EDF" w:rsidRDefault="00115B1C" w:rsidP="007D649F">
            <w:pPr>
              <w:pStyle w:val="TRNormal"/>
              <w:tabs>
                <w:tab w:val="left" w:pos="567"/>
              </w:tabs>
              <w:spacing w:after="60" w:line="240" w:lineRule="auto"/>
              <w:rPr>
                <w:rFonts w:ascii="Wingdings 2" w:hAnsi="Wingdings 2"/>
                <w:sz w:val="22"/>
                <w:szCs w:val="24"/>
                <w:lang w:val="en-GB"/>
              </w:rPr>
            </w:pPr>
            <w:r w:rsidRPr="00F73EDF">
              <w:rPr>
                <w:sz w:val="22"/>
              </w:rPr>
              <w:t>Sustainable</w:t>
            </w:r>
            <w:r w:rsidR="00B604A3" w:rsidRPr="00F73EDF">
              <w:rPr>
                <w:sz w:val="22"/>
              </w:rPr>
              <w:t xml:space="preserve"> </w:t>
            </w:r>
            <w:r w:rsidR="00EE6664" w:rsidRPr="00F73EDF">
              <w:rPr>
                <w:rFonts w:ascii="Wingdings 2" w:eastAsiaTheme="minorHAnsi" w:hAnsi="Wingdings 2"/>
                <w:szCs w:val="24"/>
                <w:lang w:eastAsia="en-US"/>
              </w:rPr>
              <w:t></w:t>
            </w:r>
          </w:p>
        </w:tc>
      </w:tr>
      <w:tr w:rsidR="00B604A3" w:rsidRPr="00F73EDF" w:rsidTr="007D649F">
        <w:tc>
          <w:tcPr>
            <w:tcW w:w="4621" w:type="dxa"/>
          </w:tcPr>
          <w:p w:rsidR="00B604A3" w:rsidRPr="00F73EDF" w:rsidRDefault="00B604A3" w:rsidP="002126FF">
            <w:pPr>
              <w:pStyle w:val="TRNormal"/>
              <w:tabs>
                <w:tab w:val="left" w:pos="567"/>
              </w:tabs>
              <w:spacing w:after="60" w:line="240" w:lineRule="auto"/>
              <w:rPr>
                <w:rFonts w:ascii="Arial" w:hAnsi="Arial"/>
                <w:sz w:val="22"/>
                <w:lang w:val="en-GB"/>
              </w:rPr>
            </w:pPr>
            <w:r w:rsidRPr="00F73EDF">
              <w:rPr>
                <w:sz w:val="22"/>
              </w:rPr>
              <w:t xml:space="preserve">Option </w:t>
            </w:r>
            <w:r w:rsidR="002126FF">
              <w:rPr>
                <w:sz w:val="22"/>
              </w:rPr>
              <w:t>3</w:t>
            </w:r>
            <w:r w:rsidRPr="00F73EDF">
              <w:rPr>
                <w:sz w:val="22"/>
              </w:rPr>
              <w:t xml:space="preserve"> –</w:t>
            </w:r>
            <w:r w:rsidR="00D55D5A" w:rsidRPr="00F73EDF">
              <w:rPr>
                <w:sz w:val="22"/>
              </w:rPr>
              <w:t xml:space="preserve"> special presumptive rule</w:t>
            </w:r>
          </w:p>
        </w:tc>
        <w:tc>
          <w:tcPr>
            <w:tcW w:w="4622" w:type="dxa"/>
          </w:tcPr>
          <w:p w:rsidR="00B604A3" w:rsidRPr="00F73EDF" w:rsidRDefault="00B604A3" w:rsidP="007D649F">
            <w:pPr>
              <w:pStyle w:val="TRNormal"/>
              <w:tabs>
                <w:tab w:val="left" w:pos="567"/>
              </w:tabs>
              <w:spacing w:after="60" w:line="240" w:lineRule="auto"/>
              <w:rPr>
                <w:rFonts w:ascii="Arial" w:hAnsi="Arial"/>
                <w:sz w:val="22"/>
                <w:lang w:val="en-GB"/>
              </w:rPr>
            </w:pPr>
            <w:r w:rsidRPr="00F73EDF">
              <w:rPr>
                <w:sz w:val="22"/>
              </w:rPr>
              <w:t>Meets the main objective</w:t>
            </w:r>
          </w:p>
          <w:p w:rsidR="00B604A3" w:rsidRPr="00F73EDF" w:rsidRDefault="00B604A3" w:rsidP="007D649F">
            <w:pPr>
              <w:pStyle w:val="TRNormal"/>
              <w:tabs>
                <w:tab w:val="left" w:pos="567"/>
              </w:tabs>
              <w:spacing w:after="60" w:line="240" w:lineRule="auto"/>
              <w:rPr>
                <w:rFonts w:ascii="Arial" w:hAnsi="Arial"/>
                <w:sz w:val="22"/>
                <w:lang w:val="en-GB"/>
              </w:rPr>
            </w:pPr>
          </w:p>
          <w:p w:rsidR="00B604A3" w:rsidRPr="00F73EDF" w:rsidRDefault="00115B1C" w:rsidP="007D649F">
            <w:pPr>
              <w:pStyle w:val="TRNormal"/>
              <w:tabs>
                <w:tab w:val="left" w:pos="567"/>
              </w:tabs>
              <w:spacing w:after="60" w:line="240" w:lineRule="auto"/>
              <w:rPr>
                <w:rFonts w:ascii="Arial" w:hAnsi="Arial"/>
                <w:sz w:val="22"/>
                <w:lang w:val="en-GB"/>
              </w:rPr>
            </w:pPr>
            <w:r w:rsidRPr="00F73EDF">
              <w:rPr>
                <w:sz w:val="22"/>
              </w:rPr>
              <w:t>Efficiency of compliance</w:t>
            </w:r>
            <w:r w:rsidR="00B604A3" w:rsidRPr="00F73EDF">
              <w:rPr>
                <w:sz w:val="22"/>
              </w:rPr>
              <w:t xml:space="preserve"> </w:t>
            </w:r>
            <w:r w:rsidR="00B604A3" w:rsidRPr="00F73EDF">
              <w:rPr>
                <w:rFonts w:ascii="Wingdings 2" w:eastAsiaTheme="minorHAnsi" w:hAnsi="Wingdings 2"/>
                <w:szCs w:val="24"/>
                <w:lang w:eastAsia="en-US"/>
              </w:rPr>
              <w:t></w:t>
            </w:r>
            <w:r w:rsidR="00192B2D" w:rsidRPr="00F73EDF">
              <w:rPr>
                <w:rFonts w:ascii="Wingdings 2" w:eastAsiaTheme="minorHAnsi" w:hAnsi="Wingdings 2"/>
                <w:szCs w:val="24"/>
                <w:lang w:eastAsia="en-US"/>
              </w:rPr>
              <w:t></w:t>
            </w:r>
          </w:p>
          <w:p w:rsidR="00B604A3" w:rsidRPr="00F73EDF" w:rsidRDefault="00115B1C" w:rsidP="007D649F">
            <w:pPr>
              <w:pStyle w:val="TRNormal"/>
              <w:tabs>
                <w:tab w:val="left" w:pos="567"/>
              </w:tabs>
              <w:spacing w:after="60" w:line="240" w:lineRule="auto"/>
              <w:rPr>
                <w:rFonts w:ascii="Wingdings 2" w:eastAsiaTheme="minorHAnsi" w:hAnsi="Wingdings 2"/>
                <w:szCs w:val="24"/>
                <w:lang w:val="en-GB" w:eastAsia="en-US"/>
              </w:rPr>
            </w:pPr>
            <w:r w:rsidRPr="00F73EDF">
              <w:rPr>
                <w:sz w:val="22"/>
              </w:rPr>
              <w:t>Efficiency of administration</w:t>
            </w:r>
            <w:r w:rsidR="00B604A3" w:rsidRPr="00F73EDF">
              <w:rPr>
                <w:sz w:val="22"/>
              </w:rPr>
              <w:t xml:space="preserve"> </w:t>
            </w:r>
            <w:r w:rsidR="00B604A3" w:rsidRPr="00F73EDF">
              <w:rPr>
                <w:rFonts w:ascii="Wingdings 2" w:eastAsiaTheme="minorHAnsi" w:hAnsi="Wingdings 2"/>
                <w:szCs w:val="24"/>
                <w:lang w:eastAsia="en-US"/>
              </w:rPr>
              <w:t></w:t>
            </w:r>
            <w:r w:rsidR="00192B2D" w:rsidRPr="00F73EDF">
              <w:rPr>
                <w:rFonts w:ascii="Wingdings 2" w:eastAsiaTheme="minorHAnsi" w:hAnsi="Wingdings 2"/>
                <w:szCs w:val="24"/>
                <w:lang w:eastAsia="en-US"/>
              </w:rPr>
              <w:t></w:t>
            </w:r>
          </w:p>
          <w:p w:rsidR="00B604A3" w:rsidRPr="00F73EDF" w:rsidRDefault="00115B1C" w:rsidP="000D4F67">
            <w:pPr>
              <w:pStyle w:val="TRNormal"/>
              <w:tabs>
                <w:tab w:val="left" w:pos="567"/>
              </w:tabs>
              <w:spacing w:after="60" w:line="240" w:lineRule="auto"/>
              <w:rPr>
                <w:rFonts w:ascii="Arial" w:hAnsi="Arial"/>
                <w:sz w:val="22"/>
                <w:lang w:val="en-GB"/>
              </w:rPr>
            </w:pPr>
            <w:r w:rsidRPr="00F73EDF">
              <w:rPr>
                <w:sz w:val="22"/>
              </w:rPr>
              <w:t xml:space="preserve">Sustainable </w:t>
            </w:r>
            <w:r w:rsidR="00B604A3" w:rsidRPr="00F73EDF">
              <w:rPr>
                <w:sz w:val="22"/>
              </w:rPr>
              <w:t xml:space="preserve"> </w:t>
            </w:r>
            <w:r w:rsidR="00EE6664" w:rsidRPr="00F73EDF">
              <w:rPr>
                <w:rFonts w:ascii="Wingdings 2" w:eastAsiaTheme="minorHAnsi" w:hAnsi="Wingdings 2"/>
                <w:szCs w:val="24"/>
                <w:lang w:eastAsia="en-US"/>
              </w:rPr>
              <w:t></w:t>
            </w:r>
          </w:p>
        </w:tc>
      </w:tr>
    </w:tbl>
    <w:p w:rsidR="00B604A3" w:rsidRPr="00F73EDF" w:rsidRDefault="00B604A3" w:rsidP="00B604A3">
      <w:pPr>
        <w:pStyle w:val="Bullet-list"/>
        <w:spacing w:after="0" w:line="240" w:lineRule="auto"/>
        <w:ind w:left="0" w:firstLine="0"/>
        <w:rPr>
          <w:rFonts w:ascii="Times New Roman" w:hAnsi="Times New Roman"/>
          <w:sz w:val="24"/>
          <w:szCs w:val="24"/>
        </w:rPr>
      </w:pPr>
    </w:p>
    <w:p w:rsidR="0069351B" w:rsidRPr="00F73EDF" w:rsidRDefault="0069351B" w:rsidP="000D4F67">
      <w:pPr>
        <w:pStyle w:val="Bullet-list"/>
        <w:spacing w:after="0" w:line="300" w:lineRule="atLeast"/>
        <w:ind w:left="0" w:firstLine="0"/>
        <w:jc w:val="both"/>
        <w:rPr>
          <w:rFonts w:ascii="Times New Roman" w:hAnsi="Times New Roman"/>
          <w:sz w:val="24"/>
          <w:szCs w:val="24"/>
        </w:rPr>
      </w:pPr>
      <w:r w:rsidRPr="00F73EDF">
        <w:rPr>
          <w:rFonts w:ascii="Times New Roman" w:hAnsi="Times New Roman"/>
          <w:sz w:val="24"/>
          <w:szCs w:val="24"/>
        </w:rPr>
        <w:fldChar w:fldCharType="begin"/>
      </w:r>
      <w:r w:rsidRPr="00F73EDF">
        <w:rPr>
          <w:rFonts w:ascii="Times New Roman" w:hAnsi="Times New Roman"/>
          <w:sz w:val="24"/>
          <w:szCs w:val="24"/>
        </w:rPr>
        <w:instrText xml:space="preserve"> AUTONUM  \* Arabic \s .  </w:instrText>
      </w:r>
      <w:r w:rsidRPr="00F73EDF">
        <w:rPr>
          <w:rFonts w:ascii="Times New Roman" w:hAnsi="Times New Roman"/>
          <w:sz w:val="24"/>
          <w:szCs w:val="24"/>
        </w:rPr>
        <w:fldChar w:fldCharType="end"/>
      </w:r>
      <w:r w:rsidRPr="00F73EDF">
        <w:rPr>
          <w:rFonts w:ascii="Times New Roman" w:hAnsi="Times New Roman"/>
          <w:sz w:val="24"/>
          <w:szCs w:val="24"/>
        </w:rPr>
        <w:tab/>
      </w:r>
      <w:r w:rsidR="00EA7BD6" w:rsidRPr="00F73EDF">
        <w:rPr>
          <w:rFonts w:ascii="Times New Roman" w:hAnsi="Times New Roman"/>
          <w:sz w:val="24"/>
          <w:szCs w:val="24"/>
        </w:rPr>
        <w:t>I</w:t>
      </w:r>
      <w:r w:rsidRPr="00F73EDF">
        <w:rPr>
          <w:rFonts w:ascii="Times New Roman" w:hAnsi="Times New Roman"/>
          <w:sz w:val="24"/>
          <w:szCs w:val="24"/>
        </w:rPr>
        <w:t xml:space="preserve">nland Revenue </w:t>
      </w:r>
      <w:r w:rsidR="00EA7BD6" w:rsidRPr="00F73EDF">
        <w:rPr>
          <w:rFonts w:ascii="Times New Roman" w:hAnsi="Times New Roman"/>
          <w:sz w:val="24"/>
          <w:szCs w:val="24"/>
        </w:rPr>
        <w:t>supports</w:t>
      </w:r>
      <w:r w:rsidRPr="00F73EDF">
        <w:rPr>
          <w:rFonts w:ascii="Times New Roman" w:hAnsi="Times New Roman"/>
          <w:sz w:val="24"/>
          <w:szCs w:val="24"/>
        </w:rPr>
        <w:t xml:space="preserve"> option </w:t>
      </w:r>
      <w:r w:rsidR="002126FF">
        <w:rPr>
          <w:rFonts w:ascii="Times New Roman" w:hAnsi="Times New Roman"/>
          <w:sz w:val="24"/>
          <w:szCs w:val="24"/>
        </w:rPr>
        <w:t>3</w:t>
      </w:r>
      <w:r w:rsidRPr="00F73EDF">
        <w:rPr>
          <w:rFonts w:ascii="Times New Roman" w:hAnsi="Times New Roman"/>
          <w:sz w:val="24"/>
          <w:szCs w:val="24"/>
        </w:rPr>
        <w:t xml:space="preserve">.  </w:t>
      </w:r>
      <w:r w:rsidR="00EA7BD6" w:rsidRPr="00F73EDF">
        <w:rPr>
          <w:rFonts w:ascii="Times New Roman" w:hAnsi="Times New Roman"/>
          <w:sz w:val="24"/>
          <w:szCs w:val="24"/>
        </w:rPr>
        <w:t xml:space="preserve">This is because </w:t>
      </w:r>
      <w:r w:rsidR="00366424" w:rsidRPr="00F73EDF">
        <w:rPr>
          <w:rFonts w:ascii="Times New Roman" w:hAnsi="Times New Roman"/>
          <w:sz w:val="24"/>
          <w:szCs w:val="24"/>
        </w:rPr>
        <w:t xml:space="preserve">out of all the options, </w:t>
      </w:r>
      <w:r w:rsidR="00EA7BD6" w:rsidRPr="00F73EDF">
        <w:rPr>
          <w:rFonts w:ascii="Times New Roman" w:hAnsi="Times New Roman"/>
          <w:sz w:val="24"/>
          <w:szCs w:val="24"/>
        </w:rPr>
        <w:t xml:space="preserve">it represents the greatest improvement </w:t>
      </w:r>
      <w:r w:rsidR="00366424" w:rsidRPr="00F73EDF">
        <w:rPr>
          <w:rFonts w:ascii="Times New Roman" w:hAnsi="Times New Roman"/>
          <w:sz w:val="24"/>
          <w:szCs w:val="24"/>
        </w:rPr>
        <w:t xml:space="preserve">over the status quo. </w:t>
      </w:r>
    </w:p>
    <w:p w:rsidR="00A23039" w:rsidRPr="00F73EDF" w:rsidRDefault="00A23039" w:rsidP="000D4F67">
      <w:pPr>
        <w:pStyle w:val="spacer"/>
        <w:spacing w:line="300" w:lineRule="atLeast"/>
        <w:jc w:val="both"/>
        <w:rPr>
          <w:rFonts w:ascii="Times New Roman" w:hAnsi="Times New Roman"/>
          <w:sz w:val="24"/>
          <w:szCs w:val="24"/>
          <w:lang w:val="en-AU"/>
        </w:rPr>
      </w:pPr>
    </w:p>
    <w:p w:rsidR="00C965D3" w:rsidRPr="00F73EDF" w:rsidRDefault="00C965D3" w:rsidP="000D4F67">
      <w:pPr>
        <w:pStyle w:val="TRListBullet"/>
        <w:numPr>
          <w:ilvl w:val="0"/>
          <w:numId w:val="0"/>
        </w:numPr>
        <w:spacing w:after="0"/>
      </w:pPr>
      <w:r w:rsidRPr="00F73EDF">
        <w:fldChar w:fldCharType="begin"/>
      </w:r>
      <w:r w:rsidRPr="00F73EDF">
        <w:instrText xml:space="preserve"> AUTONUM  \* Arabic \s .  </w:instrText>
      </w:r>
      <w:r w:rsidRPr="00F73EDF">
        <w:fldChar w:fldCharType="end"/>
      </w:r>
      <w:r w:rsidRPr="00F73EDF">
        <w:tab/>
        <w:t xml:space="preserve">Option </w:t>
      </w:r>
      <w:r w:rsidR="002126FF">
        <w:t>3</w:t>
      </w:r>
      <w:r w:rsidRPr="00F73EDF">
        <w:t xml:space="preserve"> may not be fiscally neutral when contrasted against </w:t>
      </w:r>
      <w:r w:rsidR="000F1E59">
        <w:t xml:space="preserve">the </w:t>
      </w:r>
      <w:r w:rsidR="0066777C">
        <w:t>status quo or option 2</w:t>
      </w:r>
      <w:r w:rsidRPr="00F73EDF">
        <w:t xml:space="preserve">.  It is possible that option </w:t>
      </w:r>
      <w:r w:rsidR="002126FF">
        <w:t>3</w:t>
      </w:r>
      <w:r w:rsidRPr="00F73EDF">
        <w:t xml:space="preserve"> could over or underestimate the amount tax that would be payable</w:t>
      </w:r>
      <w:r w:rsidR="004258FD" w:rsidRPr="00F73EDF">
        <w:t xml:space="preserve">.  </w:t>
      </w:r>
      <w:r w:rsidR="007357E2" w:rsidRPr="00F73EDF">
        <w:t xml:space="preserve">This is a trade-off for the expected compliance and administration cost savings </w:t>
      </w:r>
      <w:r w:rsidR="00C767DC" w:rsidRPr="00F73EDF">
        <w:t>that</w:t>
      </w:r>
      <w:r w:rsidR="007357E2" w:rsidRPr="00F73EDF">
        <w:t xml:space="preserve"> do not arise under the other options.  </w:t>
      </w:r>
    </w:p>
    <w:p w:rsidR="000545DC" w:rsidRPr="00F73EDF" w:rsidRDefault="00D943DD" w:rsidP="008E62A7">
      <w:pPr>
        <w:pStyle w:val="RISheading"/>
        <w:jc w:val="both"/>
        <w:rPr>
          <w:spacing w:val="0"/>
          <w:w w:val="100"/>
        </w:rPr>
      </w:pPr>
      <w:r w:rsidRPr="00F73EDF">
        <w:rPr>
          <w:spacing w:val="0"/>
          <w:w w:val="100"/>
        </w:rPr>
        <w:t>IMPLEMENTATION</w:t>
      </w:r>
      <w:bookmarkEnd w:id="33"/>
      <w:bookmarkEnd w:id="34"/>
      <w:bookmarkEnd w:id="35"/>
      <w:bookmarkEnd w:id="36"/>
      <w:bookmarkEnd w:id="37"/>
      <w:r w:rsidRPr="00F73EDF">
        <w:rPr>
          <w:spacing w:val="0"/>
          <w:w w:val="100"/>
        </w:rPr>
        <w:t xml:space="preserve"> </w:t>
      </w:r>
    </w:p>
    <w:bookmarkStart w:id="38" w:name="_Toc244580369"/>
    <w:bookmarkStart w:id="39" w:name="_Toc244587045"/>
    <w:bookmarkStart w:id="40" w:name="_Toc244857279"/>
    <w:bookmarkStart w:id="41" w:name="_Toc244912544"/>
    <w:bookmarkStart w:id="42" w:name="_Toc244917001"/>
    <w:p w:rsidR="00D943DD" w:rsidRPr="00F73EDF" w:rsidRDefault="003867C9" w:rsidP="004C47CF">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t xml:space="preserve">Legislative change to the Income Tax Act </w:t>
      </w:r>
      <w:r w:rsidR="008F7B9C" w:rsidRPr="00F73EDF">
        <w:rPr>
          <w:rFonts w:ascii="Times New Roman" w:hAnsi="Times New Roman"/>
          <w:sz w:val="24"/>
          <w:szCs w:val="24"/>
          <w:lang w:val="en-AU"/>
        </w:rPr>
        <w:t>and possibly the Tax Administration Act are</w:t>
      </w:r>
      <w:r w:rsidRPr="00F73EDF">
        <w:rPr>
          <w:rFonts w:ascii="Times New Roman" w:hAnsi="Times New Roman"/>
          <w:sz w:val="24"/>
          <w:szCs w:val="24"/>
          <w:lang w:val="en-AU"/>
        </w:rPr>
        <w:t xml:space="preserve"> necessary to implement option </w:t>
      </w:r>
      <w:r w:rsidR="002126FF">
        <w:rPr>
          <w:rFonts w:ascii="Times New Roman" w:hAnsi="Times New Roman"/>
          <w:sz w:val="24"/>
          <w:szCs w:val="24"/>
          <w:lang w:val="en-AU"/>
        </w:rPr>
        <w:t>3</w:t>
      </w:r>
      <w:r w:rsidRPr="00F73EDF">
        <w:rPr>
          <w:rFonts w:ascii="Times New Roman" w:hAnsi="Times New Roman"/>
          <w:sz w:val="24"/>
          <w:szCs w:val="24"/>
          <w:lang w:val="en-AU"/>
        </w:rPr>
        <w:t xml:space="preserve">.  </w:t>
      </w:r>
      <w:r w:rsidR="002A78AA" w:rsidRPr="00F73EDF">
        <w:rPr>
          <w:rFonts w:ascii="Times New Roman" w:hAnsi="Times New Roman"/>
          <w:sz w:val="24"/>
          <w:szCs w:val="24"/>
          <w:lang w:val="en-AU"/>
        </w:rPr>
        <w:t xml:space="preserve">These amendments would be included in the first omnibus taxation bill for 2017.  </w:t>
      </w:r>
    </w:p>
    <w:p w:rsidR="00723F63" w:rsidRPr="00F73EDF" w:rsidRDefault="00723F63" w:rsidP="004C47CF">
      <w:pPr>
        <w:pStyle w:val="spacer"/>
        <w:spacing w:line="300" w:lineRule="atLeast"/>
        <w:jc w:val="both"/>
        <w:rPr>
          <w:rFonts w:ascii="Times New Roman" w:hAnsi="Times New Roman"/>
          <w:sz w:val="24"/>
          <w:szCs w:val="24"/>
          <w:lang w:val="en-AU"/>
        </w:rPr>
      </w:pPr>
    </w:p>
    <w:p w:rsidR="00723F63" w:rsidRPr="00F73EDF" w:rsidRDefault="00723F63" w:rsidP="004C47CF">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r>
      <w:r w:rsidR="009A0148" w:rsidRPr="00F73EDF">
        <w:rPr>
          <w:rFonts w:ascii="Times New Roman" w:hAnsi="Times New Roman"/>
          <w:sz w:val="24"/>
          <w:szCs w:val="24"/>
          <w:lang w:val="en-AU"/>
        </w:rPr>
        <w:t xml:space="preserve">The changes would apply </w:t>
      </w:r>
      <w:r w:rsidR="00A36596" w:rsidRPr="00F73EDF">
        <w:rPr>
          <w:rFonts w:ascii="Times New Roman" w:hAnsi="Times New Roman"/>
          <w:sz w:val="24"/>
          <w:szCs w:val="24"/>
          <w:lang w:val="en-AU"/>
        </w:rPr>
        <w:t>to term-life insurance sold by Lloyd’s syndicates on and after 1 April 2017</w:t>
      </w:r>
      <w:r w:rsidR="009A0148" w:rsidRPr="00F73EDF">
        <w:rPr>
          <w:rFonts w:ascii="Times New Roman" w:hAnsi="Times New Roman"/>
          <w:sz w:val="24"/>
          <w:szCs w:val="24"/>
          <w:lang w:val="en-AU"/>
        </w:rPr>
        <w:t xml:space="preserve"> to align with Lloyd’s proposed entry into the New Zealand life insurance market.  </w:t>
      </w:r>
    </w:p>
    <w:p w:rsidR="009A0148" w:rsidRPr="00F73EDF" w:rsidRDefault="009A0148" w:rsidP="004C47CF">
      <w:pPr>
        <w:pStyle w:val="spacer"/>
        <w:spacing w:line="300" w:lineRule="atLeast"/>
        <w:jc w:val="both"/>
        <w:rPr>
          <w:rFonts w:ascii="Times New Roman" w:hAnsi="Times New Roman"/>
          <w:sz w:val="24"/>
          <w:szCs w:val="24"/>
          <w:lang w:val="en-AU"/>
        </w:rPr>
      </w:pPr>
    </w:p>
    <w:p w:rsidR="009A0148" w:rsidRPr="00F73EDF" w:rsidRDefault="009A0148" w:rsidP="004C47CF">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t>When</w:t>
      </w:r>
      <w:r w:rsidR="00C767DC" w:rsidRPr="00F73EDF">
        <w:rPr>
          <w:rFonts w:ascii="Times New Roman" w:hAnsi="Times New Roman"/>
          <w:sz w:val="24"/>
          <w:szCs w:val="24"/>
          <w:lang w:val="en-AU"/>
        </w:rPr>
        <w:t xml:space="preserve"> introduced into Parliament, a </w:t>
      </w:r>
      <w:r w:rsidR="00C767DC" w:rsidRPr="00F73EDF">
        <w:rPr>
          <w:rFonts w:ascii="Times New Roman" w:hAnsi="Times New Roman"/>
          <w:i/>
          <w:sz w:val="24"/>
          <w:szCs w:val="24"/>
          <w:lang w:val="en-AU"/>
        </w:rPr>
        <w:t>C</w:t>
      </w:r>
      <w:r w:rsidRPr="00F73EDF">
        <w:rPr>
          <w:rFonts w:ascii="Times New Roman" w:hAnsi="Times New Roman"/>
          <w:i/>
          <w:sz w:val="24"/>
          <w:szCs w:val="24"/>
          <w:lang w:val="en-AU"/>
        </w:rPr>
        <w:t>ommentary</w:t>
      </w:r>
      <w:r w:rsidRPr="00F73EDF">
        <w:rPr>
          <w:rFonts w:ascii="Times New Roman" w:hAnsi="Times New Roman"/>
          <w:sz w:val="24"/>
          <w:szCs w:val="24"/>
          <w:lang w:val="en-AU"/>
        </w:rPr>
        <w:t xml:space="preserve"> on the bill will be released explaining the amendments</w:t>
      </w:r>
      <w:r w:rsidR="00C767DC" w:rsidRPr="00F73EDF">
        <w:rPr>
          <w:rFonts w:ascii="Times New Roman" w:hAnsi="Times New Roman"/>
          <w:sz w:val="24"/>
          <w:szCs w:val="24"/>
          <w:lang w:val="en-AU"/>
        </w:rPr>
        <w:t xml:space="preserve">. </w:t>
      </w:r>
      <w:r w:rsidRPr="00F73EDF">
        <w:rPr>
          <w:rFonts w:ascii="Times New Roman" w:hAnsi="Times New Roman"/>
          <w:sz w:val="24"/>
          <w:szCs w:val="24"/>
          <w:lang w:val="en-AU"/>
        </w:rPr>
        <w:t xml:space="preserve"> </w:t>
      </w:r>
      <w:r w:rsidR="00C767DC" w:rsidRPr="00F73EDF">
        <w:rPr>
          <w:rFonts w:ascii="Times New Roman" w:hAnsi="Times New Roman"/>
          <w:sz w:val="24"/>
          <w:szCs w:val="24"/>
          <w:lang w:val="en-AU"/>
        </w:rPr>
        <w:t>F</w:t>
      </w:r>
      <w:r w:rsidRPr="00F73EDF">
        <w:rPr>
          <w:rFonts w:ascii="Times New Roman" w:hAnsi="Times New Roman"/>
          <w:sz w:val="24"/>
          <w:szCs w:val="24"/>
          <w:lang w:val="en-AU"/>
        </w:rPr>
        <w:t xml:space="preserve">urther explanation about their effect will be contained in Inland Revenue’s </w:t>
      </w:r>
      <w:r w:rsidRPr="00F73EDF">
        <w:rPr>
          <w:rFonts w:ascii="Times New Roman" w:hAnsi="Times New Roman"/>
          <w:i/>
          <w:sz w:val="24"/>
          <w:szCs w:val="24"/>
          <w:lang w:val="en-AU"/>
        </w:rPr>
        <w:t>Tax Information Bulletin</w:t>
      </w:r>
      <w:r w:rsidRPr="00F73EDF">
        <w:rPr>
          <w:rFonts w:ascii="Times New Roman" w:hAnsi="Times New Roman"/>
          <w:sz w:val="24"/>
          <w:szCs w:val="24"/>
          <w:lang w:val="en-AU"/>
        </w:rPr>
        <w:t xml:space="preserve"> series, which would be released shortly after the bill receives Royal assent.</w:t>
      </w:r>
    </w:p>
    <w:p w:rsidR="009A0148" w:rsidRPr="00F73EDF" w:rsidRDefault="009A0148" w:rsidP="004C47CF">
      <w:pPr>
        <w:pStyle w:val="spacer"/>
        <w:spacing w:line="300" w:lineRule="atLeast"/>
        <w:jc w:val="both"/>
        <w:rPr>
          <w:rFonts w:ascii="Times New Roman" w:hAnsi="Times New Roman"/>
          <w:sz w:val="24"/>
          <w:szCs w:val="24"/>
          <w:lang w:val="en-AU"/>
        </w:rPr>
      </w:pPr>
    </w:p>
    <w:p w:rsidR="00CD08C7" w:rsidRPr="00F73EDF" w:rsidRDefault="00CD08C7" w:rsidP="00855921">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t xml:space="preserve">Inland Revenue </w:t>
      </w:r>
      <w:r w:rsidR="00C767DC" w:rsidRPr="00F73EDF">
        <w:rPr>
          <w:rFonts w:ascii="Times New Roman" w:hAnsi="Times New Roman"/>
          <w:sz w:val="24"/>
          <w:szCs w:val="24"/>
          <w:lang w:val="en-AU"/>
        </w:rPr>
        <w:t>would</w:t>
      </w:r>
      <w:r w:rsidRPr="00F73EDF">
        <w:rPr>
          <w:rFonts w:ascii="Times New Roman" w:hAnsi="Times New Roman"/>
          <w:sz w:val="24"/>
          <w:szCs w:val="24"/>
          <w:lang w:val="en-AU"/>
        </w:rPr>
        <w:t xml:space="preserve"> administer the proposed </w:t>
      </w:r>
      <w:r w:rsidR="00D87EF8" w:rsidRPr="00F73EDF">
        <w:rPr>
          <w:rFonts w:ascii="Times New Roman" w:hAnsi="Times New Roman"/>
          <w:sz w:val="24"/>
          <w:szCs w:val="24"/>
          <w:lang w:val="en-AU"/>
        </w:rPr>
        <w:t xml:space="preserve">legislative </w:t>
      </w:r>
      <w:r w:rsidRPr="00F73EDF">
        <w:rPr>
          <w:rFonts w:ascii="Times New Roman" w:hAnsi="Times New Roman"/>
          <w:sz w:val="24"/>
          <w:szCs w:val="24"/>
          <w:lang w:val="en-AU"/>
        </w:rPr>
        <w:t xml:space="preserve">changes.  Enforcement of the changes would be managed by Inland Revenue as business as usual.  </w:t>
      </w:r>
    </w:p>
    <w:p w:rsidR="003D04FC" w:rsidRPr="00F73EDF" w:rsidRDefault="003D04FC" w:rsidP="00900343">
      <w:pPr>
        <w:pStyle w:val="spacer"/>
        <w:spacing w:line="300" w:lineRule="atLeast"/>
        <w:jc w:val="both"/>
        <w:rPr>
          <w:rFonts w:ascii="Times New Roman" w:hAnsi="Times New Roman"/>
          <w:sz w:val="24"/>
          <w:szCs w:val="24"/>
          <w:lang w:val="en-AU"/>
        </w:rPr>
      </w:pPr>
    </w:p>
    <w:p w:rsidR="003D04FC" w:rsidRPr="00F73EDF" w:rsidRDefault="003D04FC" w:rsidP="00900343">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r>
      <w:r w:rsidR="00D87EF8" w:rsidRPr="00F73EDF">
        <w:rPr>
          <w:rFonts w:ascii="Times New Roman" w:hAnsi="Times New Roman"/>
          <w:sz w:val="24"/>
          <w:szCs w:val="24"/>
          <w:lang w:val="en-AU"/>
        </w:rPr>
        <w:t>The proposed change</w:t>
      </w:r>
      <w:r w:rsidR="004F51D5" w:rsidRPr="00F73EDF">
        <w:rPr>
          <w:rFonts w:ascii="Times New Roman" w:hAnsi="Times New Roman"/>
          <w:sz w:val="24"/>
          <w:szCs w:val="24"/>
          <w:lang w:val="en-AU"/>
        </w:rPr>
        <w:t xml:space="preserve"> </w:t>
      </w:r>
      <w:r w:rsidRPr="00F73EDF">
        <w:rPr>
          <w:rFonts w:ascii="Times New Roman" w:hAnsi="Times New Roman"/>
          <w:sz w:val="24"/>
          <w:szCs w:val="24"/>
          <w:lang w:val="en-AU"/>
        </w:rPr>
        <w:t>align</w:t>
      </w:r>
      <w:r w:rsidR="004F51D5" w:rsidRPr="00F73EDF">
        <w:rPr>
          <w:rFonts w:ascii="Times New Roman" w:hAnsi="Times New Roman"/>
          <w:sz w:val="24"/>
          <w:szCs w:val="24"/>
          <w:lang w:val="en-AU"/>
        </w:rPr>
        <w:t>s</w:t>
      </w:r>
      <w:r w:rsidRPr="00F73EDF">
        <w:rPr>
          <w:rFonts w:ascii="Times New Roman" w:hAnsi="Times New Roman"/>
          <w:sz w:val="24"/>
          <w:szCs w:val="24"/>
          <w:lang w:val="en-AU"/>
        </w:rPr>
        <w:t xml:space="preserve"> with Inland Revenue’s existing tec</w:t>
      </w:r>
      <w:r w:rsidR="00F7517C" w:rsidRPr="00F73EDF">
        <w:rPr>
          <w:rFonts w:ascii="Times New Roman" w:hAnsi="Times New Roman"/>
          <w:sz w:val="24"/>
          <w:szCs w:val="24"/>
          <w:lang w:val="en-AU"/>
        </w:rPr>
        <w:t xml:space="preserve">hnology and business systems.  Additional information may be sought from affected </w:t>
      </w:r>
      <w:r w:rsidR="001D63B2" w:rsidRPr="00F73EDF">
        <w:rPr>
          <w:rFonts w:ascii="Times New Roman" w:hAnsi="Times New Roman"/>
          <w:sz w:val="24"/>
          <w:szCs w:val="24"/>
          <w:lang w:val="en-AU"/>
        </w:rPr>
        <w:t>Lloyd’s authorised New Zealand agents</w:t>
      </w:r>
      <w:r w:rsidR="00F7517C" w:rsidRPr="00F73EDF">
        <w:rPr>
          <w:rFonts w:ascii="Times New Roman" w:hAnsi="Times New Roman"/>
          <w:sz w:val="24"/>
          <w:szCs w:val="24"/>
          <w:lang w:val="en-AU"/>
        </w:rPr>
        <w:t xml:space="preserve"> as to the breakdown of premiums from Lloyd’s life and non-life insurance products.  </w:t>
      </w:r>
    </w:p>
    <w:p w:rsidR="004D104B" w:rsidRPr="00F73EDF" w:rsidRDefault="004D104B" w:rsidP="00900343">
      <w:pPr>
        <w:pStyle w:val="spacer"/>
        <w:spacing w:line="300" w:lineRule="atLeast"/>
        <w:jc w:val="both"/>
        <w:rPr>
          <w:rFonts w:ascii="Times New Roman" w:hAnsi="Times New Roman"/>
          <w:sz w:val="24"/>
          <w:szCs w:val="24"/>
          <w:lang w:val="en-AU"/>
        </w:rPr>
      </w:pPr>
    </w:p>
    <w:p w:rsidR="004D104B" w:rsidRPr="00F73EDF" w:rsidRDefault="004D104B" w:rsidP="00900343">
      <w:pPr>
        <w:pStyle w:val="spacer"/>
        <w:spacing w:line="300" w:lineRule="atLeast"/>
        <w:jc w:val="both"/>
        <w:rPr>
          <w:rFonts w:ascii="Times New Roman" w:hAnsi="Times New Roman"/>
          <w:sz w:val="24"/>
          <w:szCs w:val="24"/>
          <w:lang w:val="en-AU"/>
        </w:rPr>
      </w:pPr>
      <w:r w:rsidRPr="00F73EDF">
        <w:rPr>
          <w:rFonts w:ascii="Times New Roman" w:hAnsi="Times New Roman"/>
          <w:sz w:val="24"/>
          <w:szCs w:val="24"/>
          <w:lang w:val="en-AU"/>
        </w:rPr>
        <w:fldChar w:fldCharType="begin"/>
      </w:r>
      <w:r w:rsidRPr="00F73EDF">
        <w:rPr>
          <w:rFonts w:ascii="Times New Roman" w:hAnsi="Times New Roman"/>
          <w:sz w:val="24"/>
          <w:szCs w:val="24"/>
          <w:lang w:val="en-AU"/>
        </w:rPr>
        <w:instrText xml:space="preserve"> AUTONUM  \* Arabic \s .  </w:instrText>
      </w:r>
      <w:r w:rsidRPr="00F73EDF">
        <w:rPr>
          <w:rFonts w:ascii="Times New Roman" w:hAnsi="Times New Roman"/>
          <w:sz w:val="24"/>
          <w:szCs w:val="24"/>
          <w:lang w:val="en-AU"/>
        </w:rPr>
        <w:fldChar w:fldCharType="end"/>
      </w:r>
      <w:r w:rsidRPr="00F73EDF">
        <w:rPr>
          <w:rFonts w:ascii="Times New Roman" w:hAnsi="Times New Roman"/>
          <w:sz w:val="24"/>
          <w:szCs w:val="24"/>
          <w:lang w:val="en-AU"/>
        </w:rPr>
        <w:tab/>
        <w:t xml:space="preserve">Lloyd’s will work with affected </w:t>
      </w:r>
      <w:r w:rsidR="00441E81" w:rsidRPr="00F73EDF">
        <w:rPr>
          <w:rFonts w:ascii="Times New Roman" w:hAnsi="Times New Roman"/>
          <w:sz w:val="24"/>
          <w:szCs w:val="24"/>
          <w:lang w:val="en-AU"/>
        </w:rPr>
        <w:t>New Zealand authorised agents</w:t>
      </w:r>
      <w:r w:rsidRPr="00F73EDF">
        <w:rPr>
          <w:rFonts w:ascii="Times New Roman" w:hAnsi="Times New Roman"/>
          <w:sz w:val="24"/>
          <w:szCs w:val="24"/>
          <w:lang w:val="en-AU"/>
        </w:rPr>
        <w:t xml:space="preserve"> to ensure they are informed about the practical day-to-day impact of the changes.  Lloyd’s advise</w:t>
      </w:r>
      <w:r w:rsidR="00C767DC" w:rsidRPr="00F73EDF">
        <w:rPr>
          <w:rFonts w:ascii="Times New Roman" w:hAnsi="Times New Roman"/>
          <w:sz w:val="24"/>
          <w:szCs w:val="24"/>
          <w:lang w:val="en-AU"/>
        </w:rPr>
        <w:t>s</w:t>
      </w:r>
      <w:r w:rsidRPr="00F73EDF">
        <w:rPr>
          <w:rFonts w:ascii="Times New Roman" w:hAnsi="Times New Roman"/>
          <w:sz w:val="24"/>
          <w:szCs w:val="24"/>
          <w:lang w:val="en-AU"/>
        </w:rPr>
        <w:t xml:space="preserve"> that </w:t>
      </w:r>
      <w:r w:rsidR="00C767DC" w:rsidRPr="00F73EDF">
        <w:rPr>
          <w:rFonts w:ascii="Times New Roman" w:hAnsi="Times New Roman"/>
          <w:sz w:val="24"/>
          <w:szCs w:val="24"/>
          <w:lang w:val="en-AU"/>
        </w:rPr>
        <w:t>its</w:t>
      </w:r>
      <w:r w:rsidR="00C3312B" w:rsidRPr="00F73EDF">
        <w:rPr>
          <w:rFonts w:ascii="Times New Roman" w:hAnsi="Times New Roman"/>
          <w:sz w:val="24"/>
          <w:szCs w:val="24"/>
          <w:lang w:val="en-AU"/>
        </w:rPr>
        <w:t xml:space="preserve"> </w:t>
      </w:r>
      <w:r w:rsidR="00C767DC" w:rsidRPr="00F73EDF">
        <w:rPr>
          <w:rFonts w:ascii="Times New Roman" w:hAnsi="Times New Roman"/>
          <w:sz w:val="24"/>
          <w:szCs w:val="24"/>
          <w:lang w:val="en-AU"/>
        </w:rPr>
        <w:t>New Zealand authorised agents</w:t>
      </w:r>
      <w:r w:rsidR="00C3312B" w:rsidRPr="00F73EDF">
        <w:rPr>
          <w:rFonts w:ascii="Times New Roman" w:hAnsi="Times New Roman"/>
          <w:sz w:val="24"/>
          <w:szCs w:val="24"/>
          <w:lang w:val="en-AU"/>
        </w:rPr>
        <w:t xml:space="preserve"> are </w:t>
      </w:r>
      <w:r w:rsidR="001421BB">
        <w:rPr>
          <w:rFonts w:ascii="Times New Roman" w:hAnsi="Times New Roman"/>
          <w:sz w:val="24"/>
          <w:szCs w:val="24"/>
          <w:lang w:val="en-AU"/>
        </w:rPr>
        <w:t xml:space="preserve">generally </w:t>
      </w:r>
      <w:r w:rsidR="00C3312B" w:rsidRPr="00F73EDF">
        <w:rPr>
          <w:rFonts w:ascii="Times New Roman" w:hAnsi="Times New Roman"/>
          <w:sz w:val="24"/>
          <w:szCs w:val="24"/>
          <w:lang w:val="en-AU"/>
        </w:rPr>
        <w:t xml:space="preserve">familiar with the rules that apply to the sale of Lloyd’s non-life insurance products and the proposed legislative change is an extension of those rules.  </w:t>
      </w:r>
      <w:r w:rsidR="001D63B2" w:rsidRPr="00F73EDF">
        <w:rPr>
          <w:rFonts w:ascii="Times New Roman" w:hAnsi="Times New Roman"/>
          <w:sz w:val="24"/>
          <w:szCs w:val="24"/>
          <w:lang w:val="en-AU"/>
        </w:rPr>
        <w:t>Lloyd’s authorised agents</w:t>
      </w:r>
      <w:r w:rsidR="00536C08" w:rsidRPr="00F73EDF">
        <w:rPr>
          <w:rFonts w:ascii="Times New Roman" w:hAnsi="Times New Roman"/>
          <w:sz w:val="24"/>
          <w:szCs w:val="24"/>
          <w:lang w:val="en-AU"/>
        </w:rPr>
        <w:t xml:space="preserve"> would</w:t>
      </w:r>
      <w:r w:rsidR="00C3312B" w:rsidRPr="00F73EDF">
        <w:rPr>
          <w:rFonts w:ascii="Times New Roman" w:hAnsi="Times New Roman"/>
          <w:sz w:val="24"/>
          <w:szCs w:val="24"/>
          <w:lang w:val="en-AU"/>
        </w:rPr>
        <w:t xml:space="preserve"> be expected to prepare the same IR4 returns as </w:t>
      </w:r>
      <w:r w:rsidR="00A057A6" w:rsidRPr="00F73EDF">
        <w:rPr>
          <w:rFonts w:ascii="Times New Roman" w:hAnsi="Times New Roman"/>
          <w:sz w:val="24"/>
          <w:szCs w:val="24"/>
          <w:lang w:val="en-AU"/>
        </w:rPr>
        <w:t xml:space="preserve">currently </w:t>
      </w:r>
      <w:r w:rsidR="00C3312B" w:rsidRPr="00F73EDF">
        <w:rPr>
          <w:rFonts w:ascii="Times New Roman" w:hAnsi="Times New Roman"/>
          <w:sz w:val="24"/>
          <w:szCs w:val="24"/>
          <w:lang w:val="en-AU"/>
        </w:rPr>
        <w:t xml:space="preserve">required.  </w:t>
      </w:r>
    </w:p>
    <w:p w:rsidR="000545DC" w:rsidRPr="00F73EDF" w:rsidRDefault="00D943DD" w:rsidP="00900343">
      <w:pPr>
        <w:pStyle w:val="RISheading"/>
        <w:jc w:val="both"/>
        <w:rPr>
          <w:spacing w:val="0"/>
          <w:w w:val="100"/>
        </w:rPr>
      </w:pPr>
      <w:r w:rsidRPr="00F73EDF">
        <w:rPr>
          <w:spacing w:val="0"/>
          <w:w w:val="100"/>
        </w:rPr>
        <w:t>MONITORING, EVALUATION AND REVIEW</w:t>
      </w:r>
      <w:bookmarkEnd w:id="38"/>
      <w:bookmarkEnd w:id="39"/>
      <w:bookmarkEnd w:id="40"/>
      <w:bookmarkEnd w:id="41"/>
      <w:bookmarkEnd w:id="42"/>
    </w:p>
    <w:p w:rsidR="00E37E9D" w:rsidRPr="00F73EDF" w:rsidRDefault="004906F8" w:rsidP="00034671">
      <w:pPr>
        <w:pStyle w:val="TRBodyText"/>
        <w:rPr>
          <w:szCs w:val="24"/>
        </w:rPr>
      </w:pPr>
      <w:r w:rsidRPr="00F73EDF">
        <w:rPr>
          <w:szCs w:val="24"/>
          <w:lang w:val="en-AU" w:eastAsia="en-US"/>
        </w:rPr>
        <w:fldChar w:fldCharType="begin"/>
      </w:r>
      <w:r w:rsidRPr="00F73EDF">
        <w:rPr>
          <w:szCs w:val="24"/>
          <w:lang w:val="en-AU" w:eastAsia="en-US"/>
        </w:rPr>
        <w:instrText xml:space="preserve"> AUTONUM  \* Arabic \s .  </w:instrText>
      </w:r>
      <w:r w:rsidRPr="00F73EDF">
        <w:rPr>
          <w:szCs w:val="24"/>
          <w:lang w:val="en-AU" w:eastAsia="en-US"/>
        </w:rPr>
        <w:fldChar w:fldCharType="end"/>
      </w:r>
      <w:r w:rsidRPr="00F73EDF">
        <w:rPr>
          <w:szCs w:val="24"/>
          <w:lang w:val="en-AU" w:eastAsia="en-US"/>
        </w:rPr>
        <w:tab/>
      </w:r>
      <w:r w:rsidR="00E37E9D" w:rsidRPr="00F73EDF">
        <w:rPr>
          <w:szCs w:val="24"/>
        </w:rPr>
        <w:t xml:space="preserve">In general, </w:t>
      </w:r>
      <w:r w:rsidR="00ED764E" w:rsidRPr="00F73EDF">
        <w:rPr>
          <w:szCs w:val="24"/>
        </w:rPr>
        <w:t xml:space="preserve">post-implementation reviews are a feature of the </w:t>
      </w:r>
      <w:r w:rsidR="00E37E9D" w:rsidRPr="00F73EDF">
        <w:rPr>
          <w:szCs w:val="24"/>
        </w:rPr>
        <w:t>generic tax policy process (GTPP).  The GTPP is a multi-stage policy process that has been used to design tax policy (and subsequently social policy administered by Inland Revenue) in New Zealand since 1995.</w:t>
      </w:r>
    </w:p>
    <w:p w:rsidR="00E37E9D" w:rsidRPr="00F73EDF" w:rsidRDefault="00E37E9D" w:rsidP="003C4E77">
      <w:pPr>
        <w:pStyle w:val="TRBodyText"/>
        <w:rPr>
          <w:szCs w:val="24"/>
        </w:rPr>
      </w:pPr>
    </w:p>
    <w:p w:rsidR="00594805" w:rsidRPr="00F73EDF" w:rsidRDefault="00E37E9D" w:rsidP="003C4E77">
      <w:pPr>
        <w:spacing w:after="0" w:line="300" w:lineRule="atLeast"/>
        <w:jc w:val="both"/>
        <w:rPr>
          <w:rFonts w:ascii="Times New Roman" w:hAnsi="Times New Roman"/>
          <w:sz w:val="24"/>
          <w:szCs w:val="24"/>
        </w:rPr>
      </w:pPr>
      <w:r w:rsidRPr="00F73EDF">
        <w:rPr>
          <w:rFonts w:ascii="Times New Roman" w:hAnsi="Times New Roman"/>
          <w:sz w:val="24"/>
          <w:szCs w:val="24"/>
        </w:rPr>
        <w:fldChar w:fldCharType="begin"/>
      </w:r>
      <w:r w:rsidRPr="00F73EDF">
        <w:rPr>
          <w:rFonts w:ascii="Times New Roman" w:hAnsi="Times New Roman"/>
          <w:sz w:val="24"/>
          <w:szCs w:val="24"/>
        </w:rPr>
        <w:instrText xml:space="preserve"> AUTONUM  </w:instrText>
      </w:r>
      <w:r w:rsidRPr="00F73EDF">
        <w:rPr>
          <w:rFonts w:ascii="Times New Roman" w:hAnsi="Times New Roman"/>
          <w:sz w:val="24"/>
          <w:szCs w:val="24"/>
        </w:rPr>
        <w:fldChar w:fldCharType="end"/>
      </w:r>
      <w:r w:rsidRPr="00F73EDF">
        <w:rPr>
          <w:rFonts w:ascii="Times New Roman" w:hAnsi="Times New Roman"/>
          <w:sz w:val="24"/>
          <w:szCs w:val="24"/>
        </w:rPr>
        <w:tab/>
        <w:t>The final step in the process is the implementation and review stage, which involves post-implementation review of legislation and the identification of remedial issues.  Opportunities for external consultation are built into this stage.  In practice, any changes identified as necessary would be added to the tax policy work programme, and proposals would go through the GTPP.</w:t>
      </w:r>
    </w:p>
    <w:p w:rsidR="00EA01F2" w:rsidRPr="00F73EDF" w:rsidRDefault="00EA01F2" w:rsidP="00EA01F2">
      <w:pPr>
        <w:pStyle w:val="spacer"/>
        <w:spacing w:line="300" w:lineRule="atLeast"/>
        <w:jc w:val="both"/>
        <w:rPr>
          <w:rFonts w:ascii="Times New Roman" w:hAnsi="Times New Roman"/>
          <w:sz w:val="24"/>
          <w:szCs w:val="24"/>
        </w:rPr>
      </w:pPr>
    </w:p>
    <w:p w:rsidR="00242612" w:rsidRDefault="00EA01F2" w:rsidP="00757863">
      <w:pPr>
        <w:spacing w:after="0" w:line="300" w:lineRule="atLeast"/>
        <w:jc w:val="both"/>
        <w:rPr>
          <w:rFonts w:ascii="Times New Roman" w:hAnsi="Times New Roman"/>
          <w:sz w:val="24"/>
          <w:szCs w:val="24"/>
        </w:rPr>
      </w:pPr>
      <w:r w:rsidRPr="00F73EDF">
        <w:rPr>
          <w:rFonts w:ascii="Times New Roman" w:hAnsi="Times New Roman"/>
          <w:sz w:val="24"/>
          <w:szCs w:val="24"/>
        </w:rPr>
        <w:fldChar w:fldCharType="begin"/>
      </w:r>
      <w:r w:rsidRPr="00F73EDF">
        <w:rPr>
          <w:rFonts w:ascii="Times New Roman" w:hAnsi="Times New Roman"/>
          <w:sz w:val="24"/>
          <w:szCs w:val="24"/>
        </w:rPr>
        <w:instrText xml:space="preserve"> AUTONUM  \* Arabic \s .  </w:instrText>
      </w:r>
      <w:r w:rsidRPr="00F73EDF">
        <w:rPr>
          <w:rFonts w:ascii="Times New Roman" w:hAnsi="Times New Roman"/>
          <w:sz w:val="24"/>
          <w:szCs w:val="24"/>
        </w:rPr>
        <w:fldChar w:fldCharType="end"/>
      </w:r>
      <w:r w:rsidRPr="00F73EDF">
        <w:rPr>
          <w:rFonts w:ascii="Times New Roman" w:hAnsi="Times New Roman"/>
          <w:sz w:val="24"/>
          <w:szCs w:val="24"/>
        </w:rPr>
        <w:tab/>
        <w:t xml:space="preserve">If the </w:t>
      </w:r>
      <w:r w:rsidR="00A057A6" w:rsidRPr="00F73EDF">
        <w:rPr>
          <w:rFonts w:ascii="Times New Roman" w:hAnsi="Times New Roman"/>
          <w:sz w:val="24"/>
          <w:szCs w:val="24"/>
        </w:rPr>
        <w:t>G</w:t>
      </w:r>
      <w:r w:rsidRPr="00F73EDF">
        <w:rPr>
          <w:rFonts w:ascii="Times New Roman" w:hAnsi="Times New Roman"/>
          <w:sz w:val="24"/>
          <w:szCs w:val="24"/>
        </w:rPr>
        <w:t>overnment adopts option</w:t>
      </w:r>
      <w:r w:rsidR="00653ED3" w:rsidRPr="00F73EDF">
        <w:rPr>
          <w:rFonts w:ascii="Times New Roman" w:hAnsi="Times New Roman"/>
          <w:sz w:val="24"/>
          <w:szCs w:val="24"/>
        </w:rPr>
        <w:t xml:space="preserve"> </w:t>
      </w:r>
      <w:r w:rsidR="002126FF">
        <w:rPr>
          <w:rFonts w:ascii="Times New Roman" w:hAnsi="Times New Roman"/>
          <w:sz w:val="24"/>
          <w:szCs w:val="24"/>
        </w:rPr>
        <w:t>3</w:t>
      </w:r>
      <w:r w:rsidRPr="00F73EDF">
        <w:rPr>
          <w:rFonts w:ascii="Times New Roman" w:hAnsi="Times New Roman"/>
          <w:sz w:val="24"/>
          <w:szCs w:val="24"/>
        </w:rPr>
        <w:t>, Inland Revenue recommends that the presumptive tax be reviewed in 2020 to assess its on-going suitability and whether it broadly reflects Lloyd’s syndicates’ profit based on financial reportin</w:t>
      </w:r>
      <w:r w:rsidR="004406C8" w:rsidRPr="00F73EDF">
        <w:rPr>
          <w:rFonts w:ascii="Times New Roman" w:hAnsi="Times New Roman"/>
          <w:sz w:val="24"/>
          <w:szCs w:val="24"/>
        </w:rPr>
        <w:t>g evidence for the period 2017-</w:t>
      </w:r>
      <w:r w:rsidRPr="00F73EDF">
        <w:rPr>
          <w:rFonts w:ascii="Times New Roman" w:hAnsi="Times New Roman"/>
          <w:sz w:val="24"/>
          <w:szCs w:val="24"/>
        </w:rPr>
        <w:t xml:space="preserve">2019 and projected future profitability.  Notwithstanding accuracy matters, if the compliance and administration savings are sufficiently material, unders and overs in tax payable are likely to be tolerated.  Compliance cost implications for Lloyd’s </w:t>
      </w:r>
      <w:r w:rsidR="00E4267E" w:rsidRPr="00F73EDF">
        <w:rPr>
          <w:rFonts w:ascii="Times New Roman" w:hAnsi="Times New Roman"/>
          <w:sz w:val="24"/>
          <w:szCs w:val="24"/>
        </w:rPr>
        <w:t>authorised agents would</w:t>
      </w:r>
      <w:r w:rsidRPr="00F73EDF">
        <w:rPr>
          <w:rFonts w:ascii="Times New Roman" w:hAnsi="Times New Roman"/>
          <w:sz w:val="24"/>
          <w:szCs w:val="24"/>
        </w:rPr>
        <w:t xml:space="preserve"> also be considered as part of the review in 2020.</w:t>
      </w:r>
      <w:r w:rsidRPr="00F7490D">
        <w:rPr>
          <w:rFonts w:ascii="Times New Roman" w:hAnsi="Times New Roman"/>
          <w:sz w:val="24"/>
          <w:szCs w:val="24"/>
        </w:rPr>
        <w:t xml:space="preserve">  </w:t>
      </w:r>
    </w:p>
    <w:p w:rsidR="00BF0713" w:rsidRDefault="00BF0713" w:rsidP="00757863">
      <w:pPr>
        <w:spacing w:after="0" w:line="300" w:lineRule="atLeast"/>
        <w:jc w:val="both"/>
        <w:rPr>
          <w:rFonts w:ascii="Times New Roman" w:hAnsi="Times New Roman"/>
          <w:sz w:val="24"/>
          <w:szCs w:val="24"/>
        </w:rPr>
      </w:pPr>
    </w:p>
    <w:sectPr w:rsidR="00BF0713" w:rsidSect="003D7576">
      <w:footerReference w:type="even" r:id="rId8"/>
      <w:footerReference w:type="default" r:id="rId9"/>
      <w:pgSz w:w="11907" w:h="16840" w:code="9"/>
      <w:pgMar w:top="1440" w:right="1440" w:bottom="993" w:left="1440" w:header="567" w:footer="58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74" w:rsidRDefault="00D60F74" w:rsidP="00F72085">
      <w:r>
        <w:separator/>
      </w:r>
    </w:p>
  </w:endnote>
  <w:endnote w:type="continuationSeparator" w:id="0">
    <w:p w:rsidR="00D60F74" w:rsidRDefault="00D60F74"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4" w:rsidRDefault="00D60F74"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60F74" w:rsidRPr="00281580" w:rsidRDefault="00D60F74"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74" w:rsidRPr="00594805" w:rsidRDefault="00D60F74"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4E4897">
      <w:rPr>
        <w:rStyle w:val="PageNumber"/>
        <w:rFonts w:ascii="Times New Roman" w:hAnsi="Times New Roman"/>
        <w:color w:val="auto"/>
        <w:sz w:val="20"/>
        <w:szCs w:val="20"/>
      </w:rPr>
      <w:t>1</w:t>
    </w:r>
    <w:r w:rsidRPr="00594805">
      <w:rPr>
        <w:rStyle w:val="PageNumber"/>
        <w:rFonts w:ascii="Times New Roman" w:hAnsi="Times New Roman"/>
        <w:color w:val="auto"/>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74" w:rsidRDefault="00D60F74" w:rsidP="00D36CC9">
      <w:pPr>
        <w:spacing w:after="0" w:line="240" w:lineRule="auto"/>
      </w:pPr>
      <w:r>
        <w:separator/>
      </w:r>
    </w:p>
  </w:footnote>
  <w:footnote w:type="continuationSeparator" w:id="0">
    <w:p w:rsidR="00D60F74" w:rsidRDefault="00D60F74" w:rsidP="00F72085">
      <w:r>
        <w:continuationSeparator/>
      </w:r>
    </w:p>
  </w:footnote>
  <w:footnote w:id="1">
    <w:p w:rsidR="00D60F74" w:rsidRPr="00592F90" w:rsidRDefault="00D60F74" w:rsidP="00A75223">
      <w:pPr>
        <w:pStyle w:val="FootnoteText"/>
        <w:tabs>
          <w:tab w:val="clear" w:pos="425"/>
          <w:tab w:val="left" w:pos="284"/>
        </w:tabs>
        <w:spacing w:after="0"/>
        <w:ind w:left="113" w:hanging="113"/>
        <w:rPr>
          <w:rFonts w:ascii="Times New Roman" w:hAnsi="Times New Roman"/>
        </w:rPr>
      </w:pPr>
      <w:r w:rsidRPr="00592F90">
        <w:rPr>
          <w:rStyle w:val="FootnoteReference"/>
          <w:rFonts w:ascii="Times New Roman" w:hAnsi="Times New Roman"/>
        </w:rPr>
        <w:footnoteRef/>
      </w:r>
      <w:r w:rsidRPr="00592F90">
        <w:rPr>
          <w:rFonts w:ascii="Times New Roman" w:hAnsi="Times New Roman"/>
        </w:rPr>
        <w:t xml:space="preserve"> There are 34 established life insurers ope</w:t>
      </w:r>
      <w:r w:rsidR="00D92270">
        <w:rPr>
          <w:rFonts w:ascii="Times New Roman" w:hAnsi="Times New Roman"/>
        </w:rPr>
        <w:t>rating in New Zealand, with the five</w:t>
      </w:r>
      <w:r w:rsidRPr="00592F90">
        <w:rPr>
          <w:rFonts w:ascii="Times New Roman" w:hAnsi="Times New Roman"/>
        </w:rPr>
        <w:t xml:space="preserve"> largest comprising 75 percent of the life market.  Total premium income is close to $2.6 billion (2015)</w:t>
      </w:r>
      <w:r w:rsidR="00A42379">
        <w:rPr>
          <w:rFonts w:ascii="Times New Roman" w:hAnsi="Times New Roman"/>
        </w:rPr>
        <w:t>.</w:t>
      </w:r>
    </w:p>
  </w:footnote>
  <w:footnote w:id="2">
    <w:p w:rsidR="008356C7" w:rsidRPr="008356C7" w:rsidRDefault="008356C7" w:rsidP="003876A4">
      <w:pPr>
        <w:pStyle w:val="FootnoteText"/>
        <w:ind w:left="113" w:hanging="113"/>
        <w:rPr>
          <w:rFonts w:ascii="Times New Roman" w:hAnsi="Times New Roman"/>
          <w:lang w:val="en-NZ"/>
        </w:rPr>
      </w:pPr>
      <w:r w:rsidRPr="008356C7">
        <w:rPr>
          <w:rStyle w:val="FootnoteReference"/>
          <w:rFonts w:ascii="Times New Roman" w:hAnsi="Times New Roman"/>
        </w:rPr>
        <w:footnoteRef/>
      </w:r>
      <w:r w:rsidRPr="008356C7">
        <w:rPr>
          <w:rFonts w:ascii="Times New Roman" w:hAnsi="Times New Roman"/>
        </w:rPr>
        <w:t xml:space="preserve"> </w:t>
      </w:r>
      <w:r>
        <w:rPr>
          <w:rFonts w:ascii="Times New Roman" w:hAnsi="Times New Roman"/>
          <w:lang w:val="en-NZ"/>
        </w:rPr>
        <w:t>Lloyd’</w:t>
      </w:r>
      <w:r w:rsidR="003876A4">
        <w:rPr>
          <w:rFonts w:ascii="Times New Roman" w:hAnsi="Times New Roman"/>
          <w:lang w:val="en-NZ"/>
        </w:rPr>
        <w:t>s has 2,100 underwriting M</w:t>
      </w:r>
      <w:r>
        <w:rPr>
          <w:rFonts w:ascii="Times New Roman" w:hAnsi="Times New Roman"/>
          <w:lang w:val="en-NZ"/>
        </w:rPr>
        <w:t xml:space="preserve">embers, including 325 individuals, over 700 partnerships and over 1,000 companies.  </w:t>
      </w:r>
      <w:r w:rsidR="003876A4">
        <w:rPr>
          <w:rFonts w:ascii="Times New Roman" w:hAnsi="Times New Roman"/>
          <w:lang w:val="en-NZ"/>
        </w:rPr>
        <w:t>The figure above assumes the potential for all Member</w:t>
      </w:r>
      <w:r w:rsidR="005472BA">
        <w:rPr>
          <w:rFonts w:ascii="Times New Roman" w:hAnsi="Times New Roman"/>
          <w:lang w:val="en-NZ"/>
        </w:rPr>
        <w:t>s</w:t>
      </w:r>
      <w:r w:rsidR="003876A4">
        <w:rPr>
          <w:rFonts w:ascii="Times New Roman" w:hAnsi="Times New Roman"/>
          <w:lang w:val="en-NZ"/>
        </w:rPr>
        <w:t xml:space="preserve"> </w:t>
      </w:r>
      <w:r w:rsidR="005472BA">
        <w:rPr>
          <w:rFonts w:ascii="Times New Roman" w:hAnsi="Times New Roman"/>
          <w:lang w:val="en-NZ"/>
        </w:rPr>
        <w:t xml:space="preserve">(not just those described in paragraph 3) underwriting </w:t>
      </w:r>
      <w:r w:rsidR="003876A4">
        <w:rPr>
          <w:rFonts w:ascii="Times New Roman" w:hAnsi="Times New Roman"/>
          <w:lang w:val="en-NZ"/>
        </w:rPr>
        <w:t xml:space="preserve">life risk in New Zealand.  </w:t>
      </w:r>
    </w:p>
  </w:footnote>
  <w:footnote w:id="3">
    <w:p w:rsidR="00D60F74" w:rsidRPr="009E4A34" w:rsidRDefault="00D60F74" w:rsidP="00B43601">
      <w:pPr>
        <w:pStyle w:val="FootnoteText"/>
        <w:spacing w:after="0"/>
        <w:ind w:left="113" w:hanging="113"/>
        <w:rPr>
          <w:rFonts w:ascii="Times New Roman" w:hAnsi="Times New Roman"/>
          <w:lang w:val="en-NZ"/>
        </w:rPr>
      </w:pPr>
      <w:r w:rsidRPr="00D167F9">
        <w:rPr>
          <w:rStyle w:val="FootnoteReference"/>
          <w:rFonts w:ascii="Times New Roman" w:hAnsi="Times New Roman"/>
        </w:rPr>
        <w:footnoteRef/>
      </w:r>
      <w:r w:rsidRPr="00D167F9">
        <w:rPr>
          <w:rFonts w:ascii="Times New Roman" w:hAnsi="Times New Roman"/>
        </w:rPr>
        <w:t xml:space="preserve"> </w:t>
      </w:r>
      <w:r w:rsidRPr="00D167F9">
        <w:rPr>
          <w:rFonts w:ascii="Times New Roman" w:hAnsi="Times New Roman"/>
          <w:lang w:val="en-NZ"/>
        </w:rPr>
        <w:t xml:space="preserve">For example, provisions in the Insurance (Prudential Supervision) Act 2010 and the Financial Markets Conduct Act 2013 and the Financial Services Providers (Exemption) Regulations 2010.  </w:t>
      </w:r>
      <w:r w:rsidRPr="007D649F">
        <w:rPr>
          <w:rFonts w:ascii="Times New Roman" w:hAnsi="Times New Roman"/>
          <w:lang w:val="en-NZ"/>
        </w:rPr>
        <w:t xml:space="preserve">In a New Zealand tax context, there were specific provisions that were largely directed at Lloyd’s underwriters – </w:t>
      </w:r>
      <w:r w:rsidR="00EC71A4">
        <w:rPr>
          <w:rFonts w:ascii="Times New Roman" w:hAnsi="Times New Roman"/>
          <w:lang w:val="en-NZ"/>
        </w:rPr>
        <w:t xml:space="preserve">former </w:t>
      </w:r>
      <w:r w:rsidRPr="007D649F">
        <w:rPr>
          <w:rFonts w:ascii="Times New Roman" w:hAnsi="Times New Roman"/>
          <w:lang w:val="en-NZ"/>
        </w:rPr>
        <w:t>sections 210 and 210A of the Income Tax Act 1976.</w:t>
      </w:r>
      <w:r w:rsidRPr="00DC7FA7">
        <w:rPr>
          <w:rFonts w:ascii="Times New Roman" w:hAnsi="Times New Roman"/>
          <w:lang w:val="en-NZ"/>
        </w:rPr>
        <w:t xml:space="preserve">  In Australia, provisions concerning Lloyd’s are found with the Income Tax Assessment Act 1936 the Corporations Act 2001 and the Australian Prudential Regulation Authority Act 1998 and the Financial Institutions Supervisory Levies Colle</w:t>
      </w:r>
      <w:r w:rsidRPr="00B604A3">
        <w:rPr>
          <w:rFonts w:ascii="Times New Roman" w:hAnsi="Times New Roman"/>
          <w:lang w:val="en-NZ"/>
        </w:rPr>
        <w:t>ction Act 1998.</w:t>
      </w:r>
      <w:r w:rsidRPr="009E4A34">
        <w:rPr>
          <w:rFonts w:ascii="Times New Roman" w:hAnsi="Times New Roman"/>
          <w:lang w:val="en-N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605"/>
    <w:multiLevelType w:val="hybridMultilevel"/>
    <w:tmpl w:val="A37080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2F94A2B"/>
    <w:multiLevelType w:val="multilevel"/>
    <w:tmpl w:val="5AE68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65A6CFD"/>
    <w:multiLevelType w:val="hybridMultilevel"/>
    <w:tmpl w:val="E312E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71A1186"/>
    <w:multiLevelType w:val="hybridMultilevel"/>
    <w:tmpl w:val="FEF6C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7347DA1"/>
    <w:multiLevelType w:val="multilevel"/>
    <w:tmpl w:val="95F2D5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0ADB2E0F"/>
    <w:multiLevelType w:val="hybridMultilevel"/>
    <w:tmpl w:val="64CC5D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CD56FF6"/>
    <w:multiLevelType w:val="hybridMultilevel"/>
    <w:tmpl w:val="144C2608"/>
    <w:lvl w:ilvl="0" w:tplc="49302404">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CDB5796"/>
    <w:multiLevelType w:val="hybridMultilevel"/>
    <w:tmpl w:val="A628B9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0E9F0B6C"/>
    <w:multiLevelType w:val="hybridMultilevel"/>
    <w:tmpl w:val="D18C9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F1B263C"/>
    <w:multiLevelType w:val="hybridMultilevel"/>
    <w:tmpl w:val="2ECA5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0721B31"/>
    <w:multiLevelType w:val="hybridMultilevel"/>
    <w:tmpl w:val="CBEE1A6E"/>
    <w:lvl w:ilvl="0" w:tplc="392A85BE">
      <w:start w:val="1"/>
      <w:numFmt w:val="bullet"/>
      <w:lvlText w:val=""/>
      <w:lvlJc w:val="left"/>
      <w:pPr>
        <w:ind w:left="643"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2515A84"/>
    <w:multiLevelType w:val="hybridMultilevel"/>
    <w:tmpl w:val="9D647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504603F"/>
    <w:multiLevelType w:val="hybridMultilevel"/>
    <w:tmpl w:val="0C6E31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162F3E78"/>
    <w:multiLevelType w:val="hybridMultilevel"/>
    <w:tmpl w:val="86BC54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1670033C"/>
    <w:multiLevelType w:val="hybridMultilevel"/>
    <w:tmpl w:val="AE7C488C"/>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7E445F8"/>
    <w:multiLevelType w:val="hybridMultilevel"/>
    <w:tmpl w:val="E23A79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1C8A0DC7"/>
    <w:multiLevelType w:val="hybridMultilevel"/>
    <w:tmpl w:val="8522F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35477D3"/>
    <w:multiLevelType w:val="hybridMultilevel"/>
    <w:tmpl w:val="75A496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5D64CC4"/>
    <w:multiLevelType w:val="hybridMultilevel"/>
    <w:tmpl w:val="91026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2689157B"/>
    <w:multiLevelType w:val="hybridMultilevel"/>
    <w:tmpl w:val="592E96D2"/>
    <w:lvl w:ilvl="0" w:tplc="FC362A48">
      <w:numFmt w:val="bullet"/>
      <w:lvlText w:val=""/>
      <w:lvlJc w:val="left"/>
      <w:pPr>
        <w:ind w:left="2629" w:hanging="360"/>
      </w:pPr>
      <w:rPr>
        <w:rFonts w:ascii="Wingdings 2" w:eastAsiaTheme="minorHAnsi" w:hAnsi="Wingdings 2" w:cs="Times New Roman" w:hint="default"/>
        <w:sz w:val="22"/>
      </w:rPr>
    </w:lvl>
    <w:lvl w:ilvl="1" w:tplc="14090003" w:tentative="1">
      <w:start w:val="1"/>
      <w:numFmt w:val="bullet"/>
      <w:lvlText w:val="o"/>
      <w:lvlJc w:val="left"/>
      <w:pPr>
        <w:ind w:left="3349" w:hanging="360"/>
      </w:pPr>
      <w:rPr>
        <w:rFonts w:ascii="Courier New" w:hAnsi="Courier New" w:cs="Courier New" w:hint="default"/>
      </w:rPr>
    </w:lvl>
    <w:lvl w:ilvl="2" w:tplc="14090005" w:tentative="1">
      <w:start w:val="1"/>
      <w:numFmt w:val="bullet"/>
      <w:lvlText w:val=""/>
      <w:lvlJc w:val="left"/>
      <w:pPr>
        <w:ind w:left="4069" w:hanging="360"/>
      </w:pPr>
      <w:rPr>
        <w:rFonts w:ascii="Wingdings" w:hAnsi="Wingdings" w:hint="default"/>
      </w:rPr>
    </w:lvl>
    <w:lvl w:ilvl="3" w:tplc="14090001" w:tentative="1">
      <w:start w:val="1"/>
      <w:numFmt w:val="bullet"/>
      <w:lvlText w:val=""/>
      <w:lvlJc w:val="left"/>
      <w:pPr>
        <w:ind w:left="4789" w:hanging="360"/>
      </w:pPr>
      <w:rPr>
        <w:rFonts w:ascii="Symbol" w:hAnsi="Symbol" w:hint="default"/>
      </w:rPr>
    </w:lvl>
    <w:lvl w:ilvl="4" w:tplc="14090003" w:tentative="1">
      <w:start w:val="1"/>
      <w:numFmt w:val="bullet"/>
      <w:lvlText w:val="o"/>
      <w:lvlJc w:val="left"/>
      <w:pPr>
        <w:ind w:left="5509" w:hanging="360"/>
      </w:pPr>
      <w:rPr>
        <w:rFonts w:ascii="Courier New" w:hAnsi="Courier New" w:cs="Courier New" w:hint="default"/>
      </w:rPr>
    </w:lvl>
    <w:lvl w:ilvl="5" w:tplc="14090005" w:tentative="1">
      <w:start w:val="1"/>
      <w:numFmt w:val="bullet"/>
      <w:lvlText w:val=""/>
      <w:lvlJc w:val="left"/>
      <w:pPr>
        <w:ind w:left="6229" w:hanging="360"/>
      </w:pPr>
      <w:rPr>
        <w:rFonts w:ascii="Wingdings" w:hAnsi="Wingdings" w:hint="default"/>
      </w:rPr>
    </w:lvl>
    <w:lvl w:ilvl="6" w:tplc="14090001" w:tentative="1">
      <w:start w:val="1"/>
      <w:numFmt w:val="bullet"/>
      <w:lvlText w:val=""/>
      <w:lvlJc w:val="left"/>
      <w:pPr>
        <w:ind w:left="6949" w:hanging="360"/>
      </w:pPr>
      <w:rPr>
        <w:rFonts w:ascii="Symbol" w:hAnsi="Symbol" w:hint="default"/>
      </w:rPr>
    </w:lvl>
    <w:lvl w:ilvl="7" w:tplc="14090003" w:tentative="1">
      <w:start w:val="1"/>
      <w:numFmt w:val="bullet"/>
      <w:lvlText w:val="o"/>
      <w:lvlJc w:val="left"/>
      <w:pPr>
        <w:ind w:left="7669" w:hanging="360"/>
      </w:pPr>
      <w:rPr>
        <w:rFonts w:ascii="Courier New" w:hAnsi="Courier New" w:cs="Courier New" w:hint="default"/>
      </w:rPr>
    </w:lvl>
    <w:lvl w:ilvl="8" w:tplc="14090005" w:tentative="1">
      <w:start w:val="1"/>
      <w:numFmt w:val="bullet"/>
      <w:lvlText w:val=""/>
      <w:lvlJc w:val="left"/>
      <w:pPr>
        <w:ind w:left="8389" w:hanging="360"/>
      </w:pPr>
      <w:rPr>
        <w:rFonts w:ascii="Wingdings" w:hAnsi="Wingdings" w:hint="default"/>
      </w:rPr>
    </w:lvl>
  </w:abstractNum>
  <w:abstractNum w:abstractNumId="21">
    <w:nsid w:val="2B256C29"/>
    <w:multiLevelType w:val="hybridMultilevel"/>
    <w:tmpl w:val="6B7837D6"/>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2">
    <w:nsid w:val="2B7B4FDA"/>
    <w:multiLevelType w:val="hybridMultilevel"/>
    <w:tmpl w:val="2998FF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2F93533B"/>
    <w:multiLevelType w:val="hybridMultilevel"/>
    <w:tmpl w:val="80FCA7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5">
    <w:nsid w:val="37EF06CB"/>
    <w:multiLevelType w:val="hybridMultilevel"/>
    <w:tmpl w:val="95F2D51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383A3F09"/>
    <w:multiLevelType w:val="hybridMultilevel"/>
    <w:tmpl w:val="E654C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39470B72"/>
    <w:multiLevelType w:val="hybridMultilevel"/>
    <w:tmpl w:val="78C8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28D63BA"/>
    <w:multiLevelType w:val="multilevel"/>
    <w:tmpl w:val="2998FF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62F4703"/>
    <w:multiLevelType w:val="hybridMultilevel"/>
    <w:tmpl w:val="3622010A"/>
    <w:lvl w:ilvl="0" w:tplc="8E14043E">
      <w:start w:val="20"/>
      <w:numFmt w:val="bullet"/>
      <w:lvlText w:val=""/>
      <w:lvlJc w:val="left"/>
      <w:pPr>
        <w:ind w:left="927" w:hanging="360"/>
      </w:pPr>
      <w:rPr>
        <w:rFonts w:ascii="Wingdings 2" w:eastAsiaTheme="minorHAnsi" w:hAnsi="Wingdings 2"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1">
    <w:nsid w:val="46B00664"/>
    <w:multiLevelType w:val="hybridMultilevel"/>
    <w:tmpl w:val="917003B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48372E19"/>
    <w:multiLevelType w:val="hybridMultilevel"/>
    <w:tmpl w:val="32D4708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61A693C"/>
    <w:multiLevelType w:val="hybridMultilevel"/>
    <w:tmpl w:val="C8423C5E"/>
    <w:lvl w:ilvl="0" w:tplc="41F4BD7E">
      <w:start w:val="1"/>
      <w:numFmt w:val="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862F81"/>
    <w:multiLevelType w:val="hybridMultilevel"/>
    <w:tmpl w:val="78D4EBC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nsid w:val="599D3116"/>
    <w:multiLevelType w:val="multilevel"/>
    <w:tmpl w:val="F558B684"/>
    <w:lvl w:ilvl="0">
      <w:start w:val="1"/>
      <w:numFmt w:val="bullet"/>
      <w:lvlText w:val=""/>
      <w:lvlJc w:val="left"/>
      <w:pPr>
        <w:tabs>
          <w:tab w:val="num" w:pos="1440"/>
        </w:tabs>
        <w:ind w:left="1440" w:hanging="72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81"/>
        </w:tabs>
        <w:ind w:left="2081" w:hanging="641"/>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648"/>
        </w:tabs>
        <w:ind w:left="2648"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215"/>
        </w:tabs>
        <w:ind w:left="3215" w:hanging="567"/>
      </w:pPr>
      <w:rPr>
        <w:rFonts w:ascii="Symbol" w:hAnsi="Symbol" w:hint="default"/>
        <w:b w:val="0"/>
        <w:i w:val="0"/>
        <w:sz w:val="16"/>
      </w:rPr>
    </w:lvl>
    <w:lvl w:ilvl="4">
      <w:start w:val="1"/>
      <w:numFmt w:val="bullet"/>
      <w:lvlText w:val="o"/>
      <w:lvlJc w:val="left"/>
      <w:pPr>
        <w:tabs>
          <w:tab w:val="num" w:pos="7920"/>
        </w:tabs>
        <w:ind w:left="7920" w:hanging="360"/>
      </w:pPr>
      <w:rPr>
        <w:rFonts w:ascii="Courier New" w:hAnsi="Courier New" w:hint="default"/>
      </w:rPr>
    </w:lvl>
    <w:lvl w:ilvl="5">
      <w:start w:val="1"/>
      <w:numFmt w:val="bullet"/>
      <w:lvlText w:val=""/>
      <w:lvlJc w:val="left"/>
      <w:pPr>
        <w:tabs>
          <w:tab w:val="num" w:pos="8640"/>
        </w:tabs>
        <w:ind w:left="8640" w:hanging="360"/>
      </w:pPr>
      <w:rPr>
        <w:rFonts w:ascii="Wingdings" w:hAnsi="Wingdings" w:hint="default"/>
      </w:rPr>
    </w:lvl>
    <w:lvl w:ilvl="6">
      <w:start w:val="1"/>
      <w:numFmt w:val="bullet"/>
      <w:lvlText w:val=""/>
      <w:lvlJc w:val="left"/>
      <w:pPr>
        <w:tabs>
          <w:tab w:val="num" w:pos="9360"/>
        </w:tabs>
        <w:ind w:left="9360" w:hanging="360"/>
      </w:pPr>
      <w:rPr>
        <w:rFonts w:ascii="Symbol" w:hAnsi="Symbol" w:hint="default"/>
      </w:rPr>
    </w:lvl>
    <w:lvl w:ilvl="7">
      <w:start w:val="1"/>
      <w:numFmt w:val="bullet"/>
      <w:lvlText w:val="o"/>
      <w:lvlJc w:val="left"/>
      <w:pPr>
        <w:tabs>
          <w:tab w:val="num" w:pos="10080"/>
        </w:tabs>
        <w:ind w:left="10080" w:hanging="360"/>
      </w:pPr>
      <w:rPr>
        <w:rFonts w:ascii="Courier New" w:hAnsi="Courier New" w:hint="default"/>
      </w:rPr>
    </w:lvl>
    <w:lvl w:ilvl="8">
      <w:start w:val="1"/>
      <w:numFmt w:val="bullet"/>
      <w:lvlText w:val=""/>
      <w:lvlJc w:val="left"/>
      <w:pPr>
        <w:tabs>
          <w:tab w:val="num" w:pos="10800"/>
        </w:tabs>
        <w:ind w:left="10800" w:hanging="360"/>
      </w:pPr>
      <w:rPr>
        <w:rFonts w:ascii="Wingdings" w:hAnsi="Wingdings" w:hint="default"/>
      </w:rPr>
    </w:lvl>
  </w:abstractNum>
  <w:abstractNum w:abstractNumId="37">
    <w:nsid w:val="5C3816BE"/>
    <w:multiLevelType w:val="hybridMultilevel"/>
    <w:tmpl w:val="3C6417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nsid w:val="5D6940E5"/>
    <w:multiLevelType w:val="multilevel"/>
    <w:tmpl w:val="917003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3D23740"/>
    <w:multiLevelType w:val="hybridMultilevel"/>
    <w:tmpl w:val="3210FB7E"/>
    <w:lvl w:ilvl="0" w:tplc="1409000F">
      <w:start w:val="1"/>
      <w:numFmt w:val="decimal"/>
      <w:lvlText w:val="%1."/>
      <w:lvlJc w:val="left"/>
      <w:pPr>
        <w:ind w:left="1211"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nsid w:val="65246AFF"/>
    <w:multiLevelType w:val="multilevel"/>
    <w:tmpl w:val="A75A9BD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656D65B3"/>
    <w:multiLevelType w:val="hybridMultilevel"/>
    <w:tmpl w:val="7C2C4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6B56E68"/>
    <w:multiLevelType w:val="hybridMultilevel"/>
    <w:tmpl w:val="D28CE9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9E5461B"/>
    <w:multiLevelType w:val="hybridMultilevel"/>
    <w:tmpl w:val="8180843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B160BD8"/>
    <w:multiLevelType w:val="hybridMultilevel"/>
    <w:tmpl w:val="13667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1F0526E"/>
    <w:multiLevelType w:val="hybridMultilevel"/>
    <w:tmpl w:val="014E7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3752F25"/>
    <w:multiLevelType w:val="hybridMultilevel"/>
    <w:tmpl w:val="A75A9BD4"/>
    <w:lvl w:ilvl="0" w:tplc="49302404">
      <w:start w:val="1"/>
      <w:numFmt w:val="decimal"/>
      <w:lvlText w:val="%1."/>
      <w:lvlJc w:val="left"/>
      <w:pPr>
        <w:tabs>
          <w:tab w:val="num" w:pos="720"/>
        </w:tabs>
        <w:ind w:left="720" w:hanging="360"/>
      </w:pPr>
      <w:rPr>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nsid w:val="75214378"/>
    <w:multiLevelType w:val="multilevel"/>
    <w:tmpl w:val="5AE68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50">
    <w:nsid w:val="7A0F64F3"/>
    <w:multiLevelType w:val="hybridMultilevel"/>
    <w:tmpl w:val="13AADF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1">
    <w:nsid w:val="7B64064E"/>
    <w:multiLevelType w:val="multilevel"/>
    <w:tmpl w:val="144C2608"/>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D114497"/>
    <w:multiLevelType w:val="hybridMultilevel"/>
    <w:tmpl w:val="2818A5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34"/>
  </w:num>
  <w:num w:numId="2">
    <w:abstractNumId w:val="27"/>
  </w:num>
  <w:num w:numId="3">
    <w:abstractNumId w:val="35"/>
  </w:num>
  <w:num w:numId="4">
    <w:abstractNumId w:val="43"/>
  </w:num>
  <w:num w:numId="5">
    <w:abstractNumId w:val="23"/>
  </w:num>
  <w:num w:numId="6">
    <w:abstractNumId w:val="37"/>
  </w:num>
  <w:num w:numId="7">
    <w:abstractNumId w:val="14"/>
  </w:num>
  <w:num w:numId="8">
    <w:abstractNumId w:val="11"/>
  </w:num>
  <w:num w:numId="9">
    <w:abstractNumId w:val="39"/>
  </w:num>
  <w:num w:numId="10">
    <w:abstractNumId w:val="9"/>
  </w:num>
  <w:num w:numId="11">
    <w:abstractNumId w:val="8"/>
  </w:num>
  <w:num w:numId="12">
    <w:abstractNumId w:val="0"/>
  </w:num>
  <w:num w:numId="13">
    <w:abstractNumId w:val="32"/>
  </w:num>
  <w:num w:numId="14">
    <w:abstractNumId w:val="16"/>
  </w:num>
  <w:num w:numId="15">
    <w:abstractNumId w:val="50"/>
  </w:num>
  <w:num w:numId="16">
    <w:abstractNumId w:val="52"/>
  </w:num>
  <w:num w:numId="17">
    <w:abstractNumId w:val="13"/>
  </w:num>
  <w:num w:numId="18">
    <w:abstractNumId w:val="41"/>
  </w:num>
  <w:num w:numId="19">
    <w:abstractNumId w:val="28"/>
  </w:num>
  <w:num w:numId="20">
    <w:abstractNumId w:val="46"/>
  </w:num>
  <w:num w:numId="21">
    <w:abstractNumId w:val="24"/>
  </w:num>
  <w:num w:numId="22">
    <w:abstractNumId w:val="36"/>
  </w:num>
  <w:num w:numId="23">
    <w:abstractNumId w:val="6"/>
  </w:num>
  <w:num w:numId="24">
    <w:abstractNumId w:val="45"/>
  </w:num>
  <w:num w:numId="25">
    <w:abstractNumId w:val="18"/>
  </w:num>
  <w:num w:numId="26">
    <w:abstractNumId w:val="3"/>
  </w:num>
  <w:num w:numId="27">
    <w:abstractNumId w:val="10"/>
  </w:num>
  <w:num w:numId="28">
    <w:abstractNumId w:val="2"/>
  </w:num>
  <w:num w:numId="29">
    <w:abstractNumId w:val="42"/>
  </w:num>
  <w:num w:numId="30">
    <w:abstractNumId w:val="19"/>
  </w:num>
  <w:num w:numId="31">
    <w:abstractNumId w:val="17"/>
  </w:num>
  <w:num w:numId="32">
    <w:abstractNumId w:val="21"/>
  </w:num>
  <w:num w:numId="33">
    <w:abstractNumId w:val="15"/>
  </w:num>
  <w:num w:numId="34">
    <w:abstractNumId w:val="31"/>
  </w:num>
  <w:num w:numId="35">
    <w:abstractNumId w:val="38"/>
  </w:num>
  <w:num w:numId="36">
    <w:abstractNumId w:val="22"/>
  </w:num>
  <w:num w:numId="37">
    <w:abstractNumId w:val="29"/>
  </w:num>
  <w:num w:numId="38">
    <w:abstractNumId w:val="1"/>
  </w:num>
  <w:num w:numId="39">
    <w:abstractNumId w:val="48"/>
  </w:num>
  <w:num w:numId="40">
    <w:abstractNumId w:val="25"/>
  </w:num>
  <w:num w:numId="41">
    <w:abstractNumId w:val="4"/>
  </w:num>
  <w:num w:numId="42">
    <w:abstractNumId w:val="7"/>
  </w:num>
  <w:num w:numId="43">
    <w:abstractNumId w:val="51"/>
  </w:num>
  <w:num w:numId="44">
    <w:abstractNumId w:val="47"/>
  </w:num>
  <w:num w:numId="45">
    <w:abstractNumId w:val="40"/>
  </w:num>
  <w:num w:numId="46">
    <w:abstractNumId w:val="5"/>
  </w:num>
  <w:num w:numId="47">
    <w:abstractNumId w:val="44"/>
  </w:num>
  <w:num w:numId="48">
    <w:abstractNumId w:val="33"/>
  </w:num>
  <w:num w:numId="49">
    <w:abstractNumId w:val="49"/>
  </w:num>
  <w:num w:numId="50">
    <w:abstractNumId w:val="12"/>
  </w:num>
  <w:num w:numId="51">
    <w:abstractNumId w:val="26"/>
  </w:num>
  <w:num w:numId="52">
    <w:abstractNumId w:val="30"/>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NZ" w:vendorID="64" w:dllVersion="131078" w:nlCheck="1" w:checkStyle="1"/>
  <w:activeWritingStyle w:appName="MSWord" w:lang="en-GB" w:vendorID="64" w:dllVersion="131078" w:nlCheck="1" w:checkStyle="1"/>
  <w:activeWritingStyle w:appName="MSWord" w:lang="en-AU"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4D"/>
    <w:rsid w:val="00001539"/>
    <w:rsid w:val="00002433"/>
    <w:rsid w:val="000037F4"/>
    <w:rsid w:val="000045E7"/>
    <w:rsid w:val="00004A8A"/>
    <w:rsid w:val="00005DC9"/>
    <w:rsid w:val="00010986"/>
    <w:rsid w:val="00010F7D"/>
    <w:rsid w:val="00012338"/>
    <w:rsid w:val="00013A18"/>
    <w:rsid w:val="0001414D"/>
    <w:rsid w:val="00014196"/>
    <w:rsid w:val="000147DC"/>
    <w:rsid w:val="00015072"/>
    <w:rsid w:val="00016722"/>
    <w:rsid w:val="00016969"/>
    <w:rsid w:val="000201F7"/>
    <w:rsid w:val="0002068B"/>
    <w:rsid w:val="000226A4"/>
    <w:rsid w:val="000232EB"/>
    <w:rsid w:val="00023BAB"/>
    <w:rsid w:val="00023EA6"/>
    <w:rsid w:val="000242B8"/>
    <w:rsid w:val="00024B22"/>
    <w:rsid w:val="0002568E"/>
    <w:rsid w:val="00025954"/>
    <w:rsid w:val="000269B7"/>
    <w:rsid w:val="00030890"/>
    <w:rsid w:val="00030DEA"/>
    <w:rsid w:val="000312B5"/>
    <w:rsid w:val="00033950"/>
    <w:rsid w:val="000343E7"/>
    <w:rsid w:val="00034671"/>
    <w:rsid w:val="00035185"/>
    <w:rsid w:val="0003674D"/>
    <w:rsid w:val="00036A3D"/>
    <w:rsid w:val="00036EE4"/>
    <w:rsid w:val="00041469"/>
    <w:rsid w:val="00041CD1"/>
    <w:rsid w:val="00041FA2"/>
    <w:rsid w:val="0004221C"/>
    <w:rsid w:val="000431FE"/>
    <w:rsid w:val="000435AD"/>
    <w:rsid w:val="00045AFC"/>
    <w:rsid w:val="00046F46"/>
    <w:rsid w:val="00047559"/>
    <w:rsid w:val="000523FC"/>
    <w:rsid w:val="000526E4"/>
    <w:rsid w:val="0005434D"/>
    <w:rsid w:val="000545DC"/>
    <w:rsid w:val="00054AEB"/>
    <w:rsid w:val="0005503E"/>
    <w:rsid w:val="00055373"/>
    <w:rsid w:val="00055D70"/>
    <w:rsid w:val="00056263"/>
    <w:rsid w:val="00056E3D"/>
    <w:rsid w:val="00056F77"/>
    <w:rsid w:val="0005761E"/>
    <w:rsid w:val="00057AC4"/>
    <w:rsid w:val="000606D4"/>
    <w:rsid w:val="00060712"/>
    <w:rsid w:val="00060AAB"/>
    <w:rsid w:val="00060CD3"/>
    <w:rsid w:val="00060E2A"/>
    <w:rsid w:val="0006512F"/>
    <w:rsid w:val="000655B2"/>
    <w:rsid w:val="00070193"/>
    <w:rsid w:val="00073165"/>
    <w:rsid w:val="00073A19"/>
    <w:rsid w:val="00073F31"/>
    <w:rsid w:val="000745D3"/>
    <w:rsid w:val="00074B13"/>
    <w:rsid w:val="00074D02"/>
    <w:rsid w:val="0007562B"/>
    <w:rsid w:val="00076150"/>
    <w:rsid w:val="00080CE0"/>
    <w:rsid w:val="00080DE3"/>
    <w:rsid w:val="00082653"/>
    <w:rsid w:val="00082ABC"/>
    <w:rsid w:val="00083ADB"/>
    <w:rsid w:val="00085660"/>
    <w:rsid w:val="00086007"/>
    <w:rsid w:val="000863E2"/>
    <w:rsid w:val="00086898"/>
    <w:rsid w:val="0008712F"/>
    <w:rsid w:val="00087C41"/>
    <w:rsid w:val="00095446"/>
    <w:rsid w:val="00096BFA"/>
    <w:rsid w:val="000A073E"/>
    <w:rsid w:val="000A1268"/>
    <w:rsid w:val="000A20D1"/>
    <w:rsid w:val="000A39F4"/>
    <w:rsid w:val="000A43F8"/>
    <w:rsid w:val="000A4419"/>
    <w:rsid w:val="000A4CC3"/>
    <w:rsid w:val="000B005C"/>
    <w:rsid w:val="000B01CC"/>
    <w:rsid w:val="000B0480"/>
    <w:rsid w:val="000B0615"/>
    <w:rsid w:val="000B0C12"/>
    <w:rsid w:val="000B0D42"/>
    <w:rsid w:val="000B16BF"/>
    <w:rsid w:val="000B1D04"/>
    <w:rsid w:val="000B2052"/>
    <w:rsid w:val="000B564E"/>
    <w:rsid w:val="000B5B1E"/>
    <w:rsid w:val="000C0912"/>
    <w:rsid w:val="000C2669"/>
    <w:rsid w:val="000C26E9"/>
    <w:rsid w:val="000C3EB5"/>
    <w:rsid w:val="000C43B6"/>
    <w:rsid w:val="000C60B0"/>
    <w:rsid w:val="000C684B"/>
    <w:rsid w:val="000C6EED"/>
    <w:rsid w:val="000C79FD"/>
    <w:rsid w:val="000D012A"/>
    <w:rsid w:val="000D0FA0"/>
    <w:rsid w:val="000D1C7E"/>
    <w:rsid w:val="000D2A6B"/>
    <w:rsid w:val="000D31FE"/>
    <w:rsid w:val="000D3DD3"/>
    <w:rsid w:val="000D4F67"/>
    <w:rsid w:val="000D58B1"/>
    <w:rsid w:val="000D5E01"/>
    <w:rsid w:val="000D5FB1"/>
    <w:rsid w:val="000D6393"/>
    <w:rsid w:val="000D670A"/>
    <w:rsid w:val="000D77C0"/>
    <w:rsid w:val="000D7C12"/>
    <w:rsid w:val="000E0036"/>
    <w:rsid w:val="000E20E1"/>
    <w:rsid w:val="000E310A"/>
    <w:rsid w:val="000E3979"/>
    <w:rsid w:val="000E3CE1"/>
    <w:rsid w:val="000E73FF"/>
    <w:rsid w:val="000E7C1C"/>
    <w:rsid w:val="000F03B0"/>
    <w:rsid w:val="000F162C"/>
    <w:rsid w:val="000F1E59"/>
    <w:rsid w:val="000F3333"/>
    <w:rsid w:val="000F6F99"/>
    <w:rsid w:val="000F7020"/>
    <w:rsid w:val="00101A24"/>
    <w:rsid w:val="00103048"/>
    <w:rsid w:val="001070D7"/>
    <w:rsid w:val="00107B25"/>
    <w:rsid w:val="00110606"/>
    <w:rsid w:val="00113146"/>
    <w:rsid w:val="00114F56"/>
    <w:rsid w:val="00115660"/>
    <w:rsid w:val="001158BA"/>
    <w:rsid w:val="00115B1C"/>
    <w:rsid w:val="00116006"/>
    <w:rsid w:val="00116B51"/>
    <w:rsid w:val="00117605"/>
    <w:rsid w:val="001220C1"/>
    <w:rsid w:val="00123DBC"/>
    <w:rsid w:val="0012410B"/>
    <w:rsid w:val="00125812"/>
    <w:rsid w:val="00125ADD"/>
    <w:rsid w:val="00126CD1"/>
    <w:rsid w:val="00127757"/>
    <w:rsid w:val="00130E8F"/>
    <w:rsid w:val="00133291"/>
    <w:rsid w:val="001336E3"/>
    <w:rsid w:val="001339BB"/>
    <w:rsid w:val="00136EED"/>
    <w:rsid w:val="001376E5"/>
    <w:rsid w:val="00141B20"/>
    <w:rsid w:val="00141D39"/>
    <w:rsid w:val="00141E96"/>
    <w:rsid w:val="00142051"/>
    <w:rsid w:val="001421BB"/>
    <w:rsid w:val="00143437"/>
    <w:rsid w:val="00143971"/>
    <w:rsid w:val="00143F2D"/>
    <w:rsid w:val="00144369"/>
    <w:rsid w:val="00144ADC"/>
    <w:rsid w:val="00144BBB"/>
    <w:rsid w:val="00146FC1"/>
    <w:rsid w:val="00150815"/>
    <w:rsid w:val="00150932"/>
    <w:rsid w:val="00152D49"/>
    <w:rsid w:val="00154016"/>
    <w:rsid w:val="001550E3"/>
    <w:rsid w:val="00157E18"/>
    <w:rsid w:val="00161022"/>
    <w:rsid w:val="00161358"/>
    <w:rsid w:val="001620EB"/>
    <w:rsid w:val="0016538E"/>
    <w:rsid w:val="00166A7A"/>
    <w:rsid w:val="00166C49"/>
    <w:rsid w:val="00166C71"/>
    <w:rsid w:val="001674EB"/>
    <w:rsid w:val="00167711"/>
    <w:rsid w:val="00167EE1"/>
    <w:rsid w:val="001705C4"/>
    <w:rsid w:val="00171281"/>
    <w:rsid w:val="001712D6"/>
    <w:rsid w:val="001726B0"/>
    <w:rsid w:val="00175644"/>
    <w:rsid w:val="001767C7"/>
    <w:rsid w:val="001800AF"/>
    <w:rsid w:val="00180A3B"/>
    <w:rsid w:val="00180BD5"/>
    <w:rsid w:val="00180D17"/>
    <w:rsid w:val="00183D99"/>
    <w:rsid w:val="00183EB1"/>
    <w:rsid w:val="00184219"/>
    <w:rsid w:val="00185884"/>
    <w:rsid w:val="001901C1"/>
    <w:rsid w:val="00190331"/>
    <w:rsid w:val="0019141D"/>
    <w:rsid w:val="00191B67"/>
    <w:rsid w:val="00191EEC"/>
    <w:rsid w:val="001929BE"/>
    <w:rsid w:val="00192B2D"/>
    <w:rsid w:val="00194873"/>
    <w:rsid w:val="00194B8A"/>
    <w:rsid w:val="00194CF9"/>
    <w:rsid w:val="00197273"/>
    <w:rsid w:val="001A13C8"/>
    <w:rsid w:val="001A1C61"/>
    <w:rsid w:val="001A1DFB"/>
    <w:rsid w:val="001A5694"/>
    <w:rsid w:val="001A5BEE"/>
    <w:rsid w:val="001B0726"/>
    <w:rsid w:val="001B0A7A"/>
    <w:rsid w:val="001B0DF0"/>
    <w:rsid w:val="001B1480"/>
    <w:rsid w:val="001B1A87"/>
    <w:rsid w:val="001B1BDF"/>
    <w:rsid w:val="001B24D5"/>
    <w:rsid w:val="001B2869"/>
    <w:rsid w:val="001B3F6D"/>
    <w:rsid w:val="001B3F81"/>
    <w:rsid w:val="001B4E6C"/>
    <w:rsid w:val="001B54FC"/>
    <w:rsid w:val="001B7122"/>
    <w:rsid w:val="001C0A52"/>
    <w:rsid w:val="001C0CF6"/>
    <w:rsid w:val="001C2214"/>
    <w:rsid w:val="001C2524"/>
    <w:rsid w:val="001C38CE"/>
    <w:rsid w:val="001C41C2"/>
    <w:rsid w:val="001C68E9"/>
    <w:rsid w:val="001C6912"/>
    <w:rsid w:val="001D0A46"/>
    <w:rsid w:val="001D18E1"/>
    <w:rsid w:val="001D22ED"/>
    <w:rsid w:val="001D3440"/>
    <w:rsid w:val="001D37FB"/>
    <w:rsid w:val="001D4D62"/>
    <w:rsid w:val="001D502B"/>
    <w:rsid w:val="001D53A8"/>
    <w:rsid w:val="001D63B2"/>
    <w:rsid w:val="001D7325"/>
    <w:rsid w:val="001E0872"/>
    <w:rsid w:val="001E12C8"/>
    <w:rsid w:val="001E1714"/>
    <w:rsid w:val="001E1A8F"/>
    <w:rsid w:val="001E6AFE"/>
    <w:rsid w:val="001F0773"/>
    <w:rsid w:val="001F0DD3"/>
    <w:rsid w:val="001F1711"/>
    <w:rsid w:val="001F1A2D"/>
    <w:rsid w:val="001F21CB"/>
    <w:rsid w:val="001F6750"/>
    <w:rsid w:val="001F7D4A"/>
    <w:rsid w:val="00200311"/>
    <w:rsid w:val="002008D1"/>
    <w:rsid w:val="00202E20"/>
    <w:rsid w:val="002036AA"/>
    <w:rsid w:val="00203789"/>
    <w:rsid w:val="00204A66"/>
    <w:rsid w:val="00205334"/>
    <w:rsid w:val="002126FF"/>
    <w:rsid w:val="00213084"/>
    <w:rsid w:val="00213B41"/>
    <w:rsid w:val="00216DB5"/>
    <w:rsid w:val="00216F08"/>
    <w:rsid w:val="00217A19"/>
    <w:rsid w:val="00222550"/>
    <w:rsid w:val="00222CA5"/>
    <w:rsid w:val="00223298"/>
    <w:rsid w:val="00224A1F"/>
    <w:rsid w:val="00224BD6"/>
    <w:rsid w:val="002253E9"/>
    <w:rsid w:val="002258FC"/>
    <w:rsid w:val="00226226"/>
    <w:rsid w:val="00227D78"/>
    <w:rsid w:val="00227FE4"/>
    <w:rsid w:val="002317B4"/>
    <w:rsid w:val="00232B63"/>
    <w:rsid w:val="002331A0"/>
    <w:rsid w:val="002336F2"/>
    <w:rsid w:val="00233DC9"/>
    <w:rsid w:val="0023447D"/>
    <w:rsid w:val="00235424"/>
    <w:rsid w:val="0023708B"/>
    <w:rsid w:val="00237318"/>
    <w:rsid w:val="00237FE9"/>
    <w:rsid w:val="0024128C"/>
    <w:rsid w:val="00242026"/>
    <w:rsid w:val="00242080"/>
    <w:rsid w:val="00242612"/>
    <w:rsid w:val="002433B1"/>
    <w:rsid w:val="00244947"/>
    <w:rsid w:val="00245DA0"/>
    <w:rsid w:val="00247ADA"/>
    <w:rsid w:val="00251406"/>
    <w:rsid w:val="00251AB0"/>
    <w:rsid w:val="0025273A"/>
    <w:rsid w:val="00257836"/>
    <w:rsid w:val="002624D0"/>
    <w:rsid w:val="00264EEE"/>
    <w:rsid w:val="0026530E"/>
    <w:rsid w:val="00265DED"/>
    <w:rsid w:val="00265E6C"/>
    <w:rsid w:val="002666D2"/>
    <w:rsid w:val="00266A30"/>
    <w:rsid w:val="0026794D"/>
    <w:rsid w:val="00267FAB"/>
    <w:rsid w:val="002702C5"/>
    <w:rsid w:val="00270CAF"/>
    <w:rsid w:val="002712C8"/>
    <w:rsid w:val="002719ED"/>
    <w:rsid w:val="00271EB7"/>
    <w:rsid w:val="00271F7E"/>
    <w:rsid w:val="0027239E"/>
    <w:rsid w:val="00272E82"/>
    <w:rsid w:val="00273D5C"/>
    <w:rsid w:val="00273ECF"/>
    <w:rsid w:val="00275209"/>
    <w:rsid w:val="0027527B"/>
    <w:rsid w:val="00275B26"/>
    <w:rsid w:val="0027706F"/>
    <w:rsid w:val="00281580"/>
    <w:rsid w:val="00282243"/>
    <w:rsid w:val="00282DD1"/>
    <w:rsid w:val="00283259"/>
    <w:rsid w:val="00283AFA"/>
    <w:rsid w:val="00283D22"/>
    <w:rsid w:val="002841F6"/>
    <w:rsid w:val="00286412"/>
    <w:rsid w:val="00287942"/>
    <w:rsid w:val="00290012"/>
    <w:rsid w:val="00291CB3"/>
    <w:rsid w:val="00292783"/>
    <w:rsid w:val="002931E7"/>
    <w:rsid w:val="0029399F"/>
    <w:rsid w:val="00293E21"/>
    <w:rsid w:val="00295036"/>
    <w:rsid w:val="00295264"/>
    <w:rsid w:val="00295DFA"/>
    <w:rsid w:val="00296404"/>
    <w:rsid w:val="0029649F"/>
    <w:rsid w:val="00296605"/>
    <w:rsid w:val="002A05D3"/>
    <w:rsid w:val="002A06C6"/>
    <w:rsid w:val="002A107A"/>
    <w:rsid w:val="002A535E"/>
    <w:rsid w:val="002A5881"/>
    <w:rsid w:val="002A5E7A"/>
    <w:rsid w:val="002A78AA"/>
    <w:rsid w:val="002A7CF6"/>
    <w:rsid w:val="002B0025"/>
    <w:rsid w:val="002B0801"/>
    <w:rsid w:val="002B0A3F"/>
    <w:rsid w:val="002B4DA5"/>
    <w:rsid w:val="002B5324"/>
    <w:rsid w:val="002B56E7"/>
    <w:rsid w:val="002B5823"/>
    <w:rsid w:val="002B733A"/>
    <w:rsid w:val="002B7F4A"/>
    <w:rsid w:val="002C0074"/>
    <w:rsid w:val="002C097E"/>
    <w:rsid w:val="002C1290"/>
    <w:rsid w:val="002C2315"/>
    <w:rsid w:val="002C301D"/>
    <w:rsid w:val="002C4A38"/>
    <w:rsid w:val="002C65B8"/>
    <w:rsid w:val="002C7192"/>
    <w:rsid w:val="002C734D"/>
    <w:rsid w:val="002C744C"/>
    <w:rsid w:val="002D01BF"/>
    <w:rsid w:val="002D0FAA"/>
    <w:rsid w:val="002D1B2C"/>
    <w:rsid w:val="002D284F"/>
    <w:rsid w:val="002D2FC3"/>
    <w:rsid w:val="002D3E81"/>
    <w:rsid w:val="002D4AC3"/>
    <w:rsid w:val="002D52A0"/>
    <w:rsid w:val="002D65B9"/>
    <w:rsid w:val="002D6691"/>
    <w:rsid w:val="002E0169"/>
    <w:rsid w:val="002E04E1"/>
    <w:rsid w:val="002E062E"/>
    <w:rsid w:val="002E1226"/>
    <w:rsid w:val="002E1D30"/>
    <w:rsid w:val="002E2678"/>
    <w:rsid w:val="002E28C6"/>
    <w:rsid w:val="002E3193"/>
    <w:rsid w:val="002E4DB3"/>
    <w:rsid w:val="002E4EFE"/>
    <w:rsid w:val="002E6A89"/>
    <w:rsid w:val="002E6D37"/>
    <w:rsid w:val="002E79A6"/>
    <w:rsid w:val="002F0222"/>
    <w:rsid w:val="002F10BF"/>
    <w:rsid w:val="002F110D"/>
    <w:rsid w:val="002F32BD"/>
    <w:rsid w:val="002F4407"/>
    <w:rsid w:val="002F5A1A"/>
    <w:rsid w:val="002F6E67"/>
    <w:rsid w:val="002F71F1"/>
    <w:rsid w:val="002F7C03"/>
    <w:rsid w:val="0030111A"/>
    <w:rsid w:val="003020F3"/>
    <w:rsid w:val="003022D4"/>
    <w:rsid w:val="003038AC"/>
    <w:rsid w:val="00304235"/>
    <w:rsid w:val="00305726"/>
    <w:rsid w:val="00306E9B"/>
    <w:rsid w:val="003076FA"/>
    <w:rsid w:val="00310D70"/>
    <w:rsid w:val="0031127C"/>
    <w:rsid w:val="0031214B"/>
    <w:rsid w:val="00313F3E"/>
    <w:rsid w:val="00314A19"/>
    <w:rsid w:val="00315074"/>
    <w:rsid w:val="00315307"/>
    <w:rsid w:val="00315D17"/>
    <w:rsid w:val="00316B54"/>
    <w:rsid w:val="003176BB"/>
    <w:rsid w:val="00317E1A"/>
    <w:rsid w:val="00320A3C"/>
    <w:rsid w:val="003232C2"/>
    <w:rsid w:val="003237B0"/>
    <w:rsid w:val="0032503F"/>
    <w:rsid w:val="003262CE"/>
    <w:rsid w:val="003264ED"/>
    <w:rsid w:val="003308B4"/>
    <w:rsid w:val="00330BEF"/>
    <w:rsid w:val="00333209"/>
    <w:rsid w:val="00334A4E"/>
    <w:rsid w:val="00334E66"/>
    <w:rsid w:val="003352EF"/>
    <w:rsid w:val="003410A7"/>
    <w:rsid w:val="003418C0"/>
    <w:rsid w:val="003424A8"/>
    <w:rsid w:val="003425F7"/>
    <w:rsid w:val="00343012"/>
    <w:rsid w:val="00343233"/>
    <w:rsid w:val="00343B25"/>
    <w:rsid w:val="003441E3"/>
    <w:rsid w:val="003445EA"/>
    <w:rsid w:val="00346D64"/>
    <w:rsid w:val="00350175"/>
    <w:rsid w:val="003512A7"/>
    <w:rsid w:val="00351EC0"/>
    <w:rsid w:val="00352990"/>
    <w:rsid w:val="00353113"/>
    <w:rsid w:val="00353518"/>
    <w:rsid w:val="00355DAA"/>
    <w:rsid w:val="003613F4"/>
    <w:rsid w:val="00361819"/>
    <w:rsid w:val="00361F3D"/>
    <w:rsid w:val="00362E2F"/>
    <w:rsid w:val="00362FE1"/>
    <w:rsid w:val="00363DCE"/>
    <w:rsid w:val="00365680"/>
    <w:rsid w:val="00366424"/>
    <w:rsid w:val="00366A1A"/>
    <w:rsid w:val="00367B6E"/>
    <w:rsid w:val="00370B2E"/>
    <w:rsid w:val="00372D68"/>
    <w:rsid w:val="0037447C"/>
    <w:rsid w:val="0037458C"/>
    <w:rsid w:val="00374E9A"/>
    <w:rsid w:val="00375E7C"/>
    <w:rsid w:val="00375FFD"/>
    <w:rsid w:val="00381DB8"/>
    <w:rsid w:val="003826A0"/>
    <w:rsid w:val="00383462"/>
    <w:rsid w:val="003846FA"/>
    <w:rsid w:val="00384B58"/>
    <w:rsid w:val="00385683"/>
    <w:rsid w:val="00385EC1"/>
    <w:rsid w:val="003867C9"/>
    <w:rsid w:val="00386DD1"/>
    <w:rsid w:val="00387248"/>
    <w:rsid w:val="003876A4"/>
    <w:rsid w:val="00387CA4"/>
    <w:rsid w:val="00391389"/>
    <w:rsid w:val="00391E64"/>
    <w:rsid w:val="00395750"/>
    <w:rsid w:val="0039581F"/>
    <w:rsid w:val="00396861"/>
    <w:rsid w:val="003968F6"/>
    <w:rsid w:val="0039783E"/>
    <w:rsid w:val="003A0009"/>
    <w:rsid w:val="003A08D2"/>
    <w:rsid w:val="003A0E47"/>
    <w:rsid w:val="003A296E"/>
    <w:rsid w:val="003A4360"/>
    <w:rsid w:val="003A5586"/>
    <w:rsid w:val="003A68AA"/>
    <w:rsid w:val="003A6C2F"/>
    <w:rsid w:val="003A7561"/>
    <w:rsid w:val="003A76E4"/>
    <w:rsid w:val="003B09F2"/>
    <w:rsid w:val="003B1384"/>
    <w:rsid w:val="003B35B8"/>
    <w:rsid w:val="003B4817"/>
    <w:rsid w:val="003B4A9D"/>
    <w:rsid w:val="003B4B13"/>
    <w:rsid w:val="003B4D2C"/>
    <w:rsid w:val="003B53A6"/>
    <w:rsid w:val="003B6755"/>
    <w:rsid w:val="003B68B1"/>
    <w:rsid w:val="003C0785"/>
    <w:rsid w:val="003C1764"/>
    <w:rsid w:val="003C3049"/>
    <w:rsid w:val="003C3AD0"/>
    <w:rsid w:val="003C44BF"/>
    <w:rsid w:val="003C4E77"/>
    <w:rsid w:val="003C722C"/>
    <w:rsid w:val="003C77FA"/>
    <w:rsid w:val="003C7985"/>
    <w:rsid w:val="003C7CAC"/>
    <w:rsid w:val="003C7E67"/>
    <w:rsid w:val="003D04FC"/>
    <w:rsid w:val="003D20ED"/>
    <w:rsid w:val="003D4ED7"/>
    <w:rsid w:val="003D6531"/>
    <w:rsid w:val="003D6C84"/>
    <w:rsid w:val="003D7576"/>
    <w:rsid w:val="003E017A"/>
    <w:rsid w:val="003E1FAF"/>
    <w:rsid w:val="003E2034"/>
    <w:rsid w:val="003E20B9"/>
    <w:rsid w:val="003E34F4"/>
    <w:rsid w:val="003E3836"/>
    <w:rsid w:val="003E39B9"/>
    <w:rsid w:val="003E4AC8"/>
    <w:rsid w:val="003E4BB4"/>
    <w:rsid w:val="003E68B5"/>
    <w:rsid w:val="003E74D3"/>
    <w:rsid w:val="003F011D"/>
    <w:rsid w:val="003F14AC"/>
    <w:rsid w:val="003F27A7"/>
    <w:rsid w:val="003F2D09"/>
    <w:rsid w:val="003F34BF"/>
    <w:rsid w:val="003F37EA"/>
    <w:rsid w:val="003F47F5"/>
    <w:rsid w:val="003F59CC"/>
    <w:rsid w:val="003F5E57"/>
    <w:rsid w:val="003F5F9D"/>
    <w:rsid w:val="003F7652"/>
    <w:rsid w:val="003F7EDA"/>
    <w:rsid w:val="0040088E"/>
    <w:rsid w:val="00401D87"/>
    <w:rsid w:val="00402BF8"/>
    <w:rsid w:val="00403755"/>
    <w:rsid w:val="0040387F"/>
    <w:rsid w:val="00406227"/>
    <w:rsid w:val="00407D3B"/>
    <w:rsid w:val="0041363C"/>
    <w:rsid w:val="00414E9A"/>
    <w:rsid w:val="00415CC4"/>
    <w:rsid w:val="00415FD6"/>
    <w:rsid w:val="0041696F"/>
    <w:rsid w:val="004172F0"/>
    <w:rsid w:val="004179E9"/>
    <w:rsid w:val="00420D4C"/>
    <w:rsid w:val="00423B79"/>
    <w:rsid w:val="004240D2"/>
    <w:rsid w:val="00424ADF"/>
    <w:rsid w:val="004258FD"/>
    <w:rsid w:val="00425B7D"/>
    <w:rsid w:val="004303B8"/>
    <w:rsid w:val="00430D21"/>
    <w:rsid w:val="00431677"/>
    <w:rsid w:val="004326EF"/>
    <w:rsid w:val="00433183"/>
    <w:rsid w:val="00433AED"/>
    <w:rsid w:val="00433E5C"/>
    <w:rsid w:val="00434177"/>
    <w:rsid w:val="004342F0"/>
    <w:rsid w:val="00434992"/>
    <w:rsid w:val="004353DD"/>
    <w:rsid w:val="00435F4A"/>
    <w:rsid w:val="00436442"/>
    <w:rsid w:val="00437C49"/>
    <w:rsid w:val="004406C8"/>
    <w:rsid w:val="0044117C"/>
    <w:rsid w:val="004418F2"/>
    <w:rsid w:val="00441E81"/>
    <w:rsid w:val="00443662"/>
    <w:rsid w:val="00443DF2"/>
    <w:rsid w:val="00444E78"/>
    <w:rsid w:val="004455A5"/>
    <w:rsid w:val="00445911"/>
    <w:rsid w:val="00445F4D"/>
    <w:rsid w:val="00446050"/>
    <w:rsid w:val="00446FC1"/>
    <w:rsid w:val="00447B92"/>
    <w:rsid w:val="00447C26"/>
    <w:rsid w:val="00447F1A"/>
    <w:rsid w:val="0045085A"/>
    <w:rsid w:val="00450CBA"/>
    <w:rsid w:val="0045110A"/>
    <w:rsid w:val="00452CEF"/>
    <w:rsid w:val="00452DA2"/>
    <w:rsid w:val="004532A3"/>
    <w:rsid w:val="004547CB"/>
    <w:rsid w:val="00455363"/>
    <w:rsid w:val="00456B8F"/>
    <w:rsid w:val="00457045"/>
    <w:rsid w:val="004574C4"/>
    <w:rsid w:val="00457A91"/>
    <w:rsid w:val="004604E9"/>
    <w:rsid w:val="00460A55"/>
    <w:rsid w:val="004610FB"/>
    <w:rsid w:val="0046180A"/>
    <w:rsid w:val="00462BC6"/>
    <w:rsid w:val="00463FEB"/>
    <w:rsid w:val="00464AF1"/>
    <w:rsid w:val="004660F2"/>
    <w:rsid w:val="00467521"/>
    <w:rsid w:val="00470C11"/>
    <w:rsid w:val="00471759"/>
    <w:rsid w:val="0047175C"/>
    <w:rsid w:val="004721E0"/>
    <w:rsid w:val="00472F9C"/>
    <w:rsid w:val="00473803"/>
    <w:rsid w:val="004755FE"/>
    <w:rsid w:val="004759BF"/>
    <w:rsid w:val="00476451"/>
    <w:rsid w:val="00476857"/>
    <w:rsid w:val="00476B4E"/>
    <w:rsid w:val="0047782F"/>
    <w:rsid w:val="004828C6"/>
    <w:rsid w:val="00483EDF"/>
    <w:rsid w:val="00484675"/>
    <w:rsid w:val="00484F33"/>
    <w:rsid w:val="004869CF"/>
    <w:rsid w:val="00487545"/>
    <w:rsid w:val="00490239"/>
    <w:rsid w:val="004906F8"/>
    <w:rsid w:val="00490B11"/>
    <w:rsid w:val="00490B1D"/>
    <w:rsid w:val="00491DC5"/>
    <w:rsid w:val="004929EC"/>
    <w:rsid w:val="004935F6"/>
    <w:rsid w:val="00493B10"/>
    <w:rsid w:val="00493F24"/>
    <w:rsid w:val="00495017"/>
    <w:rsid w:val="0049615F"/>
    <w:rsid w:val="004971EF"/>
    <w:rsid w:val="004A2043"/>
    <w:rsid w:val="004A2FD9"/>
    <w:rsid w:val="004A51CB"/>
    <w:rsid w:val="004A5D55"/>
    <w:rsid w:val="004A6D51"/>
    <w:rsid w:val="004B03BE"/>
    <w:rsid w:val="004B0A80"/>
    <w:rsid w:val="004B1877"/>
    <w:rsid w:val="004B1950"/>
    <w:rsid w:val="004B2839"/>
    <w:rsid w:val="004B300A"/>
    <w:rsid w:val="004B4E7B"/>
    <w:rsid w:val="004B7418"/>
    <w:rsid w:val="004B78FA"/>
    <w:rsid w:val="004C0FBA"/>
    <w:rsid w:val="004C1080"/>
    <w:rsid w:val="004C2B29"/>
    <w:rsid w:val="004C3F7B"/>
    <w:rsid w:val="004C3FD4"/>
    <w:rsid w:val="004C47CF"/>
    <w:rsid w:val="004C4916"/>
    <w:rsid w:val="004C6A1A"/>
    <w:rsid w:val="004C78C4"/>
    <w:rsid w:val="004D104B"/>
    <w:rsid w:val="004D269F"/>
    <w:rsid w:val="004D2B88"/>
    <w:rsid w:val="004D2EB8"/>
    <w:rsid w:val="004D3474"/>
    <w:rsid w:val="004D3A3F"/>
    <w:rsid w:val="004D512D"/>
    <w:rsid w:val="004D58A1"/>
    <w:rsid w:val="004D5D38"/>
    <w:rsid w:val="004D5F58"/>
    <w:rsid w:val="004D5F74"/>
    <w:rsid w:val="004D6ED4"/>
    <w:rsid w:val="004E05E3"/>
    <w:rsid w:val="004E10E0"/>
    <w:rsid w:val="004E198A"/>
    <w:rsid w:val="004E2A32"/>
    <w:rsid w:val="004E3061"/>
    <w:rsid w:val="004E3F7E"/>
    <w:rsid w:val="004E4897"/>
    <w:rsid w:val="004E4F7F"/>
    <w:rsid w:val="004E5378"/>
    <w:rsid w:val="004E67E6"/>
    <w:rsid w:val="004F0E40"/>
    <w:rsid w:val="004F19CD"/>
    <w:rsid w:val="004F1F6E"/>
    <w:rsid w:val="004F245D"/>
    <w:rsid w:val="004F2B69"/>
    <w:rsid w:val="004F51D5"/>
    <w:rsid w:val="004F5E93"/>
    <w:rsid w:val="004F603D"/>
    <w:rsid w:val="004F6545"/>
    <w:rsid w:val="004F65B3"/>
    <w:rsid w:val="004F6D32"/>
    <w:rsid w:val="004F6FC8"/>
    <w:rsid w:val="0050046F"/>
    <w:rsid w:val="00500EEF"/>
    <w:rsid w:val="005015CE"/>
    <w:rsid w:val="005016F1"/>
    <w:rsid w:val="00501BD9"/>
    <w:rsid w:val="005041A7"/>
    <w:rsid w:val="00504E3C"/>
    <w:rsid w:val="00506456"/>
    <w:rsid w:val="00506825"/>
    <w:rsid w:val="00506DC0"/>
    <w:rsid w:val="00506FA2"/>
    <w:rsid w:val="00507196"/>
    <w:rsid w:val="005103B1"/>
    <w:rsid w:val="00511522"/>
    <w:rsid w:val="005143CC"/>
    <w:rsid w:val="00515680"/>
    <w:rsid w:val="00516FF8"/>
    <w:rsid w:val="005173F5"/>
    <w:rsid w:val="00517D7F"/>
    <w:rsid w:val="00517E7D"/>
    <w:rsid w:val="00520779"/>
    <w:rsid w:val="00521E8C"/>
    <w:rsid w:val="00523AAC"/>
    <w:rsid w:val="00523CF5"/>
    <w:rsid w:val="005246FD"/>
    <w:rsid w:val="005250E9"/>
    <w:rsid w:val="00525A4C"/>
    <w:rsid w:val="00525AC8"/>
    <w:rsid w:val="00525C51"/>
    <w:rsid w:val="00530417"/>
    <w:rsid w:val="00530B0F"/>
    <w:rsid w:val="00531C85"/>
    <w:rsid w:val="00532095"/>
    <w:rsid w:val="005320E1"/>
    <w:rsid w:val="005321B7"/>
    <w:rsid w:val="005328C3"/>
    <w:rsid w:val="0053379A"/>
    <w:rsid w:val="005337D5"/>
    <w:rsid w:val="0053679A"/>
    <w:rsid w:val="00536C08"/>
    <w:rsid w:val="00536C66"/>
    <w:rsid w:val="0054067C"/>
    <w:rsid w:val="00541C62"/>
    <w:rsid w:val="005437B7"/>
    <w:rsid w:val="00543E03"/>
    <w:rsid w:val="00545F4F"/>
    <w:rsid w:val="00545F60"/>
    <w:rsid w:val="00547154"/>
    <w:rsid w:val="005472BA"/>
    <w:rsid w:val="00547754"/>
    <w:rsid w:val="0054782B"/>
    <w:rsid w:val="0055051C"/>
    <w:rsid w:val="00550BD7"/>
    <w:rsid w:val="005520E3"/>
    <w:rsid w:val="005536BC"/>
    <w:rsid w:val="00553F8B"/>
    <w:rsid w:val="005544E5"/>
    <w:rsid w:val="00554B2A"/>
    <w:rsid w:val="00554B2F"/>
    <w:rsid w:val="00554DDD"/>
    <w:rsid w:val="00555896"/>
    <w:rsid w:val="00557118"/>
    <w:rsid w:val="005572BF"/>
    <w:rsid w:val="005612C1"/>
    <w:rsid w:val="00562B00"/>
    <w:rsid w:val="00562BC9"/>
    <w:rsid w:val="0056357E"/>
    <w:rsid w:val="00563B07"/>
    <w:rsid w:val="00564874"/>
    <w:rsid w:val="00565398"/>
    <w:rsid w:val="005662DB"/>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80450"/>
    <w:rsid w:val="00580870"/>
    <w:rsid w:val="00580CDE"/>
    <w:rsid w:val="00581009"/>
    <w:rsid w:val="005819B2"/>
    <w:rsid w:val="00582409"/>
    <w:rsid w:val="00582DC6"/>
    <w:rsid w:val="00583F9C"/>
    <w:rsid w:val="00585F5E"/>
    <w:rsid w:val="00586496"/>
    <w:rsid w:val="00586DC7"/>
    <w:rsid w:val="00587B52"/>
    <w:rsid w:val="00590BD9"/>
    <w:rsid w:val="00590D92"/>
    <w:rsid w:val="00591D93"/>
    <w:rsid w:val="00592F90"/>
    <w:rsid w:val="00593561"/>
    <w:rsid w:val="00593716"/>
    <w:rsid w:val="00594805"/>
    <w:rsid w:val="00594934"/>
    <w:rsid w:val="00596392"/>
    <w:rsid w:val="00596EAD"/>
    <w:rsid w:val="00597DFE"/>
    <w:rsid w:val="00597FAF"/>
    <w:rsid w:val="005A13E7"/>
    <w:rsid w:val="005A196E"/>
    <w:rsid w:val="005A3D06"/>
    <w:rsid w:val="005A3DA9"/>
    <w:rsid w:val="005A62E6"/>
    <w:rsid w:val="005A6CC1"/>
    <w:rsid w:val="005A6CCD"/>
    <w:rsid w:val="005A7107"/>
    <w:rsid w:val="005B174D"/>
    <w:rsid w:val="005B1762"/>
    <w:rsid w:val="005B1A81"/>
    <w:rsid w:val="005B29AF"/>
    <w:rsid w:val="005B39D2"/>
    <w:rsid w:val="005B3B36"/>
    <w:rsid w:val="005B545C"/>
    <w:rsid w:val="005B55F8"/>
    <w:rsid w:val="005B5924"/>
    <w:rsid w:val="005B6561"/>
    <w:rsid w:val="005C0312"/>
    <w:rsid w:val="005C0453"/>
    <w:rsid w:val="005C21D1"/>
    <w:rsid w:val="005C24B6"/>
    <w:rsid w:val="005C29FA"/>
    <w:rsid w:val="005C363D"/>
    <w:rsid w:val="005C3E40"/>
    <w:rsid w:val="005C5F92"/>
    <w:rsid w:val="005C6EDB"/>
    <w:rsid w:val="005C730F"/>
    <w:rsid w:val="005D0763"/>
    <w:rsid w:val="005D0FD8"/>
    <w:rsid w:val="005D217D"/>
    <w:rsid w:val="005D32FE"/>
    <w:rsid w:val="005D3DE0"/>
    <w:rsid w:val="005D4C84"/>
    <w:rsid w:val="005D4FD3"/>
    <w:rsid w:val="005D57F3"/>
    <w:rsid w:val="005D67EA"/>
    <w:rsid w:val="005E026D"/>
    <w:rsid w:val="005E0660"/>
    <w:rsid w:val="005E0B96"/>
    <w:rsid w:val="005E4156"/>
    <w:rsid w:val="005E5A02"/>
    <w:rsid w:val="005E6DB6"/>
    <w:rsid w:val="005E7559"/>
    <w:rsid w:val="005F2C40"/>
    <w:rsid w:val="005F30BB"/>
    <w:rsid w:val="005F4DCE"/>
    <w:rsid w:val="005F5FC9"/>
    <w:rsid w:val="005F75F8"/>
    <w:rsid w:val="0060046C"/>
    <w:rsid w:val="0060184B"/>
    <w:rsid w:val="00601A52"/>
    <w:rsid w:val="00601AC9"/>
    <w:rsid w:val="00602E73"/>
    <w:rsid w:val="00603627"/>
    <w:rsid w:val="006036A6"/>
    <w:rsid w:val="00603E2B"/>
    <w:rsid w:val="00603FA8"/>
    <w:rsid w:val="006050DD"/>
    <w:rsid w:val="0060587F"/>
    <w:rsid w:val="006062EF"/>
    <w:rsid w:val="0061025C"/>
    <w:rsid w:val="00610DB8"/>
    <w:rsid w:val="006121E5"/>
    <w:rsid w:val="00612D19"/>
    <w:rsid w:val="00612EC8"/>
    <w:rsid w:val="00612F53"/>
    <w:rsid w:val="0061317B"/>
    <w:rsid w:val="00613972"/>
    <w:rsid w:val="006159F2"/>
    <w:rsid w:val="00615E70"/>
    <w:rsid w:val="00616B1C"/>
    <w:rsid w:val="006170F2"/>
    <w:rsid w:val="00617398"/>
    <w:rsid w:val="0061761D"/>
    <w:rsid w:val="006207E9"/>
    <w:rsid w:val="00621E70"/>
    <w:rsid w:val="00623AC0"/>
    <w:rsid w:val="00626AC5"/>
    <w:rsid w:val="00626B7E"/>
    <w:rsid w:val="00632BA7"/>
    <w:rsid w:val="00632C89"/>
    <w:rsid w:val="00632E8C"/>
    <w:rsid w:val="00634F11"/>
    <w:rsid w:val="006359F5"/>
    <w:rsid w:val="00635A18"/>
    <w:rsid w:val="006371BF"/>
    <w:rsid w:val="006377D3"/>
    <w:rsid w:val="00637BB7"/>
    <w:rsid w:val="00641895"/>
    <w:rsid w:val="00641B29"/>
    <w:rsid w:val="0064220A"/>
    <w:rsid w:val="00642ADD"/>
    <w:rsid w:val="00643396"/>
    <w:rsid w:val="00643788"/>
    <w:rsid w:val="0064402C"/>
    <w:rsid w:val="006445A2"/>
    <w:rsid w:val="00645C45"/>
    <w:rsid w:val="00646179"/>
    <w:rsid w:val="006464FD"/>
    <w:rsid w:val="006474EE"/>
    <w:rsid w:val="0064763A"/>
    <w:rsid w:val="00653ED3"/>
    <w:rsid w:val="006544DB"/>
    <w:rsid w:val="006551BE"/>
    <w:rsid w:val="00656647"/>
    <w:rsid w:val="0065713B"/>
    <w:rsid w:val="0065713C"/>
    <w:rsid w:val="0065773E"/>
    <w:rsid w:val="006602A1"/>
    <w:rsid w:val="00660B1F"/>
    <w:rsid w:val="00662194"/>
    <w:rsid w:val="006637FA"/>
    <w:rsid w:val="00663B17"/>
    <w:rsid w:val="00665548"/>
    <w:rsid w:val="00666A40"/>
    <w:rsid w:val="0066777C"/>
    <w:rsid w:val="00671424"/>
    <w:rsid w:val="006718FA"/>
    <w:rsid w:val="006723F2"/>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5C79"/>
    <w:rsid w:val="006873EA"/>
    <w:rsid w:val="00690BCB"/>
    <w:rsid w:val="00692162"/>
    <w:rsid w:val="00692D52"/>
    <w:rsid w:val="00693024"/>
    <w:rsid w:val="0069351B"/>
    <w:rsid w:val="00694ABE"/>
    <w:rsid w:val="00694E49"/>
    <w:rsid w:val="00694F56"/>
    <w:rsid w:val="006A0E74"/>
    <w:rsid w:val="006A0FE1"/>
    <w:rsid w:val="006A218F"/>
    <w:rsid w:val="006A3F76"/>
    <w:rsid w:val="006A4054"/>
    <w:rsid w:val="006A40A1"/>
    <w:rsid w:val="006A5C00"/>
    <w:rsid w:val="006A6165"/>
    <w:rsid w:val="006A6392"/>
    <w:rsid w:val="006A7E28"/>
    <w:rsid w:val="006B2116"/>
    <w:rsid w:val="006B2982"/>
    <w:rsid w:val="006B32A4"/>
    <w:rsid w:val="006B35BE"/>
    <w:rsid w:val="006B6474"/>
    <w:rsid w:val="006B6C0A"/>
    <w:rsid w:val="006C0A4C"/>
    <w:rsid w:val="006C1B43"/>
    <w:rsid w:val="006C1D7C"/>
    <w:rsid w:val="006C3765"/>
    <w:rsid w:val="006C39BF"/>
    <w:rsid w:val="006C3EF1"/>
    <w:rsid w:val="006C4775"/>
    <w:rsid w:val="006C66C8"/>
    <w:rsid w:val="006C6FA2"/>
    <w:rsid w:val="006C7000"/>
    <w:rsid w:val="006C7763"/>
    <w:rsid w:val="006D012B"/>
    <w:rsid w:val="006D12A7"/>
    <w:rsid w:val="006D2BD5"/>
    <w:rsid w:val="006D3ECE"/>
    <w:rsid w:val="006D4E45"/>
    <w:rsid w:val="006D5350"/>
    <w:rsid w:val="006D7760"/>
    <w:rsid w:val="006E0317"/>
    <w:rsid w:val="006E0511"/>
    <w:rsid w:val="006E12C1"/>
    <w:rsid w:val="006E232A"/>
    <w:rsid w:val="006E351E"/>
    <w:rsid w:val="006E4115"/>
    <w:rsid w:val="006E4EFD"/>
    <w:rsid w:val="006E5580"/>
    <w:rsid w:val="006E607F"/>
    <w:rsid w:val="006E7CE1"/>
    <w:rsid w:val="006E7DC2"/>
    <w:rsid w:val="006F0D73"/>
    <w:rsid w:val="006F0F3E"/>
    <w:rsid w:val="006F1342"/>
    <w:rsid w:val="006F3D80"/>
    <w:rsid w:val="006F3EF5"/>
    <w:rsid w:val="006F49F0"/>
    <w:rsid w:val="006F4F2E"/>
    <w:rsid w:val="006F62E4"/>
    <w:rsid w:val="006F64B6"/>
    <w:rsid w:val="0070184A"/>
    <w:rsid w:val="00702E8D"/>
    <w:rsid w:val="0070360B"/>
    <w:rsid w:val="0070464B"/>
    <w:rsid w:val="00704726"/>
    <w:rsid w:val="007053E7"/>
    <w:rsid w:val="0070569D"/>
    <w:rsid w:val="00705884"/>
    <w:rsid w:val="00705AAA"/>
    <w:rsid w:val="00705BD1"/>
    <w:rsid w:val="007063F2"/>
    <w:rsid w:val="00706E77"/>
    <w:rsid w:val="007075B8"/>
    <w:rsid w:val="00707B2E"/>
    <w:rsid w:val="00710B00"/>
    <w:rsid w:val="00710CCE"/>
    <w:rsid w:val="00711471"/>
    <w:rsid w:val="00711E44"/>
    <w:rsid w:val="00712398"/>
    <w:rsid w:val="00716DEA"/>
    <w:rsid w:val="00717670"/>
    <w:rsid w:val="0072105B"/>
    <w:rsid w:val="0072284E"/>
    <w:rsid w:val="00723508"/>
    <w:rsid w:val="00723F63"/>
    <w:rsid w:val="00726B75"/>
    <w:rsid w:val="007303C3"/>
    <w:rsid w:val="0073286C"/>
    <w:rsid w:val="007328CC"/>
    <w:rsid w:val="007330DF"/>
    <w:rsid w:val="00733260"/>
    <w:rsid w:val="007332B8"/>
    <w:rsid w:val="00735070"/>
    <w:rsid w:val="007357E2"/>
    <w:rsid w:val="00735AD3"/>
    <w:rsid w:val="007364DA"/>
    <w:rsid w:val="007409D2"/>
    <w:rsid w:val="00742222"/>
    <w:rsid w:val="00743EA9"/>
    <w:rsid w:val="0074529C"/>
    <w:rsid w:val="007459BF"/>
    <w:rsid w:val="00747ECC"/>
    <w:rsid w:val="00750BF8"/>
    <w:rsid w:val="00750E2F"/>
    <w:rsid w:val="007515BC"/>
    <w:rsid w:val="00751863"/>
    <w:rsid w:val="00753328"/>
    <w:rsid w:val="00753433"/>
    <w:rsid w:val="00754E11"/>
    <w:rsid w:val="00756097"/>
    <w:rsid w:val="00757863"/>
    <w:rsid w:val="00757E36"/>
    <w:rsid w:val="00764F3A"/>
    <w:rsid w:val="00765CC1"/>
    <w:rsid w:val="007669BA"/>
    <w:rsid w:val="00766BCA"/>
    <w:rsid w:val="00770261"/>
    <w:rsid w:val="00771132"/>
    <w:rsid w:val="007712EA"/>
    <w:rsid w:val="0077155E"/>
    <w:rsid w:val="00772439"/>
    <w:rsid w:val="00773ACD"/>
    <w:rsid w:val="00774B8C"/>
    <w:rsid w:val="007768C5"/>
    <w:rsid w:val="0077715B"/>
    <w:rsid w:val="007773BD"/>
    <w:rsid w:val="00777B72"/>
    <w:rsid w:val="00777EEE"/>
    <w:rsid w:val="007811C0"/>
    <w:rsid w:val="007819CF"/>
    <w:rsid w:val="0078263F"/>
    <w:rsid w:val="00783657"/>
    <w:rsid w:val="007838FE"/>
    <w:rsid w:val="0078652D"/>
    <w:rsid w:val="00786840"/>
    <w:rsid w:val="00786DC1"/>
    <w:rsid w:val="00790852"/>
    <w:rsid w:val="00790EEE"/>
    <w:rsid w:val="00791030"/>
    <w:rsid w:val="007910A7"/>
    <w:rsid w:val="00791304"/>
    <w:rsid w:val="00791677"/>
    <w:rsid w:val="00791E8E"/>
    <w:rsid w:val="007931A9"/>
    <w:rsid w:val="00794E52"/>
    <w:rsid w:val="00794E6C"/>
    <w:rsid w:val="007952A7"/>
    <w:rsid w:val="00796982"/>
    <w:rsid w:val="007A02C7"/>
    <w:rsid w:val="007A05C6"/>
    <w:rsid w:val="007A2C70"/>
    <w:rsid w:val="007A318B"/>
    <w:rsid w:val="007A3268"/>
    <w:rsid w:val="007A375D"/>
    <w:rsid w:val="007A5826"/>
    <w:rsid w:val="007A657A"/>
    <w:rsid w:val="007B249F"/>
    <w:rsid w:val="007B4330"/>
    <w:rsid w:val="007B435A"/>
    <w:rsid w:val="007B5D7E"/>
    <w:rsid w:val="007B788E"/>
    <w:rsid w:val="007C17B1"/>
    <w:rsid w:val="007C43BB"/>
    <w:rsid w:val="007C6ED9"/>
    <w:rsid w:val="007C737B"/>
    <w:rsid w:val="007D1D13"/>
    <w:rsid w:val="007D20FF"/>
    <w:rsid w:val="007D367F"/>
    <w:rsid w:val="007D36F2"/>
    <w:rsid w:val="007D3B6C"/>
    <w:rsid w:val="007D57DC"/>
    <w:rsid w:val="007D641C"/>
    <w:rsid w:val="007D649F"/>
    <w:rsid w:val="007D6619"/>
    <w:rsid w:val="007E00A1"/>
    <w:rsid w:val="007E2BB1"/>
    <w:rsid w:val="007E2F2D"/>
    <w:rsid w:val="007E3A3A"/>
    <w:rsid w:val="007E3C1B"/>
    <w:rsid w:val="007E5068"/>
    <w:rsid w:val="007E6D47"/>
    <w:rsid w:val="007E71C7"/>
    <w:rsid w:val="007F0096"/>
    <w:rsid w:val="007F0331"/>
    <w:rsid w:val="007F2BB3"/>
    <w:rsid w:val="007F35FA"/>
    <w:rsid w:val="007F3724"/>
    <w:rsid w:val="007F4330"/>
    <w:rsid w:val="007F45A7"/>
    <w:rsid w:val="007F4C1B"/>
    <w:rsid w:val="007F62A9"/>
    <w:rsid w:val="00800A88"/>
    <w:rsid w:val="008022F1"/>
    <w:rsid w:val="0080288A"/>
    <w:rsid w:val="00802E2A"/>
    <w:rsid w:val="00803569"/>
    <w:rsid w:val="008049CE"/>
    <w:rsid w:val="00805BEC"/>
    <w:rsid w:val="00807058"/>
    <w:rsid w:val="0080739F"/>
    <w:rsid w:val="0080758E"/>
    <w:rsid w:val="0081025E"/>
    <w:rsid w:val="00812261"/>
    <w:rsid w:val="008124E6"/>
    <w:rsid w:val="00812B72"/>
    <w:rsid w:val="00813360"/>
    <w:rsid w:val="00813620"/>
    <w:rsid w:val="00814138"/>
    <w:rsid w:val="00814A35"/>
    <w:rsid w:val="00816A54"/>
    <w:rsid w:val="00816F3A"/>
    <w:rsid w:val="008171ED"/>
    <w:rsid w:val="00820A94"/>
    <w:rsid w:val="00822DB3"/>
    <w:rsid w:val="00823B52"/>
    <w:rsid w:val="00823B90"/>
    <w:rsid w:val="008304E8"/>
    <w:rsid w:val="00831ACA"/>
    <w:rsid w:val="00831AD5"/>
    <w:rsid w:val="00831BAA"/>
    <w:rsid w:val="00831E32"/>
    <w:rsid w:val="00834C7B"/>
    <w:rsid w:val="008356C7"/>
    <w:rsid w:val="00836367"/>
    <w:rsid w:val="008375CF"/>
    <w:rsid w:val="00840843"/>
    <w:rsid w:val="00841D77"/>
    <w:rsid w:val="008425D5"/>
    <w:rsid w:val="00843D20"/>
    <w:rsid w:val="00844454"/>
    <w:rsid w:val="00846A41"/>
    <w:rsid w:val="00847192"/>
    <w:rsid w:val="0084731D"/>
    <w:rsid w:val="00850142"/>
    <w:rsid w:val="008511D0"/>
    <w:rsid w:val="00852980"/>
    <w:rsid w:val="00852ABD"/>
    <w:rsid w:val="00855921"/>
    <w:rsid w:val="00857420"/>
    <w:rsid w:val="0085773A"/>
    <w:rsid w:val="008603F1"/>
    <w:rsid w:val="00860CCE"/>
    <w:rsid w:val="00862540"/>
    <w:rsid w:val="00862551"/>
    <w:rsid w:val="0086294E"/>
    <w:rsid w:val="00863459"/>
    <w:rsid w:val="008637E1"/>
    <w:rsid w:val="008669BF"/>
    <w:rsid w:val="00867E68"/>
    <w:rsid w:val="00872CDA"/>
    <w:rsid w:val="0087340F"/>
    <w:rsid w:val="008739DF"/>
    <w:rsid w:val="00873D37"/>
    <w:rsid w:val="00874188"/>
    <w:rsid w:val="00876879"/>
    <w:rsid w:val="0088302D"/>
    <w:rsid w:val="00883043"/>
    <w:rsid w:val="008830FE"/>
    <w:rsid w:val="00883A51"/>
    <w:rsid w:val="008841C7"/>
    <w:rsid w:val="00885271"/>
    <w:rsid w:val="00885C28"/>
    <w:rsid w:val="00885F6B"/>
    <w:rsid w:val="008866E0"/>
    <w:rsid w:val="00887803"/>
    <w:rsid w:val="00887ABA"/>
    <w:rsid w:val="00890FCE"/>
    <w:rsid w:val="00891481"/>
    <w:rsid w:val="00891AD4"/>
    <w:rsid w:val="00893A34"/>
    <w:rsid w:val="00893F1F"/>
    <w:rsid w:val="0089420F"/>
    <w:rsid w:val="008942A1"/>
    <w:rsid w:val="00897964"/>
    <w:rsid w:val="008A2903"/>
    <w:rsid w:val="008A2ECB"/>
    <w:rsid w:val="008A41D1"/>
    <w:rsid w:val="008A6B32"/>
    <w:rsid w:val="008A6D57"/>
    <w:rsid w:val="008A7DEB"/>
    <w:rsid w:val="008B14F2"/>
    <w:rsid w:val="008B39F2"/>
    <w:rsid w:val="008B7CC7"/>
    <w:rsid w:val="008C0BAD"/>
    <w:rsid w:val="008C1654"/>
    <w:rsid w:val="008C2E66"/>
    <w:rsid w:val="008C3CF3"/>
    <w:rsid w:val="008C4059"/>
    <w:rsid w:val="008C5061"/>
    <w:rsid w:val="008D262D"/>
    <w:rsid w:val="008D2F37"/>
    <w:rsid w:val="008D321E"/>
    <w:rsid w:val="008D4069"/>
    <w:rsid w:val="008D4C74"/>
    <w:rsid w:val="008D578D"/>
    <w:rsid w:val="008D5CCD"/>
    <w:rsid w:val="008D6F8D"/>
    <w:rsid w:val="008D7BBB"/>
    <w:rsid w:val="008E0799"/>
    <w:rsid w:val="008E144C"/>
    <w:rsid w:val="008E1524"/>
    <w:rsid w:val="008E1751"/>
    <w:rsid w:val="008E1D19"/>
    <w:rsid w:val="008E35D5"/>
    <w:rsid w:val="008E499D"/>
    <w:rsid w:val="008E62A7"/>
    <w:rsid w:val="008F1742"/>
    <w:rsid w:val="008F2DF5"/>
    <w:rsid w:val="008F3401"/>
    <w:rsid w:val="008F45DD"/>
    <w:rsid w:val="008F524F"/>
    <w:rsid w:val="008F546B"/>
    <w:rsid w:val="008F7B9C"/>
    <w:rsid w:val="008F7F16"/>
    <w:rsid w:val="009002D9"/>
    <w:rsid w:val="00900343"/>
    <w:rsid w:val="009011FA"/>
    <w:rsid w:val="0090245D"/>
    <w:rsid w:val="009029B8"/>
    <w:rsid w:val="00903A46"/>
    <w:rsid w:val="00907EF1"/>
    <w:rsid w:val="009112D6"/>
    <w:rsid w:val="00911779"/>
    <w:rsid w:val="00912440"/>
    <w:rsid w:val="00912583"/>
    <w:rsid w:val="00912FE6"/>
    <w:rsid w:val="0091537A"/>
    <w:rsid w:val="00915BB1"/>
    <w:rsid w:val="0091613C"/>
    <w:rsid w:val="00916AA9"/>
    <w:rsid w:val="00917703"/>
    <w:rsid w:val="00921613"/>
    <w:rsid w:val="00921AD9"/>
    <w:rsid w:val="00922DFB"/>
    <w:rsid w:val="00923537"/>
    <w:rsid w:val="00924DAD"/>
    <w:rsid w:val="00924EF9"/>
    <w:rsid w:val="00926B17"/>
    <w:rsid w:val="00930E42"/>
    <w:rsid w:val="009310F1"/>
    <w:rsid w:val="00931139"/>
    <w:rsid w:val="00931186"/>
    <w:rsid w:val="00931C60"/>
    <w:rsid w:val="00932330"/>
    <w:rsid w:val="00932EA9"/>
    <w:rsid w:val="00935333"/>
    <w:rsid w:val="0093617F"/>
    <w:rsid w:val="009366A0"/>
    <w:rsid w:val="009407EE"/>
    <w:rsid w:val="00942FEE"/>
    <w:rsid w:val="00943B26"/>
    <w:rsid w:val="00945F59"/>
    <w:rsid w:val="00950357"/>
    <w:rsid w:val="0095200D"/>
    <w:rsid w:val="009542D3"/>
    <w:rsid w:val="00956DA6"/>
    <w:rsid w:val="0095705C"/>
    <w:rsid w:val="009575E3"/>
    <w:rsid w:val="00957F52"/>
    <w:rsid w:val="00960387"/>
    <w:rsid w:val="00961C3D"/>
    <w:rsid w:val="00961DC0"/>
    <w:rsid w:val="00962484"/>
    <w:rsid w:val="0096278C"/>
    <w:rsid w:val="009643C4"/>
    <w:rsid w:val="00967BAA"/>
    <w:rsid w:val="00970DF3"/>
    <w:rsid w:val="00972F4E"/>
    <w:rsid w:val="00975870"/>
    <w:rsid w:val="00975CDC"/>
    <w:rsid w:val="009768F2"/>
    <w:rsid w:val="00981A56"/>
    <w:rsid w:val="00982C5C"/>
    <w:rsid w:val="00983242"/>
    <w:rsid w:val="00983700"/>
    <w:rsid w:val="00984467"/>
    <w:rsid w:val="0098563C"/>
    <w:rsid w:val="0098603E"/>
    <w:rsid w:val="00986F53"/>
    <w:rsid w:val="0098732F"/>
    <w:rsid w:val="0099053A"/>
    <w:rsid w:val="009918E8"/>
    <w:rsid w:val="00991ACC"/>
    <w:rsid w:val="00992345"/>
    <w:rsid w:val="00993572"/>
    <w:rsid w:val="00995D58"/>
    <w:rsid w:val="0099604A"/>
    <w:rsid w:val="009962FE"/>
    <w:rsid w:val="00997E46"/>
    <w:rsid w:val="009A0148"/>
    <w:rsid w:val="009A0E5A"/>
    <w:rsid w:val="009A1F84"/>
    <w:rsid w:val="009A237B"/>
    <w:rsid w:val="009A23EE"/>
    <w:rsid w:val="009A2450"/>
    <w:rsid w:val="009A2C24"/>
    <w:rsid w:val="009A3F37"/>
    <w:rsid w:val="009A4293"/>
    <w:rsid w:val="009A6068"/>
    <w:rsid w:val="009A6D10"/>
    <w:rsid w:val="009A7B0E"/>
    <w:rsid w:val="009B01B0"/>
    <w:rsid w:val="009B0464"/>
    <w:rsid w:val="009B1209"/>
    <w:rsid w:val="009B3F9B"/>
    <w:rsid w:val="009B4464"/>
    <w:rsid w:val="009B5ED9"/>
    <w:rsid w:val="009B687E"/>
    <w:rsid w:val="009B6DCF"/>
    <w:rsid w:val="009B6E20"/>
    <w:rsid w:val="009B78C5"/>
    <w:rsid w:val="009C06C4"/>
    <w:rsid w:val="009C2D45"/>
    <w:rsid w:val="009C4DC5"/>
    <w:rsid w:val="009C4F2E"/>
    <w:rsid w:val="009C5262"/>
    <w:rsid w:val="009C6B0A"/>
    <w:rsid w:val="009D07A9"/>
    <w:rsid w:val="009D11D6"/>
    <w:rsid w:val="009D176F"/>
    <w:rsid w:val="009D2DE5"/>
    <w:rsid w:val="009D5865"/>
    <w:rsid w:val="009D5E4C"/>
    <w:rsid w:val="009D6D25"/>
    <w:rsid w:val="009E03FB"/>
    <w:rsid w:val="009E0E63"/>
    <w:rsid w:val="009E17B9"/>
    <w:rsid w:val="009E34A3"/>
    <w:rsid w:val="009E39BD"/>
    <w:rsid w:val="009E4A34"/>
    <w:rsid w:val="009E538E"/>
    <w:rsid w:val="009E56D2"/>
    <w:rsid w:val="009F06E5"/>
    <w:rsid w:val="009F09E6"/>
    <w:rsid w:val="009F2337"/>
    <w:rsid w:val="009F39B2"/>
    <w:rsid w:val="009F4117"/>
    <w:rsid w:val="009F630C"/>
    <w:rsid w:val="009F7B9A"/>
    <w:rsid w:val="009F7F75"/>
    <w:rsid w:val="00A00152"/>
    <w:rsid w:val="00A0358C"/>
    <w:rsid w:val="00A03704"/>
    <w:rsid w:val="00A057A6"/>
    <w:rsid w:val="00A05AD3"/>
    <w:rsid w:val="00A067D6"/>
    <w:rsid w:val="00A06AC7"/>
    <w:rsid w:val="00A11311"/>
    <w:rsid w:val="00A11347"/>
    <w:rsid w:val="00A11A0D"/>
    <w:rsid w:val="00A11C67"/>
    <w:rsid w:val="00A12961"/>
    <w:rsid w:val="00A136AC"/>
    <w:rsid w:val="00A13885"/>
    <w:rsid w:val="00A13A91"/>
    <w:rsid w:val="00A144CF"/>
    <w:rsid w:val="00A1529D"/>
    <w:rsid w:val="00A169B4"/>
    <w:rsid w:val="00A16CD8"/>
    <w:rsid w:val="00A178DF"/>
    <w:rsid w:val="00A20C92"/>
    <w:rsid w:val="00A214BF"/>
    <w:rsid w:val="00A227F2"/>
    <w:rsid w:val="00A22C81"/>
    <w:rsid w:val="00A23039"/>
    <w:rsid w:val="00A239D4"/>
    <w:rsid w:val="00A240B1"/>
    <w:rsid w:val="00A241BD"/>
    <w:rsid w:val="00A260E7"/>
    <w:rsid w:val="00A2777E"/>
    <w:rsid w:val="00A30570"/>
    <w:rsid w:val="00A3103A"/>
    <w:rsid w:val="00A31268"/>
    <w:rsid w:val="00A31E8F"/>
    <w:rsid w:val="00A3580A"/>
    <w:rsid w:val="00A36596"/>
    <w:rsid w:val="00A40AF3"/>
    <w:rsid w:val="00A41C0F"/>
    <w:rsid w:val="00A41E37"/>
    <w:rsid w:val="00A41FC7"/>
    <w:rsid w:val="00A42379"/>
    <w:rsid w:val="00A44EB9"/>
    <w:rsid w:val="00A458F0"/>
    <w:rsid w:val="00A46A67"/>
    <w:rsid w:val="00A474F8"/>
    <w:rsid w:val="00A51CC9"/>
    <w:rsid w:val="00A51EF6"/>
    <w:rsid w:val="00A52763"/>
    <w:rsid w:val="00A52964"/>
    <w:rsid w:val="00A541BB"/>
    <w:rsid w:val="00A6273B"/>
    <w:rsid w:val="00A637DD"/>
    <w:rsid w:val="00A65EA6"/>
    <w:rsid w:val="00A72D91"/>
    <w:rsid w:val="00A73D4B"/>
    <w:rsid w:val="00A748A3"/>
    <w:rsid w:val="00A75223"/>
    <w:rsid w:val="00A761FA"/>
    <w:rsid w:val="00A771C0"/>
    <w:rsid w:val="00A80CA4"/>
    <w:rsid w:val="00A81192"/>
    <w:rsid w:val="00A81297"/>
    <w:rsid w:val="00A8208F"/>
    <w:rsid w:val="00A82A72"/>
    <w:rsid w:val="00A83D4F"/>
    <w:rsid w:val="00A85042"/>
    <w:rsid w:val="00A85A08"/>
    <w:rsid w:val="00A86724"/>
    <w:rsid w:val="00A8672D"/>
    <w:rsid w:val="00A90B0E"/>
    <w:rsid w:val="00A90B93"/>
    <w:rsid w:val="00A92E1D"/>
    <w:rsid w:val="00A94F1D"/>
    <w:rsid w:val="00A95810"/>
    <w:rsid w:val="00A95DA6"/>
    <w:rsid w:val="00A96235"/>
    <w:rsid w:val="00A966D1"/>
    <w:rsid w:val="00A97006"/>
    <w:rsid w:val="00A97DC2"/>
    <w:rsid w:val="00AA0305"/>
    <w:rsid w:val="00AA1E55"/>
    <w:rsid w:val="00AA2A15"/>
    <w:rsid w:val="00AA2A96"/>
    <w:rsid w:val="00AA2B71"/>
    <w:rsid w:val="00AA42A7"/>
    <w:rsid w:val="00AA50D5"/>
    <w:rsid w:val="00AA714E"/>
    <w:rsid w:val="00AB1C8B"/>
    <w:rsid w:val="00AB4B80"/>
    <w:rsid w:val="00AB578D"/>
    <w:rsid w:val="00AB6D7B"/>
    <w:rsid w:val="00AB7678"/>
    <w:rsid w:val="00AC014E"/>
    <w:rsid w:val="00AC238D"/>
    <w:rsid w:val="00AC4B7F"/>
    <w:rsid w:val="00AC5C1F"/>
    <w:rsid w:val="00AC7238"/>
    <w:rsid w:val="00AC7BEB"/>
    <w:rsid w:val="00AC7C05"/>
    <w:rsid w:val="00AD162D"/>
    <w:rsid w:val="00AD16E4"/>
    <w:rsid w:val="00AD2189"/>
    <w:rsid w:val="00AD2C02"/>
    <w:rsid w:val="00AD31A9"/>
    <w:rsid w:val="00AD5287"/>
    <w:rsid w:val="00AD6CF5"/>
    <w:rsid w:val="00AD7847"/>
    <w:rsid w:val="00AE097A"/>
    <w:rsid w:val="00AE1B5A"/>
    <w:rsid w:val="00AE204D"/>
    <w:rsid w:val="00AE2151"/>
    <w:rsid w:val="00AE249D"/>
    <w:rsid w:val="00AE31B0"/>
    <w:rsid w:val="00AE3BF2"/>
    <w:rsid w:val="00AE3EC0"/>
    <w:rsid w:val="00AE4B87"/>
    <w:rsid w:val="00AE6FC4"/>
    <w:rsid w:val="00AF0479"/>
    <w:rsid w:val="00AF1459"/>
    <w:rsid w:val="00AF26A2"/>
    <w:rsid w:val="00AF3DFB"/>
    <w:rsid w:val="00AF411C"/>
    <w:rsid w:val="00AF4B64"/>
    <w:rsid w:val="00AF4CC2"/>
    <w:rsid w:val="00AF7EC6"/>
    <w:rsid w:val="00B01B51"/>
    <w:rsid w:val="00B03333"/>
    <w:rsid w:val="00B033B6"/>
    <w:rsid w:val="00B03594"/>
    <w:rsid w:val="00B0379D"/>
    <w:rsid w:val="00B0406A"/>
    <w:rsid w:val="00B0480B"/>
    <w:rsid w:val="00B06841"/>
    <w:rsid w:val="00B06B03"/>
    <w:rsid w:val="00B07DB6"/>
    <w:rsid w:val="00B113E5"/>
    <w:rsid w:val="00B1162D"/>
    <w:rsid w:val="00B14C06"/>
    <w:rsid w:val="00B153F0"/>
    <w:rsid w:val="00B162A3"/>
    <w:rsid w:val="00B17ECC"/>
    <w:rsid w:val="00B22501"/>
    <w:rsid w:val="00B23398"/>
    <w:rsid w:val="00B245B0"/>
    <w:rsid w:val="00B26E56"/>
    <w:rsid w:val="00B31879"/>
    <w:rsid w:val="00B3311C"/>
    <w:rsid w:val="00B33125"/>
    <w:rsid w:val="00B34A3B"/>
    <w:rsid w:val="00B355C5"/>
    <w:rsid w:val="00B364C4"/>
    <w:rsid w:val="00B3673D"/>
    <w:rsid w:val="00B40E74"/>
    <w:rsid w:val="00B43601"/>
    <w:rsid w:val="00B44C6C"/>
    <w:rsid w:val="00B4757F"/>
    <w:rsid w:val="00B50290"/>
    <w:rsid w:val="00B5187A"/>
    <w:rsid w:val="00B5229A"/>
    <w:rsid w:val="00B52E33"/>
    <w:rsid w:val="00B54563"/>
    <w:rsid w:val="00B55CD1"/>
    <w:rsid w:val="00B56DDC"/>
    <w:rsid w:val="00B579D0"/>
    <w:rsid w:val="00B604A3"/>
    <w:rsid w:val="00B605F9"/>
    <w:rsid w:val="00B61C67"/>
    <w:rsid w:val="00B6314D"/>
    <w:rsid w:val="00B64BD8"/>
    <w:rsid w:val="00B67BC6"/>
    <w:rsid w:val="00B70EFF"/>
    <w:rsid w:val="00B7122D"/>
    <w:rsid w:val="00B713DA"/>
    <w:rsid w:val="00B71654"/>
    <w:rsid w:val="00B727C2"/>
    <w:rsid w:val="00B738C7"/>
    <w:rsid w:val="00B747AC"/>
    <w:rsid w:val="00B75E1D"/>
    <w:rsid w:val="00B77124"/>
    <w:rsid w:val="00B77B3D"/>
    <w:rsid w:val="00B8023E"/>
    <w:rsid w:val="00B82106"/>
    <w:rsid w:val="00B82526"/>
    <w:rsid w:val="00B82809"/>
    <w:rsid w:val="00B84247"/>
    <w:rsid w:val="00B84284"/>
    <w:rsid w:val="00B87915"/>
    <w:rsid w:val="00B9084D"/>
    <w:rsid w:val="00B91224"/>
    <w:rsid w:val="00B91420"/>
    <w:rsid w:val="00B91F89"/>
    <w:rsid w:val="00B92DEC"/>
    <w:rsid w:val="00B9370B"/>
    <w:rsid w:val="00B9525A"/>
    <w:rsid w:val="00B954ED"/>
    <w:rsid w:val="00BA015D"/>
    <w:rsid w:val="00BA064C"/>
    <w:rsid w:val="00BA08F9"/>
    <w:rsid w:val="00BA0C85"/>
    <w:rsid w:val="00BA1B22"/>
    <w:rsid w:val="00BA4091"/>
    <w:rsid w:val="00BA4735"/>
    <w:rsid w:val="00BA54D5"/>
    <w:rsid w:val="00BB2DB8"/>
    <w:rsid w:val="00BB3A50"/>
    <w:rsid w:val="00BB4D9B"/>
    <w:rsid w:val="00BB647C"/>
    <w:rsid w:val="00BC0560"/>
    <w:rsid w:val="00BC0C83"/>
    <w:rsid w:val="00BC0CDE"/>
    <w:rsid w:val="00BC2428"/>
    <w:rsid w:val="00BC33E7"/>
    <w:rsid w:val="00BC5A0A"/>
    <w:rsid w:val="00BC5BC4"/>
    <w:rsid w:val="00BC61B1"/>
    <w:rsid w:val="00BC6C39"/>
    <w:rsid w:val="00BC6FB9"/>
    <w:rsid w:val="00BC74B2"/>
    <w:rsid w:val="00BD1F16"/>
    <w:rsid w:val="00BD201F"/>
    <w:rsid w:val="00BD2113"/>
    <w:rsid w:val="00BD27A9"/>
    <w:rsid w:val="00BD27F2"/>
    <w:rsid w:val="00BD55D3"/>
    <w:rsid w:val="00BD70D5"/>
    <w:rsid w:val="00BD787F"/>
    <w:rsid w:val="00BD7E26"/>
    <w:rsid w:val="00BE00F2"/>
    <w:rsid w:val="00BE209A"/>
    <w:rsid w:val="00BE2293"/>
    <w:rsid w:val="00BE2455"/>
    <w:rsid w:val="00BE24AF"/>
    <w:rsid w:val="00BE2674"/>
    <w:rsid w:val="00BE3368"/>
    <w:rsid w:val="00BE37DF"/>
    <w:rsid w:val="00BE37E1"/>
    <w:rsid w:val="00BE4B28"/>
    <w:rsid w:val="00BE4ED0"/>
    <w:rsid w:val="00BE57F6"/>
    <w:rsid w:val="00BE6E5D"/>
    <w:rsid w:val="00BE7220"/>
    <w:rsid w:val="00BF021D"/>
    <w:rsid w:val="00BF0713"/>
    <w:rsid w:val="00BF0A5E"/>
    <w:rsid w:val="00BF0E04"/>
    <w:rsid w:val="00BF1E50"/>
    <w:rsid w:val="00BF2D80"/>
    <w:rsid w:val="00BF2DF2"/>
    <w:rsid w:val="00BF32A0"/>
    <w:rsid w:val="00BF34A5"/>
    <w:rsid w:val="00BF3828"/>
    <w:rsid w:val="00BF3C8A"/>
    <w:rsid w:val="00BF49B2"/>
    <w:rsid w:val="00BF4F4D"/>
    <w:rsid w:val="00BF5144"/>
    <w:rsid w:val="00BF5B61"/>
    <w:rsid w:val="00BF5E9D"/>
    <w:rsid w:val="00BF73ED"/>
    <w:rsid w:val="00C00747"/>
    <w:rsid w:val="00C01116"/>
    <w:rsid w:val="00C02336"/>
    <w:rsid w:val="00C03499"/>
    <w:rsid w:val="00C03680"/>
    <w:rsid w:val="00C04254"/>
    <w:rsid w:val="00C043A7"/>
    <w:rsid w:val="00C044F1"/>
    <w:rsid w:val="00C0489A"/>
    <w:rsid w:val="00C04C93"/>
    <w:rsid w:val="00C050D3"/>
    <w:rsid w:val="00C05515"/>
    <w:rsid w:val="00C0575D"/>
    <w:rsid w:val="00C0675D"/>
    <w:rsid w:val="00C10374"/>
    <w:rsid w:val="00C10C3C"/>
    <w:rsid w:val="00C12840"/>
    <w:rsid w:val="00C13480"/>
    <w:rsid w:val="00C1593D"/>
    <w:rsid w:val="00C172E3"/>
    <w:rsid w:val="00C217D7"/>
    <w:rsid w:val="00C21910"/>
    <w:rsid w:val="00C22372"/>
    <w:rsid w:val="00C22791"/>
    <w:rsid w:val="00C244FF"/>
    <w:rsid w:val="00C268EB"/>
    <w:rsid w:val="00C26907"/>
    <w:rsid w:val="00C27FC3"/>
    <w:rsid w:val="00C308D9"/>
    <w:rsid w:val="00C3312B"/>
    <w:rsid w:val="00C334E2"/>
    <w:rsid w:val="00C33D51"/>
    <w:rsid w:val="00C34065"/>
    <w:rsid w:val="00C35AFC"/>
    <w:rsid w:val="00C35BF3"/>
    <w:rsid w:val="00C3670D"/>
    <w:rsid w:val="00C41370"/>
    <w:rsid w:val="00C41907"/>
    <w:rsid w:val="00C41EED"/>
    <w:rsid w:val="00C442B6"/>
    <w:rsid w:val="00C4552C"/>
    <w:rsid w:val="00C459A1"/>
    <w:rsid w:val="00C4789A"/>
    <w:rsid w:val="00C47A2B"/>
    <w:rsid w:val="00C5096F"/>
    <w:rsid w:val="00C50CC6"/>
    <w:rsid w:val="00C5302D"/>
    <w:rsid w:val="00C5403F"/>
    <w:rsid w:val="00C55956"/>
    <w:rsid w:val="00C55CDD"/>
    <w:rsid w:val="00C5787F"/>
    <w:rsid w:val="00C57E44"/>
    <w:rsid w:val="00C60C87"/>
    <w:rsid w:val="00C60E71"/>
    <w:rsid w:val="00C61A6F"/>
    <w:rsid w:val="00C62F4A"/>
    <w:rsid w:val="00C6318D"/>
    <w:rsid w:val="00C634DB"/>
    <w:rsid w:val="00C63883"/>
    <w:rsid w:val="00C6550E"/>
    <w:rsid w:val="00C66506"/>
    <w:rsid w:val="00C70641"/>
    <w:rsid w:val="00C72423"/>
    <w:rsid w:val="00C72EF0"/>
    <w:rsid w:val="00C7318D"/>
    <w:rsid w:val="00C74CC2"/>
    <w:rsid w:val="00C76487"/>
    <w:rsid w:val="00C767DC"/>
    <w:rsid w:val="00C77322"/>
    <w:rsid w:val="00C77ACD"/>
    <w:rsid w:val="00C81584"/>
    <w:rsid w:val="00C82FC1"/>
    <w:rsid w:val="00C83726"/>
    <w:rsid w:val="00C85536"/>
    <w:rsid w:val="00C9240D"/>
    <w:rsid w:val="00C95812"/>
    <w:rsid w:val="00C96565"/>
    <w:rsid w:val="00C965D3"/>
    <w:rsid w:val="00C975F3"/>
    <w:rsid w:val="00C9766A"/>
    <w:rsid w:val="00C9795B"/>
    <w:rsid w:val="00CA1310"/>
    <w:rsid w:val="00CA27D5"/>
    <w:rsid w:val="00CA3336"/>
    <w:rsid w:val="00CA354D"/>
    <w:rsid w:val="00CA3630"/>
    <w:rsid w:val="00CA49A2"/>
    <w:rsid w:val="00CA4D80"/>
    <w:rsid w:val="00CA552A"/>
    <w:rsid w:val="00CA55AC"/>
    <w:rsid w:val="00CA5DA4"/>
    <w:rsid w:val="00CA6831"/>
    <w:rsid w:val="00CA683E"/>
    <w:rsid w:val="00CB0179"/>
    <w:rsid w:val="00CB0C87"/>
    <w:rsid w:val="00CB2115"/>
    <w:rsid w:val="00CB2278"/>
    <w:rsid w:val="00CB354D"/>
    <w:rsid w:val="00CB6BD8"/>
    <w:rsid w:val="00CB7499"/>
    <w:rsid w:val="00CB74C1"/>
    <w:rsid w:val="00CB7516"/>
    <w:rsid w:val="00CC0031"/>
    <w:rsid w:val="00CC1B2D"/>
    <w:rsid w:val="00CC2C4F"/>
    <w:rsid w:val="00CC3FDF"/>
    <w:rsid w:val="00CC4F02"/>
    <w:rsid w:val="00CC60B9"/>
    <w:rsid w:val="00CC6BD5"/>
    <w:rsid w:val="00CD08C7"/>
    <w:rsid w:val="00CD1628"/>
    <w:rsid w:val="00CD2712"/>
    <w:rsid w:val="00CD3452"/>
    <w:rsid w:val="00CD35A0"/>
    <w:rsid w:val="00CD41EE"/>
    <w:rsid w:val="00CD476F"/>
    <w:rsid w:val="00CD664F"/>
    <w:rsid w:val="00CD7C95"/>
    <w:rsid w:val="00CE0121"/>
    <w:rsid w:val="00CE060E"/>
    <w:rsid w:val="00CE3D5E"/>
    <w:rsid w:val="00CE4850"/>
    <w:rsid w:val="00CE49E7"/>
    <w:rsid w:val="00CE642E"/>
    <w:rsid w:val="00CF034B"/>
    <w:rsid w:val="00CF2A6A"/>
    <w:rsid w:val="00CF32E9"/>
    <w:rsid w:val="00CF345C"/>
    <w:rsid w:val="00CF40BB"/>
    <w:rsid w:val="00CF4CF4"/>
    <w:rsid w:val="00CF4E6C"/>
    <w:rsid w:val="00CF4E94"/>
    <w:rsid w:val="00CF56C1"/>
    <w:rsid w:val="00CF75BA"/>
    <w:rsid w:val="00D00DC0"/>
    <w:rsid w:val="00D0100E"/>
    <w:rsid w:val="00D010E3"/>
    <w:rsid w:val="00D01A19"/>
    <w:rsid w:val="00D02E90"/>
    <w:rsid w:val="00D0482D"/>
    <w:rsid w:val="00D05810"/>
    <w:rsid w:val="00D10925"/>
    <w:rsid w:val="00D10C06"/>
    <w:rsid w:val="00D149B8"/>
    <w:rsid w:val="00D15ADE"/>
    <w:rsid w:val="00D15FE1"/>
    <w:rsid w:val="00D167F9"/>
    <w:rsid w:val="00D17C95"/>
    <w:rsid w:val="00D20416"/>
    <w:rsid w:val="00D20CCF"/>
    <w:rsid w:val="00D21781"/>
    <w:rsid w:val="00D21942"/>
    <w:rsid w:val="00D21AAE"/>
    <w:rsid w:val="00D22B65"/>
    <w:rsid w:val="00D22E86"/>
    <w:rsid w:val="00D231A2"/>
    <w:rsid w:val="00D23682"/>
    <w:rsid w:val="00D2418F"/>
    <w:rsid w:val="00D257C6"/>
    <w:rsid w:val="00D30BD9"/>
    <w:rsid w:val="00D30C9F"/>
    <w:rsid w:val="00D30F8C"/>
    <w:rsid w:val="00D31275"/>
    <w:rsid w:val="00D3196B"/>
    <w:rsid w:val="00D324FC"/>
    <w:rsid w:val="00D34F77"/>
    <w:rsid w:val="00D34FBB"/>
    <w:rsid w:val="00D35F36"/>
    <w:rsid w:val="00D36CC9"/>
    <w:rsid w:val="00D378DF"/>
    <w:rsid w:val="00D41322"/>
    <w:rsid w:val="00D42B0C"/>
    <w:rsid w:val="00D43235"/>
    <w:rsid w:val="00D448DF"/>
    <w:rsid w:val="00D4781F"/>
    <w:rsid w:val="00D47AC5"/>
    <w:rsid w:val="00D50349"/>
    <w:rsid w:val="00D5090D"/>
    <w:rsid w:val="00D5113F"/>
    <w:rsid w:val="00D511BD"/>
    <w:rsid w:val="00D51775"/>
    <w:rsid w:val="00D52351"/>
    <w:rsid w:val="00D5238F"/>
    <w:rsid w:val="00D55D5A"/>
    <w:rsid w:val="00D56336"/>
    <w:rsid w:val="00D56BA7"/>
    <w:rsid w:val="00D56E08"/>
    <w:rsid w:val="00D576E9"/>
    <w:rsid w:val="00D5781D"/>
    <w:rsid w:val="00D60F74"/>
    <w:rsid w:val="00D617EF"/>
    <w:rsid w:val="00D62073"/>
    <w:rsid w:val="00D62ECD"/>
    <w:rsid w:val="00D65108"/>
    <w:rsid w:val="00D65CF2"/>
    <w:rsid w:val="00D6682C"/>
    <w:rsid w:val="00D6689F"/>
    <w:rsid w:val="00D66CF8"/>
    <w:rsid w:val="00D66DB5"/>
    <w:rsid w:val="00D677A4"/>
    <w:rsid w:val="00D67F9B"/>
    <w:rsid w:val="00D7008D"/>
    <w:rsid w:val="00D7086E"/>
    <w:rsid w:val="00D70C49"/>
    <w:rsid w:val="00D70F3A"/>
    <w:rsid w:val="00D71EDD"/>
    <w:rsid w:val="00D72442"/>
    <w:rsid w:val="00D72A73"/>
    <w:rsid w:val="00D72BEF"/>
    <w:rsid w:val="00D72C62"/>
    <w:rsid w:val="00D73886"/>
    <w:rsid w:val="00D76AB8"/>
    <w:rsid w:val="00D772B3"/>
    <w:rsid w:val="00D77A52"/>
    <w:rsid w:val="00D803AC"/>
    <w:rsid w:val="00D809EA"/>
    <w:rsid w:val="00D81611"/>
    <w:rsid w:val="00D81B58"/>
    <w:rsid w:val="00D81C14"/>
    <w:rsid w:val="00D832D5"/>
    <w:rsid w:val="00D83376"/>
    <w:rsid w:val="00D84B5D"/>
    <w:rsid w:val="00D853FF"/>
    <w:rsid w:val="00D8705F"/>
    <w:rsid w:val="00D8782F"/>
    <w:rsid w:val="00D87A07"/>
    <w:rsid w:val="00D87EF8"/>
    <w:rsid w:val="00D91E05"/>
    <w:rsid w:val="00D92270"/>
    <w:rsid w:val="00D92A15"/>
    <w:rsid w:val="00D934FF"/>
    <w:rsid w:val="00D943DD"/>
    <w:rsid w:val="00D957C0"/>
    <w:rsid w:val="00D95C72"/>
    <w:rsid w:val="00D965FE"/>
    <w:rsid w:val="00D96A95"/>
    <w:rsid w:val="00D975C5"/>
    <w:rsid w:val="00DA0546"/>
    <w:rsid w:val="00DA1332"/>
    <w:rsid w:val="00DA165C"/>
    <w:rsid w:val="00DA377B"/>
    <w:rsid w:val="00DA48F6"/>
    <w:rsid w:val="00DA5238"/>
    <w:rsid w:val="00DA53C1"/>
    <w:rsid w:val="00DA5621"/>
    <w:rsid w:val="00DA5B67"/>
    <w:rsid w:val="00DA5F0C"/>
    <w:rsid w:val="00DA7ECD"/>
    <w:rsid w:val="00DB00F5"/>
    <w:rsid w:val="00DB0934"/>
    <w:rsid w:val="00DB09E4"/>
    <w:rsid w:val="00DB1794"/>
    <w:rsid w:val="00DB2D17"/>
    <w:rsid w:val="00DB38DD"/>
    <w:rsid w:val="00DB5E4D"/>
    <w:rsid w:val="00DB5F9F"/>
    <w:rsid w:val="00DB6D1F"/>
    <w:rsid w:val="00DC11CB"/>
    <w:rsid w:val="00DC13EA"/>
    <w:rsid w:val="00DC1BB7"/>
    <w:rsid w:val="00DC36DE"/>
    <w:rsid w:val="00DC3ADA"/>
    <w:rsid w:val="00DC4A0B"/>
    <w:rsid w:val="00DC4D66"/>
    <w:rsid w:val="00DC73B8"/>
    <w:rsid w:val="00DC78F4"/>
    <w:rsid w:val="00DC7FA7"/>
    <w:rsid w:val="00DD026E"/>
    <w:rsid w:val="00DD1715"/>
    <w:rsid w:val="00DD2C4D"/>
    <w:rsid w:val="00DD31FD"/>
    <w:rsid w:val="00DD35FE"/>
    <w:rsid w:val="00DD37BF"/>
    <w:rsid w:val="00DD4340"/>
    <w:rsid w:val="00DD44AD"/>
    <w:rsid w:val="00DD45F6"/>
    <w:rsid w:val="00DD5596"/>
    <w:rsid w:val="00DD5A7F"/>
    <w:rsid w:val="00DD6B23"/>
    <w:rsid w:val="00DD6BC2"/>
    <w:rsid w:val="00DD7C13"/>
    <w:rsid w:val="00DE1E06"/>
    <w:rsid w:val="00DE342A"/>
    <w:rsid w:val="00DE48C3"/>
    <w:rsid w:val="00DE493A"/>
    <w:rsid w:val="00DE5099"/>
    <w:rsid w:val="00DE58AE"/>
    <w:rsid w:val="00DE7190"/>
    <w:rsid w:val="00DF1157"/>
    <w:rsid w:val="00DF178D"/>
    <w:rsid w:val="00DF1FF6"/>
    <w:rsid w:val="00DF2711"/>
    <w:rsid w:val="00DF2E2D"/>
    <w:rsid w:val="00DF33FA"/>
    <w:rsid w:val="00DF38C7"/>
    <w:rsid w:val="00DF4392"/>
    <w:rsid w:val="00DF4E1F"/>
    <w:rsid w:val="00DF69A1"/>
    <w:rsid w:val="00DF6DE1"/>
    <w:rsid w:val="00DF752E"/>
    <w:rsid w:val="00E0035B"/>
    <w:rsid w:val="00E00956"/>
    <w:rsid w:val="00E011B3"/>
    <w:rsid w:val="00E01A14"/>
    <w:rsid w:val="00E01A51"/>
    <w:rsid w:val="00E01E77"/>
    <w:rsid w:val="00E02EE2"/>
    <w:rsid w:val="00E0369E"/>
    <w:rsid w:val="00E04B3B"/>
    <w:rsid w:val="00E04D61"/>
    <w:rsid w:val="00E05109"/>
    <w:rsid w:val="00E05894"/>
    <w:rsid w:val="00E0642C"/>
    <w:rsid w:val="00E06BD0"/>
    <w:rsid w:val="00E06CAA"/>
    <w:rsid w:val="00E109E0"/>
    <w:rsid w:val="00E122A5"/>
    <w:rsid w:val="00E1364D"/>
    <w:rsid w:val="00E14FA3"/>
    <w:rsid w:val="00E151B6"/>
    <w:rsid w:val="00E153CF"/>
    <w:rsid w:val="00E1543D"/>
    <w:rsid w:val="00E15D9B"/>
    <w:rsid w:val="00E1688D"/>
    <w:rsid w:val="00E169B1"/>
    <w:rsid w:val="00E17572"/>
    <w:rsid w:val="00E176F6"/>
    <w:rsid w:val="00E177EE"/>
    <w:rsid w:val="00E204AA"/>
    <w:rsid w:val="00E245F0"/>
    <w:rsid w:val="00E2566D"/>
    <w:rsid w:val="00E27820"/>
    <w:rsid w:val="00E304B3"/>
    <w:rsid w:val="00E32827"/>
    <w:rsid w:val="00E329AF"/>
    <w:rsid w:val="00E342B0"/>
    <w:rsid w:val="00E350B7"/>
    <w:rsid w:val="00E356BA"/>
    <w:rsid w:val="00E361DA"/>
    <w:rsid w:val="00E3623F"/>
    <w:rsid w:val="00E37D1E"/>
    <w:rsid w:val="00E37E9D"/>
    <w:rsid w:val="00E40979"/>
    <w:rsid w:val="00E42315"/>
    <w:rsid w:val="00E4267E"/>
    <w:rsid w:val="00E426FA"/>
    <w:rsid w:val="00E435B7"/>
    <w:rsid w:val="00E43A26"/>
    <w:rsid w:val="00E4452C"/>
    <w:rsid w:val="00E466D8"/>
    <w:rsid w:val="00E46AF2"/>
    <w:rsid w:val="00E47557"/>
    <w:rsid w:val="00E503F7"/>
    <w:rsid w:val="00E534A1"/>
    <w:rsid w:val="00E5543F"/>
    <w:rsid w:val="00E555DE"/>
    <w:rsid w:val="00E5799B"/>
    <w:rsid w:val="00E6140D"/>
    <w:rsid w:val="00E61F52"/>
    <w:rsid w:val="00E6210F"/>
    <w:rsid w:val="00E6414B"/>
    <w:rsid w:val="00E64851"/>
    <w:rsid w:val="00E67C51"/>
    <w:rsid w:val="00E70BD3"/>
    <w:rsid w:val="00E71783"/>
    <w:rsid w:val="00E71967"/>
    <w:rsid w:val="00E7237E"/>
    <w:rsid w:val="00E72A5A"/>
    <w:rsid w:val="00E72D5C"/>
    <w:rsid w:val="00E735B1"/>
    <w:rsid w:val="00E73BE0"/>
    <w:rsid w:val="00E741ED"/>
    <w:rsid w:val="00E770AD"/>
    <w:rsid w:val="00E77FD2"/>
    <w:rsid w:val="00E80B71"/>
    <w:rsid w:val="00E8156B"/>
    <w:rsid w:val="00E81DCB"/>
    <w:rsid w:val="00E85206"/>
    <w:rsid w:val="00E86DAF"/>
    <w:rsid w:val="00E9039A"/>
    <w:rsid w:val="00E90B31"/>
    <w:rsid w:val="00E90BDF"/>
    <w:rsid w:val="00E929ED"/>
    <w:rsid w:val="00E937F2"/>
    <w:rsid w:val="00E940AC"/>
    <w:rsid w:val="00E94F36"/>
    <w:rsid w:val="00E95883"/>
    <w:rsid w:val="00EA01F2"/>
    <w:rsid w:val="00EA1B1F"/>
    <w:rsid w:val="00EA258A"/>
    <w:rsid w:val="00EA447E"/>
    <w:rsid w:val="00EA4DBC"/>
    <w:rsid w:val="00EA50AB"/>
    <w:rsid w:val="00EA7BD6"/>
    <w:rsid w:val="00EB005D"/>
    <w:rsid w:val="00EB037F"/>
    <w:rsid w:val="00EB043F"/>
    <w:rsid w:val="00EB10EA"/>
    <w:rsid w:val="00EB1595"/>
    <w:rsid w:val="00EB31AB"/>
    <w:rsid w:val="00EB4EFE"/>
    <w:rsid w:val="00EB5751"/>
    <w:rsid w:val="00EC175E"/>
    <w:rsid w:val="00EC22D7"/>
    <w:rsid w:val="00EC245A"/>
    <w:rsid w:val="00EC4BAE"/>
    <w:rsid w:val="00EC5B7C"/>
    <w:rsid w:val="00EC5D37"/>
    <w:rsid w:val="00EC5E97"/>
    <w:rsid w:val="00EC6A3F"/>
    <w:rsid w:val="00EC71A4"/>
    <w:rsid w:val="00EC72C4"/>
    <w:rsid w:val="00EC7964"/>
    <w:rsid w:val="00ED2391"/>
    <w:rsid w:val="00ED3DA3"/>
    <w:rsid w:val="00ED764E"/>
    <w:rsid w:val="00EE0090"/>
    <w:rsid w:val="00EE4CDF"/>
    <w:rsid w:val="00EE5A1D"/>
    <w:rsid w:val="00EE6411"/>
    <w:rsid w:val="00EE6664"/>
    <w:rsid w:val="00EE66C7"/>
    <w:rsid w:val="00EE6B2F"/>
    <w:rsid w:val="00EE70C3"/>
    <w:rsid w:val="00EE729B"/>
    <w:rsid w:val="00EF02F8"/>
    <w:rsid w:val="00EF0400"/>
    <w:rsid w:val="00EF1847"/>
    <w:rsid w:val="00EF5730"/>
    <w:rsid w:val="00EF5C83"/>
    <w:rsid w:val="00EF7D7A"/>
    <w:rsid w:val="00F002B2"/>
    <w:rsid w:val="00F00AC2"/>
    <w:rsid w:val="00F01C27"/>
    <w:rsid w:val="00F0204B"/>
    <w:rsid w:val="00F03B3D"/>
    <w:rsid w:val="00F03C5E"/>
    <w:rsid w:val="00F05177"/>
    <w:rsid w:val="00F0601A"/>
    <w:rsid w:val="00F0724E"/>
    <w:rsid w:val="00F12FA2"/>
    <w:rsid w:val="00F14C67"/>
    <w:rsid w:val="00F15518"/>
    <w:rsid w:val="00F17616"/>
    <w:rsid w:val="00F21AAF"/>
    <w:rsid w:val="00F22E5F"/>
    <w:rsid w:val="00F233B0"/>
    <w:rsid w:val="00F24E5E"/>
    <w:rsid w:val="00F25D76"/>
    <w:rsid w:val="00F26DA9"/>
    <w:rsid w:val="00F31996"/>
    <w:rsid w:val="00F31D64"/>
    <w:rsid w:val="00F3295B"/>
    <w:rsid w:val="00F33537"/>
    <w:rsid w:val="00F33736"/>
    <w:rsid w:val="00F33B09"/>
    <w:rsid w:val="00F3427F"/>
    <w:rsid w:val="00F3434E"/>
    <w:rsid w:val="00F358FC"/>
    <w:rsid w:val="00F36D4A"/>
    <w:rsid w:val="00F36D53"/>
    <w:rsid w:val="00F376EB"/>
    <w:rsid w:val="00F37FE5"/>
    <w:rsid w:val="00F40EC2"/>
    <w:rsid w:val="00F40EFA"/>
    <w:rsid w:val="00F41545"/>
    <w:rsid w:val="00F41EEA"/>
    <w:rsid w:val="00F42D69"/>
    <w:rsid w:val="00F4341D"/>
    <w:rsid w:val="00F4442C"/>
    <w:rsid w:val="00F4545C"/>
    <w:rsid w:val="00F45E80"/>
    <w:rsid w:val="00F4727E"/>
    <w:rsid w:val="00F50177"/>
    <w:rsid w:val="00F51132"/>
    <w:rsid w:val="00F51CC5"/>
    <w:rsid w:val="00F51F90"/>
    <w:rsid w:val="00F534EC"/>
    <w:rsid w:val="00F545F1"/>
    <w:rsid w:val="00F567BF"/>
    <w:rsid w:val="00F56AC0"/>
    <w:rsid w:val="00F56F0E"/>
    <w:rsid w:val="00F56F47"/>
    <w:rsid w:val="00F57335"/>
    <w:rsid w:val="00F57A39"/>
    <w:rsid w:val="00F61F72"/>
    <w:rsid w:val="00F62680"/>
    <w:rsid w:val="00F63723"/>
    <w:rsid w:val="00F63BA4"/>
    <w:rsid w:val="00F63BCA"/>
    <w:rsid w:val="00F6520D"/>
    <w:rsid w:val="00F657B3"/>
    <w:rsid w:val="00F65E9E"/>
    <w:rsid w:val="00F67849"/>
    <w:rsid w:val="00F67D23"/>
    <w:rsid w:val="00F7025D"/>
    <w:rsid w:val="00F70AAE"/>
    <w:rsid w:val="00F71868"/>
    <w:rsid w:val="00F72085"/>
    <w:rsid w:val="00F732D1"/>
    <w:rsid w:val="00F73EDF"/>
    <w:rsid w:val="00F73FF5"/>
    <w:rsid w:val="00F7490D"/>
    <w:rsid w:val="00F74EFB"/>
    <w:rsid w:val="00F7517C"/>
    <w:rsid w:val="00F76F54"/>
    <w:rsid w:val="00F7712A"/>
    <w:rsid w:val="00F77473"/>
    <w:rsid w:val="00F77955"/>
    <w:rsid w:val="00F803F8"/>
    <w:rsid w:val="00F8144D"/>
    <w:rsid w:val="00F82B0E"/>
    <w:rsid w:val="00F8415B"/>
    <w:rsid w:val="00F8426E"/>
    <w:rsid w:val="00F84424"/>
    <w:rsid w:val="00F85481"/>
    <w:rsid w:val="00F869F8"/>
    <w:rsid w:val="00F86B46"/>
    <w:rsid w:val="00F86BE3"/>
    <w:rsid w:val="00F90EFD"/>
    <w:rsid w:val="00F926D8"/>
    <w:rsid w:val="00F93F4C"/>
    <w:rsid w:val="00F9535B"/>
    <w:rsid w:val="00F9553A"/>
    <w:rsid w:val="00F95DE8"/>
    <w:rsid w:val="00F962C7"/>
    <w:rsid w:val="00F96CA2"/>
    <w:rsid w:val="00F96FD2"/>
    <w:rsid w:val="00F9780A"/>
    <w:rsid w:val="00F97EF0"/>
    <w:rsid w:val="00FA06AC"/>
    <w:rsid w:val="00FA07AE"/>
    <w:rsid w:val="00FA0E40"/>
    <w:rsid w:val="00FA13F8"/>
    <w:rsid w:val="00FA1906"/>
    <w:rsid w:val="00FA20C2"/>
    <w:rsid w:val="00FA2A44"/>
    <w:rsid w:val="00FA2EC0"/>
    <w:rsid w:val="00FA31AD"/>
    <w:rsid w:val="00FA3F1F"/>
    <w:rsid w:val="00FA47E1"/>
    <w:rsid w:val="00FA4EA3"/>
    <w:rsid w:val="00FB0933"/>
    <w:rsid w:val="00FB13E0"/>
    <w:rsid w:val="00FB38D6"/>
    <w:rsid w:val="00FB4CA8"/>
    <w:rsid w:val="00FB5EBA"/>
    <w:rsid w:val="00FB6B34"/>
    <w:rsid w:val="00FC003F"/>
    <w:rsid w:val="00FC07C4"/>
    <w:rsid w:val="00FC1496"/>
    <w:rsid w:val="00FC1619"/>
    <w:rsid w:val="00FC19E8"/>
    <w:rsid w:val="00FC1B46"/>
    <w:rsid w:val="00FC1FDE"/>
    <w:rsid w:val="00FC22CF"/>
    <w:rsid w:val="00FC3B31"/>
    <w:rsid w:val="00FC43D1"/>
    <w:rsid w:val="00FC4541"/>
    <w:rsid w:val="00FC5866"/>
    <w:rsid w:val="00FC5B63"/>
    <w:rsid w:val="00FC5E53"/>
    <w:rsid w:val="00FD0546"/>
    <w:rsid w:val="00FD0BDA"/>
    <w:rsid w:val="00FD3EB9"/>
    <w:rsid w:val="00FD48CA"/>
    <w:rsid w:val="00FD4975"/>
    <w:rsid w:val="00FD4992"/>
    <w:rsid w:val="00FD4B3E"/>
    <w:rsid w:val="00FD572B"/>
    <w:rsid w:val="00FD79FF"/>
    <w:rsid w:val="00FE0A61"/>
    <w:rsid w:val="00FE297B"/>
    <w:rsid w:val="00FE3880"/>
    <w:rsid w:val="00FE47DF"/>
    <w:rsid w:val="00FE7555"/>
    <w:rsid w:val="00FE75DD"/>
    <w:rsid w:val="00FF0C5F"/>
    <w:rsid w:val="00FF0CC1"/>
    <w:rsid w:val="00FF253E"/>
    <w:rsid w:val="00FF274C"/>
    <w:rsid w:val="00FF2B67"/>
    <w:rsid w:val="00FF354D"/>
    <w:rsid w:val="00FF4830"/>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BodyText">
    <w:name w:val="_TRBody Text"/>
    <w:link w:val="TRBodyTextChar1"/>
    <w:rsid w:val="006602A1"/>
    <w:pPr>
      <w:spacing w:line="300" w:lineRule="atLeast"/>
      <w:jc w:val="both"/>
    </w:pPr>
    <w:rPr>
      <w:sz w:val="24"/>
      <w:lang w:eastAsia="en-AU"/>
    </w:rPr>
  </w:style>
  <w:style w:type="paragraph" w:customStyle="1" w:styleId="TRListBullet">
    <w:name w:val="_TRList Bullet"/>
    <w:basedOn w:val="Normal"/>
    <w:rsid w:val="00E9039A"/>
    <w:pPr>
      <w:numPr>
        <w:numId w:val="49"/>
      </w:numPr>
      <w:spacing w:after="200" w:line="300" w:lineRule="atLeast"/>
      <w:jc w:val="both"/>
    </w:pPr>
    <w:rPr>
      <w:rFonts w:ascii="Times New Roman" w:hAnsi="Times New Roman"/>
      <w:sz w:val="24"/>
      <w:lang w:val="en-NZ" w:eastAsia="en-AU"/>
    </w:rPr>
  </w:style>
  <w:style w:type="character" w:customStyle="1" w:styleId="TRBodyTextChar1">
    <w:name w:val="_TRBody Text Char1"/>
    <w:link w:val="TRBodyText"/>
    <w:rsid w:val="00E9039A"/>
    <w:rPr>
      <w:sz w:val="24"/>
      <w:lang w:eastAsia="en-AU"/>
    </w:rPr>
  </w:style>
  <w:style w:type="paragraph" w:customStyle="1" w:styleId="TRNormal">
    <w:name w:val="_TRNormal"/>
    <w:rsid w:val="00B604A3"/>
    <w:pPr>
      <w:spacing w:line="300" w:lineRule="atLeast"/>
      <w:jc w:val="both"/>
    </w:pPr>
    <w:rPr>
      <w:sz w:val="24"/>
      <w:lang w:eastAsia="en-AU"/>
    </w:rPr>
  </w:style>
  <w:style w:type="paragraph" w:customStyle="1" w:styleId="Default">
    <w:name w:val="Default"/>
    <w:rsid w:val="00CC4F0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BodyText">
    <w:name w:val="_TRBody Text"/>
    <w:link w:val="TRBodyTextChar1"/>
    <w:rsid w:val="006602A1"/>
    <w:pPr>
      <w:spacing w:line="300" w:lineRule="atLeast"/>
      <w:jc w:val="both"/>
    </w:pPr>
    <w:rPr>
      <w:sz w:val="24"/>
      <w:lang w:eastAsia="en-AU"/>
    </w:rPr>
  </w:style>
  <w:style w:type="paragraph" w:customStyle="1" w:styleId="TRListBullet">
    <w:name w:val="_TRList Bullet"/>
    <w:basedOn w:val="Normal"/>
    <w:rsid w:val="00E9039A"/>
    <w:pPr>
      <w:numPr>
        <w:numId w:val="49"/>
      </w:numPr>
      <w:spacing w:after="200" w:line="300" w:lineRule="atLeast"/>
      <w:jc w:val="both"/>
    </w:pPr>
    <w:rPr>
      <w:rFonts w:ascii="Times New Roman" w:hAnsi="Times New Roman"/>
      <w:sz w:val="24"/>
      <w:lang w:val="en-NZ" w:eastAsia="en-AU"/>
    </w:rPr>
  </w:style>
  <w:style w:type="character" w:customStyle="1" w:styleId="TRBodyTextChar1">
    <w:name w:val="_TRBody Text Char1"/>
    <w:link w:val="TRBodyText"/>
    <w:rsid w:val="00E9039A"/>
    <w:rPr>
      <w:sz w:val="24"/>
      <w:lang w:eastAsia="en-AU"/>
    </w:rPr>
  </w:style>
  <w:style w:type="paragraph" w:customStyle="1" w:styleId="TRNormal">
    <w:name w:val="_TRNormal"/>
    <w:rsid w:val="00B604A3"/>
    <w:pPr>
      <w:spacing w:line="300" w:lineRule="atLeast"/>
      <w:jc w:val="both"/>
    </w:pPr>
    <w:rPr>
      <w:sz w:val="24"/>
      <w:lang w:eastAsia="en-AU"/>
    </w:rPr>
  </w:style>
  <w:style w:type="paragraph" w:customStyle="1" w:styleId="Default">
    <w:name w:val="Default"/>
    <w:rsid w:val="00CC4F0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3986</Words>
  <Characters>22894</Characters>
  <Application>Microsoft Office Word</Application>
  <DocSecurity>0</DocSecurity>
  <Lines>440</Lines>
  <Paragraphs>155</Paragraphs>
  <ScaleCrop>false</ScaleCrop>
  <HeadingPairs>
    <vt:vector size="2" baseType="variant">
      <vt:variant>
        <vt:lpstr>Title</vt:lpstr>
      </vt:variant>
      <vt:variant>
        <vt:i4>1</vt:i4>
      </vt:variant>
    </vt:vector>
  </HeadingPairs>
  <TitlesOfParts>
    <vt:vector size="1" baseType="lpstr">
      <vt:lpstr>Regulatory impact statement - Lloyd’s of London – tax simplification (17 October 2016)</vt:lpstr>
    </vt:vector>
  </TitlesOfParts>
  <Manager/>
  <Company>Inland Revenue</Company>
  <LinksUpToDate>false</LinksUpToDate>
  <CharactersWithSpaces>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Lloyd’s of London – tax simplification (17 October 2016)</dc:title>
  <dc:subject/>
  <dc:creator>Policy and Strategy</dc:creator>
  <cp:keywords/>
  <cp:lastModifiedBy>David Nind</cp:lastModifiedBy>
  <cp:revision>2</cp:revision>
  <dcterms:created xsi:type="dcterms:W3CDTF">2017-04-03T06:06:00Z</dcterms:created>
  <dcterms:modified xsi:type="dcterms:W3CDTF">2017-04-03T06:06:00Z</dcterms:modified>
</cp:coreProperties>
</file>