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0545DC" w:rsidRPr="004342F0" w:rsidRDefault="00E03887" w:rsidP="004342F0">
      <w:pPr>
        <w:pStyle w:val="RISheading"/>
        <w:rPr>
          <w:spacing w:val="0"/>
          <w:w w:val="100"/>
        </w:rPr>
      </w:pPr>
      <w:r>
        <w:rPr>
          <w:spacing w:val="0"/>
          <w:w w:val="100"/>
        </w:rPr>
        <w:t>Demergers</w:t>
      </w:r>
    </w:p>
    <w:p w:rsidR="000545DC" w:rsidRPr="004342F0" w:rsidRDefault="001C6912" w:rsidP="004342F0">
      <w:pPr>
        <w:pStyle w:val="RISheading"/>
        <w:rPr>
          <w:spacing w:val="0"/>
          <w:w w:val="100"/>
        </w:rPr>
      </w:pPr>
      <w:r w:rsidRPr="004342F0">
        <w:rPr>
          <w:spacing w:val="0"/>
          <w:w w:val="100"/>
        </w:rPr>
        <w:t xml:space="preserve">Agency </w:t>
      </w:r>
      <w:r w:rsidR="000545DC" w:rsidRPr="004342F0">
        <w:rPr>
          <w:spacing w:val="0"/>
          <w:w w:val="100"/>
        </w:rPr>
        <w:t xml:space="preserve">Disclosure Statement </w:t>
      </w:r>
    </w:p>
    <w:p w:rsidR="00900933"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r w:rsidR="00242B0F">
        <w:rPr>
          <w:rFonts w:ascii="Times New Roman" w:hAnsi="Times New Roman"/>
          <w:sz w:val="24"/>
          <w:szCs w:val="24"/>
        </w:rPr>
        <w:t xml:space="preserve">  </w:t>
      </w:r>
      <w:r w:rsidRPr="004342F0">
        <w:rPr>
          <w:rFonts w:ascii="Times New Roman" w:hAnsi="Times New Roman"/>
          <w:sz w:val="24"/>
          <w:szCs w:val="24"/>
        </w:rPr>
        <w:t xml:space="preserve">It provides an analysis of options to </w:t>
      </w:r>
      <w:r w:rsidR="00900933">
        <w:rPr>
          <w:rFonts w:ascii="Times New Roman" w:hAnsi="Times New Roman"/>
          <w:sz w:val="24"/>
          <w:szCs w:val="24"/>
        </w:rPr>
        <w:t xml:space="preserve">address the </w:t>
      </w:r>
      <w:r w:rsidR="00AF10C2">
        <w:rPr>
          <w:rFonts w:ascii="Times New Roman" w:hAnsi="Times New Roman"/>
          <w:sz w:val="24"/>
          <w:szCs w:val="24"/>
        </w:rPr>
        <w:t xml:space="preserve">problems with the </w:t>
      </w:r>
      <w:r w:rsidR="00900933">
        <w:rPr>
          <w:rFonts w:ascii="Times New Roman" w:hAnsi="Times New Roman"/>
          <w:sz w:val="24"/>
          <w:szCs w:val="24"/>
        </w:rPr>
        <w:t>tax treatment of demergers</w:t>
      </w:r>
      <w:r w:rsidR="00AF10C2">
        <w:rPr>
          <w:rFonts w:ascii="Times New Roman" w:hAnsi="Times New Roman"/>
          <w:sz w:val="24"/>
          <w:szCs w:val="24"/>
        </w:rPr>
        <w:t xml:space="preserve">. </w:t>
      </w:r>
      <w:r w:rsidR="00900933">
        <w:rPr>
          <w:rFonts w:ascii="Times New Roman" w:hAnsi="Times New Roman"/>
          <w:sz w:val="24"/>
          <w:szCs w:val="24"/>
        </w:rPr>
        <w:t xml:space="preserve"> </w:t>
      </w:r>
      <w:r w:rsidR="00AF10C2">
        <w:rPr>
          <w:rFonts w:ascii="Times New Roman" w:hAnsi="Times New Roman"/>
          <w:sz w:val="24"/>
          <w:szCs w:val="24"/>
        </w:rPr>
        <w:t xml:space="preserve">The current </w:t>
      </w:r>
      <w:r w:rsidR="00804CBA">
        <w:rPr>
          <w:rFonts w:ascii="Times New Roman" w:hAnsi="Times New Roman"/>
          <w:sz w:val="24"/>
          <w:szCs w:val="24"/>
        </w:rPr>
        <w:t>tax</w:t>
      </w:r>
      <w:r w:rsidR="003428C8">
        <w:rPr>
          <w:rFonts w:ascii="Times New Roman" w:hAnsi="Times New Roman"/>
          <w:sz w:val="24"/>
          <w:szCs w:val="24"/>
        </w:rPr>
        <w:t xml:space="preserve"> </w:t>
      </w:r>
      <w:r w:rsidR="00AF10C2">
        <w:rPr>
          <w:rFonts w:ascii="Times New Roman" w:hAnsi="Times New Roman"/>
          <w:sz w:val="24"/>
          <w:szCs w:val="24"/>
        </w:rPr>
        <w:t xml:space="preserve">treatment does </w:t>
      </w:r>
      <w:r w:rsidR="00900933">
        <w:rPr>
          <w:rFonts w:ascii="Times New Roman" w:hAnsi="Times New Roman"/>
          <w:sz w:val="24"/>
          <w:szCs w:val="24"/>
        </w:rPr>
        <w:t xml:space="preserve">not align with </w:t>
      </w:r>
      <w:r w:rsidR="00804CBA">
        <w:rPr>
          <w:rFonts w:ascii="Times New Roman" w:hAnsi="Times New Roman"/>
          <w:sz w:val="24"/>
          <w:szCs w:val="24"/>
        </w:rPr>
        <w:t>the</w:t>
      </w:r>
      <w:r w:rsidR="00900933">
        <w:rPr>
          <w:rFonts w:ascii="Times New Roman" w:hAnsi="Times New Roman"/>
          <w:sz w:val="24"/>
          <w:szCs w:val="24"/>
        </w:rPr>
        <w:t xml:space="preserve"> economic substance</w:t>
      </w:r>
      <w:r w:rsidR="00804CBA">
        <w:rPr>
          <w:rFonts w:ascii="Times New Roman" w:hAnsi="Times New Roman"/>
          <w:sz w:val="24"/>
          <w:szCs w:val="24"/>
        </w:rPr>
        <w:t xml:space="preserve"> of the relevant demerger</w:t>
      </w:r>
      <w:r w:rsidR="00900933">
        <w:rPr>
          <w:rFonts w:ascii="Times New Roman" w:hAnsi="Times New Roman"/>
          <w:sz w:val="24"/>
          <w:szCs w:val="24"/>
        </w:rPr>
        <w:t xml:space="preserve">.  </w:t>
      </w:r>
    </w:p>
    <w:p w:rsidR="004342F0" w:rsidRDefault="004342F0" w:rsidP="009A23EE">
      <w:pPr>
        <w:pStyle w:val="Text"/>
        <w:spacing w:before="0" w:after="0" w:line="240" w:lineRule="auto"/>
        <w:ind w:right="170"/>
        <w:rPr>
          <w:rFonts w:ascii="Times New Roman" w:hAnsi="Times New Roman"/>
          <w:sz w:val="24"/>
          <w:szCs w:val="24"/>
          <w:lang w:val="en-NZ"/>
        </w:rPr>
      </w:pPr>
    </w:p>
    <w:p w:rsidR="00116B67" w:rsidRDefault="00900933" w:rsidP="009B2F6E">
      <w:pPr>
        <w:pStyle w:val="TRBodyText"/>
        <w:tabs>
          <w:tab w:val="left" w:pos="567"/>
        </w:tabs>
        <w:rPr>
          <w:szCs w:val="24"/>
        </w:rPr>
      </w:pPr>
      <w:r>
        <w:t>A demerger describes a situation where a corporate group splits off part of itself and distributes that part to its shareholders.  The effect of a demerger is that companies which were grouped under a single shareholding are separated into two different shareholdings (initially held by the same shareholders), so they can be dealt with separately</w:t>
      </w:r>
      <w:r w:rsidR="00116B67">
        <w:t xml:space="preserve">.  </w:t>
      </w:r>
      <w:r w:rsidR="00804CBA">
        <w:t xml:space="preserve">Demergers can have real economic benefits.  </w:t>
      </w:r>
      <w:r w:rsidR="00AF10C2">
        <w:t xml:space="preserve">Generally </w:t>
      </w:r>
      <w:r w:rsidR="00116B67" w:rsidRPr="00614288">
        <w:rPr>
          <w:szCs w:val="24"/>
        </w:rPr>
        <w:t xml:space="preserve">the full value of the shares in the demerged company is a dividend for the shareholder because </w:t>
      </w:r>
      <w:r w:rsidR="00AF10C2" w:rsidRPr="00614288">
        <w:rPr>
          <w:szCs w:val="24"/>
        </w:rPr>
        <w:t>(subject to certain exceptions)</w:t>
      </w:r>
      <w:r w:rsidR="00116B67" w:rsidRPr="00614288">
        <w:rPr>
          <w:szCs w:val="24"/>
        </w:rPr>
        <w:t>a dividend</w:t>
      </w:r>
      <w:r w:rsidR="00AF10C2">
        <w:rPr>
          <w:szCs w:val="24"/>
        </w:rPr>
        <w:t xml:space="preserve"> includes</w:t>
      </w:r>
      <w:r w:rsidR="00116B67" w:rsidRPr="00614288">
        <w:rPr>
          <w:szCs w:val="24"/>
        </w:rPr>
        <w:t xml:space="preserve"> any transfer of value from a company to a shareholder that is caused by the shareholding.  </w:t>
      </w:r>
    </w:p>
    <w:p w:rsidR="009B2F6E" w:rsidRDefault="009B2F6E" w:rsidP="009B2F6E">
      <w:pPr>
        <w:pStyle w:val="TRBodyText"/>
        <w:tabs>
          <w:tab w:val="left" w:pos="567"/>
        </w:tabs>
        <w:rPr>
          <w:szCs w:val="24"/>
        </w:rPr>
      </w:pPr>
    </w:p>
    <w:p w:rsidR="009B2F6E" w:rsidRPr="009B2F6E" w:rsidRDefault="009B2F6E" w:rsidP="009B2F6E">
      <w:pPr>
        <w:pStyle w:val="TRBodyText"/>
        <w:tabs>
          <w:tab w:val="left" w:pos="567"/>
        </w:tabs>
      </w:pPr>
      <w:r>
        <w:rPr>
          <w:szCs w:val="24"/>
        </w:rPr>
        <w:t xml:space="preserve">The current tax treatment of demergers is a problem because </w:t>
      </w:r>
      <w:r w:rsidRPr="009D6CC6">
        <w:rPr>
          <w:szCs w:val="24"/>
        </w:rPr>
        <w:t>a demerger is in substance the division of a corporate group rather than a distribution of income</w:t>
      </w:r>
      <w:r>
        <w:rPr>
          <w:szCs w:val="24"/>
        </w:rPr>
        <w:t xml:space="preserve">.  </w:t>
      </w:r>
      <w:r w:rsidRPr="009B2F6E">
        <w:rPr>
          <w:szCs w:val="24"/>
        </w:rPr>
        <w:t>This issue has been raised by the New Zealand Shareholders Association</w:t>
      </w:r>
      <w:r w:rsidR="003E0B02">
        <w:rPr>
          <w:szCs w:val="24"/>
        </w:rPr>
        <w:t xml:space="preserve"> </w:t>
      </w:r>
      <w:r w:rsidRPr="009B2F6E">
        <w:rPr>
          <w:szCs w:val="24"/>
        </w:rPr>
        <w:t>as an urgent issue which req</w:t>
      </w:r>
      <w:r>
        <w:rPr>
          <w:szCs w:val="24"/>
        </w:rPr>
        <w:t>uires a legislative solution.</w:t>
      </w:r>
      <w:r w:rsidR="00502BF7">
        <w:rPr>
          <w:szCs w:val="24"/>
        </w:rPr>
        <w:t xml:space="preserve">  Due to this urgency, the focus of the proposed solution is more narrowly focussed on demergers of Australian listed companies. </w:t>
      </w:r>
    </w:p>
    <w:p w:rsidR="00D9477A" w:rsidRDefault="00D9477A" w:rsidP="009A23EE">
      <w:pPr>
        <w:pStyle w:val="Text"/>
        <w:spacing w:before="0" w:after="0" w:line="240" w:lineRule="auto"/>
        <w:ind w:right="170"/>
        <w:rPr>
          <w:rFonts w:ascii="Times New Roman" w:hAnsi="Times New Roman"/>
          <w:sz w:val="24"/>
          <w:szCs w:val="24"/>
          <w:lang w:val="en-NZ"/>
        </w:rPr>
      </w:pPr>
    </w:p>
    <w:p w:rsidR="009B2F6E" w:rsidRDefault="00502BF7"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A limitation of the analysis is that </w:t>
      </w:r>
      <w:r w:rsidRPr="00502BF7">
        <w:rPr>
          <w:rFonts w:ascii="Times New Roman" w:hAnsi="Times New Roman"/>
          <w:sz w:val="24"/>
          <w:szCs w:val="24"/>
          <w:lang w:val="en-NZ"/>
        </w:rPr>
        <w:t>Inland Revenue</w:t>
      </w:r>
      <w:r>
        <w:rPr>
          <w:rFonts w:ascii="Times New Roman" w:hAnsi="Times New Roman"/>
          <w:sz w:val="24"/>
          <w:szCs w:val="24"/>
          <w:lang w:val="en-NZ"/>
        </w:rPr>
        <w:t xml:space="preserve"> has not yet consulted more widely on the detail of the proposed demerger regime.  This was to ensure that </w:t>
      </w:r>
      <w:r w:rsidR="00B63F47" w:rsidRPr="005D3103">
        <w:rPr>
          <w:rFonts w:ascii="Times New Roman" w:hAnsi="Times New Roman"/>
          <w:sz w:val="24"/>
          <w:szCs w:val="24"/>
          <w:lang w:val="en-NZ"/>
        </w:rPr>
        <w:t xml:space="preserve">the amendments sought by the private sector can </w:t>
      </w:r>
      <w:r>
        <w:rPr>
          <w:rFonts w:ascii="Times New Roman" w:hAnsi="Times New Roman"/>
          <w:sz w:val="24"/>
          <w:szCs w:val="24"/>
          <w:lang w:val="en-NZ"/>
        </w:rPr>
        <w:t>be enacted as early as possible</w:t>
      </w:r>
      <w:r w:rsidR="00B63F47" w:rsidRPr="005D3103">
        <w:rPr>
          <w:rFonts w:ascii="Times New Roman" w:hAnsi="Times New Roman"/>
          <w:sz w:val="24"/>
          <w:szCs w:val="24"/>
          <w:lang w:val="en-NZ"/>
        </w:rPr>
        <w:t xml:space="preserve">.  However, officials intend to undertake further targeted consultation with the private sector on the detail of the demerger regime.  Changes arising from this consultation </w:t>
      </w:r>
      <w:r w:rsidR="007C5D94">
        <w:rPr>
          <w:rFonts w:ascii="Times New Roman" w:hAnsi="Times New Roman"/>
          <w:sz w:val="24"/>
          <w:szCs w:val="24"/>
          <w:lang w:val="en-NZ"/>
        </w:rPr>
        <w:t>can</w:t>
      </w:r>
      <w:r w:rsidR="007C5D94" w:rsidRPr="005D3103">
        <w:rPr>
          <w:rFonts w:ascii="Times New Roman" w:hAnsi="Times New Roman"/>
          <w:sz w:val="24"/>
          <w:szCs w:val="24"/>
          <w:lang w:val="en-NZ"/>
        </w:rPr>
        <w:t xml:space="preserve"> </w:t>
      </w:r>
      <w:r w:rsidR="00B63F47" w:rsidRPr="005D3103">
        <w:rPr>
          <w:rFonts w:ascii="Times New Roman" w:hAnsi="Times New Roman"/>
          <w:sz w:val="24"/>
          <w:szCs w:val="24"/>
          <w:lang w:val="en-NZ"/>
        </w:rPr>
        <w:t xml:space="preserve">be incorporated into the proposals </w:t>
      </w:r>
      <w:r w:rsidR="009B2F6E" w:rsidRPr="005D3103">
        <w:rPr>
          <w:rFonts w:ascii="Times New Roman" w:hAnsi="Times New Roman"/>
          <w:sz w:val="24"/>
          <w:szCs w:val="24"/>
          <w:lang w:val="en-NZ"/>
        </w:rPr>
        <w:t xml:space="preserve">before the introduction of the bill.  </w:t>
      </w:r>
    </w:p>
    <w:p w:rsidR="00085660" w:rsidRPr="00B63F47" w:rsidRDefault="00085660" w:rsidP="009A23EE">
      <w:pPr>
        <w:pStyle w:val="Text"/>
        <w:spacing w:before="0" w:after="0" w:line="240" w:lineRule="auto"/>
        <w:ind w:right="170"/>
        <w:rPr>
          <w:rFonts w:ascii="Times New Roman" w:hAnsi="Times New Roman"/>
          <w:sz w:val="24"/>
          <w:szCs w:val="24"/>
          <w:highlight w:val="yellow"/>
          <w:lang w:val="en-NZ"/>
        </w:rPr>
      </w:pPr>
    </w:p>
    <w:p w:rsidR="00963054" w:rsidRPr="00963054" w:rsidRDefault="00502BF7"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A further limitation is that i</w:t>
      </w:r>
      <w:r w:rsidR="009B2F6E" w:rsidRPr="00963054">
        <w:rPr>
          <w:rFonts w:ascii="Times New Roman" w:hAnsi="Times New Roman"/>
          <w:sz w:val="24"/>
          <w:szCs w:val="24"/>
          <w:lang w:val="en-NZ"/>
        </w:rPr>
        <w:t xml:space="preserve">t is not </w:t>
      </w:r>
      <w:r w:rsidR="00B63F47" w:rsidRPr="00963054">
        <w:rPr>
          <w:rFonts w:ascii="Times New Roman" w:hAnsi="Times New Roman"/>
          <w:sz w:val="24"/>
          <w:szCs w:val="24"/>
          <w:lang w:val="en-NZ"/>
        </w:rPr>
        <w:t>possible to accurately</w:t>
      </w:r>
      <w:r w:rsidR="009B2F6E" w:rsidRPr="00963054">
        <w:rPr>
          <w:rFonts w:ascii="Times New Roman" w:hAnsi="Times New Roman"/>
          <w:sz w:val="24"/>
          <w:szCs w:val="24"/>
          <w:lang w:val="en-NZ"/>
        </w:rPr>
        <w:t xml:space="preserve"> </w:t>
      </w:r>
      <w:r w:rsidR="00410A88" w:rsidRPr="00963054">
        <w:rPr>
          <w:rFonts w:ascii="Times New Roman" w:hAnsi="Times New Roman"/>
          <w:sz w:val="24"/>
          <w:szCs w:val="24"/>
          <w:lang w:val="en-NZ"/>
        </w:rPr>
        <w:t>quantify</w:t>
      </w:r>
      <w:r w:rsidR="009B2F6E" w:rsidRPr="00963054">
        <w:rPr>
          <w:rFonts w:ascii="Times New Roman" w:hAnsi="Times New Roman"/>
          <w:sz w:val="24"/>
          <w:szCs w:val="24"/>
          <w:lang w:val="en-NZ"/>
        </w:rPr>
        <w:t xml:space="preserve"> the size of the problem, </w:t>
      </w:r>
      <w:r w:rsidR="00B63F47" w:rsidRPr="00963054">
        <w:rPr>
          <w:rFonts w:ascii="Times New Roman" w:hAnsi="Times New Roman"/>
          <w:sz w:val="24"/>
          <w:szCs w:val="24"/>
          <w:lang w:val="en-NZ"/>
        </w:rPr>
        <w:t xml:space="preserve">as the number and size of Australian demergers varies from year to year and Inland Revenue does not record the income returned by New Zealand shareholders on such demergers.  </w:t>
      </w:r>
      <w:r w:rsidR="00410A88" w:rsidRPr="00963054">
        <w:rPr>
          <w:rFonts w:ascii="Times New Roman" w:hAnsi="Times New Roman"/>
          <w:sz w:val="24"/>
          <w:szCs w:val="24"/>
          <w:lang w:val="en-NZ"/>
        </w:rPr>
        <w:t xml:space="preserve">However, </w:t>
      </w:r>
      <w:r w:rsidR="00963054" w:rsidRPr="00963054">
        <w:rPr>
          <w:rFonts w:ascii="Times New Roman" w:hAnsi="Times New Roman"/>
          <w:sz w:val="24"/>
          <w:szCs w:val="24"/>
          <w:lang w:val="en-NZ"/>
        </w:rPr>
        <w:t>it is underst</w:t>
      </w:r>
      <w:r>
        <w:rPr>
          <w:rFonts w:ascii="Times New Roman" w:hAnsi="Times New Roman"/>
          <w:sz w:val="24"/>
          <w:szCs w:val="24"/>
          <w:lang w:val="en-NZ"/>
        </w:rPr>
        <w:t>ood</w:t>
      </w:r>
      <w:r w:rsidR="00963054" w:rsidRPr="00963054">
        <w:rPr>
          <w:rFonts w:ascii="Times New Roman" w:hAnsi="Times New Roman"/>
          <w:sz w:val="24"/>
          <w:szCs w:val="24"/>
          <w:lang w:val="en-NZ"/>
        </w:rPr>
        <w:t xml:space="preserve"> that recent high profile demergers</w:t>
      </w:r>
      <w:r w:rsidR="00BE2046">
        <w:rPr>
          <w:rFonts w:ascii="Times New Roman" w:hAnsi="Times New Roman"/>
          <w:sz w:val="24"/>
          <w:szCs w:val="24"/>
          <w:lang w:val="en-NZ"/>
        </w:rPr>
        <w:t xml:space="preserve"> of Australian listed companies</w:t>
      </w:r>
      <w:r w:rsidR="00963054" w:rsidRPr="00963054">
        <w:rPr>
          <w:rFonts w:ascii="Times New Roman" w:hAnsi="Times New Roman"/>
          <w:sz w:val="24"/>
          <w:szCs w:val="24"/>
          <w:lang w:val="en-NZ"/>
        </w:rPr>
        <w:t xml:space="preserve"> could have impacted thousands of New Zealand shareholders.   </w:t>
      </w:r>
      <w:r w:rsidR="00410A88" w:rsidRPr="00963054">
        <w:rPr>
          <w:rFonts w:ascii="Times New Roman" w:hAnsi="Times New Roman"/>
          <w:sz w:val="24"/>
          <w:szCs w:val="24"/>
          <w:lang w:val="en-NZ"/>
        </w:rPr>
        <w:t xml:space="preserve"> </w:t>
      </w:r>
    </w:p>
    <w:p w:rsidR="005D3103" w:rsidRDefault="005D3103" w:rsidP="009A23EE">
      <w:pPr>
        <w:pStyle w:val="Text"/>
        <w:spacing w:before="0" w:after="0" w:line="240" w:lineRule="auto"/>
        <w:ind w:right="170"/>
        <w:rPr>
          <w:rFonts w:ascii="Times New Roman" w:hAnsi="Times New Roman"/>
          <w:sz w:val="24"/>
          <w:szCs w:val="24"/>
          <w:lang w:val="en-NZ"/>
        </w:rPr>
      </w:pPr>
    </w:p>
    <w:p w:rsidR="005D3103" w:rsidRDefault="005D3103" w:rsidP="009A23EE">
      <w:pPr>
        <w:pStyle w:val="Text"/>
        <w:spacing w:before="0" w:after="0" w:line="240" w:lineRule="auto"/>
        <w:ind w:right="170"/>
        <w:rPr>
          <w:rFonts w:ascii="Times New Roman" w:hAnsi="Times New Roman"/>
          <w:sz w:val="24"/>
          <w:szCs w:val="24"/>
          <w:lang w:val="en-NZ"/>
        </w:rPr>
      </w:pPr>
    </w:p>
    <w:p w:rsidR="00645FB2" w:rsidRPr="004342F0" w:rsidRDefault="00645FB2" w:rsidP="009A23EE">
      <w:pPr>
        <w:pStyle w:val="Text"/>
        <w:spacing w:before="0" w:after="0" w:line="240" w:lineRule="auto"/>
        <w:ind w:right="170"/>
        <w:rPr>
          <w:rFonts w:ascii="Times New Roman" w:hAnsi="Times New Roman"/>
          <w:sz w:val="24"/>
          <w:szCs w:val="24"/>
          <w:lang w:val="en-NZ"/>
        </w:rPr>
      </w:pPr>
    </w:p>
    <w:p w:rsidR="00085660" w:rsidRPr="004342F0" w:rsidRDefault="00085660" w:rsidP="009A23EE">
      <w:pPr>
        <w:pStyle w:val="Text"/>
        <w:spacing w:before="0" w:after="0" w:line="240" w:lineRule="auto"/>
        <w:ind w:right="170"/>
        <w:rPr>
          <w:rFonts w:ascii="Times New Roman" w:hAnsi="Times New Roman"/>
          <w:sz w:val="24"/>
          <w:szCs w:val="24"/>
          <w:lang w:val="en-NZ"/>
        </w:rPr>
      </w:pPr>
    </w:p>
    <w:p w:rsidR="00085660" w:rsidRPr="004342F0" w:rsidRDefault="00900933"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Peter Frawley</w:t>
      </w:r>
    </w:p>
    <w:p w:rsidR="009F7B9A" w:rsidRPr="004342F0" w:rsidRDefault="00900933"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Policy </w:t>
      </w:r>
      <w:r w:rsidR="00242B0F">
        <w:rPr>
          <w:rFonts w:ascii="Times New Roman" w:hAnsi="Times New Roman"/>
          <w:sz w:val="24"/>
          <w:szCs w:val="24"/>
          <w:lang w:val="en-NZ"/>
        </w:rPr>
        <w:t>M</w:t>
      </w:r>
      <w:r>
        <w:rPr>
          <w:rFonts w:ascii="Times New Roman" w:hAnsi="Times New Roman"/>
          <w:sz w:val="24"/>
          <w:szCs w:val="24"/>
          <w:lang w:val="en-NZ"/>
        </w:rPr>
        <w:t>anager,</w:t>
      </w:r>
      <w:r w:rsidR="005A62E6">
        <w:rPr>
          <w:rFonts w:ascii="Times New Roman" w:hAnsi="Times New Roman"/>
          <w:sz w:val="24"/>
          <w:szCs w:val="24"/>
          <w:lang w:val="en-NZ"/>
        </w:rPr>
        <w:t xml:space="preserve"> Policy and Strategy</w:t>
      </w:r>
    </w:p>
    <w:p w:rsidR="001C6912" w:rsidRPr="004342F0" w:rsidRDefault="001C6912" w:rsidP="004342F0">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4342F0" w:rsidRDefault="000545DC" w:rsidP="004342F0">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3E4296"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17 October 2017</w:t>
      </w:r>
    </w:p>
    <w:p w:rsidR="001A0E62" w:rsidRDefault="001A0E62" w:rsidP="002A4A7B">
      <w:pPr>
        <w:pStyle w:val="RISheading"/>
        <w:rPr>
          <w:spacing w:val="0"/>
          <w:w w:val="100"/>
        </w:rPr>
      </w:pPr>
      <w:bookmarkStart w:id="7" w:name="_Toc244580363"/>
      <w:bookmarkStart w:id="8" w:name="_Toc244587039"/>
      <w:bookmarkStart w:id="9" w:name="_Toc244857273"/>
      <w:bookmarkStart w:id="10" w:name="_Toc244912538"/>
      <w:bookmarkStart w:id="11" w:name="_Toc244916995"/>
    </w:p>
    <w:p w:rsidR="002A4A7B" w:rsidRPr="002A4A7B" w:rsidRDefault="001C6912" w:rsidP="002A4A7B">
      <w:pPr>
        <w:pStyle w:val="RISheading"/>
        <w:rPr>
          <w:spacing w:val="0"/>
          <w:w w:val="100"/>
        </w:rPr>
      </w:pPr>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rsidR="00614288" w:rsidRDefault="00614288" w:rsidP="002715A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614288">
        <w:rPr>
          <w:rFonts w:ascii="Times New Roman" w:hAnsi="Times New Roman"/>
          <w:sz w:val="24"/>
          <w:szCs w:val="24"/>
        </w:rPr>
        <w:t xml:space="preserve">A demerger, or spin-off, is where a corporate group splits off part of itself and transfers that part to its shareholders.  This can occur by the parent company distributing an existing subsidiary to its shareholders, or by an operating company transferring part of its own business to a new subsidiary, and then distributing that subsidiary to its shareholders.  </w:t>
      </w:r>
    </w:p>
    <w:p w:rsidR="00CB4463" w:rsidRDefault="00CB4463" w:rsidP="00CB4463">
      <w:pPr>
        <w:pStyle w:val="Bullet-list"/>
        <w:spacing w:after="0" w:line="240" w:lineRule="auto"/>
        <w:ind w:left="0" w:firstLine="0"/>
        <w:jc w:val="both"/>
        <w:rPr>
          <w:rFonts w:ascii="Times New Roman" w:hAnsi="Times New Roman"/>
          <w:sz w:val="24"/>
          <w:szCs w:val="24"/>
        </w:rPr>
      </w:pPr>
    </w:p>
    <w:p w:rsidR="00CB4463" w:rsidRDefault="00CB4463" w:rsidP="00CB446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614288">
        <w:rPr>
          <w:rFonts w:ascii="Times New Roman" w:hAnsi="Times New Roman"/>
          <w:sz w:val="24"/>
          <w:szCs w:val="24"/>
        </w:rPr>
        <w:t xml:space="preserve">The effect of a demerger is that companies which were grouped under a single shareholding are separated into two different shareholdings (initially held by the same shareholders), so they can be </w:t>
      </w:r>
      <w:r w:rsidR="00CE5065">
        <w:rPr>
          <w:rFonts w:ascii="Times New Roman" w:hAnsi="Times New Roman"/>
          <w:sz w:val="24"/>
          <w:szCs w:val="24"/>
        </w:rPr>
        <w:t>sold</w:t>
      </w:r>
      <w:r w:rsidRPr="00614288">
        <w:rPr>
          <w:rFonts w:ascii="Times New Roman" w:hAnsi="Times New Roman"/>
          <w:sz w:val="24"/>
          <w:szCs w:val="24"/>
        </w:rPr>
        <w:t xml:space="preserve"> separately.  </w:t>
      </w:r>
    </w:p>
    <w:p w:rsidR="00614288" w:rsidRDefault="00614288" w:rsidP="001B560A">
      <w:pPr>
        <w:pStyle w:val="Bullet-list"/>
        <w:tabs>
          <w:tab w:val="num" w:pos="567"/>
        </w:tabs>
        <w:spacing w:after="0" w:line="240" w:lineRule="auto"/>
        <w:jc w:val="both"/>
        <w:rPr>
          <w:rFonts w:ascii="Times New Roman" w:hAnsi="Times New Roman"/>
          <w:sz w:val="24"/>
          <w:szCs w:val="24"/>
        </w:rPr>
      </w:pPr>
    </w:p>
    <w:p w:rsidR="001B560A" w:rsidRPr="00CB4463" w:rsidRDefault="001B560A" w:rsidP="001B560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614288">
        <w:rPr>
          <w:rFonts w:ascii="Times New Roman" w:hAnsi="Times New Roman"/>
          <w:sz w:val="24"/>
          <w:szCs w:val="24"/>
        </w:rPr>
        <w:t>A demerger is generally undertaken by a corporate group when it believes its constituent parts would perform better if separated.  This can be for a variety of reasons, such as where the grou</w:t>
      </w:r>
      <w:r w:rsidRPr="001B560A">
        <w:rPr>
          <w:rFonts w:ascii="Times New Roman" w:hAnsi="Times New Roman"/>
          <w:sz w:val="24"/>
          <w:szCs w:val="24"/>
        </w:rPr>
        <w:t>p is valued at less than the sum of its parts.  Accordingly demergers can have genuine economic benefits.</w:t>
      </w:r>
    </w:p>
    <w:p w:rsidR="001B560A" w:rsidRPr="001B560A" w:rsidRDefault="001B560A" w:rsidP="001B560A">
      <w:pPr>
        <w:pStyle w:val="Bullet-list"/>
        <w:spacing w:after="0" w:line="240" w:lineRule="auto"/>
        <w:ind w:left="0" w:firstLine="0"/>
        <w:rPr>
          <w:rFonts w:ascii="Times New Roman" w:hAnsi="Times New Roman"/>
          <w:sz w:val="24"/>
          <w:szCs w:val="24"/>
        </w:rPr>
      </w:pPr>
    </w:p>
    <w:p w:rsidR="00241A8E" w:rsidRPr="00241A8E" w:rsidRDefault="00241A8E" w:rsidP="00241A8E">
      <w:pPr>
        <w:pStyle w:val="Bullet-list"/>
        <w:tabs>
          <w:tab w:val="num" w:pos="567"/>
        </w:tabs>
        <w:spacing w:after="0" w:line="240" w:lineRule="auto"/>
        <w:rPr>
          <w:rFonts w:ascii="Times New Roman" w:hAnsi="Times New Roman"/>
          <w:b/>
          <w:sz w:val="24"/>
          <w:szCs w:val="24"/>
        </w:rPr>
      </w:pPr>
      <w:r w:rsidRPr="00241A8E">
        <w:rPr>
          <w:rFonts w:ascii="Times New Roman" w:hAnsi="Times New Roman"/>
          <w:b/>
          <w:sz w:val="24"/>
          <w:szCs w:val="24"/>
        </w:rPr>
        <w:t>Current tax treatment of demergers</w:t>
      </w:r>
      <w:r w:rsidR="00D80149">
        <w:rPr>
          <w:rFonts w:ascii="Times New Roman" w:hAnsi="Times New Roman"/>
          <w:b/>
          <w:sz w:val="24"/>
          <w:szCs w:val="24"/>
        </w:rPr>
        <w:t xml:space="preserve"> </w:t>
      </w:r>
    </w:p>
    <w:p w:rsidR="00614288" w:rsidRDefault="00614288" w:rsidP="00614288">
      <w:pPr>
        <w:pStyle w:val="ListParagraph"/>
        <w:rPr>
          <w:rFonts w:ascii="Times New Roman" w:hAnsi="Times New Roman"/>
          <w:sz w:val="24"/>
          <w:szCs w:val="24"/>
        </w:rPr>
      </w:pPr>
    </w:p>
    <w:p w:rsidR="003B5C8A" w:rsidRDefault="00F76959" w:rsidP="002715A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614288">
        <w:rPr>
          <w:rFonts w:ascii="Times New Roman" w:hAnsi="Times New Roman"/>
          <w:sz w:val="24"/>
          <w:szCs w:val="24"/>
        </w:rPr>
        <w:t xml:space="preserve">A demerger involves the transfer of value from the company to its shareholders (being the distribution of the shares in the demerged company) that is caused by their shareholdings.  </w:t>
      </w:r>
      <w:r w:rsidR="00614288" w:rsidRPr="00614288">
        <w:rPr>
          <w:rFonts w:ascii="Times New Roman" w:hAnsi="Times New Roman"/>
          <w:sz w:val="24"/>
          <w:szCs w:val="24"/>
        </w:rPr>
        <w:t xml:space="preserve">Under the Income Tax Act </w:t>
      </w:r>
      <w:r w:rsidR="002F066D">
        <w:rPr>
          <w:rFonts w:ascii="Times New Roman" w:hAnsi="Times New Roman"/>
          <w:sz w:val="24"/>
          <w:szCs w:val="24"/>
        </w:rPr>
        <w:t xml:space="preserve">2007 </w:t>
      </w:r>
      <w:r>
        <w:rPr>
          <w:rFonts w:ascii="Times New Roman" w:hAnsi="Times New Roman"/>
          <w:sz w:val="24"/>
          <w:szCs w:val="24"/>
        </w:rPr>
        <w:t xml:space="preserve">(the Act) </w:t>
      </w:r>
      <w:r w:rsidR="00614288" w:rsidRPr="00614288">
        <w:rPr>
          <w:rFonts w:ascii="Times New Roman" w:hAnsi="Times New Roman"/>
          <w:sz w:val="24"/>
          <w:szCs w:val="24"/>
        </w:rPr>
        <w:t xml:space="preserve">the full value of the shares in the demerged company is generally a dividend for the shareholder.  This is because the Act defines a dividend </w:t>
      </w:r>
      <w:r w:rsidR="00AF10C2" w:rsidRPr="00614288">
        <w:rPr>
          <w:rFonts w:ascii="Times New Roman" w:hAnsi="Times New Roman"/>
          <w:sz w:val="24"/>
          <w:szCs w:val="24"/>
        </w:rPr>
        <w:t>(subject to certain exceptions)</w:t>
      </w:r>
      <w:r w:rsidR="00AF10C2">
        <w:rPr>
          <w:rFonts w:ascii="Times New Roman" w:hAnsi="Times New Roman"/>
          <w:sz w:val="24"/>
          <w:szCs w:val="24"/>
        </w:rPr>
        <w:t xml:space="preserve"> </w:t>
      </w:r>
      <w:r w:rsidR="00614288" w:rsidRPr="00614288">
        <w:rPr>
          <w:rFonts w:ascii="Times New Roman" w:hAnsi="Times New Roman"/>
          <w:sz w:val="24"/>
          <w:szCs w:val="24"/>
        </w:rPr>
        <w:t xml:space="preserve">as any transfer of value from a company to a shareholder that is caused by the shareholding.  </w:t>
      </w:r>
    </w:p>
    <w:p w:rsidR="003B5C8A" w:rsidRDefault="003B5C8A" w:rsidP="003B5C8A">
      <w:pPr>
        <w:pStyle w:val="Bullet-list"/>
        <w:spacing w:after="0" w:line="240" w:lineRule="auto"/>
        <w:ind w:left="0" w:firstLine="0"/>
        <w:jc w:val="both"/>
        <w:rPr>
          <w:rFonts w:ascii="Times New Roman" w:hAnsi="Times New Roman"/>
          <w:sz w:val="24"/>
          <w:szCs w:val="24"/>
        </w:rPr>
      </w:pPr>
    </w:p>
    <w:p w:rsidR="00614288" w:rsidRPr="00AC4D64" w:rsidRDefault="00AC4D64" w:rsidP="00AC4D6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S</w:t>
      </w:r>
      <w:r w:rsidR="003B5C8A">
        <w:rPr>
          <w:rFonts w:ascii="Times New Roman" w:hAnsi="Times New Roman"/>
          <w:sz w:val="24"/>
          <w:szCs w:val="24"/>
        </w:rPr>
        <w:t xml:space="preserve">hareholders are </w:t>
      </w:r>
      <w:r>
        <w:rPr>
          <w:rFonts w:ascii="Times New Roman" w:hAnsi="Times New Roman"/>
          <w:sz w:val="24"/>
          <w:szCs w:val="24"/>
        </w:rPr>
        <w:t xml:space="preserve">therefore </w:t>
      </w:r>
      <w:r w:rsidR="003B5C8A">
        <w:rPr>
          <w:rFonts w:ascii="Times New Roman" w:hAnsi="Times New Roman"/>
          <w:sz w:val="24"/>
          <w:szCs w:val="24"/>
        </w:rPr>
        <w:t xml:space="preserve">liable to pay tax on the </w:t>
      </w:r>
      <w:r w:rsidR="003B5C8A" w:rsidRPr="00614288">
        <w:rPr>
          <w:rFonts w:ascii="Times New Roman" w:hAnsi="Times New Roman"/>
          <w:sz w:val="24"/>
          <w:szCs w:val="24"/>
        </w:rPr>
        <w:t>full value of the shares in the demerged company</w:t>
      </w:r>
      <w:r w:rsidR="003B5C8A">
        <w:rPr>
          <w:rFonts w:ascii="Times New Roman" w:hAnsi="Times New Roman"/>
          <w:sz w:val="24"/>
          <w:szCs w:val="24"/>
        </w:rPr>
        <w:t xml:space="preserve"> when a demerger occurs</w:t>
      </w:r>
      <w:r>
        <w:rPr>
          <w:rFonts w:ascii="Times New Roman" w:hAnsi="Times New Roman"/>
          <w:sz w:val="24"/>
          <w:szCs w:val="24"/>
        </w:rPr>
        <w:t>.</w:t>
      </w:r>
      <w:r w:rsidR="00F76959">
        <w:rPr>
          <w:rFonts w:ascii="Times New Roman" w:hAnsi="Times New Roman"/>
          <w:sz w:val="24"/>
          <w:szCs w:val="24"/>
        </w:rPr>
        <w:t xml:space="preserve"> </w:t>
      </w:r>
      <w:r>
        <w:rPr>
          <w:rFonts w:ascii="Times New Roman" w:hAnsi="Times New Roman"/>
          <w:sz w:val="24"/>
          <w:szCs w:val="24"/>
        </w:rPr>
        <w:t xml:space="preserve"> This is despite the fact that the </w:t>
      </w:r>
      <w:r w:rsidR="00F76959" w:rsidRPr="00AC4D64">
        <w:rPr>
          <w:rFonts w:ascii="Times New Roman" w:hAnsi="Times New Roman"/>
          <w:sz w:val="24"/>
          <w:szCs w:val="24"/>
        </w:rPr>
        <w:t>value of their two shareholdings should be approximately the same as their previous one shareholding</w:t>
      </w:r>
      <w:r>
        <w:rPr>
          <w:rFonts w:ascii="Times New Roman" w:hAnsi="Times New Roman"/>
          <w:sz w:val="24"/>
          <w:szCs w:val="24"/>
        </w:rPr>
        <w:t>,</w:t>
      </w:r>
      <w:r w:rsidR="00F76959" w:rsidRPr="00AC4D64">
        <w:rPr>
          <w:rFonts w:ascii="Times New Roman" w:hAnsi="Times New Roman"/>
          <w:sz w:val="24"/>
          <w:szCs w:val="24"/>
        </w:rPr>
        <w:t xml:space="preserve"> as the underlying assets are unchanged</w:t>
      </w:r>
      <w:r w:rsidR="003B5C8A" w:rsidRPr="00AC4D64">
        <w:rPr>
          <w:rFonts w:ascii="Times New Roman" w:hAnsi="Times New Roman"/>
          <w:sz w:val="24"/>
          <w:szCs w:val="24"/>
        </w:rPr>
        <w:t xml:space="preserve">.  </w:t>
      </w:r>
      <w:r w:rsidR="00614288" w:rsidRPr="00AC4D64">
        <w:rPr>
          <w:rFonts w:ascii="Times New Roman" w:hAnsi="Times New Roman"/>
          <w:sz w:val="24"/>
          <w:szCs w:val="24"/>
        </w:rPr>
        <w:t xml:space="preserve">Furthermore, the amount of the dividend is usually very large, as it will equal a significant percentage of the corporate group’s total market value. </w:t>
      </w:r>
    </w:p>
    <w:p w:rsidR="00614288" w:rsidRDefault="00614288" w:rsidP="00B71B57">
      <w:pPr>
        <w:pStyle w:val="Bullet-list"/>
        <w:spacing w:after="0" w:line="240" w:lineRule="auto"/>
        <w:ind w:left="0" w:firstLine="0"/>
        <w:jc w:val="both"/>
        <w:rPr>
          <w:rFonts w:ascii="Times New Roman" w:hAnsi="Times New Roman"/>
          <w:sz w:val="24"/>
          <w:szCs w:val="24"/>
        </w:rPr>
      </w:pPr>
    </w:p>
    <w:p w:rsidR="00BE59BB" w:rsidRDefault="00614288" w:rsidP="002715A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35E7E">
        <w:rPr>
          <w:rFonts w:ascii="Times New Roman" w:hAnsi="Times New Roman"/>
          <w:sz w:val="24"/>
          <w:szCs w:val="24"/>
        </w:rPr>
        <w:t>A demerger can be</w:t>
      </w:r>
      <w:r w:rsidR="00EC1004">
        <w:rPr>
          <w:rFonts w:ascii="Times New Roman" w:hAnsi="Times New Roman"/>
          <w:sz w:val="24"/>
          <w:szCs w:val="24"/>
        </w:rPr>
        <w:t xml:space="preserve"> often be</w:t>
      </w:r>
      <w:r w:rsidRPr="00435E7E">
        <w:rPr>
          <w:rFonts w:ascii="Times New Roman" w:hAnsi="Times New Roman"/>
          <w:sz w:val="24"/>
          <w:szCs w:val="24"/>
        </w:rPr>
        <w:t xml:space="preserve"> structured to </w:t>
      </w:r>
      <w:r w:rsidR="00564AAA">
        <w:rPr>
          <w:rFonts w:ascii="Times New Roman" w:hAnsi="Times New Roman"/>
          <w:sz w:val="24"/>
          <w:szCs w:val="24"/>
        </w:rPr>
        <w:t>prevent</w:t>
      </w:r>
      <w:r w:rsidRPr="00435E7E">
        <w:rPr>
          <w:rFonts w:ascii="Times New Roman" w:hAnsi="Times New Roman"/>
          <w:sz w:val="24"/>
          <w:szCs w:val="24"/>
        </w:rPr>
        <w:t xml:space="preserve"> dividend taxation (in whole or part) by </w:t>
      </w:r>
      <w:r w:rsidR="00564AAA">
        <w:rPr>
          <w:rFonts w:ascii="Times New Roman" w:hAnsi="Times New Roman"/>
          <w:sz w:val="24"/>
          <w:szCs w:val="24"/>
        </w:rPr>
        <w:t>arranging</w:t>
      </w:r>
      <w:r w:rsidR="00F76959">
        <w:rPr>
          <w:rFonts w:ascii="Times New Roman" w:hAnsi="Times New Roman"/>
          <w:sz w:val="24"/>
          <w:szCs w:val="24"/>
        </w:rPr>
        <w:t xml:space="preserve"> a share repurchase or a liquidation.</w:t>
      </w:r>
    </w:p>
    <w:p w:rsidR="00BE59BB" w:rsidRDefault="00BE59BB" w:rsidP="00982B60">
      <w:pPr>
        <w:pStyle w:val="ListParagraph"/>
        <w:rPr>
          <w:rFonts w:ascii="Times New Roman" w:hAnsi="Times New Roman"/>
          <w:sz w:val="24"/>
          <w:szCs w:val="24"/>
        </w:rPr>
      </w:pPr>
    </w:p>
    <w:p w:rsidR="00BE59BB" w:rsidRPr="00330CDC" w:rsidRDefault="004C1608" w:rsidP="002E19B4">
      <w:pPr>
        <w:pStyle w:val="BodyText1"/>
        <w:numPr>
          <w:ilvl w:val="0"/>
          <w:numId w:val="3"/>
        </w:numPr>
        <w:tabs>
          <w:tab w:val="clear" w:pos="720"/>
        </w:tabs>
        <w:ind w:left="0" w:firstLine="0"/>
        <w:jc w:val="both"/>
        <w:rPr>
          <w:rFonts w:ascii="Times New Roman" w:hAnsi="Times New Roman" w:cs="Times New Roman"/>
          <w:sz w:val="24"/>
          <w:szCs w:val="24"/>
        </w:rPr>
      </w:pPr>
      <w:r w:rsidRPr="00330CDC">
        <w:rPr>
          <w:rFonts w:ascii="Times New Roman" w:hAnsi="Times New Roman" w:cs="Times New Roman"/>
          <w:sz w:val="24"/>
          <w:szCs w:val="24"/>
        </w:rPr>
        <w:t xml:space="preserve">A New Zealand company which intends to demerge could </w:t>
      </w:r>
      <w:r w:rsidR="00D35743" w:rsidRPr="00330CDC">
        <w:rPr>
          <w:rFonts w:ascii="Times New Roman" w:hAnsi="Times New Roman" w:cs="Times New Roman"/>
          <w:sz w:val="24"/>
          <w:szCs w:val="24"/>
        </w:rPr>
        <w:t>“</w:t>
      </w:r>
      <w:r w:rsidR="00A61161">
        <w:rPr>
          <w:rFonts w:ascii="Times New Roman" w:hAnsi="Times New Roman" w:cs="Times New Roman"/>
          <w:sz w:val="24"/>
          <w:szCs w:val="24"/>
        </w:rPr>
        <w:t>buy-back</w:t>
      </w:r>
      <w:r w:rsidR="00D35743" w:rsidRPr="00330CDC">
        <w:rPr>
          <w:rFonts w:ascii="Times New Roman" w:hAnsi="Times New Roman" w:cs="Times New Roman"/>
          <w:sz w:val="24"/>
          <w:szCs w:val="24"/>
        </w:rPr>
        <w:t xml:space="preserve">” </w:t>
      </w:r>
      <w:r w:rsidR="00A61161">
        <w:rPr>
          <w:rFonts w:ascii="Times New Roman" w:hAnsi="Times New Roman" w:cs="Times New Roman"/>
          <w:sz w:val="24"/>
          <w:szCs w:val="24"/>
        </w:rPr>
        <w:t xml:space="preserve">a portion of </w:t>
      </w:r>
      <w:r w:rsidR="00D35743" w:rsidRPr="00330CDC">
        <w:rPr>
          <w:rFonts w:ascii="Times New Roman" w:hAnsi="Times New Roman" w:cs="Times New Roman"/>
          <w:sz w:val="24"/>
          <w:szCs w:val="24"/>
        </w:rPr>
        <w:t xml:space="preserve">its shares from shareholders, with </w:t>
      </w:r>
      <w:r w:rsidR="00A61161">
        <w:rPr>
          <w:rFonts w:ascii="Times New Roman" w:hAnsi="Times New Roman" w:cs="Times New Roman"/>
          <w:sz w:val="24"/>
          <w:szCs w:val="24"/>
        </w:rPr>
        <w:t xml:space="preserve">the </w:t>
      </w:r>
      <w:r w:rsidR="00D35743" w:rsidRPr="00330CDC">
        <w:rPr>
          <w:rFonts w:ascii="Times New Roman" w:hAnsi="Times New Roman" w:cs="Times New Roman"/>
          <w:sz w:val="24"/>
          <w:szCs w:val="24"/>
        </w:rPr>
        <w:t>shareholders receiving shares in the demerged company as</w:t>
      </w:r>
      <w:r w:rsidR="00A61161">
        <w:rPr>
          <w:rFonts w:ascii="Times New Roman" w:hAnsi="Times New Roman" w:cs="Times New Roman"/>
          <w:sz w:val="24"/>
          <w:szCs w:val="24"/>
        </w:rPr>
        <w:t xml:space="preserve"> the</w:t>
      </w:r>
      <w:r w:rsidR="00D35743" w:rsidRPr="00330CDC">
        <w:rPr>
          <w:rFonts w:ascii="Times New Roman" w:hAnsi="Times New Roman" w:cs="Times New Roman"/>
          <w:sz w:val="24"/>
          <w:szCs w:val="24"/>
        </w:rPr>
        <w:t xml:space="preserve"> consideration.  Th</w:t>
      </w:r>
      <w:r w:rsidR="00330CDC">
        <w:rPr>
          <w:rFonts w:ascii="Times New Roman" w:hAnsi="Times New Roman" w:cs="Times New Roman"/>
          <w:sz w:val="24"/>
          <w:szCs w:val="24"/>
        </w:rPr>
        <w:t xml:space="preserve">is </w:t>
      </w:r>
      <w:r w:rsidR="00D35743" w:rsidRPr="00330CDC">
        <w:rPr>
          <w:rFonts w:ascii="Times New Roman" w:hAnsi="Times New Roman" w:cs="Times New Roman"/>
          <w:sz w:val="24"/>
          <w:szCs w:val="24"/>
        </w:rPr>
        <w:t>would not be characterised as a dividend</w:t>
      </w:r>
      <w:r w:rsidR="00A61161">
        <w:rPr>
          <w:rFonts w:ascii="Times New Roman" w:hAnsi="Times New Roman" w:cs="Times New Roman"/>
          <w:sz w:val="24"/>
          <w:szCs w:val="24"/>
        </w:rPr>
        <w:t xml:space="preserve"> provided the amount was less than the company’s paid up share capital (referred to as “available subscribed capital”, or ASC, for tax purposes)</w:t>
      </w:r>
      <w:r w:rsidR="00D35743" w:rsidRPr="00330CDC">
        <w:rPr>
          <w:rFonts w:ascii="Times New Roman" w:hAnsi="Times New Roman" w:cs="Times New Roman"/>
          <w:sz w:val="24"/>
          <w:szCs w:val="24"/>
        </w:rPr>
        <w:t xml:space="preserve">.  </w:t>
      </w:r>
    </w:p>
    <w:p w:rsidR="00BE59BB" w:rsidRPr="00330CDC" w:rsidRDefault="00BE59BB" w:rsidP="00F76959">
      <w:pPr>
        <w:pStyle w:val="BodyText1"/>
        <w:jc w:val="both"/>
        <w:rPr>
          <w:rFonts w:ascii="Times New Roman" w:hAnsi="Times New Roman" w:cs="Times New Roman"/>
          <w:sz w:val="24"/>
          <w:szCs w:val="24"/>
        </w:rPr>
      </w:pPr>
      <w:r w:rsidRPr="00330CDC">
        <w:rPr>
          <w:rFonts w:ascii="Times New Roman" w:hAnsi="Times New Roman" w:cs="Times New Roman"/>
          <w:sz w:val="24"/>
          <w:szCs w:val="24"/>
        </w:rPr>
        <w:t xml:space="preserve"> </w:t>
      </w:r>
    </w:p>
    <w:p w:rsidR="00BE59BB" w:rsidRPr="00330CDC" w:rsidRDefault="00B9056B" w:rsidP="000F0960">
      <w:pPr>
        <w:pStyle w:val="BodyText1"/>
        <w:numPr>
          <w:ilvl w:val="0"/>
          <w:numId w:val="3"/>
        </w:numPr>
        <w:tabs>
          <w:tab w:val="clear" w:pos="720"/>
        </w:tabs>
        <w:ind w:left="0" w:firstLine="0"/>
        <w:jc w:val="both"/>
        <w:rPr>
          <w:rFonts w:ascii="Times New Roman" w:hAnsi="Times New Roman" w:cs="Times New Roman"/>
          <w:sz w:val="24"/>
          <w:szCs w:val="24"/>
        </w:rPr>
      </w:pPr>
      <w:r w:rsidRPr="00330CDC">
        <w:rPr>
          <w:rFonts w:ascii="Times New Roman" w:hAnsi="Times New Roman" w:cs="Times New Roman"/>
          <w:sz w:val="24"/>
          <w:szCs w:val="24"/>
        </w:rPr>
        <w:t xml:space="preserve">It is also possible to structure a demerger as a liquidation </w:t>
      </w:r>
      <w:r w:rsidR="004C1608" w:rsidRPr="00330CDC">
        <w:rPr>
          <w:rFonts w:ascii="Times New Roman" w:hAnsi="Times New Roman" w:cs="Times New Roman"/>
          <w:sz w:val="24"/>
          <w:szCs w:val="24"/>
        </w:rPr>
        <w:t xml:space="preserve">of the holding company </w:t>
      </w:r>
      <w:r w:rsidRPr="00330CDC">
        <w:rPr>
          <w:rFonts w:ascii="Times New Roman" w:hAnsi="Times New Roman" w:cs="Times New Roman"/>
          <w:sz w:val="24"/>
          <w:szCs w:val="24"/>
        </w:rPr>
        <w:t xml:space="preserve">in order to prevent dividend taxation.  </w:t>
      </w:r>
      <w:r w:rsidR="00BE59BB" w:rsidRPr="00330CDC">
        <w:rPr>
          <w:rFonts w:ascii="Times New Roman" w:hAnsi="Times New Roman" w:cs="Times New Roman"/>
          <w:sz w:val="24"/>
          <w:szCs w:val="24"/>
        </w:rPr>
        <w:t xml:space="preserve">In this case </w:t>
      </w:r>
      <w:r w:rsidR="00A61161">
        <w:rPr>
          <w:rFonts w:ascii="Times New Roman" w:hAnsi="Times New Roman" w:cs="Times New Roman"/>
          <w:sz w:val="24"/>
          <w:szCs w:val="24"/>
        </w:rPr>
        <w:t>the holding company would be liquidated and the shareholders would be provided with the holding company’s assets – being shares in the two demerged companies.  A</w:t>
      </w:r>
      <w:r w:rsidR="00BE59BB" w:rsidRPr="00330CDC">
        <w:rPr>
          <w:rFonts w:ascii="Times New Roman" w:hAnsi="Times New Roman" w:cs="Times New Roman"/>
          <w:sz w:val="24"/>
          <w:szCs w:val="24"/>
        </w:rPr>
        <w:t xml:space="preserve">n amount equal to any net capital gains (realised and unrealised) plus the ASC of the distributing company is excluded from being a dividend.    </w:t>
      </w:r>
    </w:p>
    <w:p w:rsidR="005A2A6C" w:rsidRDefault="00614288" w:rsidP="00982B60">
      <w:pPr>
        <w:pStyle w:val="Bullet-list"/>
        <w:spacing w:after="0" w:line="240" w:lineRule="auto"/>
        <w:ind w:left="0" w:firstLine="0"/>
        <w:jc w:val="both"/>
        <w:rPr>
          <w:rFonts w:ascii="Times New Roman" w:hAnsi="Times New Roman"/>
          <w:sz w:val="24"/>
          <w:szCs w:val="24"/>
        </w:rPr>
      </w:pPr>
      <w:r w:rsidRPr="00435E7E">
        <w:rPr>
          <w:rFonts w:ascii="Times New Roman" w:hAnsi="Times New Roman"/>
          <w:sz w:val="24"/>
          <w:szCs w:val="24"/>
        </w:rPr>
        <w:t xml:space="preserve">  </w:t>
      </w:r>
    </w:p>
    <w:p w:rsidR="000E4131" w:rsidRDefault="005A2A6C" w:rsidP="002715A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bookmarkStart w:id="12" w:name="_Ref463951084"/>
      <w:r w:rsidRPr="00760A19">
        <w:rPr>
          <w:rFonts w:ascii="Times New Roman" w:hAnsi="Times New Roman"/>
          <w:sz w:val="24"/>
          <w:szCs w:val="24"/>
        </w:rPr>
        <w:t>Further, a</w:t>
      </w:r>
      <w:r w:rsidR="00614288" w:rsidRPr="00760A19">
        <w:rPr>
          <w:rFonts w:ascii="Times New Roman" w:hAnsi="Times New Roman"/>
          <w:sz w:val="24"/>
          <w:szCs w:val="24"/>
        </w:rPr>
        <w:t xml:space="preserve"> </w:t>
      </w:r>
      <w:r w:rsidR="002F066D" w:rsidRPr="00760A19">
        <w:rPr>
          <w:rFonts w:ascii="Times New Roman" w:hAnsi="Times New Roman"/>
          <w:sz w:val="24"/>
          <w:szCs w:val="24"/>
        </w:rPr>
        <w:t>dividend</w:t>
      </w:r>
      <w:r w:rsidR="00614288" w:rsidRPr="00760A19">
        <w:rPr>
          <w:rFonts w:ascii="Times New Roman" w:hAnsi="Times New Roman"/>
          <w:sz w:val="24"/>
          <w:szCs w:val="24"/>
        </w:rPr>
        <w:t xml:space="preserve"> arising from a demerger </w:t>
      </w:r>
      <w:r w:rsidR="00564AAA" w:rsidRPr="00760A19">
        <w:rPr>
          <w:rFonts w:ascii="Times New Roman" w:hAnsi="Times New Roman"/>
          <w:sz w:val="24"/>
          <w:szCs w:val="24"/>
        </w:rPr>
        <w:t xml:space="preserve">involving a non-resident company </w:t>
      </w:r>
      <w:r w:rsidR="00614288" w:rsidRPr="00760A19">
        <w:rPr>
          <w:rFonts w:ascii="Times New Roman" w:hAnsi="Times New Roman"/>
          <w:sz w:val="24"/>
          <w:szCs w:val="24"/>
        </w:rPr>
        <w:t xml:space="preserve">will only be taxable if the shareholder is not subject to the </w:t>
      </w:r>
      <w:r w:rsidR="00F76959">
        <w:rPr>
          <w:rFonts w:ascii="Times New Roman" w:hAnsi="Times New Roman"/>
          <w:sz w:val="24"/>
          <w:szCs w:val="24"/>
        </w:rPr>
        <w:t>foreign investment fund (</w:t>
      </w:r>
      <w:r w:rsidR="00564AAA" w:rsidRPr="00760A19">
        <w:rPr>
          <w:rFonts w:ascii="Times New Roman" w:hAnsi="Times New Roman"/>
          <w:sz w:val="24"/>
          <w:szCs w:val="24"/>
        </w:rPr>
        <w:t>FIF</w:t>
      </w:r>
      <w:r w:rsidR="00F76959">
        <w:rPr>
          <w:rFonts w:ascii="Times New Roman" w:hAnsi="Times New Roman"/>
          <w:sz w:val="24"/>
          <w:szCs w:val="24"/>
        </w:rPr>
        <w:t>)</w:t>
      </w:r>
      <w:r w:rsidR="00614288" w:rsidRPr="00760A19">
        <w:rPr>
          <w:rFonts w:ascii="Times New Roman" w:hAnsi="Times New Roman"/>
          <w:sz w:val="24"/>
          <w:szCs w:val="24"/>
        </w:rPr>
        <w:t xml:space="preserve"> rules</w:t>
      </w:r>
      <w:r w:rsidRPr="00760A19">
        <w:rPr>
          <w:rFonts w:ascii="Times New Roman" w:hAnsi="Times New Roman"/>
          <w:sz w:val="24"/>
          <w:szCs w:val="24"/>
        </w:rPr>
        <w:t>.</w:t>
      </w:r>
      <w:r w:rsidR="00614288" w:rsidRPr="00760A19">
        <w:rPr>
          <w:rFonts w:ascii="Times New Roman" w:hAnsi="Times New Roman"/>
          <w:sz w:val="24"/>
          <w:szCs w:val="24"/>
        </w:rPr>
        <w:t xml:space="preserve"> </w:t>
      </w:r>
      <w:r w:rsidRPr="00760A19">
        <w:rPr>
          <w:rFonts w:ascii="Times New Roman" w:hAnsi="Times New Roman"/>
          <w:sz w:val="24"/>
          <w:szCs w:val="24"/>
        </w:rPr>
        <w:t xml:space="preserve"> </w:t>
      </w:r>
      <w:r w:rsidR="00F76959">
        <w:rPr>
          <w:rFonts w:ascii="Times New Roman" w:hAnsi="Times New Roman"/>
          <w:sz w:val="24"/>
          <w:szCs w:val="24"/>
        </w:rPr>
        <w:t xml:space="preserve">If the New Zealand shareholder is subject to the FIF rules the investment will be taxed under the fair dividend rate (FDR) which is a tax on 5 percent of the value of the investment.  As dividends are not separately taxed under the FDR method demergers are also not subject to tax.  </w:t>
      </w:r>
      <w:r w:rsidRPr="00760A19">
        <w:rPr>
          <w:rFonts w:ascii="Times New Roman" w:hAnsi="Times New Roman"/>
          <w:sz w:val="24"/>
          <w:szCs w:val="24"/>
        </w:rPr>
        <w:t>G</w:t>
      </w:r>
      <w:r w:rsidR="00614288" w:rsidRPr="00760A19">
        <w:rPr>
          <w:rFonts w:ascii="Times New Roman" w:hAnsi="Times New Roman"/>
          <w:sz w:val="24"/>
          <w:szCs w:val="24"/>
        </w:rPr>
        <w:t xml:space="preserve">enerally, </w:t>
      </w:r>
      <w:r w:rsidR="00F76959">
        <w:rPr>
          <w:rFonts w:ascii="Times New Roman" w:hAnsi="Times New Roman"/>
          <w:sz w:val="24"/>
          <w:szCs w:val="24"/>
        </w:rPr>
        <w:t>a</w:t>
      </w:r>
      <w:r w:rsidR="00614288" w:rsidRPr="00760A19">
        <w:rPr>
          <w:rFonts w:ascii="Times New Roman" w:hAnsi="Times New Roman"/>
          <w:sz w:val="24"/>
          <w:szCs w:val="24"/>
        </w:rPr>
        <w:t xml:space="preserve"> shareholder </w:t>
      </w:r>
      <w:r w:rsidR="00F76959">
        <w:rPr>
          <w:rFonts w:ascii="Times New Roman" w:hAnsi="Times New Roman"/>
          <w:sz w:val="24"/>
          <w:szCs w:val="24"/>
        </w:rPr>
        <w:t xml:space="preserve">in a non-resident company is not subject to the FIF rules when </w:t>
      </w:r>
      <w:r w:rsidR="00F76959">
        <w:rPr>
          <w:rFonts w:ascii="Times New Roman" w:hAnsi="Times New Roman"/>
          <w:sz w:val="24"/>
          <w:szCs w:val="24"/>
        </w:rPr>
        <w:lastRenderedPageBreak/>
        <w:t>they are</w:t>
      </w:r>
      <w:r w:rsidR="00614288" w:rsidRPr="00760A19">
        <w:rPr>
          <w:rFonts w:ascii="Times New Roman" w:hAnsi="Times New Roman"/>
          <w:sz w:val="24"/>
          <w:szCs w:val="24"/>
        </w:rPr>
        <w:t xml:space="preserve"> a natural person whose total offshore sha</w:t>
      </w:r>
      <w:r w:rsidRPr="00760A19">
        <w:rPr>
          <w:rFonts w:ascii="Times New Roman" w:hAnsi="Times New Roman"/>
          <w:sz w:val="24"/>
          <w:szCs w:val="24"/>
        </w:rPr>
        <w:t xml:space="preserve">reholdings </w:t>
      </w:r>
      <w:r w:rsidR="00564AAA" w:rsidRPr="00760A19">
        <w:rPr>
          <w:rFonts w:ascii="Times New Roman" w:hAnsi="Times New Roman"/>
          <w:sz w:val="24"/>
          <w:szCs w:val="24"/>
        </w:rPr>
        <w:t xml:space="preserve">(not including shares in Australian listed companies) </w:t>
      </w:r>
      <w:r w:rsidRPr="00760A19">
        <w:rPr>
          <w:rFonts w:ascii="Times New Roman" w:hAnsi="Times New Roman"/>
          <w:sz w:val="24"/>
          <w:szCs w:val="24"/>
        </w:rPr>
        <w:t>cost $50,000 or less</w:t>
      </w:r>
      <w:r w:rsidR="00614288" w:rsidRPr="00760A19">
        <w:rPr>
          <w:rFonts w:ascii="Times New Roman" w:hAnsi="Times New Roman"/>
          <w:sz w:val="24"/>
          <w:szCs w:val="24"/>
        </w:rPr>
        <w:t>.</w:t>
      </w:r>
      <w:bookmarkEnd w:id="12"/>
      <w:r w:rsidR="00614288" w:rsidRPr="00760A19">
        <w:rPr>
          <w:rFonts w:ascii="Times New Roman" w:hAnsi="Times New Roman"/>
          <w:sz w:val="24"/>
          <w:szCs w:val="24"/>
        </w:rPr>
        <w:t xml:space="preserve"> </w:t>
      </w:r>
    </w:p>
    <w:p w:rsidR="000E4131" w:rsidRDefault="000E4131" w:rsidP="002E19B4">
      <w:pPr>
        <w:pStyle w:val="ListParagraph"/>
        <w:rPr>
          <w:rFonts w:ascii="Times New Roman" w:hAnsi="Times New Roman"/>
          <w:sz w:val="24"/>
          <w:szCs w:val="24"/>
        </w:rPr>
      </w:pPr>
    </w:p>
    <w:p w:rsidR="00614288" w:rsidRPr="000C1B58" w:rsidRDefault="000E4131" w:rsidP="002715A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0C1B58">
        <w:rPr>
          <w:rFonts w:ascii="Times New Roman" w:hAnsi="Times New Roman"/>
          <w:sz w:val="24"/>
          <w:szCs w:val="24"/>
        </w:rPr>
        <w:t xml:space="preserve">The FIF rules do not apply to most Australian </w:t>
      </w:r>
      <w:r w:rsidR="000C1B58" w:rsidRPr="000C1B58">
        <w:rPr>
          <w:rFonts w:ascii="Times New Roman" w:hAnsi="Times New Roman"/>
          <w:sz w:val="24"/>
          <w:szCs w:val="24"/>
        </w:rPr>
        <w:t xml:space="preserve">listed </w:t>
      </w:r>
      <w:r w:rsidRPr="000C1B58">
        <w:rPr>
          <w:rFonts w:ascii="Times New Roman" w:hAnsi="Times New Roman"/>
          <w:sz w:val="24"/>
          <w:szCs w:val="24"/>
        </w:rPr>
        <w:t>companies</w:t>
      </w:r>
      <w:r w:rsidR="00AC4D64" w:rsidRPr="000C1B58">
        <w:rPr>
          <w:rFonts w:ascii="Times New Roman" w:hAnsi="Times New Roman"/>
          <w:sz w:val="24"/>
          <w:szCs w:val="24"/>
        </w:rPr>
        <w:t>,</w:t>
      </w:r>
      <w:r w:rsidRPr="000C1B58">
        <w:rPr>
          <w:rFonts w:ascii="Times New Roman" w:hAnsi="Times New Roman"/>
          <w:sz w:val="24"/>
          <w:szCs w:val="24"/>
        </w:rPr>
        <w:t xml:space="preserve"> which are instead taxed similar</w:t>
      </w:r>
      <w:r w:rsidR="000C1B58" w:rsidRPr="000C1B58">
        <w:rPr>
          <w:rFonts w:ascii="Times New Roman" w:hAnsi="Times New Roman"/>
          <w:sz w:val="24"/>
          <w:szCs w:val="24"/>
        </w:rPr>
        <w:t>ly</w:t>
      </w:r>
      <w:r w:rsidRPr="000C1B58">
        <w:rPr>
          <w:rFonts w:ascii="Times New Roman" w:hAnsi="Times New Roman"/>
          <w:sz w:val="24"/>
          <w:szCs w:val="24"/>
        </w:rPr>
        <w:t xml:space="preserve"> to New Zealand </w:t>
      </w:r>
      <w:r w:rsidR="00AC4D64" w:rsidRPr="000C1B58">
        <w:rPr>
          <w:rFonts w:ascii="Times New Roman" w:hAnsi="Times New Roman"/>
          <w:sz w:val="24"/>
          <w:szCs w:val="24"/>
        </w:rPr>
        <w:t>shares</w:t>
      </w:r>
      <w:r w:rsidR="000C1B58" w:rsidRPr="000C1B58">
        <w:rPr>
          <w:rFonts w:ascii="Times New Roman" w:hAnsi="Times New Roman"/>
          <w:sz w:val="24"/>
          <w:szCs w:val="24"/>
        </w:rPr>
        <w:t xml:space="preserve">.  This means that under the current rules, demergers from Australian listed companies will be taxed as a dividend, in the same way that a New Zealand demerger would. </w:t>
      </w:r>
    </w:p>
    <w:p w:rsidR="00241A8E" w:rsidRDefault="00241A8E" w:rsidP="00241A8E">
      <w:pPr>
        <w:pStyle w:val="ListParagraph"/>
        <w:rPr>
          <w:rFonts w:ascii="Times New Roman" w:hAnsi="Times New Roman"/>
          <w:sz w:val="24"/>
          <w:szCs w:val="24"/>
        </w:rPr>
      </w:pPr>
    </w:p>
    <w:p w:rsidR="00241A8E" w:rsidRPr="00241A8E" w:rsidRDefault="00241A8E" w:rsidP="00241A8E">
      <w:pPr>
        <w:pStyle w:val="Bullet-list"/>
        <w:tabs>
          <w:tab w:val="left" w:pos="567"/>
        </w:tabs>
        <w:spacing w:after="0" w:line="240" w:lineRule="auto"/>
        <w:rPr>
          <w:rFonts w:ascii="Times New Roman" w:hAnsi="Times New Roman"/>
          <w:b/>
          <w:sz w:val="24"/>
          <w:szCs w:val="24"/>
        </w:rPr>
      </w:pPr>
      <w:r>
        <w:rPr>
          <w:rFonts w:ascii="Times New Roman" w:hAnsi="Times New Roman"/>
          <w:b/>
          <w:sz w:val="24"/>
          <w:szCs w:val="24"/>
        </w:rPr>
        <w:t>Problem definition</w:t>
      </w:r>
    </w:p>
    <w:p w:rsidR="00614288" w:rsidRDefault="00614288" w:rsidP="00614288">
      <w:pPr>
        <w:pStyle w:val="Bullet-list"/>
        <w:tabs>
          <w:tab w:val="left" w:pos="567"/>
        </w:tabs>
        <w:spacing w:after="0" w:line="240" w:lineRule="auto"/>
        <w:rPr>
          <w:rFonts w:ascii="Times New Roman" w:hAnsi="Times New Roman"/>
          <w:sz w:val="24"/>
          <w:szCs w:val="24"/>
        </w:rPr>
      </w:pPr>
    </w:p>
    <w:p w:rsidR="004E39A2" w:rsidRDefault="00614288" w:rsidP="00505655">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9D6CC6">
        <w:rPr>
          <w:rFonts w:ascii="Times New Roman" w:hAnsi="Times New Roman"/>
          <w:sz w:val="24"/>
          <w:szCs w:val="24"/>
        </w:rPr>
        <w:t xml:space="preserve">The current tax treatment is a problem because a demerger is in substance the division of a corporate group rather than a distribution of income.  Following the demerger, the shareholders still have the same proportionate interests in the same underlying assets.  </w:t>
      </w:r>
      <w:r w:rsidR="00F76959">
        <w:rPr>
          <w:rFonts w:ascii="Times New Roman" w:hAnsi="Times New Roman"/>
          <w:sz w:val="24"/>
          <w:szCs w:val="24"/>
        </w:rPr>
        <w:t xml:space="preserve">Although the </w:t>
      </w:r>
      <w:r w:rsidR="00F76959" w:rsidRPr="00435E7E">
        <w:rPr>
          <w:rFonts w:ascii="Times New Roman" w:hAnsi="Times New Roman"/>
          <w:sz w:val="24"/>
          <w:szCs w:val="24"/>
        </w:rPr>
        <w:t xml:space="preserve">demerger </w:t>
      </w:r>
      <w:r w:rsidR="00F76959">
        <w:rPr>
          <w:rFonts w:ascii="Times New Roman" w:hAnsi="Times New Roman"/>
          <w:sz w:val="24"/>
          <w:szCs w:val="24"/>
        </w:rPr>
        <w:t xml:space="preserve">is </w:t>
      </w:r>
      <w:r w:rsidR="00F76959" w:rsidRPr="00435E7E">
        <w:rPr>
          <w:rFonts w:ascii="Times New Roman" w:hAnsi="Times New Roman"/>
          <w:sz w:val="24"/>
          <w:szCs w:val="24"/>
        </w:rPr>
        <w:t>taxed as a dividend</w:t>
      </w:r>
      <w:r w:rsidR="00F76959">
        <w:rPr>
          <w:rFonts w:ascii="Times New Roman" w:hAnsi="Times New Roman"/>
          <w:sz w:val="24"/>
          <w:szCs w:val="24"/>
        </w:rPr>
        <w:t>,</w:t>
      </w:r>
      <w:r w:rsidR="00F76959" w:rsidRPr="00435E7E">
        <w:rPr>
          <w:rFonts w:ascii="Times New Roman" w:hAnsi="Times New Roman"/>
          <w:sz w:val="24"/>
          <w:szCs w:val="24"/>
        </w:rPr>
        <w:t xml:space="preserve"> </w:t>
      </w:r>
      <w:r w:rsidR="00F76959">
        <w:rPr>
          <w:rFonts w:ascii="Times New Roman" w:hAnsi="Times New Roman"/>
          <w:sz w:val="24"/>
          <w:szCs w:val="24"/>
        </w:rPr>
        <w:t>e</w:t>
      </w:r>
      <w:r w:rsidRPr="00435E7E">
        <w:rPr>
          <w:rFonts w:ascii="Times New Roman" w:hAnsi="Times New Roman"/>
          <w:sz w:val="24"/>
          <w:szCs w:val="24"/>
        </w:rPr>
        <w:t>conomically there is no distribution of income or underlying assets by the corporate group</w:t>
      </w:r>
      <w:r w:rsidR="00505655">
        <w:rPr>
          <w:rFonts w:ascii="Times New Roman" w:hAnsi="Times New Roman"/>
          <w:sz w:val="24"/>
          <w:szCs w:val="24"/>
        </w:rPr>
        <w:t xml:space="preserve">. </w:t>
      </w:r>
    </w:p>
    <w:p w:rsidR="00505655" w:rsidRPr="00505655" w:rsidRDefault="00505655" w:rsidP="00505655">
      <w:pPr>
        <w:pStyle w:val="Bullet-list"/>
        <w:spacing w:after="0" w:line="240" w:lineRule="auto"/>
        <w:ind w:left="0" w:firstLine="0"/>
        <w:jc w:val="both"/>
        <w:rPr>
          <w:rFonts w:ascii="Times New Roman" w:hAnsi="Times New Roman"/>
          <w:sz w:val="24"/>
          <w:szCs w:val="24"/>
        </w:rPr>
      </w:pPr>
    </w:p>
    <w:p w:rsidR="007B1DD2" w:rsidRDefault="004E39A2" w:rsidP="002A4A7B">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9E5101">
        <w:rPr>
          <w:rFonts w:ascii="Times New Roman" w:hAnsi="Times New Roman"/>
          <w:sz w:val="24"/>
          <w:szCs w:val="24"/>
        </w:rPr>
        <w:t xml:space="preserve">This issue has been raised by the </w:t>
      </w:r>
      <w:r w:rsidR="00A61161">
        <w:rPr>
          <w:rFonts w:ascii="Times New Roman" w:hAnsi="Times New Roman"/>
          <w:sz w:val="24"/>
          <w:szCs w:val="24"/>
        </w:rPr>
        <w:t>New Zealand Shareholders Association (</w:t>
      </w:r>
      <w:r w:rsidRPr="009E5101">
        <w:rPr>
          <w:rFonts w:ascii="Times New Roman" w:hAnsi="Times New Roman"/>
          <w:sz w:val="24"/>
          <w:szCs w:val="24"/>
        </w:rPr>
        <w:t>NZSA</w:t>
      </w:r>
      <w:r w:rsidR="00A61161">
        <w:rPr>
          <w:rFonts w:ascii="Times New Roman" w:hAnsi="Times New Roman"/>
          <w:sz w:val="24"/>
          <w:szCs w:val="24"/>
        </w:rPr>
        <w:t>)</w:t>
      </w:r>
      <w:r w:rsidRPr="009E5101">
        <w:rPr>
          <w:rFonts w:ascii="Times New Roman" w:hAnsi="Times New Roman"/>
          <w:sz w:val="24"/>
          <w:szCs w:val="24"/>
        </w:rPr>
        <w:t xml:space="preserve"> as an urgent issue which requires a legislative solution.  </w:t>
      </w:r>
      <w:r w:rsidR="00E308DA" w:rsidRPr="009E5101">
        <w:rPr>
          <w:rFonts w:ascii="Times New Roman" w:hAnsi="Times New Roman"/>
          <w:sz w:val="24"/>
          <w:szCs w:val="24"/>
        </w:rPr>
        <w:t xml:space="preserve">Officials agree that an urgent solution is desirable </w:t>
      </w:r>
      <w:r w:rsidR="009E5101" w:rsidRPr="009E5101">
        <w:rPr>
          <w:rFonts w:ascii="Times New Roman" w:hAnsi="Times New Roman"/>
          <w:sz w:val="24"/>
          <w:szCs w:val="24"/>
        </w:rPr>
        <w:t xml:space="preserve">so that New Zealand shareholders </w:t>
      </w:r>
      <w:r w:rsidR="009E5101">
        <w:rPr>
          <w:rFonts w:ascii="Times New Roman" w:hAnsi="Times New Roman"/>
          <w:sz w:val="24"/>
          <w:szCs w:val="24"/>
        </w:rPr>
        <w:t xml:space="preserve">involved in any upcoming demergers </w:t>
      </w:r>
      <w:r w:rsidR="009E5101" w:rsidRPr="009E5101">
        <w:rPr>
          <w:rFonts w:ascii="Times New Roman" w:hAnsi="Times New Roman"/>
          <w:sz w:val="24"/>
          <w:szCs w:val="24"/>
        </w:rPr>
        <w:t xml:space="preserve">are not faced with an unfair tax bill due to the operation of the current law. </w:t>
      </w:r>
    </w:p>
    <w:p w:rsidR="00D9477A" w:rsidRDefault="00D9477A" w:rsidP="00D9477A">
      <w:pPr>
        <w:pStyle w:val="ListParagraph"/>
        <w:rPr>
          <w:rFonts w:ascii="Times New Roman" w:hAnsi="Times New Roman"/>
          <w:sz w:val="24"/>
          <w:szCs w:val="24"/>
        </w:rPr>
      </w:pPr>
    </w:p>
    <w:p w:rsidR="00764EBF" w:rsidRPr="00764EBF" w:rsidRDefault="00764EBF" w:rsidP="00764EBF">
      <w:pPr>
        <w:pStyle w:val="Bullet-list"/>
        <w:spacing w:after="0" w:line="240" w:lineRule="auto"/>
        <w:rPr>
          <w:rFonts w:ascii="Times New Roman" w:hAnsi="Times New Roman"/>
          <w:b/>
          <w:sz w:val="24"/>
          <w:szCs w:val="24"/>
        </w:rPr>
      </w:pPr>
      <w:r>
        <w:rPr>
          <w:rFonts w:ascii="Times New Roman" w:hAnsi="Times New Roman"/>
          <w:b/>
          <w:sz w:val="24"/>
          <w:szCs w:val="24"/>
        </w:rPr>
        <w:t>Demerger regimes</w:t>
      </w:r>
      <w:r w:rsidR="006C7BAF">
        <w:rPr>
          <w:rFonts w:ascii="Times New Roman" w:hAnsi="Times New Roman"/>
          <w:b/>
          <w:sz w:val="24"/>
          <w:szCs w:val="24"/>
        </w:rPr>
        <w:t xml:space="preserve"> internationally</w:t>
      </w:r>
    </w:p>
    <w:p w:rsidR="00764EBF" w:rsidRPr="00764EBF" w:rsidRDefault="00764EBF" w:rsidP="00764EBF">
      <w:pPr>
        <w:pStyle w:val="Bullet-list"/>
        <w:spacing w:after="0" w:line="240" w:lineRule="auto"/>
        <w:rPr>
          <w:rFonts w:ascii="Times New Roman" w:hAnsi="Times New Roman"/>
          <w:sz w:val="24"/>
          <w:szCs w:val="24"/>
        </w:rPr>
      </w:pPr>
    </w:p>
    <w:p w:rsidR="002F066D" w:rsidRDefault="00614288" w:rsidP="00574B3E">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764EBF">
        <w:rPr>
          <w:rFonts w:ascii="Times New Roman" w:hAnsi="Times New Roman"/>
          <w:sz w:val="24"/>
          <w:szCs w:val="24"/>
        </w:rPr>
        <w:t>Australia, the UK, the US and Canada all have regimes which exempt qualifying demergers from dividend taxation.  These regimes are generally subject to numerous restrictions to ensure that they only apply to demergers and cannot be used to effect a tax</w:t>
      </w:r>
      <w:r w:rsidR="007C5D94">
        <w:rPr>
          <w:rFonts w:ascii="Times New Roman" w:hAnsi="Times New Roman"/>
          <w:sz w:val="24"/>
          <w:szCs w:val="24"/>
        </w:rPr>
        <w:t>-</w:t>
      </w:r>
      <w:r w:rsidRPr="00764EBF">
        <w:rPr>
          <w:rFonts w:ascii="Times New Roman" w:hAnsi="Times New Roman"/>
          <w:sz w:val="24"/>
          <w:szCs w:val="24"/>
        </w:rPr>
        <w:t xml:space="preserve">free distribution of income to shareholders or a sale of the companies.  For example, the foreign regimes apply </w:t>
      </w:r>
      <w:r w:rsidR="007C5D94" w:rsidRPr="00764EBF">
        <w:rPr>
          <w:rFonts w:ascii="Times New Roman" w:hAnsi="Times New Roman"/>
          <w:sz w:val="24"/>
          <w:szCs w:val="24"/>
        </w:rPr>
        <w:t xml:space="preserve">only </w:t>
      </w:r>
      <w:r w:rsidR="007C5D94">
        <w:rPr>
          <w:rFonts w:ascii="Times New Roman" w:hAnsi="Times New Roman"/>
          <w:sz w:val="24"/>
          <w:szCs w:val="24"/>
        </w:rPr>
        <w:t>when</w:t>
      </w:r>
      <w:r w:rsidR="007C5D94" w:rsidRPr="00764EBF">
        <w:rPr>
          <w:rFonts w:ascii="Times New Roman" w:hAnsi="Times New Roman"/>
          <w:sz w:val="24"/>
          <w:szCs w:val="24"/>
        </w:rPr>
        <w:t xml:space="preserve"> </w:t>
      </w:r>
      <w:r w:rsidRPr="00764EBF">
        <w:rPr>
          <w:rFonts w:ascii="Times New Roman" w:hAnsi="Times New Roman"/>
          <w:sz w:val="24"/>
          <w:szCs w:val="24"/>
        </w:rPr>
        <w:t>active businesses are being divided.  They usually also include spe</w:t>
      </w:r>
      <w:r w:rsidR="00241A8E" w:rsidRPr="00764EBF">
        <w:rPr>
          <w:rFonts w:ascii="Times New Roman" w:hAnsi="Times New Roman"/>
          <w:sz w:val="24"/>
          <w:szCs w:val="24"/>
        </w:rPr>
        <w:t>cific anti-avoidance provisions.</w:t>
      </w:r>
    </w:p>
    <w:p w:rsidR="002F066D" w:rsidRDefault="002F066D" w:rsidP="00574B3E">
      <w:pPr>
        <w:pStyle w:val="Bullet-list"/>
        <w:tabs>
          <w:tab w:val="num" w:pos="567"/>
        </w:tabs>
        <w:spacing w:after="0" w:line="240" w:lineRule="auto"/>
        <w:ind w:left="0" w:firstLine="0"/>
        <w:jc w:val="both"/>
        <w:rPr>
          <w:rFonts w:ascii="Times New Roman" w:hAnsi="Times New Roman"/>
          <w:sz w:val="24"/>
          <w:szCs w:val="24"/>
        </w:rPr>
      </w:pPr>
    </w:p>
    <w:p w:rsidR="002F066D" w:rsidRPr="002F066D" w:rsidRDefault="002F066D" w:rsidP="003E4296">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sidRPr="002F066D">
        <w:rPr>
          <w:rFonts w:ascii="Times New Roman" w:hAnsi="Times New Roman"/>
          <w:sz w:val="24"/>
          <w:szCs w:val="24"/>
        </w:rPr>
        <w:t>Australian demergers are generally excluded from being a dividend either under:</w:t>
      </w:r>
    </w:p>
    <w:p w:rsidR="002F066D" w:rsidRPr="009D6CC6" w:rsidRDefault="002F066D" w:rsidP="003E4296">
      <w:pPr>
        <w:pStyle w:val="BodyText1"/>
        <w:numPr>
          <w:ilvl w:val="0"/>
          <w:numId w:val="9"/>
        </w:numPr>
        <w:spacing w:after="180"/>
        <w:ind w:left="567"/>
        <w:jc w:val="both"/>
        <w:rPr>
          <w:rFonts w:ascii="Times New Roman" w:hAnsi="Times New Roman" w:cs="Times New Roman"/>
          <w:sz w:val="24"/>
          <w:szCs w:val="24"/>
        </w:rPr>
      </w:pPr>
      <w:r w:rsidRPr="009D6CC6">
        <w:rPr>
          <w:rFonts w:ascii="Times New Roman" w:hAnsi="Times New Roman" w:cs="Times New Roman"/>
          <w:sz w:val="24"/>
          <w:szCs w:val="24"/>
        </w:rPr>
        <w:t xml:space="preserve">Australia’s specific demerger regime; or </w:t>
      </w:r>
    </w:p>
    <w:p w:rsidR="000E4131" w:rsidRPr="000E4131" w:rsidRDefault="002F066D" w:rsidP="008933CF">
      <w:pPr>
        <w:pStyle w:val="ListParagraph"/>
        <w:numPr>
          <w:ilvl w:val="0"/>
          <w:numId w:val="9"/>
        </w:numPr>
        <w:ind w:left="567"/>
        <w:rPr>
          <w:rFonts w:ascii="Times New Roman" w:hAnsi="Times New Roman"/>
          <w:sz w:val="24"/>
          <w:szCs w:val="24"/>
        </w:rPr>
      </w:pPr>
      <w:r w:rsidRPr="000E4131">
        <w:rPr>
          <w:rFonts w:ascii="Times New Roman" w:hAnsi="Times New Roman"/>
          <w:sz w:val="24"/>
          <w:szCs w:val="24"/>
        </w:rPr>
        <w:t xml:space="preserve">because the demerger is treated as a return of share capital for Australian tax purposes.  </w:t>
      </w:r>
    </w:p>
    <w:p w:rsidR="000E4131" w:rsidRDefault="000E4131" w:rsidP="000E4131">
      <w:pPr>
        <w:spacing w:after="0"/>
        <w:rPr>
          <w:rFonts w:ascii="Times New Roman" w:hAnsi="Times New Roman"/>
          <w:sz w:val="24"/>
          <w:szCs w:val="24"/>
        </w:rPr>
      </w:pPr>
    </w:p>
    <w:p w:rsidR="000E4131" w:rsidRDefault="000E4131" w:rsidP="000E4131">
      <w:pPr>
        <w:spacing w:after="0"/>
        <w:rPr>
          <w:rFonts w:ascii="Times New Roman" w:hAnsi="Times New Roman"/>
          <w:b/>
          <w:sz w:val="24"/>
          <w:szCs w:val="24"/>
        </w:rPr>
      </w:pPr>
      <w:r>
        <w:rPr>
          <w:rFonts w:ascii="Times New Roman" w:hAnsi="Times New Roman"/>
          <w:b/>
          <w:sz w:val="24"/>
          <w:szCs w:val="24"/>
        </w:rPr>
        <w:t>Scale of the problem</w:t>
      </w:r>
    </w:p>
    <w:p w:rsidR="000E4131" w:rsidRPr="000E4131" w:rsidRDefault="000E4131" w:rsidP="000E4131">
      <w:pPr>
        <w:spacing w:after="0"/>
        <w:rPr>
          <w:rFonts w:ascii="Times New Roman" w:hAnsi="Times New Roman"/>
          <w:b/>
          <w:sz w:val="24"/>
          <w:szCs w:val="24"/>
        </w:rPr>
      </w:pPr>
    </w:p>
    <w:p w:rsidR="000E4131" w:rsidRDefault="000E4131" w:rsidP="003E4296">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sidRPr="00241A8E">
        <w:rPr>
          <w:rFonts w:ascii="Times New Roman" w:hAnsi="Times New Roman"/>
          <w:sz w:val="24"/>
          <w:szCs w:val="24"/>
        </w:rPr>
        <w:t>The current tax treatment raises issues for demergers of both New Zealand and foreign companies.  However the problem is particularly acute for demergers by listed Australian companies.  This is because</w:t>
      </w:r>
      <w:r>
        <w:rPr>
          <w:rFonts w:ascii="Times New Roman" w:hAnsi="Times New Roman"/>
          <w:sz w:val="24"/>
          <w:szCs w:val="24"/>
        </w:rPr>
        <w:t>:</w:t>
      </w:r>
      <w:r w:rsidRPr="00241A8E">
        <w:rPr>
          <w:rFonts w:ascii="Times New Roman" w:hAnsi="Times New Roman"/>
          <w:sz w:val="24"/>
          <w:szCs w:val="24"/>
        </w:rPr>
        <w:t xml:space="preserve"> </w:t>
      </w:r>
    </w:p>
    <w:p w:rsidR="000E4131" w:rsidRPr="000E4131" w:rsidRDefault="000E4131" w:rsidP="003E4296">
      <w:pPr>
        <w:pStyle w:val="Bullet-list"/>
        <w:numPr>
          <w:ilvl w:val="0"/>
          <w:numId w:val="19"/>
        </w:numPr>
        <w:spacing w:line="240" w:lineRule="auto"/>
        <w:jc w:val="both"/>
        <w:rPr>
          <w:rFonts w:ascii="Times New Roman" w:hAnsi="Times New Roman"/>
          <w:sz w:val="24"/>
          <w:szCs w:val="24"/>
        </w:rPr>
      </w:pPr>
      <w:r w:rsidRPr="00241A8E">
        <w:rPr>
          <w:rFonts w:ascii="Times New Roman" w:hAnsi="Times New Roman"/>
          <w:sz w:val="24"/>
          <w:szCs w:val="24"/>
        </w:rPr>
        <w:t>New Zealand companies can often structure their demerger so that no dividend arises</w:t>
      </w:r>
      <w:r>
        <w:rPr>
          <w:rFonts w:ascii="Times New Roman" w:hAnsi="Times New Roman"/>
          <w:sz w:val="24"/>
          <w:szCs w:val="24"/>
        </w:rPr>
        <w:t>;</w:t>
      </w:r>
      <w:r w:rsidRPr="00241A8E">
        <w:rPr>
          <w:rFonts w:ascii="Times New Roman" w:hAnsi="Times New Roman"/>
          <w:sz w:val="24"/>
          <w:szCs w:val="24"/>
        </w:rPr>
        <w:t xml:space="preserve"> </w:t>
      </w:r>
      <w:r>
        <w:rPr>
          <w:rFonts w:ascii="Times New Roman" w:hAnsi="Times New Roman"/>
          <w:sz w:val="24"/>
          <w:szCs w:val="24"/>
        </w:rPr>
        <w:t>and</w:t>
      </w:r>
    </w:p>
    <w:p w:rsidR="000E4131" w:rsidRDefault="000E4131" w:rsidP="00683167">
      <w:pPr>
        <w:pStyle w:val="Bullet-list"/>
        <w:numPr>
          <w:ilvl w:val="0"/>
          <w:numId w:val="19"/>
        </w:numPr>
        <w:spacing w:after="0" w:line="240" w:lineRule="auto"/>
        <w:ind w:left="714" w:hanging="357"/>
        <w:jc w:val="both"/>
        <w:rPr>
          <w:rFonts w:ascii="Times New Roman" w:hAnsi="Times New Roman"/>
          <w:sz w:val="24"/>
          <w:szCs w:val="24"/>
        </w:rPr>
      </w:pPr>
      <w:r w:rsidRPr="00241A8E">
        <w:rPr>
          <w:rFonts w:ascii="Times New Roman" w:hAnsi="Times New Roman"/>
          <w:sz w:val="24"/>
          <w:szCs w:val="24"/>
        </w:rPr>
        <w:t xml:space="preserve">shares in other foreign companies are more commonly subject to the FIF rules which ignore dividends.  </w:t>
      </w:r>
    </w:p>
    <w:p w:rsidR="000E4131" w:rsidRDefault="000E4131" w:rsidP="000E4131">
      <w:pPr>
        <w:pStyle w:val="ListParagraph"/>
        <w:rPr>
          <w:rFonts w:ascii="Times New Roman" w:hAnsi="Times New Roman"/>
          <w:sz w:val="24"/>
          <w:szCs w:val="24"/>
        </w:rPr>
      </w:pPr>
    </w:p>
    <w:p w:rsidR="000E4131" w:rsidRPr="00111159" w:rsidRDefault="000E4131" w:rsidP="000E413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241A8E">
        <w:rPr>
          <w:rFonts w:ascii="Times New Roman" w:hAnsi="Times New Roman"/>
          <w:sz w:val="24"/>
          <w:szCs w:val="24"/>
        </w:rPr>
        <w:t>Listed Australian companies</w:t>
      </w:r>
      <w:r w:rsidR="00C61D3D">
        <w:rPr>
          <w:rFonts w:ascii="Times New Roman" w:hAnsi="Times New Roman"/>
          <w:sz w:val="24"/>
          <w:szCs w:val="24"/>
        </w:rPr>
        <w:t>,</w:t>
      </w:r>
      <w:r w:rsidRPr="00241A8E">
        <w:rPr>
          <w:rFonts w:ascii="Times New Roman" w:hAnsi="Times New Roman"/>
          <w:sz w:val="24"/>
          <w:szCs w:val="24"/>
        </w:rPr>
        <w:t xml:space="preserve"> however</w:t>
      </w:r>
      <w:r w:rsidR="00C61D3D">
        <w:rPr>
          <w:rFonts w:ascii="Times New Roman" w:hAnsi="Times New Roman"/>
          <w:sz w:val="24"/>
          <w:szCs w:val="24"/>
        </w:rPr>
        <w:t>,</w:t>
      </w:r>
      <w:r w:rsidRPr="00241A8E">
        <w:rPr>
          <w:rFonts w:ascii="Times New Roman" w:hAnsi="Times New Roman"/>
          <w:sz w:val="24"/>
          <w:szCs w:val="24"/>
        </w:rPr>
        <w:t xml:space="preserve"> often have several thousand New Zealand shareholders that are taxable on any dividends received, but they do not structure their demergers to be efficient for N</w:t>
      </w:r>
      <w:r>
        <w:rPr>
          <w:rFonts w:ascii="Times New Roman" w:hAnsi="Times New Roman"/>
          <w:sz w:val="24"/>
          <w:szCs w:val="24"/>
        </w:rPr>
        <w:t>ew Zealand</w:t>
      </w:r>
      <w:r w:rsidRPr="00241A8E">
        <w:rPr>
          <w:rFonts w:ascii="Times New Roman" w:hAnsi="Times New Roman"/>
          <w:sz w:val="24"/>
          <w:szCs w:val="24"/>
        </w:rPr>
        <w:t xml:space="preserve"> tax purposes. </w:t>
      </w:r>
      <w:r>
        <w:rPr>
          <w:rFonts w:ascii="Times New Roman" w:hAnsi="Times New Roman"/>
          <w:sz w:val="24"/>
          <w:szCs w:val="24"/>
        </w:rPr>
        <w:t xml:space="preserve"> For example, approximately 13,000 New Zealand shareholders were affected by the BHP/South 32 demerger in 2015, while about 9,000 New Zealand shareholders were affected by the NAB/Clysdale demerger in 2016. </w:t>
      </w:r>
      <w:r w:rsidRPr="00241A8E">
        <w:rPr>
          <w:rFonts w:ascii="Times New Roman" w:hAnsi="Times New Roman"/>
          <w:sz w:val="24"/>
          <w:szCs w:val="24"/>
        </w:rPr>
        <w:t xml:space="preserve"> </w:t>
      </w:r>
      <w:r>
        <w:rPr>
          <w:rFonts w:ascii="Times New Roman" w:hAnsi="Times New Roman"/>
          <w:sz w:val="24"/>
          <w:szCs w:val="24"/>
        </w:rPr>
        <w:t>D</w:t>
      </w:r>
      <w:r w:rsidRPr="00241A8E">
        <w:rPr>
          <w:rFonts w:ascii="Times New Roman" w:hAnsi="Times New Roman"/>
          <w:sz w:val="24"/>
          <w:szCs w:val="24"/>
        </w:rPr>
        <w:t xml:space="preserve">ividend taxation for Australian demergers can seem particularly unfair for New Zealand shareholders, as Australian shareholders are not usually taxable on the demerger.  </w:t>
      </w:r>
    </w:p>
    <w:p w:rsidR="00111159" w:rsidRPr="004342F0" w:rsidRDefault="00D943DD" w:rsidP="004342F0">
      <w:pPr>
        <w:pStyle w:val="RISheading"/>
        <w:rPr>
          <w:spacing w:val="0"/>
          <w:w w:val="100"/>
        </w:rPr>
      </w:pPr>
      <w:bookmarkStart w:id="13" w:name="_Toc244580364"/>
      <w:bookmarkStart w:id="14" w:name="_Toc244587040"/>
      <w:bookmarkStart w:id="15" w:name="_Toc244857274"/>
      <w:bookmarkStart w:id="16" w:name="_Toc244912539"/>
      <w:bookmarkStart w:id="17" w:name="_Toc244916996"/>
      <w:r w:rsidRPr="004342F0">
        <w:rPr>
          <w:spacing w:val="0"/>
          <w:w w:val="100"/>
        </w:rPr>
        <w:t>OBJECTIVES</w:t>
      </w:r>
      <w:bookmarkEnd w:id="13"/>
      <w:bookmarkEnd w:id="14"/>
      <w:bookmarkEnd w:id="15"/>
      <w:bookmarkEnd w:id="16"/>
      <w:bookmarkEnd w:id="17"/>
    </w:p>
    <w:p w:rsidR="00E556DE" w:rsidRPr="00BF2EA5" w:rsidRDefault="00EA6C2F" w:rsidP="00134EDD">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w:t>
      </w:r>
      <w:r w:rsidR="00E556DE">
        <w:rPr>
          <w:rFonts w:ascii="Times New Roman" w:hAnsi="Times New Roman"/>
          <w:sz w:val="24"/>
          <w:szCs w:val="24"/>
        </w:rPr>
        <w:t xml:space="preserve"> </w:t>
      </w:r>
      <w:r w:rsidR="000E4131" w:rsidRPr="002E19B4">
        <w:rPr>
          <w:rFonts w:ascii="Times New Roman" w:hAnsi="Times New Roman"/>
          <w:b/>
          <w:sz w:val="24"/>
          <w:szCs w:val="24"/>
        </w:rPr>
        <w:t>main objective</w:t>
      </w:r>
      <w:r w:rsidRPr="002E19B4">
        <w:rPr>
          <w:rFonts w:ascii="Times New Roman" w:hAnsi="Times New Roman"/>
          <w:b/>
          <w:sz w:val="24"/>
          <w:szCs w:val="24"/>
        </w:rPr>
        <w:t xml:space="preserve"> </w:t>
      </w:r>
      <w:r>
        <w:rPr>
          <w:rFonts w:ascii="Times New Roman" w:hAnsi="Times New Roman"/>
          <w:sz w:val="24"/>
          <w:szCs w:val="24"/>
        </w:rPr>
        <w:t xml:space="preserve">is to </w:t>
      </w:r>
      <w:r w:rsidR="00241A8E" w:rsidRPr="00EA6C2F">
        <w:rPr>
          <w:rFonts w:ascii="Times New Roman" w:hAnsi="Times New Roman"/>
          <w:sz w:val="24"/>
          <w:szCs w:val="24"/>
        </w:rPr>
        <w:t>a</w:t>
      </w:r>
      <w:r w:rsidR="00B56DDF">
        <w:rPr>
          <w:rFonts w:ascii="Times New Roman" w:hAnsi="Times New Roman"/>
          <w:sz w:val="24"/>
          <w:szCs w:val="24"/>
        </w:rPr>
        <w:t>lign a</w:t>
      </w:r>
      <w:r w:rsidR="00241A8E" w:rsidRPr="00EA6C2F">
        <w:rPr>
          <w:rFonts w:ascii="Times New Roman" w:hAnsi="Times New Roman"/>
          <w:sz w:val="24"/>
          <w:szCs w:val="24"/>
        </w:rPr>
        <w:t xml:space="preserve"> demerger’s tax treatment with its economic substance.</w:t>
      </w:r>
      <w:r w:rsidR="00720B75">
        <w:rPr>
          <w:rFonts w:ascii="Times New Roman" w:hAnsi="Times New Roman"/>
          <w:sz w:val="24"/>
          <w:szCs w:val="24"/>
        </w:rPr>
        <w:t xml:space="preserve">  This will</w:t>
      </w:r>
      <w:r w:rsidR="00B56DDF">
        <w:rPr>
          <w:rFonts w:ascii="Times New Roman" w:hAnsi="Times New Roman"/>
          <w:sz w:val="24"/>
          <w:szCs w:val="24"/>
        </w:rPr>
        <w:t xml:space="preserve"> improve economic efficiency and</w:t>
      </w:r>
      <w:r w:rsidR="00720B75">
        <w:rPr>
          <w:rFonts w:ascii="Times New Roman" w:hAnsi="Times New Roman"/>
          <w:sz w:val="24"/>
          <w:szCs w:val="24"/>
        </w:rPr>
        <w:t xml:space="preserve"> ensure that New Zealand shareholders </w:t>
      </w:r>
      <w:r w:rsidR="00BF2EA5">
        <w:rPr>
          <w:rFonts w:ascii="Times New Roman" w:hAnsi="Times New Roman"/>
          <w:sz w:val="24"/>
          <w:szCs w:val="24"/>
        </w:rPr>
        <w:t xml:space="preserve">are not </w:t>
      </w:r>
      <w:r w:rsidR="007C5D94">
        <w:rPr>
          <w:rFonts w:ascii="Times New Roman" w:hAnsi="Times New Roman"/>
          <w:sz w:val="24"/>
          <w:szCs w:val="24"/>
        </w:rPr>
        <w:t xml:space="preserve">inappropriately </w:t>
      </w:r>
      <w:r w:rsidR="00BF2EA5">
        <w:rPr>
          <w:rFonts w:ascii="Times New Roman" w:hAnsi="Times New Roman"/>
          <w:sz w:val="24"/>
          <w:szCs w:val="24"/>
        </w:rPr>
        <w:t xml:space="preserve">taxed on the </w:t>
      </w:r>
      <w:r w:rsidR="00BF2EA5" w:rsidRPr="00614288">
        <w:rPr>
          <w:rFonts w:ascii="Times New Roman" w:hAnsi="Times New Roman"/>
          <w:sz w:val="24"/>
          <w:szCs w:val="24"/>
        </w:rPr>
        <w:t>full value of the</w:t>
      </w:r>
      <w:r w:rsidR="00B56DDF">
        <w:rPr>
          <w:rFonts w:ascii="Times New Roman" w:hAnsi="Times New Roman"/>
          <w:sz w:val="24"/>
          <w:szCs w:val="24"/>
        </w:rPr>
        <w:t>ir</w:t>
      </w:r>
      <w:r w:rsidR="00BF2EA5" w:rsidRPr="00614288">
        <w:rPr>
          <w:rFonts w:ascii="Times New Roman" w:hAnsi="Times New Roman"/>
          <w:sz w:val="24"/>
          <w:szCs w:val="24"/>
        </w:rPr>
        <w:t xml:space="preserve"> shares in the demerged company</w:t>
      </w:r>
      <w:r w:rsidR="00BF2EA5">
        <w:rPr>
          <w:rFonts w:ascii="Times New Roman" w:hAnsi="Times New Roman"/>
          <w:sz w:val="24"/>
          <w:szCs w:val="24"/>
        </w:rPr>
        <w:t xml:space="preserve">. </w:t>
      </w:r>
    </w:p>
    <w:p w:rsidR="002715A1" w:rsidRDefault="002715A1" w:rsidP="00134EDD">
      <w:pPr>
        <w:pStyle w:val="Bullet-list"/>
        <w:tabs>
          <w:tab w:val="num" w:pos="567"/>
        </w:tabs>
        <w:spacing w:after="0" w:line="240" w:lineRule="auto"/>
        <w:ind w:left="0" w:firstLine="0"/>
        <w:jc w:val="both"/>
        <w:rPr>
          <w:rFonts w:ascii="Times New Roman" w:hAnsi="Times New Roman"/>
          <w:sz w:val="24"/>
          <w:szCs w:val="24"/>
        </w:rPr>
      </w:pPr>
    </w:p>
    <w:p w:rsidR="003E1A70" w:rsidRPr="00982B60" w:rsidRDefault="00FD6D08" w:rsidP="003E4296">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Pr>
          <w:rFonts w:ascii="Times New Roman" w:hAnsi="Times New Roman"/>
          <w:sz w:val="24"/>
          <w:szCs w:val="24"/>
        </w:rPr>
        <w:t>All</w:t>
      </w:r>
      <w:r w:rsidR="002715A1">
        <w:rPr>
          <w:rFonts w:ascii="Times New Roman" w:hAnsi="Times New Roman"/>
          <w:sz w:val="24"/>
          <w:szCs w:val="24"/>
        </w:rPr>
        <w:t xml:space="preserve"> options </w:t>
      </w:r>
      <w:r>
        <w:rPr>
          <w:rFonts w:ascii="Times New Roman" w:hAnsi="Times New Roman"/>
          <w:sz w:val="24"/>
          <w:szCs w:val="24"/>
        </w:rPr>
        <w:t xml:space="preserve">are </w:t>
      </w:r>
      <w:r w:rsidR="002715A1">
        <w:rPr>
          <w:rFonts w:ascii="Times New Roman" w:hAnsi="Times New Roman"/>
          <w:sz w:val="24"/>
          <w:szCs w:val="24"/>
        </w:rPr>
        <w:t>assessed against the</w:t>
      </w:r>
      <w:r>
        <w:rPr>
          <w:rFonts w:ascii="Times New Roman" w:hAnsi="Times New Roman"/>
          <w:sz w:val="24"/>
          <w:szCs w:val="24"/>
        </w:rPr>
        <w:t xml:space="preserve"> main objective and the</w:t>
      </w:r>
      <w:r w:rsidR="002715A1">
        <w:rPr>
          <w:rFonts w:ascii="Times New Roman" w:hAnsi="Times New Roman"/>
          <w:sz w:val="24"/>
          <w:szCs w:val="24"/>
        </w:rPr>
        <w:t xml:space="preserve"> following </w:t>
      </w:r>
      <w:r w:rsidR="00DE1468">
        <w:rPr>
          <w:rFonts w:ascii="Times New Roman" w:hAnsi="Times New Roman"/>
          <w:sz w:val="24"/>
          <w:szCs w:val="24"/>
        </w:rPr>
        <w:t>criteria</w:t>
      </w:r>
      <w:r w:rsidR="002715A1">
        <w:rPr>
          <w:rFonts w:ascii="Times New Roman" w:hAnsi="Times New Roman"/>
          <w:sz w:val="24"/>
          <w:szCs w:val="24"/>
        </w:rPr>
        <w:t>:</w:t>
      </w:r>
    </w:p>
    <w:p w:rsidR="003E1A70" w:rsidRPr="00982B60" w:rsidRDefault="003E1A70" w:rsidP="003E4296">
      <w:pPr>
        <w:pStyle w:val="BodyText1"/>
        <w:numPr>
          <w:ilvl w:val="1"/>
          <w:numId w:val="12"/>
        </w:numPr>
        <w:spacing w:after="180"/>
        <w:ind w:left="709"/>
        <w:jc w:val="both"/>
        <w:rPr>
          <w:rFonts w:ascii="Times New Roman" w:hAnsi="Times New Roman" w:cs="Times New Roman"/>
          <w:sz w:val="24"/>
          <w:szCs w:val="24"/>
        </w:rPr>
      </w:pPr>
      <w:r>
        <w:rPr>
          <w:rFonts w:ascii="Times New Roman" w:hAnsi="Times New Roman" w:cs="Times New Roman"/>
          <w:b/>
          <w:sz w:val="24"/>
          <w:szCs w:val="24"/>
        </w:rPr>
        <w:t>Economic efficiency</w:t>
      </w:r>
      <w:r>
        <w:rPr>
          <w:rFonts w:ascii="Times New Roman" w:hAnsi="Times New Roman" w:cs="Times New Roman"/>
          <w:sz w:val="24"/>
          <w:szCs w:val="24"/>
        </w:rPr>
        <w:t xml:space="preserve"> – the proposed changes should align the tax treatment of demergers with their economic substance.  This will improve the economic</w:t>
      </w:r>
      <w:r w:rsidR="00AE4713">
        <w:rPr>
          <w:rFonts w:ascii="Times New Roman" w:hAnsi="Times New Roman" w:cs="Times New Roman"/>
          <w:sz w:val="24"/>
          <w:szCs w:val="24"/>
        </w:rPr>
        <w:t xml:space="preserve"> efficiency of the tax system</w:t>
      </w:r>
      <w:r w:rsidR="00161FBD">
        <w:rPr>
          <w:rFonts w:ascii="Times New Roman" w:hAnsi="Times New Roman" w:cs="Times New Roman"/>
          <w:sz w:val="24"/>
          <w:szCs w:val="24"/>
        </w:rPr>
        <w:t>.</w:t>
      </w:r>
      <w:r w:rsidR="00B56DDF">
        <w:rPr>
          <w:rFonts w:ascii="Times New Roman" w:hAnsi="Times New Roman" w:cs="Times New Roman"/>
          <w:sz w:val="24"/>
          <w:szCs w:val="24"/>
        </w:rPr>
        <w:t xml:space="preserve">  More particularly, it will ensure that the tax treatment does not incentivise shareholders to sell their share</w:t>
      </w:r>
      <w:r w:rsidR="007C5D94">
        <w:rPr>
          <w:rFonts w:ascii="Times New Roman" w:hAnsi="Times New Roman" w:cs="Times New Roman"/>
          <w:sz w:val="24"/>
          <w:szCs w:val="24"/>
        </w:rPr>
        <w:t>s</w:t>
      </w:r>
      <w:r w:rsidR="00B56DDF">
        <w:rPr>
          <w:rFonts w:ascii="Times New Roman" w:hAnsi="Times New Roman" w:cs="Times New Roman"/>
          <w:sz w:val="24"/>
          <w:szCs w:val="24"/>
        </w:rPr>
        <w:t xml:space="preserve"> in a company which is about to demerge (or </w:t>
      </w:r>
      <w:r w:rsidR="00AE4713">
        <w:rPr>
          <w:rFonts w:ascii="Times New Roman" w:hAnsi="Times New Roman" w:cs="Times New Roman"/>
          <w:sz w:val="24"/>
          <w:szCs w:val="24"/>
        </w:rPr>
        <w:t>disincentivise</w:t>
      </w:r>
      <w:r w:rsidR="00B56DDF">
        <w:rPr>
          <w:rFonts w:ascii="Times New Roman" w:hAnsi="Times New Roman" w:cs="Times New Roman"/>
          <w:sz w:val="24"/>
          <w:szCs w:val="24"/>
        </w:rPr>
        <w:t xml:space="preserve"> them from </w:t>
      </w:r>
      <w:r w:rsidR="008A6645">
        <w:rPr>
          <w:rFonts w:ascii="Times New Roman" w:hAnsi="Times New Roman" w:cs="Times New Roman"/>
          <w:sz w:val="24"/>
          <w:szCs w:val="24"/>
        </w:rPr>
        <w:t>acquiring</w:t>
      </w:r>
      <w:r w:rsidR="00B56DDF">
        <w:rPr>
          <w:rFonts w:ascii="Times New Roman" w:hAnsi="Times New Roman" w:cs="Times New Roman"/>
          <w:sz w:val="24"/>
          <w:szCs w:val="24"/>
        </w:rPr>
        <w:t xml:space="preserve"> such share</w:t>
      </w:r>
      <w:r w:rsidR="00346B83">
        <w:rPr>
          <w:rFonts w:ascii="Times New Roman" w:hAnsi="Times New Roman" w:cs="Times New Roman"/>
          <w:sz w:val="24"/>
          <w:szCs w:val="24"/>
        </w:rPr>
        <w:t>s</w:t>
      </w:r>
      <w:r w:rsidR="00B56DDF">
        <w:rPr>
          <w:rFonts w:ascii="Times New Roman" w:hAnsi="Times New Roman" w:cs="Times New Roman"/>
          <w:sz w:val="24"/>
          <w:szCs w:val="24"/>
        </w:rPr>
        <w:t>).</w:t>
      </w:r>
    </w:p>
    <w:p w:rsidR="008309A8" w:rsidRDefault="00241A8E" w:rsidP="003E4296">
      <w:pPr>
        <w:pStyle w:val="BodyText1"/>
        <w:numPr>
          <w:ilvl w:val="1"/>
          <w:numId w:val="12"/>
        </w:numPr>
        <w:spacing w:after="180"/>
        <w:ind w:left="709"/>
        <w:jc w:val="both"/>
        <w:rPr>
          <w:rFonts w:ascii="Times New Roman" w:hAnsi="Times New Roman" w:cs="Times New Roman"/>
          <w:sz w:val="24"/>
          <w:szCs w:val="24"/>
        </w:rPr>
      </w:pPr>
      <w:r>
        <w:rPr>
          <w:rFonts w:ascii="Times New Roman" w:hAnsi="Times New Roman" w:cs="Times New Roman"/>
          <w:b/>
          <w:sz w:val="24"/>
          <w:szCs w:val="24"/>
        </w:rPr>
        <w:t xml:space="preserve">Integrity of the tax system </w:t>
      </w:r>
      <w:r w:rsidR="008309A8">
        <w:rPr>
          <w:rFonts w:ascii="Times New Roman" w:hAnsi="Times New Roman" w:cs="Times New Roman"/>
          <w:b/>
          <w:sz w:val="24"/>
          <w:szCs w:val="24"/>
        </w:rPr>
        <w:t>–</w:t>
      </w:r>
      <w:r w:rsidRPr="009D6CC6">
        <w:rPr>
          <w:rFonts w:ascii="Times New Roman" w:hAnsi="Times New Roman" w:cs="Times New Roman"/>
          <w:sz w:val="24"/>
          <w:szCs w:val="24"/>
        </w:rPr>
        <w:t xml:space="preserve"> </w:t>
      </w:r>
      <w:r w:rsidR="008309A8">
        <w:rPr>
          <w:rFonts w:ascii="Times New Roman" w:hAnsi="Times New Roman" w:cs="Times New Roman"/>
          <w:sz w:val="24"/>
          <w:szCs w:val="24"/>
        </w:rPr>
        <w:t>the proposed changes to the demerger regime should not create opportunities for abuse.  What is in substance the distribution of income should not be able to be structured as a</w:t>
      </w:r>
      <w:r w:rsidR="00760A19">
        <w:rPr>
          <w:rFonts w:ascii="Times New Roman" w:hAnsi="Times New Roman" w:cs="Times New Roman"/>
          <w:sz w:val="24"/>
          <w:szCs w:val="24"/>
        </w:rPr>
        <w:t xml:space="preserve"> tax-</w:t>
      </w:r>
      <w:r w:rsidR="00AE4713">
        <w:rPr>
          <w:rFonts w:ascii="Times New Roman" w:hAnsi="Times New Roman" w:cs="Times New Roman"/>
          <w:sz w:val="24"/>
          <w:szCs w:val="24"/>
        </w:rPr>
        <w:t>free</w:t>
      </w:r>
      <w:r w:rsidR="008309A8">
        <w:rPr>
          <w:rFonts w:ascii="Times New Roman" w:hAnsi="Times New Roman" w:cs="Times New Roman"/>
          <w:sz w:val="24"/>
          <w:szCs w:val="24"/>
        </w:rPr>
        <w:t xml:space="preserve"> demerger.  </w:t>
      </w:r>
    </w:p>
    <w:p w:rsidR="00997833" w:rsidRDefault="00161FBD" w:rsidP="00FD6D08">
      <w:pPr>
        <w:pStyle w:val="BodyText1"/>
        <w:numPr>
          <w:ilvl w:val="1"/>
          <w:numId w:val="12"/>
        </w:numPr>
        <w:ind w:left="709"/>
        <w:jc w:val="both"/>
        <w:rPr>
          <w:rFonts w:ascii="Times New Roman" w:hAnsi="Times New Roman" w:cs="Times New Roman"/>
          <w:sz w:val="24"/>
          <w:szCs w:val="24"/>
        </w:rPr>
      </w:pPr>
      <w:r>
        <w:rPr>
          <w:rFonts w:ascii="Times New Roman" w:hAnsi="Times New Roman" w:cs="Times New Roman"/>
          <w:b/>
          <w:sz w:val="24"/>
          <w:szCs w:val="24"/>
        </w:rPr>
        <w:t>Fairness and equity</w:t>
      </w:r>
      <w:r>
        <w:rPr>
          <w:rFonts w:ascii="Times New Roman" w:hAnsi="Times New Roman" w:cs="Times New Roman"/>
          <w:sz w:val="24"/>
          <w:szCs w:val="24"/>
        </w:rPr>
        <w:t xml:space="preserve"> – the proposed changes should improve the fairness of the tax system, by ensuring that shareholders are not taxed on a demerger when they have not </w:t>
      </w:r>
      <w:r w:rsidR="00AE4713">
        <w:rPr>
          <w:rFonts w:ascii="Times New Roman" w:hAnsi="Times New Roman" w:cs="Times New Roman"/>
          <w:sz w:val="24"/>
          <w:szCs w:val="24"/>
        </w:rPr>
        <w:t>derived</w:t>
      </w:r>
      <w:r>
        <w:rPr>
          <w:rFonts w:ascii="Times New Roman" w:hAnsi="Times New Roman" w:cs="Times New Roman"/>
          <w:sz w:val="24"/>
          <w:szCs w:val="24"/>
        </w:rPr>
        <w:t xml:space="preserve"> any income in economic substance.</w:t>
      </w:r>
    </w:p>
    <w:p w:rsidR="00997833" w:rsidRDefault="00997833" w:rsidP="00982B60">
      <w:pPr>
        <w:pStyle w:val="ListParagraph"/>
        <w:rPr>
          <w:rFonts w:ascii="Times New Roman" w:hAnsi="Times New Roman"/>
          <w:sz w:val="24"/>
          <w:szCs w:val="24"/>
        </w:rPr>
      </w:pPr>
    </w:p>
    <w:p w:rsidR="00816619" w:rsidRPr="006D6B14" w:rsidRDefault="00816619" w:rsidP="0099783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6D6B14">
        <w:rPr>
          <w:rFonts w:ascii="Times New Roman" w:hAnsi="Times New Roman"/>
          <w:sz w:val="24"/>
          <w:szCs w:val="24"/>
        </w:rPr>
        <w:t>In this context, officials</w:t>
      </w:r>
      <w:r w:rsidR="00172FC5" w:rsidRPr="006D6B14">
        <w:rPr>
          <w:rFonts w:ascii="Times New Roman" w:hAnsi="Times New Roman"/>
          <w:sz w:val="24"/>
          <w:szCs w:val="24"/>
        </w:rPr>
        <w:t xml:space="preserve"> consider that </w:t>
      </w:r>
      <w:r w:rsidRPr="006D6B14">
        <w:rPr>
          <w:rFonts w:ascii="Times New Roman" w:hAnsi="Times New Roman"/>
          <w:sz w:val="24"/>
          <w:szCs w:val="24"/>
        </w:rPr>
        <w:t>the most</w:t>
      </w:r>
      <w:r w:rsidR="00172FC5" w:rsidRPr="006D6B14">
        <w:rPr>
          <w:rFonts w:ascii="Times New Roman" w:hAnsi="Times New Roman"/>
          <w:sz w:val="24"/>
          <w:szCs w:val="24"/>
        </w:rPr>
        <w:t xml:space="preserve"> weight should be given to </w:t>
      </w:r>
      <w:r w:rsidRPr="006D6B14">
        <w:rPr>
          <w:rFonts w:ascii="Times New Roman" w:hAnsi="Times New Roman"/>
          <w:sz w:val="24"/>
          <w:szCs w:val="24"/>
        </w:rPr>
        <w:t xml:space="preserve">meeting the objectives of fairness and equity, and the integrity of the tax system.  </w:t>
      </w:r>
      <w:r w:rsidR="006D6B14">
        <w:rPr>
          <w:rFonts w:ascii="Times New Roman" w:hAnsi="Times New Roman"/>
          <w:sz w:val="24"/>
          <w:szCs w:val="24"/>
        </w:rPr>
        <w:t>Further, a</w:t>
      </w:r>
      <w:r w:rsidRPr="006D6B14">
        <w:rPr>
          <w:rFonts w:ascii="Times New Roman" w:hAnsi="Times New Roman"/>
          <w:sz w:val="24"/>
          <w:szCs w:val="24"/>
        </w:rPr>
        <w:t>s the scope of the proposed change gets broader, there will be an increase in fairness and equity at the expense of integrity of the tax system.  This i</w:t>
      </w:r>
      <w:r w:rsidR="006D6B14" w:rsidRPr="006D6B14">
        <w:rPr>
          <w:rFonts w:ascii="Times New Roman" w:hAnsi="Times New Roman"/>
          <w:sz w:val="24"/>
          <w:szCs w:val="24"/>
        </w:rPr>
        <w:t xml:space="preserve">s because a broader regime could lead to gaps in the law which require the development of </w:t>
      </w:r>
      <w:r w:rsidR="00172ED4">
        <w:rPr>
          <w:rFonts w:ascii="Times New Roman" w:hAnsi="Times New Roman"/>
          <w:sz w:val="24"/>
          <w:szCs w:val="24"/>
        </w:rPr>
        <w:t xml:space="preserve">provisions that prevent abuse of the regime. </w:t>
      </w:r>
      <w:r w:rsidR="00AE5DFA">
        <w:rPr>
          <w:rFonts w:ascii="Times New Roman" w:hAnsi="Times New Roman"/>
          <w:sz w:val="24"/>
          <w:szCs w:val="24"/>
        </w:rPr>
        <w:t xml:space="preserve"> </w:t>
      </w:r>
      <w:r w:rsidR="00A9228A">
        <w:rPr>
          <w:rFonts w:ascii="Times New Roman" w:hAnsi="Times New Roman"/>
          <w:sz w:val="24"/>
          <w:szCs w:val="24"/>
        </w:rPr>
        <w:t xml:space="preserve">Officials consider that the solution should not be so broad as to create opportunities for abuse, and should be targeted at the arrangements which are actually causing problems in practice.  </w:t>
      </w:r>
    </w:p>
    <w:p w:rsidR="00FD6D08" w:rsidRDefault="00FD6D08" w:rsidP="00FD6D08">
      <w:pPr>
        <w:pStyle w:val="Bullet-list"/>
        <w:spacing w:after="0" w:line="240" w:lineRule="auto"/>
        <w:ind w:left="0" w:firstLine="0"/>
        <w:jc w:val="both"/>
        <w:rPr>
          <w:rFonts w:ascii="Times New Roman" w:hAnsi="Times New Roman"/>
          <w:sz w:val="24"/>
          <w:szCs w:val="24"/>
        </w:rPr>
      </w:pPr>
    </w:p>
    <w:p w:rsidR="00997833" w:rsidRDefault="00997833" w:rsidP="003E4296">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Pr>
          <w:rFonts w:ascii="Times New Roman" w:hAnsi="Times New Roman"/>
          <w:sz w:val="24"/>
          <w:szCs w:val="24"/>
        </w:rPr>
        <w:t xml:space="preserve">The constraint in relation to the proposal </w:t>
      </w:r>
      <w:r w:rsidR="008933CF">
        <w:rPr>
          <w:rFonts w:ascii="Times New Roman" w:hAnsi="Times New Roman"/>
          <w:sz w:val="24"/>
          <w:szCs w:val="24"/>
        </w:rPr>
        <w:t>is</w:t>
      </w:r>
      <w:r>
        <w:rPr>
          <w:rFonts w:ascii="Times New Roman" w:hAnsi="Times New Roman"/>
          <w:sz w:val="24"/>
          <w:szCs w:val="24"/>
        </w:rPr>
        <w:t xml:space="preserve"> as follows:</w:t>
      </w:r>
      <w:r w:rsidRPr="00997833">
        <w:rPr>
          <w:rFonts w:ascii="Times New Roman" w:hAnsi="Times New Roman"/>
          <w:sz w:val="24"/>
          <w:szCs w:val="24"/>
        </w:rPr>
        <w:t xml:space="preserve"> </w:t>
      </w:r>
    </w:p>
    <w:p w:rsidR="00997833" w:rsidRDefault="00997833" w:rsidP="00FD6D08">
      <w:pPr>
        <w:pStyle w:val="BodyText1"/>
        <w:numPr>
          <w:ilvl w:val="0"/>
          <w:numId w:val="12"/>
        </w:numPr>
        <w:ind w:left="709"/>
        <w:jc w:val="both"/>
        <w:rPr>
          <w:rFonts w:ascii="Times New Roman" w:hAnsi="Times New Roman" w:cs="Times New Roman"/>
          <w:sz w:val="24"/>
          <w:szCs w:val="24"/>
        </w:rPr>
      </w:pPr>
      <w:r w:rsidRPr="009D6CC6">
        <w:rPr>
          <w:rFonts w:ascii="Times New Roman" w:hAnsi="Times New Roman" w:cs="Times New Roman"/>
          <w:b/>
          <w:sz w:val="24"/>
          <w:szCs w:val="24"/>
        </w:rPr>
        <w:t>Timeliness</w:t>
      </w:r>
      <w:r w:rsidRPr="009D6CC6">
        <w:rPr>
          <w:rFonts w:ascii="Times New Roman" w:hAnsi="Times New Roman" w:cs="Times New Roman"/>
          <w:sz w:val="24"/>
          <w:szCs w:val="24"/>
        </w:rPr>
        <w:t xml:space="preserve"> – it is important to have a legislative solution as soon as practicable.  The private sector has asked for an urgent response, and </w:t>
      </w:r>
      <w:r w:rsidR="00FD6D08">
        <w:rPr>
          <w:rFonts w:ascii="Times New Roman" w:hAnsi="Times New Roman" w:cs="Times New Roman"/>
          <w:sz w:val="24"/>
          <w:szCs w:val="24"/>
        </w:rPr>
        <w:t>officials have</w:t>
      </w:r>
      <w:r w:rsidRPr="009D6CC6">
        <w:rPr>
          <w:rFonts w:ascii="Times New Roman" w:hAnsi="Times New Roman" w:cs="Times New Roman"/>
          <w:sz w:val="24"/>
          <w:szCs w:val="24"/>
        </w:rPr>
        <w:t xml:space="preserve"> indicated</w:t>
      </w:r>
      <w:r>
        <w:rPr>
          <w:rFonts w:ascii="Times New Roman" w:hAnsi="Times New Roman" w:cs="Times New Roman"/>
          <w:sz w:val="24"/>
          <w:szCs w:val="24"/>
        </w:rPr>
        <w:t xml:space="preserve"> </w:t>
      </w:r>
      <w:r w:rsidRPr="009D6CC6">
        <w:rPr>
          <w:rFonts w:ascii="Times New Roman" w:hAnsi="Times New Roman" w:cs="Times New Roman"/>
          <w:sz w:val="24"/>
          <w:szCs w:val="24"/>
        </w:rPr>
        <w:t xml:space="preserve">that </w:t>
      </w:r>
      <w:r w:rsidR="009A4DF5">
        <w:rPr>
          <w:rFonts w:ascii="Times New Roman" w:hAnsi="Times New Roman" w:cs="Times New Roman"/>
          <w:sz w:val="24"/>
          <w:szCs w:val="24"/>
        </w:rPr>
        <w:t>changes are</w:t>
      </w:r>
      <w:r w:rsidR="00FD6D08" w:rsidRPr="009D6CC6">
        <w:rPr>
          <w:rFonts w:ascii="Times New Roman" w:hAnsi="Times New Roman" w:cs="Times New Roman"/>
          <w:sz w:val="24"/>
          <w:szCs w:val="24"/>
        </w:rPr>
        <w:t xml:space="preserve"> </w:t>
      </w:r>
      <w:r w:rsidRPr="009D6CC6">
        <w:rPr>
          <w:rFonts w:ascii="Times New Roman" w:hAnsi="Times New Roman" w:cs="Times New Roman"/>
          <w:sz w:val="24"/>
          <w:szCs w:val="24"/>
        </w:rPr>
        <w:t>proposed for the first tax bill of 2017.</w:t>
      </w:r>
    </w:p>
    <w:p w:rsidR="00320A3C" w:rsidRPr="004342F0" w:rsidRDefault="00D943DD" w:rsidP="004342F0">
      <w:pPr>
        <w:pStyle w:val="RISheading"/>
        <w:rPr>
          <w:spacing w:val="0"/>
          <w:w w:val="100"/>
        </w:rPr>
      </w:pPr>
      <w:bookmarkStart w:id="18" w:name="_Toc244580365"/>
      <w:bookmarkStart w:id="19" w:name="_Toc244587041"/>
      <w:bookmarkStart w:id="20" w:name="_Toc244857275"/>
      <w:bookmarkStart w:id="21" w:name="_Toc244912540"/>
      <w:bookmarkStart w:id="22" w:name="_Toc244916997"/>
      <w:r w:rsidRPr="004342F0">
        <w:rPr>
          <w:spacing w:val="0"/>
          <w:w w:val="100"/>
        </w:rPr>
        <w:t>REGULATORY IMPACT ANALYSIS</w:t>
      </w:r>
      <w:bookmarkEnd w:id="18"/>
      <w:bookmarkEnd w:id="19"/>
      <w:bookmarkEnd w:id="20"/>
      <w:bookmarkEnd w:id="21"/>
      <w:bookmarkEnd w:id="22"/>
      <w:r w:rsidRPr="004342F0">
        <w:rPr>
          <w:spacing w:val="0"/>
          <w:w w:val="100"/>
        </w:rPr>
        <w:t xml:space="preserve"> </w:t>
      </w:r>
    </w:p>
    <w:p w:rsidR="002715A1" w:rsidRDefault="00FD6D08" w:rsidP="003E4296">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Pr>
          <w:rFonts w:ascii="Times New Roman" w:hAnsi="Times New Roman"/>
          <w:sz w:val="24"/>
          <w:szCs w:val="24"/>
        </w:rPr>
        <w:t>Officials have identified four options to address the problem</w:t>
      </w:r>
      <w:r w:rsidR="002715A1">
        <w:rPr>
          <w:rFonts w:ascii="Times New Roman" w:hAnsi="Times New Roman"/>
          <w:sz w:val="24"/>
          <w:szCs w:val="24"/>
        </w:rPr>
        <w:t xml:space="preserve">: </w:t>
      </w:r>
    </w:p>
    <w:p w:rsidR="00FD6D08" w:rsidRDefault="002715A1" w:rsidP="003E4296">
      <w:pPr>
        <w:pStyle w:val="Bullet-list"/>
        <w:numPr>
          <w:ilvl w:val="0"/>
          <w:numId w:val="7"/>
        </w:numPr>
        <w:spacing w:line="240" w:lineRule="auto"/>
        <w:jc w:val="both"/>
        <w:rPr>
          <w:rFonts w:ascii="Times New Roman" w:hAnsi="Times New Roman"/>
          <w:sz w:val="24"/>
          <w:szCs w:val="24"/>
        </w:rPr>
      </w:pPr>
      <w:r>
        <w:rPr>
          <w:rFonts w:ascii="Times New Roman" w:hAnsi="Times New Roman"/>
          <w:sz w:val="24"/>
          <w:szCs w:val="24"/>
        </w:rPr>
        <w:t>Option 1</w:t>
      </w:r>
      <w:r w:rsidR="008933CF">
        <w:rPr>
          <w:rFonts w:ascii="Times New Roman" w:hAnsi="Times New Roman"/>
          <w:sz w:val="24"/>
          <w:szCs w:val="24"/>
        </w:rPr>
        <w:t xml:space="preserve"> – </w:t>
      </w:r>
      <w:r w:rsidR="00FD6D08">
        <w:rPr>
          <w:rFonts w:ascii="Times New Roman" w:hAnsi="Times New Roman"/>
          <w:sz w:val="24"/>
          <w:szCs w:val="24"/>
        </w:rPr>
        <w:t>The status quo</w:t>
      </w:r>
      <w:r>
        <w:rPr>
          <w:rFonts w:ascii="Times New Roman" w:hAnsi="Times New Roman"/>
          <w:sz w:val="24"/>
          <w:szCs w:val="24"/>
        </w:rPr>
        <w:t xml:space="preserve"> </w:t>
      </w:r>
    </w:p>
    <w:p w:rsidR="002715A1" w:rsidRDefault="00260248" w:rsidP="003E4296">
      <w:pPr>
        <w:pStyle w:val="Bullet-list"/>
        <w:numPr>
          <w:ilvl w:val="0"/>
          <w:numId w:val="7"/>
        </w:numPr>
        <w:spacing w:line="240" w:lineRule="auto"/>
        <w:jc w:val="both"/>
        <w:rPr>
          <w:rFonts w:ascii="Times New Roman" w:hAnsi="Times New Roman"/>
          <w:sz w:val="24"/>
          <w:szCs w:val="24"/>
        </w:rPr>
      </w:pPr>
      <w:r>
        <w:rPr>
          <w:rFonts w:ascii="Times New Roman" w:hAnsi="Times New Roman"/>
          <w:sz w:val="24"/>
          <w:szCs w:val="24"/>
        </w:rPr>
        <w:t>Option 2</w:t>
      </w:r>
      <w:r w:rsidR="008933CF">
        <w:rPr>
          <w:rFonts w:ascii="Times New Roman" w:hAnsi="Times New Roman"/>
          <w:sz w:val="24"/>
          <w:szCs w:val="24"/>
        </w:rPr>
        <w:t xml:space="preserve"> – </w:t>
      </w:r>
      <w:r w:rsidR="00241A8E" w:rsidRPr="002715A1">
        <w:rPr>
          <w:rFonts w:ascii="Times New Roman" w:hAnsi="Times New Roman"/>
          <w:sz w:val="24"/>
          <w:szCs w:val="24"/>
        </w:rPr>
        <w:t xml:space="preserve">A full demerger regime, which applies to both New Zealand and foreign companies  </w:t>
      </w:r>
    </w:p>
    <w:p w:rsidR="002715A1" w:rsidRDefault="002715A1" w:rsidP="003E4296">
      <w:pPr>
        <w:pStyle w:val="Bullet-list"/>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Option </w:t>
      </w:r>
      <w:r w:rsidR="00FD6D08">
        <w:rPr>
          <w:rFonts w:ascii="Times New Roman" w:hAnsi="Times New Roman"/>
          <w:sz w:val="24"/>
          <w:szCs w:val="24"/>
        </w:rPr>
        <w:t>3</w:t>
      </w:r>
      <w:r w:rsidR="008933CF">
        <w:rPr>
          <w:rFonts w:ascii="Times New Roman" w:hAnsi="Times New Roman"/>
          <w:sz w:val="24"/>
          <w:szCs w:val="24"/>
        </w:rPr>
        <w:t xml:space="preserve"> – </w:t>
      </w:r>
      <w:r w:rsidRPr="00241A8E">
        <w:rPr>
          <w:rFonts w:ascii="Times New Roman" w:hAnsi="Times New Roman"/>
          <w:sz w:val="24"/>
          <w:szCs w:val="24"/>
        </w:rPr>
        <w:t xml:space="preserve">A limited demerger regime, which only applies to Australian listed companies  </w:t>
      </w:r>
    </w:p>
    <w:p w:rsidR="002715A1" w:rsidRDefault="002715A1" w:rsidP="00134EDD">
      <w:pPr>
        <w:pStyle w:val="Bullet-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Option </w:t>
      </w:r>
      <w:r w:rsidR="00D92F0C">
        <w:rPr>
          <w:rFonts w:ascii="Times New Roman" w:hAnsi="Times New Roman"/>
          <w:sz w:val="24"/>
          <w:szCs w:val="24"/>
        </w:rPr>
        <w:t>4</w:t>
      </w:r>
      <w:r w:rsidR="008933CF">
        <w:rPr>
          <w:rFonts w:ascii="Times New Roman" w:hAnsi="Times New Roman"/>
          <w:sz w:val="24"/>
          <w:szCs w:val="24"/>
        </w:rPr>
        <w:t xml:space="preserve"> – </w:t>
      </w:r>
      <w:r w:rsidRPr="00241A8E">
        <w:rPr>
          <w:rFonts w:ascii="Times New Roman" w:hAnsi="Times New Roman"/>
          <w:sz w:val="24"/>
          <w:szCs w:val="24"/>
        </w:rPr>
        <w:t xml:space="preserve">A middle ground between the above two options, which would apply to all demergers by foreign listed companies (or potentially a subset of them)  </w:t>
      </w:r>
    </w:p>
    <w:p w:rsidR="002715A1" w:rsidRPr="002715A1" w:rsidRDefault="002715A1" w:rsidP="002715A1">
      <w:pPr>
        <w:pStyle w:val="Bullet-list"/>
        <w:spacing w:after="0" w:line="240" w:lineRule="auto"/>
        <w:ind w:left="0" w:firstLine="0"/>
        <w:rPr>
          <w:rFonts w:ascii="Times New Roman" w:hAnsi="Times New Roman"/>
          <w:sz w:val="24"/>
          <w:szCs w:val="24"/>
        </w:rPr>
      </w:pPr>
    </w:p>
    <w:p w:rsidR="00024FE2" w:rsidRDefault="00024FE2">
      <w:pPr>
        <w:spacing w:after="0" w:line="240" w:lineRule="auto"/>
        <w:rPr>
          <w:rFonts w:ascii="Times New Roman" w:hAnsi="Times New Roman"/>
          <w:b/>
          <w:sz w:val="24"/>
          <w:szCs w:val="24"/>
        </w:rPr>
      </w:pPr>
      <w:r>
        <w:rPr>
          <w:rFonts w:ascii="Times New Roman" w:hAnsi="Times New Roman"/>
          <w:b/>
          <w:sz w:val="24"/>
          <w:szCs w:val="24"/>
        </w:rPr>
        <w:br w:type="page"/>
      </w:r>
    </w:p>
    <w:p w:rsidR="00783DCC" w:rsidRDefault="002715A1" w:rsidP="00982B60">
      <w:pPr>
        <w:rPr>
          <w:rFonts w:ascii="Times New Roman" w:hAnsi="Times New Roman"/>
          <w:b/>
          <w:sz w:val="24"/>
          <w:szCs w:val="24"/>
        </w:rPr>
      </w:pPr>
      <w:r w:rsidRPr="002715A1">
        <w:rPr>
          <w:rFonts w:ascii="Times New Roman" w:hAnsi="Times New Roman"/>
          <w:b/>
          <w:sz w:val="24"/>
          <w:szCs w:val="24"/>
        </w:rPr>
        <w:t>Option 1</w:t>
      </w:r>
    </w:p>
    <w:p w:rsidR="00783DCC" w:rsidRDefault="00783DCC" w:rsidP="00783DCC">
      <w:pPr>
        <w:pStyle w:val="Bullet-list"/>
        <w:numPr>
          <w:ilvl w:val="0"/>
          <w:numId w:val="3"/>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Option 1 is the status quo.  Shareholders would continue to be taxed on demergers as a dividend.</w:t>
      </w:r>
    </w:p>
    <w:p w:rsidR="00783DCC" w:rsidRDefault="00783DCC" w:rsidP="00783DCC">
      <w:pPr>
        <w:pStyle w:val="Bullet-list"/>
        <w:spacing w:after="0" w:line="240" w:lineRule="auto"/>
        <w:ind w:left="0" w:firstLine="0"/>
        <w:jc w:val="both"/>
        <w:rPr>
          <w:rFonts w:ascii="Times New Roman" w:hAnsi="Times New Roman"/>
          <w:sz w:val="24"/>
          <w:szCs w:val="24"/>
        </w:rPr>
      </w:pPr>
    </w:p>
    <w:p w:rsidR="00783DCC" w:rsidRPr="00783DCC" w:rsidRDefault="00783DCC" w:rsidP="00783DCC">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Assessment against criteria – option 1</w:t>
      </w:r>
    </w:p>
    <w:p w:rsidR="00783DCC" w:rsidRPr="00783DCC" w:rsidRDefault="00783DCC" w:rsidP="00783DCC">
      <w:pPr>
        <w:pStyle w:val="Bullet-list"/>
        <w:spacing w:after="0" w:line="240" w:lineRule="auto"/>
        <w:ind w:left="0" w:firstLine="0"/>
        <w:jc w:val="both"/>
        <w:rPr>
          <w:rFonts w:ascii="Times New Roman" w:hAnsi="Times New Roman"/>
          <w:sz w:val="24"/>
          <w:szCs w:val="24"/>
        </w:rPr>
      </w:pPr>
    </w:p>
    <w:p w:rsidR="00783DCC" w:rsidRDefault="00783DCC" w:rsidP="00783DCC">
      <w:pPr>
        <w:pStyle w:val="Bullet-list"/>
        <w:numPr>
          <w:ilvl w:val="0"/>
          <w:numId w:val="3"/>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The status quo does not meet the main objective.  Shareholders would be taxed on demergers even though in economic substance they ha</w:t>
      </w:r>
      <w:r w:rsidR="008933CF">
        <w:rPr>
          <w:rFonts w:ascii="Times New Roman" w:hAnsi="Times New Roman"/>
          <w:sz w:val="24"/>
          <w:szCs w:val="24"/>
        </w:rPr>
        <w:t>d</w:t>
      </w:r>
      <w:r>
        <w:rPr>
          <w:rFonts w:ascii="Times New Roman" w:hAnsi="Times New Roman"/>
          <w:sz w:val="24"/>
          <w:szCs w:val="24"/>
        </w:rPr>
        <w:t xml:space="preserve"> not received any income.</w:t>
      </w:r>
    </w:p>
    <w:p w:rsidR="00783DCC" w:rsidRDefault="00783DCC" w:rsidP="00783DCC">
      <w:pPr>
        <w:pStyle w:val="Bullet-list"/>
        <w:spacing w:after="0" w:line="240" w:lineRule="auto"/>
        <w:ind w:left="0" w:firstLine="0"/>
        <w:jc w:val="both"/>
        <w:rPr>
          <w:rFonts w:ascii="Times New Roman" w:hAnsi="Times New Roman"/>
          <w:sz w:val="24"/>
          <w:szCs w:val="24"/>
        </w:rPr>
      </w:pPr>
    </w:p>
    <w:p w:rsidR="00783DCC" w:rsidRDefault="00783DCC" w:rsidP="00783DCC">
      <w:pPr>
        <w:pStyle w:val="Bullet-list"/>
        <w:numPr>
          <w:ilvl w:val="0"/>
          <w:numId w:val="3"/>
        </w:numPr>
        <w:tabs>
          <w:tab w:val="clear" w:pos="720"/>
        </w:tabs>
        <w:spacing w:after="0" w:line="240" w:lineRule="auto"/>
        <w:ind w:left="0" w:firstLine="0"/>
        <w:jc w:val="both"/>
        <w:rPr>
          <w:rFonts w:ascii="Times New Roman" w:hAnsi="Times New Roman"/>
          <w:sz w:val="24"/>
          <w:szCs w:val="24"/>
        </w:rPr>
      </w:pPr>
      <w:r>
        <w:rPr>
          <w:rFonts w:ascii="Times New Roman" w:hAnsi="Times New Roman"/>
          <w:i/>
          <w:sz w:val="24"/>
          <w:szCs w:val="24"/>
        </w:rPr>
        <w:t xml:space="preserve">Economic efficiency.  </w:t>
      </w:r>
      <w:r>
        <w:rPr>
          <w:rFonts w:ascii="Times New Roman" w:hAnsi="Times New Roman"/>
          <w:sz w:val="24"/>
          <w:szCs w:val="24"/>
        </w:rPr>
        <w:t xml:space="preserve">The status quo does not meet the economic efficiency criterion.  Shareholders will be </w:t>
      </w:r>
      <w:r w:rsidR="00EF0013">
        <w:rPr>
          <w:rFonts w:ascii="Times New Roman" w:hAnsi="Times New Roman"/>
          <w:sz w:val="24"/>
          <w:szCs w:val="24"/>
        </w:rPr>
        <w:t xml:space="preserve">incentivised </w:t>
      </w:r>
      <w:r w:rsidR="00480345">
        <w:rPr>
          <w:rFonts w:ascii="Times New Roman" w:hAnsi="Times New Roman"/>
          <w:sz w:val="24"/>
          <w:szCs w:val="24"/>
        </w:rPr>
        <w:t>against</w:t>
      </w:r>
      <w:r w:rsidR="00EF0013">
        <w:rPr>
          <w:rFonts w:ascii="Times New Roman" w:hAnsi="Times New Roman"/>
          <w:sz w:val="24"/>
          <w:szCs w:val="24"/>
        </w:rPr>
        <w:t xml:space="preserve"> own</w:t>
      </w:r>
      <w:r w:rsidR="00480345">
        <w:rPr>
          <w:rFonts w:ascii="Times New Roman" w:hAnsi="Times New Roman"/>
          <w:sz w:val="24"/>
          <w:szCs w:val="24"/>
        </w:rPr>
        <w:t>ing</w:t>
      </w:r>
      <w:r w:rsidR="00EF0013">
        <w:rPr>
          <w:rFonts w:ascii="Times New Roman" w:hAnsi="Times New Roman"/>
          <w:sz w:val="24"/>
          <w:szCs w:val="24"/>
        </w:rPr>
        <w:t xml:space="preserve"> shares </w:t>
      </w:r>
      <w:r w:rsidR="009A4DF5">
        <w:rPr>
          <w:rFonts w:ascii="Times New Roman" w:hAnsi="Times New Roman"/>
          <w:sz w:val="24"/>
          <w:szCs w:val="24"/>
        </w:rPr>
        <w:t xml:space="preserve">in companies which </w:t>
      </w:r>
      <w:r w:rsidR="00EF0013">
        <w:rPr>
          <w:rFonts w:ascii="Times New Roman" w:hAnsi="Times New Roman"/>
          <w:sz w:val="24"/>
          <w:szCs w:val="24"/>
        </w:rPr>
        <w:t>are in the process of demerging</w:t>
      </w:r>
      <w:r>
        <w:rPr>
          <w:rFonts w:ascii="Times New Roman" w:hAnsi="Times New Roman"/>
          <w:sz w:val="24"/>
          <w:szCs w:val="24"/>
        </w:rPr>
        <w:t>.</w:t>
      </w:r>
    </w:p>
    <w:p w:rsidR="00783DCC" w:rsidRDefault="00783DCC" w:rsidP="00783DCC">
      <w:pPr>
        <w:pStyle w:val="ListParagraph"/>
        <w:rPr>
          <w:rFonts w:ascii="Times New Roman" w:hAnsi="Times New Roman"/>
          <w:sz w:val="24"/>
          <w:szCs w:val="24"/>
        </w:rPr>
      </w:pPr>
    </w:p>
    <w:p w:rsidR="00783DCC" w:rsidRDefault="00783DCC" w:rsidP="00783DCC">
      <w:pPr>
        <w:pStyle w:val="Bullet-list"/>
        <w:numPr>
          <w:ilvl w:val="0"/>
          <w:numId w:val="3"/>
        </w:numPr>
        <w:tabs>
          <w:tab w:val="clear" w:pos="720"/>
        </w:tabs>
        <w:spacing w:after="0" w:line="240" w:lineRule="auto"/>
        <w:ind w:left="0" w:firstLine="0"/>
        <w:jc w:val="both"/>
        <w:rPr>
          <w:rFonts w:ascii="Times New Roman" w:hAnsi="Times New Roman"/>
          <w:sz w:val="24"/>
          <w:szCs w:val="24"/>
        </w:rPr>
      </w:pPr>
      <w:r>
        <w:rPr>
          <w:rFonts w:ascii="Times New Roman" w:hAnsi="Times New Roman"/>
          <w:i/>
          <w:sz w:val="24"/>
          <w:szCs w:val="24"/>
        </w:rPr>
        <w:t>Integrity of the tax system.</w:t>
      </w:r>
      <w:r>
        <w:rPr>
          <w:rFonts w:ascii="Times New Roman" w:hAnsi="Times New Roman"/>
          <w:sz w:val="24"/>
          <w:szCs w:val="24"/>
        </w:rPr>
        <w:t xml:space="preserve">  The status quo meets the integrity criterion.  As shareholders are taxed on dividends arising from demergers there is no opportunity to demerge to access a tax free gain that should be taxable.</w:t>
      </w:r>
    </w:p>
    <w:p w:rsidR="00783DCC" w:rsidRDefault="00783DCC" w:rsidP="00783DCC">
      <w:pPr>
        <w:pStyle w:val="ListParagraph"/>
        <w:rPr>
          <w:rFonts w:ascii="Times New Roman" w:hAnsi="Times New Roman"/>
          <w:sz w:val="24"/>
          <w:szCs w:val="24"/>
        </w:rPr>
      </w:pPr>
    </w:p>
    <w:p w:rsidR="00783DCC" w:rsidRDefault="00783DCC" w:rsidP="00982B60">
      <w:pPr>
        <w:pStyle w:val="Bullet-list"/>
        <w:numPr>
          <w:ilvl w:val="0"/>
          <w:numId w:val="3"/>
        </w:numPr>
        <w:tabs>
          <w:tab w:val="clear" w:pos="720"/>
        </w:tabs>
        <w:spacing w:after="0" w:line="240" w:lineRule="auto"/>
        <w:ind w:left="0" w:firstLine="0"/>
        <w:jc w:val="both"/>
        <w:rPr>
          <w:rFonts w:ascii="Times New Roman" w:hAnsi="Times New Roman"/>
          <w:sz w:val="24"/>
          <w:szCs w:val="24"/>
        </w:rPr>
      </w:pPr>
      <w:r>
        <w:rPr>
          <w:rFonts w:ascii="Times New Roman" w:hAnsi="Times New Roman"/>
          <w:i/>
          <w:sz w:val="24"/>
          <w:szCs w:val="24"/>
        </w:rPr>
        <w:t>Fairness and equity.</w:t>
      </w:r>
      <w:r>
        <w:rPr>
          <w:rFonts w:ascii="Times New Roman" w:hAnsi="Times New Roman"/>
          <w:sz w:val="24"/>
          <w:szCs w:val="24"/>
        </w:rPr>
        <w:t xml:space="preserve">  The status quo does not meet the fairness criterion.  </w:t>
      </w:r>
      <w:r w:rsidR="00EF0013">
        <w:rPr>
          <w:rFonts w:ascii="Times New Roman" w:hAnsi="Times New Roman"/>
          <w:sz w:val="24"/>
          <w:szCs w:val="24"/>
        </w:rPr>
        <w:t>Shareholders will have to pay tax even though they have not economically received any income.  This will make them worse off than other investors who will not have to pay tax.</w:t>
      </w:r>
    </w:p>
    <w:p w:rsidR="00B534B1" w:rsidRPr="00B534B1" w:rsidRDefault="00B534B1" w:rsidP="00B534B1">
      <w:pPr>
        <w:pStyle w:val="Bullet-list"/>
        <w:spacing w:after="0" w:line="240" w:lineRule="auto"/>
        <w:ind w:left="0" w:firstLine="0"/>
        <w:jc w:val="both"/>
        <w:rPr>
          <w:rFonts w:ascii="Times New Roman" w:hAnsi="Times New Roman"/>
          <w:sz w:val="24"/>
          <w:szCs w:val="24"/>
        </w:rPr>
      </w:pPr>
    </w:p>
    <w:p w:rsidR="00D7117A" w:rsidRDefault="00EF0013" w:rsidP="002E19B4">
      <w:pPr>
        <w:spacing w:after="0"/>
        <w:rPr>
          <w:rFonts w:ascii="Times New Roman" w:hAnsi="Times New Roman"/>
          <w:b/>
          <w:sz w:val="24"/>
          <w:szCs w:val="24"/>
        </w:rPr>
      </w:pPr>
      <w:r>
        <w:rPr>
          <w:rFonts w:ascii="Times New Roman" w:hAnsi="Times New Roman"/>
          <w:b/>
          <w:sz w:val="24"/>
          <w:szCs w:val="24"/>
        </w:rPr>
        <w:t>Option 2</w:t>
      </w:r>
    </w:p>
    <w:p w:rsidR="00EF0013" w:rsidRPr="00563492" w:rsidRDefault="00EF0013" w:rsidP="002E19B4">
      <w:pPr>
        <w:spacing w:after="0"/>
        <w:rPr>
          <w:rFonts w:ascii="Times New Roman" w:hAnsi="Times New Roman"/>
          <w:sz w:val="24"/>
          <w:szCs w:val="24"/>
        </w:rPr>
      </w:pPr>
    </w:p>
    <w:p w:rsidR="00575064" w:rsidRDefault="00575064" w:rsidP="003259D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2 would introduce a</w:t>
      </w:r>
      <w:r w:rsidRPr="002715A1">
        <w:rPr>
          <w:rFonts w:ascii="Times New Roman" w:hAnsi="Times New Roman"/>
          <w:sz w:val="24"/>
          <w:szCs w:val="24"/>
        </w:rPr>
        <w:t xml:space="preserve"> full demerger regime, which applies to both New Zealand and foreign companies</w:t>
      </w:r>
      <w:r>
        <w:rPr>
          <w:rFonts w:ascii="Times New Roman" w:hAnsi="Times New Roman"/>
          <w:sz w:val="24"/>
          <w:szCs w:val="24"/>
        </w:rPr>
        <w:t>.</w:t>
      </w:r>
    </w:p>
    <w:p w:rsidR="00575064" w:rsidRDefault="00575064" w:rsidP="00575064">
      <w:pPr>
        <w:pStyle w:val="Bullet-list"/>
        <w:spacing w:after="0" w:line="240" w:lineRule="auto"/>
        <w:ind w:left="0" w:firstLine="0"/>
        <w:jc w:val="both"/>
        <w:rPr>
          <w:rFonts w:ascii="Times New Roman" w:hAnsi="Times New Roman"/>
          <w:sz w:val="24"/>
          <w:szCs w:val="24"/>
        </w:rPr>
      </w:pPr>
    </w:p>
    <w:p w:rsidR="00575064" w:rsidRPr="00575064" w:rsidRDefault="00575064" w:rsidP="00575064">
      <w:pPr>
        <w:pStyle w:val="Bullet-list"/>
        <w:spacing w:after="0" w:line="240" w:lineRule="auto"/>
        <w:ind w:left="0" w:firstLine="0"/>
        <w:jc w:val="both"/>
        <w:rPr>
          <w:rFonts w:ascii="Times New Roman" w:hAnsi="Times New Roman"/>
          <w:sz w:val="24"/>
          <w:szCs w:val="24"/>
        </w:rPr>
      </w:pPr>
      <w:r>
        <w:rPr>
          <w:rFonts w:ascii="Times New Roman" w:hAnsi="Times New Roman"/>
          <w:b/>
          <w:i/>
          <w:sz w:val="24"/>
          <w:szCs w:val="24"/>
        </w:rPr>
        <w:t>Assessment against criteria – option 2</w:t>
      </w:r>
    </w:p>
    <w:p w:rsidR="00575064" w:rsidRDefault="00575064" w:rsidP="00575064">
      <w:pPr>
        <w:pStyle w:val="Bullet-list"/>
        <w:spacing w:after="0" w:line="240" w:lineRule="auto"/>
        <w:ind w:left="0" w:firstLine="0"/>
        <w:jc w:val="both"/>
        <w:rPr>
          <w:rFonts w:ascii="Times New Roman" w:hAnsi="Times New Roman"/>
          <w:sz w:val="24"/>
          <w:szCs w:val="24"/>
        </w:rPr>
      </w:pPr>
    </w:p>
    <w:p w:rsidR="00D7117A" w:rsidRDefault="00D7117A" w:rsidP="003259D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2715A1">
        <w:rPr>
          <w:rFonts w:ascii="Times New Roman" w:hAnsi="Times New Roman"/>
          <w:sz w:val="24"/>
          <w:szCs w:val="24"/>
        </w:rPr>
        <w:t xml:space="preserve">This </w:t>
      </w:r>
      <w:r>
        <w:rPr>
          <w:rFonts w:ascii="Times New Roman" w:hAnsi="Times New Roman"/>
          <w:sz w:val="24"/>
          <w:szCs w:val="24"/>
        </w:rPr>
        <w:t xml:space="preserve">option </w:t>
      </w:r>
      <w:r w:rsidRPr="002715A1">
        <w:rPr>
          <w:rFonts w:ascii="Times New Roman" w:hAnsi="Times New Roman"/>
          <w:sz w:val="24"/>
          <w:szCs w:val="24"/>
        </w:rPr>
        <w:t>is the mo</w:t>
      </w:r>
      <w:r>
        <w:rPr>
          <w:rFonts w:ascii="Times New Roman" w:hAnsi="Times New Roman"/>
          <w:sz w:val="24"/>
          <w:szCs w:val="24"/>
        </w:rPr>
        <w:t>st</w:t>
      </w:r>
      <w:r w:rsidRPr="002715A1">
        <w:rPr>
          <w:rFonts w:ascii="Times New Roman" w:hAnsi="Times New Roman"/>
          <w:sz w:val="24"/>
          <w:szCs w:val="24"/>
        </w:rPr>
        <w:t xml:space="preserve"> conceptually pure approach, as demergers by New Zealand and foreign companies should be taxed the same way from a policy perspective.</w:t>
      </w:r>
      <w:r>
        <w:rPr>
          <w:rFonts w:ascii="Times New Roman" w:hAnsi="Times New Roman"/>
          <w:sz w:val="24"/>
          <w:szCs w:val="24"/>
        </w:rPr>
        <w:t xml:space="preserve">  </w:t>
      </w:r>
      <w:r w:rsidR="00575064">
        <w:rPr>
          <w:rFonts w:ascii="Times New Roman" w:hAnsi="Times New Roman"/>
          <w:sz w:val="24"/>
          <w:szCs w:val="24"/>
        </w:rPr>
        <w:t xml:space="preserve">This </w:t>
      </w:r>
      <w:r w:rsidR="00B534B1">
        <w:rPr>
          <w:rFonts w:ascii="Times New Roman" w:hAnsi="Times New Roman"/>
          <w:sz w:val="24"/>
          <w:szCs w:val="24"/>
        </w:rPr>
        <w:t xml:space="preserve">option </w:t>
      </w:r>
      <w:r w:rsidR="00575064">
        <w:rPr>
          <w:rFonts w:ascii="Times New Roman" w:hAnsi="Times New Roman"/>
          <w:sz w:val="24"/>
          <w:szCs w:val="24"/>
        </w:rPr>
        <w:t>meets the main objective</w:t>
      </w:r>
      <w:r w:rsidR="00B534B1">
        <w:rPr>
          <w:rFonts w:ascii="Times New Roman" w:hAnsi="Times New Roman"/>
          <w:sz w:val="24"/>
          <w:szCs w:val="24"/>
        </w:rPr>
        <w:t xml:space="preserve">, as it would ensure that </w:t>
      </w:r>
      <w:r w:rsidR="005948FB">
        <w:rPr>
          <w:rFonts w:ascii="Times New Roman" w:hAnsi="Times New Roman"/>
          <w:sz w:val="24"/>
          <w:szCs w:val="24"/>
        </w:rPr>
        <w:t>genuine</w:t>
      </w:r>
      <w:r w:rsidR="00B534B1">
        <w:rPr>
          <w:rFonts w:ascii="Times New Roman" w:hAnsi="Times New Roman"/>
          <w:sz w:val="24"/>
          <w:szCs w:val="24"/>
        </w:rPr>
        <w:t xml:space="preserve"> demergers are not unfairly taxed as a dividend.  This would align the tax treatment of all </w:t>
      </w:r>
      <w:r w:rsidR="00AE5DFA">
        <w:rPr>
          <w:rFonts w:ascii="Times New Roman" w:hAnsi="Times New Roman"/>
          <w:sz w:val="24"/>
          <w:szCs w:val="24"/>
        </w:rPr>
        <w:t xml:space="preserve">genuine </w:t>
      </w:r>
      <w:r w:rsidR="00B534B1">
        <w:rPr>
          <w:rFonts w:ascii="Times New Roman" w:hAnsi="Times New Roman"/>
          <w:sz w:val="24"/>
          <w:szCs w:val="24"/>
        </w:rPr>
        <w:t xml:space="preserve">demergers (whether by a New Zealand or foreign company), with </w:t>
      </w:r>
      <w:r w:rsidR="00AE5DFA">
        <w:rPr>
          <w:rFonts w:ascii="Times New Roman" w:hAnsi="Times New Roman"/>
          <w:sz w:val="24"/>
          <w:szCs w:val="24"/>
        </w:rPr>
        <w:t>their</w:t>
      </w:r>
      <w:r w:rsidR="00B534B1">
        <w:rPr>
          <w:rFonts w:ascii="Times New Roman" w:hAnsi="Times New Roman"/>
          <w:sz w:val="24"/>
          <w:szCs w:val="24"/>
        </w:rPr>
        <w:t xml:space="preserve"> economic substance.  </w:t>
      </w:r>
    </w:p>
    <w:p w:rsidR="00B534B1" w:rsidRDefault="00B534B1" w:rsidP="00982B60">
      <w:pPr>
        <w:pStyle w:val="Bullet-list"/>
        <w:spacing w:after="0" w:line="240" w:lineRule="auto"/>
        <w:ind w:left="0" w:firstLine="0"/>
        <w:jc w:val="both"/>
        <w:rPr>
          <w:rFonts w:ascii="Times New Roman" w:hAnsi="Times New Roman"/>
          <w:sz w:val="24"/>
          <w:szCs w:val="24"/>
        </w:rPr>
      </w:pPr>
    </w:p>
    <w:p w:rsidR="00D7117A" w:rsidRPr="00F4317C" w:rsidRDefault="00F4317C" w:rsidP="00982B60">
      <w:pPr>
        <w:pStyle w:val="Bullet-list"/>
        <w:spacing w:after="0" w:line="240" w:lineRule="auto"/>
        <w:ind w:left="0" w:firstLine="0"/>
        <w:jc w:val="both"/>
        <w:rPr>
          <w:rFonts w:ascii="Times New Roman" w:hAnsi="Times New Roman"/>
          <w:i/>
          <w:sz w:val="24"/>
          <w:szCs w:val="24"/>
        </w:rPr>
      </w:pPr>
      <w:r w:rsidRPr="00F4317C">
        <w:rPr>
          <w:rFonts w:ascii="Times New Roman" w:hAnsi="Times New Roman"/>
          <w:i/>
          <w:sz w:val="24"/>
          <w:szCs w:val="24"/>
        </w:rPr>
        <w:t>Economic efficiency</w:t>
      </w:r>
    </w:p>
    <w:p w:rsidR="00F4317C" w:rsidRDefault="00F4317C" w:rsidP="00982B60">
      <w:pPr>
        <w:pStyle w:val="Bullet-list"/>
        <w:spacing w:after="0" w:line="240" w:lineRule="auto"/>
        <w:ind w:left="0" w:firstLine="0"/>
        <w:jc w:val="both"/>
        <w:rPr>
          <w:rFonts w:ascii="Times New Roman" w:hAnsi="Times New Roman"/>
          <w:sz w:val="24"/>
          <w:szCs w:val="24"/>
        </w:rPr>
      </w:pPr>
    </w:p>
    <w:p w:rsidR="008739DA" w:rsidRPr="008739DA" w:rsidRDefault="008739DA" w:rsidP="003259D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2 is a significant i</w:t>
      </w:r>
      <w:r w:rsidR="00491D6D">
        <w:rPr>
          <w:rFonts w:ascii="Times New Roman" w:hAnsi="Times New Roman"/>
          <w:sz w:val="24"/>
          <w:szCs w:val="24"/>
        </w:rPr>
        <w:t>mprovement over the status quo, as there would be no tax consequences which arise from holding shares in a demerged company.  There would no longer be any incentive</w:t>
      </w:r>
      <w:r w:rsidR="00CE5065">
        <w:rPr>
          <w:rFonts w:ascii="Times New Roman" w:hAnsi="Times New Roman"/>
          <w:sz w:val="24"/>
          <w:szCs w:val="24"/>
        </w:rPr>
        <w:t>s</w:t>
      </w:r>
      <w:r w:rsidR="00491D6D">
        <w:rPr>
          <w:rFonts w:ascii="Times New Roman" w:hAnsi="Times New Roman"/>
          <w:sz w:val="24"/>
          <w:szCs w:val="24"/>
        </w:rPr>
        <w:t xml:space="preserve"> against owning shares in a company which is in the process of demerging.  </w:t>
      </w:r>
    </w:p>
    <w:p w:rsidR="00F4317C" w:rsidRDefault="00F4317C" w:rsidP="008739DA">
      <w:pPr>
        <w:pStyle w:val="ListParagraph"/>
        <w:rPr>
          <w:rFonts w:ascii="Times New Roman" w:hAnsi="Times New Roman"/>
          <w:i/>
          <w:sz w:val="24"/>
          <w:szCs w:val="24"/>
        </w:rPr>
      </w:pPr>
    </w:p>
    <w:p w:rsidR="008739DA" w:rsidRPr="002E19B4" w:rsidRDefault="00F4317C" w:rsidP="002E19B4">
      <w:pPr>
        <w:spacing w:after="0"/>
        <w:rPr>
          <w:rFonts w:ascii="Times New Roman" w:hAnsi="Times New Roman"/>
          <w:i/>
          <w:sz w:val="24"/>
          <w:szCs w:val="24"/>
        </w:rPr>
      </w:pPr>
      <w:r w:rsidRPr="002E19B4">
        <w:rPr>
          <w:rFonts w:ascii="Times New Roman" w:hAnsi="Times New Roman"/>
          <w:i/>
          <w:sz w:val="24"/>
          <w:szCs w:val="24"/>
        </w:rPr>
        <w:t>Integrity of the tax system</w:t>
      </w:r>
    </w:p>
    <w:p w:rsidR="00F4317C" w:rsidRDefault="00F4317C" w:rsidP="008739DA">
      <w:pPr>
        <w:pStyle w:val="ListParagraph"/>
        <w:rPr>
          <w:rFonts w:ascii="Times New Roman" w:hAnsi="Times New Roman"/>
          <w:i/>
          <w:sz w:val="24"/>
          <w:szCs w:val="24"/>
        </w:rPr>
      </w:pPr>
    </w:p>
    <w:p w:rsidR="00F7447F" w:rsidRDefault="008739DA" w:rsidP="003259D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2 is worse than the status quo.  </w:t>
      </w:r>
      <w:r w:rsidR="00D7117A">
        <w:rPr>
          <w:rFonts w:ascii="Times New Roman" w:hAnsi="Times New Roman"/>
          <w:sz w:val="24"/>
          <w:szCs w:val="24"/>
        </w:rPr>
        <w:t xml:space="preserve">This option would have the greatest integrity risk, as New Zealand companies could attempt to </w:t>
      </w:r>
      <w:r w:rsidR="00760A19">
        <w:rPr>
          <w:rFonts w:ascii="Times New Roman" w:hAnsi="Times New Roman"/>
          <w:sz w:val="24"/>
          <w:szCs w:val="24"/>
        </w:rPr>
        <w:t>exploit</w:t>
      </w:r>
      <w:r w:rsidR="00D7117A">
        <w:rPr>
          <w:rFonts w:ascii="Times New Roman" w:hAnsi="Times New Roman"/>
          <w:sz w:val="24"/>
          <w:szCs w:val="24"/>
        </w:rPr>
        <w:t xml:space="preserve"> the regime to effect an in-substance distribution of income.</w:t>
      </w:r>
      <w:r w:rsidR="00D7117A" w:rsidRPr="002715A1">
        <w:rPr>
          <w:rFonts w:ascii="Times New Roman" w:hAnsi="Times New Roman"/>
          <w:sz w:val="24"/>
          <w:szCs w:val="24"/>
        </w:rPr>
        <w:t xml:space="preserve">  </w:t>
      </w:r>
      <w:r w:rsidR="00D7117A" w:rsidRPr="00772367">
        <w:rPr>
          <w:rFonts w:ascii="Times New Roman" w:hAnsi="Times New Roman"/>
          <w:sz w:val="24"/>
          <w:szCs w:val="24"/>
        </w:rPr>
        <w:t xml:space="preserve">For example a company could transfer cash or liquid assets to a subsidiary, and demerge that subsidiary by distributing it to its shareholders.  The subsidiary could then be liquidated under </w:t>
      </w:r>
      <w:r w:rsidR="00044C69">
        <w:rPr>
          <w:rFonts w:ascii="Times New Roman" w:hAnsi="Times New Roman"/>
          <w:sz w:val="24"/>
          <w:szCs w:val="24"/>
        </w:rPr>
        <w:t>the</w:t>
      </w:r>
      <w:r w:rsidR="00044C69" w:rsidRPr="00772367">
        <w:rPr>
          <w:rFonts w:ascii="Times New Roman" w:hAnsi="Times New Roman"/>
          <w:sz w:val="24"/>
          <w:szCs w:val="24"/>
        </w:rPr>
        <w:t xml:space="preserve"> </w:t>
      </w:r>
      <w:r w:rsidR="00D7117A" w:rsidRPr="00772367">
        <w:rPr>
          <w:rFonts w:ascii="Times New Roman" w:hAnsi="Times New Roman"/>
          <w:sz w:val="24"/>
          <w:szCs w:val="24"/>
        </w:rPr>
        <w:t>current law, thus providing all of the cash and/or liquid assets to the shareholders tax</w:t>
      </w:r>
      <w:r w:rsidR="00760A19">
        <w:rPr>
          <w:rFonts w:ascii="Times New Roman" w:hAnsi="Times New Roman"/>
          <w:sz w:val="24"/>
          <w:szCs w:val="24"/>
        </w:rPr>
        <w:t>-</w:t>
      </w:r>
      <w:r w:rsidR="00D7117A" w:rsidRPr="00772367">
        <w:rPr>
          <w:rFonts w:ascii="Times New Roman" w:hAnsi="Times New Roman"/>
          <w:sz w:val="24"/>
          <w:szCs w:val="24"/>
        </w:rPr>
        <w:t>free.  The foreign demerger regimes referred to above have all included extensive anti-avoidance provisions to prev</w:t>
      </w:r>
      <w:r w:rsidR="00D7117A">
        <w:rPr>
          <w:rFonts w:ascii="Times New Roman" w:hAnsi="Times New Roman"/>
          <w:sz w:val="24"/>
          <w:szCs w:val="24"/>
        </w:rPr>
        <w:t>ent such abuse.  Therefore it is</w:t>
      </w:r>
      <w:r w:rsidR="00D7117A" w:rsidRPr="00772367">
        <w:rPr>
          <w:rFonts w:ascii="Times New Roman" w:hAnsi="Times New Roman"/>
          <w:sz w:val="24"/>
          <w:szCs w:val="24"/>
        </w:rPr>
        <w:t xml:space="preserve"> important that any </w:t>
      </w:r>
      <w:r w:rsidR="00293E71">
        <w:rPr>
          <w:rFonts w:ascii="Times New Roman" w:hAnsi="Times New Roman"/>
          <w:sz w:val="24"/>
          <w:szCs w:val="24"/>
        </w:rPr>
        <w:t>comprehensive</w:t>
      </w:r>
      <w:r w:rsidR="00D7117A">
        <w:rPr>
          <w:rFonts w:ascii="Times New Roman" w:hAnsi="Times New Roman"/>
          <w:sz w:val="24"/>
          <w:szCs w:val="24"/>
        </w:rPr>
        <w:t xml:space="preserve"> demerger </w:t>
      </w:r>
      <w:r w:rsidR="00AE4713">
        <w:rPr>
          <w:rFonts w:ascii="Times New Roman" w:hAnsi="Times New Roman"/>
          <w:sz w:val="24"/>
          <w:szCs w:val="24"/>
        </w:rPr>
        <w:t>regime</w:t>
      </w:r>
      <w:r w:rsidR="00D7117A">
        <w:rPr>
          <w:rFonts w:ascii="Times New Roman" w:hAnsi="Times New Roman"/>
          <w:sz w:val="24"/>
          <w:szCs w:val="24"/>
        </w:rPr>
        <w:t xml:space="preserve"> be</w:t>
      </w:r>
      <w:r w:rsidR="00D7117A" w:rsidRPr="00772367">
        <w:rPr>
          <w:rFonts w:ascii="Times New Roman" w:hAnsi="Times New Roman"/>
          <w:sz w:val="24"/>
          <w:szCs w:val="24"/>
        </w:rPr>
        <w:t xml:space="preserve"> </w:t>
      </w:r>
      <w:r w:rsidR="00F63E51">
        <w:rPr>
          <w:rFonts w:ascii="Times New Roman" w:hAnsi="Times New Roman"/>
          <w:sz w:val="24"/>
          <w:szCs w:val="24"/>
        </w:rPr>
        <w:t xml:space="preserve">carefully </w:t>
      </w:r>
      <w:r w:rsidR="00D7117A" w:rsidRPr="00772367">
        <w:rPr>
          <w:rFonts w:ascii="Times New Roman" w:hAnsi="Times New Roman"/>
          <w:sz w:val="24"/>
          <w:szCs w:val="24"/>
        </w:rPr>
        <w:t xml:space="preserve">drafted so that it only applies to </w:t>
      </w:r>
      <w:r w:rsidR="006964C1">
        <w:rPr>
          <w:rFonts w:ascii="Times New Roman" w:hAnsi="Times New Roman"/>
          <w:sz w:val="24"/>
          <w:szCs w:val="24"/>
        </w:rPr>
        <w:t>de</w:t>
      </w:r>
      <w:r w:rsidR="00D7117A" w:rsidRPr="00772367">
        <w:rPr>
          <w:rFonts w:ascii="Times New Roman" w:hAnsi="Times New Roman"/>
          <w:sz w:val="24"/>
          <w:szCs w:val="24"/>
        </w:rPr>
        <w:t>mergers</w:t>
      </w:r>
      <w:r w:rsidR="00F63E51">
        <w:rPr>
          <w:rFonts w:ascii="Times New Roman" w:hAnsi="Times New Roman"/>
          <w:sz w:val="24"/>
          <w:szCs w:val="24"/>
        </w:rPr>
        <w:t xml:space="preserve"> that do not effect an in-substance distribution of income to shareholders</w:t>
      </w:r>
      <w:r w:rsidR="00D7117A" w:rsidRPr="00772367">
        <w:rPr>
          <w:rFonts w:ascii="Times New Roman" w:hAnsi="Times New Roman"/>
          <w:sz w:val="24"/>
          <w:szCs w:val="24"/>
        </w:rPr>
        <w:t xml:space="preserve">.  </w:t>
      </w:r>
    </w:p>
    <w:p w:rsidR="00F4317C" w:rsidRDefault="00F4317C" w:rsidP="002E19B4">
      <w:pPr>
        <w:spacing w:after="0"/>
        <w:rPr>
          <w:rFonts w:ascii="Times New Roman" w:hAnsi="Times New Roman"/>
          <w:i/>
          <w:sz w:val="24"/>
          <w:szCs w:val="24"/>
        </w:rPr>
      </w:pPr>
    </w:p>
    <w:p w:rsidR="008739DA" w:rsidRDefault="00491D6D" w:rsidP="002E19B4">
      <w:pPr>
        <w:spacing w:after="0"/>
        <w:rPr>
          <w:rFonts w:ascii="Times New Roman" w:hAnsi="Times New Roman"/>
          <w:i/>
          <w:sz w:val="24"/>
          <w:szCs w:val="24"/>
        </w:rPr>
      </w:pPr>
      <w:r>
        <w:rPr>
          <w:rFonts w:ascii="Times New Roman" w:hAnsi="Times New Roman"/>
          <w:i/>
          <w:sz w:val="24"/>
          <w:szCs w:val="24"/>
        </w:rPr>
        <w:t>Fairness and equity</w:t>
      </w:r>
      <w:r w:rsidR="00F4317C" w:rsidRPr="002E19B4">
        <w:rPr>
          <w:rFonts w:ascii="Times New Roman" w:hAnsi="Times New Roman"/>
          <w:i/>
          <w:sz w:val="24"/>
          <w:szCs w:val="24"/>
        </w:rPr>
        <w:t xml:space="preserve">  </w:t>
      </w:r>
    </w:p>
    <w:p w:rsidR="00F4317C" w:rsidRPr="002E19B4" w:rsidRDefault="00F4317C" w:rsidP="002E19B4">
      <w:pPr>
        <w:spacing w:after="0"/>
        <w:rPr>
          <w:rFonts w:ascii="Times New Roman" w:hAnsi="Times New Roman"/>
          <w:sz w:val="24"/>
          <w:szCs w:val="24"/>
        </w:rPr>
      </w:pPr>
    </w:p>
    <w:p w:rsidR="00F7447F" w:rsidRDefault="008739DA" w:rsidP="00982B6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91D6D">
        <w:rPr>
          <w:rFonts w:ascii="Times New Roman" w:hAnsi="Times New Roman"/>
          <w:sz w:val="24"/>
          <w:szCs w:val="24"/>
        </w:rPr>
        <w:t xml:space="preserve">Option 2 is a significant </w:t>
      </w:r>
      <w:r w:rsidR="00491D6D" w:rsidRPr="00491D6D">
        <w:rPr>
          <w:rFonts w:ascii="Times New Roman" w:hAnsi="Times New Roman"/>
          <w:sz w:val="24"/>
          <w:szCs w:val="24"/>
        </w:rPr>
        <w:t>improvement over the status quo, as it would ensure that shareholders of demerged companies do not become liable to pay tax on the value of the demerged shares despite there being no in</w:t>
      </w:r>
      <w:r w:rsidR="00702963">
        <w:rPr>
          <w:rFonts w:ascii="Times New Roman" w:hAnsi="Times New Roman"/>
          <w:sz w:val="24"/>
          <w:szCs w:val="24"/>
        </w:rPr>
        <w:t>-</w:t>
      </w:r>
      <w:r w:rsidR="00491D6D" w:rsidRPr="00491D6D">
        <w:rPr>
          <w:rFonts w:ascii="Times New Roman" w:hAnsi="Times New Roman"/>
          <w:sz w:val="24"/>
          <w:szCs w:val="24"/>
        </w:rPr>
        <w:t xml:space="preserve">substance change in their shareholding.  </w:t>
      </w:r>
    </w:p>
    <w:p w:rsidR="00491D6D" w:rsidRPr="00491D6D" w:rsidRDefault="00491D6D" w:rsidP="00491D6D">
      <w:pPr>
        <w:pStyle w:val="Bullet-list"/>
        <w:spacing w:after="0" w:line="240" w:lineRule="auto"/>
        <w:jc w:val="both"/>
        <w:rPr>
          <w:rFonts w:ascii="Times New Roman" w:hAnsi="Times New Roman"/>
          <w:sz w:val="24"/>
          <w:szCs w:val="24"/>
        </w:rPr>
      </w:pPr>
    </w:p>
    <w:p w:rsidR="00F4317C" w:rsidRPr="002E19B4" w:rsidRDefault="00F4317C" w:rsidP="00982B60">
      <w:pPr>
        <w:pStyle w:val="Bullet-list"/>
        <w:spacing w:after="0" w:line="240" w:lineRule="auto"/>
        <w:ind w:left="0" w:firstLine="0"/>
        <w:jc w:val="both"/>
        <w:rPr>
          <w:rFonts w:ascii="Times New Roman" w:hAnsi="Times New Roman"/>
          <w:i/>
          <w:sz w:val="24"/>
          <w:szCs w:val="24"/>
        </w:rPr>
      </w:pPr>
      <w:r>
        <w:rPr>
          <w:rFonts w:ascii="Times New Roman" w:hAnsi="Times New Roman"/>
          <w:i/>
          <w:sz w:val="24"/>
          <w:szCs w:val="24"/>
        </w:rPr>
        <w:t>Constraints</w:t>
      </w:r>
    </w:p>
    <w:p w:rsidR="00F4317C" w:rsidRDefault="00F4317C" w:rsidP="00982B60">
      <w:pPr>
        <w:pStyle w:val="Bullet-list"/>
        <w:spacing w:after="0" w:line="240" w:lineRule="auto"/>
        <w:ind w:left="0" w:firstLine="0"/>
        <w:jc w:val="both"/>
        <w:rPr>
          <w:rFonts w:ascii="Times New Roman" w:hAnsi="Times New Roman"/>
          <w:sz w:val="24"/>
          <w:szCs w:val="24"/>
        </w:rPr>
      </w:pPr>
    </w:p>
    <w:p w:rsidR="008F2835" w:rsidRDefault="00B56DDF" w:rsidP="003259D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w:t>
      </w:r>
      <w:r w:rsidR="002715A1" w:rsidRPr="002715A1">
        <w:rPr>
          <w:rFonts w:ascii="Times New Roman" w:hAnsi="Times New Roman"/>
          <w:sz w:val="24"/>
          <w:szCs w:val="24"/>
        </w:rPr>
        <w:t xml:space="preserve"> full demerger regime would be complicated and</w:t>
      </w:r>
      <w:r w:rsidR="00AE4713">
        <w:rPr>
          <w:rFonts w:ascii="Times New Roman" w:hAnsi="Times New Roman"/>
          <w:sz w:val="24"/>
          <w:szCs w:val="24"/>
        </w:rPr>
        <w:t xml:space="preserve"> </w:t>
      </w:r>
      <w:r w:rsidR="002715A1" w:rsidRPr="002715A1">
        <w:rPr>
          <w:rFonts w:ascii="Times New Roman" w:hAnsi="Times New Roman"/>
          <w:sz w:val="24"/>
          <w:szCs w:val="24"/>
        </w:rPr>
        <w:t>time consuming to develop, particularly concerning</w:t>
      </w:r>
      <w:r w:rsidR="00AE4713">
        <w:rPr>
          <w:rFonts w:ascii="Times New Roman" w:hAnsi="Times New Roman"/>
          <w:sz w:val="24"/>
          <w:szCs w:val="24"/>
        </w:rPr>
        <w:t xml:space="preserve"> the</w:t>
      </w:r>
      <w:r w:rsidR="002715A1" w:rsidRPr="002715A1">
        <w:rPr>
          <w:rFonts w:ascii="Times New Roman" w:hAnsi="Times New Roman"/>
          <w:sz w:val="24"/>
          <w:szCs w:val="24"/>
        </w:rPr>
        <w:t xml:space="preserve"> anti-avoidance provisions required to prevent abuse of the regime.</w:t>
      </w:r>
      <w:r w:rsidR="002715A1">
        <w:rPr>
          <w:rFonts w:ascii="Times New Roman" w:hAnsi="Times New Roman"/>
          <w:sz w:val="24"/>
          <w:szCs w:val="24"/>
        </w:rPr>
        <w:t xml:space="preserve"> </w:t>
      </w:r>
      <w:r w:rsidR="00136E03">
        <w:rPr>
          <w:rFonts w:ascii="Times New Roman" w:hAnsi="Times New Roman"/>
          <w:sz w:val="24"/>
          <w:szCs w:val="24"/>
        </w:rPr>
        <w:t xml:space="preserve">  </w:t>
      </w:r>
      <w:r w:rsidR="00AE4713">
        <w:rPr>
          <w:rFonts w:ascii="Times New Roman" w:hAnsi="Times New Roman"/>
          <w:sz w:val="24"/>
          <w:szCs w:val="24"/>
        </w:rPr>
        <w:t xml:space="preserve">Such a regime could </w:t>
      </w:r>
      <w:r w:rsidR="00E26C22">
        <w:rPr>
          <w:rFonts w:ascii="Times New Roman" w:hAnsi="Times New Roman"/>
          <w:sz w:val="24"/>
          <w:szCs w:val="24"/>
        </w:rPr>
        <w:t>definitely</w:t>
      </w:r>
      <w:r w:rsidR="00AE4713">
        <w:rPr>
          <w:rFonts w:ascii="Times New Roman" w:hAnsi="Times New Roman"/>
          <w:sz w:val="24"/>
          <w:szCs w:val="24"/>
        </w:rPr>
        <w:t xml:space="preserve"> not be developed in time for the first omnibus tax bill of 2017, or possibly the second.  Consequently </w:t>
      </w:r>
      <w:r w:rsidR="008739DA">
        <w:rPr>
          <w:rFonts w:ascii="Times New Roman" w:hAnsi="Times New Roman"/>
          <w:sz w:val="24"/>
          <w:szCs w:val="24"/>
        </w:rPr>
        <w:t>officials</w:t>
      </w:r>
      <w:r>
        <w:rPr>
          <w:rFonts w:ascii="Times New Roman" w:hAnsi="Times New Roman"/>
          <w:sz w:val="24"/>
          <w:szCs w:val="24"/>
        </w:rPr>
        <w:t xml:space="preserve"> consider that</w:t>
      </w:r>
      <w:r w:rsidR="00F7447F">
        <w:rPr>
          <w:rFonts w:ascii="Times New Roman" w:hAnsi="Times New Roman"/>
          <w:sz w:val="24"/>
          <w:szCs w:val="24"/>
        </w:rPr>
        <w:t xml:space="preserve"> option </w:t>
      </w:r>
      <w:r w:rsidR="008739DA">
        <w:rPr>
          <w:rFonts w:ascii="Times New Roman" w:hAnsi="Times New Roman"/>
          <w:sz w:val="24"/>
          <w:szCs w:val="24"/>
        </w:rPr>
        <w:t>2</w:t>
      </w:r>
      <w:r w:rsidR="00F7447F">
        <w:rPr>
          <w:rFonts w:ascii="Times New Roman" w:hAnsi="Times New Roman"/>
          <w:sz w:val="24"/>
          <w:szCs w:val="24"/>
        </w:rPr>
        <w:t xml:space="preserve"> is not feasible given the time constraints</w:t>
      </w:r>
      <w:r w:rsidR="003259DC">
        <w:rPr>
          <w:rFonts w:ascii="Times New Roman" w:hAnsi="Times New Roman"/>
          <w:sz w:val="24"/>
          <w:szCs w:val="24"/>
        </w:rPr>
        <w:t xml:space="preserve">. </w:t>
      </w:r>
    </w:p>
    <w:p w:rsidR="008739DA" w:rsidRDefault="008739DA" w:rsidP="008739DA">
      <w:pPr>
        <w:spacing w:after="0" w:line="240" w:lineRule="auto"/>
        <w:rPr>
          <w:rFonts w:ascii="Times New Roman" w:hAnsi="Times New Roman"/>
          <w:b/>
          <w:sz w:val="24"/>
          <w:szCs w:val="24"/>
        </w:rPr>
      </w:pPr>
    </w:p>
    <w:p w:rsidR="002715A1" w:rsidRPr="002715A1" w:rsidRDefault="002715A1" w:rsidP="008739DA">
      <w:pPr>
        <w:spacing w:after="0" w:line="240" w:lineRule="auto"/>
        <w:rPr>
          <w:rFonts w:ascii="Times New Roman" w:hAnsi="Times New Roman"/>
          <w:b/>
          <w:sz w:val="24"/>
          <w:szCs w:val="24"/>
        </w:rPr>
      </w:pPr>
      <w:r w:rsidRPr="002715A1">
        <w:rPr>
          <w:rFonts w:ascii="Times New Roman" w:hAnsi="Times New Roman"/>
          <w:b/>
          <w:sz w:val="24"/>
          <w:szCs w:val="24"/>
        </w:rPr>
        <w:t xml:space="preserve">Option </w:t>
      </w:r>
      <w:r w:rsidR="008739DA">
        <w:rPr>
          <w:rFonts w:ascii="Times New Roman" w:hAnsi="Times New Roman"/>
          <w:b/>
          <w:sz w:val="24"/>
          <w:szCs w:val="24"/>
        </w:rPr>
        <w:t>3</w:t>
      </w:r>
    </w:p>
    <w:p w:rsidR="00241A8E" w:rsidRPr="00241A8E" w:rsidRDefault="00241A8E" w:rsidP="00241A8E">
      <w:pPr>
        <w:pStyle w:val="Bullet-list"/>
        <w:spacing w:after="0" w:line="240" w:lineRule="auto"/>
        <w:rPr>
          <w:rFonts w:ascii="Times New Roman" w:hAnsi="Times New Roman"/>
          <w:sz w:val="24"/>
          <w:szCs w:val="24"/>
        </w:rPr>
      </w:pPr>
      <w:r w:rsidRPr="00241A8E">
        <w:rPr>
          <w:rFonts w:ascii="Times New Roman" w:hAnsi="Times New Roman"/>
          <w:sz w:val="24"/>
          <w:szCs w:val="24"/>
        </w:rPr>
        <w:t xml:space="preserve"> </w:t>
      </w:r>
    </w:p>
    <w:p w:rsidR="002107DD" w:rsidRDefault="008739DA" w:rsidP="00DB19E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3 is a limited demerger regime, applying only to Australian listed companies.  </w:t>
      </w:r>
      <w:r w:rsidR="002107DD">
        <w:rPr>
          <w:rFonts w:ascii="Times New Roman" w:hAnsi="Times New Roman"/>
          <w:sz w:val="24"/>
          <w:szCs w:val="24"/>
        </w:rPr>
        <w:t xml:space="preserve">This option would exclude any demerger by a listed Australian company from dividend taxation provided the demerger was excluded from dividend taxation in Australia under either Australia’s demerger regime or its return of share capital rules. </w:t>
      </w:r>
    </w:p>
    <w:p w:rsidR="008739DA" w:rsidRDefault="008739DA" w:rsidP="008739DA">
      <w:pPr>
        <w:pStyle w:val="Bullet-list"/>
        <w:spacing w:after="0" w:line="240" w:lineRule="auto"/>
        <w:jc w:val="both"/>
        <w:rPr>
          <w:rFonts w:ascii="Times New Roman" w:hAnsi="Times New Roman"/>
          <w:sz w:val="24"/>
          <w:szCs w:val="24"/>
        </w:rPr>
      </w:pPr>
    </w:p>
    <w:p w:rsidR="008739DA" w:rsidRDefault="002107DD" w:rsidP="008739DA">
      <w:pPr>
        <w:pStyle w:val="Bullet-list"/>
        <w:spacing w:after="0" w:line="240" w:lineRule="auto"/>
        <w:jc w:val="both"/>
        <w:rPr>
          <w:rFonts w:ascii="Times New Roman" w:hAnsi="Times New Roman"/>
          <w:i/>
          <w:sz w:val="24"/>
          <w:szCs w:val="24"/>
        </w:rPr>
      </w:pPr>
      <w:r>
        <w:rPr>
          <w:rFonts w:ascii="Times New Roman" w:hAnsi="Times New Roman"/>
          <w:sz w:val="24"/>
          <w:szCs w:val="24"/>
        </w:rPr>
        <w:t xml:space="preserve"> </w:t>
      </w:r>
      <w:r w:rsidR="00F4317C">
        <w:rPr>
          <w:rFonts w:ascii="Times New Roman" w:hAnsi="Times New Roman"/>
          <w:b/>
          <w:i/>
          <w:sz w:val="24"/>
          <w:szCs w:val="24"/>
        </w:rPr>
        <w:t>Assessment</w:t>
      </w:r>
      <w:r w:rsidR="008739DA">
        <w:rPr>
          <w:rFonts w:ascii="Times New Roman" w:hAnsi="Times New Roman"/>
          <w:b/>
          <w:i/>
          <w:sz w:val="24"/>
          <w:szCs w:val="24"/>
        </w:rPr>
        <w:t xml:space="preserve"> against criteria – Option 3</w:t>
      </w:r>
    </w:p>
    <w:p w:rsidR="002107DD" w:rsidRDefault="002107DD" w:rsidP="00982B60">
      <w:pPr>
        <w:pStyle w:val="Bullet-list"/>
        <w:spacing w:after="0" w:line="240" w:lineRule="auto"/>
        <w:ind w:left="0" w:firstLine="0"/>
        <w:jc w:val="both"/>
        <w:rPr>
          <w:rFonts w:ascii="Times New Roman" w:hAnsi="Times New Roman"/>
          <w:sz w:val="24"/>
          <w:szCs w:val="24"/>
        </w:rPr>
      </w:pPr>
    </w:p>
    <w:p w:rsidR="003259DC" w:rsidRDefault="00241A8E" w:rsidP="00DB19E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241A8E">
        <w:rPr>
          <w:rFonts w:ascii="Times New Roman" w:hAnsi="Times New Roman"/>
          <w:sz w:val="24"/>
          <w:szCs w:val="24"/>
        </w:rPr>
        <w:t>While not as conceptually pure</w:t>
      </w:r>
      <w:r w:rsidR="00D7117A">
        <w:rPr>
          <w:rFonts w:ascii="Times New Roman" w:hAnsi="Times New Roman"/>
          <w:sz w:val="24"/>
          <w:szCs w:val="24"/>
        </w:rPr>
        <w:t xml:space="preserve"> as option </w:t>
      </w:r>
      <w:r w:rsidR="00FD7C43">
        <w:rPr>
          <w:rFonts w:ascii="Times New Roman" w:hAnsi="Times New Roman"/>
          <w:sz w:val="24"/>
          <w:szCs w:val="24"/>
        </w:rPr>
        <w:t>2</w:t>
      </w:r>
      <w:r w:rsidRPr="00241A8E">
        <w:rPr>
          <w:rFonts w:ascii="Times New Roman" w:hAnsi="Times New Roman"/>
          <w:sz w:val="24"/>
          <w:szCs w:val="24"/>
        </w:rPr>
        <w:t xml:space="preserve">, this is a pragmatic approach that would address the demergers that have been causing issues in practice without needing to be nearly as complex as a full demerger regime.  </w:t>
      </w:r>
      <w:r w:rsidR="008739DA">
        <w:rPr>
          <w:rFonts w:ascii="Times New Roman" w:hAnsi="Times New Roman"/>
          <w:sz w:val="24"/>
          <w:szCs w:val="24"/>
        </w:rPr>
        <w:t>This meets the main objective.</w:t>
      </w:r>
    </w:p>
    <w:p w:rsidR="002107DD" w:rsidRDefault="002107DD" w:rsidP="00982B60">
      <w:pPr>
        <w:pStyle w:val="Bullet-list"/>
        <w:spacing w:after="0" w:line="240" w:lineRule="auto"/>
        <w:jc w:val="both"/>
        <w:rPr>
          <w:rFonts w:ascii="Times New Roman" w:hAnsi="Times New Roman"/>
          <w:sz w:val="24"/>
          <w:szCs w:val="24"/>
        </w:rPr>
      </w:pPr>
    </w:p>
    <w:p w:rsidR="002107DD" w:rsidRPr="00F4317C" w:rsidRDefault="002107DD" w:rsidP="00982B60">
      <w:pPr>
        <w:pStyle w:val="Bullet-list"/>
        <w:spacing w:after="0" w:line="240" w:lineRule="auto"/>
        <w:jc w:val="both"/>
        <w:rPr>
          <w:rFonts w:ascii="Times New Roman" w:hAnsi="Times New Roman"/>
          <w:i/>
          <w:sz w:val="24"/>
          <w:szCs w:val="24"/>
        </w:rPr>
      </w:pPr>
      <w:r w:rsidRPr="002E19B4">
        <w:rPr>
          <w:rFonts w:ascii="Times New Roman" w:hAnsi="Times New Roman"/>
          <w:i/>
          <w:sz w:val="24"/>
          <w:szCs w:val="24"/>
        </w:rPr>
        <w:t>Economic efficiency</w:t>
      </w:r>
    </w:p>
    <w:p w:rsidR="002107DD" w:rsidRDefault="002107DD" w:rsidP="00982B60">
      <w:pPr>
        <w:pStyle w:val="Bullet-list"/>
        <w:spacing w:after="0" w:line="240" w:lineRule="auto"/>
        <w:jc w:val="both"/>
        <w:rPr>
          <w:rFonts w:ascii="Times New Roman" w:hAnsi="Times New Roman"/>
          <w:i/>
          <w:sz w:val="24"/>
          <w:szCs w:val="24"/>
        </w:rPr>
      </w:pPr>
    </w:p>
    <w:p w:rsidR="002107DD" w:rsidRDefault="002107DD" w:rsidP="002107DD">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would improve economic efficiency, by aligning the tax treatment of a qualifying Australian demerger with its economic substance.  </w:t>
      </w:r>
      <w:r w:rsidR="00B56DDF">
        <w:rPr>
          <w:rFonts w:ascii="Times New Roman" w:hAnsi="Times New Roman"/>
          <w:sz w:val="24"/>
          <w:szCs w:val="24"/>
        </w:rPr>
        <w:t>As</w:t>
      </w:r>
      <w:r>
        <w:rPr>
          <w:rFonts w:ascii="Times New Roman" w:hAnsi="Times New Roman"/>
          <w:sz w:val="24"/>
          <w:szCs w:val="24"/>
        </w:rPr>
        <w:t xml:space="preserve"> demergers by listed Australian companies are the problem for most shareholders</w:t>
      </w:r>
      <w:r w:rsidR="00B56DDF">
        <w:rPr>
          <w:rFonts w:ascii="Times New Roman" w:hAnsi="Times New Roman"/>
          <w:sz w:val="24"/>
          <w:szCs w:val="24"/>
        </w:rPr>
        <w:t>, o</w:t>
      </w:r>
      <w:r>
        <w:rPr>
          <w:rFonts w:ascii="Times New Roman" w:hAnsi="Times New Roman"/>
          <w:sz w:val="24"/>
          <w:szCs w:val="24"/>
        </w:rPr>
        <w:t xml:space="preserve">ption </w:t>
      </w:r>
      <w:r w:rsidR="00F4317C">
        <w:rPr>
          <w:rFonts w:ascii="Times New Roman" w:hAnsi="Times New Roman"/>
          <w:sz w:val="24"/>
          <w:szCs w:val="24"/>
        </w:rPr>
        <w:t>3</w:t>
      </w:r>
      <w:r>
        <w:rPr>
          <w:rFonts w:ascii="Times New Roman" w:hAnsi="Times New Roman"/>
          <w:sz w:val="24"/>
          <w:szCs w:val="24"/>
        </w:rPr>
        <w:t xml:space="preserve"> would </w:t>
      </w:r>
      <w:r w:rsidR="00F4317C">
        <w:rPr>
          <w:rFonts w:ascii="Times New Roman" w:hAnsi="Times New Roman"/>
          <w:sz w:val="24"/>
          <w:szCs w:val="24"/>
        </w:rPr>
        <w:t>address the issues faced by shareholders</w:t>
      </w:r>
      <w:r w:rsidR="00260248">
        <w:rPr>
          <w:rFonts w:ascii="Times New Roman" w:hAnsi="Times New Roman"/>
          <w:sz w:val="24"/>
          <w:szCs w:val="24"/>
        </w:rPr>
        <w:t xml:space="preserve"> in practice</w:t>
      </w:r>
      <w:r>
        <w:rPr>
          <w:rFonts w:ascii="Times New Roman" w:hAnsi="Times New Roman"/>
          <w:sz w:val="24"/>
          <w:szCs w:val="24"/>
        </w:rPr>
        <w:t>.</w:t>
      </w:r>
    </w:p>
    <w:p w:rsidR="00F4317C" w:rsidRDefault="00F4317C" w:rsidP="00F4317C">
      <w:pPr>
        <w:pStyle w:val="Bullet-list"/>
        <w:spacing w:after="0" w:line="240" w:lineRule="auto"/>
        <w:ind w:left="0" w:firstLine="0"/>
        <w:jc w:val="both"/>
        <w:rPr>
          <w:rFonts w:ascii="Times New Roman" w:hAnsi="Times New Roman"/>
          <w:b/>
          <w:i/>
          <w:sz w:val="24"/>
          <w:szCs w:val="24"/>
        </w:rPr>
      </w:pPr>
    </w:p>
    <w:p w:rsidR="00F4317C" w:rsidRPr="002E19B4" w:rsidRDefault="00F4317C" w:rsidP="00F4317C">
      <w:pPr>
        <w:pStyle w:val="Bullet-list"/>
        <w:spacing w:after="0" w:line="240" w:lineRule="auto"/>
        <w:ind w:left="0" w:firstLine="0"/>
        <w:jc w:val="both"/>
        <w:rPr>
          <w:rFonts w:ascii="Times New Roman" w:hAnsi="Times New Roman"/>
          <w:i/>
          <w:sz w:val="24"/>
          <w:szCs w:val="24"/>
        </w:rPr>
      </w:pPr>
      <w:r w:rsidRPr="002E19B4">
        <w:rPr>
          <w:rFonts w:ascii="Times New Roman" w:hAnsi="Times New Roman"/>
          <w:i/>
          <w:sz w:val="24"/>
          <w:szCs w:val="24"/>
        </w:rPr>
        <w:t>Integrity of the tax system</w:t>
      </w:r>
    </w:p>
    <w:p w:rsidR="00F4317C" w:rsidRDefault="00F4317C" w:rsidP="00F4317C">
      <w:pPr>
        <w:pStyle w:val="Bullet-list"/>
        <w:spacing w:after="0" w:line="240" w:lineRule="auto"/>
        <w:ind w:left="0" w:firstLine="0"/>
        <w:jc w:val="both"/>
        <w:rPr>
          <w:rFonts w:ascii="Times New Roman" w:hAnsi="Times New Roman"/>
          <w:b/>
          <w:i/>
          <w:sz w:val="24"/>
          <w:szCs w:val="24"/>
        </w:rPr>
      </w:pPr>
    </w:p>
    <w:p w:rsidR="00F4317C" w:rsidRPr="003466EF" w:rsidRDefault="00F4317C" w:rsidP="00F4317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w:t>
      </w:r>
      <w:r w:rsidRPr="003466EF">
        <w:rPr>
          <w:rFonts w:ascii="Times New Roman" w:hAnsi="Times New Roman"/>
          <w:sz w:val="24"/>
          <w:szCs w:val="24"/>
        </w:rPr>
        <w:t xml:space="preserve"> Australian demerger regime already has rules designed to prevent it being used to effect a distribution of income.  Accordingly, </w:t>
      </w:r>
      <w:r>
        <w:rPr>
          <w:rFonts w:ascii="Times New Roman" w:hAnsi="Times New Roman"/>
          <w:sz w:val="24"/>
          <w:szCs w:val="24"/>
        </w:rPr>
        <w:t>officials</w:t>
      </w:r>
      <w:r w:rsidRPr="003466EF">
        <w:rPr>
          <w:rFonts w:ascii="Times New Roman" w:hAnsi="Times New Roman"/>
          <w:sz w:val="24"/>
          <w:szCs w:val="24"/>
        </w:rPr>
        <w:t xml:space="preserve"> are comfortable </w:t>
      </w:r>
      <w:r>
        <w:rPr>
          <w:rFonts w:ascii="Times New Roman" w:hAnsi="Times New Roman"/>
          <w:sz w:val="24"/>
          <w:szCs w:val="24"/>
        </w:rPr>
        <w:t xml:space="preserve">with </w:t>
      </w:r>
      <w:r w:rsidRPr="003466EF">
        <w:rPr>
          <w:rFonts w:ascii="Times New Roman" w:hAnsi="Times New Roman"/>
          <w:sz w:val="24"/>
          <w:szCs w:val="24"/>
        </w:rPr>
        <w:t xml:space="preserve">excluding any demerger from New Zealand dividend taxation where the Australian demerger regime applies to it.  </w:t>
      </w:r>
    </w:p>
    <w:p w:rsidR="00F4317C" w:rsidRPr="003466EF" w:rsidRDefault="00F4317C" w:rsidP="00F4317C">
      <w:pPr>
        <w:pStyle w:val="Bullet-list"/>
        <w:spacing w:after="0" w:line="240" w:lineRule="auto"/>
        <w:ind w:left="0" w:firstLine="0"/>
        <w:jc w:val="both"/>
        <w:rPr>
          <w:rFonts w:ascii="Times New Roman" w:hAnsi="Times New Roman"/>
          <w:sz w:val="24"/>
          <w:szCs w:val="24"/>
        </w:rPr>
      </w:pPr>
    </w:p>
    <w:p w:rsidR="00F4317C" w:rsidRDefault="00F4317C" w:rsidP="00F4317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3466EF">
        <w:rPr>
          <w:rFonts w:ascii="Times New Roman" w:hAnsi="Times New Roman"/>
          <w:sz w:val="24"/>
          <w:szCs w:val="24"/>
        </w:rPr>
        <w:t xml:space="preserve">In relation to the return of share capital method, New Zealand already has similar rules </w:t>
      </w:r>
      <w:r w:rsidR="00702963">
        <w:rPr>
          <w:rFonts w:ascii="Times New Roman" w:hAnsi="Times New Roman"/>
          <w:sz w:val="24"/>
          <w:szCs w:val="24"/>
        </w:rPr>
        <w:t xml:space="preserve">to Australia </w:t>
      </w:r>
      <w:r w:rsidRPr="003466EF">
        <w:rPr>
          <w:rFonts w:ascii="Times New Roman" w:hAnsi="Times New Roman"/>
          <w:sz w:val="24"/>
          <w:szCs w:val="24"/>
        </w:rPr>
        <w:t xml:space="preserve">that exclude a return of shareholder capital from being a dividend.  However these rules require there to be a repurchase by the company of its own shares, while the Australian </w:t>
      </w:r>
      <w:r>
        <w:rPr>
          <w:rFonts w:ascii="Times New Roman" w:hAnsi="Times New Roman"/>
          <w:sz w:val="24"/>
          <w:szCs w:val="24"/>
        </w:rPr>
        <w:t xml:space="preserve">rules do not.  Consequently New Zealand’s </w:t>
      </w:r>
      <w:r w:rsidRPr="003466EF">
        <w:rPr>
          <w:rFonts w:ascii="Times New Roman" w:hAnsi="Times New Roman"/>
          <w:sz w:val="24"/>
          <w:szCs w:val="24"/>
        </w:rPr>
        <w:t xml:space="preserve">dividend exemption often does not apply to an Australian demerger that is structured as a return of share capital (as such demergers often do not involve a repurchase of shares).  </w:t>
      </w:r>
    </w:p>
    <w:p w:rsidR="00F4317C" w:rsidRDefault="00F4317C" w:rsidP="00F4317C">
      <w:pPr>
        <w:pStyle w:val="ListParagraph"/>
        <w:rPr>
          <w:rFonts w:ascii="Times New Roman" w:hAnsi="Times New Roman"/>
          <w:sz w:val="24"/>
          <w:szCs w:val="24"/>
        </w:rPr>
      </w:pPr>
    </w:p>
    <w:p w:rsidR="00F4317C" w:rsidRDefault="00F4317C" w:rsidP="00F4317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w:t>
      </w:r>
      <w:r w:rsidRPr="003466EF">
        <w:rPr>
          <w:rFonts w:ascii="Times New Roman" w:hAnsi="Times New Roman"/>
          <w:sz w:val="24"/>
          <w:szCs w:val="24"/>
        </w:rPr>
        <w:t xml:space="preserve">he requirement to repurchase shares </w:t>
      </w:r>
      <w:r>
        <w:rPr>
          <w:rFonts w:ascii="Times New Roman" w:hAnsi="Times New Roman"/>
          <w:sz w:val="24"/>
          <w:szCs w:val="24"/>
        </w:rPr>
        <w:t xml:space="preserve">is not </w:t>
      </w:r>
      <w:r w:rsidRPr="003466EF">
        <w:rPr>
          <w:rFonts w:ascii="Times New Roman" w:hAnsi="Times New Roman"/>
          <w:sz w:val="24"/>
          <w:szCs w:val="24"/>
        </w:rPr>
        <w:t xml:space="preserve">a significant policy difference between </w:t>
      </w:r>
      <w:r>
        <w:rPr>
          <w:rFonts w:ascii="Times New Roman" w:hAnsi="Times New Roman"/>
          <w:sz w:val="24"/>
          <w:szCs w:val="24"/>
        </w:rPr>
        <w:t xml:space="preserve">New Zealand’s </w:t>
      </w:r>
      <w:r w:rsidRPr="003466EF">
        <w:rPr>
          <w:rFonts w:ascii="Times New Roman" w:hAnsi="Times New Roman"/>
          <w:sz w:val="24"/>
          <w:szCs w:val="24"/>
        </w:rPr>
        <w:t xml:space="preserve">dividend exemption and the Australian exemption – the more important point is that they both exclude a return of shareholder capital from </w:t>
      </w:r>
      <w:r>
        <w:rPr>
          <w:rFonts w:ascii="Times New Roman" w:hAnsi="Times New Roman"/>
          <w:sz w:val="24"/>
          <w:szCs w:val="24"/>
        </w:rPr>
        <w:t xml:space="preserve">dividend taxation.  Therefore we do not see any integrity issues if </w:t>
      </w:r>
      <w:r w:rsidR="003A236F">
        <w:rPr>
          <w:rFonts w:ascii="Times New Roman" w:hAnsi="Times New Roman"/>
          <w:sz w:val="24"/>
          <w:szCs w:val="24"/>
        </w:rPr>
        <w:t>the</w:t>
      </w:r>
      <w:r>
        <w:rPr>
          <w:rFonts w:ascii="Times New Roman" w:hAnsi="Times New Roman"/>
          <w:sz w:val="24"/>
          <w:szCs w:val="24"/>
        </w:rPr>
        <w:t xml:space="preserve"> demerger dividend exclusion </w:t>
      </w:r>
      <w:r w:rsidRPr="003466EF">
        <w:rPr>
          <w:rFonts w:ascii="Times New Roman" w:hAnsi="Times New Roman"/>
          <w:sz w:val="24"/>
          <w:szCs w:val="24"/>
        </w:rPr>
        <w:t>also appl</w:t>
      </w:r>
      <w:r>
        <w:rPr>
          <w:rFonts w:ascii="Times New Roman" w:hAnsi="Times New Roman"/>
          <w:sz w:val="24"/>
          <w:szCs w:val="24"/>
        </w:rPr>
        <w:t>ies</w:t>
      </w:r>
      <w:r w:rsidRPr="003466EF">
        <w:rPr>
          <w:rFonts w:ascii="Times New Roman" w:hAnsi="Times New Roman"/>
          <w:sz w:val="24"/>
          <w:szCs w:val="24"/>
        </w:rPr>
        <w:t xml:space="preserve"> to </w:t>
      </w:r>
      <w:r>
        <w:rPr>
          <w:rFonts w:ascii="Times New Roman" w:hAnsi="Times New Roman"/>
          <w:sz w:val="24"/>
          <w:szCs w:val="24"/>
        </w:rPr>
        <w:t>a</w:t>
      </w:r>
      <w:r w:rsidRPr="003466EF">
        <w:rPr>
          <w:rFonts w:ascii="Times New Roman" w:hAnsi="Times New Roman"/>
          <w:sz w:val="24"/>
          <w:szCs w:val="24"/>
        </w:rPr>
        <w:t xml:space="preserve"> demerger by a listed Australian company that is treated as a non-dividend return of share capital under the Australian tax rules.</w:t>
      </w:r>
    </w:p>
    <w:p w:rsidR="00F4317C" w:rsidRDefault="00F4317C" w:rsidP="00F4317C">
      <w:pPr>
        <w:pStyle w:val="ListParagraph"/>
        <w:rPr>
          <w:rFonts w:ascii="Times New Roman" w:hAnsi="Times New Roman"/>
          <w:sz w:val="24"/>
          <w:szCs w:val="24"/>
        </w:rPr>
      </w:pPr>
    </w:p>
    <w:p w:rsidR="00F4317C" w:rsidRDefault="00F4317C" w:rsidP="00F4317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On this basis, we consider that option </w:t>
      </w:r>
      <w:r w:rsidR="002C43EF">
        <w:rPr>
          <w:rFonts w:ascii="Times New Roman" w:hAnsi="Times New Roman"/>
          <w:sz w:val="24"/>
          <w:szCs w:val="24"/>
        </w:rPr>
        <w:t>3</w:t>
      </w:r>
      <w:r>
        <w:rPr>
          <w:rFonts w:ascii="Times New Roman" w:hAnsi="Times New Roman"/>
          <w:sz w:val="24"/>
          <w:szCs w:val="24"/>
        </w:rPr>
        <w:t xml:space="preserve"> is equal to the status quo as it maintains the integrity of the tax system.  </w:t>
      </w:r>
    </w:p>
    <w:p w:rsidR="00F4317C" w:rsidRDefault="00F4317C" w:rsidP="00982B60">
      <w:pPr>
        <w:pStyle w:val="Bullet-list"/>
        <w:spacing w:after="0" w:line="240" w:lineRule="auto"/>
        <w:ind w:left="0" w:firstLine="0"/>
        <w:jc w:val="both"/>
        <w:rPr>
          <w:rFonts w:ascii="Times New Roman" w:hAnsi="Times New Roman"/>
          <w:i/>
          <w:sz w:val="24"/>
          <w:szCs w:val="24"/>
        </w:rPr>
      </w:pPr>
    </w:p>
    <w:p w:rsidR="002107DD" w:rsidRDefault="00F4317C" w:rsidP="00982B60">
      <w:pPr>
        <w:pStyle w:val="Bullet-list"/>
        <w:spacing w:after="0" w:line="240" w:lineRule="auto"/>
        <w:ind w:left="0" w:firstLine="0"/>
        <w:jc w:val="both"/>
        <w:rPr>
          <w:rFonts w:ascii="Times New Roman" w:hAnsi="Times New Roman"/>
          <w:i/>
          <w:sz w:val="24"/>
          <w:szCs w:val="24"/>
        </w:rPr>
      </w:pPr>
      <w:r>
        <w:rPr>
          <w:rFonts w:ascii="Times New Roman" w:hAnsi="Times New Roman"/>
          <w:i/>
          <w:sz w:val="24"/>
          <w:szCs w:val="24"/>
        </w:rPr>
        <w:t>Fairness and equity</w:t>
      </w:r>
    </w:p>
    <w:p w:rsidR="00F4317C" w:rsidRDefault="00F4317C" w:rsidP="00982B60">
      <w:pPr>
        <w:pStyle w:val="Bullet-list"/>
        <w:spacing w:after="0" w:line="240" w:lineRule="auto"/>
        <w:ind w:left="0" w:firstLine="0"/>
        <w:jc w:val="both"/>
        <w:rPr>
          <w:rFonts w:ascii="Times New Roman" w:hAnsi="Times New Roman"/>
          <w:sz w:val="24"/>
          <w:szCs w:val="24"/>
        </w:rPr>
      </w:pPr>
    </w:p>
    <w:p w:rsidR="00B56DDF" w:rsidRPr="00563492" w:rsidDel="00D7117A" w:rsidRDefault="00702963" w:rsidP="00B56DD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Based on past history t</w:t>
      </w:r>
      <w:r w:rsidR="002107DD">
        <w:rPr>
          <w:rFonts w:ascii="Times New Roman" w:hAnsi="Times New Roman"/>
          <w:sz w:val="24"/>
          <w:szCs w:val="24"/>
        </w:rPr>
        <w:t xml:space="preserve">his option would improve fairness and equity for most of the taxpayers who are taxable on demergers, namely shareholders in listed Australian companies.  </w:t>
      </w:r>
      <w:r w:rsidR="00B56DDF">
        <w:rPr>
          <w:rFonts w:ascii="Times New Roman" w:hAnsi="Times New Roman"/>
          <w:sz w:val="24"/>
          <w:szCs w:val="24"/>
        </w:rPr>
        <w:t>However i</w:t>
      </w:r>
      <w:r w:rsidR="002107DD">
        <w:rPr>
          <w:rFonts w:ascii="Times New Roman" w:hAnsi="Times New Roman"/>
          <w:sz w:val="24"/>
          <w:szCs w:val="24"/>
        </w:rPr>
        <w:t>t would</w:t>
      </w:r>
      <w:r w:rsidR="00E00BEF">
        <w:rPr>
          <w:rFonts w:ascii="Times New Roman" w:hAnsi="Times New Roman"/>
          <w:sz w:val="24"/>
          <w:szCs w:val="24"/>
        </w:rPr>
        <w:t xml:space="preserve"> result in shareholders in New </w:t>
      </w:r>
      <w:r w:rsidR="002107DD">
        <w:rPr>
          <w:rFonts w:ascii="Times New Roman" w:hAnsi="Times New Roman"/>
          <w:sz w:val="24"/>
          <w:szCs w:val="24"/>
        </w:rPr>
        <w:t>Zealand companies and</w:t>
      </w:r>
      <w:r w:rsidR="00E00BEF">
        <w:rPr>
          <w:rFonts w:ascii="Times New Roman" w:hAnsi="Times New Roman"/>
          <w:sz w:val="24"/>
          <w:szCs w:val="24"/>
        </w:rPr>
        <w:t xml:space="preserve"> shareholders in</w:t>
      </w:r>
      <w:r w:rsidR="002107DD">
        <w:rPr>
          <w:rFonts w:ascii="Times New Roman" w:hAnsi="Times New Roman"/>
          <w:sz w:val="24"/>
          <w:szCs w:val="24"/>
        </w:rPr>
        <w:t xml:space="preserve"> other foreign companies</w:t>
      </w:r>
      <w:r w:rsidR="00E675AE">
        <w:rPr>
          <w:rFonts w:ascii="Times New Roman" w:hAnsi="Times New Roman"/>
          <w:sz w:val="24"/>
          <w:szCs w:val="24"/>
        </w:rPr>
        <w:t xml:space="preserve"> who are not subject to the FIF rules</w:t>
      </w:r>
      <w:r w:rsidR="00F3672A">
        <w:rPr>
          <w:rFonts w:ascii="Times New Roman" w:hAnsi="Times New Roman"/>
          <w:sz w:val="24"/>
          <w:szCs w:val="24"/>
        </w:rPr>
        <w:t xml:space="preserve"> </w:t>
      </w:r>
      <w:r w:rsidR="008A6645">
        <w:rPr>
          <w:rFonts w:ascii="Times New Roman" w:hAnsi="Times New Roman"/>
          <w:sz w:val="24"/>
          <w:szCs w:val="24"/>
        </w:rPr>
        <w:t>remaining</w:t>
      </w:r>
      <w:r w:rsidR="00F3672A">
        <w:rPr>
          <w:rFonts w:ascii="Times New Roman" w:hAnsi="Times New Roman"/>
          <w:sz w:val="24"/>
          <w:szCs w:val="24"/>
        </w:rPr>
        <w:t xml:space="preserve"> </w:t>
      </w:r>
      <w:r w:rsidR="00760A19">
        <w:rPr>
          <w:rFonts w:ascii="Times New Roman" w:hAnsi="Times New Roman"/>
          <w:sz w:val="24"/>
          <w:szCs w:val="24"/>
        </w:rPr>
        <w:t xml:space="preserve">potentially </w:t>
      </w:r>
      <w:r w:rsidR="00F3672A">
        <w:rPr>
          <w:rFonts w:ascii="Times New Roman" w:hAnsi="Times New Roman"/>
          <w:sz w:val="24"/>
          <w:szCs w:val="24"/>
        </w:rPr>
        <w:t>taxable on any demerger dividends</w:t>
      </w:r>
      <w:r w:rsidR="00B56DDF">
        <w:rPr>
          <w:rFonts w:ascii="Times New Roman" w:hAnsi="Times New Roman"/>
          <w:sz w:val="24"/>
          <w:szCs w:val="24"/>
        </w:rPr>
        <w:t>.  Accordingly it would mean that shareholders in some companies were not taxable on a demerger (i</w:t>
      </w:r>
      <w:r w:rsidR="00D32940">
        <w:rPr>
          <w:rFonts w:ascii="Times New Roman" w:hAnsi="Times New Roman"/>
          <w:sz w:val="24"/>
          <w:szCs w:val="24"/>
        </w:rPr>
        <w:t>.</w:t>
      </w:r>
      <w:r w:rsidR="00B56DDF">
        <w:rPr>
          <w:rFonts w:ascii="Times New Roman" w:hAnsi="Times New Roman"/>
          <w:sz w:val="24"/>
          <w:szCs w:val="24"/>
        </w:rPr>
        <w:t>e. shareholders in listed Australian companies)</w:t>
      </w:r>
      <w:r w:rsidR="00F3672A">
        <w:rPr>
          <w:rFonts w:ascii="Times New Roman" w:hAnsi="Times New Roman"/>
          <w:sz w:val="24"/>
          <w:szCs w:val="24"/>
        </w:rPr>
        <w:t xml:space="preserve"> while shareholders in </w:t>
      </w:r>
      <w:r w:rsidR="00B56DDF">
        <w:rPr>
          <w:rFonts w:ascii="Times New Roman" w:hAnsi="Times New Roman"/>
          <w:sz w:val="24"/>
          <w:szCs w:val="24"/>
        </w:rPr>
        <w:t>other companies were</w:t>
      </w:r>
      <w:r w:rsidR="002107DD">
        <w:rPr>
          <w:rFonts w:ascii="Times New Roman" w:hAnsi="Times New Roman"/>
          <w:sz w:val="24"/>
          <w:szCs w:val="24"/>
        </w:rPr>
        <w:t>.</w:t>
      </w:r>
      <w:r w:rsidR="00F3672A">
        <w:rPr>
          <w:rFonts w:ascii="Times New Roman" w:hAnsi="Times New Roman"/>
          <w:sz w:val="24"/>
          <w:szCs w:val="24"/>
        </w:rPr>
        <w:t xml:space="preserve">  </w:t>
      </w:r>
      <w:r w:rsidR="00A33D00">
        <w:rPr>
          <w:rFonts w:ascii="Times New Roman" w:hAnsi="Times New Roman"/>
          <w:sz w:val="24"/>
          <w:szCs w:val="24"/>
        </w:rPr>
        <w:t xml:space="preserve">Consequently the differential treatment of shareholders under this option does result in some horizontal </w:t>
      </w:r>
      <w:r w:rsidR="00E00BEF">
        <w:rPr>
          <w:rFonts w:ascii="Times New Roman" w:hAnsi="Times New Roman"/>
          <w:sz w:val="24"/>
          <w:szCs w:val="24"/>
        </w:rPr>
        <w:t>inequity</w:t>
      </w:r>
      <w:r w:rsidR="00A33D00">
        <w:rPr>
          <w:rFonts w:ascii="Times New Roman" w:hAnsi="Times New Roman"/>
          <w:sz w:val="24"/>
          <w:szCs w:val="24"/>
        </w:rPr>
        <w:t>.</w:t>
      </w:r>
    </w:p>
    <w:p w:rsidR="00B56DDF" w:rsidRDefault="00B56DDF" w:rsidP="00982B60">
      <w:pPr>
        <w:pStyle w:val="Bullet-list"/>
        <w:spacing w:after="0" w:line="240" w:lineRule="auto"/>
        <w:ind w:left="0" w:firstLine="0"/>
        <w:jc w:val="both"/>
        <w:rPr>
          <w:rFonts w:ascii="Times New Roman" w:hAnsi="Times New Roman"/>
          <w:sz w:val="24"/>
          <w:szCs w:val="24"/>
        </w:rPr>
      </w:pPr>
    </w:p>
    <w:p w:rsidR="00D7117A" w:rsidRDefault="00F3672A" w:rsidP="00DE6378">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However New Zealand companies have </w:t>
      </w:r>
      <w:r w:rsidR="00FE782B">
        <w:rPr>
          <w:rFonts w:ascii="Times New Roman" w:hAnsi="Times New Roman"/>
          <w:sz w:val="24"/>
          <w:szCs w:val="24"/>
        </w:rPr>
        <w:t xml:space="preserve">in the past </w:t>
      </w:r>
      <w:r>
        <w:rPr>
          <w:rFonts w:ascii="Times New Roman" w:hAnsi="Times New Roman"/>
          <w:sz w:val="24"/>
          <w:szCs w:val="24"/>
        </w:rPr>
        <w:t xml:space="preserve">been able to structure their demergers </w:t>
      </w:r>
      <w:r w:rsidR="00FE782B">
        <w:rPr>
          <w:rFonts w:ascii="Times New Roman" w:hAnsi="Times New Roman"/>
          <w:sz w:val="24"/>
          <w:szCs w:val="24"/>
        </w:rPr>
        <w:t xml:space="preserve">so </w:t>
      </w:r>
      <w:r>
        <w:rPr>
          <w:rFonts w:ascii="Times New Roman" w:hAnsi="Times New Roman"/>
          <w:sz w:val="24"/>
          <w:szCs w:val="24"/>
        </w:rPr>
        <w:t xml:space="preserve">dividend taxation </w:t>
      </w:r>
      <w:r w:rsidR="00FE782B">
        <w:rPr>
          <w:rFonts w:ascii="Times New Roman" w:hAnsi="Times New Roman"/>
          <w:sz w:val="24"/>
          <w:szCs w:val="24"/>
        </w:rPr>
        <w:t>does not arise</w:t>
      </w:r>
      <w:r>
        <w:rPr>
          <w:rFonts w:ascii="Times New Roman" w:hAnsi="Times New Roman"/>
          <w:sz w:val="24"/>
          <w:szCs w:val="24"/>
        </w:rPr>
        <w:t xml:space="preserve">.  In addition, the problem of demerger taxation does not seem to be </w:t>
      </w:r>
      <w:r w:rsidR="00760A19">
        <w:rPr>
          <w:rFonts w:ascii="Times New Roman" w:hAnsi="Times New Roman"/>
          <w:sz w:val="24"/>
          <w:szCs w:val="24"/>
        </w:rPr>
        <w:t>problematic in practice</w:t>
      </w:r>
      <w:r>
        <w:rPr>
          <w:rFonts w:ascii="Times New Roman" w:hAnsi="Times New Roman"/>
          <w:sz w:val="24"/>
          <w:szCs w:val="24"/>
        </w:rPr>
        <w:t xml:space="preserve"> for shareholders in other foreign companies.  Consequently this lack of fairness across shareholders does not seem to be</w:t>
      </w:r>
      <w:r w:rsidR="00B56DDF">
        <w:rPr>
          <w:rFonts w:ascii="Times New Roman" w:hAnsi="Times New Roman"/>
          <w:sz w:val="24"/>
          <w:szCs w:val="24"/>
        </w:rPr>
        <w:t xml:space="preserve"> so</w:t>
      </w:r>
      <w:r>
        <w:rPr>
          <w:rFonts w:ascii="Times New Roman" w:hAnsi="Times New Roman"/>
          <w:sz w:val="24"/>
          <w:szCs w:val="24"/>
        </w:rPr>
        <w:t xml:space="preserve"> </w:t>
      </w:r>
      <w:r w:rsidR="00293E71">
        <w:rPr>
          <w:rFonts w:ascii="Times New Roman" w:hAnsi="Times New Roman"/>
          <w:sz w:val="24"/>
          <w:szCs w:val="24"/>
        </w:rPr>
        <w:t>significant</w:t>
      </w:r>
      <w:r>
        <w:rPr>
          <w:rFonts w:ascii="Times New Roman" w:hAnsi="Times New Roman"/>
          <w:sz w:val="24"/>
          <w:szCs w:val="24"/>
        </w:rPr>
        <w:t xml:space="preserve"> in practice.</w:t>
      </w:r>
      <w:r w:rsidR="00B56DDF" w:rsidRPr="00B56DDF" w:rsidDel="00D7117A">
        <w:rPr>
          <w:rFonts w:ascii="Times New Roman" w:hAnsi="Times New Roman"/>
          <w:sz w:val="24"/>
          <w:szCs w:val="24"/>
        </w:rPr>
        <w:t xml:space="preserve"> </w:t>
      </w:r>
    </w:p>
    <w:p w:rsidR="00DE6378" w:rsidRPr="00DE6378" w:rsidRDefault="00DE6378" w:rsidP="00DE6378">
      <w:pPr>
        <w:pStyle w:val="Bullet-list"/>
        <w:spacing w:after="0" w:line="240" w:lineRule="auto"/>
        <w:ind w:left="0" w:firstLine="0"/>
        <w:jc w:val="both"/>
        <w:rPr>
          <w:rFonts w:ascii="Times New Roman" w:hAnsi="Times New Roman"/>
          <w:sz w:val="24"/>
          <w:szCs w:val="24"/>
        </w:rPr>
      </w:pPr>
    </w:p>
    <w:p w:rsidR="00D7117A" w:rsidRPr="003259DC" w:rsidRDefault="00F4317C" w:rsidP="00D7117A">
      <w:pPr>
        <w:pStyle w:val="Bullet-list"/>
        <w:spacing w:after="0" w:line="240" w:lineRule="auto"/>
        <w:ind w:left="0" w:firstLine="0"/>
        <w:jc w:val="both"/>
        <w:rPr>
          <w:rFonts w:ascii="Times New Roman" w:hAnsi="Times New Roman"/>
          <w:b/>
          <w:i/>
          <w:sz w:val="24"/>
          <w:szCs w:val="24"/>
        </w:rPr>
      </w:pPr>
      <w:r w:rsidRPr="002E19B4">
        <w:rPr>
          <w:rFonts w:ascii="Times New Roman" w:hAnsi="Times New Roman"/>
          <w:i/>
          <w:sz w:val="24"/>
          <w:szCs w:val="24"/>
        </w:rPr>
        <w:t>Constraints</w:t>
      </w:r>
    </w:p>
    <w:p w:rsidR="00D7117A" w:rsidRPr="003259DC" w:rsidRDefault="00D7117A" w:rsidP="00D7117A">
      <w:pPr>
        <w:pStyle w:val="Bullet-list"/>
        <w:spacing w:after="0" w:line="240" w:lineRule="auto"/>
        <w:ind w:left="0" w:firstLine="0"/>
        <w:jc w:val="both"/>
        <w:rPr>
          <w:rFonts w:ascii="Times New Roman" w:hAnsi="Times New Roman"/>
          <w:sz w:val="24"/>
          <w:szCs w:val="24"/>
        </w:rPr>
      </w:pPr>
    </w:p>
    <w:p w:rsidR="00D7117A" w:rsidRDefault="005E1E6A" w:rsidP="00D7117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w:t>
      </w:r>
      <w:r w:rsidR="00FD7C43">
        <w:rPr>
          <w:rFonts w:ascii="Times New Roman" w:hAnsi="Times New Roman"/>
          <w:sz w:val="24"/>
          <w:szCs w:val="24"/>
        </w:rPr>
        <w:t>3</w:t>
      </w:r>
      <w:r>
        <w:rPr>
          <w:rFonts w:ascii="Times New Roman" w:hAnsi="Times New Roman"/>
          <w:sz w:val="24"/>
          <w:szCs w:val="24"/>
        </w:rPr>
        <w:t xml:space="preserve"> is the least resource intensive of the options, and so it could be implemented the fastest.  In particular, t</w:t>
      </w:r>
      <w:r w:rsidR="00D7117A" w:rsidRPr="00241A8E">
        <w:rPr>
          <w:rFonts w:ascii="Times New Roman" w:hAnsi="Times New Roman"/>
          <w:sz w:val="24"/>
          <w:szCs w:val="24"/>
        </w:rPr>
        <w:t xml:space="preserve">he Australian demerger regime already includes anti-avoidance rules designed to prevent abuse.  Accordingly </w:t>
      </w:r>
      <w:r w:rsidR="00D7117A">
        <w:rPr>
          <w:rFonts w:ascii="Times New Roman" w:hAnsi="Times New Roman"/>
          <w:sz w:val="24"/>
          <w:szCs w:val="24"/>
        </w:rPr>
        <w:t>the regime</w:t>
      </w:r>
      <w:r w:rsidR="00D7117A" w:rsidRPr="00241A8E">
        <w:rPr>
          <w:rFonts w:ascii="Times New Roman" w:hAnsi="Times New Roman"/>
          <w:sz w:val="24"/>
          <w:szCs w:val="24"/>
        </w:rPr>
        <w:t xml:space="preserve"> could leverage off </w:t>
      </w:r>
      <w:r w:rsidR="00D7117A">
        <w:rPr>
          <w:rFonts w:ascii="Times New Roman" w:hAnsi="Times New Roman"/>
          <w:sz w:val="24"/>
          <w:szCs w:val="24"/>
        </w:rPr>
        <w:t xml:space="preserve">those rules, by restricting the </w:t>
      </w:r>
      <w:r w:rsidR="00432D90">
        <w:rPr>
          <w:rFonts w:ascii="Times New Roman" w:hAnsi="Times New Roman"/>
          <w:sz w:val="24"/>
          <w:szCs w:val="24"/>
        </w:rPr>
        <w:t xml:space="preserve">New Zealand </w:t>
      </w:r>
      <w:r w:rsidR="00D7117A" w:rsidRPr="00241A8E">
        <w:rPr>
          <w:rFonts w:ascii="Times New Roman" w:hAnsi="Times New Roman"/>
          <w:sz w:val="24"/>
          <w:szCs w:val="24"/>
        </w:rPr>
        <w:t>dividend exclusion to demergers by listed Australian companies that are not treated as a dividend under Australian tax legislation.  This would significantly simplify the necessary legislation and thus the time required to develop it.</w:t>
      </w:r>
      <w:r w:rsidR="00D7117A">
        <w:rPr>
          <w:rFonts w:ascii="Times New Roman" w:hAnsi="Times New Roman"/>
          <w:sz w:val="24"/>
          <w:szCs w:val="24"/>
        </w:rPr>
        <w:t xml:space="preserve"> </w:t>
      </w:r>
      <w:r w:rsidR="005E5F05">
        <w:rPr>
          <w:rFonts w:ascii="Times New Roman" w:hAnsi="Times New Roman"/>
          <w:sz w:val="24"/>
          <w:szCs w:val="24"/>
        </w:rPr>
        <w:t xml:space="preserve"> This option is the only one which would be able to be included in the first </w:t>
      </w:r>
      <w:r w:rsidR="00FE782B">
        <w:rPr>
          <w:rFonts w:ascii="Times New Roman" w:hAnsi="Times New Roman"/>
          <w:sz w:val="24"/>
          <w:szCs w:val="24"/>
        </w:rPr>
        <w:t xml:space="preserve">2017 </w:t>
      </w:r>
      <w:r w:rsidR="005E5F05">
        <w:rPr>
          <w:rFonts w:ascii="Times New Roman" w:hAnsi="Times New Roman"/>
          <w:sz w:val="24"/>
          <w:szCs w:val="24"/>
        </w:rPr>
        <w:t>omnibus tax bill.</w:t>
      </w:r>
    </w:p>
    <w:p w:rsidR="00D7117A" w:rsidRDefault="00D7117A" w:rsidP="00D7117A">
      <w:pPr>
        <w:pStyle w:val="Bullet-list"/>
        <w:spacing w:after="0" w:line="240" w:lineRule="auto"/>
        <w:jc w:val="both"/>
        <w:rPr>
          <w:rFonts w:ascii="Times New Roman" w:hAnsi="Times New Roman"/>
          <w:sz w:val="24"/>
          <w:szCs w:val="24"/>
        </w:rPr>
      </w:pPr>
    </w:p>
    <w:p w:rsidR="00D7117A" w:rsidRPr="005E1E6A" w:rsidRDefault="00293E71" w:rsidP="00982B6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Accordingly</w:t>
      </w:r>
      <w:r w:rsidR="00F3672A">
        <w:rPr>
          <w:rFonts w:ascii="Times New Roman" w:hAnsi="Times New Roman"/>
          <w:sz w:val="24"/>
          <w:szCs w:val="24"/>
        </w:rPr>
        <w:t xml:space="preserve"> this</w:t>
      </w:r>
      <w:r w:rsidR="00D7117A">
        <w:rPr>
          <w:rFonts w:ascii="Times New Roman" w:hAnsi="Times New Roman"/>
          <w:sz w:val="24"/>
          <w:szCs w:val="24"/>
        </w:rPr>
        <w:t xml:space="preserve"> option</w:t>
      </w:r>
      <w:r w:rsidR="00D7117A" w:rsidRPr="003466EF">
        <w:rPr>
          <w:rFonts w:ascii="Times New Roman" w:hAnsi="Times New Roman"/>
          <w:sz w:val="24"/>
          <w:szCs w:val="24"/>
        </w:rPr>
        <w:t xml:space="preserve"> </w:t>
      </w:r>
      <w:r w:rsidR="00F3672A">
        <w:rPr>
          <w:rFonts w:ascii="Times New Roman" w:hAnsi="Times New Roman"/>
          <w:sz w:val="24"/>
          <w:szCs w:val="24"/>
        </w:rPr>
        <w:t xml:space="preserve">best </w:t>
      </w:r>
      <w:r>
        <w:rPr>
          <w:rFonts w:ascii="Times New Roman" w:hAnsi="Times New Roman"/>
          <w:sz w:val="24"/>
          <w:szCs w:val="24"/>
        </w:rPr>
        <w:t>accommodates</w:t>
      </w:r>
      <w:r w:rsidR="00F3672A">
        <w:rPr>
          <w:rFonts w:ascii="Times New Roman" w:hAnsi="Times New Roman"/>
          <w:sz w:val="24"/>
          <w:szCs w:val="24"/>
        </w:rPr>
        <w:t xml:space="preserve"> the current constraints.</w:t>
      </w:r>
      <w:r w:rsidR="00D7117A" w:rsidRPr="003466EF">
        <w:rPr>
          <w:rFonts w:ascii="Times New Roman" w:hAnsi="Times New Roman"/>
          <w:sz w:val="24"/>
          <w:szCs w:val="24"/>
        </w:rPr>
        <w:t xml:space="preserve">  </w:t>
      </w:r>
    </w:p>
    <w:p w:rsidR="002715A1" w:rsidRDefault="002715A1" w:rsidP="005E1E6A">
      <w:pPr>
        <w:pStyle w:val="Bullet-list"/>
        <w:spacing w:after="0" w:line="240" w:lineRule="auto"/>
        <w:ind w:left="0" w:firstLine="0"/>
        <w:jc w:val="both"/>
        <w:rPr>
          <w:rFonts w:ascii="Times New Roman" w:hAnsi="Times New Roman"/>
          <w:sz w:val="24"/>
          <w:szCs w:val="24"/>
        </w:rPr>
      </w:pPr>
    </w:p>
    <w:p w:rsidR="002715A1" w:rsidRPr="002715A1" w:rsidRDefault="002715A1" w:rsidP="00241A8E">
      <w:pPr>
        <w:pStyle w:val="Bullet-list"/>
        <w:spacing w:after="0" w:line="240" w:lineRule="auto"/>
        <w:ind w:left="0" w:firstLine="0"/>
        <w:rPr>
          <w:rFonts w:ascii="Times New Roman" w:hAnsi="Times New Roman"/>
          <w:b/>
          <w:sz w:val="24"/>
          <w:szCs w:val="24"/>
        </w:rPr>
      </w:pPr>
      <w:r w:rsidRPr="002715A1">
        <w:rPr>
          <w:rFonts w:ascii="Times New Roman" w:hAnsi="Times New Roman"/>
          <w:b/>
          <w:sz w:val="24"/>
          <w:szCs w:val="24"/>
        </w:rPr>
        <w:t xml:space="preserve">Option </w:t>
      </w:r>
      <w:r w:rsidR="00F4317C">
        <w:rPr>
          <w:rFonts w:ascii="Times New Roman" w:hAnsi="Times New Roman"/>
          <w:b/>
          <w:sz w:val="24"/>
          <w:szCs w:val="24"/>
        </w:rPr>
        <w:t>4</w:t>
      </w:r>
    </w:p>
    <w:p w:rsidR="00241A8E" w:rsidRPr="00241A8E" w:rsidRDefault="00241A8E" w:rsidP="00241A8E">
      <w:pPr>
        <w:pStyle w:val="Bullet-list"/>
        <w:spacing w:after="0" w:line="240" w:lineRule="auto"/>
        <w:rPr>
          <w:rFonts w:ascii="Times New Roman" w:hAnsi="Times New Roman"/>
          <w:sz w:val="24"/>
          <w:szCs w:val="24"/>
        </w:rPr>
      </w:pPr>
    </w:p>
    <w:p w:rsidR="00E00BEF" w:rsidRDefault="00F4317C" w:rsidP="00982B6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4 would introduce a limited demerger regime applying to all demergers by foreign listed companies</w:t>
      </w:r>
      <w:r w:rsidR="00FD7C43">
        <w:rPr>
          <w:rFonts w:ascii="Times New Roman" w:hAnsi="Times New Roman"/>
          <w:sz w:val="24"/>
          <w:szCs w:val="24"/>
        </w:rPr>
        <w:t xml:space="preserve">.  </w:t>
      </w:r>
      <w:r w:rsidR="00241A8E" w:rsidRPr="00F3672A">
        <w:rPr>
          <w:rFonts w:ascii="Times New Roman" w:hAnsi="Times New Roman"/>
          <w:sz w:val="24"/>
          <w:szCs w:val="24"/>
        </w:rPr>
        <w:t>This regime would be a broader solution to the issue</w:t>
      </w:r>
      <w:r w:rsidR="00E675AE">
        <w:rPr>
          <w:rFonts w:ascii="Times New Roman" w:hAnsi="Times New Roman"/>
          <w:sz w:val="24"/>
          <w:szCs w:val="24"/>
        </w:rPr>
        <w:t xml:space="preserve"> than option </w:t>
      </w:r>
      <w:r w:rsidR="00FD7C43">
        <w:rPr>
          <w:rFonts w:ascii="Times New Roman" w:hAnsi="Times New Roman"/>
          <w:sz w:val="24"/>
          <w:szCs w:val="24"/>
        </w:rPr>
        <w:t>3</w:t>
      </w:r>
      <w:r w:rsidR="00241A8E" w:rsidRPr="00F3672A">
        <w:rPr>
          <w:rFonts w:ascii="Times New Roman" w:hAnsi="Times New Roman"/>
          <w:sz w:val="24"/>
          <w:szCs w:val="24"/>
        </w:rPr>
        <w:t xml:space="preserve">, as it would also cover </w:t>
      </w:r>
      <w:r w:rsidR="00E675AE">
        <w:rPr>
          <w:rFonts w:ascii="Times New Roman" w:hAnsi="Times New Roman"/>
          <w:sz w:val="24"/>
          <w:szCs w:val="24"/>
        </w:rPr>
        <w:t xml:space="preserve">(in addition to shareholders in listed Australian companies) </w:t>
      </w:r>
      <w:r w:rsidR="00241A8E" w:rsidRPr="00F3672A">
        <w:rPr>
          <w:rFonts w:ascii="Times New Roman" w:hAnsi="Times New Roman"/>
          <w:sz w:val="24"/>
          <w:szCs w:val="24"/>
        </w:rPr>
        <w:t>New Zealand shareholders that are not subject to the FIF rules (generally natural persons with foreign investments costing less than $50,000) who invest in foreign companies outside of Australia.</w:t>
      </w:r>
      <w:r w:rsidR="00E00BEF" w:rsidRPr="00F3672A" w:rsidDel="00E00BEF">
        <w:rPr>
          <w:rFonts w:ascii="Times New Roman" w:hAnsi="Times New Roman"/>
          <w:sz w:val="24"/>
          <w:szCs w:val="24"/>
        </w:rPr>
        <w:t xml:space="preserve"> </w:t>
      </w:r>
    </w:p>
    <w:p w:rsidR="00F4317C" w:rsidRDefault="00F4317C" w:rsidP="00F4317C">
      <w:pPr>
        <w:pStyle w:val="Bullet-list"/>
        <w:spacing w:after="0" w:line="240" w:lineRule="auto"/>
        <w:jc w:val="both"/>
        <w:rPr>
          <w:rFonts w:ascii="Times New Roman" w:hAnsi="Times New Roman"/>
          <w:b/>
          <w:i/>
          <w:sz w:val="24"/>
          <w:szCs w:val="24"/>
        </w:rPr>
      </w:pPr>
    </w:p>
    <w:p w:rsidR="00F4317C" w:rsidRDefault="00F4317C" w:rsidP="00F4317C">
      <w:pPr>
        <w:pStyle w:val="Bullet-list"/>
        <w:spacing w:after="0" w:line="240" w:lineRule="auto"/>
        <w:jc w:val="both"/>
        <w:rPr>
          <w:rFonts w:ascii="Times New Roman" w:hAnsi="Times New Roman"/>
          <w:i/>
          <w:sz w:val="24"/>
          <w:szCs w:val="24"/>
        </w:rPr>
      </w:pPr>
      <w:r>
        <w:rPr>
          <w:rFonts w:ascii="Times New Roman" w:hAnsi="Times New Roman"/>
          <w:b/>
          <w:i/>
          <w:sz w:val="24"/>
          <w:szCs w:val="24"/>
        </w:rPr>
        <w:t>Assessment against criteria – Option 4</w:t>
      </w:r>
    </w:p>
    <w:p w:rsidR="00F4317C" w:rsidRDefault="00F4317C" w:rsidP="00F4317C">
      <w:pPr>
        <w:pStyle w:val="Bullet-list"/>
        <w:spacing w:after="0" w:line="240" w:lineRule="auto"/>
        <w:ind w:left="0" w:firstLine="0"/>
        <w:jc w:val="both"/>
        <w:rPr>
          <w:rFonts w:ascii="Times New Roman" w:hAnsi="Times New Roman"/>
          <w:sz w:val="24"/>
          <w:szCs w:val="24"/>
        </w:rPr>
      </w:pPr>
    </w:p>
    <w:p w:rsidR="00F4317C" w:rsidRPr="000C1B58" w:rsidRDefault="00260248" w:rsidP="0036367A">
      <w:pPr>
        <w:pStyle w:val="Bullet-list"/>
        <w:numPr>
          <w:ilvl w:val="0"/>
          <w:numId w:val="3"/>
        </w:numPr>
        <w:tabs>
          <w:tab w:val="clear" w:pos="720"/>
        </w:tabs>
        <w:spacing w:after="0" w:line="240" w:lineRule="auto"/>
        <w:ind w:left="0" w:firstLine="0"/>
        <w:jc w:val="both"/>
        <w:rPr>
          <w:rFonts w:ascii="Times New Roman" w:hAnsi="Times New Roman"/>
          <w:sz w:val="24"/>
          <w:szCs w:val="24"/>
        </w:rPr>
      </w:pPr>
      <w:r w:rsidRPr="000C1B58">
        <w:rPr>
          <w:rFonts w:ascii="Times New Roman" w:hAnsi="Times New Roman"/>
          <w:sz w:val="24"/>
          <w:szCs w:val="24"/>
        </w:rPr>
        <w:t xml:space="preserve">This option is not as conceptually pure as option 2, as it would only address </w:t>
      </w:r>
      <w:r w:rsidR="0036367A" w:rsidRPr="000C1B58">
        <w:rPr>
          <w:rFonts w:ascii="Times New Roman" w:hAnsi="Times New Roman"/>
          <w:sz w:val="24"/>
          <w:szCs w:val="24"/>
        </w:rPr>
        <w:t xml:space="preserve">demergers of foreign companies.  This option is a pragmatic approach that would address the demergers that can cause issues in practice without needing to </w:t>
      </w:r>
      <w:r w:rsidR="001B13F2" w:rsidRPr="000C1B58">
        <w:rPr>
          <w:rFonts w:ascii="Times New Roman" w:hAnsi="Times New Roman"/>
          <w:sz w:val="24"/>
          <w:szCs w:val="24"/>
        </w:rPr>
        <w:t xml:space="preserve">be </w:t>
      </w:r>
      <w:r w:rsidR="0036367A" w:rsidRPr="000C1B58">
        <w:rPr>
          <w:rFonts w:ascii="Times New Roman" w:hAnsi="Times New Roman"/>
          <w:sz w:val="24"/>
          <w:szCs w:val="24"/>
        </w:rPr>
        <w:t xml:space="preserve">as complex as a full demerger regime which includes New Zealand companies.  </w:t>
      </w:r>
      <w:r w:rsidR="000C1B58" w:rsidRPr="000C1B58">
        <w:rPr>
          <w:rFonts w:ascii="Times New Roman" w:hAnsi="Times New Roman"/>
          <w:sz w:val="24"/>
          <w:szCs w:val="24"/>
        </w:rPr>
        <w:t>It would however be a wider approach than option 3, which is targeted at Aus</w:t>
      </w:r>
      <w:r w:rsidR="000C1B58">
        <w:rPr>
          <w:rFonts w:ascii="Times New Roman" w:hAnsi="Times New Roman"/>
          <w:sz w:val="24"/>
          <w:szCs w:val="24"/>
        </w:rPr>
        <w:t xml:space="preserve">tralian listed companies only.  This option can therefore be considered a middle ground between options 2 and 3.  </w:t>
      </w:r>
      <w:r w:rsidR="0036367A" w:rsidRPr="000C1B58">
        <w:rPr>
          <w:rFonts w:ascii="Times New Roman" w:hAnsi="Times New Roman"/>
          <w:sz w:val="24"/>
          <w:szCs w:val="24"/>
        </w:rPr>
        <w:t xml:space="preserve">This option meets the main objective.  </w:t>
      </w:r>
    </w:p>
    <w:p w:rsidR="00F3672A" w:rsidRDefault="00F3672A" w:rsidP="00982B60">
      <w:pPr>
        <w:pStyle w:val="Bullet-list"/>
        <w:spacing w:after="0" w:line="240" w:lineRule="auto"/>
        <w:ind w:left="0" w:firstLine="0"/>
        <w:jc w:val="both"/>
        <w:rPr>
          <w:rFonts w:ascii="Times New Roman" w:hAnsi="Times New Roman"/>
          <w:sz w:val="24"/>
          <w:szCs w:val="24"/>
        </w:rPr>
      </w:pPr>
    </w:p>
    <w:p w:rsidR="00F3672A" w:rsidRPr="00F4317C" w:rsidRDefault="00F3672A">
      <w:pPr>
        <w:pStyle w:val="Bullet-list"/>
        <w:spacing w:after="0" w:line="240" w:lineRule="auto"/>
        <w:ind w:left="0" w:firstLine="0"/>
        <w:jc w:val="both"/>
        <w:rPr>
          <w:rFonts w:ascii="Times New Roman" w:hAnsi="Times New Roman"/>
          <w:i/>
          <w:sz w:val="24"/>
          <w:szCs w:val="24"/>
        </w:rPr>
      </w:pPr>
      <w:r w:rsidRPr="002E19B4">
        <w:rPr>
          <w:rFonts w:ascii="Times New Roman" w:hAnsi="Times New Roman"/>
          <w:i/>
          <w:sz w:val="24"/>
          <w:szCs w:val="24"/>
        </w:rPr>
        <w:t>Economic efficiency</w:t>
      </w:r>
    </w:p>
    <w:p w:rsidR="00F3672A" w:rsidRDefault="00F3672A">
      <w:pPr>
        <w:pStyle w:val="Bullet-list"/>
        <w:spacing w:after="0" w:line="240" w:lineRule="auto"/>
        <w:ind w:left="0" w:firstLine="0"/>
        <w:jc w:val="both"/>
        <w:rPr>
          <w:rFonts w:ascii="Times New Roman" w:hAnsi="Times New Roman"/>
          <w:sz w:val="24"/>
          <w:szCs w:val="24"/>
        </w:rPr>
      </w:pPr>
    </w:p>
    <w:p w:rsidR="00F3672A" w:rsidRDefault="00F3672A" w:rsidP="00F3672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would increase economic efficiency compared with </w:t>
      </w:r>
      <w:r w:rsidR="00FD7C43">
        <w:rPr>
          <w:rFonts w:ascii="Times New Roman" w:hAnsi="Times New Roman"/>
          <w:sz w:val="24"/>
          <w:szCs w:val="24"/>
        </w:rPr>
        <w:t>the status quo</w:t>
      </w:r>
      <w:r>
        <w:rPr>
          <w:rFonts w:ascii="Times New Roman" w:hAnsi="Times New Roman"/>
          <w:sz w:val="24"/>
          <w:szCs w:val="24"/>
        </w:rPr>
        <w:t xml:space="preserve"> due to the broader scope of its dividend exclusion for demergers.  </w:t>
      </w:r>
      <w:r w:rsidR="00FD7C43">
        <w:rPr>
          <w:rFonts w:ascii="Times New Roman" w:hAnsi="Times New Roman"/>
          <w:sz w:val="24"/>
          <w:szCs w:val="24"/>
        </w:rPr>
        <w:t xml:space="preserve">This option would be a larger improvement than option 3 but not as large as option 2.  </w:t>
      </w:r>
      <w:r>
        <w:rPr>
          <w:rFonts w:ascii="Times New Roman" w:hAnsi="Times New Roman"/>
          <w:sz w:val="24"/>
          <w:szCs w:val="24"/>
        </w:rPr>
        <w:t xml:space="preserve">However as noted above, it is Australian demergers </w:t>
      </w:r>
      <w:r w:rsidR="00E675AE">
        <w:rPr>
          <w:rFonts w:ascii="Times New Roman" w:hAnsi="Times New Roman"/>
          <w:sz w:val="24"/>
          <w:szCs w:val="24"/>
        </w:rPr>
        <w:t xml:space="preserve">that are causing </w:t>
      </w:r>
      <w:r>
        <w:rPr>
          <w:rFonts w:ascii="Times New Roman" w:hAnsi="Times New Roman"/>
          <w:sz w:val="24"/>
          <w:szCs w:val="24"/>
        </w:rPr>
        <w:t xml:space="preserve">the problems in practice.   Consequently the increase in economic </w:t>
      </w:r>
      <w:r w:rsidR="00293E71">
        <w:rPr>
          <w:rFonts w:ascii="Times New Roman" w:hAnsi="Times New Roman"/>
          <w:sz w:val="24"/>
          <w:szCs w:val="24"/>
        </w:rPr>
        <w:t>efficiency</w:t>
      </w:r>
      <w:r>
        <w:rPr>
          <w:rFonts w:ascii="Times New Roman" w:hAnsi="Times New Roman"/>
          <w:sz w:val="24"/>
          <w:szCs w:val="24"/>
        </w:rPr>
        <w:t xml:space="preserve"> and fairness over option </w:t>
      </w:r>
      <w:r w:rsidR="003E0B02">
        <w:rPr>
          <w:rFonts w:ascii="Times New Roman" w:hAnsi="Times New Roman"/>
          <w:sz w:val="24"/>
          <w:szCs w:val="24"/>
        </w:rPr>
        <w:t>3</w:t>
      </w:r>
      <w:r>
        <w:rPr>
          <w:rFonts w:ascii="Times New Roman" w:hAnsi="Times New Roman"/>
          <w:sz w:val="24"/>
          <w:szCs w:val="24"/>
        </w:rPr>
        <w:t xml:space="preserve"> does not seem to be </w:t>
      </w:r>
      <w:r w:rsidR="00293E71">
        <w:rPr>
          <w:rFonts w:ascii="Times New Roman" w:hAnsi="Times New Roman"/>
          <w:sz w:val="24"/>
          <w:szCs w:val="24"/>
        </w:rPr>
        <w:t>significant</w:t>
      </w:r>
      <w:r>
        <w:rPr>
          <w:rFonts w:ascii="Times New Roman" w:hAnsi="Times New Roman"/>
          <w:sz w:val="24"/>
          <w:szCs w:val="24"/>
        </w:rPr>
        <w:t>.</w:t>
      </w:r>
    </w:p>
    <w:p w:rsidR="00F3672A" w:rsidRDefault="00F3672A" w:rsidP="00982B60">
      <w:pPr>
        <w:pStyle w:val="Bullet-list"/>
        <w:spacing w:after="0" w:line="240" w:lineRule="auto"/>
        <w:ind w:left="0" w:firstLine="0"/>
        <w:jc w:val="both"/>
        <w:rPr>
          <w:rFonts w:ascii="Times New Roman" w:hAnsi="Times New Roman"/>
          <w:sz w:val="24"/>
          <w:szCs w:val="24"/>
        </w:rPr>
      </w:pPr>
    </w:p>
    <w:p w:rsidR="00F3672A" w:rsidRPr="002E19B4" w:rsidRDefault="00F3672A" w:rsidP="00982B60">
      <w:pPr>
        <w:pStyle w:val="Bullet-list"/>
        <w:spacing w:after="0" w:line="240" w:lineRule="auto"/>
        <w:ind w:left="0" w:firstLine="0"/>
        <w:jc w:val="both"/>
        <w:rPr>
          <w:rFonts w:ascii="Times New Roman" w:hAnsi="Times New Roman"/>
          <w:i/>
          <w:sz w:val="24"/>
          <w:szCs w:val="24"/>
        </w:rPr>
      </w:pPr>
      <w:r w:rsidRPr="002E19B4">
        <w:rPr>
          <w:rFonts w:ascii="Times New Roman" w:hAnsi="Times New Roman"/>
          <w:i/>
          <w:sz w:val="24"/>
          <w:szCs w:val="24"/>
        </w:rPr>
        <w:t>Integrity of the tax system</w:t>
      </w:r>
    </w:p>
    <w:p w:rsidR="00F3672A" w:rsidRDefault="00F3672A" w:rsidP="00982B60">
      <w:pPr>
        <w:pStyle w:val="Bullet-list"/>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p>
    <w:p w:rsidR="00F3672A" w:rsidRDefault="00F3672A" w:rsidP="00F3672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also poses an increased risk to the integrity of the tax system compared with option </w:t>
      </w:r>
      <w:r w:rsidR="00FD7C43">
        <w:rPr>
          <w:rFonts w:ascii="Times New Roman" w:hAnsi="Times New Roman"/>
          <w:sz w:val="24"/>
          <w:szCs w:val="24"/>
        </w:rPr>
        <w:t>3</w:t>
      </w:r>
      <w:r>
        <w:rPr>
          <w:rFonts w:ascii="Times New Roman" w:hAnsi="Times New Roman"/>
          <w:sz w:val="24"/>
          <w:szCs w:val="24"/>
        </w:rPr>
        <w:t xml:space="preserve"> (but not option </w:t>
      </w:r>
      <w:r w:rsidR="00FD7C43">
        <w:rPr>
          <w:rFonts w:ascii="Times New Roman" w:hAnsi="Times New Roman"/>
          <w:sz w:val="24"/>
          <w:szCs w:val="24"/>
        </w:rPr>
        <w:t>2</w:t>
      </w:r>
      <w:r>
        <w:rPr>
          <w:rFonts w:ascii="Times New Roman" w:hAnsi="Times New Roman"/>
          <w:sz w:val="24"/>
          <w:szCs w:val="24"/>
        </w:rPr>
        <w:t>) due to its broader reach. However</w:t>
      </w:r>
      <w:r w:rsidRPr="00241A8E">
        <w:rPr>
          <w:rFonts w:ascii="Times New Roman" w:hAnsi="Times New Roman"/>
          <w:sz w:val="24"/>
          <w:szCs w:val="24"/>
        </w:rPr>
        <w:t xml:space="preserve"> foreign</w:t>
      </w:r>
      <w:r w:rsidR="002C43EF">
        <w:rPr>
          <w:rFonts w:ascii="Times New Roman" w:hAnsi="Times New Roman"/>
          <w:sz w:val="24"/>
          <w:szCs w:val="24"/>
        </w:rPr>
        <w:t>-</w:t>
      </w:r>
      <w:r w:rsidRPr="00241A8E">
        <w:rPr>
          <w:rFonts w:ascii="Times New Roman" w:hAnsi="Times New Roman"/>
          <w:sz w:val="24"/>
          <w:szCs w:val="24"/>
        </w:rPr>
        <w:t xml:space="preserve">listed companies would not structure their demergers </w:t>
      </w:r>
      <w:r w:rsidR="003E0B02">
        <w:rPr>
          <w:rFonts w:ascii="Times New Roman" w:hAnsi="Times New Roman"/>
          <w:sz w:val="24"/>
          <w:szCs w:val="24"/>
        </w:rPr>
        <w:t xml:space="preserve">specifically </w:t>
      </w:r>
      <w:r w:rsidRPr="00241A8E">
        <w:rPr>
          <w:rFonts w:ascii="Times New Roman" w:hAnsi="Times New Roman"/>
          <w:sz w:val="24"/>
          <w:szCs w:val="24"/>
        </w:rPr>
        <w:t>to avoid New Zealand tax</w:t>
      </w:r>
      <w:r>
        <w:rPr>
          <w:rFonts w:ascii="Times New Roman" w:hAnsi="Times New Roman"/>
          <w:sz w:val="24"/>
          <w:szCs w:val="24"/>
        </w:rPr>
        <w:t>.  Consequently this increased risk could be largely mitigated with some anti-avoidance provisions.</w:t>
      </w:r>
    </w:p>
    <w:p w:rsidR="00E07679" w:rsidRDefault="00E07679" w:rsidP="00982B60">
      <w:pPr>
        <w:pStyle w:val="Bullet-list"/>
        <w:spacing w:after="0" w:line="240" w:lineRule="auto"/>
        <w:ind w:left="0" w:firstLine="0"/>
        <w:jc w:val="both"/>
        <w:rPr>
          <w:rFonts w:ascii="Times New Roman" w:hAnsi="Times New Roman"/>
          <w:sz w:val="24"/>
          <w:szCs w:val="24"/>
        </w:rPr>
      </w:pPr>
    </w:p>
    <w:p w:rsidR="00F4317C" w:rsidRDefault="006F462D" w:rsidP="00982B60">
      <w:pPr>
        <w:pStyle w:val="Bullet-list"/>
        <w:spacing w:after="0" w:line="240" w:lineRule="auto"/>
        <w:ind w:left="0" w:firstLine="0"/>
        <w:jc w:val="both"/>
        <w:rPr>
          <w:rFonts w:ascii="Times New Roman" w:hAnsi="Times New Roman"/>
          <w:sz w:val="24"/>
          <w:szCs w:val="24"/>
        </w:rPr>
      </w:pPr>
      <w:r>
        <w:rPr>
          <w:rFonts w:ascii="Times New Roman" w:hAnsi="Times New Roman"/>
          <w:i/>
          <w:sz w:val="24"/>
          <w:szCs w:val="24"/>
        </w:rPr>
        <w:t xml:space="preserve">Fairness and equity </w:t>
      </w:r>
    </w:p>
    <w:p w:rsidR="00F4317C" w:rsidRDefault="00F4317C" w:rsidP="00982B60">
      <w:pPr>
        <w:pStyle w:val="Bullet-list"/>
        <w:spacing w:after="0" w:line="240" w:lineRule="auto"/>
        <w:ind w:left="0" w:firstLine="0"/>
        <w:jc w:val="both"/>
        <w:rPr>
          <w:rFonts w:ascii="Times New Roman" w:hAnsi="Times New Roman"/>
          <w:sz w:val="24"/>
          <w:szCs w:val="24"/>
        </w:rPr>
      </w:pPr>
    </w:p>
    <w:p w:rsidR="003911FE" w:rsidRPr="00AF4763" w:rsidRDefault="00F4317C" w:rsidP="00982B60">
      <w:pPr>
        <w:pStyle w:val="Bullet-list"/>
        <w:numPr>
          <w:ilvl w:val="0"/>
          <w:numId w:val="3"/>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This option is an im</w:t>
      </w:r>
      <w:r w:rsidR="003911FE">
        <w:rPr>
          <w:rFonts w:ascii="Times New Roman" w:hAnsi="Times New Roman"/>
          <w:sz w:val="24"/>
          <w:szCs w:val="24"/>
        </w:rPr>
        <w:t xml:space="preserve">provement over the status quo for shareholders in </w:t>
      </w:r>
      <w:r w:rsidR="00AF4763">
        <w:rPr>
          <w:rFonts w:ascii="Times New Roman" w:hAnsi="Times New Roman"/>
          <w:sz w:val="24"/>
          <w:szCs w:val="24"/>
        </w:rPr>
        <w:t xml:space="preserve">demerged </w:t>
      </w:r>
      <w:r w:rsidR="003911FE">
        <w:rPr>
          <w:rFonts w:ascii="Times New Roman" w:hAnsi="Times New Roman"/>
          <w:sz w:val="24"/>
          <w:szCs w:val="24"/>
        </w:rPr>
        <w:t xml:space="preserve">foreign listed companies, as it would </w:t>
      </w:r>
      <w:r w:rsidR="00432D90">
        <w:rPr>
          <w:rFonts w:ascii="Times New Roman" w:hAnsi="Times New Roman"/>
          <w:sz w:val="24"/>
          <w:szCs w:val="24"/>
        </w:rPr>
        <w:t xml:space="preserve">prevent </w:t>
      </w:r>
      <w:r w:rsidR="00AF4763">
        <w:rPr>
          <w:rFonts w:ascii="Times New Roman" w:hAnsi="Times New Roman"/>
          <w:sz w:val="24"/>
          <w:szCs w:val="24"/>
        </w:rPr>
        <w:t>dividend taxation</w:t>
      </w:r>
      <w:r w:rsidR="002C43EF">
        <w:rPr>
          <w:rFonts w:ascii="Times New Roman" w:hAnsi="Times New Roman"/>
          <w:sz w:val="24"/>
          <w:szCs w:val="24"/>
        </w:rPr>
        <w:t xml:space="preserve"> in genuine demerger situations</w:t>
      </w:r>
      <w:r w:rsidR="00AF4763">
        <w:rPr>
          <w:rFonts w:ascii="Times New Roman" w:hAnsi="Times New Roman"/>
          <w:sz w:val="24"/>
          <w:szCs w:val="24"/>
        </w:rPr>
        <w:t xml:space="preserve">.  </w:t>
      </w:r>
      <w:r w:rsidR="00B3286D">
        <w:rPr>
          <w:rFonts w:ascii="Times New Roman" w:hAnsi="Times New Roman"/>
          <w:sz w:val="24"/>
          <w:szCs w:val="24"/>
        </w:rPr>
        <w:t>This option</w:t>
      </w:r>
      <w:r w:rsidR="00AF4763">
        <w:rPr>
          <w:rFonts w:ascii="Times New Roman" w:hAnsi="Times New Roman"/>
          <w:sz w:val="24"/>
          <w:szCs w:val="24"/>
        </w:rPr>
        <w:t xml:space="preserve"> could result in shareholders in New Zealand companies remaining potentially taxable on a demerger.   However, in practice New Zealand companies usually structure demergers </w:t>
      </w:r>
      <w:r w:rsidR="003E0B02">
        <w:rPr>
          <w:rFonts w:ascii="Times New Roman" w:hAnsi="Times New Roman"/>
          <w:sz w:val="24"/>
          <w:szCs w:val="24"/>
        </w:rPr>
        <w:t>so</w:t>
      </w:r>
      <w:r w:rsidR="00AF4763">
        <w:rPr>
          <w:rFonts w:ascii="Times New Roman" w:hAnsi="Times New Roman"/>
          <w:sz w:val="24"/>
          <w:szCs w:val="24"/>
        </w:rPr>
        <w:t xml:space="preserve"> dividend taxation</w:t>
      </w:r>
      <w:r w:rsidR="003E0B02">
        <w:rPr>
          <w:rFonts w:ascii="Times New Roman" w:hAnsi="Times New Roman"/>
          <w:sz w:val="24"/>
          <w:szCs w:val="24"/>
        </w:rPr>
        <w:t xml:space="preserve"> does not arise</w:t>
      </w:r>
      <w:r w:rsidR="00AF4763">
        <w:rPr>
          <w:rFonts w:ascii="Times New Roman" w:hAnsi="Times New Roman"/>
          <w:sz w:val="24"/>
          <w:szCs w:val="24"/>
        </w:rPr>
        <w:t>.  Consequently this lack of fairness across shareholders does not seem to be so significant in practice.</w:t>
      </w:r>
    </w:p>
    <w:p w:rsidR="003911FE" w:rsidRDefault="003911FE" w:rsidP="00982B60">
      <w:pPr>
        <w:pStyle w:val="Bullet-list"/>
        <w:spacing w:after="0" w:line="240" w:lineRule="auto"/>
        <w:ind w:left="0" w:firstLine="0"/>
        <w:jc w:val="both"/>
        <w:rPr>
          <w:rFonts w:ascii="Times New Roman" w:hAnsi="Times New Roman"/>
          <w:sz w:val="24"/>
          <w:szCs w:val="24"/>
        </w:rPr>
      </w:pPr>
    </w:p>
    <w:p w:rsidR="002F5BB0" w:rsidRPr="00F4317C" w:rsidRDefault="00FD7C43">
      <w:pPr>
        <w:pStyle w:val="Bullet-list"/>
        <w:spacing w:after="0" w:line="240" w:lineRule="auto"/>
        <w:ind w:left="0" w:firstLine="0"/>
        <w:jc w:val="both"/>
        <w:rPr>
          <w:rFonts w:ascii="Times New Roman" w:hAnsi="Times New Roman"/>
          <w:sz w:val="24"/>
          <w:szCs w:val="24"/>
        </w:rPr>
      </w:pPr>
      <w:r>
        <w:rPr>
          <w:rFonts w:ascii="Times New Roman" w:hAnsi="Times New Roman"/>
          <w:i/>
          <w:sz w:val="24"/>
          <w:szCs w:val="24"/>
        </w:rPr>
        <w:t>Constraints</w:t>
      </w:r>
    </w:p>
    <w:p w:rsidR="00F3672A" w:rsidRPr="00F3672A" w:rsidRDefault="00F3672A">
      <w:pPr>
        <w:pStyle w:val="Bullet-list"/>
        <w:spacing w:after="0" w:line="240" w:lineRule="auto"/>
        <w:ind w:left="0" w:firstLine="0"/>
        <w:jc w:val="both"/>
        <w:rPr>
          <w:rFonts w:ascii="Times New Roman" w:hAnsi="Times New Roman"/>
          <w:sz w:val="24"/>
          <w:szCs w:val="24"/>
        </w:rPr>
      </w:pPr>
    </w:p>
    <w:p w:rsidR="00D86B6A" w:rsidRPr="00760A19" w:rsidRDefault="002F5BB0" w:rsidP="00982B6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226221">
        <w:rPr>
          <w:rFonts w:ascii="Times New Roman" w:hAnsi="Times New Roman"/>
          <w:sz w:val="24"/>
          <w:szCs w:val="24"/>
        </w:rPr>
        <w:t xml:space="preserve">Option </w:t>
      </w:r>
      <w:r w:rsidR="00FD7C43">
        <w:rPr>
          <w:rFonts w:ascii="Times New Roman" w:hAnsi="Times New Roman"/>
          <w:sz w:val="24"/>
          <w:szCs w:val="24"/>
        </w:rPr>
        <w:t>4</w:t>
      </w:r>
      <w:r w:rsidR="00241A8E" w:rsidRPr="00226221">
        <w:rPr>
          <w:rFonts w:ascii="Times New Roman" w:hAnsi="Times New Roman"/>
          <w:sz w:val="24"/>
          <w:szCs w:val="24"/>
        </w:rPr>
        <w:t xml:space="preserve"> would</w:t>
      </w:r>
      <w:r w:rsidR="00731209" w:rsidRPr="00226221">
        <w:rPr>
          <w:rFonts w:ascii="Times New Roman" w:hAnsi="Times New Roman"/>
          <w:sz w:val="24"/>
          <w:szCs w:val="24"/>
        </w:rPr>
        <w:t xml:space="preserve"> </w:t>
      </w:r>
      <w:r w:rsidR="00241A8E" w:rsidRPr="00226221">
        <w:rPr>
          <w:rFonts w:ascii="Times New Roman" w:hAnsi="Times New Roman"/>
          <w:sz w:val="24"/>
          <w:szCs w:val="24"/>
        </w:rPr>
        <w:t xml:space="preserve">be more complex than </w:t>
      </w:r>
      <w:r w:rsidR="00731209" w:rsidRPr="00226221">
        <w:rPr>
          <w:rFonts w:ascii="Times New Roman" w:hAnsi="Times New Roman"/>
          <w:sz w:val="24"/>
          <w:szCs w:val="24"/>
        </w:rPr>
        <w:t>a regime</w:t>
      </w:r>
      <w:r w:rsidR="00241A8E" w:rsidRPr="00226221">
        <w:rPr>
          <w:rFonts w:ascii="Times New Roman" w:hAnsi="Times New Roman"/>
          <w:sz w:val="24"/>
          <w:szCs w:val="24"/>
        </w:rPr>
        <w:t xml:space="preserve"> limited to l</w:t>
      </w:r>
      <w:r w:rsidR="00731209" w:rsidRPr="00226221">
        <w:rPr>
          <w:rFonts w:ascii="Times New Roman" w:hAnsi="Times New Roman"/>
          <w:sz w:val="24"/>
          <w:szCs w:val="24"/>
        </w:rPr>
        <w:t>isted Australian companies</w:t>
      </w:r>
      <w:r w:rsidR="00FD7C43">
        <w:rPr>
          <w:rFonts w:ascii="Times New Roman" w:hAnsi="Times New Roman"/>
          <w:sz w:val="24"/>
          <w:szCs w:val="24"/>
        </w:rPr>
        <w:t xml:space="preserve"> (option 3)</w:t>
      </w:r>
      <w:r w:rsidR="00731209" w:rsidRPr="00226221">
        <w:rPr>
          <w:rFonts w:ascii="Times New Roman" w:hAnsi="Times New Roman"/>
          <w:sz w:val="24"/>
          <w:szCs w:val="24"/>
        </w:rPr>
        <w:t>.</w:t>
      </w:r>
      <w:r w:rsidR="00241A8E" w:rsidRPr="00226221">
        <w:rPr>
          <w:rFonts w:ascii="Times New Roman" w:hAnsi="Times New Roman"/>
          <w:sz w:val="24"/>
          <w:szCs w:val="24"/>
        </w:rPr>
        <w:t xml:space="preserve"> </w:t>
      </w:r>
      <w:r w:rsidR="00731209" w:rsidRPr="00226221">
        <w:rPr>
          <w:rFonts w:ascii="Times New Roman" w:hAnsi="Times New Roman"/>
          <w:sz w:val="24"/>
          <w:szCs w:val="24"/>
        </w:rPr>
        <w:t xml:space="preserve"> </w:t>
      </w:r>
      <w:r w:rsidR="0009438D" w:rsidRPr="00226221">
        <w:rPr>
          <w:rFonts w:ascii="Times New Roman" w:hAnsi="Times New Roman"/>
          <w:sz w:val="24"/>
          <w:szCs w:val="24"/>
        </w:rPr>
        <w:t xml:space="preserve">This is because </w:t>
      </w:r>
      <w:r w:rsidR="00B406FA" w:rsidRPr="00226221">
        <w:rPr>
          <w:rFonts w:ascii="Times New Roman" w:hAnsi="Times New Roman"/>
          <w:sz w:val="24"/>
          <w:szCs w:val="24"/>
        </w:rPr>
        <w:t>the regime would need to</w:t>
      </w:r>
      <w:r w:rsidR="0009438D" w:rsidRPr="00226221">
        <w:rPr>
          <w:rFonts w:ascii="Times New Roman" w:hAnsi="Times New Roman"/>
          <w:sz w:val="24"/>
          <w:szCs w:val="24"/>
        </w:rPr>
        <w:t xml:space="preserve"> </w:t>
      </w:r>
      <w:r w:rsidR="000626CA" w:rsidRPr="00226221">
        <w:rPr>
          <w:rFonts w:ascii="Times New Roman" w:hAnsi="Times New Roman"/>
          <w:sz w:val="24"/>
          <w:szCs w:val="24"/>
        </w:rPr>
        <w:t>distinguish</w:t>
      </w:r>
      <w:r w:rsidR="0009438D" w:rsidRPr="00226221">
        <w:rPr>
          <w:rFonts w:ascii="Times New Roman" w:hAnsi="Times New Roman"/>
          <w:sz w:val="24"/>
          <w:szCs w:val="24"/>
        </w:rPr>
        <w:t xml:space="preserve"> between</w:t>
      </w:r>
      <w:r w:rsidR="00B406FA" w:rsidRPr="00226221">
        <w:rPr>
          <w:rFonts w:ascii="Times New Roman" w:hAnsi="Times New Roman"/>
          <w:sz w:val="24"/>
          <w:szCs w:val="24"/>
        </w:rPr>
        <w:t xml:space="preserve"> genuine foreign demergers and</w:t>
      </w:r>
      <w:r w:rsidR="0009438D" w:rsidRPr="00226221">
        <w:rPr>
          <w:rFonts w:ascii="Times New Roman" w:hAnsi="Times New Roman"/>
          <w:sz w:val="24"/>
          <w:szCs w:val="24"/>
        </w:rPr>
        <w:t xml:space="preserve"> demergers that are an in-substance distribution</w:t>
      </w:r>
      <w:r w:rsidR="00D2731A">
        <w:rPr>
          <w:rFonts w:ascii="Times New Roman" w:hAnsi="Times New Roman"/>
          <w:sz w:val="24"/>
          <w:szCs w:val="24"/>
        </w:rPr>
        <w:t>s</w:t>
      </w:r>
      <w:r w:rsidR="0009438D" w:rsidRPr="00226221">
        <w:rPr>
          <w:rFonts w:ascii="Times New Roman" w:hAnsi="Times New Roman"/>
          <w:sz w:val="24"/>
          <w:szCs w:val="24"/>
        </w:rPr>
        <w:t xml:space="preserve"> of income</w:t>
      </w:r>
      <w:r w:rsidR="00E07679" w:rsidRPr="00226221">
        <w:rPr>
          <w:rFonts w:ascii="Times New Roman" w:hAnsi="Times New Roman"/>
          <w:sz w:val="24"/>
          <w:szCs w:val="24"/>
        </w:rPr>
        <w:t xml:space="preserve"> </w:t>
      </w:r>
      <w:r w:rsidR="00B406FA" w:rsidRPr="00226221">
        <w:rPr>
          <w:rFonts w:ascii="Times New Roman" w:hAnsi="Times New Roman"/>
          <w:sz w:val="24"/>
          <w:szCs w:val="24"/>
        </w:rPr>
        <w:t>(</w:t>
      </w:r>
      <w:r w:rsidR="0009438D" w:rsidRPr="00226221">
        <w:rPr>
          <w:rFonts w:ascii="Times New Roman" w:hAnsi="Times New Roman"/>
          <w:sz w:val="24"/>
          <w:szCs w:val="24"/>
        </w:rPr>
        <w:t>which should</w:t>
      </w:r>
      <w:r w:rsidR="00B406FA" w:rsidRPr="00226221">
        <w:rPr>
          <w:rFonts w:ascii="Times New Roman" w:hAnsi="Times New Roman"/>
          <w:sz w:val="24"/>
          <w:szCs w:val="24"/>
        </w:rPr>
        <w:t xml:space="preserve"> </w:t>
      </w:r>
      <w:r w:rsidR="0009438D" w:rsidRPr="00226221">
        <w:rPr>
          <w:rFonts w:ascii="Times New Roman" w:hAnsi="Times New Roman"/>
          <w:sz w:val="24"/>
          <w:szCs w:val="24"/>
        </w:rPr>
        <w:t>be taxed</w:t>
      </w:r>
      <w:r w:rsidR="00B406FA" w:rsidRPr="00226221">
        <w:rPr>
          <w:rFonts w:ascii="Times New Roman" w:hAnsi="Times New Roman"/>
          <w:sz w:val="24"/>
          <w:szCs w:val="24"/>
        </w:rPr>
        <w:t xml:space="preserve"> in New Zealand)</w:t>
      </w:r>
      <w:r w:rsidR="00D2731A">
        <w:rPr>
          <w:rFonts w:ascii="Times New Roman" w:hAnsi="Times New Roman"/>
          <w:sz w:val="24"/>
          <w:szCs w:val="24"/>
        </w:rPr>
        <w:t xml:space="preserve"> to shareholders</w:t>
      </w:r>
      <w:r w:rsidR="0009438D" w:rsidRPr="00226221">
        <w:rPr>
          <w:rFonts w:ascii="Times New Roman" w:hAnsi="Times New Roman"/>
          <w:sz w:val="24"/>
          <w:szCs w:val="24"/>
        </w:rPr>
        <w:t>.</w:t>
      </w:r>
      <w:r w:rsidR="00B406FA" w:rsidRPr="00226221">
        <w:rPr>
          <w:rFonts w:ascii="Times New Roman" w:hAnsi="Times New Roman"/>
          <w:sz w:val="24"/>
          <w:szCs w:val="24"/>
        </w:rPr>
        <w:t xml:space="preserve">  As the regime would apply to demergers by companies in multiple jurisdictions, </w:t>
      </w:r>
      <w:r w:rsidR="00FD7C43">
        <w:rPr>
          <w:rFonts w:ascii="Times New Roman" w:hAnsi="Times New Roman"/>
          <w:sz w:val="24"/>
          <w:szCs w:val="24"/>
        </w:rPr>
        <w:t>it</w:t>
      </w:r>
      <w:r w:rsidR="00B406FA" w:rsidRPr="00226221">
        <w:rPr>
          <w:rFonts w:ascii="Times New Roman" w:hAnsi="Times New Roman"/>
          <w:sz w:val="24"/>
          <w:szCs w:val="24"/>
        </w:rPr>
        <w:t xml:space="preserve"> could not simply </w:t>
      </w:r>
      <w:r w:rsidR="00830B8C">
        <w:rPr>
          <w:rFonts w:ascii="Times New Roman" w:hAnsi="Times New Roman"/>
          <w:sz w:val="24"/>
          <w:szCs w:val="24"/>
        </w:rPr>
        <w:t>use</w:t>
      </w:r>
      <w:r w:rsidR="00B406FA" w:rsidRPr="00226221">
        <w:rPr>
          <w:rFonts w:ascii="Times New Roman" w:hAnsi="Times New Roman"/>
          <w:sz w:val="24"/>
          <w:szCs w:val="24"/>
        </w:rPr>
        <w:t xml:space="preserve"> one co</w:t>
      </w:r>
      <w:r w:rsidR="00792CAF">
        <w:rPr>
          <w:rFonts w:ascii="Times New Roman" w:hAnsi="Times New Roman"/>
          <w:sz w:val="24"/>
          <w:szCs w:val="24"/>
        </w:rPr>
        <w:t>untry’s existing anti-avoidance</w:t>
      </w:r>
      <w:r w:rsidR="00B406FA" w:rsidRPr="00226221">
        <w:rPr>
          <w:rFonts w:ascii="Times New Roman" w:hAnsi="Times New Roman"/>
          <w:sz w:val="24"/>
          <w:szCs w:val="24"/>
        </w:rPr>
        <w:t xml:space="preserve"> rules (as can </w:t>
      </w:r>
      <w:r w:rsidR="00FD7C43">
        <w:rPr>
          <w:rFonts w:ascii="Times New Roman" w:hAnsi="Times New Roman"/>
          <w:sz w:val="24"/>
          <w:szCs w:val="24"/>
        </w:rPr>
        <w:t xml:space="preserve">be </w:t>
      </w:r>
      <w:r w:rsidR="00B406FA" w:rsidRPr="00226221">
        <w:rPr>
          <w:rFonts w:ascii="Times New Roman" w:hAnsi="Times New Roman"/>
          <w:sz w:val="24"/>
          <w:szCs w:val="24"/>
        </w:rPr>
        <w:t>do</w:t>
      </w:r>
      <w:r w:rsidR="00FD7C43">
        <w:rPr>
          <w:rFonts w:ascii="Times New Roman" w:hAnsi="Times New Roman"/>
          <w:sz w:val="24"/>
          <w:szCs w:val="24"/>
        </w:rPr>
        <w:t>ne</w:t>
      </w:r>
      <w:r w:rsidR="00B406FA" w:rsidRPr="00226221">
        <w:rPr>
          <w:rFonts w:ascii="Times New Roman" w:hAnsi="Times New Roman"/>
          <w:sz w:val="24"/>
          <w:szCs w:val="24"/>
        </w:rPr>
        <w:t xml:space="preserve"> for a demerger regime limited to Australian listed companies).  Option </w:t>
      </w:r>
      <w:r w:rsidR="00FD7C43">
        <w:rPr>
          <w:rFonts w:ascii="Times New Roman" w:hAnsi="Times New Roman"/>
          <w:sz w:val="24"/>
          <w:szCs w:val="24"/>
        </w:rPr>
        <w:t>4</w:t>
      </w:r>
      <w:r w:rsidR="00B406FA" w:rsidRPr="00226221">
        <w:rPr>
          <w:rFonts w:ascii="Times New Roman" w:hAnsi="Times New Roman"/>
          <w:sz w:val="24"/>
          <w:szCs w:val="24"/>
        </w:rPr>
        <w:t xml:space="preserve"> would therefore be more time consuming</w:t>
      </w:r>
      <w:r w:rsidR="00E07679" w:rsidRPr="00226221">
        <w:rPr>
          <w:rFonts w:ascii="Times New Roman" w:hAnsi="Times New Roman"/>
          <w:sz w:val="24"/>
          <w:szCs w:val="24"/>
        </w:rPr>
        <w:t xml:space="preserve"> </w:t>
      </w:r>
      <w:r w:rsidR="00B406FA" w:rsidRPr="00226221">
        <w:rPr>
          <w:rFonts w:ascii="Times New Roman" w:hAnsi="Times New Roman"/>
          <w:sz w:val="24"/>
          <w:szCs w:val="24"/>
        </w:rPr>
        <w:t>to develop</w:t>
      </w:r>
      <w:r w:rsidR="00E07679" w:rsidRPr="00226221">
        <w:rPr>
          <w:rFonts w:ascii="Times New Roman" w:hAnsi="Times New Roman"/>
          <w:sz w:val="24"/>
          <w:szCs w:val="24"/>
        </w:rPr>
        <w:t xml:space="preserve"> than option </w:t>
      </w:r>
      <w:r w:rsidR="00FD7C43">
        <w:rPr>
          <w:rFonts w:ascii="Times New Roman" w:hAnsi="Times New Roman"/>
          <w:sz w:val="24"/>
          <w:szCs w:val="24"/>
        </w:rPr>
        <w:t>3</w:t>
      </w:r>
      <w:r w:rsidR="00B406FA" w:rsidRPr="00226221">
        <w:rPr>
          <w:rFonts w:ascii="Times New Roman" w:hAnsi="Times New Roman"/>
          <w:sz w:val="24"/>
          <w:szCs w:val="24"/>
        </w:rPr>
        <w:t xml:space="preserve"> (although less so than option </w:t>
      </w:r>
      <w:r w:rsidR="00FD7C43">
        <w:rPr>
          <w:rFonts w:ascii="Times New Roman" w:hAnsi="Times New Roman"/>
          <w:sz w:val="24"/>
          <w:szCs w:val="24"/>
        </w:rPr>
        <w:t>2</w:t>
      </w:r>
      <w:r w:rsidR="00B406FA" w:rsidRPr="00226221">
        <w:rPr>
          <w:rFonts w:ascii="Times New Roman" w:hAnsi="Times New Roman"/>
          <w:sz w:val="24"/>
          <w:szCs w:val="24"/>
        </w:rPr>
        <w:t>).</w:t>
      </w:r>
      <w:r w:rsidR="0009438D" w:rsidRPr="00226221">
        <w:rPr>
          <w:rFonts w:ascii="Times New Roman" w:hAnsi="Times New Roman"/>
          <w:sz w:val="24"/>
          <w:szCs w:val="24"/>
        </w:rPr>
        <w:t xml:space="preserve">  </w:t>
      </w:r>
      <w:r w:rsidR="00E07679" w:rsidRPr="00226221">
        <w:rPr>
          <w:rFonts w:ascii="Times New Roman" w:hAnsi="Times New Roman"/>
          <w:sz w:val="24"/>
          <w:szCs w:val="24"/>
        </w:rPr>
        <w:t xml:space="preserve">While this impact on constraints is not fatal to option </w:t>
      </w:r>
      <w:r w:rsidR="00FD7C43">
        <w:rPr>
          <w:rFonts w:ascii="Times New Roman" w:hAnsi="Times New Roman"/>
          <w:sz w:val="24"/>
          <w:szCs w:val="24"/>
        </w:rPr>
        <w:t>4</w:t>
      </w:r>
      <w:r w:rsidR="0009438D" w:rsidRPr="00226221">
        <w:rPr>
          <w:rFonts w:ascii="Times New Roman" w:hAnsi="Times New Roman"/>
          <w:sz w:val="24"/>
          <w:szCs w:val="24"/>
        </w:rPr>
        <w:t xml:space="preserve">, </w:t>
      </w:r>
      <w:r w:rsidR="00E07679" w:rsidRPr="00226221">
        <w:rPr>
          <w:rFonts w:ascii="Times New Roman" w:hAnsi="Times New Roman"/>
          <w:sz w:val="24"/>
          <w:szCs w:val="24"/>
        </w:rPr>
        <w:t xml:space="preserve">there is a </w:t>
      </w:r>
      <w:r w:rsidR="00293E71" w:rsidRPr="00226221">
        <w:rPr>
          <w:rFonts w:ascii="Times New Roman" w:hAnsi="Times New Roman"/>
          <w:sz w:val="24"/>
          <w:szCs w:val="24"/>
        </w:rPr>
        <w:t>significant</w:t>
      </w:r>
      <w:r w:rsidR="00E07679" w:rsidRPr="00226221">
        <w:rPr>
          <w:rFonts w:ascii="Times New Roman" w:hAnsi="Times New Roman"/>
          <w:sz w:val="24"/>
          <w:szCs w:val="24"/>
        </w:rPr>
        <w:t xml:space="preserve"> risk of </w:t>
      </w:r>
      <w:r w:rsidR="00FD7C43">
        <w:rPr>
          <w:rFonts w:ascii="Times New Roman" w:hAnsi="Times New Roman"/>
          <w:sz w:val="24"/>
          <w:szCs w:val="24"/>
        </w:rPr>
        <w:t>officials</w:t>
      </w:r>
      <w:r w:rsidR="00E07679" w:rsidRPr="00226221">
        <w:rPr>
          <w:rFonts w:ascii="Times New Roman" w:hAnsi="Times New Roman"/>
          <w:sz w:val="24"/>
          <w:szCs w:val="24"/>
        </w:rPr>
        <w:t xml:space="preserve"> being unable to </w:t>
      </w:r>
      <w:r w:rsidR="002A7FE3" w:rsidRPr="00226221">
        <w:rPr>
          <w:rFonts w:ascii="Times New Roman" w:hAnsi="Times New Roman"/>
          <w:sz w:val="24"/>
          <w:szCs w:val="24"/>
        </w:rPr>
        <w:t>develop legislation</w:t>
      </w:r>
      <w:r w:rsidR="00E07679" w:rsidRPr="00226221">
        <w:rPr>
          <w:rFonts w:ascii="Times New Roman" w:hAnsi="Times New Roman"/>
          <w:sz w:val="24"/>
          <w:szCs w:val="24"/>
        </w:rPr>
        <w:t xml:space="preserve"> for option </w:t>
      </w:r>
      <w:r w:rsidR="00FD7C43">
        <w:rPr>
          <w:rFonts w:ascii="Times New Roman" w:hAnsi="Times New Roman"/>
          <w:sz w:val="24"/>
          <w:szCs w:val="24"/>
        </w:rPr>
        <w:t>4</w:t>
      </w:r>
      <w:r w:rsidR="00E07679" w:rsidRPr="00226221">
        <w:rPr>
          <w:rFonts w:ascii="Times New Roman" w:hAnsi="Times New Roman"/>
          <w:sz w:val="24"/>
          <w:szCs w:val="24"/>
        </w:rPr>
        <w:t xml:space="preserve"> in time</w:t>
      </w:r>
      <w:r w:rsidR="002A7FE3" w:rsidRPr="00226221">
        <w:rPr>
          <w:rFonts w:ascii="Times New Roman" w:hAnsi="Times New Roman"/>
          <w:sz w:val="24"/>
          <w:szCs w:val="24"/>
        </w:rPr>
        <w:t xml:space="preserve"> for the first </w:t>
      </w:r>
      <w:r w:rsidR="003E0B02">
        <w:rPr>
          <w:rFonts w:ascii="Times New Roman" w:hAnsi="Times New Roman"/>
          <w:sz w:val="24"/>
          <w:szCs w:val="24"/>
        </w:rPr>
        <w:t xml:space="preserve">2017 </w:t>
      </w:r>
      <w:r w:rsidR="002A7FE3" w:rsidRPr="00226221">
        <w:rPr>
          <w:rFonts w:ascii="Times New Roman" w:hAnsi="Times New Roman"/>
          <w:sz w:val="24"/>
          <w:szCs w:val="24"/>
        </w:rPr>
        <w:t xml:space="preserve">omnibus </w:t>
      </w:r>
      <w:r w:rsidR="003E0B02">
        <w:rPr>
          <w:rFonts w:ascii="Times New Roman" w:hAnsi="Times New Roman"/>
          <w:sz w:val="24"/>
          <w:szCs w:val="24"/>
        </w:rPr>
        <w:t xml:space="preserve">tax </w:t>
      </w:r>
      <w:r w:rsidR="002A7FE3" w:rsidRPr="00226221">
        <w:rPr>
          <w:rFonts w:ascii="Times New Roman" w:hAnsi="Times New Roman"/>
          <w:sz w:val="24"/>
          <w:szCs w:val="24"/>
        </w:rPr>
        <w:t>bill.</w:t>
      </w:r>
      <w:r w:rsidR="003B43D9" w:rsidRPr="00226221">
        <w:rPr>
          <w:rFonts w:ascii="Times New Roman" w:hAnsi="Times New Roman"/>
          <w:sz w:val="24"/>
          <w:szCs w:val="24"/>
        </w:rPr>
        <w:t xml:space="preserve">  </w:t>
      </w:r>
    </w:p>
    <w:p w:rsidR="000B00E6" w:rsidRPr="00DB19E0" w:rsidRDefault="000B00E6" w:rsidP="000B00E6">
      <w:pPr>
        <w:pStyle w:val="Bullet-list"/>
        <w:spacing w:after="0" w:line="240" w:lineRule="auto"/>
        <w:ind w:left="0" w:firstLine="0"/>
        <w:jc w:val="both"/>
        <w:rPr>
          <w:rFonts w:ascii="Times New Roman" w:hAnsi="Times New Roman"/>
          <w:sz w:val="24"/>
          <w:szCs w:val="24"/>
        </w:rPr>
      </w:pPr>
    </w:p>
    <w:p w:rsidR="000B00E6" w:rsidRPr="00FD7C43" w:rsidRDefault="000B00E6" w:rsidP="000B00E6">
      <w:pPr>
        <w:pStyle w:val="BodyText1"/>
        <w:tabs>
          <w:tab w:val="left" w:pos="567"/>
        </w:tabs>
        <w:jc w:val="both"/>
        <w:rPr>
          <w:rFonts w:ascii="Times New Roman" w:hAnsi="Times New Roman" w:cs="Times New Roman"/>
          <w:sz w:val="24"/>
          <w:szCs w:val="24"/>
        </w:rPr>
      </w:pPr>
      <w:r w:rsidRPr="002E19B4">
        <w:rPr>
          <w:rFonts w:ascii="Times New Roman" w:hAnsi="Times New Roman" w:cs="Times New Roman"/>
          <w:b/>
          <w:sz w:val="24"/>
          <w:szCs w:val="24"/>
        </w:rPr>
        <w:t>Fiscal costs</w:t>
      </w:r>
    </w:p>
    <w:p w:rsidR="00024FE2" w:rsidRDefault="00024FE2" w:rsidP="00024FE2">
      <w:pPr>
        <w:pStyle w:val="Bullet-list"/>
        <w:spacing w:after="0" w:line="240" w:lineRule="auto"/>
        <w:ind w:left="0" w:firstLine="0"/>
        <w:jc w:val="both"/>
        <w:rPr>
          <w:rFonts w:ascii="Times New Roman" w:hAnsi="Times New Roman"/>
          <w:sz w:val="24"/>
          <w:szCs w:val="24"/>
        </w:rPr>
      </w:pPr>
    </w:p>
    <w:p w:rsidR="008A6645" w:rsidRDefault="000B00E6" w:rsidP="00982B6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w:t>
      </w:r>
      <w:r w:rsidR="00EB77F8">
        <w:rPr>
          <w:rFonts w:ascii="Times New Roman" w:hAnsi="Times New Roman"/>
          <w:sz w:val="24"/>
          <w:szCs w:val="24"/>
        </w:rPr>
        <w:t>3</w:t>
      </w:r>
      <w:r>
        <w:rPr>
          <w:rFonts w:ascii="Times New Roman" w:hAnsi="Times New Roman"/>
          <w:sz w:val="24"/>
          <w:szCs w:val="24"/>
        </w:rPr>
        <w:t xml:space="preserve"> </w:t>
      </w:r>
      <w:r w:rsidRPr="003466EF">
        <w:rPr>
          <w:rFonts w:ascii="Times New Roman" w:hAnsi="Times New Roman"/>
          <w:sz w:val="24"/>
          <w:szCs w:val="24"/>
        </w:rPr>
        <w:t>will have a fiscal cost, as New Zealand shareholders will no longer derive income on the demerger of Australian listed companies.</w:t>
      </w:r>
      <w:r w:rsidR="008A6645">
        <w:rPr>
          <w:rFonts w:ascii="Times New Roman" w:hAnsi="Times New Roman"/>
          <w:sz w:val="24"/>
          <w:szCs w:val="24"/>
        </w:rPr>
        <w:t xml:space="preserve">  This fiscal cost is the lowest out of the </w:t>
      </w:r>
      <w:r w:rsidR="00432D90">
        <w:rPr>
          <w:rFonts w:ascii="Times New Roman" w:hAnsi="Times New Roman"/>
          <w:sz w:val="24"/>
          <w:szCs w:val="24"/>
        </w:rPr>
        <w:t>three</w:t>
      </w:r>
      <w:r w:rsidR="008A6645">
        <w:rPr>
          <w:rFonts w:ascii="Times New Roman" w:hAnsi="Times New Roman"/>
          <w:sz w:val="24"/>
          <w:szCs w:val="24"/>
        </w:rPr>
        <w:t xml:space="preserve"> options</w:t>
      </w:r>
      <w:r w:rsidR="00EB77F8">
        <w:rPr>
          <w:rFonts w:ascii="Times New Roman" w:hAnsi="Times New Roman"/>
          <w:sz w:val="24"/>
          <w:szCs w:val="24"/>
        </w:rPr>
        <w:t xml:space="preserve"> other than the status quo</w:t>
      </w:r>
      <w:r w:rsidR="008A6645">
        <w:rPr>
          <w:rFonts w:ascii="Times New Roman" w:hAnsi="Times New Roman"/>
          <w:sz w:val="24"/>
          <w:szCs w:val="24"/>
        </w:rPr>
        <w:t xml:space="preserve">, as option </w:t>
      </w:r>
      <w:r w:rsidR="00EB77F8">
        <w:rPr>
          <w:rFonts w:ascii="Times New Roman" w:hAnsi="Times New Roman"/>
          <w:sz w:val="24"/>
          <w:szCs w:val="24"/>
        </w:rPr>
        <w:t>3</w:t>
      </w:r>
      <w:r w:rsidR="008A6645">
        <w:rPr>
          <w:rFonts w:ascii="Times New Roman" w:hAnsi="Times New Roman"/>
          <w:sz w:val="24"/>
          <w:szCs w:val="24"/>
        </w:rPr>
        <w:t xml:space="preserve"> has the narrowest scope and the lowest integrity risk.  </w:t>
      </w:r>
    </w:p>
    <w:p w:rsidR="008A6645" w:rsidRDefault="008A6645" w:rsidP="00982B60">
      <w:pPr>
        <w:pStyle w:val="Bullet-list"/>
        <w:spacing w:after="0" w:line="240" w:lineRule="auto"/>
        <w:ind w:left="0" w:firstLine="0"/>
        <w:jc w:val="both"/>
        <w:rPr>
          <w:rFonts w:ascii="Times New Roman" w:hAnsi="Times New Roman"/>
          <w:sz w:val="24"/>
          <w:szCs w:val="24"/>
        </w:rPr>
      </w:pPr>
    </w:p>
    <w:p w:rsidR="00792CAF" w:rsidRPr="00792CAF" w:rsidRDefault="000B00E6" w:rsidP="00792CA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8A6645">
        <w:rPr>
          <w:rFonts w:ascii="Times New Roman" w:hAnsi="Times New Roman"/>
          <w:sz w:val="24"/>
          <w:szCs w:val="24"/>
        </w:rPr>
        <w:t xml:space="preserve">It is impossible to accurately estimate the fiscal cost, as the number and size of Australian demergers varies from year to </w:t>
      </w:r>
      <w:r w:rsidRPr="000E09FF">
        <w:rPr>
          <w:rFonts w:ascii="Times New Roman" w:hAnsi="Times New Roman"/>
          <w:sz w:val="24"/>
          <w:szCs w:val="24"/>
        </w:rPr>
        <w:t xml:space="preserve">year and Inland Revenue does not record the income returned by New Zealand shareholders on such demergers.  </w:t>
      </w:r>
      <w:r w:rsidR="000E09FF" w:rsidRPr="000E09FF">
        <w:rPr>
          <w:rFonts w:ascii="Times New Roman" w:hAnsi="Times New Roman"/>
          <w:sz w:val="24"/>
          <w:szCs w:val="24"/>
        </w:rPr>
        <w:t>Officials do not anticipate a material impact on tax revenue baselines.</w:t>
      </w:r>
      <w:r w:rsidR="000E09FF">
        <w:t xml:space="preserve">  </w:t>
      </w:r>
    </w:p>
    <w:p w:rsidR="000545DC" w:rsidRPr="004342F0" w:rsidRDefault="00D943DD" w:rsidP="004342F0">
      <w:pPr>
        <w:pStyle w:val="RISheading"/>
        <w:rPr>
          <w:spacing w:val="0"/>
          <w:w w:val="100"/>
        </w:rPr>
      </w:pPr>
      <w:bookmarkStart w:id="23" w:name="_Toc244580366"/>
      <w:bookmarkStart w:id="24" w:name="_Toc244587042"/>
      <w:bookmarkStart w:id="25" w:name="_Toc244857276"/>
      <w:bookmarkStart w:id="26" w:name="_Toc244912541"/>
      <w:bookmarkStart w:id="27" w:name="_Toc244916998"/>
      <w:r w:rsidRPr="004342F0">
        <w:rPr>
          <w:spacing w:val="0"/>
          <w:w w:val="100"/>
        </w:rPr>
        <w:t>CONSULTATION</w:t>
      </w:r>
      <w:bookmarkEnd w:id="23"/>
      <w:bookmarkEnd w:id="24"/>
      <w:bookmarkEnd w:id="25"/>
      <w:bookmarkEnd w:id="26"/>
      <w:bookmarkEnd w:id="27"/>
    </w:p>
    <w:p w:rsidR="004B274F" w:rsidRDefault="00DB19E0" w:rsidP="004B274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Treasury has been consulted and agree with </w:t>
      </w:r>
      <w:r w:rsidRPr="00DB19E0">
        <w:rPr>
          <w:rFonts w:ascii="Times New Roman" w:hAnsi="Times New Roman"/>
          <w:sz w:val="24"/>
          <w:szCs w:val="24"/>
        </w:rPr>
        <w:t>Inland Revenue</w:t>
      </w:r>
      <w:r>
        <w:rPr>
          <w:rFonts w:ascii="Times New Roman" w:hAnsi="Times New Roman"/>
          <w:sz w:val="24"/>
          <w:szCs w:val="24"/>
        </w:rPr>
        <w:t>’s recommendations.</w:t>
      </w:r>
      <w:r w:rsidR="000B00E6">
        <w:rPr>
          <w:rFonts w:ascii="Times New Roman" w:hAnsi="Times New Roman"/>
          <w:sz w:val="24"/>
          <w:szCs w:val="24"/>
        </w:rPr>
        <w:t xml:space="preserve">  </w:t>
      </w:r>
    </w:p>
    <w:p w:rsidR="004B274F" w:rsidRPr="004B274F" w:rsidRDefault="004B274F" w:rsidP="004B274F">
      <w:pPr>
        <w:pStyle w:val="Bullet-list"/>
        <w:spacing w:after="0" w:line="240" w:lineRule="auto"/>
        <w:ind w:left="0" w:firstLine="0"/>
        <w:jc w:val="both"/>
        <w:rPr>
          <w:rFonts w:ascii="Times New Roman" w:hAnsi="Times New Roman"/>
          <w:sz w:val="24"/>
          <w:szCs w:val="24"/>
        </w:rPr>
      </w:pPr>
    </w:p>
    <w:p w:rsidR="004B274F" w:rsidRPr="004B274F" w:rsidRDefault="004B274F" w:rsidP="004B274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B274F">
        <w:rPr>
          <w:rFonts w:ascii="Times New Roman" w:hAnsi="Times New Roman"/>
          <w:sz w:val="24"/>
          <w:szCs w:val="24"/>
        </w:rPr>
        <w:t xml:space="preserve">Formal consultation has not yet taken place; however the issue was originally raised by the NZSA and the Securities Industry Association.  Accordingly </w:t>
      </w:r>
      <w:r w:rsidR="00EB77F8">
        <w:rPr>
          <w:rFonts w:ascii="Times New Roman" w:hAnsi="Times New Roman"/>
          <w:sz w:val="24"/>
          <w:szCs w:val="24"/>
        </w:rPr>
        <w:t>officials</w:t>
      </w:r>
      <w:r w:rsidRPr="004B274F">
        <w:rPr>
          <w:rFonts w:ascii="Times New Roman" w:hAnsi="Times New Roman"/>
          <w:sz w:val="24"/>
          <w:szCs w:val="24"/>
        </w:rPr>
        <w:t xml:space="preserve"> are aware of the views of the private sector on this issue.     </w:t>
      </w:r>
    </w:p>
    <w:p w:rsidR="004B274F" w:rsidRDefault="004B274F" w:rsidP="004B274F">
      <w:pPr>
        <w:pStyle w:val="Bullet-list"/>
        <w:spacing w:after="0" w:line="240" w:lineRule="auto"/>
        <w:ind w:left="0" w:firstLine="0"/>
        <w:jc w:val="both"/>
        <w:rPr>
          <w:rFonts w:ascii="Times New Roman" w:hAnsi="Times New Roman"/>
          <w:sz w:val="24"/>
          <w:szCs w:val="24"/>
        </w:rPr>
      </w:pPr>
    </w:p>
    <w:p w:rsidR="004B274F" w:rsidRPr="004B274F" w:rsidRDefault="004B274F" w:rsidP="004B274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B274F">
        <w:rPr>
          <w:rFonts w:ascii="Times New Roman" w:hAnsi="Times New Roman"/>
          <w:sz w:val="24"/>
          <w:szCs w:val="24"/>
        </w:rPr>
        <w:t>The NZSA supports the introduction of a limited demerger regime which excludes all demergers by foreign listed companies from dividend taxation</w:t>
      </w:r>
      <w:r w:rsidR="00432D90">
        <w:rPr>
          <w:rFonts w:ascii="Times New Roman" w:hAnsi="Times New Roman"/>
          <w:sz w:val="24"/>
          <w:szCs w:val="24"/>
        </w:rPr>
        <w:t xml:space="preserve"> (option 4)</w:t>
      </w:r>
      <w:r w:rsidRPr="004B274F">
        <w:rPr>
          <w:rFonts w:ascii="Times New Roman" w:hAnsi="Times New Roman"/>
          <w:sz w:val="24"/>
          <w:szCs w:val="24"/>
        </w:rPr>
        <w:t xml:space="preserve">.  However the NZSA focussed on the issues caused by Australian demergers in their correspondence with us, and </w:t>
      </w:r>
      <w:r w:rsidR="00EB77F8">
        <w:rPr>
          <w:rFonts w:ascii="Times New Roman" w:hAnsi="Times New Roman"/>
          <w:sz w:val="24"/>
          <w:szCs w:val="24"/>
        </w:rPr>
        <w:t>officials’</w:t>
      </w:r>
      <w:r w:rsidRPr="004B274F">
        <w:rPr>
          <w:rFonts w:ascii="Times New Roman" w:hAnsi="Times New Roman"/>
          <w:sz w:val="24"/>
          <w:szCs w:val="24"/>
        </w:rPr>
        <w:t xml:space="preserve"> interactions with the private sector indicate that option </w:t>
      </w:r>
      <w:r w:rsidR="00EB77F8">
        <w:rPr>
          <w:rFonts w:ascii="Times New Roman" w:hAnsi="Times New Roman"/>
          <w:sz w:val="24"/>
          <w:szCs w:val="24"/>
        </w:rPr>
        <w:t>3</w:t>
      </w:r>
      <w:r w:rsidRPr="004B274F">
        <w:rPr>
          <w:rFonts w:ascii="Times New Roman" w:hAnsi="Times New Roman"/>
          <w:sz w:val="24"/>
          <w:szCs w:val="24"/>
        </w:rPr>
        <w:t xml:space="preserve"> would also be well-received given the timeliness of the solution, and the fact that it would address the private sector’s primary concern </w:t>
      </w:r>
      <w:r w:rsidR="00206622">
        <w:rPr>
          <w:rFonts w:ascii="Times New Roman" w:hAnsi="Times New Roman"/>
          <w:sz w:val="24"/>
          <w:szCs w:val="24"/>
        </w:rPr>
        <w:t xml:space="preserve">in practice </w:t>
      </w:r>
      <w:r w:rsidRPr="004B274F">
        <w:rPr>
          <w:rFonts w:ascii="Times New Roman" w:hAnsi="Times New Roman"/>
          <w:sz w:val="24"/>
          <w:szCs w:val="24"/>
        </w:rPr>
        <w:t xml:space="preserve">(demergers by listed Australian companies). </w:t>
      </w:r>
    </w:p>
    <w:p w:rsidR="004B274F" w:rsidRDefault="004B274F" w:rsidP="004B274F">
      <w:pPr>
        <w:pStyle w:val="Bullet-list"/>
        <w:spacing w:after="0" w:line="240" w:lineRule="auto"/>
        <w:ind w:left="0" w:firstLine="0"/>
        <w:jc w:val="both"/>
        <w:rPr>
          <w:rFonts w:ascii="Times New Roman" w:hAnsi="Times New Roman"/>
          <w:sz w:val="24"/>
          <w:szCs w:val="24"/>
        </w:rPr>
      </w:pPr>
    </w:p>
    <w:p w:rsidR="00137237" w:rsidRDefault="004B274F" w:rsidP="003E4296">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sidRPr="00680D97">
        <w:rPr>
          <w:rFonts w:ascii="Times New Roman" w:hAnsi="Times New Roman"/>
          <w:sz w:val="24"/>
          <w:szCs w:val="24"/>
        </w:rPr>
        <w:t xml:space="preserve">Inland Revenue has not yet consulted more widely on the proposals.  </w:t>
      </w:r>
      <w:r w:rsidRPr="00137237">
        <w:rPr>
          <w:rFonts w:ascii="Times New Roman" w:hAnsi="Times New Roman"/>
          <w:sz w:val="24"/>
          <w:szCs w:val="24"/>
        </w:rPr>
        <w:t xml:space="preserve">However, </w:t>
      </w:r>
      <w:r w:rsidR="00EB77F8" w:rsidRPr="00137237">
        <w:rPr>
          <w:rFonts w:ascii="Times New Roman" w:hAnsi="Times New Roman"/>
          <w:sz w:val="24"/>
          <w:szCs w:val="24"/>
        </w:rPr>
        <w:t>officials</w:t>
      </w:r>
      <w:r w:rsidRPr="00137237">
        <w:rPr>
          <w:rFonts w:ascii="Times New Roman" w:hAnsi="Times New Roman"/>
          <w:sz w:val="24"/>
          <w:szCs w:val="24"/>
        </w:rPr>
        <w:t xml:space="preserve"> intend to undertake further targeted consultation with the private sector on the detail of the demerger regime</w:t>
      </w:r>
      <w:r w:rsidR="008F0412">
        <w:rPr>
          <w:rFonts w:ascii="Times New Roman" w:hAnsi="Times New Roman"/>
          <w:sz w:val="24"/>
          <w:szCs w:val="24"/>
        </w:rPr>
        <w:t xml:space="preserve"> before introduction of the first omnibus taxation bill in 2017</w:t>
      </w:r>
      <w:r w:rsidRPr="00137237">
        <w:rPr>
          <w:rFonts w:ascii="Times New Roman" w:hAnsi="Times New Roman"/>
          <w:sz w:val="24"/>
          <w:szCs w:val="24"/>
        </w:rPr>
        <w:t>.</w:t>
      </w:r>
      <w:r w:rsidR="008F0412">
        <w:rPr>
          <w:rFonts w:ascii="Times New Roman" w:hAnsi="Times New Roman"/>
          <w:sz w:val="24"/>
          <w:szCs w:val="24"/>
        </w:rPr>
        <w:t xml:space="preserve"> </w:t>
      </w:r>
      <w:r w:rsidRPr="00137237">
        <w:rPr>
          <w:rFonts w:ascii="Times New Roman" w:hAnsi="Times New Roman"/>
          <w:sz w:val="24"/>
          <w:szCs w:val="24"/>
        </w:rPr>
        <w:t xml:space="preserve"> </w:t>
      </w:r>
      <w:r w:rsidR="00137237" w:rsidRPr="00137237">
        <w:rPr>
          <w:rFonts w:ascii="Times New Roman" w:hAnsi="Times New Roman"/>
          <w:sz w:val="24"/>
          <w:szCs w:val="24"/>
        </w:rPr>
        <w:t>Details to be decided through the consultation process include:</w:t>
      </w:r>
    </w:p>
    <w:p w:rsidR="00DE6378" w:rsidRDefault="00DE6378" w:rsidP="003E4296">
      <w:pPr>
        <w:pStyle w:val="Bullet-list"/>
        <w:numPr>
          <w:ilvl w:val="0"/>
          <w:numId w:val="22"/>
        </w:numPr>
        <w:spacing w:line="240" w:lineRule="auto"/>
        <w:jc w:val="both"/>
        <w:rPr>
          <w:rFonts w:ascii="Times New Roman" w:hAnsi="Times New Roman"/>
          <w:sz w:val="24"/>
          <w:szCs w:val="24"/>
        </w:rPr>
      </w:pPr>
      <w:r w:rsidRPr="00137237">
        <w:rPr>
          <w:rFonts w:ascii="Times New Roman" w:hAnsi="Times New Roman"/>
          <w:sz w:val="24"/>
          <w:szCs w:val="24"/>
        </w:rPr>
        <w:t>how the available subscribed capital in the distributing company is to be divided between the original share in the distributing company and the newly held share in the demerged company</w:t>
      </w:r>
      <w:r>
        <w:rPr>
          <w:rFonts w:ascii="Times New Roman" w:hAnsi="Times New Roman"/>
          <w:sz w:val="24"/>
          <w:szCs w:val="24"/>
        </w:rPr>
        <w:t>;</w:t>
      </w:r>
      <w:r w:rsidRPr="00DE6378">
        <w:rPr>
          <w:rFonts w:ascii="Times New Roman" w:hAnsi="Times New Roman"/>
          <w:sz w:val="24"/>
          <w:szCs w:val="24"/>
          <w:lang w:val="en-GB"/>
        </w:rPr>
        <w:t xml:space="preserve"> and</w:t>
      </w:r>
    </w:p>
    <w:p w:rsidR="00DE6378" w:rsidRPr="00DE6378" w:rsidRDefault="00DE6378" w:rsidP="00DE6378">
      <w:pPr>
        <w:pStyle w:val="Bullet-list"/>
        <w:numPr>
          <w:ilvl w:val="0"/>
          <w:numId w:val="22"/>
        </w:numPr>
        <w:spacing w:after="0" w:line="240" w:lineRule="auto"/>
        <w:jc w:val="both"/>
        <w:rPr>
          <w:rFonts w:ascii="Times New Roman" w:hAnsi="Times New Roman"/>
          <w:sz w:val="24"/>
          <w:szCs w:val="24"/>
        </w:rPr>
      </w:pPr>
      <w:r>
        <w:rPr>
          <w:rFonts w:ascii="Times New Roman" w:hAnsi="Times New Roman"/>
          <w:sz w:val="24"/>
          <w:szCs w:val="24"/>
          <w:lang w:val="en-GB"/>
        </w:rPr>
        <w:t xml:space="preserve">how </w:t>
      </w:r>
      <w:r w:rsidRPr="00DE6378">
        <w:rPr>
          <w:rFonts w:ascii="Times New Roman" w:hAnsi="Times New Roman"/>
          <w:sz w:val="24"/>
          <w:szCs w:val="24"/>
          <w:lang w:val="en-GB"/>
        </w:rPr>
        <w:t>the cost base of the original share</w:t>
      </w:r>
      <w:r>
        <w:rPr>
          <w:rFonts w:ascii="Times New Roman" w:hAnsi="Times New Roman"/>
          <w:sz w:val="24"/>
          <w:szCs w:val="24"/>
          <w:lang w:val="en-GB"/>
        </w:rPr>
        <w:t xml:space="preserve"> </w:t>
      </w:r>
      <w:r w:rsidRPr="00137237">
        <w:rPr>
          <w:rFonts w:ascii="Times New Roman" w:hAnsi="Times New Roman"/>
          <w:sz w:val="24"/>
          <w:szCs w:val="24"/>
        </w:rPr>
        <w:t>in the distributing company is to be divided between the original share in the distributing company and the newly held share in the demerged company</w:t>
      </w:r>
      <w:r>
        <w:rPr>
          <w:rFonts w:ascii="Times New Roman" w:hAnsi="Times New Roman"/>
          <w:sz w:val="24"/>
          <w:szCs w:val="24"/>
        </w:rPr>
        <w:t>.</w:t>
      </w:r>
    </w:p>
    <w:p w:rsidR="00137237" w:rsidRDefault="00137237" w:rsidP="00137237">
      <w:pPr>
        <w:pStyle w:val="ListParagraph"/>
        <w:rPr>
          <w:rFonts w:ascii="Times New Roman" w:hAnsi="Times New Roman"/>
          <w:sz w:val="24"/>
          <w:szCs w:val="24"/>
          <w:highlight w:val="yellow"/>
        </w:rPr>
      </w:pPr>
    </w:p>
    <w:p w:rsidR="009B2F6E" w:rsidRPr="00680D97" w:rsidRDefault="004B274F" w:rsidP="00680D97">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B274F">
        <w:rPr>
          <w:rFonts w:ascii="Times New Roman" w:hAnsi="Times New Roman"/>
          <w:sz w:val="24"/>
          <w:szCs w:val="24"/>
        </w:rPr>
        <w:t>This consultation will include the NZSA, the Securities Industry Association, the Corporate Taxpayer</w:t>
      </w:r>
      <w:r w:rsidR="00F11142">
        <w:rPr>
          <w:rFonts w:ascii="Times New Roman" w:hAnsi="Times New Roman"/>
          <w:sz w:val="24"/>
          <w:szCs w:val="24"/>
        </w:rPr>
        <w:t>s</w:t>
      </w:r>
      <w:r w:rsidRPr="004B274F">
        <w:rPr>
          <w:rFonts w:ascii="Times New Roman" w:hAnsi="Times New Roman"/>
          <w:sz w:val="24"/>
          <w:szCs w:val="24"/>
        </w:rPr>
        <w:t xml:space="preserve"> Group, Chartered Accountants Australia and New Zealand</w:t>
      </w:r>
      <w:r w:rsidR="00CE182A">
        <w:rPr>
          <w:rFonts w:ascii="Times New Roman" w:hAnsi="Times New Roman"/>
          <w:sz w:val="24"/>
          <w:szCs w:val="24"/>
        </w:rPr>
        <w:t>, and the New Zealand Law Society.</w:t>
      </w:r>
      <w:r w:rsidR="00EB77F8">
        <w:rPr>
          <w:rFonts w:ascii="Times New Roman" w:hAnsi="Times New Roman"/>
          <w:sz w:val="24"/>
          <w:szCs w:val="24"/>
        </w:rPr>
        <w:t xml:space="preserve">  Changes arising from this consultation </w:t>
      </w:r>
      <w:r w:rsidR="00CE182A">
        <w:rPr>
          <w:rFonts w:ascii="Times New Roman" w:hAnsi="Times New Roman"/>
          <w:sz w:val="24"/>
          <w:szCs w:val="24"/>
        </w:rPr>
        <w:t xml:space="preserve">can </w:t>
      </w:r>
      <w:r w:rsidR="00EB77F8">
        <w:rPr>
          <w:rFonts w:ascii="Times New Roman" w:hAnsi="Times New Roman"/>
          <w:sz w:val="24"/>
          <w:szCs w:val="24"/>
        </w:rPr>
        <w:t xml:space="preserve">be incorporated into the proposals </w:t>
      </w:r>
      <w:r w:rsidR="00680D97">
        <w:rPr>
          <w:rFonts w:ascii="Times New Roman" w:hAnsi="Times New Roman"/>
          <w:sz w:val="24"/>
          <w:szCs w:val="24"/>
        </w:rPr>
        <w:t>before the introduction of the bill</w:t>
      </w:r>
      <w:r w:rsidR="00913A62">
        <w:rPr>
          <w:rFonts w:ascii="Times New Roman" w:hAnsi="Times New Roman"/>
          <w:sz w:val="24"/>
          <w:szCs w:val="24"/>
        </w:rPr>
        <w:t xml:space="preserve">.  </w:t>
      </w:r>
    </w:p>
    <w:p w:rsidR="000545DC" w:rsidRPr="004342F0" w:rsidRDefault="00D943DD" w:rsidP="004342F0">
      <w:pPr>
        <w:pStyle w:val="RISheading"/>
        <w:rPr>
          <w:spacing w:val="0"/>
          <w:w w:val="100"/>
        </w:rPr>
      </w:pPr>
      <w:bookmarkStart w:id="28" w:name="_Preferred_option_[optional]"/>
      <w:bookmarkStart w:id="29" w:name="_Toc244580367"/>
      <w:bookmarkStart w:id="30" w:name="_Toc244587043"/>
      <w:bookmarkStart w:id="31" w:name="_Toc244857277"/>
      <w:bookmarkStart w:id="32" w:name="_Toc244912542"/>
      <w:bookmarkStart w:id="33" w:name="_Toc244916999"/>
      <w:bookmarkEnd w:id="28"/>
      <w:r w:rsidRPr="004342F0">
        <w:rPr>
          <w:spacing w:val="0"/>
          <w:w w:val="100"/>
        </w:rPr>
        <w:t>CONCLUSIONS AND RECOMMENDATIONS</w:t>
      </w:r>
      <w:bookmarkEnd w:id="29"/>
      <w:bookmarkEnd w:id="30"/>
      <w:bookmarkEnd w:id="31"/>
      <w:bookmarkEnd w:id="32"/>
      <w:bookmarkEnd w:id="33"/>
    </w:p>
    <w:p w:rsidR="00EB77F8" w:rsidRDefault="00EB77F8" w:rsidP="00FD7C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following table summarises the consideration of the options from the regulatory analysis section above.  Within the overview table the following symbols are used:</w:t>
      </w:r>
    </w:p>
    <w:p w:rsidR="00EB77F8" w:rsidRDefault="00EB77F8" w:rsidP="00EB77F8">
      <w:pPr>
        <w:pStyle w:val="Bullet-list"/>
        <w:spacing w:after="0" w:line="240" w:lineRule="auto"/>
        <w:ind w:left="0" w:firstLine="0"/>
        <w:jc w:val="both"/>
        <w:rPr>
          <w:rFonts w:ascii="Times New Roman" w:hAnsi="Times New Roman"/>
          <w:b/>
          <w:sz w:val="24"/>
          <w:szCs w:val="24"/>
        </w:rPr>
      </w:pPr>
    </w:p>
    <w:p w:rsidR="00EB77F8" w:rsidRPr="00FB52C8" w:rsidRDefault="00EB77F8" w:rsidP="00EB77F8">
      <w:pPr>
        <w:spacing w:after="0"/>
        <w:ind w:left="2268"/>
        <w:rPr>
          <w:rFonts w:ascii="Times New Roman" w:eastAsiaTheme="minorHAnsi" w:hAnsi="Times New Roman"/>
          <w:sz w:val="24"/>
          <w:szCs w:val="24"/>
        </w:rPr>
      </w:pPr>
      <w:r w:rsidRPr="00FB52C8">
        <w:rPr>
          <w:rFonts w:ascii="Wingdings 2" w:eastAsiaTheme="minorHAnsi" w:hAnsi="Wingdings 2"/>
          <w:szCs w:val="24"/>
          <w:lang w:eastAsia="en-US"/>
        </w:rPr>
        <w:t></w:t>
      </w:r>
      <w:r w:rsidRPr="00FB52C8">
        <w:rPr>
          <w:rFonts w:ascii="Wingdings 2" w:eastAsiaTheme="minorHAnsi" w:hAnsi="Wingdings 2"/>
          <w:szCs w:val="24"/>
          <w:lang w:eastAsia="en-US"/>
        </w:rPr>
        <w:t></w:t>
      </w:r>
      <w:r w:rsidRPr="00FB52C8">
        <w:rPr>
          <w:rFonts w:ascii="Wingdings 2" w:eastAsiaTheme="minorHAnsi" w:hAnsi="Wingdings 2"/>
          <w:szCs w:val="24"/>
          <w:lang w:eastAsia="en-US"/>
        </w:rPr>
        <w:tab/>
      </w:r>
      <w:r w:rsidRPr="00FB52C8">
        <w:rPr>
          <w:rFonts w:ascii="Times New Roman" w:eastAsiaTheme="minorHAnsi" w:hAnsi="Times New Roman"/>
          <w:sz w:val="24"/>
          <w:szCs w:val="24"/>
        </w:rPr>
        <w:t>Significantly better than the status quo</w:t>
      </w:r>
    </w:p>
    <w:p w:rsidR="00EB77F8" w:rsidRPr="00FB52C8" w:rsidRDefault="00EB77F8" w:rsidP="00EB77F8">
      <w:pPr>
        <w:pStyle w:val="ListParagraph"/>
        <w:numPr>
          <w:ilvl w:val="0"/>
          <w:numId w:val="21"/>
        </w:numPr>
        <w:ind w:left="2835" w:hanging="567"/>
        <w:rPr>
          <w:rFonts w:ascii="Times New Roman" w:eastAsiaTheme="minorHAnsi" w:hAnsi="Times New Roman"/>
          <w:sz w:val="24"/>
          <w:szCs w:val="24"/>
        </w:rPr>
      </w:pPr>
      <w:r w:rsidRPr="00FB52C8">
        <w:rPr>
          <w:rFonts w:ascii="Times New Roman" w:eastAsiaTheme="minorHAnsi" w:hAnsi="Times New Roman"/>
          <w:sz w:val="24"/>
          <w:szCs w:val="24"/>
        </w:rPr>
        <w:t>Better than the status quo</w:t>
      </w:r>
    </w:p>
    <w:p w:rsidR="00EB77F8" w:rsidRPr="00A57E40" w:rsidRDefault="00EB77F8" w:rsidP="00EB77F8">
      <w:pPr>
        <w:pStyle w:val="ListParagraph"/>
        <w:numPr>
          <w:ilvl w:val="0"/>
          <w:numId w:val="20"/>
        </w:numPr>
        <w:ind w:left="2268" w:firstLine="0"/>
        <w:rPr>
          <w:rFonts w:ascii="Times New Roman" w:eastAsiaTheme="minorHAnsi" w:hAnsi="Times New Roman"/>
          <w:sz w:val="24"/>
          <w:szCs w:val="24"/>
        </w:rPr>
      </w:pPr>
      <w:r w:rsidRPr="00A57E40">
        <w:rPr>
          <w:rFonts w:ascii="Times New Roman" w:eastAsiaTheme="minorHAnsi" w:hAnsi="Times New Roman"/>
          <w:sz w:val="24"/>
          <w:szCs w:val="24"/>
        </w:rPr>
        <w:t xml:space="preserve">No better than the status quo </w:t>
      </w:r>
    </w:p>
    <w:p w:rsidR="00EB77F8" w:rsidRPr="00A57E40" w:rsidRDefault="00EB77F8" w:rsidP="00EB77F8">
      <w:pPr>
        <w:spacing w:after="0" w:line="240" w:lineRule="auto"/>
        <w:ind w:left="2268"/>
        <w:contextualSpacing/>
        <w:jc w:val="both"/>
        <w:rPr>
          <w:rFonts w:ascii="Times New Roman" w:eastAsiaTheme="minorHAnsi" w:hAnsi="Times New Roman"/>
          <w:sz w:val="24"/>
          <w:szCs w:val="24"/>
          <w:lang w:val="en-NZ" w:eastAsia="en-US"/>
        </w:rPr>
      </w:pP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ab/>
      </w:r>
      <w:r w:rsidRPr="00A57E40">
        <w:rPr>
          <w:rFonts w:ascii="Times New Roman" w:eastAsiaTheme="minorHAnsi" w:hAnsi="Times New Roman"/>
          <w:sz w:val="24"/>
          <w:szCs w:val="24"/>
          <w:lang w:val="en-NZ" w:eastAsia="en-US"/>
        </w:rPr>
        <w:t xml:space="preserve">Worse than the status quo </w:t>
      </w:r>
    </w:p>
    <w:p w:rsidR="00EB77F8" w:rsidRDefault="00EB77F8" w:rsidP="00EB77F8">
      <w:pPr>
        <w:pStyle w:val="Bullet-list"/>
        <w:spacing w:after="0" w:line="240" w:lineRule="auto"/>
        <w:ind w:left="0" w:firstLine="0"/>
        <w:rPr>
          <w:rFonts w:ascii="Times New Roman" w:hAnsi="Times New Roman"/>
          <w:b/>
          <w:sz w:val="24"/>
          <w:szCs w:val="24"/>
        </w:rPr>
      </w:pPr>
    </w:p>
    <w:p w:rsidR="00024FE2" w:rsidRDefault="00024FE2">
      <w:pPr>
        <w:spacing w:after="0" w:line="240" w:lineRule="auto"/>
        <w:rPr>
          <w:rFonts w:ascii="Times New Roman" w:hAnsi="Times New Roman"/>
          <w:b/>
          <w:sz w:val="24"/>
          <w:szCs w:val="24"/>
          <w:lang w:val="en-AU" w:eastAsia="en-US"/>
        </w:rPr>
      </w:pPr>
      <w:r>
        <w:rPr>
          <w:rFonts w:ascii="Times New Roman" w:hAnsi="Times New Roman"/>
          <w:b/>
          <w:sz w:val="24"/>
          <w:szCs w:val="24"/>
        </w:rPr>
        <w:br w:type="page"/>
      </w:r>
    </w:p>
    <w:p w:rsidR="00913A62" w:rsidRDefault="00913A62" w:rsidP="00EB77F8">
      <w:pPr>
        <w:pStyle w:val="Bullet-list"/>
        <w:spacing w:after="0" w:line="240" w:lineRule="auto"/>
        <w:ind w:left="0" w:firstLine="0"/>
        <w:rPr>
          <w:rFonts w:ascii="Times New Roman" w:hAnsi="Times New Roman"/>
          <w:b/>
          <w:sz w:val="24"/>
          <w:szCs w:val="24"/>
        </w:rPr>
      </w:pP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EB77F8" w:rsidRPr="00A57E40" w:rsidTr="00116B67">
        <w:tc>
          <w:tcPr>
            <w:tcW w:w="4643" w:type="dxa"/>
          </w:tcPr>
          <w:p w:rsidR="00EB77F8" w:rsidRPr="00A57E40" w:rsidRDefault="00EB77F8" w:rsidP="00116B67">
            <w:pPr>
              <w:pStyle w:val="TRNormal"/>
              <w:tabs>
                <w:tab w:val="left" w:pos="567"/>
              </w:tabs>
              <w:spacing w:line="240" w:lineRule="auto"/>
              <w:rPr>
                <w:b/>
                <w:sz w:val="22"/>
              </w:rPr>
            </w:pPr>
            <w:r w:rsidRPr="00A57E40">
              <w:rPr>
                <w:b/>
                <w:sz w:val="22"/>
              </w:rPr>
              <w:t>Options</w:t>
            </w:r>
          </w:p>
        </w:tc>
        <w:tc>
          <w:tcPr>
            <w:tcW w:w="4644" w:type="dxa"/>
          </w:tcPr>
          <w:p w:rsidR="00EB77F8" w:rsidRPr="00A57E40" w:rsidRDefault="00EB77F8" w:rsidP="00116B67">
            <w:pPr>
              <w:pStyle w:val="TRNormal"/>
              <w:tabs>
                <w:tab w:val="left" w:pos="567"/>
              </w:tabs>
              <w:spacing w:line="240" w:lineRule="auto"/>
              <w:rPr>
                <w:b/>
                <w:sz w:val="22"/>
              </w:rPr>
            </w:pPr>
            <w:r w:rsidRPr="00A57E40">
              <w:rPr>
                <w:b/>
                <w:sz w:val="22"/>
              </w:rPr>
              <w:t>Analysis against the objective and criteria</w:t>
            </w:r>
          </w:p>
        </w:tc>
      </w:tr>
      <w:tr w:rsidR="00EB77F8" w:rsidRPr="00A57E40" w:rsidTr="00116B67">
        <w:tc>
          <w:tcPr>
            <w:tcW w:w="4643" w:type="dxa"/>
          </w:tcPr>
          <w:p w:rsidR="00EB77F8" w:rsidRPr="00A57E40" w:rsidRDefault="00EB77F8" w:rsidP="00116B67">
            <w:pPr>
              <w:pStyle w:val="TRNormal"/>
              <w:tabs>
                <w:tab w:val="left" w:pos="567"/>
              </w:tabs>
              <w:spacing w:line="240" w:lineRule="auto"/>
              <w:rPr>
                <w:sz w:val="22"/>
              </w:rPr>
            </w:pPr>
            <w:r w:rsidRPr="00A57E40">
              <w:rPr>
                <w:sz w:val="22"/>
              </w:rPr>
              <w:t>Option 1 – Status quo</w:t>
            </w:r>
          </w:p>
        </w:tc>
        <w:tc>
          <w:tcPr>
            <w:tcW w:w="4644" w:type="dxa"/>
          </w:tcPr>
          <w:p w:rsidR="00EB77F8" w:rsidRPr="00A57E40" w:rsidRDefault="00EB77F8" w:rsidP="00116B67">
            <w:pPr>
              <w:pStyle w:val="TRNormal"/>
              <w:tabs>
                <w:tab w:val="left" w:pos="567"/>
              </w:tabs>
              <w:spacing w:line="240" w:lineRule="auto"/>
              <w:rPr>
                <w:sz w:val="22"/>
              </w:rPr>
            </w:pPr>
            <w:r w:rsidRPr="00A57E40">
              <w:rPr>
                <w:sz w:val="22"/>
              </w:rPr>
              <w:t>Does not meet the main objective</w:t>
            </w:r>
          </w:p>
        </w:tc>
      </w:tr>
      <w:tr w:rsidR="00EB77F8" w:rsidRPr="00A57E40" w:rsidTr="00116B67">
        <w:tc>
          <w:tcPr>
            <w:tcW w:w="4643" w:type="dxa"/>
          </w:tcPr>
          <w:p w:rsidR="00EB77F8" w:rsidRPr="00A57E40" w:rsidRDefault="00EB77F8" w:rsidP="00EB77F8">
            <w:pPr>
              <w:pStyle w:val="TRNormal"/>
              <w:tabs>
                <w:tab w:val="left" w:pos="567"/>
              </w:tabs>
              <w:spacing w:line="240" w:lineRule="auto"/>
              <w:rPr>
                <w:sz w:val="22"/>
              </w:rPr>
            </w:pPr>
            <w:r w:rsidRPr="00A57E40">
              <w:rPr>
                <w:sz w:val="22"/>
              </w:rPr>
              <w:t xml:space="preserve">Option 2 – </w:t>
            </w:r>
            <w:r>
              <w:rPr>
                <w:sz w:val="22"/>
              </w:rPr>
              <w:t>Full demerger regime</w:t>
            </w:r>
          </w:p>
        </w:tc>
        <w:tc>
          <w:tcPr>
            <w:tcW w:w="4644" w:type="dxa"/>
          </w:tcPr>
          <w:p w:rsidR="00EB77F8" w:rsidRPr="00A57E40" w:rsidRDefault="00EB77F8" w:rsidP="00116B67">
            <w:pPr>
              <w:pStyle w:val="TRNormal"/>
              <w:tabs>
                <w:tab w:val="left" w:pos="567"/>
              </w:tabs>
              <w:spacing w:line="240" w:lineRule="auto"/>
              <w:rPr>
                <w:sz w:val="22"/>
              </w:rPr>
            </w:pPr>
            <w:r>
              <w:rPr>
                <w:sz w:val="22"/>
              </w:rPr>
              <w:t>M</w:t>
            </w:r>
            <w:r w:rsidRPr="00A57E40">
              <w:rPr>
                <w:sz w:val="22"/>
              </w:rPr>
              <w:t>eet</w:t>
            </w:r>
            <w:r>
              <w:rPr>
                <w:sz w:val="22"/>
              </w:rPr>
              <w:t>s</w:t>
            </w:r>
            <w:r w:rsidRPr="00A57E40">
              <w:rPr>
                <w:sz w:val="22"/>
              </w:rPr>
              <w:t xml:space="preserve"> the main objective </w:t>
            </w:r>
          </w:p>
          <w:p w:rsidR="00EB77F8" w:rsidRPr="00A57E40" w:rsidRDefault="00EB77F8" w:rsidP="00116B67">
            <w:pPr>
              <w:pStyle w:val="TRNormal"/>
              <w:tabs>
                <w:tab w:val="left" w:pos="567"/>
              </w:tabs>
              <w:spacing w:line="240" w:lineRule="auto"/>
              <w:rPr>
                <w:sz w:val="22"/>
              </w:rPr>
            </w:pPr>
          </w:p>
          <w:p w:rsidR="00EB77F8" w:rsidRPr="00A57E40" w:rsidRDefault="00EB77F8" w:rsidP="00116B67">
            <w:pPr>
              <w:pStyle w:val="TRNormal"/>
              <w:tabs>
                <w:tab w:val="left" w:pos="567"/>
              </w:tabs>
              <w:spacing w:line="240" w:lineRule="auto"/>
              <w:rPr>
                <w:sz w:val="22"/>
              </w:rPr>
            </w:pPr>
            <w:r>
              <w:rPr>
                <w:sz w:val="22"/>
              </w:rPr>
              <w:t>Economic efficiency</w:t>
            </w:r>
            <w:r w:rsidRPr="00A57E40">
              <w:rPr>
                <w:sz w:val="22"/>
              </w:rPr>
              <w:t xml:space="preserve"> </w:t>
            </w:r>
            <w:r w:rsidRPr="00A57E40">
              <w:rPr>
                <w:rFonts w:ascii="Wingdings 2" w:eastAsiaTheme="minorHAnsi" w:hAnsi="Wingdings 2"/>
                <w:szCs w:val="24"/>
                <w:lang w:eastAsia="en-US"/>
              </w:rPr>
              <w:t></w:t>
            </w:r>
            <w:r w:rsidR="0066762B" w:rsidRPr="00A57E40">
              <w:rPr>
                <w:rFonts w:ascii="Wingdings 2" w:eastAsiaTheme="minorHAnsi" w:hAnsi="Wingdings 2"/>
                <w:szCs w:val="24"/>
                <w:lang w:eastAsia="en-US"/>
              </w:rPr>
              <w:t></w:t>
            </w:r>
          </w:p>
          <w:p w:rsidR="00EB77F8" w:rsidRPr="00A57E40" w:rsidRDefault="0066762B" w:rsidP="00116B67">
            <w:pPr>
              <w:pStyle w:val="TRNormal"/>
              <w:tabs>
                <w:tab w:val="left" w:pos="567"/>
              </w:tabs>
              <w:spacing w:line="240" w:lineRule="auto"/>
              <w:rPr>
                <w:rFonts w:ascii="Wingdings 2" w:eastAsiaTheme="minorHAnsi" w:hAnsi="Wingdings 2"/>
                <w:szCs w:val="24"/>
                <w:lang w:eastAsia="en-US"/>
              </w:rPr>
            </w:pPr>
            <w:r>
              <w:rPr>
                <w:sz w:val="22"/>
              </w:rPr>
              <w:t>Integrity of the tax system</w:t>
            </w:r>
            <w:r w:rsidR="00EB77F8" w:rsidRPr="00A57E40">
              <w:rPr>
                <w:sz w:val="22"/>
              </w:rPr>
              <w:t xml:space="preserve"> </w:t>
            </w:r>
            <w:r w:rsidRPr="00A57E40">
              <w:rPr>
                <w:rFonts w:ascii="Wingdings 2" w:eastAsiaTheme="minorHAnsi" w:hAnsi="Wingdings 2"/>
                <w:szCs w:val="24"/>
                <w:lang w:eastAsia="en-US"/>
              </w:rPr>
              <w:t></w:t>
            </w:r>
            <w:r w:rsidRPr="00A57E40">
              <w:rPr>
                <w:rFonts w:ascii="Wingdings 2" w:eastAsiaTheme="minorHAnsi" w:hAnsi="Wingdings 2"/>
                <w:szCs w:val="24"/>
                <w:lang w:eastAsia="en-US"/>
              </w:rPr>
              <w:t></w:t>
            </w:r>
          </w:p>
          <w:p w:rsidR="00EB77F8" w:rsidRDefault="0066762B" w:rsidP="00116B67">
            <w:pPr>
              <w:pStyle w:val="TRNormal"/>
              <w:tabs>
                <w:tab w:val="left" w:pos="567"/>
              </w:tabs>
              <w:spacing w:line="240" w:lineRule="auto"/>
              <w:rPr>
                <w:rFonts w:ascii="Wingdings 2" w:eastAsiaTheme="minorHAnsi" w:hAnsi="Wingdings 2"/>
                <w:szCs w:val="24"/>
                <w:lang w:eastAsia="en-US"/>
              </w:rPr>
            </w:pPr>
            <w:r>
              <w:rPr>
                <w:sz w:val="22"/>
              </w:rPr>
              <w:t>Fairness and equity</w:t>
            </w:r>
            <w:r w:rsidR="00EB77F8" w:rsidRPr="00A57E40">
              <w:rPr>
                <w:sz w:val="22"/>
              </w:rPr>
              <w:t xml:space="preserve"> </w:t>
            </w:r>
            <w:r w:rsidRPr="00A57E40">
              <w:rPr>
                <w:rFonts w:ascii="Wingdings 2" w:eastAsiaTheme="minorHAnsi" w:hAnsi="Wingdings 2"/>
                <w:szCs w:val="24"/>
                <w:lang w:eastAsia="en-US"/>
              </w:rPr>
              <w:t></w:t>
            </w:r>
            <w:r w:rsidRPr="00A57E40">
              <w:rPr>
                <w:rFonts w:ascii="Wingdings 2" w:eastAsiaTheme="minorHAnsi" w:hAnsi="Wingdings 2"/>
                <w:szCs w:val="24"/>
                <w:lang w:eastAsia="en-US"/>
              </w:rPr>
              <w:t></w:t>
            </w:r>
          </w:p>
          <w:p w:rsidR="0066762B" w:rsidRDefault="0066762B" w:rsidP="00116B67">
            <w:pPr>
              <w:pStyle w:val="TRNormal"/>
              <w:tabs>
                <w:tab w:val="left" w:pos="567"/>
              </w:tabs>
              <w:spacing w:line="240" w:lineRule="auto"/>
              <w:rPr>
                <w:rFonts w:ascii="Wingdings 2" w:eastAsiaTheme="minorHAnsi" w:hAnsi="Wingdings 2"/>
                <w:szCs w:val="24"/>
                <w:lang w:eastAsia="en-US"/>
              </w:rPr>
            </w:pPr>
          </w:p>
          <w:p w:rsidR="0066762B" w:rsidRPr="00A57E40" w:rsidRDefault="0066762B" w:rsidP="00116B67">
            <w:pPr>
              <w:pStyle w:val="TRNormal"/>
              <w:tabs>
                <w:tab w:val="left" w:pos="567"/>
              </w:tabs>
              <w:spacing w:line="240" w:lineRule="auto"/>
              <w:rPr>
                <w:rFonts w:ascii="Wingdings 2" w:hAnsi="Wingdings 2"/>
                <w:sz w:val="22"/>
                <w:szCs w:val="24"/>
              </w:rPr>
            </w:pPr>
            <w:r>
              <w:rPr>
                <w:sz w:val="22"/>
              </w:rPr>
              <w:t>Does not meet constraints</w:t>
            </w:r>
          </w:p>
        </w:tc>
      </w:tr>
      <w:tr w:rsidR="00EB77F8" w:rsidRPr="00A57E40" w:rsidTr="00116B67">
        <w:tc>
          <w:tcPr>
            <w:tcW w:w="4643" w:type="dxa"/>
          </w:tcPr>
          <w:p w:rsidR="00EB77F8" w:rsidRPr="00A57E40" w:rsidRDefault="00EB77F8" w:rsidP="00EB77F8">
            <w:pPr>
              <w:pStyle w:val="TRNormal"/>
              <w:tabs>
                <w:tab w:val="left" w:pos="567"/>
              </w:tabs>
              <w:spacing w:line="240" w:lineRule="auto"/>
              <w:rPr>
                <w:sz w:val="22"/>
              </w:rPr>
            </w:pPr>
            <w:r w:rsidRPr="00A57E40">
              <w:rPr>
                <w:sz w:val="22"/>
              </w:rPr>
              <w:t xml:space="preserve">Option 3 – </w:t>
            </w:r>
            <w:r>
              <w:rPr>
                <w:sz w:val="22"/>
              </w:rPr>
              <w:t>Limited demerger regime applying to Australian listed companies</w:t>
            </w:r>
          </w:p>
        </w:tc>
        <w:tc>
          <w:tcPr>
            <w:tcW w:w="4644" w:type="dxa"/>
          </w:tcPr>
          <w:p w:rsidR="0066762B" w:rsidRPr="00A57E40" w:rsidRDefault="0066762B" w:rsidP="0066762B">
            <w:pPr>
              <w:pStyle w:val="TRNormal"/>
              <w:tabs>
                <w:tab w:val="left" w:pos="567"/>
              </w:tabs>
              <w:spacing w:line="240" w:lineRule="auto"/>
              <w:rPr>
                <w:sz w:val="22"/>
              </w:rPr>
            </w:pPr>
            <w:r>
              <w:rPr>
                <w:sz w:val="22"/>
              </w:rPr>
              <w:t>M</w:t>
            </w:r>
            <w:r w:rsidRPr="00A57E40">
              <w:rPr>
                <w:sz w:val="22"/>
              </w:rPr>
              <w:t>eet</w:t>
            </w:r>
            <w:r>
              <w:rPr>
                <w:sz w:val="22"/>
              </w:rPr>
              <w:t>s</w:t>
            </w:r>
            <w:r w:rsidRPr="00A57E40">
              <w:rPr>
                <w:sz w:val="22"/>
              </w:rPr>
              <w:t xml:space="preserve"> the main objective </w:t>
            </w:r>
          </w:p>
          <w:p w:rsidR="0066762B" w:rsidRPr="00A57E40" w:rsidRDefault="0066762B" w:rsidP="0066762B">
            <w:pPr>
              <w:pStyle w:val="TRNormal"/>
              <w:tabs>
                <w:tab w:val="left" w:pos="567"/>
              </w:tabs>
              <w:spacing w:line="240" w:lineRule="auto"/>
              <w:rPr>
                <w:sz w:val="22"/>
              </w:rPr>
            </w:pPr>
          </w:p>
          <w:p w:rsidR="0066762B" w:rsidRPr="00A57E40" w:rsidRDefault="0066762B" w:rsidP="0066762B">
            <w:pPr>
              <w:pStyle w:val="TRNormal"/>
              <w:tabs>
                <w:tab w:val="left" w:pos="567"/>
              </w:tabs>
              <w:spacing w:line="240" w:lineRule="auto"/>
              <w:rPr>
                <w:sz w:val="22"/>
              </w:rPr>
            </w:pPr>
            <w:r>
              <w:rPr>
                <w:sz w:val="22"/>
              </w:rPr>
              <w:t>Economic efficiency</w:t>
            </w:r>
            <w:r w:rsidRPr="00A57E40">
              <w:rPr>
                <w:sz w:val="22"/>
              </w:rPr>
              <w:t xml:space="preserve"> </w:t>
            </w:r>
            <w:r w:rsidRPr="00A57E40">
              <w:rPr>
                <w:rFonts w:ascii="Wingdings 2" w:eastAsiaTheme="minorHAnsi" w:hAnsi="Wingdings 2"/>
                <w:szCs w:val="24"/>
                <w:lang w:eastAsia="en-US"/>
              </w:rPr>
              <w:t></w:t>
            </w:r>
          </w:p>
          <w:p w:rsidR="0066762B" w:rsidRPr="00A57E40" w:rsidRDefault="0066762B" w:rsidP="0066762B">
            <w:pPr>
              <w:pStyle w:val="TRNormal"/>
              <w:tabs>
                <w:tab w:val="left" w:pos="567"/>
              </w:tabs>
              <w:spacing w:line="240" w:lineRule="auto"/>
              <w:rPr>
                <w:rFonts w:ascii="Wingdings 2" w:eastAsiaTheme="minorHAnsi" w:hAnsi="Wingdings 2"/>
                <w:szCs w:val="24"/>
                <w:lang w:eastAsia="en-US"/>
              </w:rPr>
            </w:pPr>
            <w:r>
              <w:rPr>
                <w:sz w:val="22"/>
              </w:rPr>
              <w:t>Integrity of the tax system</w:t>
            </w:r>
            <w:r w:rsidRPr="00A57E40">
              <w:rPr>
                <w:sz w:val="22"/>
              </w:rPr>
              <w:t xml:space="preserve"> </w:t>
            </w:r>
            <w:r w:rsidRPr="00A57E40">
              <w:rPr>
                <w:rFonts w:ascii="Wingdings 2" w:eastAsiaTheme="minorHAnsi" w:hAnsi="Wingdings 2"/>
                <w:szCs w:val="24"/>
                <w:lang w:eastAsia="en-US"/>
              </w:rPr>
              <w:t></w:t>
            </w:r>
          </w:p>
          <w:p w:rsidR="0066762B" w:rsidRDefault="0066762B" w:rsidP="0066762B">
            <w:pPr>
              <w:pStyle w:val="TRNormal"/>
              <w:tabs>
                <w:tab w:val="left" w:pos="567"/>
              </w:tabs>
              <w:spacing w:line="240" w:lineRule="auto"/>
              <w:rPr>
                <w:rFonts w:ascii="Wingdings 2" w:eastAsiaTheme="minorHAnsi" w:hAnsi="Wingdings 2"/>
                <w:szCs w:val="24"/>
                <w:lang w:eastAsia="en-US"/>
              </w:rPr>
            </w:pPr>
            <w:r>
              <w:rPr>
                <w:sz w:val="22"/>
              </w:rPr>
              <w:t>Fairness and equity</w:t>
            </w:r>
            <w:r w:rsidRPr="00A57E40">
              <w:rPr>
                <w:sz w:val="22"/>
              </w:rPr>
              <w:t xml:space="preserve"> </w:t>
            </w:r>
            <w:r w:rsidRPr="00A57E40">
              <w:rPr>
                <w:rFonts w:ascii="Wingdings 2" w:eastAsiaTheme="minorHAnsi" w:hAnsi="Wingdings 2"/>
                <w:szCs w:val="24"/>
                <w:lang w:eastAsia="en-US"/>
              </w:rPr>
              <w:t></w:t>
            </w:r>
          </w:p>
          <w:p w:rsidR="0066762B" w:rsidRDefault="0066762B" w:rsidP="0066762B">
            <w:pPr>
              <w:pStyle w:val="TRNormal"/>
              <w:tabs>
                <w:tab w:val="left" w:pos="567"/>
              </w:tabs>
              <w:spacing w:line="240" w:lineRule="auto"/>
              <w:rPr>
                <w:rFonts w:ascii="Wingdings 2" w:eastAsiaTheme="minorHAnsi" w:hAnsi="Wingdings 2"/>
                <w:szCs w:val="24"/>
                <w:lang w:eastAsia="en-US"/>
              </w:rPr>
            </w:pPr>
          </w:p>
          <w:p w:rsidR="00EB77F8" w:rsidRPr="00A57E40" w:rsidRDefault="0066762B" w:rsidP="0066762B">
            <w:pPr>
              <w:pStyle w:val="TRNormal"/>
              <w:tabs>
                <w:tab w:val="left" w:pos="567"/>
              </w:tabs>
              <w:spacing w:line="240" w:lineRule="auto"/>
              <w:rPr>
                <w:rFonts w:ascii="Wingdings 2" w:hAnsi="Wingdings 2"/>
                <w:sz w:val="22"/>
                <w:szCs w:val="24"/>
              </w:rPr>
            </w:pPr>
            <w:r>
              <w:rPr>
                <w:sz w:val="22"/>
              </w:rPr>
              <w:t>Meets constraints</w:t>
            </w:r>
          </w:p>
        </w:tc>
      </w:tr>
      <w:tr w:rsidR="00EB77F8" w:rsidRPr="00A57E40" w:rsidTr="00116B67">
        <w:tc>
          <w:tcPr>
            <w:tcW w:w="4643" w:type="dxa"/>
          </w:tcPr>
          <w:p w:rsidR="00EB77F8" w:rsidRPr="00A57E40" w:rsidRDefault="00EB77F8" w:rsidP="00EB77F8">
            <w:pPr>
              <w:pStyle w:val="TRNormal"/>
              <w:tabs>
                <w:tab w:val="left" w:pos="567"/>
              </w:tabs>
              <w:spacing w:line="240" w:lineRule="auto"/>
              <w:rPr>
                <w:sz w:val="22"/>
              </w:rPr>
            </w:pPr>
            <w:r>
              <w:rPr>
                <w:sz w:val="22"/>
              </w:rPr>
              <w:t>Option 4 – Middle group applying to all demergers by foreign listed companies</w:t>
            </w:r>
          </w:p>
        </w:tc>
        <w:tc>
          <w:tcPr>
            <w:tcW w:w="4644" w:type="dxa"/>
          </w:tcPr>
          <w:p w:rsidR="0066762B" w:rsidRPr="00A57E40" w:rsidRDefault="0066762B" w:rsidP="0066762B">
            <w:pPr>
              <w:pStyle w:val="TRNormal"/>
              <w:tabs>
                <w:tab w:val="left" w:pos="567"/>
              </w:tabs>
              <w:spacing w:line="240" w:lineRule="auto"/>
              <w:rPr>
                <w:sz w:val="22"/>
              </w:rPr>
            </w:pPr>
            <w:r>
              <w:rPr>
                <w:sz w:val="22"/>
              </w:rPr>
              <w:t>M</w:t>
            </w:r>
            <w:r w:rsidRPr="00A57E40">
              <w:rPr>
                <w:sz w:val="22"/>
              </w:rPr>
              <w:t>eet</w:t>
            </w:r>
            <w:r>
              <w:rPr>
                <w:sz w:val="22"/>
              </w:rPr>
              <w:t>s</w:t>
            </w:r>
            <w:r w:rsidRPr="00A57E40">
              <w:rPr>
                <w:sz w:val="22"/>
              </w:rPr>
              <w:t xml:space="preserve"> the main objective </w:t>
            </w:r>
          </w:p>
          <w:p w:rsidR="0066762B" w:rsidRPr="00A57E40" w:rsidRDefault="0066762B" w:rsidP="0066762B">
            <w:pPr>
              <w:pStyle w:val="TRNormal"/>
              <w:tabs>
                <w:tab w:val="left" w:pos="567"/>
              </w:tabs>
              <w:spacing w:line="240" w:lineRule="auto"/>
              <w:rPr>
                <w:sz w:val="22"/>
              </w:rPr>
            </w:pPr>
          </w:p>
          <w:p w:rsidR="0066762B" w:rsidRPr="00A57E40" w:rsidRDefault="0066762B" w:rsidP="0066762B">
            <w:pPr>
              <w:pStyle w:val="TRNormal"/>
              <w:tabs>
                <w:tab w:val="left" w:pos="567"/>
              </w:tabs>
              <w:spacing w:line="240" w:lineRule="auto"/>
              <w:rPr>
                <w:sz w:val="22"/>
              </w:rPr>
            </w:pPr>
            <w:r>
              <w:rPr>
                <w:sz w:val="22"/>
              </w:rPr>
              <w:t>Economic efficiency</w:t>
            </w:r>
            <w:r w:rsidRPr="00A57E40">
              <w:rPr>
                <w:sz w:val="22"/>
              </w:rPr>
              <w:t xml:space="preserve"> </w:t>
            </w:r>
            <w:r w:rsidRPr="00A57E40">
              <w:rPr>
                <w:rFonts w:ascii="Wingdings 2" w:eastAsiaTheme="minorHAnsi" w:hAnsi="Wingdings 2"/>
                <w:szCs w:val="24"/>
                <w:lang w:eastAsia="en-US"/>
              </w:rPr>
              <w:t></w:t>
            </w:r>
          </w:p>
          <w:p w:rsidR="0066762B" w:rsidRPr="00A57E40" w:rsidRDefault="0066762B" w:rsidP="0066762B">
            <w:pPr>
              <w:pStyle w:val="TRNormal"/>
              <w:tabs>
                <w:tab w:val="left" w:pos="567"/>
              </w:tabs>
              <w:spacing w:line="240" w:lineRule="auto"/>
              <w:rPr>
                <w:rFonts w:ascii="Wingdings 2" w:eastAsiaTheme="minorHAnsi" w:hAnsi="Wingdings 2"/>
                <w:szCs w:val="24"/>
                <w:lang w:eastAsia="en-US"/>
              </w:rPr>
            </w:pPr>
            <w:r>
              <w:rPr>
                <w:sz w:val="22"/>
              </w:rPr>
              <w:t>Integrity of the tax system</w:t>
            </w:r>
            <w:r w:rsidRPr="00A57E40">
              <w:rPr>
                <w:sz w:val="22"/>
              </w:rPr>
              <w:t xml:space="preserve"> </w:t>
            </w:r>
            <w:r w:rsidRPr="00A57E40">
              <w:rPr>
                <w:rFonts w:ascii="Wingdings 2" w:eastAsiaTheme="minorHAnsi" w:hAnsi="Wingdings 2"/>
                <w:szCs w:val="24"/>
                <w:lang w:eastAsia="en-US"/>
              </w:rPr>
              <w:t></w:t>
            </w:r>
          </w:p>
          <w:p w:rsidR="0066762B" w:rsidRDefault="0066762B" w:rsidP="0066762B">
            <w:pPr>
              <w:pStyle w:val="TRNormal"/>
              <w:tabs>
                <w:tab w:val="left" w:pos="567"/>
              </w:tabs>
              <w:spacing w:line="240" w:lineRule="auto"/>
              <w:rPr>
                <w:rFonts w:ascii="Wingdings 2" w:eastAsiaTheme="minorHAnsi" w:hAnsi="Wingdings 2"/>
                <w:szCs w:val="24"/>
                <w:lang w:eastAsia="en-US"/>
              </w:rPr>
            </w:pPr>
            <w:r>
              <w:rPr>
                <w:sz w:val="22"/>
              </w:rPr>
              <w:t>Fairness and equity</w:t>
            </w:r>
            <w:r w:rsidRPr="00A57E40">
              <w:rPr>
                <w:sz w:val="22"/>
              </w:rPr>
              <w:t xml:space="preserve"> </w:t>
            </w:r>
            <w:r w:rsidRPr="00A57E40">
              <w:rPr>
                <w:rFonts w:ascii="Wingdings 2" w:eastAsiaTheme="minorHAnsi" w:hAnsi="Wingdings 2"/>
                <w:szCs w:val="24"/>
                <w:lang w:eastAsia="en-US"/>
              </w:rPr>
              <w:t></w:t>
            </w:r>
          </w:p>
          <w:p w:rsidR="0066762B" w:rsidRDefault="0066762B" w:rsidP="0066762B">
            <w:pPr>
              <w:pStyle w:val="TRNormal"/>
              <w:tabs>
                <w:tab w:val="left" w:pos="567"/>
              </w:tabs>
              <w:spacing w:line="240" w:lineRule="auto"/>
              <w:rPr>
                <w:rFonts w:ascii="Wingdings 2" w:eastAsiaTheme="minorHAnsi" w:hAnsi="Wingdings 2"/>
                <w:szCs w:val="24"/>
                <w:lang w:eastAsia="en-US"/>
              </w:rPr>
            </w:pPr>
          </w:p>
          <w:p w:rsidR="00EB77F8" w:rsidRPr="00A57E40" w:rsidRDefault="00AE5DFA" w:rsidP="0066762B">
            <w:pPr>
              <w:pStyle w:val="TRNormal"/>
              <w:tabs>
                <w:tab w:val="left" w:pos="567"/>
              </w:tabs>
              <w:spacing w:line="240" w:lineRule="auto"/>
              <w:rPr>
                <w:sz w:val="22"/>
              </w:rPr>
            </w:pPr>
            <w:r>
              <w:rPr>
                <w:sz w:val="22"/>
              </w:rPr>
              <w:t>Does not meet constraints</w:t>
            </w:r>
          </w:p>
        </w:tc>
      </w:tr>
    </w:tbl>
    <w:p w:rsidR="00EB77F8" w:rsidRDefault="00EB77F8" w:rsidP="00EB77F8">
      <w:pPr>
        <w:pStyle w:val="Bullet-list"/>
        <w:spacing w:after="0" w:line="240" w:lineRule="auto"/>
        <w:ind w:left="0" w:firstLine="0"/>
        <w:jc w:val="both"/>
        <w:rPr>
          <w:rFonts w:ascii="Times New Roman" w:hAnsi="Times New Roman"/>
          <w:sz w:val="24"/>
          <w:szCs w:val="24"/>
        </w:rPr>
      </w:pPr>
    </w:p>
    <w:p w:rsidR="00FD7C43" w:rsidRDefault="00FD7C43" w:rsidP="00FD7C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236D11">
        <w:rPr>
          <w:rFonts w:ascii="Times New Roman" w:hAnsi="Times New Roman"/>
          <w:sz w:val="24"/>
          <w:szCs w:val="24"/>
        </w:rPr>
        <w:t xml:space="preserve">Option </w:t>
      </w:r>
      <w:r w:rsidR="00EB77F8">
        <w:rPr>
          <w:rFonts w:ascii="Times New Roman" w:hAnsi="Times New Roman"/>
          <w:sz w:val="24"/>
          <w:szCs w:val="24"/>
        </w:rPr>
        <w:t>2</w:t>
      </w:r>
      <w:r>
        <w:rPr>
          <w:rFonts w:ascii="Times New Roman" w:hAnsi="Times New Roman"/>
          <w:sz w:val="24"/>
          <w:szCs w:val="24"/>
        </w:rPr>
        <w:t xml:space="preserve"> increases the economic efficiency and fairness of the tax system by the greatest amount.  However it is not feasible given the time constraints.</w:t>
      </w:r>
    </w:p>
    <w:p w:rsidR="00FD7C43" w:rsidRPr="00236D11" w:rsidRDefault="00FD7C43" w:rsidP="00FD7C43">
      <w:pPr>
        <w:pStyle w:val="Bullet-list"/>
        <w:spacing w:after="0" w:line="240" w:lineRule="auto"/>
        <w:ind w:left="0" w:firstLine="0"/>
        <w:jc w:val="both"/>
        <w:rPr>
          <w:rFonts w:ascii="Times New Roman" w:hAnsi="Times New Roman"/>
          <w:sz w:val="24"/>
          <w:szCs w:val="24"/>
        </w:rPr>
      </w:pPr>
      <w:r w:rsidRPr="00236D11">
        <w:rPr>
          <w:rFonts w:ascii="Times New Roman" w:hAnsi="Times New Roman"/>
          <w:sz w:val="24"/>
          <w:szCs w:val="24"/>
        </w:rPr>
        <w:t xml:space="preserve"> </w:t>
      </w:r>
    </w:p>
    <w:p w:rsidR="00FD7C43" w:rsidRDefault="00FD7C43" w:rsidP="00FD7C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w:t>
      </w:r>
      <w:r w:rsidR="00EB77F8">
        <w:rPr>
          <w:rFonts w:ascii="Times New Roman" w:hAnsi="Times New Roman"/>
          <w:sz w:val="24"/>
          <w:szCs w:val="24"/>
        </w:rPr>
        <w:t>3</w:t>
      </w:r>
      <w:r>
        <w:rPr>
          <w:rFonts w:ascii="Times New Roman" w:hAnsi="Times New Roman"/>
          <w:sz w:val="24"/>
          <w:szCs w:val="24"/>
        </w:rPr>
        <w:t xml:space="preserve"> increases economic efficiency and the fairness of the tax system, but its narrower scope means it does so by less than option </w:t>
      </w:r>
      <w:r w:rsidR="0066762B">
        <w:rPr>
          <w:rFonts w:ascii="Times New Roman" w:hAnsi="Times New Roman"/>
          <w:sz w:val="24"/>
          <w:szCs w:val="24"/>
        </w:rPr>
        <w:t>4</w:t>
      </w:r>
      <w:r>
        <w:rPr>
          <w:rFonts w:ascii="Times New Roman" w:hAnsi="Times New Roman"/>
          <w:sz w:val="24"/>
          <w:szCs w:val="24"/>
        </w:rPr>
        <w:t xml:space="preserve">.  Option </w:t>
      </w:r>
      <w:r w:rsidR="0066762B">
        <w:rPr>
          <w:rFonts w:ascii="Times New Roman" w:hAnsi="Times New Roman"/>
          <w:sz w:val="24"/>
          <w:szCs w:val="24"/>
        </w:rPr>
        <w:t>3</w:t>
      </w:r>
      <w:r>
        <w:rPr>
          <w:rFonts w:ascii="Times New Roman" w:hAnsi="Times New Roman"/>
          <w:sz w:val="24"/>
          <w:szCs w:val="24"/>
        </w:rPr>
        <w:t xml:space="preserve"> best meets the </w:t>
      </w:r>
      <w:r w:rsidR="0066762B">
        <w:rPr>
          <w:rFonts w:ascii="Times New Roman" w:hAnsi="Times New Roman"/>
          <w:sz w:val="24"/>
          <w:szCs w:val="24"/>
        </w:rPr>
        <w:t xml:space="preserve">criteria </w:t>
      </w:r>
      <w:r>
        <w:rPr>
          <w:rFonts w:ascii="Times New Roman" w:hAnsi="Times New Roman"/>
          <w:sz w:val="24"/>
          <w:szCs w:val="24"/>
        </w:rPr>
        <w:t xml:space="preserve">of maintaining revenue integrity, although its advantage over option </w:t>
      </w:r>
      <w:r w:rsidR="0066762B">
        <w:rPr>
          <w:rFonts w:ascii="Times New Roman" w:hAnsi="Times New Roman"/>
          <w:sz w:val="24"/>
          <w:szCs w:val="24"/>
        </w:rPr>
        <w:t>4</w:t>
      </w:r>
      <w:r>
        <w:rPr>
          <w:rFonts w:ascii="Times New Roman" w:hAnsi="Times New Roman"/>
          <w:sz w:val="24"/>
          <w:szCs w:val="24"/>
        </w:rPr>
        <w:t xml:space="preserve"> in this regard is not that significant.  </w:t>
      </w:r>
      <w:r w:rsidRPr="00F3672A">
        <w:rPr>
          <w:rFonts w:ascii="Times New Roman" w:hAnsi="Times New Roman"/>
          <w:sz w:val="24"/>
          <w:szCs w:val="24"/>
        </w:rPr>
        <w:t xml:space="preserve">  Accordingly </w:t>
      </w:r>
      <w:r>
        <w:rPr>
          <w:rFonts w:ascii="Times New Roman" w:hAnsi="Times New Roman"/>
          <w:sz w:val="24"/>
          <w:szCs w:val="24"/>
        </w:rPr>
        <w:t xml:space="preserve">the choice between option </w:t>
      </w:r>
      <w:r w:rsidR="0066762B">
        <w:rPr>
          <w:rFonts w:ascii="Times New Roman" w:hAnsi="Times New Roman"/>
          <w:sz w:val="24"/>
          <w:szCs w:val="24"/>
        </w:rPr>
        <w:t>3</w:t>
      </w:r>
      <w:r>
        <w:rPr>
          <w:rFonts w:ascii="Times New Roman" w:hAnsi="Times New Roman"/>
          <w:sz w:val="24"/>
          <w:szCs w:val="24"/>
        </w:rPr>
        <w:t xml:space="preserve"> and option </w:t>
      </w:r>
      <w:r w:rsidR="0066762B">
        <w:rPr>
          <w:rFonts w:ascii="Times New Roman" w:hAnsi="Times New Roman"/>
          <w:sz w:val="24"/>
          <w:szCs w:val="24"/>
        </w:rPr>
        <w:t>4</w:t>
      </w:r>
      <w:r>
        <w:rPr>
          <w:rFonts w:ascii="Times New Roman" w:hAnsi="Times New Roman"/>
          <w:sz w:val="24"/>
          <w:szCs w:val="24"/>
        </w:rPr>
        <w:t xml:space="preserve"> is essentially a trade-off between</w:t>
      </w:r>
      <w:r w:rsidRPr="00F3672A">
        <w:rPr>
          <w:rFonts w:ascii="Times New Roman" w:hAnsi="Times New Roman"/>
          <w:sz w:val="24"/>
          <w:szCs w:val="24"/>
        </w:rPr>
        <w:t xml:space="preserve"> </w:t>
      </w:r>
      <w:r>
        <w:rPr>
          <w:rFonts w:ascii="Times New Roman" w:hAnsi="Times New Roman"/>
          <w:sz w:val="24"/>
          <w:szCs w:val="24"/>
        </w:rPr>
        <w:t>increased</w:t>
      </w:r>
      <w:r w:rsidRPr="00F3672A">
        <w:rPr>
          <w:rFonts w:ascii="Times New Roman" w:hAnsi="Times New Roman"/>
          <w:sz w:val="24"/>
          <w:szCs w:val="24"/>
        </w:rPr>
        <w:t xml:space="preserve"> efficiency and fairnes</w:t>
      </w:r>
      <w:r>
        <w:rPr>
          <w:rFonts w:ascii="Times New Roman" w:hAnsi="Times New Roman"/>
          <w:sz w:val="24"/>
          <w:szCs w:val="24"/>
        </w:rPr>
        <w:t xml:space="preserve">s (option </w:t>
      </w:r>
      <w:r w:rsidR="0066762B">
        <w:rPr>
          <w:rFonts w:ascii="Times New Roman" w:hAnsi="Times New Roman"/>
          <w:sz w:val="24"/>
          <w:szCs w:val="24"/>
        </w:rPr>
        <w:t>4</w:t>
      </w:r>
      <w:r>
        <w:rPr>
          <w:rFonts w:ascii="Times New Roman" w:hAnsi="Times New Roman"/>
          <w:sz w:val="24"/>
          <w:szCs w:val="24"/>
        </w:rPr>
        <w:t xml:space="preserve">) versus reduced time </w:t>
      </w:r>
      <w:r w:rsidR="00913A62">
        <w:rPr>
          <w:rFonts w:ascii="Times New Roman" w:hAnsi="Times New Roman"/>
          <w:sz w:val="24"/>
          <w:szCs w:val="24"/>
        </w:rPr>
        <w:t xml:space="preserve">for implementation </w:t>
      </w:r>
      <w:r>
        <w:rPr>
          <w:rFonts w:ascii="Times New Roman" w:hAnsi="Times New Roman"/>
          <w:sz w:val="24"/>
          <w:szCs w:val="24"/>
        </w:rPr>
        <w:t xml:space="preserve">and integrity risk (option </w:t>
      </w:r>
      <w:r w:rsidR="0066762B">
        <w:rPr>
          <w:rFonts w:ascii="Times New Roman" w:hAnsi="Times New Roman"/>
          <w:sz w:val="24"/>
          <w:szCs w:val="24"/>
        </w:rPr>
        <w:t>3</w:t>
      </w:r>
      <w:r>
        <w:rPr>
          <w:rFonts w:ascii="Times New Roman" w:hAnsi="Times New Roman"/>
          <w:sz w:val="24"/>
          <w:szCs w:val="24"/>
        </w:rPr>
        <w:t>).</w:t>
      </w:r>
      <w:r w:rsidRPr="00DC7756">
        <w:rPr>
          <w:rFonts w:ascii="Times New Roman" w:hAnsi="Times New Roman"/>
          <w:sz w:val="24"/>
          <w:szCs w:val="24"/>
        </w:rPr>
        <w:t xml:space="preserve"> </w:t>
      </w:r>
    </w:p>
    <w:p w:rsidR="00FD7C43" w:rsidRDefault="00FD7C43" w:rsidP="00FD7C43">
      <w:pPr>
        <w:pStyle w:val="ListParagraph"/>
        <w:rPr>
          <w:rFonts w:ascii="Times New Roman" w:hAnsi="Times New Roman"/>
          <w:sz w:val="24"/>
          <w:szCs w:val="24"/>
        </w:rPr>
      </w:pPr>
    </w:p>
    <w:p w:rsidR="00FD7C43" w:rsidRDefault="0066762B" w:rsidP="00FD7C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Officials</w:t>
      </w:r>
      <w:r w:rsidR="00FD7C43">
        <w:rPr>
          <w:rFonts w:ascii="Times New Roman" w:hAnsi="Times New Roman"/>
          <w:sz w:val="24"/>
          <w:szCs w:val="24"/>
        </w:rPr>
        <w:t xml:space="preserve"> consider the reduced time </w:t>
      </w:r>
      <w:r w:rsidR="00913A62">
        <w:rPr>
          <w:rFonts w:ascii="Times New Roman" w:hAnsi="Times New Roman"/>
          <w:sz w:val="24"/>
          <w:szCs w:val="24"/>
        </w:rPr>
        <w:t xml:space="preserve">for implementation </w:t>
      </w:r>
      <w:r w:rsidR="00FD7C43">
        <w:rPr>
          <w:rFonts w:ascii="Times New Roman" w:hAnsi="Times New Roman"/>
          <w:sz w:val="24"/>
          <w:szCs w:val="24"/>
        </w:rPr>
        <w:t xml:space="preserve">and integrity risk of option </w:t>
      </w:r>
      <w:r>
        <w:rPr>
          <w:rFonts w:ascii="Times New Roman" w:hAnsi="Times New Roman"/>
          <w:sz w:val="24"/>
          <w:szCs w:val="24"/>
        </w:rPr>
        <w:t>3</w:t>
      </w:r>
      <w:r w:rsidR="00FD7C43">
        <w:rPr>
          <w:rFonts w:ascii="Times New Roman" w:hAnsi="Times New Roman"/>
          <w:sz w:val="24"/>
          <w:szCs w:val="24"/>
        </w:rPr>
        <w:t xml:space="preserve"> outweighs the increase in economic efficiency and fairness of option </w:t>
      </w:r>
      <w:r>
        <w:rPr>
          <w:rFonts w:ascii="Times New Roman" w:hAnsi="Times New Roman"/>
          <w:sz w:val="24"/>
          <w:szCs w:val="24"/>
        </w:rPr>
        <w:t>4</w:t>
      </w:r>
      <w:r w:rsidR="00FD7C43">
        <w:rPr>
          <w:rFonts w:ascii="Times New Roman" w:hAnsi="Times New Roman"/>
          <w:sz w:val="24"/>
          <w:szCs w:val="24"/>
        </w:rPr>
        <w:t xml:space="preserve">.  In this regard, option </w:t>
      </w:r>
      <w:r>
        <w:rPr>
          <w:rFonts w:ascii="Times New Roman" w:hAnsi="Times New Roman"/>
          <w:sz w:val="24"/>
          <w:szCs w:val="24"/>
        </w:rPr>
        <w:t>3</w:t>
      </w:r>
      <w:r w:rsidR="00FD7C43">
        <w:rPr>
          <w:rFonts w:ascii="Times New Roman" w:hAnsi="Times New Roman"/>
          <w:sz w:val="24"/>
          <w:szCs w:val="24"/>
        </w:rPr>
        <w:t xml:space="preserve"> would address the demergers that are causing the problems in practice.  Accordingly option </w:t>
      </w:r>
      <w:r>
        <w:rPr>
          <w:rFonts w:ascii="Times New Roman" w:hAnsi="Times New Roman"/>
          <w:sz w:val="24"/>
          <w:szCs w:val="24"/>
        </w:rPr>
        <w:t>4</w:t>
      </w:r>
      <w:r w:rsidR="00FD7C43">
        <w:rPr>
          <w:rFonts w:ascii="Times New Roman" w:hAnsi="Times New Roman"/>
          <w:sz w:val="24"/>
          <w:szCs w:val="24"/>
        </w:rPr>
        <w:t xml:space="preserve">’s increased economic efficiency and fairness would not be a significant benefit.  It is notable that the private sector has focussed on the problems with the tax treatment of Australian demergers, rather than demergers by foreign companies generally.  This shows that the economic and efficiency gains of option </w:t>
      </w:r>
      <w:r>
        <w:rPr>
          <w:rFonts w:ascii="Times New Roman" w:hAnsi="Times New Roman"/>
          <w:sz w:val="24"/>
          <w:szCs w:val="24"/>
        </w:rPr>
        <w:t>3</w:t>
      </w:r>
      <w:r w:rsidR="00FD7C43">
        <w:rPr>
          <w:rFonts w:ascii="Times New Roman" w:hAnsi="Times New Roman"/>
          <w:sz w:val="24"/>
          <w:szCs w:val="24"/>
        </w:rPr>
        <w:t xml:space="preserve"> are perceived as being sufficient to address the pressing issues with demergers.</w:t>
      </w:r>
    </w:p>
    <w:p w:rsidR="00FD7C43" w:rsidRDefault="00FD7C43" w:rsidP="00FD7C43">
      <w:pPr>
        <w:pStyle w:val="ListParagraph"/>
        <w:rPr>
          <w:rFonts w:ascii="Times New Roman" w:hAnsi="Times New Roman"/>
          <w:sz w:val="24"/>
          <w:szCs w:val="24"/>
        </w:rPr>
      </w:pPr>
    </w:p>
    <w:p w:rsidR="00FD262B" w:rsidRPr="00FD262B" w:rsidRDefault="0066762B" w:rsidP="00982B6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66762B">
        <w:rPr>
          <w:rFonts w:ascii="Times New Roman" w:hAnsi="Times New Roman"/>
          <w:sz w:val="24"/>
          <w:szCs w:val="24"/>
        </w:rPr>
        <w:t>O</w:t>
      </w:r>
      <w:r w:rsidR="00FD7C43" w:rsidRPr="0066762B">
        <w:rPr>
          <w:rFonts w:ascii="Times New Roman" w:hAnsi="Times New Roman"/>
          <w:sz w:val="24"/>
          <w:szCs w:val="24"/>
        </w:rPr>
        <w:t xml:space="preserve">ption </w:t>
      </w:r>
      <w:r w:rsidRPr="0066762B">
        <w:rPr>
          <w:rFonts w:ascii="Times New Roman" w:hAnsi="Times New Roman"/>
          <w:sz w:val="24"/>
          <w:szCs w:val="24"/>
        </w:rPr>
        <w:t>3</w:t>
      </w:r>
      <w:r w:rsidR="00FD7C43" w:rsidRPr="0066762B">
        <w:rPr>
          <w:rFonts w:ascii="Times New Roman" w:hAnsi="Times New Roman"/>
          <w:sz w:val="24"/>
          <w:szCs w:val="24"/>
        </w:rPr>
        <w:t xml:space="preserve"> best meets all the criteria given the constraints.  </w:t>
      </w:r>
      <w:r w:rsidR="000B00E6">
        <w:rPr>
          <w:rFonts w:ascii="Times New Roman" w:hAnsi="Times New Roman"/>
          <w:sz w:val="24"/>
          <w:szCs w:val="24"/>
        </w:rPr>
        <w:t xml:space="preserve">Therefore Inland Revenue recommends the introduction of a limited demerger regime.  This would exclude demergers by listed Australian companies from </w:t>
      </w:r>
      <w:r w:rsidR="00913A62">
        <w:rPr>
          <w:rFonts w:ascii="Times New Roman" w:hAnsi="Times New Roman"/>
          <w:sz w:val="24"/>
          <w:szCs w:val="24"/>
        </w:rPr>
        <w:t xml:space="preserve">giving rise to </w:t>
      </w:r>
      <w:r w:rsidR="008A6645">
        <w:rPr>
          <w:rFonts w:ascii="Times New Roman" w:hAnsi="Times New Roman"/>
          <w:sz w:val="24"/>
          <w:szCs w:val="24"/>
        </w:rPr>
        <w:t xml:space="preserve">a dividend for </w:t>
      </w:r>
      <w:r w:rsidR="00913A62">
        <w:rPr>
          <w:rFonts w:ascii="Times New Roman" w:hAnsi="Times New Roman"/>
          <w:sz w:val="24"/>
          <w:szCs w:val="24"/>
        </w:rPr>
        <w:t xml:space="preserve">New Zealand </w:t>
      </w:r>
      <w:r w:rsidR="008A6645">
        <w:rPr>
          <w:rFonts w:ascii="Times New Roman" w:hAnsi="Times New Roman"/>
          <w:sz w:val="24"/>
          <w:szCs w:val="24"/>
        </w:rPr>
        <w:t xml:space="preserve">tax purposes, </w:t>
      </w:r>
      <w:r w:rsidR="000B00E6">
        <w:rPr>
          <w:rFonts w:ascii="Times New Roman" w:hAnsi="Times New Roman"/>
          <w:sz w:val="24"/>
          <w:szCs w:val="24"/>
        </w:rPr>
        <w:t>provided the demerger is not treated as a dividend for Australian tax purposes</w:t>
      </w:r>
      <w:r w:rsidR="00345003">
        <w:rPr>
          <w:rFonts w:ascii="Times New Roman" w:hAnsi="Times New Roman"/>
          <w:sz w:val="24"/>
          <w:szCs w:val="24"/>
        </w:rPr>
        <w:t xml:space="preserve"> (under either Australia’s demerger regime or under its return of share capital rules)</w:t>
      </w:r>
      <w:r w:rsidR="000B00E6">
        <w:rPr>
          <w:rFonts w:ascii="Times New Roman" w:hAnsi="Times New Roman"/>
          <w:sz w:val="24"/>
          <w:szCs w:val="24"/>
        </w:rPr>
        <w:t>.</w:t>
      </w:r>
      <w:r w:rsidR="00CA0D56">
        <w:rPr>
          <w:rFonts w:ascii="Times New Roman" w:hAnsi="Times New Roman"/>
          <w:sz w:val="24"/>
          <w:szCs w:val="24"/>
        </w:rPr>
        <w:t xml:space="preserve">  </w:t>
      </w:r>
    </w:p>
    <w:p w:rsidR="00913A62" w:rsidRDefault="00913A62">
      <w:pPr>
        <w:spacing w:after="0" w:line="240" w:lineRule="auto"/>
        <w:rPr>
          <w:rFonts w:ascii="Times New Roman" w:hAnsi="Times New Roman"/>
          <w:b/>
          <w:sz w:val="24"/>
          <w:szCs w:val="24"/>
        </w:rPr>
      </w:pPr>
      <w:bookmarkStart w:id="34" w:name="_Toc244580368"/>
      <w:bookmarkStart w:id="35" w:name="_Toc244587044"/>
      <w:bookmarkStart w:id="36" w:name="_Toc244857278"/>
      <w:bookmarkStart w:id="37" w:name="_Toc244912543"/>
      <w:bookmarkStart w:id="38" w:name="_Toc244917000"/>
      <w:r>
        <w:br w:type="page"/>
      </w:r>
    </w:p>
    <w:p w:rsidR="000545DC" w:rsidRPr="004342F0" w:rsidRDefault="00D943DD" w:rsidP="004342F0">
      <w:pPr>
        <w:pStyle w:val="RISheading"/>
        <w:rPr>
          <w:spacing w:val="0"/>
          <w:w w:val="100"/>
        </w:rPr>
      </w:pPr>
      <w:r w:rsidRPr="004342F0">
        <w:rPr>
          <w:spacing w:val="0"/>
          <w:w w:val="100"/>
        </w:rPr>
        <w:t>IMPLEMENTATION</w:t>
      </w:r>
      <w:bookmarkEnd w:id="34"/>
      <w:bookmarkEnd w:id="35"/>
      <w:bookmarkEnd w:id="36"/>
      <w:bookmarkEnd w:id="37"/>
      <w:bookmarkEnd w:id="38"/>
      <w:r w:rsidRPr="004342F0">
        <w:rPr>
          <w:spacing w:val="0"/>
          <w:w w:val="100"/>
        </w:rPr>
        <w:t xml:space="preserve"> </w:t>
      </w:r>
    </w:p>
    <w:p w:rsidR="00415E36" w:rsidRPr="00415E36" w:rsidRDefault="0066762B" w:rsidP="001B1E9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Changes to introduce a limited demerger regime would require amendments to the Income Tax Act 2007.  These amendments would be </w:t>
      </w:r>
      <w:r w:rsidR="00E5298D">
        <w:rPr>
          <w:rFonts w:ascii="Times New Roman" w:hAnsi="Times New Roman"/>
          <w:sz w:val="24"/>
          <w:szCs w:val="24"/>
        </w:rPr>
        <w:t>include</w:t>
      </w:r>
      <w:r>
        <w:rPr>
          <w:rFonts w:ascii="Times New Roman" w:hAnsi="Times New Roman"/>
          <w:sz w:val="24"/>
          <w:szCs w:val="24"/>
        </w:rPr>
        <w:t>d in</w:t>
      </w:r>
      <w:r w:rsidR="00E5298D">
        <w:rPr>
          <w:rFonts w:ascii="Times New Roman" w:hAnsi="Times New Roman"/>
          <w:sz w:val="24"/>
          <w:szCs w:val="24"/>
        </w:rPr>
        <w:t xml:space="preserve"> the </w:t>
      </w:r>
      <w:r>
        <w:rPr>
          <w:rFonts w:ascii="Times New Roman" w:hAnsi="Times New Roman"/>
          <w:sz w:val="24"/>
          <w:szCs w:val="24"/>
        </w:rPr>
        <w:t xml:space="preserve">next available </w:t>
      </w:r>
      <w:r w:rsidR="00E5298D">
        <w:rPr>
          <w:rFonts w:ascii="Times New Roman" w:hAnsi="Times New Roman"/>
          <w:sz w:val="24"/>
          <w:szCs w:val="24"/>
        </w:rPr>
        <w:t>omnibus taxation bill</w:t>
      </w:r>
      <w:r>
        <w:rPr>
          <w:rFonts w:ascii="Times New Roman" w:hAnsi="Times New Roman"/>
          <w:sz w:val="24"/>
          <w:szCs w:val="24"/>
        </w:rPr>
        <w:t>, scheduled for</w:t>
      </w:r>
      <w:r w:rsidR="00E5298D">
        <w:rPr>
          <w:rFonts w:ascii="Times New Roman" w:hAnsi="Times New Roman"/>
          <w:sz w:val="24"/>
          <w:szCs w:val="24"/>
        </w:rPr>
        <w:t xml:space="preserve"> introduc</w:t>
      </w:r>
      <w:r>
        <w:rPr>
          <w:rFonts w:ascii="Times New Roman" w:hAnsi="Times New Roman"/>
          <w:sz w:val="24"/>
          <w:szCs w:val="24"/>
        </w:rPr>
        <w:t>tion</w:t>
      </w:r>
      <w:r w:rsidR="00E5298D">
        <w:rPr>
          <w:rFonts w:ascii="Times New Roman" w:hAnsi="Times New Roman"/>
          <w:sz w:val="24"/>
          <w:szCs w:val="24"/>
        </w:rPr>
        <w:t xml:space="preserve"> in </w:t>
      </w:r>
      <w:r w:rsidR="007A4E5A">
        <w:rPr>
          <w:rFonts w:ascii="Times New Roman" w:hAnsi="Times New Roman"/>
          <w:sz w:val="24"/>
          <w:szCs w:val="24"/>
        </w:rPr>
        <w:t>the first quarter of</w:t>
      </w:r>
      <w:r w:rsidR="00E5298D">
        <w:rPr>
          <w:rFonts w:ascii="Times New Roman" w:hAnsi="Times New Roman"/>
          <w:sz w:val="24"/>
          <w:szCs w:val="24"/>
        </w:rPr>
        <w:t xml:space="preserve"> 2017</w:t>
      </w:r>
      <w:r w:rsidR="00AE5DFA">
        <w:rPr>
          <w:rFonts w:ascii="Times New Roman" w:hAnsi="Times New Roman"/>
          <w:sz w:val="24"/>
          <w:szCs w:val="24"/>
        </w:rPr>
        <w:t>.</w:t>
      </w:r>
      <w:r w:rsidR="00E5298D">
        <w:rPr>
          <w:rFonts w:ascii="Times New Roman" w:hAnsi="Times New Roman"/>
          <w:sz w:val="24"/>
          <w:szCs w:val="24"/>
        </w:rPr>
        <w:t xml:space="preserve"> </w:t>
      </w:r>
      <w:r w:rsidR="00AE5DFA">
        <w:rPr>
          <w:rFonts w:ascii="Times New Roman" w:hAnsi="Times New Roman"/>
          <w:sz w:val="24"/>
          <w:szCs w:val="24"/>
        </w:rPr>
        <w:t xml:space="preserve"> </w:t>
      </w:r>
      <w:r w:rsidR="000B00E6">
        <w:rPr>
          <w:rFonts w:ascii="Times New Roman" w:hAnsi="Times New Roman"/>
          <w:sz w:val="24"/>
          <w:szCs w:val="24"/>
        </w:rPr>
        <w:t>We propose that t</w:t>
      </w:r>
      <w:r w:rsidR="003C0C49" w:rsidRPr="00415E36">
        <w:rPr>
          <w:rFonts w:ascii="Times New Roman" w:hAnsi="Times New Roman"/>
          <w:sz w:val="24"/>
          <w:szCs w:val="24"/>
        </w:rPr>
        <w:t>he recommended option apply from</w:t>
      </w:r>
      <w:r w:rsidR="007A4E5A">
        <w:rPr>
          <w:rFonts w:ascii="Times New Roman" w:hAnsi="Times New Roman"/>
          <w:sz w:val="24"/>
          <w:szCs w:val="24"/>
        </w:rPr>
        <w:t xml:space="preserve"> the beginning of the 2017</w:t>
      </w:r>
      <w:r w:rsidR="001E4888">
        <w:rPr>
          <w:rFonts w:ascii="Times New Roman" w:hAnsi="Times New Roman"/>
          <w:sz w:val="24"/>
          <w:szCs w:val="24"/>
        </w:rPr>
        <w:t>–</w:t>
      </w:r>
      <w:r w:rsidR="000B00E6">
        <w:rPr>
          <w:rFonts w:ascii="Times New Roman" w:hAnsi="Times New Roman"/>
          <w:sz w:val="24"/>
          <w:szCs w:val="24"/>
        </w:rPr>
        <w:t>18 tax year.  This is something we intend to consult on with the private sector however.</w:t>
      </w:r>
      <w:r w:rsidR="003C0C49" w:rsidRPr="00415E36">
        <w:rPr>
          <w:rFonts w:ascii="Times New Roman" w:hAnsi="Times New Roman"/>
          <w:sz w:val="24"/>
          <w:szCs w:val="24"/>
        </w:rPr>
        <w:t xml:space="preserve">  </w:t>
      </w:r>
    </w:p>
    <w:p w:rsidR="001B1DD5" w:rsidRDefault="001B1DD5" w:rsidP="00495C90">
      <w:pPr>
        <w:pStyle w:val="Bullet-list"/>
        <w:spacing w:after="0" w:line="240" w:lineRule="auto"/>
        <w:ind w:left="0" w:firstLine="0"/>
        <w:rPr>
          <w:rFonts w:ascii="Times New Roman" w:hAnsi="Times New Roman"/>
          <w:sz w:val="24"/>
          <w:szCs w:val="24"/>
        </w:rPr>
      </w:pPr>
    </w:p>
    <w:p w:rsidR="002A7063" w:rsidRPr="00415E36" w:rsidRDefault="002A7063" w:rsidP="00415E36">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15E36">
        <w:rPr>
          <w:rFonts w:ascii="Times New Roman" w:hAnsi="Times New Roman"/>
          <w:sz w:val="24"/>
          <w:szCs w:val="24"/>
        </w:rPr>
        <w:t xml:space="preserve">The detail of the demerger regime will need to specify how the </w:t>
      </w:r>
      <w:r w:rsidR="00415E36" w:rsidRPr="00415E36">
        <w:rPr>
          <w:rFonts w:ascii="Times New Roman" w:hAnsi="Times New Roman"/>
          <w:sz w:val="24"/>
          <w:szCs w:val="24"/>
        </w:rPr>
        <w:t>available subscribed capital</w:t>
      </w:r>
      <w:r w:rsidRPr="00415E36">
        <w:rPr>
          <w:rFonts w:ascii="Times New Roman" w:hAnsi="Times New Roman"/>
          <w:sz w:val="24"/>
          <w:szCs w:val="24"/>
        </w:rPr>
        <w:t xml:space="preserve"> and the cost base of the original share in the distributing company is to be divided between the original share in</w:t>
      </w:r>
      <w:r w:rsidR="00345003">
        <w:rPr>
          <w:rFonts w:ascii="Times New Roman" w:hAnsi="Times New Roman"/>
          <w:sz w:val="24"/>
          <w:szCs w:val="24"/>
        </w:rPr>
        <w:t xml:space="preserve"> the </w:t>
      </w:r>
      <w:r w:rsidR="00E26C22">
        <w:rPr>
          <w:rFonts w:ascii="Times New Roman" w:hAnsi="Times New Roman"/>
          <w:sz w:val="24"/>
          <w:szCs w:val="24"/>
        </w:rPr>
        <w:t>distributing</w:t>
      </w:r>
      <w:r w:rsidR="00345003">
        <w:rPr>
          <w:rFonts w:ascii="Times New Roman" w:hAnsi="Times New Roman"/>
          <w:sz w:val="24"/>
          <w:szCs w:val="24"/>
        </w:rPr>
        <w:t xml:space="preserve"> company</w:t>
      </w:r>
      <w:r w:rsidRPr="00415E36">
        <w:rPr>
          <w:rFonts w:ascii="Times New Roman" w:hAnsi="Times New Roman"/>
          <w:sz w:val="24"/>
          <w:szCs w:val="24"/>
        </w:rPr>
        <w:t xml:space="preserve"> and the new</w:t>
      </w:r>
      <w:r w:rsidR="00345003">
        <w:rPr>
          <w:rFonts w:ascii="Times New Roman" w:hAnsi="Times New Roman"/>
          <w:sz w:val="24"/>
          <w:szCs w:val="24"/>
        </w:rPr>
        <w:t>ly held</w:t>
      </w:r>
      <w:r w:rsidRPr="00415E36">
        <w:rPr>
          <w:rFonts w:ascii="Times New Roman" w:hAnsi="Times New Roman"/>
          <w:sz w:val="24"/>
          <w:szCs w:val="24"/>
        </w:rPr>
        <w:t xml:space="preserve"> share in the demerged company.  It should also provide that the new</w:t>
      </w:r>
      <w:r w:rsidR="00345003">
        <w:rPr>
          <w:rFonts w:ascii="Times New Roman" w:hAnsi="Times New Roman"/>
          <w:sz w:val="24"/>
          <w:szCs w:val="24"/>
        </w:rPr>
        <w:t>ly held</w:t>
      </w:r>
      <w:r w:rsidRPr="00415E36">
        <w:rPr>
          <w:rFonts w:ascii="Times New Roman" w:hAnsi="Times New Roman"/>
          <w:sz w:val="24"/>
          <w:szCs w:val="24"/>
        </w:rPr>
        <w:t xml:space="preserve"> share is held on the same </w:t>
      </w:r>
      <w:r w:rsidR="00415E36" w:rsidRPr="00415E36">
        <w:rPr>
          <w:rFonts w:ascii="Times New Roman" w:hAnsi="Times New Roman"/>
          <w:sz w:val="24"/>
          <w:szCs w:val="24"/>
        </w:rPr>
        <w:t>basis as the original share (for example,</w:t>
      </w:r>
      <w:r w:rsidRPr="00415E36">
        <w:rPr>
          <w:rFonts w:ascii="Times New Roman" w:hAnsi="Times New Roman"/>
          <w:sz w:val="24"/>
          <w:szCs w:val="24"/>
        </w:rPr>
        <w:t xml:space="preserve"> </w:t>
      </w:r>
      <w:r w:rsidR="00415E36" w:rsidRPr="00415E36">
        <w:rPr>
          <w:rFonts w:ascii="Times New Roman" w:hAnsi="Times New Roman"/>
          <w:sz w:val="24"/>
          <w:szCs w:val="24"/>
        </w:rPr>
        <w:t>it should be</w:t>
      </w:r>
      <w:r w:rsidRPr="00415E36">
        <w:rPr>
          <w:rFonts w:ascii="Times New Roman" w:hAnsi="Times New Roman"/>
          <w:sz w:val="24"/>
          <w:szCs w:val="24"/>
        </w:rPr>
        <w:t xml:space="preserve"> held on capital account if the original share is held on capital account).</w:t>
      </w:r>
      <w:r w:rsidR="00495C90">
        <w:rPr>
          <w:rFonts w:ascii="Times New Roman" w:hAnsi="Times New Roman"/>
          <w:sz w:val="24"/>
          <w:szCs w:val="24"/>
        </w:rPr>
        <w:t xml:space="preserve">  These and other details will be finalised following </w:t>
      </w:r>
      <w:r w:rsidR="00A57AB1">
        <w:rPr>
          <w:rFonts w:ascii="Times New Roman" w:hAnsi="Times New Roman"/>
          <w:sz w:val="24"/>
          <w:szCs w:val="24"/>
        </w:rPr>
        <w:t xml:space="preserve">further consultation. </w:t>
      </w:r>
    </w:p>
    <w:p w:rsidR="000545DC" w:rsidRPr="004342F0" w:rsidRDefault="00D943DD" w:rsidP="004342F0">
      <w:pPr>
        <w:pStyle w:val="RISheading"/>
        <w:rPr>
          <w:spacing w:val="0"/>
          <w:w w:val="100"/>
        </w:rPr>
      </w:pPr>
      <w:bookmarkStart w:id="39" w:name="_Toc244580369"/>
      <w:bookmarkStart w:id="40" w:name="_Toc244587045"/>
      <w:bookmarkStart w:id="41" w:name="_Toc244857279"/>
      <w:bookmarkStart w:id="42" w:name="_Toc244912544"/>
      <w:bookmarkStart w:id="43" w:name="_Toc244917001"/>
      <w:r w:rsidRPr="004342F0">
        <w:rPr>
          <w:spacing w:val="0"/>
          <w:w w:val="100"/>
        </w:rPr>
        <w:t>MONITORING, EVALUATION AND REVIEW</w:t>
      </w:r>
      <w:bookmarkEnd w:id="39"/>
      <w:bookmarkEnd w:id="40"/>
      <w:bookmarkEnd w:id="41"/>
      <w:bookmarkEnd w:id="42"/>
      <w:bookmarkEnd w:id="43"/>
    </w:p>
    <w:p w:rsidR="00B534B1" w:rsidRPr="008109CA" w:rsidRDefault="00B534B1" w:rsidP="004E5315">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8109CA">
        <w:rPr>
          <w:rFonts w:ascii="Times New Roman" w:hAnsi="Times New Roman"/>
          <w:sz w:val="24"/>
          <w:szCs w:val="24"/>
        </w:rPr>
        <w:t xml:space="preserve">New Zealand demergers do not in practice lead to unfair tax treatment for shareholders, and </w:t>
      </w:r>
      <w:r w:rsidR="001E4888">
        <w:rPr>
          <w:rFonts w:ascii="Times New Roman" w:hAnsi="Times New Roman"/>
          <w:sz w:val="24"/>
          <w:szCs w:val="24"/>
        </w:rPr>
        <w:t xml:space="preserve">shareholder of </w:t>
      </w:r>
      <w:r w:rsidRPr="008109CA">
        <w:rPr>
          <w:rFonts w:ascii="Times New Roman" w:hAnsi="Times New Roman"/>
          <w:sz w:val="24"/>
          <w:szCs w:val="24"/>
        </w:rPr>
        <w:t xml:space="preserve">foreign companies (excluding Australian listed companies) are </w:t>
      </w:r>
      <w:r w:rsidR="001E4888">
        <w:rPr>
          <w:rFonts w:ascii="Times New Roman" w:hAnsi="Times New Roman"/>
          <w:sz w:val="24"/>
          <w:szCs w:val="24"/>
        </w:rPr>
        <w:t xml:space="preserve">generally </w:t>
      </w:r>
      <w:r w:rsidRPr="008109CA">
        <w:rPr>
          <w:rFonts w:ascii="Times New Roman" w:hAnsi="Times New Roman"/>
          <w:sz w:val="24"/>
          <w:szCs w:val="24"/>
        </w:rPr>
        <w:t xml:space="preserve">subject to the FIF rules.  Therefore the problem is </w:t>
      </w:r>
      <w:r w:rsidR="001E4888">
        <w:rPr>
          <w:rFonts w:ascii="Times New Roman" w:hAnsi="Times New Roman"/>
          <w:sz w:val="24"/>
          <w:szCs w:val="24"/>
        </w:rPr>
        <w:t xml:space="preserve">mainly </w:t>
      </w:r>
      <w:r w:rsidRPr="008109CA">
        <w:rPr>
          <w:rFonts w:ascii="Times New Roman" w:hAnsi="Times New Roman"/>
          <w:sz w:val="24"/>
          <w:szCs w:val="24"/>
        </w:rPr>
        <w:t>confined to Australian</w:t>
      </w:r>
      <w:r w:rsidR="001E4888">
        <w:rPr>
          <w:rFonts w:ascii="Times New Roman" w:hAnsi="Times New Roman"/>
          <w:sz w:val="24"/>
          <w:szCs w:val="24"/>
        </w:rPr>
        <w:t>-</w:t>
      </w:r>
      <w:r w:rsidRPr="008109CA">
        <w:rPr>
          <w:rFonts w:ascii="Times New Roman" w:hAnsi="Times New Roman"/>
          <w:sz w:val="24"/>
          <w:szCs w:val="24"/>
        </w:rPr>
        <w:t xml:space="preserve">listed companies and the recommended option is expected to be a permanent solution which resolves this issue in </w:t>
      </w:r>
      <w:r w:rsidR="001E4888">
        <w:rPr>
          <w:rFonts w:ascii="Times New Roman" w:hAnsi="Times New Roman"/>
          <w:sz w:val="24"/>
          <w:szCs w:val="24"/>
        </w:rPr>
        <w:t>practice</w:t>
      </w:r>
      <w:r w:rsidRPr="008109CA">
        <w:rPr>
          <w:rFonts w:ascii="Times New Roman" w:hAnsi="Times New Roman"/>
          <w:sz w:val="24"/>
          <w:szCs w:val="24"/>
        </w:rPr>
        <w:t xml:space="preserve">.  </w:t>
      </w:r>
      <w:r w:rsidR="008109CA">
        <w:rPr>
          <w:rFonts w:ascii="Times New Roman" w:hAnsi="Times New Roman"/>
          <w:sz w:val="24"/>
          <w:szCs w:val="24"/>
        </w:rPr>
        <w:t>I</w:t>
      </w:r>
      <w:r w:rsidRPr="008109CA">
        <w:rPr>
          <w:rFonts w:ascii="Times New Roman" w:hAnsi="Times New Roman"/>
          <w:sz w:val="24"/>
          <w:szCs w:val="24"/>
        </w:rPr>
        <w:t>t is not expected that a broader demer</w:t>
      </w:r>
      <w:r w:rsidR="008109CA">
        <w:rPr>
          <w:rFonts w:ascii="Times New Roman" w:hAnsi="Times New Roman"/>
          <w:sz w:val="24"/>
          <w:szCs w:val="24"/>
        </w:rPr>
        <w:t xml:space="preserve">gers regime </w:t>
      </w:r>
      <w:r w:rsidR="00F11142">
        <w:rPr>
          <w:rFonts w:ascii="Times New Roman" w:hAnsi="Times New Roman"/>
          <w:sz w:val="24"/>
          <w:szCs w:val="24"/>
        </w:rPr>
        <w:t>will be</w:t>
      </w:r>
      <w:r w:rsidR="008109CA">
        <w:rPr>
          <w:rFonts w:ascii="Times New Roman" w:hAnsi="Times New Roman"/>
          <w:sz w:val="24"/>
          <w:szCs w:val="24"/>
        </w:rPr>
        <w:t xml:space="preserve"> needed in the future.  </w:t>
      </w:r>
    </w:p>
    <w:p w:rsidR="00B534B1" w:rsidRDefault="00B534B1" w:rsidP="00B534B1">
      <w:pPr>
        <w:pStyle w:val="Bullet-list"/>
        <w:spacing w:after="0" w:line="240" w:lineRule="auto"/>
        <w:ind w:left="0" w:firstLine="0"/>
        <w:jc w:val="both"/>
        <w:rPr>
          <w:rFonts w:ascii="Times New Roman" w:hAnsi="Times New Roman"/>
          <w:sz w:val="24"/>
          <w:szCs w:val="24"/>
        </w:rPr>
      </w:pPr>
    </w:p>
    <w:p w:rsidR="003C0C49" w:rsidRDefault="00DB19E0" w:rsidP="004E5315">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general, </w:t>
      </w:r>
      <w:r w:rsidRPr="00DB19E0">
        <w:rPr>
          <w:rFonts w:ascii="Times New Roman" w:hAnsi="Times New Roman"/>
          <w:sz w:val="24"/>
          <w:szCs w:val="24"/>
        </w:rPr>
        <w:t>Inland Revenue</w:t>
      </w:r>
      <w:r>
        <w:rPr>
          <w:rFonts w:ascii="Times New Roman" w:hAnsi="Times New Roman"/>
          <w:sz w:val="24"/>
          <w:szCs w:val="24"/>
        </w:rPr>
        <w:t xml:space="preserve">’s monitoring, evaluation and review of new legislation takes place under the generic tax policy process (GTTP).  The GTTP is a multi-stage tax policy process that has been used to design tax policy in New Zealand since 1995.  </w:t>
      </w:r>
    </w:p>
    <w:p w:rsidR="003C0C49" w:rsidRDefault="003C0C49" w:rsidP="003C0C49">
      <w:pPr>
        <w:pStyle w:val="Bullet-list"/>
        <w:spacing w:after="0" w:line="240" w:lineRule="auto"/>
        <w:ind w:left="0" w:firstLine="0"/>
        <w:jc w:val="both"/>
        <w:rPr>
          <w:rFonts w:ascii="Times New Roman" w:hAnsi="Times New Roman"/>
          <w:sz w:val="24"/>
          <w:szCs w:val="24"/>
        </w:rPr>
      </w:pPr>
    </w:p>
    <w:p w:rsidR="00B534B1" w:rsidRPr="00B534B1" w:rsidRDefault="00DB19E0" w:rsidP="00B534B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final stage in the GTPP is the implementation and review stage, which involves post-implementation review of the legislation, and the identification of any remedial issues.  Opportunities for external consultation are also built into this stage.  In practice, any changes identified as necessary for the new legislation to have its intended effect would be prioritised in the context of the current Tax Policy Work Programme, and any proposals would go through the GTTP. </w:t>
      </w:r>
    </w:p>
    <w:p w:rsidR="00DB19E0" w:rsidRDefault="00DB19E0" w:rsidP="00DB19E0">
      <w:pPr>
        <w:pStyle w:val="Bullet-list"/>
        <w:spacing w:after="0" w:line="240" w:lineRule="auto"/>
        <w:ind w:left="0" w:firstLine="0"/>
        <w:rPr>
          <w:rFonts w:ascii="Times New Roman" w:hAnsi="Times New Roman"/>
          <w:sz w:val="24"/>
          <w:szCs w:val="24"/>
        </w:rPr>
      </w:pPr>
    </w:p>
    <w:p w:rsidR="00594805" w:rsidRPr="00594805" w:rsidRDefault="00594805" w:rsidP="00594805">
      <w:pPr>
        <w:spacing w:after="0" w:line="240" w:lineRule="auto"/>
        <w:rPr>
          <w:rFonts w:ascii="Times New Roman" w:hAnsi="Times New Roman"/>
          <w:sz w:val="24"/>
          <w:szCs w:val="24"/>
          <w:lang w:val="en-NZ" w:eastAsia="en-AU"/>
        </w:rPr>
      </w:pPr>
    </w:p>
    <w:sectPr w:rsidR="00594805" w:rsidRPr="00594805" w:rsidSect="006474EE">
      <w:footerReference w:type="even" r:id="rId8"/>
      <w:footerReference w:type="default" r:id="rId9"/>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63" w:rsidRDefault="00702963" w:rsidP="00F72085">
      <w:r>
        <w:separator/>
      </w:r>
    </w:p>
  </w:endnote>
  <w:endnote w:type="continuationSeparator" w:id="0">
    <w:p w:rsidR="00702963" w:rsidRDefault="00702963"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63" w:rsidRDefault="00702963"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02963" w:rsidRPr="00281580" w:rsidRDefault="00702963"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63" w:rsidRPr="00594805" w:rsidRDefault="00702963"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5D12A8">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63" w:rsidRDefault="00702963" w:rsidP="00F72085">
      <w:r>
        <w:separator/>
      </w:r>
    </w:p>
  </w:footnote>
  <w:footnote w:type="continuationSeparator" w:id="0">
    <w:p w:rsidR="00702963" w:rsidRDefault="00702963" w:rsidP="00F7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1B44E07"/>
    <w:multiLevelType w:val="hybridMultilevel"/>
    <w:tmpl w:val="4AFAD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1DF4099"/>
    <w:multiLevelType w:val="hybridMultilevel"/>
    <w:tmpl w:val="D9A427B0"/>
    <w:lvl w:ilvl="0" w:tplc="14090001">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52A1AA3"/>
    <w:multiLevelType w:val="hybridMultilevel"/>
    <w:tmpl w:val="10C248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59074B9"/>
    <w:multiLevelType w:val="hybridMultilevel"/>
    <w:tmpl w:val="6F50E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70033C"/>
    <w:multiLevelType w:val="hybridMultilevel"/>
    <w:tmpl w:val="656AE86A"/>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start w:val="1"/>
      <w:numFmt w:val="lowerRoman"/>
      <w:lvlText w:val="%3."/>
      <w:lvlJc w:val="right"/>
      <w:pPr>
        <w:tabs>
          <w:tab w:val="num" w:pos="2160"/>
        </w:tabs>
        <w:ind w:left="2160" w:hanging="180"/>
      </w:pPr>
    </w:lvl>
    <w:lvl w:ilvl="3" w:tplc="8E467C4A">
      <w:start w:val="1"/>
      <w:numFmt w:val="lowerLetter"/>
      <w:lvlText w:val="%4)"/>
      <w:lvlJc w:val="left"/>
      <w:pPr>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689157B"/>
    <w:multiLevelType w:val="hybridMultilevel"/>
    <w:tmpl w:val="592E96D2"/>
    <w:lvl w:ilvl="0" w:tplc="FC362A48">
      <w:numFmt w:val="bullet"/>
      <w:lvlText w:val=""/>
      <w:lvlJc w:val="left"/>
      <w:pPr>
        <w:ind w:left="2629" w:hanging="360"/>
      </w:pPr>
      <w:rPr>
        <w:rFonts w:ascii="Wingdings 2" w:eastAsiaTheme="minorHAnsi" w:hAnsi="Wingdings 2" w:cs="Times New Roman" w:hint="default"/>
        <w:sz w:val="22"/>
      </w:rPr>
    </w:lvl>
    <w:lvl w:ilvl="1" w:tplc="14090003" w:tentative="1">
      <w:start w:val="1"/>
      <w:numFmt w:val="bullet"/>
      <w:lvlText w:val="o"/>
      <w:lvlJc w:val="left"/>
      <w:pPr>
        <w:ind w:left="3349" w:hanging="360"/>
      </w:pPr>
      <w:rPr>
        <w:rFonts w:ascii="Courier New" w:hAnsi="Courier New" w:cs="Courier New" w:hint="default"/>
      </w:rPr>
    </w:lvl>
    <w:lvl w:ilvl="2" w:tplc="14090005" w:tentative="1">
      <w:start w:val="1"/>
      <w:numFmt w:val="bullet"/>
      <w:lvlText w:val=""/>
      <w:lvlJc w:val="left"/>
      <w:pPr>
        <w:ind w:left="4069" w:hanging="360"/>
      </w:pPr>
      <w:rPr>
        <w:rFonts w:ascii="Wingdings" w:hAnsi="Wingdings" w:hint="default"/>
      </w:rPr>
    </w:lvl>
    <w:lvl w:ilvl="3" w:tplc="14090001" w:tentative="1">
      <w:start w:val="1"/>
      <w:numFmt w:val="bullet"/>
      <w:lvlText w:val=""/>
      <w:lvlJc w:val="left"/>
      <w:pPr>
        <w:ind w:left="4789" w:hanging="360"/>
      </w:pPr>
      <w:rPr>
        <w:rFonts w:ascii="Symbol" w:hAnsi="Symbol" w:hint="default"/>
      </w:rPr>
    </w:lvl>
    <w:lvl w:ilvl="4" w:tplc="14090003" w:tentative="1">
      <w:start w:val="1"/>
      <w:numFmt w:val="bullet"/>
      <w:lvlText w:val="o"/>
      <w:lvlJc w:val="left"/>
      <w:pPr>
        <w:ind w:left="5509" w:hanging="360"/>
      </w:pPr>
      <w:rPr>
        <w:rFonts w:ascii="Courier New" w:hAnsi="Courier New" w:cs="Courier New" w:hint="default"/>
      </w:rPr>
    </w:lvl>
    <w:lvl w:ilvl="5" w:tplc="14090005" w:tentative="1">
      <w:start w:val="1"/>
      <w:numFmt w:val="bullet"/>
      <w:lvlText w:val=""/>
      <w:lvlJc w:val="left"/>
      <w:pPr>
        <w:ind w:left="6229" w:hanging="360"/>
      </w:pPr>
      <w:rPr>
        <w:rFonts w:ascii="Wingdings" w:hAnsi="Wingdings" w:hint="default"/>
      </w:rPr>
    </w:lvl>
    <w:lvl w:ilvl="6" w:tplc="14090001" w:tentative="1">
      <w:start w:val="1"/>
      <w:numFmt w:val="bullet"/>
      <w:lvlText w:val=""/>
      <w:lvlJc w:val="left"/>
      <w:pPr>
        <w:ind w:left="6949" w:hanging="360"/>
      </w:pPr>
      <w:rPr>
        <w:rFonts w:ascii="Symbol" w:hAnsi="Symbol" w:hint="default"/>
      </w:rPr>
    </w:lvl>
    <w:lvl w:ilvl="7" w:tplc="14090003" w:tentative="1">
      <w:start w:val="1"/>
      <w:numFmt w:val="bullet"/>
      <w:lvlText w:val="o"/>
      <w:lvlJc w:val="left"/>
      <w:pPr>
        <w:ind w:left="7669" w:hanging="360"/>
      </w:pPr>
      <w:rPr>
        <w:rFonts w:ascii="Courier New" w:hAnsi="Courier New" w:cs="Courier New" w:hint="default"/>
      </w:rPr>
    </w:lvl>
    <w:lvl w:ilvl="8" w:tplc="14090005" w:tentative="1">
      <w:start w:val="1"/>
      <w:numFmt w:val="bullet"/>
      <w:lvlText w:val=""/>
      <w:lvlJc w:val="left"/>
      <w:pPr>
        <w:ind w:left="8389" w:hanging="360"/>
      </w:pPr>
      <w:rPr>
        <w:rFonts w:ascii="Wingdings" w:hAnsi="Wingdings" w:hint="default"/>
      </w:rPr>
    </w:lvl>
  </w:abstractNum>
  <w:abstractNum w:abstractNumId="7">
    <w:nsid w:val="298E77E6"/>
    <w:multiLevelType w:val="multilevel"/>
    <w:tmpl w:val="14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4F215E"/>
    <w:multiLevelType w:val="hybridMultilevel"/>
    <w:tmpl w:val="9BB638E2"/>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9">
    <w:nsid w:val="2D9C05B6"/>
    <w:multiLevelType w:val="hybridMultilevel"/>
    <w:tmpl w:val="546AF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551EAB"/>
    <w:multiLevelType w:val="multilevel"/>
    <w:tmpl w:val="1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nsid w:val="38DE5A8D"/>
    <w:multiLevelType w:val="hybridMultilevel"/>
    <w:tmpl w:val="5AE68BEC"/>
    <w:lvl w:ilvl="0" w:tplc="B44657CA">
      <w:start w:val="1"/>
      <w:numFmt w:val="bullet"/>
      <w:lvlText w:val=""/>
      <w:lvlJc w:val="left"/>
      <w:pPr>
        <w:ind w:left="720" w:hanging="360"/>
      </w:pPr>
      <w:rPr>
        <w:rFonts w:ascii="Symbol" w:hAnsi="Symbol" w:hint="default"/>
      </w:rPr>
    </w:lvl>
    <w:lvl w:ilvl="1" w:tplc="46E40F2C">
      <w:start w:val="1"/>
      <w:numFmt w:val="bullet"/>
      <w:lvlText w:val="o"/>
      <w:lvlJc w:val="left"/>
      <w:pPr>
        <w:ind w:left="1440" w:hanging="360"/>
      </w:pPr>
      <w:rPr>
        <w:rFonts w:ascii="Courier New" w:hAnsi="Courier New" w:cs="Courier New" w:hint="default"/>
      </w:rPr>
    </w:lvl>
    <w:lvl w:ilvl="2" w:tplc="73004A3C">
      <w:start w:val="1"/>
      <w:numFmt w:val="decimal"/>
      <w:lvlText w:val="%3."/>
      <w:lvlJc w:val="left"/>
      <w:pPr>
        <w:tabs>
          <w:tab w:val="num" w:pos="2160"/>
        </w:tabs>
        <w:ind w:left="2160" w:hanging="360"/>
      </w:pPr>
      <w:rPr>
        <w:rFonts w:hint="default"/>
      </w:rPr>
    </w:lvl>
    <w:lvl w:ilvl="3" w:tplc="621EB08A" w:tentative="1">
      <w:start w:val="1"/>
      <w:numFmt w:val="bullet"/>
      <w:lvlText w:val=""/>
      <w:lvlJc w:val="left"/>
      <w:pPr>
        <w:ind w:left="2880" w:hanging="360"/>
      </w:pPr>
      <w:rPr>
        <w:rFonts w:ascii="Symbol" w:hAnsi="Symbol" w:hint="default"/>
      </w:rPr>
    </w:lvl>
    <w:lvl w:ilvl="4" w:tplc="16147CA2" w:tentative="1">
      <w:start w:val="1"/>
      <w:numFmt w:val="bullet"/>
      <w:lvlText w:val="o"/>
      <w:lvlJc w:val="left"/>
      <w:pPr>
        <w:ind w:left="3600" w:hanging="360"/>
      </w:pPr>
      <w:rPr>
        <w:rFonts w:ascii="Courier New" w:hAnsi="Courier New" w:cs="Courier New" w:hint="default"/>
      </w:rPr>
    </w:lvl>
    <w:lvl w:ilvl="5" w:tplc="EAD81546" w:tentative="1">
      <w:start w:val="1"/>
      <w:numFmt w:val="bullet"/>
      <w:lvlText w:val=""/>
      <w:lvlJc w:val="left"/>
      <w:pPr>
        <w:ind w:left="4320" w:hanging="360"/>
      </w:pPr>
      <w:rPr>
        <w:rFonts w:ascii="Wingdings" w:hAnsi="Wingdings" w:hint="default"/>
      </w:rPr>
    </w:lvl>
    <w:lvl w:ilvl="6" w:tplc="913A01E8" w:tentative="1">
      <w:start w:val="1"/>
      <w:numFmt w:val="bullet"/>
      <w:lvlText w:val=""/>
      <w:lvlJc w:val="left"/>
      <w:pPr>
        <w:ind w:left="5040" w:hanging="360"/>
      </w:pPr>
      <w:rPr>
        <w:rFonts w:ascii="Symbol" w:hAnsi="Symbol" w:hint="default"/>
      </w:rPr>
    </w:lvl>
    <w:lvl w:ilvl="7" w:tplc="750CBC40" w:tentative="1">
      <w:start w:val="1"/>
      <w:numFmt w:val="bullet"/>
      <w:lvlText w:val="o"/>
      <w:lvlJc w:val="left"/>
      <w:pPr>
        <w:ind w:left="5760" w:hanging="360"/>
      </w:pPr>
      <w:rPr>
        <w:rFonts w:ascii="Courier New" w:hAnsi="Courier New" w:cs="Courier New" w:hint="default"/>
      </w:rPr>
    </w:lvl>
    <w:lvl w:ilvl="8" w:tplc="649E63F4" w:tentative="1">
      <w:start w:val="1"/>
      <w:numFmt w:val="bullet"/>
      <w:lvlText w:val=""/>
      <w:lvlJc w:val="left"/>
      <w:pPr>
        <w:ind w:left="6480" w:hanging="360"/>
      </w:pPr>
      <w:rPr>
        <w:rFonts w:ascii="Wingdings" w:hAnsi="Wingdings" w:hint="default"/>
      </w:rPr>
    </w:lvl>
  </w:abstractNum>
  <w:abstractNum w:abstractNumId="13">
    <w:nsid w:val="406E76BB"/>
    <w:multiLevelType w:val="singleLevel"/>
    <w:tmpl w:val="14090001"/>
    <w:lvl w:ilvl="0">
      <w:start w:val="1"/>
      <w:numFmt w:val="bullet"/>
      <w:lvlText w:val=""/>
      <w:lvlJc w:val="left"/>
      <w:pPr>
        <w:ind w:left="720" w:hanging="360"/>
      </w:pPr>
      <w:rPr>
        <w:rFonts w:ascii="Symbol" w:hAnsi="Symbol" w:hint="default"/>
      </w:rPr>
    </w:lvl>
  </w:abstractNum>
  <w:abstractNum w:abstractNumId="14">
    <w:nsid w:val="462F4703"/>
    <w:multiLevelType w:val="hybridMultilevel"/>
    <w:tmpl w:val="3622010A"/>
    <w:lvl w:ilvl="0" w:tplc="8E14043E">
      <w:start w:val="20"/>
      <w:numFmt w:val="bullet"/>
      <w:lvlText w:val=""/>
      <w:lvlJc w:val="left"/>
      <w:pPr>
        <w:ind w:left="927" w:hanging="360"/>
      </w:pPr>
      <w:rPr>
        <w:rFonts w:ascii="Wingdings 2" w:eastAsiaTheme="minorHAnsi" w:hAnsi="Wingdings 2"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5">
    <w:nsid w:val="494E7FCF"/>
    <w:multiLevelType w:val="hybridMultilevel"/>
    <w:tmpl w:val="F67EE026"/>
    <w:lvl w:ilvl="0" w:tplc="572A7684">
      <w:start w:val="1"/>
      <w:numFmt w:val="bullet"/>
      <w:lvlText w:val=""/>
      <w:lvlJc w:val="left"/>
      <w:pPr>
        <w:ind w:left="720" w:hanging="360"/>
      </w:pPr>
      <w:rPr>
        <w:rFonts w:ascii="Symbol" w:hAnsi="Symbol" w:hint="default"/>
      </w:rPr>
    </w:lvl>
    <w:lvl w:ilvl="1" w:tplc="451E0092" w:tentative="1">
      <w:start w:val="1"/>
      <w:numFmt w:val="bullet"/>
      <w:lvlText w:val="o"/>
      <w:lvlJc w:val="left"/>
      <w:pPr>
        <w:ind w:left="1440" w:hanging="360"/>
      </w:pPr>
      <w:rPr>
        <w:rFonts w:ascii="Courier New" w:hAnsi="Courier New" w:cs="Courier New" w:hint="default"/>
      </w:rPr>
    </w:lvl>
    <w:lvl w:ilvl="2" w:tplc="29307FEE" w:tentative="1">
      <w:start w:val="1"/>
      <w:numFmt w:val="bullet"/>
      <w:lvlText w:val=""/>
      <w:lvlJc w:val="left"/>
      <w:pPr>
        <w:ind w:left="2160" w:hanging="360"/>
      </w:pPr>
      <w:rPr>
        <w:rFonts w:ascii="Wingdings" w:hAnsi="Wingdings" w:hint="default"/>
      </w:rPr>
    </w:lvl>
    <w:lvl w:ilvl="3" w:tplc="65F4B998" w:tentative="1">
      <w:start w:val="1"/>
      <w:numFmt w:val="bullet"/>
      <w:lvlText w:val=""/>
      <w:lvlJc w:val="left"/>
      <w:pPr>
        <w:ind w:left="2880" w:hanging="360"/>
      </w:pPr>
      <w:rPr>
        <w:rFonts w:ascii="Symbol" w:hAnsi="Symbol" w:hint="default"/>
      </w:rPr>
    </w:lvl>
    <w:lvl w:ilvl="4" w:tplc="73BC9118" w:tentative="1">
      <w:start w:val="1"/>
      <w:numFmt w:val="bullet"/>
      <w:lvlText w:val="o"/>
      <w:lvlJc w:val="left"/>
      <w:pPr>
        <w:ind w:left="3600" w:hanging="360"/>
      </w:pPr>
      <w:rPr>
        <w:rFonts w:ascii="Courier New" w:hAnsi="Courier New" w:cs="Courier New" w:hint="default"/>
      </w:rPr>
    </w:lvl>
    <w:lvl w:ilvl="5" w:tplc="DD582E46" w:tentative="1">
      <w:start w:val="1"/>
      <w:numFmt w:val="bullet"/>
      <w:lvlText w:val=""/>
      <w:lvlJc w:val="left"/>
      <w:pPr>
        <w:ind w:left="4320" w:hanging="360"/>
      </w:pPr>
      <w:rPr>
        <w:rFonts w:ascii="Wingdings" w:hAnsi="Wingdings" w:hint="default"/>
      </w:rPr>
    </w:lvl>
    <w:lvl w:ilvl="6" w:tplc="9B882FFE" w:tentative="1">
      <w:start w:val="1"/>
      <w:numFmt w:val="bullet"/>
      <w:lvlText w:val=""/>
      <w:lvlJc w:val="left"/>
      <w:pPr>
        <w:ind w:left="5040" w:hanging="360"/>
      </w:pPr>
      <w:rPr>
        <w:rFonts w:ascii="Symbol" w:hAnsi="Symbol" w:hint="default"/>
      </w:rPr>
    </w:lvl>
    <w:lvl w:ilvl="7" w:tplc="869CB87A" w:tentative="1">
      <w:start w:val="1"/>
      <w:numFmt w:val="bullet"/>
      <w:lvlText w:val="o"/>
      <w:lvlJc w:val="left"/>
      <w:pPr>
        <w:ind w:left="5760" w:hanging="360"/>
      </w:pPr>
      <w:rPr>
        <w:rFonts w:ascii="Courier New" w:hAnsi="Courier New" w:cs="Courier New" w:hint="default"/>
      </w:rPr>
    </w:lvl>
    <w:lvl w:ilvl="8" w:tplc="B6182DA4" w:tentative="1">
      <w:start w:val="1"/>
      <w:numFmt w:val="bullet"/>
      <w:lvlText w:val=""/>
      <w:lvlJc w:val="left"/>
      <w:pPr>
        <w:ind w:left="6480" w:hanging="360"/>
      </w:pPr>
      <w:rPr>
        <w:rFonts w:ascii="Wingdings" w:hAnsi="Wingdings" w:hint="default"/>
      </w:rPr>
    </w:lvl>
  </w:abstractNum>
  <w:abstractNum w:abstractNumId="16">
    <w:nsid w:val="568A2F47"/>
    <w:multiLevelType w:val="hybridMultilevel"/>
    <w:tmpl w:val="6218B3A2"/>
    <w:lvl w:ilvl="0" w:tplc="14090001">
      <w:start w:val="9"/>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567371"/>
    <w:multiLevelType w:val="hybridMultilevel"/>
    <w:tmpl w:val="1F5C96C6"/>
    <w:lvl w:ilvl="0" w:tplc="14090001">
      <w:start w:val="1"/>
      <w:numFmt w:val="bullet"/>
      <w:lvlText w:val=""/>
      <w:lvlJc w:val="left"/>
      <w:pPr>
        <w:tabs>
          <w:tab w:val="num" w:pos="720"/>
        </w:tabs>
        <w:ind w:left="720" w:hanging="360"/>
      </w:pPr>
      <w:rPr>
        <w:rFonts w:ascii="Symbol" w:hAnsi="Symbol" w:hint="default"/>
        <w:b w:val="0"/>
      </w:rPr>
    </w:lvl>
    <w:lvl w:ilvl="1" w:tplc="14090003">
      <w:start w:val="1"/>
      <w:numFmt w:val="decimal"/>
      <w:lvlText w:val="%2."/>
      <w:lvlJc w:val="left"/>
      <w:pPr>
        <w:tabs>
          <w:tab w:val="num" w:pos="1440"/>
        </w:tabs>
        <w:ind w:left="1440" w:hanging="360"/>
      </w:pPr>
      <w:rPr>
        <w:b w:val="0"/>
      </w:r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18">
    <w:nsid w:val="668B427B"/>
    <w:multiLevelType w:val="hybridMultilevel"/>
    <w:tmpl w:val="539A983C"/>
    <w:lvl w:ilvl="0" w:tplc="14090001">
      <w:start w:val="1"/>
      <w:numFmt w:val="bullet"/>
      <w:lvlText w:val=""/>
      <w:lvlJc w:val="left"/>
      <w:pPr>
        <w:ind w:left="720" w:hanging="360"/>
      </w:pPr>
      <w:rPr>
        <w:rFonts w:ascii="Symbol" w:hAnsi="Symbol" w:hint="default"/>
      </w:rPr>
    </w:lvl>
    <w:lvl w:ilvl="1" w:tplc="0C09000F"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nsid w:val="69610E92"/>
    <w:multiLevelType w:val="hybridMultilevel"/>
    <w:tmpl w:val="6C300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0"/>
  </w:num>
  <w:num w:numId="5">
    <w:abstractNumId w:val="20"/>
  </w:num>
  <w:num w:numId="6">
    <w:abstractNumId w:val="15"/>
  </w:num>
  <w:num w:numId="7">
    <w:abstractNumId w:val="9"/>
  </w:num>
  <w:num w:numId="8">
    <w:abstractNumId w:val="18"/>
  </w:num>
  <w:num w:numId="9">
    <w:abstractNumId w:val="8"/>
  </w:num>
  <w:num w:numId="10">
    <w:abstractNumId w:val="3"/>
  </w:num>
  <w:num w:numId="11">
    <w:abstractNumId w:val="10"/>
  </w:num>
  <w:num w:numId="12">
    <w:abstractNumId w:val="13"/>
  </w:num>
  <w:num w:numId="13">
    <w:abstractNumId w:val="1"/>
  </w:num>
  <w:num w:numId="14">
    <w:abstractNumId w:val="7"/>
  </w:num>
  <w:num w:numId="15">
    <w:abstractNumId w:val="4"/>
  </w:num>
  <w:num w:numId="16">
    <w:abstractNumId w:val="2"/>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6"/>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87"/>
    <w:rsid w:val="00001539"/>
    <w:rsid w:val="00002433"/>
    <w:rsid w:val="000037F4"/>
    <w:rsid w:val="00004A8A"/>
    <w:rsid w:val="00005DC9"/>
    <w:rsid w:val="00010986"/>
    <w:rsid w:val="00010F7D"/>
    <w:rsid w:val="00012338"/>
    <w:rsid w:val="000126BA"/>
    <w:rsid w:val="00013A18"/>
    <w:rsid w:val="00014196"/>
    <w:rsid w:val="000147DC"/>
    <w:rsid w:val="00015072"/>
    <w:rsid w:val="00016722"/>
    <w:rsid w:val="0002068B"/>
    <w:rsid w:val="000211CD"/>
    <w:rsid w:val="000232EB"/>
    <w:rsid w:val="00023BAB"/>
    <w:rsid w:val="00023EA6"/>
    <w:rsid w:val="00024B22"/>
    <w:rsid w:val="00024FE2"/>
    <w:rsid w:val="0002568E"/>
    <w:rsid w:val="00025954"/>
    <w:rsid w:val="00030890"/>
    <w:rsid w:val="00030DEA"/>
    <w:rsid w:val="00033950"/>
    <w:rsid w:val="000343E7"/>
    <w:rsid w:val="00035185"/>
    <w:rsid w:val="00036A3D"/>
    <w:rsid w:val="00036EE4"/>
    <w:rsid w:val="00041469"/>
    <w:rsid w:val="00041CD1"/>
    <w:rsid w:val="0004221C"/>
    <w:rsid w:val="000431FE"/>
    <w:rsid w:val="000435AD"/>
    <w:rsid w:val="00044C69"/>
    <w:rsid w:val="00045AFC"/>
    <w:rsid w:val="00046F46"/>
    <w:rsid w:val="00047559"/>
    <w:rsid w:val="00051B10"/>
    <w:rsid w:val="000523FC"/>
    <w:rsid w:val="000526E4"/>
    <w:rsid w:val="0005434D"/>
    <w:rsid w:val="000545DC"/>
    <w:rsid w:val="0005503E"/>
    <w:rsid w:val="00055373"/>
    <w:rsid w:val="00055D70"/>
    <w:rsid w:val="00056263"/>
    <w:rsid w:val="00056E3D"/>
    <w:rsid w:val="00056F77"/>
    <w:rsid w:val="00057615"/>
    <w:rsid w:val="0005761E"/>
    <w:rsid w:val="00057AC4"/>
    <w:rsid w:val="000606D4"/>
    <w:rsid w:val="00060712"/>
    <w:rsid w:val="00060AAB"/>
    <w:rsid w:val="00060CD3"/>
    <w:rsid w:val="000626CA"/>
    <w:rsid w:val="000655B2"/>
    <w:rsid w:val="00067C6A"/>
    <w:rsid w:val="00070193"/>
    <w:rsid w:val="00071E8A"/>
    <w:rsid w:val="00073A19"/>
    <w:rsid w:val="00073F31"/>
    <w:rsid w:val="000745D3"/>
    <w:rsid w:val="00074B13"/>
    <w:rsid w:val="00074D02"/>
    <w:rsid w:val="0007562B"/>
    <w:rsid w:val="00080CE0"/>
    <w:rsid w:val="00080DE3"/>
    <w:rsid w:val="000814C8"/>
    <w:rsid w:val="00082653"/>
    <w:rsid w:val="00082ABC"/>
    <w:rsid w:val="00083ADB"/>
    <w:rsid w:val="00085660"/>
    <w:rsid w:val="00086007"/>
    <w:rsid w:val="000863E2"/>
    <w:rsid w:val="00086898"/>
    <w:rsid w:val="0008712F"/>
    <w:rsid w:val="00087C41"/>
    <w:rsid w:val="0009438D"/>
    <w:rsid w:val="00095446"/>
    <w:rsid w:val="00096BFA"/>
    <w:rsid w:val="000A073E"/>
    <w:rsid w:val="000A20D1"/>
    <w:rsid w:val="000A39F4"/>
    <w:rsid w:val="000A43F8"/>
    <w:rsid w:val="000A4419"/>
    <w:rsid w:val="000B005C"/>
    <w:rsid w:val="000B00E6"/>
    <w:rsid w:val="000B01CC"/>
    <w:rsid w:val="000B0480"/>
    <w:rsid w:val="000B0615"/>
    <w:rsid w:val="000B0C12"/>
    <w:rsid w:val="000B0D42"/>
    <w:rsid w:val="000B16BF"/>
    <w:rsid w:val="000B2052"/>
    <w:rsid w:val="000B5B1E"/>
    <w:rsid w:val="000C0912"/>
    <w:rsid w:val="000C1B58"/>
    <w:rsid w:val="000C2669"/>
    <w:rsid w:val="000C26E9"/>
    <w:rsid w:val="000C3EB5"/>
    <w:rsid w:val="000C43B6"/>
    <w:rsid w:val="000C684B"/>
    <w:rsid w:val="000C6EED"/>
    <w:rsid w:val="000C79FD"/>
    <w:rsid w:val="000D012A"/>
    <w:rsid w:val="000D0FA0"/>
    <w:rsid w:val="000D2A6B"/>
    <w:rsid w:val="000D31FE"/>
    <w:rsid w:val="000D5E01"/>
    <w:rsid w:val="000D6393"/>
    <w:rsid w:val="000D670A"/>
    <w:rsid w:val="000D77C0"/>
    <w:rsid w:val="000D7C12"/>
    <w:rsid w:val="000E0036"/>
    <w:rsid w:val="000E09FF"/>
    <w:rsid w:val="000E310A"/>
    <w:rsid w:val="000E3979"/>
    <w:rsid w:val="000E3CE1"/>
    <w:rsid w:val="000E3E74"/>
    <w:rsid w:val="000E4131"/>
    <w:rsid w:val="000E6D4E"/>
    <w:rsid w:val="000E73FF"/>
    <w:rsid w:val="000E7C1C"/>
    <w:rsid w:val="000F03B0"/>
    <w:rsid w:val="000F0960"/>
    <w:rsid w:val="000F162C"/>
    <w:rsid w:val="000F3333"/>
    <w:rsid w:val="000F6F99"/>
    <w:rsid w:val="000F7020"/>
    <w:rsid w:val="00101A24"/>
    <w:rsid w:val="001100C5"/>
    <w:rsid w:val="00111159"/>
    <w:rsid w:val="00111DFE"/>
    <w:rsid w:val="00113146"/>
    <w:rsid w:val="00114F56"/>
    <w:rsid w:val="001158BA"/>
    <w:rsid w:val="00116006"/>
    <w:rsid w:val="00116B51"/>
    <w:rsid w:val="00116B67"/>
    <w:rsid w:val="0011711D"/>
    <w:rsid w:val="0012410B"/>
    <w:rsid w:val="00125812"/>
    <w:rsid w:val="00125ADD"/>
    <w:rsid w:val="00126CD1"/>
    <w:rsid w:val="00127757"/>
    <w:rsid w:val="00130E8F"/>
    <w:rsid w:val="001336E3"/>
    <w:rsid w:val="001339BB"/>
    <w:rsid w:val="00134EDD"/>
    <w:rsid w:val="00136E03"/>
    <w:rsid w:val="00136EED"/>
    <w:rsid w:val="00137237"/>
    <w:rsid w:val="00137C35"/>
    <w:rsid w:val="00141B20"/>
    <w:rsid w:val="00141D39"/>
    <w:rsid w:val="00142051"/>
    <w:rsid w:val="00143437"/>
    <w:rsid w:val="00144369"/>
    <w:rsid w:val="00144ADC"/>
    <w:rsid w:val="00144BBB"/>
    <w:rsid w:val="00146FC1"/>
    <w:rsid w:val="00150932"/>
    <w:rsid w:val="00152D49"/>
    <w:rsid w:val="001559D8"/>
    <w:rsid w:val="00157E18"/>
    <w:rsid w:val="00161022"/>
    <w:rsid w:val="00161358"/>
    <w:rsid w:val="00161FBD"/>
    <w:rsid w:val="001620EB"/>
    <w:rsid w:val="00162B01"/>
    <w:rsid w:val="0016538E"/>
    <w:rsid w:val="00166A7A"/>
    <w:rsid w:val="00166C49"/>
    <w:rsid w:val="001674EB"/>
    <w:rsid w:val="00167EE1"/>
    <w:rsid w:val="001705C4"/>
    <w:rsid w:val="00171281"/>
    <w:rsid w:val="001712D6"/>
    <w:rsid w:val="001726B0"/>
    <w:rsid w:val="00172ED4"/>
    <w:rsid w:val="00172FC5"/>
    <w:rsid w:val="0017475E"/>
    <w:rsid w:val="00175644"/>
    <w:rsid w:val="001767C7"/>
    <w:rsid w:val="001800AF"/>
    <w:rsid w:val="00180A3B"/>
    <w:rsid w:val="00180BD5"/>
    <w:rsid w:val="00180D17"/>
    <w:rsid w:val="001822F4"/>
    <w:rsid w:val="00183D99"/>
    <w:rsid w:val="00183EB1"/>
    <w:rsid w:val="00184219"/>
    <w:rsid w:val="00185884"/>
    <w:rsid w:val="00186286"/>
    <w:rsid w:val="001901C1"/>
    <w:rsid w:val="00190331"/>
    <w:rsid w:val="0019141D"/>
    <w:rsid w:val="00191B67"/>
    <w:rsid w:val="00191EEC"/>
    <w:rsid w:val="00194873"/>
    <w:rsid w:val="00194B8A"/>
    <w:rsid w:val="00194CF9"/>
    <w:rsid w:val="00197273"/>
    <w:rsid w:val="001A0E62"/>
    <w:rsid w:val="001A13C8"/>
    <w:rsid w:val="001A1C61"/>
    <w:rsid w:val="001A1DFB"/>
    <w:rsid w:val="001A5694"/>
    <w:rsid w:val="001A5BEE"/>
    <w:rsid w:val="001B0726"/>
    <w:rsid w:val="001B0A7A"/>
    <w:rsid w:val="001B0DF0"/>
    <w:rsid w:val="001B13F2"/>
    <w:rsid w:val="001B1A87"/>
    <w:rsid w:val="001B1BDF"/>
    <w:rsid w:val="001B1DD5"/>
    <w:rsid w:val="001B1E9A"/>
    <w:rsid w:val="001B24D5"/>
    <w:rsid w:val="001B2869"/>
    <w:rsid w:val="001B3F6D"/>
    <w:rsid w:val="001B3F81"/>
    <w:rsid w:val="001B4E6C"/>
    <w:rsid w:val="001B54FC"/>
    <w:rsid w:val="001B560A"/>
    <w:rsid w:val="001B7122"/>
    <w:rsid w:val="001C0CF6"/>
    <w:rsid w:val="001C2214"/>
    <w:rsid w:val="001C2524"/>
    <w:rsid w:val="001C41C2"/>
    <w:rsid w:val="001C6912"/>
    <w:rsid w:val="001C71C9"/>
    <w:rsid w:val="001D0A46"/>
    <w:rsid w:val="001D22ED"/>
    <w:rsid w:val="001D3440"/>
    <w:rsid w:val="001D37FB"/>
    <w:rsid w:val="001D3E26"/>
    <w:rsid w:val="001D4D62"/>
    <w:rsid w:val="001D53A8"/>
    <w:rsid w:val="001D7325"/>
    <w:rsid w:val="001E12C8"/>
    <w:rsid w:val="001E1A8F"/>
    <w:rsid w:val="001E2BD9"/>
    <w:rsid w:val="001E4888"/>
    <w:rsid w:val="001E6AFE"/>
    <w:rsid w:val="001E707A"/>
    <w:rsid w:val="001F0773"/>
    <w:rsid w:val="001F0DD3"/>
    <w:rsid w:val="001F1711"/>
    <w:rsid w:val="001F1A2D"/>
    <w:rsid w:val="001F21CB"/>
    <w:rsid w:val="001F6750"/>
    <w:rsid w:val="00200311"/>
    <w:rsid w:val="002008D1"/>
    <w:rsid w:val="00202E20"/>
    <w:rsid w:val="002036AA"/>
    <w:rsid w:val="00203789"/>
    <w:rsid w:val="00204A66"/>
    <w:rsid w:val="00205334"/>
    <w:rsid w:val="00206622"/>
    <w:rsid w:val="002107DD"/>
    <w:rsid w:val="00213B41"/>
    <w:rsid w:val="00216687"/>
    <w:rsid w:val="00216DB5"/>
    <w:rsid w:val="00216F08"/>
    <w:rsid w:val="00217A19"/>
    <w:rsid w:val="00222CA5"/>
    <w:rsid w:val="00223298"/>
    <w:rsid w:val="00224A1F"/>
    <w:rsid w:val="00224BD6"/>
    <w:rsid w:val="002253E9"/>
    <w:rsid w:val="002258FC"/>
    <w:rsid w:val="00226221"/>
    <w:rsid w:val="00226226"/>
    <w:rsid w:val="00227D78"/>
    <w:rsid w:val="00227FE4"/>
    <w:rsid w:val="002300EE"/>
    <w:rsid w:val="002317B4"/>
    <w:rsid w:val="002331A0"/>
    <w:rsid w:val="00233DC9"/>
    <w:rsid w:val="0023447D"/>
    <w:rsid w:val="00235DE0"/>
    <w:rsid w:val="00236D11"/>
    <w:rsid w:val="0023708B"/>
    <w:rsid w:val="00237318"/>
    <w:rsid w:val="00237FE9"/>
    <w:rsid w:val="0024128C"/>
    <w:rsid w:val="00241A8E"/>
    <w:rsid w:val="00242B0F"/>
    <w:rsid w:val="00245DA0"/>
    <w:rsid w:val="00247ADA"/>
    <w:rsid w:val="00251406"/>
    <w:rsid w:val="0025340B"/>
    <w:rsid w:val="00257836"/>
    <w:rsid w:val="00260248"/>
    <w:rsid w:val="00264EEE"/>
    <w:rsid w:val="0026530E"/>
    <w:rsid w:val="00265DED"/>
    <w:rsid w:val="00265E6C"/>
    <w:rsid w:val="00266A30"/>
    <w:rsid w:val="0026794D"/>
    <w:rsid w:val="00267FAB"/>
    <w:rsid w:val="00270522"/>
    <w:rsid w:val="00270CAF"/>
    <w:rsid w:val="002712C8"/>
    <w:rsid w:val="002715A1"/>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3D22"/>
    <w:rsid w:val="002861BF"/>
    <w:rsid w:val="00287312"/>
    <w:rsid w:val="00287942"/>
    <w:rsid w:val="00287CE6"/>
    <w:rsid w:val="00292783"/>
    <w:rsid w:val="0029399F"/>
    <w:rsid w:val="00293E21"/>
    <w:rsid w:val="00293E71"/>
    <w:rsid w:val="00295264"/>
    <w:rsid w:val="00295DFA"/>
    <w:rsid w:val="00296404"/>
    <w:rsid w:val="0029649F"/>
    <w:rsid w:val="002A05D3"/>
    <w:rsid w:val="002A06C6"/>
    <w:rsid w:val="002A107A"/>
    <w:rsid w:val="002A2627"/>
    <w:rsid w:val="002A425D"/>
    <w:rsid w:val="002A4A7B"/>
    <w:rsid w:val="002A535E"/>
    <w:rsid w:val="002A5881"/>
    <w:rsid w:val="002A5E7A"/>
    <w:rsid w:val="002A7063"/>
    <w:rsid w:val="002A7FE3"/>
    <w:rsid w:val="002B0025"/>
    <w:rsid w:val="002B07EF"/>
    <w:rsid w:val="002B0801"/>
    <w:rsid w:val="002B0A3F"/>
    <w:rsid w:val="002B5324"/>
    <w:rsid w:val="002B56E7"/>
    <w:rsid w:val="002B5823"/>
    <w:rsid w:val="002B733A"/>
    <w:rsid w:val="002B7F4A"/>
    <w:rsid w:val="002C0074"/>
    <w:rsid w:val="002C097E"/>
    <w:rsid w:val="002C2315"/>
    <w:rsid w:val="002C2493"/>
    <w:rsid w:val="002C301D"/>
    <w:rsid w:val="002C43EF"/>
    <w:rsid w:val="002C4812"/>
    <w:rsid w:val="002C4A38"/>
    <w:rsid w:val="002C65B8"/>
    <w:rsid w:val="002C734D"/>
    <w:rsid w:val="002C744C"/>
    <w:rsid w:val="002D01BF"/>
    <w:rsid w:val="002D0597"/>
    <w:rsid w:val="002D0FAA"/>
    <w:rsid w:val="002D3E81"/>
    <w:rsid w:val="002D4AC3"/>
    <w:rsid w:val="002D52A0"/>
    <w:rsid w:val="002D6691"/>
    <w:rsid w:val="002E0169"/>
    <w:rsid w:val="002E062E"/>
    <w:rsid w:val="002E1226"/>
    <w:rsid w:val="002E19B4"/>
    <w:rsid w:val="002E1D30"/>
    <w:rsid w:val="002E2678"/>
    <w:rsid w:val="002E28C6"/>
    <w:rsid w:val="002E4DB3"/>
    <w:rsid w:val="002E6D37"/>
    <w:rsid w:val="002E79A6"/>
    <w:rsid w:val="002F066D"/>
    <w:rsid w:val="002F10BF"/>
    <w:rsid w:val="002F110D"/>
    <w:rsid w:val="002F32BD"/>
    <w:rsid w:val="002F4407"/>
    <w:rsid w:val="002F5A1A"/>
    <w:rsid w:val="002F5BB0"/>
    <w:rsid w:val="002F6E67"/>
    <w:rsid w:val="002F71F1"/>
    <w:rsid w:val="002F7BA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6B54"/>
    <w:rsid w:val="003176BB"/>
    <w:rsid w:val="00317E1A"/>
    <w:rsid w:val="00320A3C"/>
    <w:rsid w:val="003232C2"/>
    <w:rsid w:val="003237B0"/>
    <w:rsid w:val="00324E69"/>
    <w:rsid w:val="0032503F"/>
    <w:rsid w:val="003259DC"/>
    <w:rsid w:val="003262CE"/>
    <w:rsid w:val="003264ED"/>
    <w:rsid w:val="00326F8F"/>
    <w:rsid w:val="003308B4"/>
    <w:rsid w:val="00330CDC"/>
    <w:rsid w:val="003328C5"/>
    <w:rsid w:val="00333209"/>
    <w:rsid w:val="00334A4E"/>
    <w:rsid w:val="003352EF"/>
    <w:rsid w:val="003418C0"/>
    <w:rsid w:val="003424A8"/>
    <w:rsid w:val="003425F7"/>
    <w:rsid w:val="003428C8"/>
    <w:rsid w:val="00343012"/>
    <w:rsid w:val="00343233"/>
    <w:rsid w:val="00343B25"/>
    <w:rsid w:val="003441E3"/>
    <w:rsid w:val="003445EA"/>
    <w:rsid w:val="00345003"/>
    <w:rsid w:val="003466EF"/>
    <w:rsid w:val="00346B83"/>
    <w:rsid w:val="00350175"/>
    <w:rsid w:val="0035089A"/>
    <w:rsid w:val="00351EC0"/>
    <w:rsid w:val="00352990"/>
    <w:rsid w:val="00353113"/>
    <w:rsid w:val="00353518"/>
    <w:rsid w:val="00354E88"/>
    <w:rsid w:val="00355DAA"/>
    <w:rsid w:val="003613F4"/>
    <w:rsid w:val="00361819"/>
    <w:rsid w:val="00361F3D"/>
    <w:rsid w:val="00362E2F"/>
    <w:rsid w:val="00362FE1"/>
    <w:rsid w:val="0036367A"/>
    <w:rsid w:val="00363DCE"/>
    <w:rsid w:val="00365680"/>
    <w:rsid w:val="00366A1A"/>
    <w:rsid w:val="00367B6E"/>
    <w:rsid w:val="00370B2E"/>
    <w:rsid w:val="00372D68"/>
    <w:rsid w:val="0037447C"/>
    <w:rsid w:val="0037458C"/>
    <w:rsid w:val="00374E9A"/>
    <w:rsid w:val="00375E7C"/>
    <w:rsid w:val="00375FFD"/>
    <w:rsid w:val="00381DB8"/>
    <w:rsid w:val="003826A0"/>
    <w:rsid w:val="00383462"/>
    <w:rsid w:val="00384B58"/>
    <w:rsid w:val="00385683"/>
    <w:rsid w:val="00385EC1"/>
    <w:rsid w:val="00386318"/>
    <w:rsid w:val="00386DD1"/>
    <w:rsid w:val="00387CA4"/>
    <w:rsid w:val="003911FE"/>
    <w:rsid w:val="00391389"/>
    <w:rsid w:val="00391E64"/>
    <w:rsid w:val="00395750"/>
    <w:rsid w:val="0039581F"/>
    <w:rsid w:val="00396861"/>
    <w:rsid w:val="0039783E"/>
    <w:rsid w:val="003A0009"/>
    <w:rsid w:val="003A0E47"/>
    <w:rsid w:val="003A236F"/>
    <w:rsid w:val="003A4360"/>
    <w:rsid w:val="003A68AA"/>
    <w:rsid w:val="003A7561"/>
    <w:rsid w:val="003A76E4"/>
    <w:rsid w:val="003B09F2"/>
    <w:rsid w:val="003B1384"/>
    <w:rsid w:val="003B35B8"/>
    <w:rsid w:val="003B43D9"/>
    <w:rsid w:val="003B4A9D"/>
    <w:rsid w:val="003B4B13"/>
    <w:rsid w:val="003B4D2C"/>
    <w:rsid w:val="003B53A6"/>
    <w:rsid w:val="003B5C8A"/>
    <w:rsid w:val="003C0785"/>
    <w:rsid w:val="003C0C49"/>
    <w:rsid w:val="003C1764"/>
    <w:rsid w:val="003C3AD0"/>
    <w:rsid w:val="003C722C"/>
    <w:rsid w:val="003C7985"/>
    <w:rsid w:val="003C7CAC"/>
    <w:rsid w:val="003C7E67"/>
    <w:rsid w:val="003D20ED"/>
    <w:rsid w:val="003D4ED7"/>
    <w:rsid w:val="003D6531"/>
    <w:rsid w:val="003D6C84"/>
    <w:rsid w:val="003E017A"/>
    <w:rsid w:val="003E0B02"/>
    <w:rsid w:val="003E1A70"/>
    <w:rsid w:val="003E1FAF"/>
    <w:rsid w:val="003E20B9"/>
    <w:rsid w:val="003E3836"/>
    <w:rsid w:val="003E39B9"/>
    <w:rsid w:val="003E4296"/>
    <w:rsid w:val="003E4AC8"/>
    <w:rsid w:val="003E4BB4"/>
    <w:rsid w:val="003E67F6"/>
    <w:rsid w:val="003E68B5"/>
    <w:rsid w:val="003F14AC"/>
    <w:rsid w:val="003F27A7"/>
    <w:rsid w:val="003F2D09"/>
    <w:rsid w:val="003F34BF"/>
    <w:rsid w:val="003F37EA"/>
    <w:rsid w:val="003F47F5"/>
    <w:rsid w:val="003F59CC"/>
    <w:rsid w:val="003F5E57"/>
    <w:rsid w:val="003F5F9D"/>
    <w:rsid w:val="003F6A3A"/>
    <w:rsid w:val="003F7652"/>
    <w:rsid w:val="003F7EDA"/>
    <w:rsid w:val="00401D87"/>
    <w:rsid w:val="00402BF8"/>
    <w:rsid w:val="00403755"/>
    <w:rsid w:val="0040387F"/>
    <w:rsid w:val="00406227"/>
    <w:rsid w:val="00406447"/>
    <w:rsid w:val="00407D3B"/>
    <w:rsid w:val="00410A88"/>
    <w:rsid w:val="0041363C"/>
    <w:rsid w:val="00414E9A"/>
    <w:rsid w:val="00415CC4"/>
    <w:rsid w:val="00415E36"/>
    <w:rsid w:val="00415FD6"/>
    <w:rsid w:val="0041696F"/>
    <w:rsid w:val="00420D4C"/>
    <w:rsid w:val="0042156C"/>
    <w:rsid w:val="00421F28"/>
    <w:rsid w:val="00423B79"/>
    <w:rsid w:val="004240D2"/>
    <w:rsid w:val="00424ADF"/>
    <w:rsid w:val="0042792E"/>
    <w:rsid w:val="004303B8"/>
    <w:rsid w:val="00431677"/>
    <w:rsid w:val="00432D90"/>
    <w:rsid w:val="00433183"/>
    <w:rsid w:val="00433AED"/>
    <w:rsid w:val="004342F0"/>
    <w:rsid w:val="004353DD"/>
    <w:rsid w:val="00435E7E"/>
    <w:rsid w:val="00435F4A"/>
    <w:rsid w:val="00437C49"/>
    <w:rsid w:val="0044117C"/>
    <w:rsid w:val="004418F2"/>
    <w:rsid w:val="00443662"/>
    <w:rsid w:val="00443DF2"/>
    <w:rsid w:val="00444E78"/>
    <w:rsid w:val="00445267"/>
    <w:rsid w:val="004455A5"/>
    <w:rsid w:val="00445911"/>
    <w:rsid w:val="00445F4D"/>
    <w:rsid w:val="00446050"/>
    <w:rsid w:val="00446FC1"/>
    <w:rsid w:val="00447C26"/>
    <w:rsid w:val="00447F1A"/>
    <w:rsid w:val="0045085A"/>
    <w:rsid w:val="00450AAD"/>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1759"/>
    <w:rsid w:val="0047175C"/>
    <w:rsid w:val="004721E0"/>
    <w:rsid w:val="00472F9C"/>
    <w:rsid w:val="00473803"/>
    <w:rsid w:val="004755FE"/>
    <w:rsid w:val="004759BF"/>
    <w:rsid w:val="00476857"/>
    <w:rsid w:val="00476A67"/>
    <w:rsid w:val="00476B4E"/>
    <w:rsid w:val="0047782F"/>
    <w:rsid w:val="00480345"/>
    <w:rsid w:val="004828C6"/>
    <w:rsid w:val="00484675"/>
    <w:rsid w:val="00484F33"/>
    <w:rsid w:val="004869CF"/>
    <w:rsid w:val="00487545"/>
    <w:rsid w:val="00490239"/>
    <w:rsid w:val="004909D9"/>
    <w:rsid w:val="00490B1D"/>
    <w:rsid w:val="00491D6D"/>
    <w:rsid w:val="00491DC5"/>
    <w:rsid w:val="004929EC"/>
    <w:rsid w:val="004935F6"/>
    <w:rsid w:val="00493B10"/>
    <w:rsid w:val="00493F24"/>
    <w:rsid w:val="00495017"/>
    <w:rsid w:val="00495C90"/>
    <w:rsid w:val="0049615F"/>
    <w:rsid w:val="004971EF"/>
    <w:rsid w:val="004A2043"/>
    <w:rsid w:val="004A2FD9"/>
    <w:rsid w:val="004A51CB"/>
    <w:rsid w:val="004A5D55"/>
    <w:rsid w:val="004A6D51"/>
    <w:rsid w:val="004B03BE"/>
    <w:rsid w:val="004B0A80"/>
    <w:rsid w:val="004B1950"/>
    <w:rsid w:val="004B274F"/>
    <w:rsid w:val="004B2839"/>
    <w:rsid w:val="004B300A"/>
    <w:rsid w:val="004B4E7B"/>
    <w:rsid w:val="004B7418"/>
    <w:rsid w:val="004B78FA"/>
    <w:rsid w:val="004C0FBA"/>
    <w:rsid w:val="004C1080"/>
    <w:rsid w:val="004C1608"/>
    <w:rsid w:val="004C2B29"/>
    <w:rsid w:val="004C3F7B"/>
    <w:rsid w:val="004C3FD4"/>
    <w:rsid w:val="004C4916"/>
    <w:rsid w:val="004C6A1A"/>
    <w:rsid w:val="004C78C4"/>
    <w:rsid w:val="004D03F5"/>
    <w:rsid w:val="004D0D55"/>
    <w:rsid w:val="004D2B88"/>
    <w:rsid w:val="004D2EB8"/>
    <w:rsid w:val="004D3A3F"/>
    <w:rsid w:val="004D512D"/>
    <w:rsid w:val="004D58A1"/>
    <w:rsid w:val="004D5D38"/>
    <w:rsid w:val="004D5F74"/>
    <w:rsid w:val="004D6ED4"/>
    <w:rsid w:val="004E10E0"/>
    <w:rsid w:val="004E198A"/>
    <w:rsid w:val="004E19C1"/>
    <w:rsid w:val="004E2A32"/>
    <w:rsid w:val="004E3061"/>
    <w:rsid w:val="004E39A2"/>
    <w:rsid w:val="004E3F7E"/>
    <w:rsid w:val="004E5315"/>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2BF7"/>
    <w:rsid w:val="005041A7"/>
    <w:rsid w:val="00504E3C"/>
    <w:rsid w:val="00505655"/>
    <w:rsid w:val="00506456"/>
    <w:rsid w:val="00506825"/>
    <w:rsid w:val="00506FA2"/>
    <w:rsid w:val="00507196"/>
    <w:rsid w:val="005103B1"/>
    <w:rsid w:val="00515680"/>
    <w:rsid w:val="00516846"/>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5700"/>
    <w:rsid w:val="0053679A"/>
    <w:rsid w:val="00536C66"/>
    <w:rsid w:val="00540650"/>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492"/>
    <w:rsid w:val="0056357E"/>
    <w:rsid w:val="00563B07"/>
    <w:rsid w:val="00564874"/>
    <w:rsid w:val="00564AAA"/>
    <w:rsid w:val="00564B0D"/>
    <w:rsid w:val="00566834"/>
    <w:rsid w:val="005668F0"/>
    <w:rsid w:val="005677E2"/>
    <w:rsid w:val="0056783D"/>
    <w:rsid w:val="0057019F"/>
    <w:rsid w:val="005704E5"/>
    <w:rsid w:val="00570549"/>
    <w:rsid w:val="0057101F"/>
    <w:rsid w:val="00571A9D"/>
    <w:rsid w:val="00571BA5"/>
    <w:rsid w:val="00573B85"/>
    <w:rsid w:val="00574342"/>
    <w:rsid w:val="00574B3E"/>
    <w:rsid w:val="00575064"/>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48FB"/>
    <w:rsid w:val="005962A7"/>
    <w:rsid w:val="00596392"/>
    <w:rsid w:val="00596EAD"/>
    <w:rsid w:val="00597DFE"/>
    <w:rsid w:val="00597FAF"/>
    <w:rsid w:val="005A13E7"/>
    <w:rsid w:val="005A196E"/>
    <w:rsid w:val="005A2A6C"/>
    <w:rsid w:val="005A3D06"/>
    <w:rsid w:val="005A3DA9"/>
    <w:rsid w:val="005A62E6"/>
    <w:rsid w:val="005A6CC1"/>
    <w:rsid w:val="005A6CCD"/>
    <w:rsid w:val="005A7107"/>
    <w:rsid w:val="005B0940"/>
    <w:rsid w:val="005B174D"/>
    <w:rsid w:val="005B1762"/>
    <w:rsid w:val="005B29AF"/>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EDB"/>
    <w:rsid w:val="005D0763"/>
    <w:rsid w:val="005D0FD8"/>
    <w:rsid w:val="005D12A8"/>
    <w:rsid w:val="005D3103"/>
    <w:rsid w:val="005D3DE0"/>
    <w:rsid w:val="005D4C84"/>
    <w:rsid w:val="005D57F3"/>
    <w:rsid w:val="005D67EA"/>
    <w:rsid w:val="005E0B96"/>
    <w:rsid w:val="005E1E6A"/>
    <w:rsid w:val="005E4156"/>
    <w:rsid w:val="005E5F05"/>
    <w:rsid w:val="005E6DB6"/>
    <w:rsid w:val="005E7559"/>
    <w:rsid w:val="005F2C40"/>
    <w:rsid w:val="005F4DCE"/>
    <w:rsid w:val="005F5FC9"/>
    <w:rsid w:val="0060184B"/>
    <w:rsid w:val="00601A52"/>
    <w:rsid w:val="00602E73"/>
    <w:rsid w:val="00603627"/>
    <w:rsid w:val="006036A6"/>
    <w:rsid w:val="00603E2B"/>
    <w:rsid w:val="00603FA8"/>
    <w:rsid w:val="006050DD"/>
    <w:rsid w:val="006061BC"/>
    <w:rsid w:val="006062EF"/>
    <w:rsid w:val="0061025C"/>
    <w:rsid w:val="00610DB8"/>
    <w:rsid w:val="006121E5"/>
    <w:rsid w:val="00612D19"/>
    <w:rsid w:val="0061317B"/>
    <w:rsid w:val="00613972"/>
    <w:rsid w:val="00614288"/>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5FB2"/>
    <w:rsid w:val="00646179"/>
    <w:rsid w:val="006464FD"/>
    <w:rsid w:val="006474EE"/>
    <w:rsid w:val="0064763A"/>
    <w:rsid w:val="00650440"/>
    <w:rsid w:val="006544DB"/>
    <w:rsid w:val="00656647"/>
    <w:rsid w:val="0065713B"/>
    <w:rsid w:val="0065713C"/>
    <w:rsid w:val="0065773E"/>
    <w:rsid w:val="00660B1F"/>
    <w:rsid w:val="00662194"/>
    <w:rsid w:val="006637FA"/>
    <w:rsid w:val="00663B17"/>
    <w:rsid w:val="00666A40"/>
    <w:rsid w:val="0066762B"/>
    <w:rsid w:val="00671424"/>
    <w:rsid w:val="006755C1"/>
    <w:rsid w:val="00675A28"/>
    <w:rsid w:val="00676159"/>
    <w:rsid w:val="006772A7"/>
    <w:rsid w:val="006772CA"/>
    <w:rsid w:val="00677EE9"/>
    <w:rsid w:val="006804CF"/>
    <w:rsid w:val="00680D97"/>
    <w:rsid w:val="006822DA"/>
    <w:rsid w:val="00682473"/>
    <w:rsid w:val="006829A8"/>
    <w:rsid w:val="00682FBC"/>
    <w:rsid w:val="00683167"/>
    <w:rsid w:val="00683A57"/>
    <w:rsid w:val="0068449E"/>
    <w:rsid w:val="00684A4C"/>
    <w:rsid w:val="006873EA"/>
    <w:rsid w:val="00692162"/>
    <w:rsid w:val="00692355"/>
    <w:rsid w:val="00693024"/>
    <w:rsid w:val="00693E03"/>
    <w:rsid w:val="00694ABE"/>
    <w:rsid w:val="00694E49"/>
    <w:rsid w:val="006964C1"/>
    <w:rsid w:val="006A0E74"/>
    <w:rsid w:val="006A0FE1"/>
    <w:rsid w:val="006A218F"/>
    <w:rsid w:val="006A3F76"/>
    <w:rsid w:val="006A4054"/>
    <w:rsid w:val="006A40A1"/>
    <w:rsid w:val="006A5C00"/>
    <w:rsid w:val="006A6165"/>
    <w:rsid w:val="006A6392"/>
    <w:rsid w:val="006A7E28"/>
    <w:rsid w:val="006B2116"/>
    <w:rsid w:val="006B2982"/>
    <w:rsid w:val="006B35BE"/>
    <w:rsid w:val="006C0A4C"/>
    <w:rsid w:val="006C1B43"/>
    <w:rsid w:val="006C1D7C"/>
    <w:rsid w:val="006C3765"/>
    <w:rsid w:val="006C39BF"/>
    <w:rsid w:val="006C4775"/>
    <w:rsid w:val="006C6FA2"/>
    <w:rsid w:val="006C7000"/>
    <w:rsid w:val="006C7763"/>
    <w:rsid w:val="006C7BAF"/>
    <w:rsid w:val="006D012B"/>
    <w:rsid w:val="006D12A7"/>
    <w:rsid w:val="006D2BD5"/>
    <w:rsid w:val="006D3ECE"/>
    <w:rsid w:val="006D4E45"/>
    <w:rsid w:val="006D5350"/>
    <w:rsid w:val="006D62F2"/>
    <w:rsid w:val="006D6B14"/>
    <w:rsid w:val="006E0317"/>
    <w:rsid w:val="006E0511"/>
    <w:rsid w:val="006E12C1"/>
    <w:rsid w:val="006E5580"/>
    <w:rsid w:val="006E607F"/>
    <w:rsid w:val="006E7DC2"/>
    <w:rsid w:val="006F0D73"/>
    <w:rsid w:val="006F1342"/>
    <w:rsid w:val="006F3D80"/>
    <w:rsid w:val="006F3EF5"/>
    <w:rsid w:val="006F462D"/>
    <w:rsid w:val="006F49F0"/>
    <w:rsid w:val="0070184A"/>
    <w:rsid w:val="00702963"/>
    <w:rsid w:val="00702E8D"/>
    <w:rsid w:val="0070360B"/>
    <w:rsid w:val="00704726"/>
    <w:rsid w:val="007053E7"/>
    <w:rsid w:val="0070569D"/>
    <w:rsid w:val="00705884"/>
    <w:rsid w:val="00705BD1"/>
    <w:rsid w:val="007063F2"/>
    <w:rsid w:val="00706E77"/>
    <w:rsid w:val="007075B8"/>
    <w:rsid w:val="00707B2E"/>
    <w:rsid w:val="00710246"/>
    <w:rsid w:val="00710B00"/>
    <w:rsid w:val="00711471"/>
    <w:rsid w:val="00712398"/>
    <w:rsid w:val="00716DEA"/>
    <w:rsid w:val="00720B75"/>
    <w:rsid w:val="0072105B"/>
    <w:rsid w:val="0072284E"/>
    <w:rsid w:val="00723508"/>
    <w:rsid w:val="00731209"/>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3328"/>
    <w:rsid w:val="00753433"/>
    <w:rsid w:val="00754E11"/>
    <w:rsid w:val="00756097"/>
    <w:rsid w:val="00760A19"/>
    <w:rsid w:val="00761760"/>
    <w:rsid w:val="00764EBF"/>
    <w:rsid w:val="00764F3A"/>
    <w:rsid w:val="00765CC1"/>
    <w:rsid w:val="007669BA"/>
    <w:rsid w:val="00770261"/>
    <w:rsid w:val="007712EA"/>
    <w:rsid w:val="00772367"/>
    <w:rsid w:val="00772439"/>
    <w:rsid w:val="00773ACD"/>
    <w:rsid w:val="00776451"/>
    <w:rsid w:val="007768C5"/>
    <w:rsid w:val="0077715B"/>
    <w:rsid w:val="007773BD"/>
    <w:rsid w:val="00777B72"/>
    <w:rsid w:val="00777EEE"/>
    <w:rsid w:val="007811C0"/>
    <w:rsid w:val="007819CF"/>
    <w:rsid w:val="0078263F"/>
    <w:rsid w:val="00783657"/>
    <w:rsid w:val="00783DCC"/>
    <w:rsid w:val="00786840"/>
    <w:rsid w:val="00790852"/>
    <w:rsid w:val="00790EEE"/>
    <w:rsid w:val="00790F16"/>
    <w:rsid w:val="00791304"/>
    <w:rsid w:val="00791677"/>
    <w:rsid w:val="00791E8E"/>
    <w:rsid w:val="00792CAF"/>
    <w:rsid w:val="007931A9"/>
    <w:rsid w:val="00794E52"/>
    <w:rsid w:val="00794E6C"/>
    <w:rsid w:val="007952A7"/>
    <w:rsid w:val="00796982"/>
    <w:rsid w:val="007A02C7"/>
    <w:rsid w:val="007A05C6"/>
    <w:rsid w:val="007A127A"/>
    <w:rsid w:val="007A2C70"/>
    <w:rsid w:val="007A375D"/>
    <w:rsid w:val="007A4E5A"/>
    <w:rsid w:val="007A5826"/>
    <w:rsid w:val="007A657A"/>
    <w:rsid w:val="007B1DD2"/>
    <w:rsid w:val="007B249F"/>
    <w:rsid w:val="007B4330"/>
    <w:rsid w:val="007B435A"/>
    <w:rsid w:val="007B5D7E"/>
    <w:rsid w:val="007B788E"/>
    <w:rsid w:val="007C17B1"/>
    <w:rsid w:val="007C43BB"/>
    <w:rsid w:val="007C5D94"/>
    <w:rsid w:val="007C6ED9"/>
    <w:rsid w:val="007C737B"/>
    <w:rsid w:val="007D0D39"/>
    <w:rsid w:val="007D1D13"/>
    <w:rsid w:val="007D20FF"/>
    <w:rsid w:val="007D2EC7"/>
    <w:rsid w:val="007D36F2"/>
    <w:rsid w:val="007D3B6C"/>
    <w:rsid w:val="007D57DC"/>
    <w:rsid w:val="007E00A1"/>
    <w:rsid w:val="007E2BB1"/>
    <w:rsid w:val="007E2F2D"/>
    <w:rsid w:val="007E3A3A"/>
    <w:rsid w:val="007E3C1B"/>
    <w:rsid w:val="007E4AB0"/>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4CBA"/>
    <w:rsid w:val="00807058"/>
    <w:rsid w:val="0080739F"/>
    <w:rsid w:val="0080758E"/>
    <w:rsid w:val="0081025E"/>
    <w:rsid w:val="008109CA"/>
    <w:rsid w:val="00812261"/>
    <w:rsid w:val="008124E6"/>
    <w:rsid w:val="00812B72"/>
    <w:rsid w:val="00813360"/>
    <w:rsid w:val="00813620"/>
    <w:rsid w:val="00814FBB"/>
    <w:rsid w:val="00816619"/>
    <w:rsid w:val="00816F3A"/>
    <w:rsid w:val="008171ED"/>
    <w:rsid w:val="00820A94"/>
    <w:rsid w:val="00821523"/>
    <w:rsid w:val="00822DB3"/>
    <w:rsid w:val="00823793"/>
    <w:rsid w:val="00823B52"/>
    <w:rsid w:val="00823B90"/>
    <w:rsid w:val="008304E8"/>
    <w:rsid w:val="008309A8"/>
    <w:rsid w:val="00830B8C"/>
    <w:rsid w:val="00831ACA"/>
    <w:rsid w:val="00831AD5"/>
    <w:rsid w:val="00831BAA"/>
    <w:rsid w:val="00831E32"/>
    <w:rsid w:val="008329A0"/>
    <w:rsid w:val="008341B9"/>
    <w:rsid w:val="00834C7B"/>
    <w:rsid w:val="00836367"/>
    <w:rsid w:val="0083753F"/>
    <w:rsid w:val="008375CF"/>
    <w:rsid w:val="008425D5"/>
    <w:rsid w:val="00843D20"/>
    <w:rsid w:val="00844454"/>
    <w:rsid w:val="00847192"/>
    <w:rsid w:val="0084731D"/>
    <w:rsid w:val="00850142"/>
    <w:rsid w:val="008511D0"/>
    <w:rsid w:val="00856D38"/>
    <w:rsid w:val="00857420"/>
    <w:rsid w:val="0085773A"/>
    <w:rsid w:val="008603F1"/>
    <w:rsid w:val="00860CCE"/>
    <w:rsid w:val="00862540"/>
    <w:rsid w:val="00862551"/>
    <w:rsid w:val="0086294E"/>
    <w:rsid w:val="00862A0E"/>
    <w:rsid w:val="00863459"/>
    <w:rsid w:val="008637E1"/>
    <w:rsid w:val="008669BF"/>
    <w:rsid w:val="00867E68"/>
    <w:rsid w:val="00872CDA"/>
    <w:rsid w:val="0087340F"/>
    <w:rsid w:val="008739DA"/>
    <w:rsid w:val="00873D37"/>
    <w:rsid w:val="00874188"/>
    <w:rsid w:val="008749CE"/>
    <w:rsid w:val="00876879"/>
    <w:rsid w:val="00880020"/>
    <w:rsid w:val="00880E37"/>
    <w:rsid w:val="0088302D"/>
    <w:rsid w:val="008830FE"/>
    <w:rsid w:val="00883A51"/>
    <w:rsid w:val="008841C7"/>
    <w:rsid w:val="00885245"/>
    <w:rsid w:val="00885271"/>
    <w:rsid w:val="00885C28"/>
    <w:rsid w:val="00885F6B"/>
    <w:rsid w:val="00886582"/>
    <w:rsid w:val="008866E0"/>
    <w:rsid w:val="00887803"/>
    <w:rsid w:val="00887ABA"/>
    <w:rsid w:val="00891481"/>
    <w:rsid w:val="008933CF"/>
    <w:rsid w:val="00893A34"/>
    <w:rsid w:val="00893F1F"/>
    <w:rsid w:val="00896DBA"/>
    <w:rsid w:val="00896F20"/>
    <w:rsid w:val="00897964"/>
    <w:rsid w:val="008A2903"/>
    <w:rsid w:val="008A2ECB"/>
    <w:rsid w:val="008A41D1"/>
    <w:rsid w:val="008A6645"/>
    <w:rsid w:val="008A6B32"/>
    <w:rsid w:val="008A6D57"/>
    <w:rsid w:val="008A7DEB"/>
    <w:rsid w:val="008B39F2"/>
    <w:rsid w:val="008B7CC7"/>
    <w:rsid w:val="008C0BAD"/>
    <w:rsid w:val="008C1654"/>
    <w:rsid w:val="008C2E66"/>
    <w:rsid w:val="008C3CF3"/>
    <w:rsid w:val="008C4059"/>
    <w:rsid w:val="008C5061"/>
    <w:rsid w:val="008D321E"/>
    <w:rsid w:val="008D4069"/>
    <w:rsid w:val="008D4C74"/>
    <w:rsid w:val="008D578D"/>
    <w:rsid w:val="008D6C09"/>
    <w:rsid w:val="008D6F8D"/>
    <w:rsid w:val="008E0799"/>
    <w:rsid w:val="008E144C"/>
    <w:rsid w:val="008E1524"/>
    <w:rsid w:val="008E1751"/>
    <w:rsid w:val="008E35D5"/>
    <w:rsid w:val="008E499D"/>
    <w:rsid w:val="008F0412"/>
    <w:rsid w:val="008F1742"/>
    <w:rsid w:val="008F2835"/>
    <w:rsid w:val="008F3401"/>
    <w:rsid w:val="008F45DD"/>
    <w:rsid w:val="008F524F"/>
    <w:rsid w:val="008F546B"/>
    <w:rsid w:val="008F7F16"/>
    <w:rsid w:val="00900933"/>
    <w:rsid w:val="009011FA"/>
    <w:rsid w:val="00903A46"/>
    <w:rsid w:val="00907EF1"/>
    <w:rsid w:val="009112D6"/>
    <w:rsid w:val="00911779"/>
    <w:rsid w:val="00912583"/>
    <w:rsid w:val="00912FE6"/>
    <w:rsid w:val="00913A62"/>
    <w:rsid w:val="0091537A"/>
    <w:rsid w:val="0091613C"/>
    <w:rsid w:val="00916AA9"/>
    <w:rsid w:val="00917703"/>
    <w:rsid w:val="00921613"/>
    <w:rsid w:val="00921AD9"/>
    <w:rsid w:val="00922DFB"/>
    <w:rsid w:val="00924DAD"/>
    <w:rsid w:val="00924EF9"/>
    <w:rsid w:val="00926B17"/>
    <w:rsid w:val="00930548"/>
    <w:rsid w:val="00931139"/>
    <w:rsid w:val="00931186"/>
    <w:rsid w:val="00931C60"/>
    <w:rsid w:val="00932330"/>
    <w:rsid w:val="00933333"/>
    <w:rsid w:val="009366A0"/>
    <w:rsid w:val="009407EE"/>
    <w:rsid w:val="00943B26"/>
    <w:rsid w:val="0094436B"/>
    <w:rsid w:val="00950357"/>
    <w:rsid w:val="0095200D"/>
    <w:rsid w:val="009542D3"/>
    <w:rsid w:val="00956DA6"/>
    <w:rsid w:val="009575E3"/>
    <w:rsid w:val="00957F52"/>
    <w:rsid w:val="00960387"/>
    <w:rsid w:val="00961C3D"/>
    <w:rsid w:val="00961DC0"/>
    <w:rsid w:val="00962484"/>
    <w:rsid w:val="0096278C"/>
    <w:rsid w:val="00963054"/>
    <w:rsid w:val="009643C4"/>
    <w:rsid w:val="00967BAA"/>
    <w:rsid w:val="00970DF3"/>
    <w:rsid w:val="00975870"/>
    <w:rsid w:val="00975CDC"/>
    <w:rsid w:val="00976789"/>
    <w:rsid w:val="009768F2"/>
    <w:rsid w:val="00981A56"/>
    <w:rsid w:val="00982B60"/>
    <w:rsid w:val="00983242"/>
    <w:rsid w:val="00983700"/>
    <w:rsid w:val="00983E40"/>
    <w:rsid w:val="00984467"/>
    <w:rsid w:val="009855E8"/>
    <w:rsid w:val="0098563C"/>
    <w:rsid w:val="0098603E"/>
    <w:rsid w:val="00986F53"/>
    <w:rsid w:val="00987705"/>
    <w:rsid w:val="0099053A"/>
    <w:rsid w:val="009918E8"/>
    <w:rsid w:val="00991ACC"/>
    <w:rsid w:val="00992345"/>
    <w:rsid w:val="00993572"/>
    <w:rsid w:val="00995D58"/>
    <w:rsid w:val="0099604A"/>
    <w:rsid w:val="009962FE"/>
    <w:rsid w:val="00996992"/>
    <w:rsid w:val="00997833"/>
    <w:rsid w:val="00997E46"/>
    <w:rsid w:val="009A0E5A"/>
    <w:rsid w:val="009A1F84"/>
    <w:rsid w:val="009A237B"/>
    <w:rsid w:val="009A23EE"/>
    <w:rsid w:val="009A2C24"/>
    <w:rsid w:val="009A4293"/>
    <w:rsid w:val="009A4DF5"/>
    <w:rsid w:val="009A6068"/>
    <w:rsid w:val="009A6EDC"/>
    <w:rsid w:val="009B0464"/>
    <w:rsid w:val="009B1209"/>
    <w:rsid w:val="009B2F6E"/>
    <w:rsid w:val="009B3F9B"/>
    <w:rsid w:val="009B4464"/>
    <w:rsid w:val="009B5ED9"/>
    <w:rsid w:val="009B687E"/>
    <w:rsid w:val="009B78C5"/>
    <w:rsid w:val="009C4DC5"/>
    <w:rsid w:val="009C4F2E"/>
    <w:rsid w:val="009C5262"/>
    <w:rsid w:val="009C6B0A"/>
    <w:rsid w:val="009C7F6B"/>
    <w:rsid w:val="009D07A9"/>
    <w:rsid w:val="009D176F"/>
    <w:rsid w:val="009D5865"/>
    <w:rsid w:val="009D5E4C"/>
    <w:rsid w:val="009D6D25"/>
    <w:rsid w:val="009E03FB"/>
    <w:rsid w:val="009E17B9"/>
    <w:rsid w:val="009E279C"/>
    <w:rsid w:val="009E3231"/>
    <w:rsid w:val="009E39BD"/>
    <w:rsid w:val="009E5101"/>
    <w:rsid w:val="009E56D2"/>
    <w:rsid w:val="009F06E5"/>
    <w:rsid w:val="009F09E6"/>
    <w:rsid w:val="009F39B2"/>
    <w:rsid w:val="009F630C"/>
    <w:rsid w:val="009F758E"/>
    <w:rsid w:val="009F7B9A"/>
    <w:rsid w:val="009F7F75"/>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4BBC"/>
    <w:rsid w:val="00A2583F"/>
    <w:rsid w:val="00A260E7"/>
    <w:rsid w:val="00A2777E"/>
    <w:rsid w:val="00A3103A"/>
    <w:rsid w:val="00A31268"/>
    <w:rsid w:val="00A31E8F"/>
    <w:rsid w:val="00A33D00"/>
    <w:rsid w:val="00A3580A"/>
    <w:rsid w:val="00A35DE2"/>
    <w:rsid w:val="00A40AF3"/>
    <w:rsid w:val="00A41E37"/>
    <w:rsid w:val="00A41FC7"/>
    <w:rsid w:val="00A44EB9"/>
    <w:rsid w:val="00A4558F"/>
    <w:rsid w:val="00A458F0"/>
    <w:rsid w:val="00A46A67"/>
    <w:rsid w:val="00A474F8"/>
    <w:rsid w:val="00A51CC9"/>
    <w:rsid w:val="00A51EF6"/>
    <w:rsid w:val="00A52763"/>
    <w:rsid w:val="00A52964"/>
    <w:rsid w:val="00A541BB"/>
    <w:rsid w:val="00A57AB1"/>
    <w:rsid w:val="00A61161"/>
    <w:rsid w:val="00A637DD"/>
    <w:rsid w:val="00A65EA6"/>
    <w:rsid w:val="00A72D91"/>
    <w:rsid w:val="00A73D4B"/>
    <w:rsid w:val="00A748A3"/>
    <w:rsid w:val="00A761FA"/>
    <w:rsid w:val="00A771C0"/>
    <w:rsid w:val="00A80CA4"/>
    <w:rsid w:val="00A81192"/>
    <w:rsid w:val="00A81297"/>
    <w:rsid w:val="00A82A72"/>
    <w:rsid w:val="00A82E25"/>
    <w:rsid w:val="00A85A08"/>
    <w:rsid w:val="00A86724"/>
    <w:rsid w:val="00A8672D"/>
    <w:rsid w:val="00A90B0E"/>
    <w:rsid w:val="00A90B93"/>
    <w:rsid w:val="00A9228A"/>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A7293"/>
    <w:rsid w:val="00AB1C8B"/>
    <w:rsid w:val="00AB2FF7"/>
    <w:rsid w:val="00AB38ED"/>
    <w:rsid w:val="00AB4B80"/>
    <w:rsid w:val="00AB7678"/>
    <w:rsid w:val="00AC014E"/>
    <w:rsid w:val="00AC238D"/>
    <w:rsid w:val="00AC4B7F"/>
    <w:rsid w:val="00AC4D64"/>
    <w:rsid w:val="00AC7238"/>
    <w:rsid w:val="00AC7BEB"/>
    <w:rsid w:val="00AC7C05"/>
    <w:rsid w:val="00AD162D"/>
    <w:rsid w:val="00AD16E4"/>
    <w:rsid w:val="00AD2189"/>
    <w:rsid w:val="00AD2C02"/>
    <w:rsid w:val="00AD31A9"/>
    <w:rsid w:val="00AD5287"/>
    <w:rsid w:val="00AD6CF5"/>
    <w:rsid w:val="00AD7847"/>
    <w:rsid w:val="00AE097A"/>
    <w:rsid w:val="00AE0C2E"/>
    <w:rsid w:val="00AE1B5A"/>
    <w:rsid w:val="00AE2151"/>
    <w:rsid w:val="00AE249D"/>
    <w:rsid w:val="00AE31B0"/>
    <w:rsid w:val="00AE3EC0"/>
    <w:rsid w:val="00AE4713"/>
    <w:rsid w:val="00AE5DFA"/>
    <w:rsid w:val="00AE6FC4"/>
    <w:rsid w:val="00AE79AD"/>
    <w:rsid w:val="00AF0479"/>
    <w:rsid w:val="00AF10C2"/>
    <w:rsid w:val="00AF26A2"/>
    <w:rsid w:val="00AF3DFB"/>
    <w:rsid w:val="00AF411C"/>
    <w:rsid w:val="00AF4763"/>
    <w:rsid w:val="00AF4B64"/>
    <w:rsid w:val="00AF5187"/>
    <w:rsid w:val="00AF7EC6"/>
    <w:rsid w:val="00B01B51"/>
    <w:rsid w:val="00B03333"/>
    <w:rsid w:val="00B033B6"/>
    <w:rsid w:val="00B0379D"/>
    <w:rsid w:val="00B0406A"/>
    <w:rsid w:val="00B06841"/>
    <w:rsid w:val="00B06B03"/>
    <w:rsid w:val="00B07DB6"/>
    <w:rsid w:val="00B10357"/>
    <w:rsid w:val="00B113E5"/>
    <w:rsid w:val="00B1162D"/>
    <w:rsid w:val="00B14C06"/>
    <w:rsid w:val="00B153F0"/>
    <w:rsid w:val="00B162A3"/>
    <w:rsid w:val="00B17ECC"/>
    <w:rsid w:val="00B23398"/>
    <w:rsid w:val="00B245B0"/>
    <w:rsid w:val="00B26E56"/>
    <w:rsid w:val="00B31879"/>
    <w:rsid w:val="00B3286D"/>
    <w:rsid w:val="00B3311C"/>
    <w:rsid w:val="00B33125"/>
    <w:rsid w:val="00B34A3B"/>
    <w:rsid w:val="00B355C5"/>
    <w:rsid w:val="00B3673D"/>
    <w:rsid w:val="00B406FA"/>
    <w:rsid w:val="00B44C6C"/>
    <w:rsid w:val="00B474CE"/>
    <w:rsid w:val="00B4757F"/>
    <w:rsid w:val="00B5187A"/>
    <w:rsid w:val="00B51BF6"/>
    <w:rsid w:val="00B5229A"/>
    <w:rsid w:val="00B52E33"/>
    <w:rsid w:val="00B534B1"/>
    <w:rsid w:val="00B55CD1"/>
    <w:rsid w:val="00B56DDF"/>
    <w:rsid w:val="00B605F9"/>
    <w:rsid w:val="00B61C67"/>
    <w:rsid w:val="00B6314D"/>
    <w:rsid w:val="00B63F47"/>
    <w:rsid w:val="00B64BD8"/>
    <w:rsid w:val="00B70EFF"/>
    <w:rsid w:val="00B713DA"/>
    <w:rsid w:val="00B71654"/>
    <w:rsid w:val="00B71B57"/>
    <w:rsid w:val="00B7230D"/>
    <w:rsid w:val="00B727C2"/>
    <w:rsid w:val="00B738C7"/>
    <w:rsid w:val="00B747AC"/>
    <w:rsid w:val="00B75E1D"/>
    <w:rsid w:val="00B77124"/>
    <w:rsid w:val="00B8023E"/>
    <w:rsid w:val="00B82106"/>
    <w:rsid w:val="00B82526"/>
    <w:rsid w:val="00B82809"/>
    <w:rsid w:val="00B87915"/>
    <w:rsid w:val="00B9056B"/>
    <w:rsid w:val="00B9084D"/>
    <w:rsid w:val="00B91224"/>
    <w:rsid w:val="00B91420"/>
    <w:rsid w:val="00B92DEC"/>
    <w:rsid w:val="00B94382"/>
    <w:rsid w:val="00B9525A"/>
    <w:rsid w:val="00BA015D"/>
    <w:rsid w:val="00BA064C"/>
    <w:rsid w:val="00BA08F9"/>
    <w:rsid w:val="00BA0C85"/>
    <w:rsid w:val="00BA1B17"/>
    <w:rsid w:val="00BA1B22"/>
    <w:rsid w:val="00BA4091"/>
    <w:rsid w:val="00BA4735"/>
    <w:rsid w:val="00BA54D5"/>
    <w:rsid w:val="00BB2DB8"/>
    <w:rsid w:val="00BB3A50"/>
    <w:rsid w:val="00BB4D9B"/>
    <w:rsid w:val="00BB647C"/>
    <w:rsid w:val="00BB6E9E"/>
    <w:rsid w:val="00BC0C83"/>
    <w:rsid w:val="00BC33E7"/>
    <w:rsid w:val="00BC5A0A"/>
    <w:rsid w:val="00BC61B1"/>
    <w:rsid w:val="00BC74B2"/>
    <w:rsid w:val="00BD1F16"/>
    <w:rsid w:val="00BD201F"/>
    <w:rsid w:val="00BD27A9"/>
    <w:rsid w:val="00BD55D3"/>
    <w:rsid w:val="00BD787F"/>
    <w:rsid w:val="00BD7E26"/>
    <w:rsid w:val="00BE00F2"/>
    <w:rsid w:val="00BE2046"/>
    <w:rsid w:val="00BE209A"/>
    <w:rsid w:val="00BE2293"/>
    <w:rsid w:val="00BE2455"/>
    <w:rsid w:val="00BE24AF"/>
    <w:rsid w:val="00BE37DF"/>
    <w:rsid w:val="00BE37E1"/>
    <w:rsid w:val="00BE4B28"/>
    <w:rsid w:val="00BE4ED0"/>
    <w:rsid w:val="00BE57F6"/>
    <w:rsid w:val="00BE59BB"/>
    <w:rsid w:val="00BE6E5D"/>
    <w:rsid w:val="00BE7220"/>
    <w:rsid w:val="00BF021D"/>
    <w:rsid w:val="00BF2D80"/>
    <w:rsid w:val="00BF2DF2"/>
    <w:rsid w:val="00BF2EA5"/>
    <w:rsid w:val="00BF32A0"/>
    <w:rsid w:val="00BF34A5"/>
    <w:rsid w:val="00BF3828"/>
    <w:rsid w:val="00BF4F4D"/>
    <w:rsid w:val="00BF5144"/>
    <w:rsid w:val="00BF5E9D"/>
    <w:rsid w:val="00C00747"/>
    <w:rsid w:val="00C01116"/>
    <w:rsid w:val="00C02336"/>
    <w:rsid w:val="00C0400B"/>
    <w:rsid w:val="00C04254"/>
    <w:rsid w:val="00C043A7"/>
    <w:rsid w:val="00C044F1"/>
    <w:rsid w:val="00C050D3"/>
    <w:rsid w:val="00C10374"/>
    <w:rsid w:val="00C12840"/>
    <w:rsid w:val="00C1291A"/>
    <w:rsid w:val="00C13480"/>
    <w:rsid w:val="00C14CCD"/>
    <w:rsid w:val="00C1593D"/>
    <w:rsid w:val="00C172E3"/>
    <w:rsid w:val="00C217D7"/>
    <w:rsid w:val="00C21910"/>
    <w:rsid w:val="00C22372"/>
    <w:rsid w:val="00C22791"/>
    <w:rsid w:val="00C244FF"/>
    <w:rsid w:val="00C268EB"/>
    <w:rsid w:val="00C27FC3"/>
    <w:rsid w:val="00C33D51"/>
    <w:rsid w:val="00C34065"/>
    <w:rsid w:val="00C35BF3"/>
    <w:rsid w:val="00C3670D"/>
    <w:rsid w:val="00C41370"/>
    <w:rsid w:val="00C41EED"/>
    <w:rsid w:val="00C442B6"/>
    <w:rsid w:val="00C459A1"/>
    <w:rsid w:val="00C47A2B"/>
    <w:rsid w:val="00C5096F"/>
    <w:rsid w:val="00C50CC6"/>
    <w:rsid w:val="00C5302D"/>
    <w:rsid w:val="00C5323F"/>
    <w:rsid w:val="00C53D0C"/>
    <w:rsid w:val="00C5403F"/>
    <w:rsid w:val="00C55956"/>
    <w:rsid w:val="00C55CDD"/>
    <w:rsid w:val="00C5787F"/>
    <w:rsid w:val="00C57E44"/>
    <w:rsid w:val="00C60E71"/>
    <w:rsid w:val="00C613F4"/>
    <w:rsid w:val="00C61A6F"/>
    <w:rsid w:val="00C61D3D"/>
    <w:rsid w:val="00C62F4A"/>
    <w:rsid w:val="00C6318D"/>
    <w:rsid w:val="00C634DB"/>
    <w:rsid w:val="00C63883"/>
    <w:rsid w:val="00C66506"/>
    <w:rsid w:val="00C70641"/>
    <w:rsid w:val="00C72EF0"/>
    <w:rsid w:val="00C7318D"/>
    <w:rsid w:val="00C74CC2"/>
    <w:rsid w:val="00C76487"/>
    <w:rsid w:val="00C77322"/>
    <w:rsid w:val="00C77ACD"/>
    <w:rsid w:val="00C81584"/>
    <w:rsid w:val="00C82FC1"/>
    <w:rsid w:val="00C83726"/>
    <w:rsid w:val="00C85536"/>
    <w:rsid w:val="00C9240D"/>
    <w:rsid w:val="00C96565"/>
    <w:rsid w:val="00C975F3"/>
    <w:rsid w:val="00C9766A"/>
    <w:rsid w:val="00C9795B"/>
    <w:rsid w:val="00CA0D56"/>
    <w:rsid w:val="00CA1310"/>
    <w:rsid w:val="00CA27D5"/>
    <w:rsid w:val="00CA3336"/>
    <w:rsid w:val="00CA3630"/>
    <w:rsid w:val="00CA49A2"/>
    <w:rsid w:val="00CA4D80"/>
    <w:rsid w:val="00CA552A"/>
    <w:rsid w:val="00CA55AC"/>
    <w:rsid w:val="00CA55D7"/>
    <w:rsid w:val="00CA5DA4"/>
    <w:rsid w:val="00CA6831"/>
    <w:rsid w:val="00CA683E"/>
    <w:rsid w:val="00CB0179"/>
    <w:rsid w:val="00CB0C87"/>
    <w:rsid w:val="00CB2278"/>
    <w:rsid w:val="00CB354D"/>
    <w:rsid w:val="00CB4463"/>
    <w:rsid w:val="00CB4ECD"/>
    <w:rsid w:val="00CB6BD8"/>
    <w:rsid w:val="00CB74C1"/>
    <w:rsid w:val="00CC0031"/>
    <w:rsid w:val="00CC1B2D"/>
    <w:rsid w:val="00CC2C4F"/>
    <w:rsid w:val="00CC3FDF"/>
    <w:rsid w:val="00CC60B9"/>
    <w:rsid w:val="00CD1628"/>
    <w:rsid w:val="00CD2712"/>
    <w:rsid w:val="00CD35A0"/>
    <w:rsid w:val="00CD41EE"/>
    <w:rsid w:val="00CD476F"/>
    <w:rsid w:val="00CD664F"/>
    <w:rsid w:val="00CD7C95"/>
    <w:rsid w:val="00CE182A"/>
    <w:rsid w:val="00CE3D5E"/>
    <w:rsid w:val="00CE49E7"/>
    <w:rsid w:val="00CE5065"/>
    <w:rsid w:val="00CE642E"/>
    <w:rsid w:val="00CF034B"/>
    <w:rsid w:val="00CF32E9"/>
    <w:rsid w:val="00CF345C"/>
    <w:rsid w:val="00CF4E94"/>
    <w:rsid w:val="00CF56C1"/>
    <w:rsid w:val="00CF75BA"/>
    <w:rsid w:val="00D0100E"/>
    <w:rsid w:val="00D010E3"/>
    <w:rsid w:val="00D01A19"/>
    <w:rsid w:val="00D02E90"/>
    <w:rsid w:val="00D0482D"/>
    <w:rsid w:val="00D05810"/>
    <w:rsid w:val="00D10925"/>
    <w:rsid w:val="00D15ADE"/>
    <w:rsid w:val="00D20416"/>
    <w:rsid w:val="00D20CCF"/>
    <w:rsid w:val="00D21942"/>
    <w:rsid w:val="00D22B65"/>
    <w:rsid w:val="00D22E71"/>
    <w:rsid w:val="00D23682"/>
    <w:rsid w:val="00D2731A"/>
    <w:rsid w:val="00D30BD9"/>
    <w:rsid w:val="00D30C9F"/>
    <w:rsid w:val="00D31275"/>
    <w:rsid w:val="00D3196B"/>
    <w:rsid w:val="00D323CA"/>
    <w:rsid w:val="00D324FC"/>
    <w:rsid w:val="00D32940"/>
    <w:rsid w:val="00D338B3"/>
    <w:rsid w:val="00D35743"/>
    <w:rsid w:val="00D35F36"/>
    <w:rsid w:val="00D3683B"/>
    <w:rsid w:val="00D378DF"/>
    <w:rsid w:val="00D41084"/>
    <w:rsid w:val="00D41322"/>
    <w:rsid w:val="00D42B0C"/>
    <w:rsid w:val="00D47AC5"/>
    <w:rsid w:val="00D47AC7"/>
    <w:rsid w:val="00D5090D"/>
    <w:rsid w:val="00D5113F"/>
    <w:rsid w:val="00D52351"/>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17A"/>
    <w:rsid w:val="00D71EDD"/>
    <w:rsid w:val="00D72BEF"/>
    <w:rsid w:val="00D72C62"/>
    <w:rsid w:val="00D73886"/>
    <w:rsid w:val="00D73972"/>
    <w:rsid w:val="00D7682B"/>
    <w:rsid w:val="00D76AB8"/>
    <w:rsid w:val="00D772B3"/>
    <w:rsid w:val="00D77A52"/>
    <w:rsid w:val="00D80149"/>
    <w:rsid w:val="00D81B58"/>
    <w:rsid w:val="00D81C14"/>
    <w:rsid w:val="00D832D5"/>
    <w:rsid w:val="00D83376"/>
    <w:rsid w:val="00D84B5D"/>
    <w:rsid w:val="00D853FF"/>
    <w:rsid w:val="00D86B6A"/>
    <w:rsid w:val="00D8705F"/>
    <w:rsid w:val="00D87A07"/>
    <w:rsid w:val="00D92534"/>
    <w:rsid w:val="00D92A15"/>
    <w:rsid w:val="00D92F0C"/>
    <w:rsid w:val="00D934FF"/>
    <w:rsid w:val="00D943DD"/>
    <w:rsid w:val="00D9477A"/>
    <w:rsid w:val="00D957C0"/>
    <w:rsid w:val="00D965FE"/>
    <w:rsid w:val="00DA0546"/>
    <w:rsid w:val="00DA0653"/>
    <w:rsid w:val="00DA1332"/>
    <w:rsid w:val="00DA377B"/>
    <w:rsid w:val="00DA48F6"/>
    <w:rsid w:val="00DA5238"/>
    <w:rsid w:val="00DA53C1"/>
    <w:rsid w:val="00DA5621"/>
    <w:rsid w:val="00DA5B67"/>
    <w:rsid w:val="00DA6E10"/>
    <w:rsid w:val="00DA7ECD"/>
    <w:rsid w:val="00DB09E4"/>
    <w:rsid w:val="00DB19E0"/>
    <w:rsid w:val="00DB2D17"/>
    <w:rsid w:val="00DB4CF8"/>
    <w:rsid w:val="00DB5E4D"/>
    <w:rsid w:val="00DB5F9F"/>
    <w:rsid w:val="00DB6D1F"/>
    <w:rsid w:val="00DC11CB"/>
    <w:rsid w:val="00DC13EA"/>
    <w:rsid w:val="00DC1BB7"/>
    <w:rsid w:val="00DC3ADA"/>
    <w:rsid w:val="00DC4A0B"/>
    <w:rsid w:val="00DC4D66"/>
    <w:rsid w:val="00DC73B8"/>
    <w:rsid w:val="00DC7756"/>
    <w:rsid w:val="00DC78F4"/>
    <w:rsid w:val="00DD026E"/>
    <w:rsid w:val="00DD1715"/>
    <w:rsid w:val="00DD2475"/>
    <w:rsid w:val="00DD2C4D"/>
    <w:rsid w:val="00DD35FE"/>
    <w:rsid w:val="00DD37BF"/>
    <w:rsid w:val="00DD4340"/>
    <w:rsid w:val="00DD44AD"/>
    <w:rsid w:val="00DD45F6"/>
    <w:rsid w:val="00DD5596"/>
    <w:rsid w:val="00DD5A7F"/>
    <w:rsid w:val="00DD6B23"/>
    <w:rsid w:val="00DE1468"/>
    <w:rsid w:val="00DE1E06"/>
    <w:rsid w:val="00DE342A"/>
    <w:rsid w:val="00DE48C3"/>
    <w:rsid w:val="00DE493A"/>
    <w:rsid w:val="00DE4E3D"/>
    <w:rsid w:val="00DE5099"/>
    <w:rsid w:val="00DE58AE"/>
    <w:rsid w:val="00DE5A82"/>
    <w:rsid w:val="00DE6378"/>
    <w:rsid w:val="00DE7190"/>
    <w:rsid w:val="00DF1157"/>
    <w:rsid w:val="00DF178D"/>
    <w:rsid w:val="00DF2711"/>
    <w:rsid w:val="00DF2E2D"/>
    <w:rsid w:val="00DF38C7"/>
    <w:rsid w:val="00DF4392"/>
    <w:rsid w:val="00DF4E1F"/>
    <w:rsid w:val="00DF69A1"/>
    <w:rsid w:val="00DF6DE1"/>
    <w:rsid w:val="00DF752E"/>
    <w:rsid w:val="00E0035B"/>
    <w:rsid w:val="00E00956"/>
    <w:rsid w:val="00E00BEF"/>
    <w:rsid w:val="00E011B3"/>
    <w:rsid w:val="00E01A14"/>
    <w:rsid w:val="00E01A51"/>
    <w:rsid w:val="00E02EE2"/>
    <w:rsid w:val="00E03887"/>
    <w:rsid w:val="00E04B3B"/>
    <w:rsid w:val="00E04D61"/>
    <w:rsid w:val="00E05109"/>
    <w:rsid w:val="00E05894"/>
    <w:rsid w:val="00E0642C"/>
    <w:rsid w:val="00E06BD0"/>
    <w:rsid w:val="00E07679"/>
    <w:rsid w:val="00E109E0"/>
    <w:rsid w:val="00E11973"/>
    <w:rsid w:val="00E1364D"/>
    <w:rsid w:val="00E14FA3"/>
    <w:rsid w:val="00E151B6"/>
    <w:rsid w:val="00E153CF"/>
    <w:rsid w:val="00E1543D"/>
    <w:rsid w:val="00E15D9B"/>
    <w:rsid w:val="00E169B1"/>
    <w:rsid w:val="00E17572"/>
    <w:rsid w:val="00E176F6"/>
    <w:rsid w:val="00E177EE"/>
    <w:rsid w:val="00E204AA"/>
    <w:rsid w:val="00E245F0"/>
    <w:rsid w:val="00E2566D"/>
    <w:rsid w:val="00E26C22"/>
    <w:rsid w:val="00E27820"/>
    <w:rsid w:val="00E304B3"/>
    <w:rsid w:val="00E308DA"/>
    <w:rsid w:val="00E32827"/>
    <w:rsid w:val="00E329AF"/>
    <w:rsid w:val="00E342B0"/>
    <w:rsid w:val="00E350B7"/>
    <w:rsid w:val="00E356BA"/>
    <w:rsid w:val="00E37D1E"/>
    <w:rsid w:val="00E40979"/>
    <w:rsid w:val="00E435B7"/>
    <w:rsid w:val="00E43A26"/>
    <w:rsid w:val="00E466D8"/>
    <w:rsid w:val="00E46AF2"/>
    <w:rsid w:val="00E47557"/>
    <w:rsid w:val="00E503F7"/>
    <w:rsid w:val="00E5298D"/>
    <w:rsid w:val="00E5543F"/>
    <w:rsid w:val="00E556DE"/>
    <w:rsid w:val="00E6140D"/>
    <w:rsid w:val="00E61F52"/>
    <w:rsid w:val="00E6414B"/>
    <w:rsid w:val="00E64851"/>
    <w:rsid w:val="00E675AE"/>
    <w:rsid w:val="00E67C51"/>
    <w:rsid w:val="00E70BD3"/>
    <w:rsid w:val="00E71783"/>
    <w:rsid w:val="00E71967"/>
    <w:rsid w:val="00E7237E"/>
    <w:rsid w:val="00E72A5A"/>
    <w:rsid w:val="00E72D5C"/>
    <w:rsid w:val="00E72FED"/>
    <w:rsid w:val="00E735B1"/>
    <w:rsid w:val="00E73BE0"/>
    <w:rsid w:val="00E741ED"/>
    <w:rsid w:val="00E770AD"/>
    <w:rsid w:val="00E77FD2"/>
    <w:rsid w:val="00E81DCB"/>
    <w:rsid w:val="00E85206"/>
    <w:rsid w:val="00E85D77"/>
    <w:rsid w:val="00E87EAB"/>
    <w:rsid w:val="00E90B31"/>
    <w:rsid w:val="00E90BDF"/>
    <w:rsid w:val="00E929ED"/>
    <w:rsid w:val="00E940AC"/>
    <w:rsid w:val="00E94F36"/>
    <w:rsid w:val="00E95883"/>
    <w:rsid w:val="00EA258A"/>
    <w:rsid w:val="00EA447E"/>
    <w:rsid w:val="00EA4DBC"/>
    <w:rsid w:val="00EA50AB"/>
    <w:rsid w:val="00EA6B03"/>
    <w:rsid w:val="00EA6C2F"/>
    <w:rsid w:val="00EB037F"/>
    <w:rsid w:val="00EB10EA"/>
    <w:rsid w:val="00EB1595"/>
    <w:rsid w:val="00EB2914"/>
    <w:rsid w:val="00EB31AB"/>
    <w:rsid w:val="00EB4EFE"/>
    <w:rsid w:val="00EB5751"/>
    <w:rsid w:val="00EB77F8"/>
    <w:rsid w:val="00EC1004"/>
    <w:rsid w:val="00EC175E"/>
    <w:rsid w:val="00EC22D7"/>
    <w:rsid w:val="00EC23D3"/>
    <w:rsid w:val="00EC245A"/>
    <w:rsid w:val="00EC4BAE"/>
    <w:rsid w:val="00EC5B7C"/>
    <w:rsid w:val="00EC5D37"/>
    <w:rsid w:val="00EC6A3F"/>
    <w:rsid w:val="00ED2391"/>
    <w:rsid w:val="00ED3DA3"/>
    <w:rsid w:val="00EE6411"/>
    <w:rsid w:val="00EE66C7"/>
    <w:rsid w:val="00EE6B2F"/>
    <w:rsid w:val="00EE70C3"/>
    <w:rsid w:val="00EF0013"/>
    <w:rsid w:val="00EF02F8"/>
    <w:rsid w:val="00EF0400"/>
    <w:rsid w:val="00EF5730"/>
    <w:rsid w:val="00EF5C83"/>
    <w:rsid w:val="00EF7D7A"/>
    <w:rsid w:val="00F002B2"/>
    <w:rsid w:val="00F00AC2"/>
    <w:rsid w:val="00F01C27"/>
    <w:rsid w:val="00F0204B"/>
    <w:rsid w:val="00F03B3D"/>
    <w:rsid w:val="00F05177"/>
    <w:rsid w:val="00F0601A"/>
    <w:rsid w:val="00F0724E"/>
    <w:rsid w:val="00F11142"/>
    <w:rsid w:val="00F12FA2"/>
    <w:rsid w:val="00F14C67"/>
    <w:rsid w:val="00F15518"/>
    <w:rsid w:val="00F17616"/>
    <w:rsid w:val="00F21628"/>
    <w:rsid w:val="00F22E5F"/>
    <w:rsid w:val="00F233B0"/>
    <w:rsid w:val="00F24E5E"/>
    <w:rsid w:val="00F25D76"/>
    <w:rsid w:val="00F26DA9"/>
    <w:rsid w:val="00F31CC3"/>
    <w:rsid w:val="00F31D64"/>
    <w:rsid w:val="00F33537"/>
    <w:rsid w:val="00F33736"/>
    <w:rsid w:val="00F33B09"/>
    <w:rsid w:val="00F3434E"/>
    <w:rsid w:val="00F358FC"/>
    <w:rsid w:val="00F3672A"/>
    <w:rsid w:val="00F36D4A"/>
    <w:rsid w:val="00F376EB"/>
    <w:rsid w:val="00F37FE5"/>
    <w:rsid w:val="00F40EC2"/>
    <w:rsid w:val="00F40EFA"/>
    <w:rsid w:val="00F41545"/>
    <w:rsid w:val="00F41EEA"/>
    <w:rsid w:val="00F4269A"/>
    <w:rsid w:val="00F4317C"/>
    <w:rsid w:val="00F4341D"/>
    <w:rsid w:val="00F4491B"/>
    <w:rsid w:val="00F4545C"/>
    <w:rsid w:val="00F45E80"/>
    <w:rsid w:val="00F50177"/>
    <w:rsid w:val="00F51132"/>
    <w:rsid w:val="00F51CC5"/>
    <w:rsid w:val="00F51F90"/>
    <w:rsid w:val="00F567BF"/>
    <w:rsid w:val="00F56AC0"/>
    <w:rsid w:val="00F56F0E"/>
    <w:rsid w:val="00F56F47"/>
    <w:rsid w:val="00F57335"/>
    <w:rsid w:val="00F57A39"/>
    <w:rsid w:val="00F61F72"/>
    <w:rsid w:val="00F62680"/>
    <w:rsid w:val="00F63723"/>
    <w:rsid w:val="00F63BA4"/>
    <w:rsid w:val="00F63E51"/>
    <w:rsid w:val="00F65E9E"/>
    <w:rsid w:val="00F7025D"/>
    <w:rsid w:val="00F72085"/>
    <w:rsid w:val="00F725E4"/>
    <w:rsid w:val="00F73FF5"/>
    <w:rsid w:val="00F7447F"/>
    <w:rsid w:val="00F74EFB"/>
    <w:rsid w:val="00F76959"/>
    <w:rsid w:val="00F76F54"/>
    <w:rsid w:val="00F7712A"/>
    <w:rsid w:val="00F77955"/>
    <w:rsid w:val="00F803F8"/>
    <w:rsid w:val="00F8144D"/>
    <w:rsid w:val="00F82B0E"/>
    <w:rsid w:val="00F8415B"/>
    <w:rsid w:val="00F84424"/>
    <w:rsid w:val="00F84EF2"/>
    <w:rsid w:val="00F869F8"/>
    <w:rsid w:val="00F86B46"/>
    <w:rsid w:val="00F86BE3"/>
    <w:rsid w:val="00F90EFD"/>
    <w:rsid w:val="00F926D8"/>
    <w:rsid w:val="00F93F4C"/>
    <w:rsid w:val="00F94DCF"/>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79D3"/>
    <w:rsid w:val="00FB0933"/>
    <w:rsid w:val="00FB13E0"/>
    <w:rsid w:val="00FB38D6"/>
    <w:rsid w:val="00FB4CA8"/>
    <w:rsid w:val="00FB5EBA"/>
    <w:rsid w:val="00FB6B34"/>
    <w:rsid w:val="00FC07C4"/>
    <w:rsid w:val="00FC1619"/>
    <w:rsid w:val="00FC19BF"/>
    <w:rsid w:val="00FC19E8"/>
    <w:rsid w:val="00FC22CF"/>
    <w:rsid w:val="00FC3B31"/>
    <w:rsid w:val="00FC43D1"/>
    <w:rsid w:val="00FC4541"/>
    <w:rsid w:val="00FC5866"/>
    <w:rsid w:val="00FC5B63"/>
    <w:rsid w:val="00FC5E53"/>
    <w:rsid w:val="00FD0BDA"/>
    <w:rsid w:val="00FD262B"/>
    <w:rsid w:val="00FD3EB9"/>
    <w:rsid w:val="00FD4975"/>
    <w:rsid w:val="00FD4992"/>
    <w:rsid w:val="00FD6D08"/>
    <w:rsid w:val="00FD79FF"/>
    <w:rsid w:val="00FD7C43"/>
    <w:rsid w:val="00FE297B"/>
    <w:rsid w:val="00FE3880"/>
    <w:rsid w:val="00FE47DF"/>
    <w:rsid w:val="00FE7555"/>
    <w:rsid w:val="00FE75DD"/>
    <w:rsid w:val="00FE782B"/>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rsid w:val="00614288"/>
    <w:rPr>
      <w:rFonts w:ascii="Verdana" w:hAnsi="Verdana" w:cs="Arial"/>
      <w:lang w:eastAsia="en-AU"/>
    </w:rPr>
  </w:style>
  <w:style w:type="numbering" w:customStyle="1" w:styleId="Style1">
    <w:name w:val="Style1"/>
    <w:uiPriority w:val="99"/>
    <w:rsid w:val="00BF2EA5"/>
    <w:pPr>
      <w:numPr>
        <w:numId w:val="11"/>
      </w:numPr>
    </w:pPr>
  </w:style>
  <w:style w:type="paragraph" w:customStyle="1" w:styleId="TRBodyText">
    <w:name w:val="_TRBody Text"/>
    <w:rsid w:val="00900933"/>
    <w:pPr>
      <w:spacing w:line="300" w:lineRule="atLeast"/>
      <w:jc w:val="both"/>
    </w:pPr>
    <w:rPr>
      <w:sz w:val="24"/>
      <w:lang w:eastAsia="en-AU"/>
    </w:rPr>
  </w:style>
  <w:style w:type="paragraph" w:customStyle="1" w:styleId="TRNormal">
    <w:name w:val="_TRNormal"/>
    <w:rsid w:val="00EB77F8"/>
    <w:pPr>
      <w:spacing w:line="300" w:lineRule="atLeast"/>
      <w:jc w:val="both"/>
    </w:pPr>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rsid w:val="00614288"/>
    <w:rPr>
      <w:rFonts w:ascii="Verdana" w:hAnsi="Verdana" w:cs="Arial"/>
      <w:lang w:eastAsia="en-AU"/>
    </w:rPr>
  </w:style>
  <w:style w:type="numbering" w:customStyle="1" w:styleId="Style1">
    <w:name w:val="Style1"/>
    <w:uiPriority w:val="99"/>
    <w:rsid w:val="00BF2EA5"/>
    <w:pPr>
      <w:numPr>
        <w:numId w:val="11"/>
      </w:numPr>
    </w:pPr>
  </w:style>
  <w:style w:type="paragraph" w:customStyle="1" w:styleId="TRBodyText">
    <w:name w:val="_TRBody Text"/>
    <w:rsid w:val="00900933"/>
    <w:pPr>
      <w:spacing w:line="300" w:lineRule="atLeast"/>
      <w:jc w:val="both"/>
    </w:pPr>
    <w:rPr>
      <w:sz w:val="24"/>
      <w:lang w:eastAsia="en-AU"/>
    </w:rPr>
  </w:style>
  <w:style w:type="paragraph" w:customStyle="1" w:styleId="TRNormal">
    <w:name w:val="_TRNormal"/>
    <w:rsid w:val="00EB77F8"/>
    <w:pPr>
      <w:spacing w:line="300" w:lineRule="atLeast"/>
      <w:jc w:val="both"/>
    </w:pPr>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04134392">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4699</Words>
  <Characters>24885</Characters>
  <Application>Microsoft Office Word</Application>
  <DocSecurity>0</DocSecurity>
  <Lines>529</Lines>
  <Paragraphs>178</Paragraphs>
  <ScaleCrop>false</ScaleCrop>
  <HeadingPairs>
    <vt:vector size="2" baseType="variant">
      <vt:variant>
        <vt:lpstr>Title</vt:lpstr>
      </vt:variant>
      <vt:variant>
        <vt:i4>1</vt:i4>
      </vt:variant>
    </vt:vector>
  </HeadingPairs>
  <TitlesOfParts>
    <vt:vector size="1" baseType="lpstr">
      <vt:lpstr>Regulatory impact statement - Demergers (17 October 2016)</vt:lpstr>
    </vt:vector>
  </TitlesOfParts>
  <Company>Inland Revenue</Company>
  <LinksUpToDate>false</LinksUpToDate>
  <CharactersWithSpaces>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Demergers (17 October 2016)</dc:title>
  <dc:subject/>
  <dc:creator>Policy and Strategy</dc:creator>
  <cp:keywords/>
  <dc:description>Published April 2017.</dc:description>
  <cp:lastModifiedBy>David Nind</cp:lastModifiedBy>
  <cp:revision>2</cp:revision>
  <dcterms:created xsi:type="dcterms:W3CDTF">2017-04-03T06:04:00Z</dcterms:created>
  <dcterms:modified xsi:type="dcterms:W3CDTF">2017-04-03T06:05:00Z</dcterms:modified>
</cp:coreProperties>
</file>