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C14" w:rsidRPr="00D950E1" w:rsidRDefault="00D1449D" w:rsidP="00AE5BDE">
      <w:pPr>
        <w:pStyle w:val="TRTitle"/>
        <w:spacing w:before="240" w:after="720"/>
        <w:ind w:left="2835" w:hanging="2835"/>
        <w:outlineLvl w:val="0"/>
      </w:pPr>
      <w:bookmarkStart w:id="0" w:name="_GoBack"/>
      <w:bookmarkEnd w:id="0"/>
      <w:r>
        <w:t>Tax p</w:t>
      </w:r>
      <w:r w:rsidR="00BC5F2C" w:rsidRPr="00D950E1">
        <w:t xml:space="preserve">olicy </w:t>
      </w:r>
      <w:r w:rsidR="00DB0C14" w:rsidRPr="00D950E1">
        <w:t>report:</w:t>
      </w:r>
      <w:r w:rsidR="00DB0C14" w:rsidRPr="00D950E1">
        <w:tab/>
      </w:r>
      <w:bookmarkStart w:id="1" w:name="Subject"/>
      <w:bookmarkEnd w:id="1"/>
      <w:r w:rsidR="00932AF3">
        <w:t xml:space="preserve">BEPS – </w:t>
      </w:r>
      <w:r w:rsidR="00CD252D">
        <w:t xml:space="preserve">summary of </w:t>
      </w:r>
      <w:r w:rsidR="00932AF3">
        <w:t xml:space="preserve">submissions on March 2017 discussion documents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1" w:type="dxa"/>
          <w:right w:w="71" w:type="dxa"/>
        </w:tblCellMar>
        <w:tblLook w:val="0000" w:firstRow="0" w:lastRow="0" w:firstColumn="0" w:lastColumn="0" w:noHBand="0" w:noVBand="0"/>
      </w:tblPr>
      <w:tblGrid>
        <w:gridCol w:w="1914"/>
        <w:gridCol w:w="3260"/>
        <w:gridCol w:w="1985"/>
        <w:gridCol w:w="2551"/>
      </w:tblGrid>
      <w:tr w:rsidR="00DB0C14" w:rsidRPr="00D950E1">
        <w:tc>
          <w:tcPr>
            <w:tcW w:w="1914" w:type="dxa"/>
            <w:vAlign w:val="center"/>
          </w:tcPr>
          <w:p w:rsidR="00DB0C14" w:rsidRPr="00D950E1" w:rsidRDefault="00DB0C14" w:rsidP="00AE5BDE">
            <w:pPr>
              <w:pStyle w:val="TRBodyText"/>
              <w:spacing w:before="60" w:after="60"/>
              <w:jc w:val="left"/>
              <w:rPr>
                <w:b/>
                <w:sz w:val="20"/>
              </w:rPr>
            </w:pPr>
            <w:r w:rsidRPr="00D950E1">
              <w:rPr>
                <w:b/>
                <w:sz w:val="20"/>
              </w:rPr>
              <w:t>Date:</w:t>
            </w:r>
          </w:p>
        </w:tc>
        <w:tc>
          <w:tcPr>
            <w:tcW w:w="3260" w:type="dxa"/>
            <w:vAlign w:val="center"/>
          </w:tcPr>
          <w:p w:rsidR="00DB0C14" w:rsidRPr="00D950E1" w:rsidRDefault="00EF4F4F" w:rsidP="00AE5BDE">
            <w:pPr>
              <w:pStyle w:val="TRBodyText"/>
              <w:spacing w:before="60" w:after="60"/>
              <w:jc w:val="left"/>
            </w:pPr>
            <w:bookmarkStart w:id="2" w:name="Date"/>
            <w:bookmarkEnd w:id="2"/>
            <w:r w:rsidRPr="00B53977">
              <w:t>15</w:t>
            </w:r>
            <w:r w:rsidR="00932AF3">
              <w:t xml:space="preserve"> June 2017</w:t>
            </w:r>
          </w:p>
        </w:tc>
        <w:tc>
          <w:tcPr>
            <w:tcW w:w="1985" w:type="dxa"/>
            <w:vAlign w:val="center"/>
          </w:tcPr>
          <w:p w:rsidR="00DB0C14" w:rsidRPr="00D950E1" w:rsidRDefault="00DB0C14" w:rsidP="00AE5BDE">
            <w:pPr>
              <w:pStyle w:val="TRBodyText"/>
              <w:spacing w:before="60" w:after="60"/>
              <w:jc w:val="left"/>
              <w:rPr>
                <w:b/>
                <w:sz w:val="20"/>
              </w:rPr>
            </w:pPr>
            <w:r w:rsidRPr="00D950E1">
              <w:rPr>
                <w:b/>
                <w:sz w:val="20"/>
              </w:rPr>
              <w:t>Priority:</w:t>
            </w:r>
          </w:p>
        </w:tc>
        <w:tc>
          <w:tcPr>
            <w:tcW w:w="2551" w:type="dxa"/>
            <w:vAlign w:val="center"/>
          </w:tcPr>
          <w:p w:rsidR="00DB0C14" w:rsidRPr="00D950E1" w:rsidRDefault="00932AF3" w:rsidP="00AE5BDE">
            <w:pPr>
              <w:pStyle w:val="TRBodyText"/>
              <w:jc w:val="left"/>
            </w:pPr>
            <w:bookmarkStart w:id="3" w:name="Priority"/>
            <w:bookmarkEnd w:id="3"/>
            <w:r>
              <w:t>Medium</w:t>
            </w:r>
          </w:p>
        </w:tc>
      </w:tr>
      <w:tr w:rsidR="00DB0C14" w:rsidRPr="00D950E1">
        <w:tc>
          <w:tcPr>
            <w:tcW w:w="1914" w:type="dxa"/>
            <w:vAlign w:val="center"/>
          </w:tcPr>
          <w:p w:rsidR="00DB0C14" w:rsidRPr="00D950E1" w:rsidRDefault="00FD2316" w:rsidP="00AE5BDE">
            <w:pPr>
              <w:pStyle w:val="TRBodyText"/>
              <w:spacing w:before="60" w:after="60"/>
              <w:jc w:val="left"/>
              <w:rPr>
                <w:b/>
                <w:sz w:val="20"/>
              </w:rPr>
            </w:pPr>
            <w:r w:rsidRPr="00D950E1">
              <w:rPr>
                <w:b/>
                <w:sz w:val="20"/>
              </w:rPr>
              <w:t>Security l</w:t>
            </w:r>
            <w:r w:rsidR="00DB0C14" w:rsidRPr="00D950E1">
              <w:rPr>
                <w:b/>
                <w:sz w:val="20"/>
              </w:rPr>
              <w:t>evel:</w:t>
            </w:r>
          </w:p>
        </w:tc>
        <w:tc>
          <w:tcPr>
            <w:tcW w:w="3260" w:type="dxa"/>
            <w:vAlign w:val="center"/>
          </w:tcPr>
          <w:p w:rsidR="00DB0C14" w:rsidRPr="00D950E1" w:rsidRDefault="00932AF3" w:rsidP="00AE5BDE">
            <w:pPr>
              <w:pStyle w:val="TRBodyText"/>
              <w:spacing w:before="60" w:after="60"/>
              <w:jc w:val="left"/>
            </w:pPr>
            <w:bookmarkStart w:id="4" w:name="Security"/>
            <w:bookmarkEnd w:id="4"/>
            <w:r>
              <w:t>In Confidence</w:t>
            </w:r>
          </w:p>
        </w:tc>
        <w:tc>
          <w:tcPr>
            <w:tcW w:w="1985" w:type="dxa"/>
            <w:vAlign w:val="center"/>
          </w:tcPr>
          <w:p w:rsidR="00DB0C14" w:rsidRPr="00D950E1" w:rsidRDefault="00FD2316" w:rsidP="00AE5BDE">
            <w:pPr>
              <w:pStyle w:val="TRBodyText"/>
              <w:spacing w:before="60" w:after="60"/>
              <w:jc w:val="left"/>
              <w:rPr>
                <w:b/>
                <w:sz w:val="20"/>
              </w:rPr>
            </w:pPr>
            <w:r w:rsidRPr="00D950E1">
              <w:rPr>
                <w:b/>
                <w:sz w:val="20"/>
              </w:rPr>
              <w:t>Report n</w:t>
            </w:r>
            <w:r w:rsidR="00DB0C14" w:rsidRPr="00D950E1">
              <w:rPr>
                <w:b/>
                <w:sz w:val="20"/>
              </w:rPr>
              <w:t>o:</w:t>
            </w:r>
          </w:p>
        </w:tc>
        <w:tc>
          <w:tcPr>
            <w:tcW w:w="2551" w:type="dxa"/>
            <w:vAlign w:val="center"/>
          </w:tcPr>
          <w:p w:rsidR="00064565" w:rsidRDefault="002C6FBF" w:rsidP="00AE5BDE">
            <w:pPr>
              <w:pStyle w:val="TRBodyText"/>
              <w:jc w:val="left"/>
            </w:pPr>
            <w:bookmarkStart w:id="5" w:name="ReportNumber"/>
            <w:bookmarkEnd w:id="5"/>
            <w:r w:rsidRPr="002C6FBF">
              <w:t>T2017/1630</w:t>
            </w:r>
          </w:p>
          <w:p w:rsidR="00192C20" w:rsidRPr="00D950E1" w:rsidRDefault="00932AF3" w:rsidP="00AE5BDE">
            <w:pPr>
              <w:pStyle w:val="TRBodyText"/>
              <w:jc w:val="left"/>
            </w:pPr>
            <w:bookmarkStart w:id="6" w:name="ReportPad"/>
            <w:bookmarkEnd w:id="6"/>
            <w:r>
              <w:t>IR2017/</w:t>
            </w:r>
            <w:r w:rsidR="00EF4F4F">
              <w:t>361</w:t>
            </w:r>
          </w:p>
        </w:tc>
      </w:tr>
    </w:tbl>
    <w:p w:rsidR="00DB0C14" w:rsidRPr="00D950E1" w:rsidRDefault="00DB0C14" w:rsidP="00AE5BDE">
      <w:pPr>
        <w:pStyle w:val="TRHeading1"/>
        <w:spacing w:line="300" w:lineRule="atLeast"/>
      </w:pPr>
      <w:r w:rsidRPr="00D950E1">
        <w:t>Action sought</w:t>
      </w:r>
    </w:p>
    <w:tbl>
      <w:tblPr>
        <w:tblW w:w="0" w:type="auto"/>
        <w:tblLayout w:type="fixed"/>
        <w:tblCellMar>
          <w:left w:w="71" w:type="dxa"/>
          <w:right w:w="71" w:type="dxa"/>
        </w:tblCellMar>
        <w:tblLook w:val="0000" w:firstRow="0" w:lastRow="0" w:firstColumn="0" w:lastColumn="0" w:noHBand="0" w:noVBand="0"/>
      </w:tblPr>
      <w:tblGrid>
        <w:gridCol w:w="3473"/>
        <w:gridCol w:w="3261"/>
        <w:gridCol w:w="2976"/>
      </w:tblGrid>
      <w:tr w:rsidR="00DB0C14" w:rsidRPr="00D950E1">
        <w:tc>
          <w:tcPr>
            <w:tcW w:w="3473" w:type="dxa"/>
          </w:tcPr>
          <w:p w:rsidR="00DB0C14" w:rsidRPr="00D950E1" w:rsidRDefault="00DB0C14" w:rsidP="00AE5BDE">
            <w:pPr>
              <w:spacing w:after="60" w:line="300" w:lineRule="atLeast"/>
              <w:rPr>
                <w:sz w:val="20"/>
              </w:rPr>
            </w:pPr>
          </w:p>
        </w:tc>
        <w:tc>
          <w:tcPr>
            <w:tcW w:w="3261" w:type="dxa"/>
            <w:tcBorders>
              <w:left w:val="nil"/>
            </w:tcBorders>
          </w:tcPr>
          <w:p w:rsidR="00DB0C14" w:rsidRPr="00D950E1" w:rsidRDefault="00FD2316" w:rsidP="00AE5BDE">
            <w:pPr>
              <w:pStyle w:val="TRBodyText"/>
              <w:spacing w:after="60"/>
              <w:rPr>
                <w:b/>
                <w:sz w:val="20"/>
              </w:rPr>
            </w:pPr>
            <w:r w:rsidRPr="00D950E1">
              <w:rPr>
                <w:b/>
                <w:sz w:val="20"/>
              </w:rPr>
              <w:t>Action s</w:t>
            </w:r>
            <w:r w:rsidR="00DB0C14" w:rsidRPr="00D950E1">
              <w:rPr>
                <w:b/>
                <w:sz w:val="20"/>
              </w:rPr>
              <w:t>ought</w:t>
            </w:r>
          </w:p>
        </w:tc>
        <w:tc>
          <w:tcPr>
            <w:tcW w:w="2976" w:type="dxa"/>
          </w:tcPr>
          <w:p w:rsidR="00DB0C14" w:rsidRPr="00D950E1" w:rsidRDefault="00DB0C14" w:rsidP="00AE5BDE">
            <w:pPr>
              <w:pStyle w:val="TRBodyText"/>
              <w:spacing w:after="60"/>
              <w:rPr>
                <w:b/>
                <w:sz w:val="20"/>
              </w:rPr>
            </w:pPr>
            <w:r w:rsidRPr="00D950E1">
              <w:rPr>
                <w:b/>
                <w:sz w:val="20"/>
              </w:rPr>
              <w:t>Deadline</w:t>
            </w:r>
          </w:p>
        </w:tc>
      </w:tr>
      <w:tr w:rsidR="00DB0C14" w:rsidRPr="00D950E1">
        <w:tc>
          <w:tcPr>
            <w:tcW w:w="3473" w:type="dxa"/>
            <w:tcBorders>
              <w:top w:val="single" w:sz="4" w:space="0" w:color="808080"/>
              <w:left w:val="single" w:sz="4" w:space="0" w:color="808080"/>
              <w:bottom w:val="single" w:sz="4" w:space="0" w:color="808080"/>
              <w:right w:val="single" w:sz="4" w:space="0" w:color="808080"/>
            </w:tcBorders>
          </w:tcPr>
          <w:p w:rsidR="00DB0C14" w:rsidRPr="00D950E1" w:rsidRDefault="00932AF3" w:rsidP="00AE5BDE">
            <w:pPr>
              <w:pStyle w:val="TRBodyText"/>
              <w:spacing w:before="60" w:after="60"/>
            </w:pPr>
            <w:bookmarkStart w:id="7" w:name="Action"/>
            <w:bookmarkEnd w:id="7"/>
            <w:r>
              <w:t>Minister of Finance</w:t>
            </w:r>
          </w:p>
        </w:tc>
        <w:tc>
          <w:tcPr>
            <w:tcW w:w="3261" w:type="dxa"/>
            <w:tcBorders>
              <w:top w:val="single" w:sz="4" w:space="0" w:color="808080"/>
              <w:left w:val="single" w:sz="4" w:space="0" w:color="808080"/>
              <w:bottom w:val="single" w:sz="4" w:space="0" w:color="808080"/>
              <w:right w:val="single" w:sz="4" w:space="0" w:color="808080"/>
            </w:tcBorders>
          </w:tcPr>
          <w:p w:rsidR="00DB0C14" w:rsidRPr="00D950E1" w:rsidRDefault="000D4EA8" w:rsidP="00AE5BDE">
            <w:pPr>
              <w:pStyle w:val="TRBodyText"/>
              <w:spacing w:before="60" w:after="60"/>
              <w:jc w:val="left"/>
            </w:pPr>
            <w:r w:rsidRPr="000D4EA8">
              <w:rPr>
                <w:b/>
              </w:rPr>
              <w:t>Agree</w:t>
            </w:r>
            <w:r w:rsidRPr="000D4EA8">
              <w:t xml:space="preserve"> to the recommendations</w:t>
            </w:r>
          </w:p>
        </w:tc>
        <w:tc>
          <w:tcPr>
            <w:tcW w:w="2976" w:type="dxa"/>
            <w:tcBorders>
              <w:top w:val="single" w:sz="4" w:space="0" w:color="808080"/>
              <w:left w:val="single" w:sz="4" w:space="0" w:color="808080"/>
              <w:bottom w:val="single" w:sz="4" w:space="0" w:color="808080"/>
              <w:right w:val="single" w:sz="4" w:space="0" w:color="808080"/>
            </w:tcBorders>
          </w:tcPr>
          <w:p w:rsidR="00DB0C14" w:rsidRPr="00D950E1" w:rsidRDefault="00E60B32" w:rsidP="00AE5BDE">
            <w:pPr>
              <w:pStyle w:val="TRBodyText"/>
              <w:spacing w:before="60" w:after="60"/>
              <w:jc w:val="left"/>
            </w:pPr>
            <w:r>
              <w:t>19</w:t>
            </w:r>
            <w:r w:rsidR="00433921">
              <w:t xml:space="preserve"> </w:t>
            </w:r>
            <w:r w:rsidR="000D4EA8">
              <w:t>June 2017</w:t>
            </w:r>
          </w:p>
        </w:tc>
      </w:tr>
      <w:tr w:rsidR="00932AF3" w:rsidRPr="00D950E1">
        <w:tc>
          <w:tcPr>
            <w:tcW w:w="3473" w:type="dxa"/>
            <w:tcBorders>
              <w:top w:val="single" w:sz="4" w:space="0" w:color="808080"/>
              <w:left w:val="single" w:sz="4" w:space="0" w:color="808080"/>
              <w:bottom w:val="single" w:sz="4" w:space="0" w:color="808080"/>
              <w:right w:val="single" w:sz="4" w:space="0" w:color="808080"/>
            </w:tcBorders>
          </w:tcPr>
          <w:p w:rsidR="00932AF3" w:rsidRDefault="00932AF3" w:rsidP="00AE5BDE">
            <w:pPr>
              <w:pStyle w:val="TRBodyText"/>
              <w:spacing w:before="60" w:after="60"/>
            </w:pPr>
            <w:r>
              <w:t>Minister of Revenue</w:t>
            </w:r>
          </w:p>
        </w:tc>
        <w:tc>
          <w:tcPr>
            <w:tcW w:w="3261" w:type="dxa"/>
            <w:tcBorders>
              <w:top w:val="single" w:sz="4" w:space="0" w:color="808080"/>
              <w:left w:val="single" w:sz="4" w:space="0" w:color="808080"/>
              <w:bottom w:val="single" w:sz="4" w:space="0" w:color="808080"/>
              <w:right w:val="single" w:sz="4" w:space="0" w:color="808080"/>
            </w:tcBorders>
          </w:tcPr>
          <w:p w:rsidR="00932AF3" w:rsidRPr="00D950E1" w:rsidRDefault="000D4EA8" w:rsidP="00AE5BDE">
            <w:pPr>
              <w:pStyle w:val="TRBodyText"/>
              <w:spacing w:before="60" w:after="60"/>
              <w:jc w:val="left"/>
            </w:pPr>
            <w:r w:rsidRPr="000D4EA8">
              <w:rPr>
                <w:b/>
              </w:rPr>
              <w:t>Agree</w:t>
            </w:r>
            <w:r w:rsidRPr="000D4EA8">
              <w:t xml:space="preserve"> to the recommendations</w:t>
            </w:r>
          </w:p>
        </w:tc>
        <w:tc>
          <w:tcPr>
            <w:tcW w:w="2976" w:type="dxa"/>
            <w:tcBorders>
              <w:top w:val="single" w:sz="4" w:space="0" w:color="808080"/>
              <w:left w:val="single" w:sz="4" w:space="0" w:color="808080"/>
              <w:bottom w:val="single" w:sz="4" w:space="0" w:color="808080"/>
              <w:right w:val="single" w:sz="4" w:space="0" w:color="808080"/>
            </w:tcBorders>
          </w:tcPr>
          <w:p w:rsidR="00932AF3" w:rsidRPr="00D950E1" w:rsidRDefault="00E60B32" w:rsidP="00AE5BDE">
            <w:pPr>
              <w:pStyle w:val="TRBodyText"/>
              <w:spacing w:before="60" w:after="60"/>
              <w:jc w:val="left"/>
            </w:pPr>
            <w:r>
              <w:t>19</w:t>
            </w:r>
            <w:r w:rsidR="00433921">
              <w:t xml:space="preserve"> </w:t>
            </w:r>
            <w:r w:rsidR="000D4EA8">
              <w:t>June 2017</w:t>
            </w:r>
          </w:p>
        </w:tc>
      </w:tr>
    </w:tbl>
    <w:p w:rsidR="00DB0C14" w:rsidRPr="00D950E1" w:rsidRDefault="00DB0C14" w:rsidP="00AE5BDE">
      <w:pPr>
        <w:pStyle w:val="TRHeading1"/>
        <w:spacing w:line="300" w:lineRule="atLeast"/>
      </w:pPr>
      <w:r w:rsidRPr="00D950E1">
        <w:t xml:space="preserve">Contact for telephone discussion </w:t>
      </w:r>
      <w:r w:rsidRPr="00D950E1">
        <w:rPr>
          <w:b w:val="0"/>
        </w:rPr>
        <w:t>(if required)</w:t>
      </w:r>
    </w:p>
    <w:tbl>
      <w:tblPr>
        <w:tblW w:w="9709"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1631"/>
        <w:gridCol w:w="4110"/>
        <w:gridCol w:w="3968"/>
      </w:tblGrid>
      <w:tr w:rsidR="00DB0C14" w:rsidRPr="00D950E1" w:rsidTr="00932AF3">
        <w:trPr>
          <w:cantSplit/>
        </w:trPr>
        <w:tc>
          <w:tcPr>
            <w:tcW w:w="1631" w:type="dxa"/>
            <w:tcBorders>
              <w:top w:val="nil"/>
              <w:left w:val="nil"/>
              <w:bottom w:val="nil"/>
              <w:right w:val="nil"/>
            </w:tcBorders>
          </w:tcPr>
          <w:p w:rsidR="00DB0C14" w:rsidRPr="00D950E1" w:rsidRDefault="00DB0C14" w:rsidP="00AE5BDE">
            <w:pPr>
              <w:pStyle w:val="TRBodyText"/>
              <w:spacing w:before="60" w:after="60"/>
              <w:rPr>
                <w:b/>
                <w:sz w:val="20"/>
              </w:rPr>
            </w:pPr>
            <w:r w:rsidRPr="00D950E1">
              <w:rPr>
                <w:b/>
                <w:sz w:val="20"/>
              </w:rPr>
              <w:t>Name</w:t>
            </w:r>
          </w:p>
        </w:tc>
        <w:tc>
          <w:tcPr>
            <w:tcW w:w="4110" w:type="dxa"/>
            <w:tcBorders>
              <w:top w:val="nil"/>
              <w:left w:val="nil"/>
              <w:bottom w:val="nil"/>
              <w:right w:val="nil"/>
            </w:tcBorders>
          </w:tcPr>
          <w:p w:rsidR="00DB0C14" w:rsidRPr="00D950E1" w:rsidRDefault="00DB0C14" w:rsidP="00AE5BDE">
            <w:pPr>
              <w:pStyle w:val="TRBodyText"/>
              <w:spacing w:before="60" w:after="60"/>
              <w:rPr>
                <w:b/>
                <w:sz w:val="20"/>
              </w:rPr>
            </w:pPr>
            <w:r w:rsidRPr="00D950E1">
              <w:rPr>
                <w:b/>
                <w:sz w:val="20"/>
              </w:rPr>
              <w:t>Position</w:t>
            </w:r>
          </w:p>
        </w:tc>
        <w:tc>
          <w:tcPr>
            <w:tcW w:w="3968" w:type="dxa"/>
            <w:tcBorders>
              <w:top w:val="nil"/>
              <w:left w:val="nil"/>
              <w:bottom w:val="nil"/>
              <w:right w:val="nil"/>
            </w:tcBorders>
          </w:tcPr>
          <w:p w:rsidR="00DB0C14" w:rsidRPr="00D950E1" w:rsidRDefault="00DB0C14" w:rsidP="00AE5BDE">
            <w:pPr>
              <w:pStyle w:val="TRBodyText"/>
              <w:spacing w:before="60" w:after="60"/>
              <w:jc w:val="center"/>
              <w:rPr>
                <w:b/>
                <w:sz w:val="20"/>
              </w:rPr>
            </w:pPr>
            <w:r w:rsidRPr="00D950E1">
              <w:rPr>
                <w:b/>
                <w:sz w:val="20"/>
              </w:rPr>
              <w:t>Telephone</w:t>
            </w:r>
          </w:p>
        </w:tc>
      </w:tr>
      <w:tr w:rsidR="001F6243" w:rsidRPr="00D950E1" w:rsidTr="001F6243">
        <w:tc>
          <w:tcPr>
            <w:tcW w:w="1631" w:type="dxa"/>
            <w:tcBorders>
              <w:top w:val="single" w:sz="4" w:space="0" w:color="808080"/>
              <w:left w:val="single" w:sz="4" w:space="0" w:color="808080"/>
              <w:bottom w:val="single" w:sz="4" w:space="0" w:color="808080"/>
              <w:right w:val="single" w:sz="4" w:space="0" w:color="808080"/>
            </w:tcBorders>
          </w:tcPr>
          <w:p w:rsidR="001F6243" w:rsidRDefault="001F6243" w:rsidP="00AE5BDE">
            <w:pPr>
              <w:pStyle w:val="TRNormal"/>
              <w:spacing w:before="60" w:after="60"/>
              <w:jc w:val="left"/>
            </w:pPr>
            <w:r>
              <w:t>Gordon Witte</w:t>
            </w:r>
          </w:p>
        </w:tc>
        <w:tc>
          <w:tcPr>
            <w:tcW w:w="4110" w:type="dxa"/>
            <w:tcBorders>
              <w:top w:val="single" w:sz="4" w:space="0" w:color="808080"/>
              <w:left w:val="single" w:sz="4" w:space="0" w:color="808080"/>
              <w:bottom w:val="single" w:sz="4" w:space="0" w:color="808080"/>
              <w:right w:val="single" w:sz="4" w:space="0" w:color="808080"/>
            </w:tcBorders>
          </w:tcPr>
          <w:p w:rsidR="001F6243" w:rsidRDefault="001F6243" w:rsidP="00AE5BDE">
            <w:pPr>
              <w:pStyle w:val="TRNormal"/>
              <w:spacing w:before="60" w:after="60"/>
              <w:jc w:val="left"/>
            </w:pPr>
            <w:r w:rsidRPr="00932AF3">
              <w:t>Senior Policy Advisor,</w:t>
            </w:r>
            <w:r>
              <w:t xml:space="preserve"> Inland Revenue</w:t>
            </w:r>
          </w:p>
        </w:tc>
        <w:tc>
          <w:tcPr>
            <w:tcW w:w="3968" w:type="dxa"/>
            <w:vMerge w:val="restart"/>
            <w:tcBorders>
              <w:top w:val="single" w:sz="4" w:space="0" w:color="808080"/>
              <w:left w:val="single" w:sz="4" w:space="0" w:color="808080"/>
              <w:right w:val="single" w:sz="4" w:space="0" w:color="808080"/>
            </w:tcBorders>
            <w:shd w:val="clear" w:color="auto" w:fill="000000" w:themeFill="text1"/>
          </w:tcPr>
          <w:p w:rsidR="001F6243" w:rsidRPr="001F6243" w:rsidRDefault="001F6243" w:rsidP="001F6243">
            <w:pPr>
              <w:pStyle w:val="TRNormal"/>
              <w:spacing w:before="60" w:after="60"/>
              <w:jc w:val="left"/>
              <w:rPr>
                <w:sz w:val="20"/>
              </w:rPr>
            </w:pPr>
            <w:r>
              <w:rPr>
                <w:sz w:val="20"/>
              </w:rPr>
              <w:t>Withheld under section 9(2)(a) of the Official Information Act 1982</w:t>
            </w:r>
          </w:p>
        </w:tc>
      </w:tr>
      <w:tr w:rsidR="001F6243" w:rsidRPr="00D950E1" w:rsidTr="001F6243">
        <w:tc>
          <w:tcPr>
            <w:tcW w:w="1631" w:type="dxa"/>
            <w:tcBorders>
              <w:top w:val="single" w:sz="4" w:space="0" w:color="808080"/>
              <w:left w:val="single" w:sz="4" w:space="0" w:color="808080"/>
              <w:bottom w:val="single" w:sz="4" w:space="0" w:color="808080"/>
              <w:right w:val="single" w:sz="4" w:space="0" w:color="808080"/>
            </w:tcBorders>
          </w:tcPr>
          <w:p w:rsidR="001F6243" w:rsidRPr="00D950E1" w:rsidRDefault="001F6243" w:rsidP="00AE5BDE">
            <w:pPr>
              <w:pStyle w:val="TRNormal"/>
              <w:spacing w:before="60" w:after="60"/>
              <w:jc w:val="left"/>
            </w:pPr>
            <w:r>
              <w:t>Carmel Peters</w:t>
            </w:r>
          </w:p>
        </w:tc>
        <w:tc>
          <w:tcPr>
            <w:tcW w:w="4110" w:type="dxa"/>
            <w:tcBorders>
              <w:top w:val="single" w:sz="4" w:space="0" w:color="808080"/>
              <w:left w:val="single" w:sz="4" w:space="0" w:color="808080"/>
              <w:bottom w:val="single" w:sz="4" w:space="0" w:color="808080"/>
              <w:right w:val="single" w:sz="4" w:space="0" w:color="808080"/>
            </w:tcBorders>
          </w:tcPr>
          <w:p w:rsidR="001F6243" w:rsidRPr="00D950E1" w:rsidRDefault="001F6243" w:rsidP="00AE5BDE">
            <w:pPr>
              <w:pStyle w:val="TRNormal"/>
              <w:spacing w:before="60" w:after="60"/>
              <w:jc w:val="left"/>
            </w:pPr>
            <w:r>
              <w:t>Policy Manager, Inland Revenue</w:t>
            </w:r>
          </w:p>
        </w:tc>
        <w:tc>
          <w:tcPr>
            <w:tcW w:w="3968" w:type="dxa"/>
            <w:vMerge/>
            <w:tcBorders>
              <w:left w:val="single" w:sz="4" w:space="0" w:color="808080"/>
              <w:right w:val="single" w:sz="4" w:space="0" w:color="808080"/>
            </w:tcBorders>
            <w:shd w:val="clear" w:color="auto" w:fill="000000" w:themeFill="text1"/>
          </w:tcPr>
          <w:p w:rsidR="001F6243" w:rsidRPr="00D950E1" w:rsidRDefault="001F6243" w:rsidP="00AE5BDE">
            <w:pPr>
              <w:pStyle w:val="TRNormal"/>
              <w:spacing w:before="60" w:after="60"/>
              <w:jc w:val="center"/>
            </w:pPr>
          </w:p>
        </w:tc>
      </w:tr>
      <w:tr w:rsidR="001F6243" w:rsidRPr="00D950E1" w:rsidTr="001F6243">
        <w:tc>
          <w:tcPr>
            <w:tcW w:w="1631" w:type="dxa"/>
            <w:tcBorders>
              <w:top w:val="single" w:sz="4" w:space="0" w:color="808080"/>
              <w:left w:val="single" w:sz="4" w:space="0" w:color="808080"/>
              <w:bottom w:val="single" w:sz="4" w:space="0" w:color="808080"/>
              <w:right w:val="single" w:sz="4" w:space="0" w:color="808080"/>
            </w:tcBorders>
          </w:tcPr>
          <w:p w:rsidR="001F6243" w:rsidRPr="00D950E1" w:rsidRDefault="001F6243" w:rsidP="00AE5BDE">
            <w:pPr>
              <w:pStyle w:val="TRNormal"/>
              <w:spacing w:before="60" w:after="60"/>
              <w:jc w:val="left"/>
            </w:pPr>
            <w:r>
              <w:t>Steve Mack</w:t>
            </w:r>
          </w:p>
        </w:tc>
        <w:tc>
          <w:tcPr>
            <w:tcW w:w="4110" w:type="dxa"/>
            <w:tcBorders>
              <w:top w:val="single" w:sz="4" w:space="0" w:color="808080"/>
              <w:left w:val="single" w:sz="4" w:space="0" w:color="808080"/>
              <w:bottom w:val="single" w:sz="4" w:space="0" w:color="808080"/>
              <w:right w:val="single" w:sz="4" w:space="0" w:color="808080"/>
            </w:tcBorders>
          </w:tcPr>
          <w:p w:rsidR="001F6243" w:rsidRPr="00D950E1" w:rsidRDefault="001F6243" w:rsidP="00AE5BDE">
            <w:pPr>
              <w:pStyle w:val="TRNormal"/>
              <w:spacing w:before="60" w:after="60"/>
              <w:jc w:val="left"/>
            </w:pPr>
            <w:r>
              <w:t>Principal Advisor, The Treasury</w:t>
            </w:r>
          </w:p>
        </w:tc>
        <w:tc>
          <w:tcPr>
            <w:tcW w:w="3968" w:type="dxa"/>
            <w:vMerge/>
            <w:tcBorders>
              <w:left w:val="single" w:sz="4" w:space="0" w:color="808080"/>
              <w:bottom w:val="single" w:sz="4" w:space="0" w:color="808080"/>
              <w:right w:val="single" w:sz="4" w:space="0" w:color="808080"/>
            </w:tcBorders>
            <w:shd w:val="clear" w:color="auto" w:fill="000000" w:themeFill="text1"/>
          </w:tcPr>
          <w:p w:rsidR="001F6243" w:rsidRPr="00D950E1" w:rsidRDefault="001F6243" w:rsidP="00AE5BDE">
            <w:pPr>
              <w:pStyle w:val="TRNormal"/>
              <w:spacing w:before="60" w:after="60"/>
              <w:jc w:val="center"/>
            </w:pPr>
          </w:p>
        </w:tc>
      </w:tr>
    </w:tbl>
    <w:p w:rsidR="00DB0C14" w:rsidRPr="00D950E1" w:rsidRDefault="00DB0C14" w:rsidP="00AE5BDE">
      <w:pPr>
        <w:pStyle w:val="TRNormal"/>
      </w:pPr>
      <w:bookmarkStart w:id="8" w:name="Name1"/>
      <w:bookmarkStart w:id="9" w:name="Name2"/>
      <w:bookmarkEnd w:id="8"/>
      <w:bookmarkEnd w:id="9"/>
    </w:p>
    <w:p w:rsidR="00DB0C14" w:rsidRPr="00D950E1" w:rsidRDefault="00DB0C14" w:rsidP="00AE5BDE">
      <w:pPr>
        <w:pStyle w:val="TRNormal"/>
        <w:sectPr w:rsidR="00DB0C14" w:rsidRPr="00D950E1">
          <w:footerReference w:type="default" r:id="rId9"/>
          <w:headerReference w:type="first" r:id="rId10"/>
          <w:pgSz w:w="11907" w:h="16840" w:code="9"/>
          <w:pgMar w:top="1134" w:right="1134" w:bottom="1134" w:left="1134" w:header="567" w:footer="567" w:gutter="0"/>
          <w:pgNumType w:start="1"/>
          <w:cols w:space="720"/>
          <w:titlePg/>
        </w:sectPr>
      </w:pPr>
    </w:p>
    <w:p w:rsidR="00DB0C14" w:rsidRPr="00D950E1" w:rsidRDefault="00DB0C14" w:rsidP="00AE5BDE">
      <w:pPr>
        <w:pStyle w:val="TRBodyText"/>
        <w:tabs>
          <w:tab w:val="right" w:pos="9072"/>
        </w:tabs>
        <w:ind w:right="-1"/>
        <w:outlineLvl w:val="0"/>
      </w:pPr>
    </w:p>
    <w:p w:rsidR="00DB0C14" w:rsidRPr="00D950E1" w:rsidRDefault="00DB0C14" w:rsidP="00AE5BDE">
      <w:pPr>
        <w:pStyle w:val="TRBodyText"/>
        <w:tabs>
          <w:tab w:val="right" w:pos="9072"/>
        </w:tabs>
        <w:ind w:right="-1"/>
        <w:outlineLvl w:val="0"/>
      </w:pPr>
    </w:p>
    <w:p w:rsidR="00DB0C14" w:rsidRPr="00D950E1" w:rsidRDefault="00DB0C14" w:rsidP="00AE5BDE">
      <w:pPr>
        <w:pStyle w:val="TRBodyText"/>
        <w:tabs>
          <w:tab w:val="right" w:pos="9072"/>
        </w:tabs>
        <w:ind w:right="-1"/>
        <w:outlineLvl w:val="0"/>
      </w:pPr>
    </w:p>
    <w:p w:rsidR="00DB0C14" w:rsidRPr="00D950E1" w:rsidRDefault="008A0858" w:rsidP="00AE5BDE">
      <w:pPr>
        <w:pStyle w:val="TRBodyText"/>
        <w:tabs>
          <w:tab w:val="right" w:pos="9072"/>
        </w:tabs>
        <w:ind w:right="-1"/>
        <w:outlineLvl w:val="0"/>
      </w:pPr>
      <w:bookmarkStart w:id="11" w:name="Date1"/>
      <w:bookmarkStart w:id="12" w:name="FileReference"/>
      <w:bookmarkEnd w:id="11"/>
      <w:bookmarkEnd w:id="12"/>
      <w:r>
        <w:t>1</w:t>
      </w:r>
      <w:r w:rsidR="00E85728">
        <w:t>5</w:t>
      </w:r>
      <w:r w:rsidR="000D0533">
        <w:t xml:space="preserve"> </w:t>
      </w:r>
      <w:r w:rsidR="00932AF3">
        <w:t>June 2017</w:t>
      </w:r>
    </w:p>
    <w:p w:rsidR="00DB0C14" w:rsidRPr="00D950E1" w:rsidRDefault="00DB0C14" w:rsidP="00AE5BDE">
      <w:pPr>
        <w:pStyle w:val="TRNormal"/>
      </w:pPr>
    </w:p>
    <w:p w:rsidR="00DB0C14" w:rsidRPr="00D950E1" w:rsidRDefault="00DB0C14" w:rsidP="00AE5BDE">
      <w:pPr>
        <w:pStyle w:val="TRBodyText"/>
        <w:outlineLvl w:val="0"/>
      </w:pPr>
    </w:p>
    <w:p w:rsidR="00DB0C14" w:rsidRPr="00D950E1" w:rsidRDefault="00DB0C14" w:rsidP="00AE5BDE">
      <w:pPr>
        <w:pStyle w:val="TRBodyText"/>
        <w:outlineLvl w:val="0"/>
      </w:pPr>
    </w:p>
    <w:p w:rsidR="00EF0B80" w:rsidRDefault="00EF0B80" w:rsidP="00AE5BDE">
      <w:pPr>
        <w:pStyle w:val="TRBodyText"/>
        <w:outlineLvl w:val="0"/>
      </w:pPr>
      <w:r>
        <w:t>Minister of Finance</w:t>
      </w:r>
    </w:p>
    <w:p w:rsidR="00DB0C14" w:rsidRPr="00D950E1" w:rsidRDefault="00DB0C14" w:rsidP="00AE5BDE">
      <w:pPr>
        <w:pStyle w:val="TRBodyText"/>
        <w:outlineLvl w:val="0"/>
      </w:pPr>
      <w:r w:rsidRPr="00D950E1">
        <w:t>Minister of Revenue</w:t>
      </w:r>
    </w:p>
    <w:p w:rsidR="00DB0C14" w:rsidRPr="00D950E1" w:rsidRDefault="00932AF3" w:rsidP="00AE5BDE">
      <w:pPr>
        <w:pStyle w:val="TRTitle"/>
        <w:ind w:left="0" w:firstLine="0"/>
      </w:pPr>
      <w:bookmarkStart w:id="13" w:name="Subject1"/>
      <w:bookmarkEnd w:id="13"/>
      <w:r>
        <w:t xml:space="preserve">BEPS – </w:t>
      </w:r>
      <w:r w:rsidR="00CD252D">
        <w:t>summary of submissions on March 2017 discussion documents</w:t>
      </w:r>
    </w:p>
    <w:p w:rsidR="00DB0C14" w:rsidRPr="00D950E1" w:rsidRDefault="00DB0C14" w:rsidP="00AE5BDE">
      <w:pPr>
        <w:pStyle w:val="TRHeading1"/>
        <w:spacing w:line="300" w:lineRule="atLeast"/>
        <w:outlineLvl w:val="0"/>
      </w:pPr>
      <w:r w:rsidRPr="00D950E1">
        <w:t>Executive summary</w:t>
      </w:r>
    </w:p>
    <w:p w:rsidR="00F36523" w:rsidRDefault="00996437" w:rsidP="00AE5BDE">
      <w:pPr>
        <w:pStyle w:val="TRBodyText"/>
        <w:tabs>
          <w:tab w:val="left" w:pos="567"/>
        </w:tabs>
      </w:pPr>
      <w:r>
        <w:fldChar w:fldCharType="begin"/>
      </w:r>
      <w:r>
        <w:instrText xml:space="preserve"> AUTONUM  </w:instrText>
      </w:r>
      <w:r>
        <w:fldChar w:fldCharType="end"/>
      </w:r>
      <w:r>
        <w:tab/>
      </w:r>
      <w:r w:rsidR="000D4EA8">
        <w:t xml:space="preserve">This report </w:t>
      </w:r>
      <w:r w:rsidR="00F36523" w:rsidRPr="00F36523">
        <w:t>summarises the main points made by submitters</w:t>
      </w:r>
      <w:r w:rsidR="00F36523">
        <w:t xml:space="preserve"> on the</w:t>
      </w:r>
      <w:r w:rsidR="00F36523" w:rsidRPr="00F36523">
        <w:t xml:space="preserve"> </w:t>
      </w:r>
      <w:r w:rsidR="00F36523">
        <w:t>two BEPS discussion documents released in March 2017:</w:t>
      </w:r>
    </w:p>
    <w:p w:rsidR="00F36523" w:rsidRDefault="00F36523" w:rsidP="00AE5BDE">
      <w:pPr>
        <w:pStyle w:val="TRBodyText"/>
        <w:tabs>
          <w:tab w:val="left" w:pos="567"/>
        </w:tabs>
      </w:pPr>
    </w:p>
    <w:p w:rsidR="00F36523" w:rsidRDefault="00F36523" w:rsidP="00AE5BDE">
      <w:pPr>
        <w:pStyle w:val="TRNormal"/>
        <w:numPr>
          <w:ilvl w:val="0"/>
          <w:numId w:val="32"/>
        </w:numPr>
        <w:tabs>
          <w:tab w:val="left" w:pos="567"/>
        </w:tabs>
      </w:pPr>
      <w:r>
        <w:rPr>
          <w:i/>
        </w:rPr>
        <w:t xml:space="preserve">BEPS – transfer pricing and permanent establishment avoidance </w:t>
      </w:r>
      <w:r>
        <w:t>(“transfer pricing and PE avoidance”); and</w:t>
      </w:r>
    </w:p>
    <w:p w:rsidR="00F36523" w:rsidRDefault="00F36523" w:rsidP="00AE5BDE">
      <w:pPr>
        <w:pStyle w:val="TRNormal"/>
        <w:numPr>
          <w:ilvl w:val="0"/>
          <w:numId w:val="32"/>
        </w:numPr>
        <w:tabs>
          <w:tab w:val="left" w:pos="567"/>
        </w:tabs>
      </w:pPr>
      <w:r>
        <w:rPr>
          <w:i/>
        </w:rPr>
        <w:t>BEPS – strengthening our interest limitation rules</w:t>
      </w:r>
      <w:r>
        <w:t xml:space="preserve"> (“interest limitation”).</w:t>
      </w:r>
    </w:p>
    <w:p w:rsidR="00F36523" w:rsidRDefault="00F36523" w:rsidP="00AE5BDE">
      <w:pPr>
        <w:pStyle w:val="TRBodyText"/>
        <w:tabs>
          <w:tab w:val="left" w:pos="567"/>
        </w:tabs>
      </w:pPr>
    </w:p>
    <w:p w:rsidR="00C96145" w:rsidRDefault="002B183F" w:rsidP="00AE5BDE">
      <w:pPr>
        <w:pStyle w:val="TRBodyText"/>
        <w:tabs>
          <w:tab w:val="left" w:pos="567"/>
        </w:tabs>
      </w:pPr>
      <w:r>
        <w:fldChar w:fldCharType="begin"/>
      </w:r>
      <w:r>
        <w:instrText xml:space="preserve"> AUTONUM  </w:instrText>
      </w:r>
      <w:r>
        <w:fldChar w:fldCharType="end"/>
      </w:r>
      <w:r>
        <w:tab/>
      </w:r>
      <w:r w:rsidR="00F36523">
        <w:t>We received 43 submissions on these discussion documents in total – 16 submissions on the transfer pricing and PE avoidance discussion document, and 27 submissions on the interest limitation discussion document.  A full list of all the submitters, together with a brief description, is included in the appendix to this report.</w:t>
      </w:r>
    </w:p>
    <w:p w:rsidR="00C96145" w:rsidRDefault="00C96145" w:rsidP="00AE5BDE">
      <w:pPr>
        <w:pStyle w:val="TRBodyText"/>
        <w:tabs>
          <w:tab w:val="left" w:pos="567"/>
        </w:tabs>
      </w:pPr>
    </w:p>
    <w:p w:rsidR="00C96145" w:rsidRPr="00C96145" w:rsidRDefault="00C96145" w:rsidP="00AE5BDE">
      <w:pPr>
        <w:pStyle w:val="TRBodyText"/>
      </w:pPr>
      <w:r w:rsidRPr="00C96145">
        <w:fldChar w:fldCharType="begin"/>
      </w:r>
      <w:r w:rsidRPr="00C96145">
        <w:instrText xml:space="preserve"> AUTONUM  </w:instrText>
      </w:r>
      <w:r w:rsidRPr="00C96145">
        <w:fldChar w:fldCharType="end"/>
      </w:r>
      <w:r w:rsidRPr="00C96145">
        <w:tab/>
      </w:r>
      <w:r w:rsidR="00DE08D9">
        <w:t>We have considered all the submissions in detail and we will</w:t>
      </w:r>
      <w:r w:rsidRPr="00C96145">
        <w:t xml:space="preserve"> report back</w:t>
      </w:r>
      <w:r w:rsidR="00DE08D9">
        <w:t xml:space="preserve"> to you</w:t>
      </w:r>
      <w:r w:rsidRPr="00C96145">
        <w:t xml:space="preserve"> with advice on these submissions next week.</w:t>
      </w:r>
      <w:r w:rsidR="00DE08D9">
        <w:t xml:space="preserve">  </w:t>
      </w:r>
      <w:r w:rsidRPr="00C96145">
        <w:t xml:space="preserve"> </w:t>
      </w:r>
      <w:r w:rsidR="00DE08D9">
        <w:t>We will include recommendations that endeavour to meet the concerns raised by submitters</w:t>
      </w:r>
      <w:r w:rsidR="009104C7">
        <w:t xml:space="preserve"> to the greatest extent possible,</w:t>
      </w:r>
      <w:r w:rsidR="00DE08D9">
        <w:t xml:space="preserve"> while </w:t>
      </w:r>
      <w:r w:rsidR="009104C7">
        <w:t xml:space="preserve">still </w:t>
      </w:r>
      <w:r w:rsidR="00DE08D9">
        <w:t>achievi</w:t>
      </w:r>
      <w:r w:rsidR="009104C7">
        <w:t>ng the desired policy objectives</w:t>
      </w:r>
      <w:r w:rsidR="00DE08D9">
        <w:t>.</w:t>
      </w:r>
    </w:p>
    <w:p w:rsidR="002B183F" w:rsidRDefault="002B183F" w:rsidP="00AE5BDE">
      <w:pPr>
        <w:pStyle w:val="TRBodyText"/>
        <w:tabs>
          <w:tab w:val="left" w:pos="567"/>
        </w:tabs>
      </w:pPr>
    </w:p>
    <w:p w:rsidR="002B183F" w:rsidRPr="002B183F" w:rsidRDefault="002B183F" w:rsidP="00AE5BDE">
      <w:pPr>
        <w:pStyle w:val="TRBodyText"/>
        <w:tabs>
          <w:tab w:val="left" w:pos="567"/>
        </w:tabs>
        <w:rPr>
          <w:b/>
        </w:rPr>
      </w:pPr>
      <w:r w:rsidRPr="002B183F">
        <w:rPr>
          <w:b/>
        </w:rPr>
        <w:t>General reaction</w:t>
      </w:r>
    </w:p>
    <w:p w:rsidR="002B183F" w:rsidRDefault="002B183F" w:rsidP="00AE5BDE">
      <w:pPr>
        <w:pStyle w:val="TRBodyText"/>
        <w:tabs>
          <w:tab w:val="left" w:pos="567"/>
        </w:tabs>
      </w:pPr>
    </w:p>
    <w:p w:rsidR="007732D2" w:rsidRDefault="007732D2" w:rsidP="00AE5BDE">
      <w:pPr>
        <w:tabs>
          <w:tab w:val="left" w:pos="567"/>
        </w:tabs>
        <w:spacing w:line="300" w:lineRule="atLeast"/>
        <w:jc w:val="left"/>
      </w:pPr>
      <w:r>
        <w:fldChar w:fldCharType="begin"/>
      </w:r>
      <w:r>
        <w:instrText xml:space="preserve"> AUTONUM  </w:instrText>
      </w:r>
      <w:r>
        <w:fldChar w:fldCharType="end"/>
      </w:r>
      <w:r>
        <w:tab/>
        <w:t xml:space="preserve">Some general comments provided by submitters were similar for both discussion documents.  </w:t>
      </w:r>
    </w:p>
    <w:p w:rsidR="007732D2" w:rsidRDefault="007732D2" w:rsidP="00AE5BDE">
      <w:pPr>
        <w:tabs>
          <w:tab w:val="left" w:pos="567"/>
        </w:tabs>
        <w:spacing w:line="300" w:lineRule="atLeast"/>
        <w:jc w:val="left"/>
      </w:pPr>
    </w:p>
    <w:p w:rsidR="007732D2" w:rsidRDefault="007732D2" w:rsidP="00AE5BDE">
      <w:pPr>
        <w:pStyle w:val="TRBodyText"/>
        <w:numPr>
          <w:ilvl w:val="0"/>
          <w:numId w:val="35"/>
        </w:numPr>
      </w:pPr>
      <w:r w:rsidRPr="00440CBD">
        <w:t xml:space="preserve">Submitters acknowledged that it was important to address BEPS risks facing New Zealand and agreed in principle that change is needed to strengthen interest limitation, transfer pricing and PE rules.  </w:t>
      </w:r>
    </w:p>
    <w:p w:rsidR="007732D2" w:rsidRDefault="007732D2" w:rsidP="00AE5BDE">
      <w:pPr>
        <w:pStyle w:val="TRBodyText"/>
        <w:ind w:left="720"/>
      </w:pPr>
    </w:p>
    <w:p w:rsidR="007732D2" w:rsidRDefault="009104C7" w:rsidP="00AE5BDE">
      <w:pPr>
        <w:pStyle w:val="TRBodyText"/>
        <w:numPr>
          <w:ilvl w:val="0"/>
          <w:numId w:val="35"/>
        </w:numPr>
      </w:pPr>
      <w:r>
        <w:t>S</w:t>
      </w:r>
      <w:r w:rsidR="007732D2">
        <w:t xml:space="preserve">ubmitters argued that the proposals will have a negative impact on New Zealand’s attractiveness as an investment destination.  </w:t>
      </w:r>
    </w:p>
    <w:p w:rsidR="007732D2" w:rsidRDefault="007732D2" w:rsidP="00AE5BDE">
      <w:pPr>
        <w:pStyle w:val="TRBodyText"/>
        <w:ind w:left="360"/>
      </w:pPr>
    </w:p>
    <w:p w:rsidR="007732D2" w:rsidRDefault="007732D2" w:rsidP="00AE5BDE">
      <w:pPr>
        <w:pStyle w:val="TRBodyText"/>
        <w:numPr>
          <w:ilvl w:val="0"/>
          <w:numId w:val="35"/>
        </w:numPr>
      </w:pPr>
      <w:r>
        <w:lastRenderedPageBreak/>
        <w:t xml:space="preserve">Submitters indicated that the application date </w:t>
      </w:r>
      <w:r w:rsidR="00DE08D9">
        <w:t>for all new law</w:t>
      </w:r>
      <w:r>
        <w:t xml:space="preserve"> changes should be sufficiently prospective to allow taxpayers to restructure their affairs.  </w:t>
      </w:r>
    </w:p>
    <w:p w:rsidR="007732D2" w:rsidRDefault="007732D2" w:rsidP="00AE5BDE">
      <w:pPr>
        <w:spacing w:line="300" w:lineRule="atLeast"/>
        <w:ind w:left="360"/>
      </w:pPr>
    </w:p>
    <w:p w:rsidR="007732D2" w:rsidRDefault="007732D2" w:rsidP="00AE5BDE">
      <w:pPr>
        <w:pStyle w:val="TRBodyText"/>
        <w:numPr>
          <w:ilvl w:val="0"/>
          <w:numId w:val="35"/>
        </w:numPr>
      </w:pPr>
      <w:r>
        <w:t>A number of submitters also argued that existing advance pricing agreements (</w:t>
      </w:r>
      <w:proofErr w:type="spellStart"/>
      <w:r>
        <w:t>APAs</w:t>
      </w:r>
      <w:proofErr w:type="spellEnd"/>
      <w:r>
        <w:t>)</w:t>
      </w:r>
      <w:r w:rsidR="00D30F30">
        <w:rPr>
          <w:rStyle w:val="FootnoteReference"/>
        </w:rPr>
        <w:footnoteReference w:id="1"/>
      </w:r>
      <w:r>
        <w:t xml:space="preserve"> should be </w:t>
      </w:r>
      <w:proofErr w:type="spellStart"/>
      <w:r>
        <w:t>grandparented</w:t>
      </w:r>
      <w:proofErr w:type="spellEnd"/>
      <w:r>
        <w:t xml:space="preserve"> and allowed to run their course.  </w:t>
      </w:r>
    </w:p>
    <w:p w:rsidR="007732D2" w:rsidRDefault="007732D2" w:rsidP="00AE5BDE">
      <w:pPr>
        <w:tabs>
          <w:tab w:val="left" w:pos="567"/>
        </w:tabs>
        <w:spacing w:line="300" w:lineRule="atLeast"/>
        <w:jc w:val="left"/>
      </w:pPr>
    </w:p>
    <w:p w:rsidR="002B183F" w:rsidRPr="002B183F" w:rsidRDefault="002B183F" w:rsidP="00AE5BDE">
      <w:pPr>
        <w:tabs>
          <w:tab w:val="left" w:pos="567"/>
        </w:tabs>
        <w:spacing w:line="300" w:lineRule="atLeast"/>
        <w:rPr>
          <w:b/>
        </w:rPr>
      </w:pPr>
      <w:r>
        <w:rPr>
          <w:b/>
        </w:rPr>
        <w:t>Main</w:t>
      </w:r>
      <w:r w:rsidRPr="002B183F">
        <w:rPr>
          <w:b/>
        </w:rPr>
        <w:t xml:space="preserve"> issues</w:t>
      </w:r>
      <w:r>
        <w:rPr>
          <w:b/>
        </w:rPr>
        <w:t xml:space="preserve"> raised by submitters</w:t>
      </w:r>
    </w:p>
    <w:p w:rsidR="002B183F" w:rsidRPr="002B183F" w:rsidRDefault="002B183F" w:rsidP="00AE5BDE">
      <w:pPr>
        <w:tabs>
          <w:tab w:val="left" w:pos="567"/>
        </w:tabs>
        <w:spacing w:line="300" w:lineRule="atLeast"/>
        <w:rPr>
          <w:i/>
        </w:rPr>
      </w:pPr>
    </w:p>
    <w:p w:rsidR="00F36523" w:rsidRPr="002B183F" w:rsidRDefault="002B183F" w:rsidP="00AE5BDE">
      <w:pPr>
        <w:pStyle w:val="TRBodyText"/>
        <w:tabs>
          <w:tab w:val="left" w:pos="567"/>
        </w:tabs>
      </w:pPr>
      <w:r>
        <w:fldChar w:fldCharType="begin"/>
      </w:r>
      <w:r>
        <w:instrText xml:space="preserve"> AUTONUM  </w:instrText>
      </w:r>
      <w:r>
        <w:fldChar w:fldCharType="end"/>
      </w:r>
      <w:r>
        <w:tab/>
      </w:r>
      <w:r w:rsidRPr="002B183F">
        <w:t xml:space="preserve">The main issues raised by submitters </w:t>
      </w:r>
      <w:r w:rsidR="00C96145">
        <w:t xml:space="preserve">in relation to the specific proposals </w:t>
      </w:r>
      <w:r w:rsidRPr="002B183F">
        <w:t>were:</w:t>
      </w:r>
    </w:p>
    <w:p w:rsidR="002B183F" w:rsidRDefault="002B183F" w:rsidP="00AE5BDE">
      <w:pPr>
        <w:pStyle w:val="TRBodyText"/>
        <w:tabs>
          <w:tab w:val="left" w:pos="567"/>
        </w:tabs>
        <w:rPr>
          <w:b/>
        </w:rPr>
      </w:pPr>
      <w:r>
        <w:rPr>
          <w:b/>
        </w:rPr>
        <w:t xml:space="preserve"> </w:t>
      </w:r>
    </w:p>
    <w:p w:rsidR="00C96145" w:rsidRDefault="00C96145" w:rsidP="00AE5BDE">
      <w:pPr>
        <w:pStyle w:val="TRBodyText"/>
        <w:numPr>
          <w:ilvl w:val="0"/>
          <w:numId w:val="43"/>
        </w:numPr>
        <w:tabs>
          <w:tab w:val="left" w:pos="567"/>
        </w:tabs>
      </w:pPr>
      <w:r>
        <w:rPr>
          <w:b/>
        </w:rPr>
        <w:t xml:space="preserve">The interest rate cap proposal should not proceed. </w:t>
      </w:r>
      <w:r>
        <w:t>Many submitters</w:t>
      </w:r>
      <w:r w:rsidR="00594E98">
        <w:t xml:space="preserve"> on the interest limitation discussion document</w:t>
      </w:r>
      <w:r>
        <w:t xml:space="preserve"> argued that no specific rule for limiting interest rates on related-party debt was necessary given the proposed strengthening of the transfer pricing rules (in the </w:t>
      </w:r>
      <w:r w:rsidRPr="00C50B03">
        <w:t xml:space="preserve">discussion document </w:t>
      </w:r>
      <w:r w:rsidRPr="00C50B03">
        <w:rPr>
          <w:i/>
        </w:rPr>
        <w:t>BEPS – transfer pricing and permanent establishment avoidance</w:t>
      </w:r>
      <w:r>
        <w:t>). The allowable interest rate on related-party loans is currently set using transfer pricing, and submitters</w:t>
      </w:r>
      <w:r w:rsidR="00A469DA">
        <w:t xml:space="preserve"> argued that strengthening the transfer pricing</w:t>
      </w:r>
      <w:r>
        <w:t xml:space="preserve"> rules would</w:t>
      </w:r>
      <w:r w:rsidRPr="00C50B03">
        <w:t xml:space="preserve"> be sufficient to address any concerns about interest rates</w:t>
      </w:r>
      <w:r>
        <w:t xml:space="preserve"> on related-party loans</w:t>
      </w:r>
      <w:r w:rsidRPr="00C50B03">
        <w:t xml:space="preserve">. </w:t>
      </w:r>
    </w:p>
    <w:p w:rsidR="00C96145" w:rsidRDefault="00C96145" w:rsidP="00AE5BDE">
      <w:pPr>
        <w:pStyle w:val="TRBodyText"/>
        <w:tabs>
          <w:tab w:val="left" w:pos="567"/>
        </w:tabs>
      </w:pPr>
    </w:p>
    <w:p w:rsidR="00C96145" w:rsidRPr="00A469DA" w:rsidRDefault="00C96145" w:rsidP="00A469DA">
      <w:pPr>
        <w:pStyle w:val="TRBodyText"/>
        <w:numPr>
          <w:ilvl w:val="0"/>
          <w:numId w:val="43"/>
        </w:numPr>
        <w:tabs>
          <w:tab w:val="left" w:pos="567"/>
        </w:tabs>
        <w:rPr>
          <w:b/>
        </w:rPr>
      </w:pPr>
      <w:r w:rsidRPr="00A469DA">
        <w:rPr>
          <w:b/>
        </w:rPr>
        <w:t xml:space="preserve">Deferred tax should be carved out from the proposed non-debt liability adjustment. </w:t>
      </w:r>
      <w:r w:rsidR="00A469DA">
        <w:rPr>
          <w:b/>
        </w:rPr>
        <w:t xml:space="preserve"> </w:t>
      </w:r>
      <w:r w:rsidR="00594E98">
        <w:t xml:space="preserve">The interest limitation discussion document proposed </w:t>
      </w:r>
      <w:r w:rsidR="00A469DA" w:rsidRPr="00C50B03">
        <w:t>a change to how allowable debt levels are calculated under our thin capitalisation rules</w:t>
      </w:r>
      <w:r w:rsidR="00A469DA">
        <w:t xml:space="preserve">. </w:t>
      </w:r>
      <w:r w:rsidR="00A469DA" w:rsidRPr="00A469DA">
        <w:t xml:space="preserve">A near-universal comment from submitters was that </w:t>
      </w:r>
      <w:r w:rsidR="00A469DA">
        <w:t xml:space="preserve">deferred tax liabilities </w:t>
      </w:r>
      <w:r w:rsidR="00A469DA" w:rsidRPr="00A469DA">
        <w:t>should be carved out from the proposed adjustment.</w:t>
      </w:r>
      <w:r w:rsidR="00A469DA">
        <w:t xml:space="preserve">  </w:t>
      </w:r>
      <w:r w:rsidRPr="003D15D6">
        <w:t>Deferred tax is an accounting concept – accounting standards require that companies recognise deferred tax on their balance sheets in certain situations. In principle, a deferred tax liability is supposed to represent future tax payments that a taxpayer will be required to make; however, submitters argued that this is often not the case</w:t>
      </w:r>
      <w:r w:rsidR="00A469DA">
        <w:t>.</w:t>
      </w:r>
    </w:p>
    <w:p w:rsidR="00B572D3" w:rsidRPr="00B572D3" w:rsidRDefault="00B572D3" w:rsidP="00AE5BDE">
      <w:pPr>
        <w:pStyle w:val="Numberparagraph"/>
        <w:numPr>
          <w:ilvl w:val="0"/>
          <w:numId w:val="0"/>
        </w:numPr>
        <w:spacing w:line="300" w:lineRule="atLeast"/>
        <w:ind w:left="720"/>
        <w:rPr>
          <w:b/>
        </w:rPr>
      </w:pPr>
    </w:p>
    <w:p w:rsidR="0095085A" w:rsidRDefault="00B572D3" w:rsidP="00AE5BDE">
      <w:pPr>
        <w:pStyle w:val="Numberparagraph"/>
        <w:numPr>
          <w:ilvl w:val="0"/>
          <w:numId w:val="43"/>
        </w:numPr>
        <w:spacing w:line="300" w:lineRule="atLeast"/>
      </w:pPr>
      <w:r>
        <w:rPr>
          <w:b/>
        </w:rPr>
        <w:t>T</w:t>
      </w:r>
      <w:r w:rsidRPr="00B572D3">
        <w:rPr>
          <w:b/>
        </w:rPr>
        <w:t>he PE avoidance rule</w:t>
      </w:r>
      <w:r>
        <w:rPr>
          <w:b/>
        </w:rPr>
        <w:t xml:space="preserve"> should be more narrowly targeted.</w:t>
      </w:r>
      <w:r w:rsidRPr="00B572D3">
        <w:t xml:space="preserve"> </w:t>
      </w:r>
      <w:r>
        <w:t xml:space="preserve">Many submitters </w:t>
      </w:r>
      <w:r w:rsidRPr="00B572D3">
        <w:t xml:space="preserve">considered that </w:t>
      </w:r>
      <w:r>
        <w:t xml:space="preserve">the proposed rule could </w:t>
      </w:r>
      <w:r w:rsidRPr="00B572D3">
        <w:t xml:space="preserve">widen the PE definition in substance rather than just prevent </w:t>
      </w:r>
      <w:r w:rsidR="00AE5BDE">
        <w:t>avoidance</w:t>
      </w:r>
      <w:r w:rsidRPr="00B572D3">
        <w:t>. They were also concerned that it could capture ordinary commercial arrangements and discourage foreign investment.</w:t>
      </w:r>
    </w:p>
    <w:p w:rsidR="0095085A" w:rsidRDefault="0095085A" w:rsidP="00AE5BDE">
      <w:pPr>
        <w:pStyle w:val="ListParagraph"/>
        <w:spacing w:line="300" w:lineRule="atLeast"/>
      </w:pPr>
    </w:p>
    <w:p w:rsidR="0095085A" w:rsidRPr="009676CD" w:rsidRDefault="0095085A" w:rsidP="00AE5BDE">
      <w:pPr>
        <w:pStyle w:val="Numberparagraph"/>
        <w:numPr>
          <w:ilvl w:val="0"/>
          <w:numId w:val="43"/>
        </w:numPr>
        <w:spacing w:line="300" w:lineRule="atLeast"/>
      </w:pPr>
      <w:r w:rsidRPr="0095085A">
        <w:rPr>
          <w:b/>
        </w:rPr>
        <w:t xml:space="preserve">The </w:t>
      </w:r>
      <w:r w:rsidR="009676CD">
        <w:rPr>
          <w:b/>
        </w:rPr>
        <w:t>“</w:t>
      </w:r>
      <w:r w:rsidRPr="0095085A">
        <w:rPr>
          <w:b/>
        </w:rPr>
        <w:t>time bar</w:t>
      </w:r>
      <w:r w:rsidR="009676CD">
        <w:rPr>
          <w:b/>
        </w:rPr>
        <w:t>”</w:t>
      </w:r>
      <w:r w:rsidRPr="0095085A">
        <w:rPr>
          <w:b/>
        </w:rPr>
        <w:t xml:space="preserve"> for transfer pricing should remain at 4 years</w:t>
      </w:r>
      <w:r>
        <w:t>. There</w:t>
      </w:r>
      <w:r w:rsidRPr="0095085A">
        <w:t xml:space="preserve"> was strong opposition to the proposal to </w:t>
      </w:r>
      <w:r w:rsidRPr="0095085A">
        <w:rPr>
          <w:rFonts w:eastAsiaTheme="minorEastAsia"/>
          <w:lang w:eastAsia="en-US"/>
        </w:rPr>
        <w:t xml:space="preserve">extend the </w:t>
      </w:r>
      <w:r w:rsidR="009676CD">
        <w:rPr>
          <w:rFonts w:eastAsiaTheme="minorEastAsia"/>
          <w:lang w:eastAsia="en-US"/>
        </w:rPr>
        <w:t xml:space="preserve">transfer pricing </w:t>
      </w:r>
      <w:r w:rsidRPr="0095085A">
        <w:rPr>
          <w:rFonts w:eastAsiaTheme="minorEastAsia"/>
          <w:lang w:eastAsia="en-US"/>
        </w:rPr>
        <w:t xml:space="preserve">time bar </w:t>
      </w:r>
      <w:r>
        <w:rPr>
          <w:rFonts w:eastAsiaTheme="minorEastAsia"/>
          <w:lang w:eastAsia="en-US"/>
        </w:rPr>
        <w:t>to 7 years (in line with Australia’s 7 year time bar).</w:t>
      </w:r>
      <w:r w:rsidRPr="0095085A">
        <w:rPr>
          <w:rFonts w:eastAsiaTheme="minorEastAsia"/>
          <w:lang w:eastAsia="en-US"/>
        </w:rPr>
        <w:t xml:space="preserve"> </w:t>
      </w:r>
      <w:r>
        <w:rPr>
          <w:rFonts w:eastAsiaTheme="minorEastAsia"/>
          <w:lang w:eastAsia="en-US"/>
        </w:rPr>
        <w:t>The time bar</w:t>
      </w:r>
      <w:r w:rsidRPr="0095085A">
        <w:rPr>
          <w:rFonts w:eastAsiaTheme="minorEastAsia"/>
          <w:lang w:eastAsia="en-US"/>
        </w:rPr>
        <w:t xml:space="preserve"> limits Inland Revenue’s ability to adjust a taxpayer’s trans</w:t>
      </w:r>
      <w:r>
        <w:rPr>
          <w:rFonts w:eastAsiaTheme="minorEastAsia"/>
          <w:lang w:eastAsia="en-US"/>
        </w:rPr>
        <w:t xml:space="preserve">fer pricing position. </w:t>
      </w:r>
    </w:p>
    <w:p w:rsidR="002B183F" w:rsidRPr="002B183F" w:rsidRDefault="002B183F" w:rsidP="00AE5BDE">
      <w:pPr>
        <w:pStyle w:val="TRBodyText"/>
        <w:tabs>
          <w:tab w:val="left" w:pos="567"/>
        </w:tabs>
        <w:rPr>
          <w:b/>
        </w:rPr>
      </w:pPr>
    </w:p>
    <w:p w:rsidR="002B183F" w:rsidRPr="002B183F" w:rsidRDefault="002B183F" w:rsidP="00AE5BDE">
      <w:pPr>
        <w:pStyle w:val="TRBodyText"/>
        <w:tabs>
          <w:tab w:val="left" w:pos="567"/>
        </w:tabs>
        <w:rPr>
          <w:b/>
        </w:rPr>
      </w:pPr>
      <w:r w:rsidRPr="002B183F">
        <w:rPr>
          <w:b/>
        </w:rPr>
        <w:t>Next steps</w:t>
      </w:r>
    </w:p>
    <w:p w:rsidR="002B183F" w:rsidRDefault="002B183F" w:rsidP="00AE5BDE">
      <w:pPr>
        <w:pStyle w:val="TRBodyText"/>
        <w:tabs>
          <w:tab w:val="left" w:pos="567"/>
        </w:tabs>
      </w:pPr>
    </w:p>
    <w:p w:rsidR="00FF13BC" w:rsidRPr="002B183F" w:rsidRDefault="002B183F" w:rsidP="00AE5BDE">
      <w:pPr>
        <w:pStyle w:val="TRBodyText"/>
        <w:tabs>
          <w:tab w:val="left" w:pos="567"/>
        </w:tabs>
      </w:pPr>
      <w:r>
        <w:fldChar w:fldCharType="begin"/>
      </w:r>
      <w:r>
        <w:instrText xml:space="preserve"> AUTONUM  </w:instrText>
      </w:r>
      <w:r>
        <w:fldChar w:fldCharType="end"/>
      </w:r>
      <w:r>
        <w:tab/>
        <w:t xml:space="preserve">Officials are happy to discuss this report with you at your joint Ministers’ meeting on 19 June. </w:t>
      </w:r>
      <w:r w:rsidR="00C96145">
        <w:t xml:space="preserve"> </w:t>
      </w:r>
      <w:r w:rsidR="00F36523">
        <w:t xml:space="preserve">We will report back </w:t>
      </w:r>
      <w:r w:rsidR="009613D0">
        <w:t xml:space="preserve">next week </w:t>
      </w:r>
      <w:r w:rsidR="00F36523">
        <w:t xml:space="preserve">with advice and recommendations on these submissions and </w:t>
      </w:r>
      <w:r w:rsidR="009613D0">
        <w:t>the other issues raised by submitters.</w:t>
      </w:r>
      <w:r w:rsidR="00F36523">
        <w:t xml:space="preserve"> </w:t>
      </w:r>
    </w:p>
    <w:p w:rsidR="007732D2" w:rsidRDefault="007732D2" w:rsidP="00AE5BDE">
      <w:pPr>
        <w:spacing w:line="300" w:lineRule="atLeast"/>
        <w:jc w:val="left"/>
        <w:rPr>
          <w:b/>
          <w:sz w:val="28"/>
        </w:rPr>
      </w:pPr>
      <w:r>
        <w:br w:type="page"/>
      </w:r>
    </w:p>
    <w:p w:rsidR="000D4EA8" w:rsidRPr="00D950E1" w:rsidRDefault="000D4EA8" w:rsidP="00AE5BDE">
      <w:pPr>
        <w:pStyle w:val="TRHeading1"/>
        <w:spacing w:line="300" w:lineRule="atLeast"/>
        <w:outlineLvl w:val="0"/>
      </w:pPr>
      <w:r w:rsidRPr="00D950E1">
        <w:t>Recommended action</w:t>
      </w:r>
    </w:p>
    <w:p w:rsidR="000D4EA8" w:rsidRDefault="000D4EA8" w:rsidP="00AE5BDE">
      <w:pPr>
        <w:pStyle w:val="TRBodyText"/>
        <w:tabs>
          <w:tab w:val="left" w:pos="567"/>
        </w:tabs>
      </w:pPr>
      <w:r>
        <w:t>We recommend that you:</w:t>
      </w:r>
    </w:p>
    <w:p w:rsidR="000D4EA8" w:rsidRDefault="000D4EA8" w:rsidP="00AE5BDE">
      <w:pPr>
        <w:pStyle w:val="TRBodyText"/>
        <w:tabs>
          <w:tab w:val="left" w:pos="567"/>
        </w:tabs>
      </w:pPr>
    </w:p>
    <w:p w:rsidR="002B183F" w:rsidRDefault="002B183F" w:rsidP="00AE5BDE">
      <w:pPr>
        <w:pStyle w:val="TRBodyText"/>
        <w:numPr>
          <w:ilvl w:val="0"/>
          <w:numId w:val="41"/>
        </w:numPr>
        <w:tabs>
          <w:tab w:val="left" w:pos="567"/>
        </w:tabs>
        <w:spacing w:before="120"/>
        <w:ind w:left="0" w:firstLine="0"/>
      </w:pPr>
      <w:r w:rsidRPr="009613D0">
        <w:rPr>
          <w:b/>
        </w:rPr>
        <w:t>Note</w:t>
      </w:r>
      <w:r>
        <w:t xml:space="preserve"> the main issues raised by submitters.</w:t>
      </w:r>
    </w:p>
    <w:p w:rsidR="009613D0" w:rsidRDefault="009613D0" w:rsidP="00AE5BDE">
      <w:pPr>
        <w:pStyle w:val="TRBodyText"/>
        <w:spacing w:before="120"/>
        <w:ind w:left="930"/>
      </w:pPr>
    </w:p>
    <w:p w:rsidR="002B183F" w:rsidRDefault="009613D0" w:rsidP="00AE5BDE">
      <w:pPr>
        <w:pStyle w:val="TRBodyText"/>
        <w:spacing w:before="120"/>
      </w:pPr>
      <w:r>
        <w:t>Noted</w:t>
      </w:r>
      <w:r>
        <w:tab/>
      </w:r>
      <w:r>
        <w:tab/>
      </w:r>
      <w:r>
        <w:tab/>
      </w:r>
      <w:r>
        <w:tab/>
      </w:r>
      <w:r>
        <w:tab/>
      </w:r>
      <w:r>
        <w:tab/>
      </w:r>
      <w:r>
        <w:tab/>
      </w:r>
      <w:r>
        <w:tab/>
        <w:t xml:space="preserve">     </w:t>
      </w:r>
      <w:proofErr w:type="spellStart"/>
      <w:r>
        <w:t>Noted</w:t>
      </w:r>
      <w:proofErr w:type="spellEnd"/>
    </w:p>
    <w:p w:rsidR="009613D0" w:rsidRDefault="009613D0" w:rsidP="00AE5BDE">
      <w:pPr>
        <w:pStyle w:val="TRBodyText"/>
        <w:tabs>
          <w:tab w:val="left" w:pos="567"/>
        </w:tabs>
        <w:spacing w:before="120"/>
      </w:pPr>
    </w:p>
    <w:p w:rsidR="009613D0" w:rsidRPr="009613D0" w:rsidRDefault="009613D0" w:rsidP="00AE5BDE">
      <w:pPr>
        <w:pStyle w:val="TRBodyText"/>
        <w:numPr>
          <w:ilvl w:val="0"/>
          <w:numId w:val="41"/>
        </w:numPr>
        <w:tabs>
          <w:tab w:val="left" w:pos="567"/>
        </w:tabs>
        <w:spacing w:before="120"/>
        <w:ind w:left="0" w:firstLine="0"/>
        <w:rPr>
          <w:b/>
        </w:rPr>
      </w:pPr>
      <w:r w:rsidRPr="009613D0">
        <w:rPr>
          <w:b/>
        </w:rPr>
        <w:t>Note</w:t>
      </w:r>
      <w:r w:rsidRPr="009613D0">
        <w:t xml:space="preserve"> we</w:t>
      </w:r>
      <w:r>
        <w:rPr>
          <w:b/>
        </w:rPr>
        <w:t xml:space="preserve"> </w:t>
      </w:r>
      <w:r w:rsidRPr="009613D0">
        <w:t>will report back next week</w:t>
      </w:r>
      <w:r>
        <w:t xml:space="preserve"> (beginning 19 June)</w:t>
      </w:r>
      <w:r w:rsidRPr="009613D0">
        <w:t xml:space="preserve"> with advice and recommendations on these submissions and other issues</w:t>
      </w:r>
      <w:r w:rsidR="00DE08D9">
        <w:t xml:space="preserve"> raised by submitters</w:t>
      </w:r>
      <w:r w:rsidRPr="009613D0">
        <w:t>.</w:t>
      </w:r>
    </w:p>
    <w:p w:rsidR="009613D0" w:rsidRDefault="009613D0" w:rsidP="00AE5BDE">
      <w:pPr>
        <w:pStyle w:val="TRBodyText"/>
        <w:spacing w:before="120"/>
      </w:pPr>
    </w:p>
    <w:p w:rsidR="009613D0" w:rsidRDefault="009613D0" w:rsidP="00AE5BDE">
      <w:pPr>
        <w:pStyle w:val="TRBodyText"/>
        <w:spacing w:before="120"/>
      </w:pPr>
      <w:r>
        <w:t>Noted</w:t>
      </w:r>
      <w:r>
        <w:tab/>
      </w:r>
      <w:r>
        <w:tab/>
      </w:r>
      <w:r>
        <w:tab/>
      </w:r>
      <w:r>
        <w:tab/>
      </w:r>
      <w:r>
        <w:tab/>
      </w:r>
      <w:r>
        <w:tab/>
      </w:r>
      <w:r>
        <w:tab/>
      </w:r>
      <w:r>
        <w:tab/>
        <w:t xml:space="preserve">     </w:t>
      </w:r>
      <w:proofErr w:type="spellStart"/>
      <w:r>
        <w:t>Noted</w:t>
      </w:r>
      <w:proofErr w:type="spellEnd"/>
    </w:p>
    <w:p w:rsidR="009613D0" w:rsidRPr="009613D0" w:rsidRDefault="009613D0" w:rsidP="00AE5BDE">
      <w:pPr>
        <w:pStyle w:val="TRBodyText"/>
        <w:tabs>
          <w:tab w:val="left" w:pos="567"/>
        </w:tabs>
        <w:spacing w:before="120"/>
      </w:pPr>
    </w:p>
    <w:p w:rsidR="001A77D1" w:rsidRDefault="008E6657" w:rsidP="00AE5BDE">
      <w:pPr>
        <w:pStyle w:val="TRBodyText"/>
        <w:numPr>
          <w:ilvl w:val="0"/>
          <w:numId w:val="41"/>
        </w:numPr>
        <w:tabs>
          <w:tab w:val="left" w:pos="567"/>
        </w:tabs>
        <w:spacing w:before="120"/>
        <w:ind w:left="0" w:firstLine="0"/>
      </w:pPr>
      <w:r w:rsidRPr="009613D0">
        <w:rPr>
          <w:b/>
        </w:rPr>
        <w:t>Discuss</w:t>
      </w:r>
      <w:r w:rsidRPr="009613D0">
        <w:t xml:space="preserve"> </w:t>
      </w:r>
      <w:r w:rsidRPr="008E6657">
        <w:t>this</w:t>
      </w:r>
      <w:r w:rsidRPr="009613D0">
        <w:t xml:space="preserve"> </w:t>
      </w:r>
      <w:r w:rsidR="00CD6FE4">
        <w:t xml:space="preserve">report </w:t>
      </w:r>
      <w:r>
        <w:t>w</w:t>
      </w:r>
      <w:r w:rsidR="00EF4F4F">
        <w:t>ith o</w:t>
      </w:r>
      <w:r>
        <w:t>fficials at your joint Ministers</w:t>
      </w:r>
      <w:r w:rsidR="00FE30EA">
        <w:t>’</w:t>
      </w:r>
      <w:r>
        <w:t xml:space="preserve"> meeting on 19 June.</w:t>
      </w:r>
    </w:p>
    <w:p w:rsidR="00FF441B" w:rsidRPr="00FF441B" w:rsidRDefault="00E52A49" w:rsidP="00AE5BDE">
      <w:pPr>
        <w:pStyle w:val="TRBodyText"/>
        <w:tabs>
          <w:tab w:val="left" w:pos="567"/>
        </w:tabs>
        <w:spacing w:before="120"/>
      </w:pPr>
      <w:r>
        <w:br/>
      </w:r>
    </w:p>
    <w:p w:rsidR="00FF441B" w:rsidRDefault="00FF441B" w:rsidP="00AE5BDE">
      <w:pPr>
        <w:pStyle w:val="TRBodyText"/>
        <w:tabs>
          <w:tab w:val="left" w:pos="567"/>
        </w:tabs>
        <w:spacing w:before="120"/>
      </w:pPr>
    </w:p>
    <w:p w:rsidR="000D4EA8" w:rsidRDefault="000D4EA8" w:rsidP="00AE5BDE">
      <w:pPr>
        <w:pStyle w:val="TRBodyText"/>
        <w:tabs>
          <w:tab w:val="left" w:pos="567"/>
        </w:tabs>
      </w:pPr>
    </w:p>
    <w:p w:rsidR="000D4EA8" w:rsidRPr="00D950E1" w:rsidRDefault="000D4EA8" w:rsidP="00AE5BDE">
      <w:pPr>
        <w:pStyle w:val="TRBodyText"/>
        <w:tabs>
          <w:tab w:val="left" w:pos="567"/>
        </w:tabs>
      </w:pPr>
    </w:p>
    <w:p w:rsidR="000D4EA8" w:rsidRPr="00D950E1" w:rsidRDefault="000D4EA8" w:rsidP="00AE5BDE">
      <w:pPr>
        <w:pStyle w:val="TRBodyText"/>
        <w:tabs>
          <w:tab w:val="left" w:pos="567"/>
        </w:tabs>
      </w:pPr>
    </w:p>
    <w:p w:rsidR="000D4EA8" w:rsidRDefault="000D4EA8" w:rsidP="00AE5BDE">
      <w:pPr>
        <w:pStyle w:val="TRBodyText"/>
        <w:tabs>
          <w:tab w:val="left" w:pos="567"/>
          <w:tab w:val="left" w:pos="5812"/>
        </w:tabs>
      </w:pPr>
    </w:p>
    <w:p w:rsidR="000D4EA8" w:rsidRPr="00D950E1" w:rsidRDefault="000D4EA8" w:rsidP="00AE5BDE">
      <w:pPr>
        <w:pStyle w:val="TRBodyText"/>
        <w:tabs>
          <w:tab w:val="left" w:pos="567"/>
          <w:tab w:val="left" w:pos="5812"/>
        </w:tabs>
      </w:pPr>
    </w:p>
    <w:p w:rsidR="000D4EA8" w:rsidRPr="00D950E1" w:rsidRDefault="000D4EA8" w:rsidP="00AE5BDE">
      <w:pPr>
        <w:pStyle w:val="TRBodyText"/>
        <w:tabs>
          <w:tab w:val="left" w:pos="5387"/>
        </w:tabs>
        <w:rPr>
          <w:b/>
        </w:rPr>
      </w:pPr>
      <w:r>
        <w:rPr>
          <w:b/>
        </w:rPr>
        <w:t>Steve Mack</w:t>
      </w:r>
      <w:r>
        <w:rPr>
          <w:b/>
        </w:rPr>
        <w:tab/>
        <w:t>Carmel Peters</w:t>
      </w:r>
    </w:p>
    <w:p w:rsidR="000D4EA8" w:rsidRDefault="000D4EA8" w:rsidP="00AE5BDE">
      <w:pPr>
        <w:pStyle w:val="TRBodyText"/>
        <w:tabs>
          <w:tab w:val="left" w:pos="5387"/>
        </w:tabs>
      </w:pPr>
      <w:r>
        <w:t>Principal Advisor</w:t>
      </w:r>
      <w:r w:rsidRPr="004B41BF">
        <w:t xml:space="preserve"> </w:t>
      </w:r>
      <w:r>
        <w:tab/>
        <w:t>Policy Manager</w:t>
      </w:r>
    </w:p>
    <w:p w:rsidR="000D4EA8" w:rsidRDefault="000D4EA8" w:rsidP="00AE5BDE">
      <w:pPr>
        <w:pStyle w:val="TRBodyText"/>
        <w:tabs>
          <w:tab w:val="left" w:pos="5387"/>
        </w:tabs>
      </w:pPr>
      <w:r>
        <w:t>The Treasury</w:t>
      </w:r>
      <w:r>
        <w:tab/>
        <w:t>Inland Revenue</w:t>
      </w:r>
    </w:p>
    <w:p w:rsidR="000D4EA8" w:rsidRPr="00D950E1" w:rsidRDefault="000D4EA8" w:rsidP="00AE5BDE">
      <w:pPr>
        <w:pStyle w:val="TRBodyText"/>
        <w:tabs>
          <w:tab w:val="left" w:pos="5387"/>
        </w:tabs>
      </w:pPr>
      <w:r>
        <w:tab/>
      </w:r>
    </w:p>
    <w:p w:rsidR="00B82777" w:rsidRPr="00D950E1" w:rsidRDefault="00B82777" w:rsidP="00AE5BDE">
      <w:pPr>
        <w:pStyle w:val="TRBodyText"/>
        <w:tabs>
          <w:tab w:val="left" w:pos="5387"/>
        </w:tabs>
      </w:pPr>
    </w:p>
    <w:p w:rsidR="000D4EA8" w:rsidRPr="00D950E1" w:rsidRDefault="000D4EA8" w:rsidP="00AE5BDE">
      <w:pPr>
        <w:pStyle w:val="TRBodyText"/>
        <w:tabs>
          <w:tab w:val="left" w:pos="5387"/>
        </w:tabs>
      </w:pPr>
    </w:p>
    <w:p w:rsidR="000D4EA8" w:rsidRDefault="000D4EA8" w:rsidP="00AE5BDE">
      <w:pPr>
        <w:pStyle w:val="TRBodyText"/>
        <w:tabs>
          <w:tab w:val="left" w:pos="5387"/>
        </w:tabs>
      </w:pPr>
    </w:p>
    <w:p w:rsidR="00FF13BC" w:rsidRPr="00D950E1" w:rsidRDefault="00FF13BC" w:rsidP="00AE5BDE">
      <w:pPr>
        <w:pStyle w:val="TRBodyText"/>
        <w:tabs>
          <w:tab w:val="left" w:pos="5387"/>
        </w:tabs>
      </w:pPr>
    </w:p>
    <w:p w:rsidR="000D4EA8" w:rsidRPr="00D950E1" w:rsidRDefault="000D4EA8" w:rsidP="00AE5BDE">
      <w:pPr>
        <w:pStyle w:val="TRBodyText"/>
        <w:tabs>
          <w:tab w:val="left" w:pos="5387"/>
        </w:tabs>
      </w:pPr>
    </w:p>
    <w:p w:rsidR="000D4EA8" w:rsidRPr="00D950E1" w:rsidRDefault="000D4EA8" w:rsidP="00AE5BDE">
      <w:pPr>
        <w:pStyle w:val="TRBodyText"/>
        <w:tabs>
          <w:tab w:val="left" w:pos="5387"/>
        </w:tabs>
      </w:pPr>
    </w:p>
    <w:p w:rsidR="000D4EA8" w:rsidRPr="00D950E1" w:rsidRDefault="000D4EA8" w:rsidP="00AE5BDE">
      <w:pPr>
        <w:pStyle w:val="TRBodyText"/>
        <w:tabs>
          <w:tab w:val="left" w:pos="5387"/>
        </w:tabs>
        <w:rPr>
          <w:b/>
        </w:rPr>
      </w:pPr>
      <w:r>
        <w:rPr>
          <w:b/>
        </w:rPr>
        <w:t>Steven Joyce</w:t>
      </w:r>
      <w:r>
        <w:rPr>
          <w:b/>
        </w:rPr>
        <w:tab/>
      </w:r>
      <w:r w:rsidRPr="00D950E1">
        <w:rPr>
          <w:b/>
        </w:rPr>
        <w:t xml:space="preserve">Hon </w:t>
      </w:r>
      <w:r>
        <w:rPr>
          <w:b/>
        </w:rPr>
        <w:t>Judith Collins</w:t>
      </w:r>
    </w:p>
    <w:p w:rsidR="000D4EA8" w:rsidRPr="00D950E1" w:rsidRDefault="000D4EA8" w:rsidP="00AE5BDE">
      <w:pPr>
        <w:pStyle w:val="TRBodyText"/>
        <w:tabs>
          <w:tab w:val="left" w:pos="5387"/>
        </w:tabs>
      </w:pPr>
      <w:r>
        <w:t>Minister of Finance</w:t>
      </w:r>
      <w:r>
        <w:tab/>
      </w:r>
      <w:r w:rsidRPr="00D950E1">
        <w:t>Minister of Revenue</w:t>
      </w:r>
    </w:p>
    <w:p w:rsidR="00DB0C14" w:rsidRPr="00D950E1" w:rsidRDefault="00DB0C14" w:rsidP="00AE5BDE">
      <w:pPr>
        <w:pStyle w:val="TRHeading1"/>
        <w:spacing w:line="300" w:lineRule="atLeast"/>
      </w:pPr>
      <w:r w:rsidRPr="00D950E1">
        <w:br w:type="page"/>
        <w:t>Background</w:t>
      </w:r>
    </w:p>
    <w:p w:rsidR="000D5AF1" w:rsidRDefault="00D94B1F" w:rsidP="00AE5BDE">
      <w:pPr>
        <w:pStyle w:val="TRNormal"/>
        <w:tabs>
          <w:tab w:val="left" w:pos="567"/>
        </w:tabs>
      </w:pPr>
      <w:r>
        <w:fldChar w:fldCharType="begin"/>
      </w:r>
      <w:r>
        <w:instrText xml:space="preserve"> AUTONUM  </w:instrText>
      </w:r>
      <w:r>
        <w:fldChar w:fldCharType="end"/>
      </w:r>
      <w:r>
        <w:tab/>
      </w:r>
      <w:r w:rsidR="009A73B7">
        <w:t xml:space="preserve"> Base erosion and profit shifting (BEPS) </w:t>
      </w:r>
      <w:r w:rsidR="000D5AF1">
        <w:t xml:space="preserve">refers to the aggressive tax planning strategies used by some multinationals to pay little or no tax anywhere in the world.  This outcome is achieved by exploiting gaps and mismatches in countries’ domestic tax rules to avoid tax.  BEPS strategies </w:t>
      </w:r>
      <w:r w:rsidR="005510C7">
        <w:t xml:space="preserve">distort investment decisions, </w:t>
      </w:r>
      <w:r w:rsidR="000D5AF1">
        <w:t xml:space="preserve">allow multinationals to benefit from unintended competitive advantages over </w:t>
      </w:r>
      <w:r w:rsidR="005510C7">
        <w:t>more compliant</w:t>
      </w:r>
      <w:r w:rsidR="000D5AF1">
        <w:t xml:space="preserve"> or domestic companies, </w:t>
      </w:r>
      <w:r w:rsidR="005510C7">
        <w:t>and</w:t>
      </w:r>
      <w:r w:rsidR="000D5AF1">
        <w:t xml:space="preserve"> result in the loss of substantial corporate tax revenue.  More fundamentally, the perceived unfairness resulting from BEPS jeopardises citizens’ trust in the integrity of the tax system as a whole.  </w:t>
      </w:r>
    </w:p>
    <w:p w:rsidR="000D5AF1" w:rsidRDefault="000D5AF1" w:rsidP="00AE5BDE">
      <w:pPr>
        <w:pStyle w:val="TRNormal"/>
        <w:tabs>
          <w:tab w:val="left" w:pos="567"/>
        </w:tabs>
      </w:pPr>
    </w:p>
    <w:p w:rsidR="005510C7" w:rsidRDefault="000D5AF1" w:rsidP="00AE5BDE">
      <w:pPr>
        <w:pStyle w:val="TRNormal"/>
        <w:tabs>
          <w:tab w:val="left" w:pos="567"/>
        </w:tabs>
      </w:pPr>
      <w:r>
        <w:fldChar w:fldCharType="begin"/>
      </w:r>
      <w:r>
        <w:instrText xml:space="preserve"> AUTONUM  </w:instrText>
      </w:r>
      <w:r>
        <w:fldChar w:fldCharType="end"/>
      </w:r>
      <w:r>
        <w:tab/>
        <w:t>New Zealand’s tax system is already quite robust by international standards</w:t>
      </w:r>
      <w:r w:rsidR="00E325C5">
        <w:t>.  However, there is room for improvement</w:t>
      </w:r>
      <w:r w:rsidR="00907F35">
        <w:t>.</w:t>
      </w:r>
      <w:r w:rsidR="00E325C5">
        <w:t xml:space="preserve"> </w:t>
      </w:r>
      <w:r w:rsidR="00495C6B">
        <w:t xml:space="preserve">As New Zealand is a strong </w:t>
      </w:r>
      <w:r w:rsidR="00495C6B" w:rsidRPr="00495C6B">
        <w:t xml:space="preserve">supporter of the OECD’s BEPS work, many of our BEPS measures are based on the recommendations from the G20/OECD Action Plan Report which seek to counter large multinationals engaged in aggressive BEPS tax practices.  In response to the OECD’s BEPS work, </w:t>
      </w:r>
      <w:r w:rsidR="00E325C5">
        <w:t>the</w:t>
      </w:r>
      <w:r w:rsidR="004A654E">
        <w:t xml:space="preserve"> New Zealand</w:t>
      </w:r>
      <w:r w:rsidR="00E325C5">
        <w:t xml:space="preserve"> Government re</w:t>
      </w:r>
      <w:r w:rsidR="005510C7">
        <w:t xml:space="preserve">leased </w:t>
      </w:r>
      <w:r w:rsidR="00495C6B">
        <w:t xml:space="preserve">a series of public consultation documents, including </w:t>
      </w:r>
      <w:r w:rsidR="005510C7">
        <w:t>two discussion documents</w:t>
      </w:r>
      <w:r w:rsidR="00495C6B">
        <w:t xml:space="preserve"> in March 2017</w:t>
      </w:r>
      <w:r w:rsidR="005510C7">
        <w:t>:</w:t>
      </w:r>
    </w:p>
    <w:p w:rsidR="005510C7" w:rsidRDefault="005510C7" w:rsidP="00AE5BDE">
      <w:pPr>
        <w:pStyle w:val="TRNormal"/>
        <w:tabs>
          <w:tab w:val="left" w:pos="567"/>
        </w:tabs>
      </w:pPr>
    </w:p>
    <w:p w:rsidR="005510C7" w:rsidRDefault="00E325C5" w:rsidP="00AE5BDE">
      <w:pPr>
        <w:pStyle w:val="TRNormal"/>
        <w:numPr>
          <w:ilvl w:val="0"/>
          <w:numId w:val="32"/>
        </w:numPr>
        <w:tabs>
          <w:tab w:val="left" w:pos="567"/>
        </w:tabs>
      </w:pPr>
      <w:r>
        <w:rPr>
          <w:i/>
        </w:rPr>
        <w:t>BEPS – transfer pricing and permanent establishment avoidanc</w:t>
      </w:r>
      <w:r w:rsidR="00646BD4">
        <w:rPr>
          <w:i/>
        </w:rPr>
        <w:t xml:space="preserve">e </w:t>
      </w:r>
      <w:r w:rsidR="00646BD4">
        <w:t>(“transfer pricing and PE avoidance”)</w:t>
      </w:r>
      <w:r w:rsidR="005510C7">
        <w:t>; and</w:t>
      </w:r>
    </w:p>
    <w:p w:rsidR="000D5AF1" w:rsidRDefault="00E325C5" w:rsidP="00AE5BDE">
      <w:pPr>
        <w:pStyle w:val="TRNormal"/>
        <w:numPr>
          <w:ilvl w:val="0"/>
          <w:numId w:val="32"/>
        </w:numPr>
        <w:tabs>
          <w:tab w:val="left" w:pos="567"/>
        </w:tabs>
      </w:pPr>
      <w:r>
        <w:rPr>
          <w:i/>
        </w:rPr>
        <w:t>BEPS – strengthening our interest limitation rules</w:t>
      </w:r>
      <w:r w:rsidR="00646BD4">
        <w:t xml:space="preserve"> (“interest limitation”).</w:t>
      </w:r>
    </w:p>
    <w:p w:rsidR="00E325C5" w:rsidRDefault="00E325C5" w:rsidP="00AE5BDE">
      <w:pPr>
        <w:pStyle w:val="TRNormal"/>
        <w:tabs>
          <w:tab w:val="left" w:pos="567"/>
        </w:tabs>
      </w:pPr>
    </w:p>
    <w:p w:rsidR="00412BBB" w:rsidRDefault="00E325C5" w:rsidP="00AE5BDE">
      <w:pPr>
        <w:pStyle w:val="TRNormal"/>
        <w:tabs>
          <w:tab w:val="left" w:pos="567"/>
        </w:tabs>
      </w:pPr>
      <w:r>
        <w:fldChar w:fldCharType="begin"/>
      </w:r>
      <w:r>
        <w:instrText xml:space="preserve"> AUTONUM  </w:instrText>
      </w:r>
      <w:r>
        <w:fldChar w:fldCharType="end"/>
      </w:r>
      <w:r>
        <w:tab/>
      </w:r>
      <w:r w:rsidR="00FA7108">
        <w:t>The Government</w:t>
      </w:r>
      <w:r w:rsidR="00646BD4">
        <w:t xml:space="preserve"> received 43 submissions </w:t>
      </w:r>
      <w:r w:rsidR="00412BBB">
        <w:t xml:space="preserve">on these discussion documents </w:t>
      </w:r>
      <w:r w:rsidR="000F5975">
        <w:t xml:space="preserve">in total – </w:t>
      </w:r>
      <w:r w:rsidR="000F5975" w:rsidRPr="00E531EC">
        <w:t>16</w:t>
      </w:r>
      <w:r w:rsidR="00646BD4">
        <w:t xml:space="preserve"> submissions on the transfer pricing and PE avoidance discussion document, and 27 submissions on the interest limitation discussion document.  </w:t>
      </w:r>
      <w:r w:rsidR="008A0858" w:rsidRPr="008A0858">
        <w:t>A full list of all the submitters, together with a brief description, is included in the appendix to this report.</w:t>
      </w:r>
    </w:p>
    <w:p w:rsidR="00FA7108" w:rsidRDefault="00FA7108" w:rsidP="00AE5BDE">
      <w:pPr>
        <w:pStyle w:val="TRNormal"/>
        <w:tabs>
          <w:tab w:val="left" w:pos="567"/>
        </w:tabs>
      </w:pPr>
    </w:p>
    <w:p w:rsidR="00FA7108" w:rsidRDefault="00FA7108" w:rsidP="00AE5BDE">
      <w:pPr>
        <w:pStyle w:val="TRNormal"/>
        <w:tabs>
          <w:tab w:val="left" w:pos="567"/>
        </w:tabs>
      </w:pPr>
      <w:r w:rsidRPr="00FA7108">
        <w:fldChar w:fldCharType="begin"/>
      </w:r>
      <w:r w:rsidRPr="00FA7108">
        <w:instrText xml:space="preserve"> AUTONUM  </w:instrText>
      </w:r>
      <w:r w:rsidRPr="00FA7108">
        <w:fldChar w:fldCharType="end"/>
      </w:r>
      <w:r>
        <w:tab/>
      </w:r>
      <w:r w:rsidRPr="00FA7108">
        <w:t>Most of the submitters are tax advisors or represent businesses that could be negatively affected by the proposals. Therefore</w:t>
      </w:r>
      <w:r w:rsidR="00FE30EA">
        <w:t>,</w:t>
      </w:r>
      <w:r w:rsidRPr="00FA7108">
        <w:t xml:space="preserve"> the submissions are understandably critical of some of the measures. However</w:t>
      </w:r>
      <w:r>
        <w:t>,</w:t>
      </w:r>
      <w:r w:rsidRPr="00FA7108">
        <w:t xml:space="preserve"> submitters have also provided constructive suggestions on how the proposals could be redesigned or better targeted in order to reduce unintended impacts such as uncertainty for investors or double taxation. We are confident we can refine the proposals to address many of the submitters</w:t>
      </w:r>
      <w:r w:rsidR="00FE30EA">
        <w:t>’</w:t>
      </w:r>
      <w:r w:rsidRPr="00FA7108">
        <w:t xml:space="preserve"> concerns whil</w:t>
      </w:r>
      <w:r w:rsidR="00FE30EA">
        <w:t>e</w:t>
      </w:r>
      <w:r w:rsidRPr="00FA7108">
        <w:t xml:space="preserve"> ensuring the measures are just as effective at combatting BEPS.</w:t>
      </w:r>
    </w:p>
    <w:p w:rsidR="008E6657" w:rsidRDefault="008E6657" w:rsidP="00AE5BDE">
      <w:pPr>
        <w:pStyle w:val="TRNormal"/>
        <w:tabs>
          <w:tab w:val="left" w:pos="567"/>
        </w:tabs>
      </w:pPr>
    </w:p>
    <w:p w:rsidR="008E6657" w:rsidRPr="00CD252D" w:rsidRDefault="00CD252D" w:rsidP="00AE5BDE">
      <w:pPr>
        <w:pStyle w:val="TRNormal"/>
        <w:tabs>
          <w:tab w:val="left" w:pos="567"/>
        </w:tabs>
      </w:pPr>
      <w:r>
        <w:fldChar w:fldCharType="begin"/>
      </w:r>
      <w:r>
        <w:instrText xml:space="preserve"> AUTONUM  </w:instrText>
      </w:r>
      <w:r>
        <w:fldChar w:fldCharType="end"/>
      </w:r>
      <w:r>
        <w:tab/>
      </w:r>
      <w:r w:rsidR="008E6657" w:rsidRPr="00CD252D">
        <w:t xml:space="preserve">This report summarises the </w:t>
      </w:r>
      <w:r w:rsidR="00FE30EA">
        <w:t xml:space="preserve">main issues raised </w:t>
      </w:r>
      <w:r w:rsidR="008E6657" w:rsidRPr="00CD252D">
        <w:t xml:space="preserve">by submitters. We will report back with advice and recommendations on these submissions and other issues next week. </w:t>
      </w:r>
    </w:p>
    <w:p w:rsidR="00F36523" w:rsidRDefault="00F36523" w:rsidP="00AE5BDE">
      <w:pPr>
        <w:pStyle w:val="TRHeading1"/>
        <w:spacing w:line="300" w:lineRule="atLeast"/>
      </w:pPr>
      <w:r>
        <w:t>General issues raised by submitters</w:t>
      </w:r>
    </w:p>
    <w:p w:rsidR="00F36523" w:rsidRDefault="00F36523" w:rsidP="00AE5BDE">
      <w:pPr>
        <w:pStyle w:val="Heading2"/>
        <w:spacing w:line="300" w:lineRule="atLeast"/>
      </w:pPr>
      <w:r>
        <w:t>Submission: general support for addressing BEPS</w:t>
      </w:r>
    </w:p>
    <w:p w:rsidR="00F36523" w:rsidRDefault="00F36523" w:rsidP="00AE5BDE">
      <w:pPr>
        <w:tabs>
          <w:tab w:val="left" w:pos="567"/>
        </w:tabs>
        <w:spacing w:line="300" w:lineRule="atLeast"/>
      </w:pPr>
      <w:r>
        <w:fldChar w:fldCharType="begin"/>
      </w:r>
      <w:r>
        <w:instrText xml:space="preserve"> AUTONUM  </w:instrText>
      </w:r>
      <w:r>
        <w:fldChar w:fldCharType="end"/>
      </w:r>
      <w:r>
        <w:tab/>
      </w:r>
      <w:r w:rsidRPr="00CE5FB5">
        <w:t>Submitters acknowledged that it was important to address BEPS risks facing New Zealand</w:t>
      </w:r>
      <w:r>
        <w:t xml:space="preserve"> and agreed in principle that change is needed to strengthen interest limitation, transfer pricing and PE rules.  However, submitters did not agree with many of the proposed changes put forward in the discussion documents.  Only two submitters supported all of the proposed changes in both documents (Oxfam and NZ Council of Trade Unions).</w:t>
      </w:r>
    </w:p>
    <w:p w:rsidR="00F36523" w:rsidRDefault="00F36523" w:rsidP="00AE5BDE">
      <w:pPr>
        <w:tabs>
          <w:tab w:val="left" w:pos="567"/>
        </w:tabs>
        <w:spacing w:line="300" w:lineRule="atLeast"/>
      </w:pPr>
    </w:p>
    <w:p w:rsidR="00F36523" w:rsidRDefault="00F36523" w:rsidP="00AE5BDE">
      <w:pPr>
        <w:pStyle w:val="Heading2"/>
        <w:spacing w:line="300" w:lineRule="atLeast"/>
      </w:pPr>
      <w:r>
        <w:t>Submission: wider economic concerns</w:t>
      </w:r>
    </w:p>
    <w:p w:rsidR="00F36523" w:rsidRDefault="00F36523" w:rsidP="00AE5BDE">
      <w:pPr>
        <w:pStyle w:val="TRNormal"/>
        <w:tabs>
          <w:tab w:val="left" w:pos="567"/>
        </w:tabs>
      </w:pPr>
      <w:r>
        <w:fldChar w:fldCharType="begin"/>
      </w:r>
      <w:r>
        <w:instrText xml:space="preserve"> AUTONUM  </w:instrText>
      </w:r>
      <w:r>
        <w:fldChar w:fldCharType="end"/>
      </w:r>
      <w:r>
        <w:tab/>
        <w:t>Many submitters argued that the proposals have the potential to significantly impact the flow of capital to New Zealand and the willingness of non-residents to establish business in New Zealand.  Submitters argued that many of the proposals contained in the discussion documents could make New Zealand a less-attractive investment destination and, on this basis, should not be implemented (</w:t>
      </w:r>
      <w:proofErr w:type="spellStart"/>
      <w:r>
        <w:t>CTG</w:t>
      </w:r>
      <w:proofErr w:type="spellEnd"/>
      <w:r>
        <w:t xml:space="preserve">, CA </w:t>
      </w:r>
      <w:proofErr w:type="spellStart"/>
      <w:r>
        <w:t>ANZ</w:t>
      </w:r>
      <w:proofErr w:type="spellEnd"/>
      <w:r>
        <w:t xml:space="preserve">, </w:t>
      </w:r>
      <w:proofErr w:type="spellStart"/>
      <w:r>
        <w:t>Olivershaw</w:t>
      </w:r>
      <w:proofErr w:type="spellEnd"/>
      <w:r>
        <w:t xml:space="preserve">, </w:t>
      </w:r>
      <w:proofErr w:type="spellStart"/>
      <w:r>
        <w:t>NFTC</w:t>
      </w:r>
      <w:proofErr w:type="spellEnd"/>
      <w:r>
        <w:t>).</w:t>
      </w:r>
    </w:p>
    <w:p w:rsidR="00F36523" w:rsidRDefault="00F36523" w:rsidP="00AE5BDE">
      <w:pPr>
        <w:pStyle w:val="TRNormal"/>
        <w:tabs>
          <w:tab w:val="left" w:pos="567"/>
        </w:tabs>
      </w:pPr>
    </w:p>
    <w:p w:rsidR="00F36523" w:rsidRDefault="00F36523" w:rsidP="00AE5BDE">
      <w:pPr>
        <w:pStyle w:val="TRNormal"/>
        <w:tabs>
          <w:tab w:val="left" w:pos="567"/>
        </w:tabs>
      </w:pPr>
      <w:r>
        <w:fldChar w:fldCharType="begin"/>
      </w:r>
      <w:r>
        <w:instrText xml:space="preserve"> AUTONUM  </w:instrText>
      </w:r>
      <w:r>
        <w:fldChar w:fldCharType="end"/>
      </w:r>
      <w:r>
        <w:tab/>
        <w:t>Some submitters on the PE avoidance proposals argued that the proposals introduce complex and onerous rules which may incentivise foreign companies to remove their existing personnel from New Zealand (</w:t>
      </w:r>
      <w:proofErr w:type="spellStart"/>
      <w:r>
        <w:t>CTG</w:t>
      </w:r>
      <w:proofErr w:type="spellEnd"/>
      <w:r>
        <w:t xml:space="preserve">, CA </w:t>
      </w:r>
      <w:proofErr w:type="spellStart"/>
      <w:r>
        <w:t>ANZ</w:t>
      </w:r>
      <w:proofErr w:type="spellEnd"/>
      <w:r>
        <w:t xml:space="preserve">, </w:t>
      </w:r>
      <w:proofErr w:type="spellStart"/>
      <w:r>
        <w:t>NFTC</w:t>
      </w:r>
      <w:proofErr w:type="spellEnd"/>
      <w:r>
        <w:t>).</w:t>
      </w:r>
    </w:p>
    <w:p w:rsidR="00F36523" w:rsidRDefault="00F36523" w:rsidP="00AE5BDE">
      <w:pPr>
        <w:pStyle w:val="Numberparagraph"/>
        <w:numPr>
          <w:ilvl w:val="0"/>
          <w:numId w:val="0"/>
        </w:numPr>
        <w:spacing w:line="300" w:lineRule="atLeast"/>
      </w:pPr>
    </w:p>
    <w:p w:rsidR="00F36523" w:rsidRPr="001F590B" w:rsidRDefault="00F36523" w:rsidP="00AE5BDE">
      <w:pPr>
        <w:pStyle w:val="Heading2"/>
        <w:spacing w:line="300" w:lineRule="atLeast"/>
      </w:pPr>
      <w:r>
        <w:t>Submission: application date</w:t>
      </w:r>
    </w:p>
    <w:p w:rsidR="00F36523" w:rsidRDefault="00F36523" w:rsidP="00AE5BDE">
      <w:pPr>
        <w:pStyle w:val="Numberparagraph"/>
        <w:numPr>
          <w:ilvl w:val="0"/>
          <w:numId w:val="0"/>
        </w:numPr>
        <w:spacing w:line="300" w:lineRule="atLeast"/>
      </w:pPr>
      <w:r>
        <w:fldChar w:fldCharType="begin"/>
      </w:r>
      <w:r>
        <w:instrText xml:space="preserve"> AUTONUM  </w:instrText>
      </w:r>
      <w:r>
        <w:fldChar w:fldCharType="end"/>
      </w:r>
      <w:r>
        <w:tab/>
        <w:t>The planned commencement date for these measures is income years starting on or after 1 July 2018. At the time the discussion documents were released, this commencement date was not publicly known.</w:t>
      </w:r>
      <w:r>
        <w:rPr>
          <w:rStyle w:val="FootnoteReference"/>
        </w:rPr>
        <w:footnoteReference w:id="2"/>
      </w:r>
      <w:r>
        <w:t xml:space="preserve"> However, many submitters anticipated the Government would seek an early commencement date and argued in their submissions that there needs to be sufficient lead-in time for these proposals to allow taxpayers to restructure their affairs if necessary (PwC, </w:t>
      </w:r>
      <w:proofErr w:type="spellStart"/>
      <w:r w:rsidRPr="00FF1C80">
        <w:t>CTG</w:t>
      </w:r>
      <w:proofErr w:type="spellEnd"/>
      <w:r>
        <w:t xml:space="preserve">, </w:t>
      </w:r>
      <w:proofErr w:type="spellStart"/>
      <w:r>
        <w:t>EY</w:t>
      </w:r>
      <w:proofErr w:type="spellEnd"/>
      <w:r>
        <w:t xml:space="preserve">, CA </w:t>
      </w:r>
      <w:proofErr w:type="spellStart"/>
      <w:r>
        <w:t>ANZ</w:t>
      </w:r>
      <w:proofErr w:type="spellEnd"/>
      <w:r w:rsidRPr="0033286B">
        <w:t>).</w:t>
      </w:r>
    </w:p>
    <w:p w:rsidR="00F36523" w:rsidRDefault="00F36523" w:rsidP="00AE5BDE">
      <w:pPr>
        <w:pStyle w:val="Numberparagraph"/>
        <w:numPr>
          <w:ilvl w:val="0"/>
          <w:numId w:val="0"/>
        </w:numPr>
        <w:spacing w:line="300" w:lineRule="atLeast"/>
      </w:pPr>
    </w:p>
    <w:p w:rsidR="00F36523" w:rsidRDefault="00F36523" w:rsidP="00AE5BDE">
      <w:pPr>
        <w:pStyle w:val="Numberparagraph"/>
        <w:numPr>
          <w:ilvl w:val="0"/>
          <w:numId w:val="0"/>
        </w:numPr>
        <w:spacing w:line="300" w:lineRule="atLeast"/>
      </w:pPr>
      <w:r>
        <w:fldChar w:fldCharType="begin"/>
      </w:r>
      <w:r>
        <w:instrText xml:space="preserve"> AUTONUM  </w:instrText>
      </w:r>
      <w:r>
        <w:fldChar w:fldCharType="end"/>
      </w:r>
      <w:r>
        <w:tab/>
        <w:t xml:space="preserve">Several submitters (including PwC and </w:t>
      </w:r>
      <w:proofErr w:type="spellStart"/>
      <w:r>
        <w:t>Powerco</w:t>
      </w:r>
      <w:proofErr w:type="spellEnd"/>
      <w:r>
        <w:t>) submitted that the application date for these proposals should be no earlier than 1 April 2019.</w:t>
      </w:r>
    </w:p>
    <w:p w:rsidR="00F36523" w:rsidRDefault="00F36523" w:rsidP="00AE5BDE">
      <w:pPr>
        <w:pStyle w:val="Numberparagraph"/>
        <w:numPr>
          <w:ilvl w:val="0"/>
          <w:numId w:val="0"/>
        </w:numPr>
        <w:spacing w:line="300" w:lineRule="atLeast"/>
      </w:pPr>
    </w:p>
    <w:p w:rsidR="00CB6158" w:rsidRDefault="00F36523" w:rsidP="00AE5BDE">
      <w:pPr>
        <w:pStyle w:val="Numberparagraph"/>
        <w:numPr>
          <w:ilvl w:val="0"/>
          <w:numId w:val="0"/>
        </w:numPr>
        <w:spacing w:line="300" w:lineRule="atLeast"/>
      </w:pPr>
      <w:r>
        <w:fldChar w:fldCharType="begin"/>
      </w:r>
      <w:r>
        <w:instrText xml:space="preserve"> AUTONUM  </w:instrText>
      </w:r>
      <w:r>
        <w:fldChar w:fldCharType="end"/>
      </w:r>
      <w:r>
        <w:tab/>
        <w:t>A number of submissions on the interest limitation discussion document also argued that transitional rules should be provided for existing investments for up to five years post enactment.</w:t>
      </w:r>
    </w:p>
    <w:p w:rsidR="00D30F30" w:rsidRDefault="00D30F30" w:rsidP="00AE5BDE">
      <w:pPr>
        <w:pStyle w:val="Numberparagraph"/>
        <w:numPr>
          <w:ilvl w:val="0"/>
          <w:numId w:val="0"/>
        </w:numPr>
        <w:spacing w:line="300" w:lineRule="atLeast"/>
      </w:pPr>
    </w:p>
    <w:p w:rsidR="00D30F30" w:rsidRPr="001F590B" w:rsidRDefault="00D30F30" w:rsidP="00D30F30">
      <w:pPr>
        <w:pStyle w:val="Heading2"/>
        <w:spacing w:line="300" w:lineRule="atLeast"/>
      </w:pPr>
      <w:r>
        <w:t>Submission: g</w:t>
      </w:r>
      <w:r w:rsidRPr="001F590B">
        <w:t xml:space="preserve">randparenting </w:t>
      </w:r>
      <w:proofErr w:type="spellStart"/>
      <w:r w:rsidRPr="001F590B">
        <w:t>APAs</w:t>
      </w:r>
      <w:proofErr w:type="spellEnd"/>
    </w:p>
    <w:p w:rsidR="00D30F30" w:rsidRDefault="00D30F30" w:rsidP="00D30F30">
      <w:pPr>
        <w:pStyle w:val="Numberparagraph"/>
        <w:numPr>
          <w:ilvl w:val="0"/>
          <w:numId w:val="0"/>
        </w:numPr>
        <w:spacing w:line="300" w:lineRule="atLeast"/>
      </w:pPr>
      <w:r>
        <w:fldChar w:fldCharType="begin"/>
      </w:r>
      <w:r>
        <w:instrText xml:space="preserve"> AUTONUM  </w:instrText>
      </w:r>
      <w:r>
        <w:fldChar w:fldCharType="end"/>
      </w:r>
      <w:r>
        <w:tab/>
        <w:t>A t</w:t>
      </w:r>
      <w:r w:rsidRPr="001F590B">
        <w:t>axpayer</w:t>
      </w:r>
      <w:r>
        <w:t xml:space="preserve"> is</w:t>
      </w:r>
      <w:r w:rsidRPr="001F590B">
        <w:t xml:space="preserve"> able to apply for </w:t>
      </w:r>
      <w:r>
        <w:t>an advance pricing agreement (</w:t>
      </w:r>
      <w:proofErr w:type="spellStart"/>
      <w:r>
        <w:t>APA</w:t>
      </w:r>
      <w:proofErr w:type="spellEnd"/>
      <w:r>
        <w:t xml:space="preserve">), which is essentially a </w:t>
      </w:r>
      <w:r w:rsidRPr="001F590B">
        <w:t>binding ruling</w:t>
      </w:r>
      <w:r>
        <w:t xml:space="preserve"> that </w:t>
      </w:r>
      <w:r w:rsidRPr="00D43F68">
        <w:t>confirm</w:t>
      </w:r>
      <w:r>
        <w:t>s</w:t>
      </w:r>
      <w:r w:rsidRPr="00D43F68">
        <w:t xml:space="preserve"> Inland Revenue agrees </w:t>
      </w:r>
      <w:r>
        <w:t>that the taxpayer’s</w:t>
      </w:r>
      <w:r w:rsidRPr="00D43F68">
        <w:t xml:space="preserve"> planne</w:t>
      </w:r>
      <w:r>
        <w:t>d transfer pricing positions are compliant</w:t>
      </w:r>
      <w:r w:rsidRPr="00D43F68">
        <w:t xml:space="preserve"> </w:t>
      </w:r>
      <w:r>
        <w:t xml:space="preserve">with the </w:t>
      </w:r>
      <w:r w:rsidRPr="001F590B">
        <w:t>transfer pricing rules</w:t>
      </w:r>
      <w:r>
        <w:t xml:space="preserve"> for up to five years</w:t>
      </w:r>
      <w:r w:rsidRPr="001F590B">
        <w:t xml:space="preserve">. </w:t>
      </w:r>
      <w:r>
        <w:t xml:space="preserve"> </w:t>
      </w:r>
      <w:r w:rsidRPr="001F590B">
        <w:t xml:space="preserve">A large number of submitters expressed concern that </w:t>
      </w:r>
      <w:proofErr w:type="spellStart"/>
      <w:r w:rsidRPr="001F590B">
        <w:t>APAs</w:t>
      </w:r>
      <w:proofErr w:type="spellEnd"/>
      <w:r w:rsidRPr="001F590B">
        <w:t xml:space="preserve"> would be invalidated when the new legislation comes into effect.  These submitters suggested that all existing </w:t>
      </w:r>
      <w:proofErr w:type="spellStart"/>
      <w:r w:rsidRPr="001F590B">
        <w:t>APA</w:t>
      </w:r>
      <w:r w:rsidRPr="00440CBD">
        <w:t>s</w:t>
      </w:r>
      <w:proofErr w:type="spellEnd"/>
      <w:r w:rsidRPr="00440CBD">
        <w:t xml:space="preserve"> affected by the proposals in these discussion documents</w:t>
      </w:r>
      <w:r w:rsidRPr="001F590B">
        <w:t xml:space="preserve"> should be preserved under transitional </w:t>
      </w:r>
      <w:r>
        <w:t xml:space="preserve">rules for the term of the </w:t>
      </w:r>
      <w:proofErr w:type="spellStart"/>
      <w:r>
        <w:t>APA</w:t>
      </w:r>
      <w:proofErr w:type="spellEnd"/>
      <w:r>
        <w:t>.</w:t>
      </w:r>
    </w:p>
    <w:p w:rsidR="00CB6158" w:rsidRDefault="00CB6158" w:rsidP="00AE5BDE">
      <w:pPr>
        <w:pStyle w:val="Numberparagraph"/>
        <w:numPr>
          <w:ilvl w:val="0"/>
          <w:numId w:val="0"/>
        </w:numPr>
        <w:spacing w:line="300" w:lineRule="atLeast"/>
      </w:pPr>
    </w:p>
    <w:p w:rsidR="009104C7" w:rsidRPr="00495C6B" w:rsidRDefault="009104C7" w:rsidP="00AE5BDE">
      <w:pPr>
        <w:pStyle w:val="Heading2"/>
        <w:spacing w:line="300" w:lineRule="atLeast"/>
        <w:rPr>
          <w:i/>
          <w:iCs/>
        </w:rPr>
      </w:pPr>
      <w:r>
        <w:t>Comment</w:t>
      </w:r>
    </w:p>
    <w:p w:rsidR="009104C7" w:rsidRDefault="009104C7" w:rsidP="00AE5BDE">
      <w:pPr>
        <w:spacing w:line="300" w:lineRule="atLeast"/>
      </w:pPr>
      <w:r>
        <w:fldChar w:fldCharType="begin"/>
      </w:r>
      <w:r>
        <w:instrText xml:space="preserve"> AUTONUM  </w:instrText>
      </w:r>
      <w:r>
        <w:fldChar w:fldCharType="end"/>
      </w:r>
      <w:r>
        <w:tab/>
        <w:t xml:space="preserve">The majority of multinationals operating in New Zealand </w:t>
      </w:r>
      <w:proofErr w:type="gramStart"/>
      <w:r>
        <w:t>are</w:t>
      </w:r>
      <w:proofErr w:type="gramEnd"/>
      <w:r>
        <w:t xml:space="preserve"> compliant and the Government is committed to making sure New Zealand remains an attractive place for them to do business.  However, there are some multinationals that deliberately attempt to circumvent New Zealand’s tax rules.  These multinationals should not be allowed to exploit weaknesses in the current rules to achieve a competitive advantage over more compliant multinationals or domestic firms.</w:t>
      </w:r>
    </w:p>
    <w:p w:rsidR="009104C7" w:rsidRDefault="009104C7" w:rsidP="00AE5BDE">
      <w:pPr>
        <w:spacing w:line="300" w:lineRule="atLeast"/>
      </w:pPr>
    </w:p>
    <w:p w:rsidR="009104C7" w:rsidRDefault="009104C7" w:rsidP="00AE5BDE">
      <w:pPr>
        <w:tabs>
          <w:tab w:val="left" w:pos="567"/>
        </w:tabs>
        <w:spacing w:line="300" w:lineRule="atLeast"/>
      </w:pPr>
      <w:r>
        <w:fldChar w:fldCharType="begin"/>
      </w:r>
      <w:r>
        <w:instrText xml:space="preserve"> AUTONUM  </w:instrText>
      </w:r>
      <w:r>
        <w:fldChar w:fldCharType="end"/>
      </w:r>
      <w:r>
        <w:tab/>
        <w:t>Furthermore, it is highly unlikely that foreign companies would remove their existing personnel from New Zealand as a result of the PE avoidance proposals</w:t>
      </w:r>
      <w:r w:rsidR="00A7454B">
        <w:t>, as m</w:t>
      </w:r>
      <w:r>
        <w:t>ost of the affected foreign companies are dependent on having personnel in New Zealand to arrange their sales.  It is also very unlikely that they would cease to operate in New Zealand.</w:t>
      </w:r>
    </w:p>
    <w:p w:rsidR="009104C7" w:rsidRDefault="009104C7" w:rsidP="00AE5BDE">
      <w:pPr>
        <w:pStyle w:val="Numberparagraph"/>
        <w:numPr>
          <w:ilvl w:val="0"/>
          <w:numId w:val="0"/>
        </w:numPr>
        <w:spacing w:line="300" w:lineRule="atLeast"/>
      </w:pPr>
    </w:p>
    <w:p w:rsidR="00F36523" w:rsidRDefault="00F36523" w:rsidP="00AE5BDE">
      <w:pPr>
        <w:pStyle w:val="Numberparagraph"/>
        <w:numPr>
          <w:ilvl w:val="0"/>
          <w:numId w:val="0"/>
        </w:numPr>
        <w:spacing w:line="300" w:lineRule="atLeast"/>
      </w:pPr>
      <w:r>
        <w:fldChar w:fldCharType="begin"/>
      </w:r>
      <w:r>
        <w:instrText xml:space="preserve"> AUTONUM  </w:instrText>
      </w:r>
      <w:r>
        <w:fldChar w:fldCharType="end"/>
      </w:r>
      <w:r>
        <w:tab/>
      </w:r>
      <w:r w:rsidRPr="007F69BA">
        <w:t>Cabinet has noted that the reforms are expected to commence from income years beginning on or after 1 July 2018</w:t>
      </w:r>
      <w:r>
        <w:t xml:space="preserve"> (</w:t>
      </w:r>
      <w:r w:rsidRPr="000F5975">
        <w:t>CAB-17-MIN-0164</w:t>
      </w:r>
      <w:r>
        <w:t xml:space="preserve"> refers)</w:t>
      </w:r>
      <w:r w:rsidRPr="007F69BA">
        <w:t>.  This is based on an expectation that the legislation will be progressed to enactment before this date.</w:t>
      </w:r>
      <w:r>
        <w:t xml:space="preserve"> </w:t>
      </w:r>
    </w:p>
    <w:p w:rsidR="00C96145" w:rsidRDefault="00C96145" w:rsidP="00AE5BDE">
      <w:pPr>
        <w:pStyle w:val="TRHeading1"/>
        <w:spacing w:line="300" w:lineRule="atLeast"/>
      </w:pPr>
      <w:r>
        <w:t>Interest rate cap</w:t>
      </w:r>
    </w:p>
    <w:p w:rsidR="00C96145" w:rsidRDefault="00C96145" w:rsidP="00AE5BDE">
      <w:pPr>
        <w:pStyle w:val="Heading2"/>
        <w:spacing w:line="300" w:lineRule="atLeast"/>
      </w:pPr>
      <w:r>
        <w:t>Summary of proposed rule</w:t>
      </w:r>
    </w:p>
    <w:p w:rsidR="00C96145" w:rsidRPr="00B460AD" w:rsidRDefault="00C96145" w:rsidP="00AE5BDE">
      <w:pPr>
        <w:pStyle w:val="TRBodyText"/>
        <w:tabs>
          <w:tab w:val="left" w:pos="567"/>
        </w:tabs>
      </w:pPr>
      <w:r>
        <w:fldChar w:fldCharType="begin"/>
      </w:r>
      <w:r>
        <w:instrText xml:space="preserve"> AUTONUM  </w:instrText>
      </w:r>
      <w:r>
        <w:fldChar w:fldCharType="end"/>
      </w:r>
      <w:r>
        <w:tab/>
        <w:t xml:space="preserve">The interest limitation discussion document </w:t>
      </w:r>
      <w:r w:rsidRPr="00B460AD">
        <w:t>proposed moving away from</w:t>
      </w:r>
      <w:r>
        <w:t xml:space="preserve"> a transfer pricing approach for pricing cross-border related-party loans, and instead proposed two new pricing rules (one for when a company has a foreign parent and one whe</w:t>
      </w:r>
      <w:r w:rsidR="00A7454B">
        <w:t>n</w:t>
      </w:r>
      <w:r>
        <w:t xml:space="preserve"> it does not): </w:t>
      </w:r>
    </w:p>
    <w:p w:rsidR="00C96145" w:rsidRPr="00B460AD" w:rsidRDefault="00C96145" w:rsidP="00AE5BDE">
      <w:pPr>
        <w:pStyle w:val="TRBodyText"/>
        <w:tabs>
          <w:tab w:val="left" w:pos="567"/>
        </w:tabs>
      </w:pPr>
    </w:p>
    <w:p w:rsidR="00C96145" w:rsidRPr="00B460AD" w:rsidRDefault="00C96145" w:rsidP="00AE5BDE">
      <w:pPr>
        <w:pStyle w:val="TRBodyText"/>
        <w:numPr>
          <w:ilvl w:val="0"/>
          <w:numId w:val="44"/>
        </w:numPr>
        <w:tabs>
          <w:tab w:val="left" w:pos="567"/>
        </w:tabs>
      </w:pPr>
      <w:r>
        <w:t xml:space="preserve">An </w:t>
      </w:r>
      <w:r>
        <w:rPr>
          <w:i/>
        </w:rPr>
        <w:t xml:space="preserve">interest rate </w:t>
      </w:r>
      <w:r w:rsidRPr="00AF153C">
        <w:rPr>
          <w:i/>
        </w:rPr>
        <w:t>cap</w:t>
      </w:r>
      <w:r>
        <w:rPr>
          <w:i/>
        </w:rPr>
        <w:t xml:space="preserve">, </w:t>
      </w:r>
      <w:r>
        <w:t>which would apply when</w:t>
      </w:r>
      <w:r w:rsidRPr="00B460AD">
        <w:t xml:space="preserve"> a New Zealand company has a foreign parent (e.g. it is a subsidiary of a multinational company)</w:t>
      </w:r>
      <w:r>
        <w:t>. Under the interest rate cap, the allowable</w:t>
      </w:r>
      <w:r w:rsidRPr="00B460AD">
        <w:t xml:space="preserve"> interest rate on related-party debt</w:t>
      </w:r>
      <w:r>
        <w:t xml:space="preserve"> would be set</w:t>
      </w:r>
      <w:r w:rsidRPr="00B460AD">
        <w:t xml:space="preserve"> with reference to the interest rate the parent company could borrow at. </w:t>
      </w:r>
    </w:p>
    <w:p w:rsidR="00C96145" w:rsidRPr="00B460AD" w:rsidRDefault="00C96145" w:rsidP="00AE5BDE">
      <w:pPr>
        <w:pStyle w:val="TRBodyText"/>
        <w:tabs>
          <w:tab w:val="left" w:pos="567"/>
        </w:tabs>
      </w:pPr>
    </w:p>
    <w:p w:rsidR="00C96145" w:rsidRPr="00B460AD" w:rsidRDefault="00C96145" w:rsidP="00AE5BDE">
      <w:pPr>
        <w:pStyle w:val="TRBodyText"/>
        <w:numPr>
          <w:ilvl w:val="0"/>
          <w:numId w:val="44"/>
        </w:numPr>
        <w:tabs>
          <w:tab w:val="left" w:pos="567"/>
        </w:tabs>
      </w:pPr>
      <w:r>
        <w:t xml:space="preserve">A </w:t>
      </w:r>
      <w:r>
        <w:rPr>
          <w:i/>
        </w:rPr>
        <w:t xml:space="preserve">modified transfer pricing </w:t>
      </w:r>
      <w:r w:rsidRPr="00AF153C">
        <w:rPr>
          <w:i/>
        </w:rPr>
        <w:t>rule</w:t>
      </w:r>
      <w:r>
        <w:rPr>
          <w:i/>
        </w:rPr>
        <w:t xml:space="preserve"> </w:t>
      </w:r>
      <w:r>
        <w:t xml:space="preserve">when </w:t>
      </w:r>
      <w:r w:rsidRPr="00B460AD">
        <w:t xml:space="preserve">a New Zealand company has no foreign parent (e.g. it is owned by a group of non-residents acting </w:t>
      </w:r>
      <w:r>
        <w:t xml:space="preserve">together). Under the modified transfer pricing approach, the allowable interest rate on related-party debt </w:t>
      </w:r>
      <w:r w:rsidRPr="00B460AD">
        <w:t xml:space="preserve">would be </w:t>
      </w:r>
      <w:r>
        <w:t>determined using transfer pricing, but with</w:t>
      </w:r>
      <w:r w:rsidRPr="00B460AD">
        <w:t xml:space="preserve"> a presumed set of conditions (including that the debt is senior unsecured debt issued on standard terms). </w:t>
      </w:r>
    </w:p>
    <w:p w:rsidR="00C96145" w:rsidRPr="00B460AD" w:rsidRDefault="00C96145" w:rsidP="00AE5BDE">
      <w:pPr>
        <w:pStyle w:val="TRBodyText"/>
        <w:tabs>
          <w:tab w:val="left" w:pos="567"/>
        </w:tabs>
      </w:pPr>
    </w:p>
    <w:p w:rsidR="00C96145" w:rsidRDefault="00C96145" w:rsidP="00AE5BDE">
      <w:pPr>
        <w:pStyle w:val="Heading2"/>
        <w:spacing w:line="300" w:lineRule="atLeast"/>
      </w:pPr>
      <w:r>
        <w:t xml:space="preserve">General reaction </w:t>
      </w:r>
    </w:p>
    <w:p w:rsidR="00C96145" w:rsidRPr="00174247" w:rsidRDefault="00C96145" w:rsidP="00AE5BDE">
      <w:pPr>
        <w:tabs>
          <w:tab w:val="left" w:pos="567"/>
        </w:tabs>
        <w:spacing w:line="300" w:lineRule="atLeast"/>
      </w:pPr>
      <w:r>
        <w:fldChar w:fldCharType="begin"/>
      </w:r>
      <w:r>
        <w:instrText xml:space="preserve"> AUTONUM  </w:instrText>
      </w:r>
      <w:r>
        <w:fldChar w:fldCharType="end"/>
      </w:r>
      <w:r>
        <w:tab/>
        <w:t xml:space="preserve">This proposal – in particular the </w:t>
      </w:r>
      <w:r>
        <w:rPr>
          <w:i/>
        </w:rPr>
        <w:t>interest rate cap</w:t>
      </w:r>
      <w:r>
        <w:t xml:space="preserve"> – was the focus of most submissions. Several submitters agreed that the rules for limiting the interest rate on related-party loans need strengthening, but only two submitters agreed with the proposed approach (Oxfam and </w:t>
      </w:r>
      <w:proofErr w:type="spellStart"/>
      <w:r w:rsidR="00A7454B">
        <w:t>NZ</w:t>
      </w:r>
      <w:r>
        <w:t>CTU</w:t>
      </w:r>
      <w:proofErr w:type="spellEnd"/>
      <w:r>
        <w:t>).</w:t>
      </w:r>
    </w:p>
    <w:p w:rsidR="00C96145" w:rsidRDefault="00C96145" w:rsidP="00AE5BDE">
      <w:pPr>
        <w:tabs>
          <w:tab w:val="left" w:pos="567"/>
        </w:tabs>
        <w:spacing w:line="300" w:lineRule="atLeast"/>
      </w:pPr>
    </w:p>
    <w:p w:rsidR="00C96145" w:rsidRDefault="00C96145" w:rsidP="00AE5BDE">
      <w:pPr>
        <w:tabs>
          <w:tab w:val="left" w:pos="567"/>
        </w:tabs>
        <w:spacing w:line="300" w:lineRule="atLeast"/>
      </w:pPr>
      <w:r>
        <w:fldChar w:fldCharType="begin"/>
      </w:r>
      <w:r>
        <w:instrText xml:space="preserve"> AUTONUM  </w:instrText>
      </w:r>
      <w:r>
        <w:fldChar w:fldCharType="end"/>
      </w:r>
      <w:r>
        <w:tab/>
        <w:t>The general view of submitters was that the proposed interest rate cap should not be adopted at all, or if it is adopted, that it should only be a safe harbour, meaning that an interest rate higher than that provided for under the cap would be allowed if it can be justified under transfer pricing.</w:t>
      </w:r>
    </w:p>
    <w:p w:rsidR="00C96145" w:rsidRDefault="00C96145" w:rsidP="00AE5BDE">
      <w:pPr>
        <w:tabs>
          <w:tab w:val="left" w:pos="2700"/>
        </w:tabs>
        <w:spacing w:line="300" w:lineRule="atLeast"/>
      </w:pPr>
    </w:p>
    <w:p w:rsidR="00C96145" w:rsidRDefault="00C96145" w:rsidP="00AE5BDE">
      <w:pPr>
        <w:tabs>
          <w:tab w:val="left" w:pos="567"/>
        </w:tabs>
        <w:spacing w:line="300" w:lineRule="atLeast"/>
      </w:pPr>
      <w:r>
        <w:fldChar w:fldCharType="begin"/>
      </w:r>
      <w:r>
        <w:instrText xml:space="preserve"> AUTONUM  </w:instrText>
      </w:r>
      <w:r>
        <w:fldChar w:fldCharType="end"/>
      </w:r>
      <w:r>
        <w:tab/>
        <w:t xml:space="preserve">The proposal has also attracted positive comments from knowledgeable parties that did not put in a formal submission. Michael </w:t>
      </w:r>
      <w:proofErr w:type="spellStart"/>
      <w:r>
        <w:t>Littlewood</w:t>
      </w:r>
      <w:proofErr w:type="spellEnd"/>
      <w:r>
        <w:t>, a professor of tax at Auckland University, has said that the Government is right to seek to limit interest rates on related-party debts.</w:t>
      </w:r>
      <w:r>
        <w:rPr>
          <w:rStyle w:val="FootnoteReference"/>
        </w:rPr>
        <w:footnoteReference w:id="3"/>
      </w:r>
      <w:r>
        <w:t xml:space="preserve"> </w:t>
      </w:r>
    </w:p>
    <w:p w:rsidR="00C96145" w:rsidRDefault="00C96145" w:rsidP="00AE5BDE">
      <w:pPr>
        <w:tabs>
          <w:tab w:val="left" w:pos="567"/>
        </w:tabs>
        <w:spacing w:line="300" w:lineRule="atLeast"/>
      </w:pPr>
    </w:p>
    <w:p w:rsidR="00C96145" w:rsidRDefault="00C96145" w:rsidP="00AE5BDE">
      <w:pPr>
        <w:tabs>
          <w:tab w:val="left" w:pos="567"/>
        </w:tabs>
        <w:spacing w:line="300" w:lineRule="atLeast"/>
      </w:pPr>
      <w:r>
        <w:fldChar w:fldCharType="begin"/>
      </w:r>
      <w:r>
        <w:instrText xml:space="preserve"> AUTONUM  </w:instrText>
      </w:r>
      <w:r>
        <w:fldChar w:fldCharType="end"/>
      </w:r>
      <w:r>
        <w:tab/>
        <w:t>Richard Vann, a professor of tax at the University of Sydney, has made similar remarks – “transfer pricing has not proved up to the task of dealing with interest rates, so it is necessary to come up with clearer and simpler rules”.</w:t>
      </w:r>
      <w:r>
        <w:rPr>
          <w:rStyle w:val="FootnoteReference"/>
        </w:rPr>
        <w:footnoteReference w:id="4"/>
      </w:r>
      <w:r>
        <w:t xml:space="preserve"> </w:t>
      </w:r>
    </w:p>
    <w:p w:rsidR="00C96145" w:rsidRDefault="00C96145" w:rsidP="00AE5BDE">
      <w:pPr>
        <w:spacing w:line="300" w:lineRule="atLeast"/>
      </w:pPr>
    </w:p>
    <w:p w:rsidR="00C96145" w:rsidRDefault="00C96145" w:rsidP="00AE5BDE">
      <w:pPr>
        <w:pStyle w:val="Heading2"/>
        <w:spacing w:line="300" w:lineRule="atLeast"/>
      </w:pPr>
      <w:r w:rsidRPr="00DE6E93">
        <w:t>Submission</w:t>
      </w:r>
      <w:r>
        <w:t>: interest rate cap proposal should not proceed</w:t>
      </w:r>
    </w:p>
    <w:p w:rsidR="00C96145" w:rsidRDefault="00C96145" w:rsidP="00AE5BDE">
      <w:pPr>
        <w:tabs>
          <w:tab w:val="left" w:pos="567"/>
        </w:tabs>
        <w:spacing w:line="300" w:lineRule="atLeast"/>
      </w:pPr>
      <w:r>
        <w:fldChar w:fldCharType="begin"/>
      </w:r>
      <w:r>
        <w:instrText xml:space="preserve"> AUTONUM  </w:instrText>
      </w:r>
      <w:r>
        <w:fldChar w:fldCharType="end"/>
      </w:r>
      <w:r>
        <w:tab/>
        <w:t xml:space="preserve">Submitters argued that the interest rate cap proposal was not necessary and should not proceed. They noted that the Government, in the discussion document </w:t>
      </w:r>
      <w:r w:rsidRPr="007571FA">
        <w:rPr>
          <w:i/>
        </w:rPr>
        <w:t>BEPS – transfer pricing and permanent establishment avoidance</w:t>
      </w:r>
      <w:r>
        <w:t xml:space="preserve">, proposed to strengthen the transfer pricing rules generally.  Submitters wrote that these strengthened rules should be sufficient to address any concerns about interest rates.  </w:t>
      </w:r>
    </w:p>
    <w:p w:rsidR="00C96145" w:rsidRDefault="00C96145" w:rsidP="00AE5BDE">
      <w:pPr>
        <w:spacing w:line="300" w:lineRule="atLeast"/>
      </w:pPr>
    </w:p>
    <w:p w:rsidR="00C96145" w:rsidRDefault="00C96145" w:rsidP="00AE5BDE">
      <w:pPr>
        <w:pStyle w:val="Heading2"/>
        <w:spacing w:line="300" w:lineRule="atLeast"/>
      </w:pPr>
      <w:r>
        <w:t>Submission: concerns with design and impact of interest rate cap proposal</w:t>
      </w:r>
    </w:p>
    <w:p w:rsidR="00C96145" w:rsidRPr="00EA1AFD" w:rsidRDefault="00C96145" w:rsidP="00AE5BDE">
      <w:pPr>
        <w:spacing w:line="300" w:lineRule="atLeast"/>
      </w:pPr>
      <w:r w:rsidRPr="00EA1AFD">
        <w:fldChar w:fldCharType="begin"/>
      </w:r>
      <w:r w:rsidRPr="00EA1AFD">
        <w:instrText xml:space="preserve"> AUTONUM  </w:instrText>
      </w:r>
      <w:r w:rsidRPr="00EA1AFD">
        <w:fldChar w:fldCharType="end"/>
      </w:r>
      <w:r w:rsidRPr="00EA1AFD">
        <w:tab/>
        <w:t xml:space="preserve">Submitters expressed concern about the proposed interest rate cap for a number of reasons, including that it: </w:t>
      </w:r>
    </w:p>
    <w:p w:rsidR="00C96145" w:rsidRPr="00EA1AFD" w:rsidRDefault="00C96145" w:rsidP="00AE5BDE">
      <w:pPr>
        <w:spacing w:line="300" w:lineRule="atLeast"/>
      </w:pPr>
    </w:p>
    <w:p w:rsidR="00C96145" w:rsidRPr="00EA1AFD" w:rsidRDefault="00C96145" w:rsidP="00AE5BDE">
      <w:pPr>
        <w:numPr>
          <w:ilvl w:val="0"/>
          <w:numId w:val="45"/>
        </w:numPr>
        <w:spacing w:line="300" w:lineRule="atLeast"/>
      </w:pPr>
      <w:r w:rsidRPr="00EA1AFD">
        <w:t>is inconsistent with the arm’s length standard so would result in double taxation</w:t>
      </w:r>
      <w:r w:rsidR="00A7454B">
        <w:t>;</w:t>
      </w:r>
    </w:p>
    <w:p w:rsidR="00C96145" w:rsidRPr="00EA1AFD" w:rsidRDefault="00C96145" w:rsidP="00AE5BDE">
      <w:pPr>
        <w:numPr>
          <w:ilvl w:val="0"/>
          <w:numId w:val="45"/>
        </w:numPr>
        <w:spacing w:line="300" w:lineRule="atLeast"/>
      </w:pPr>
      <w:r w:rsidRPr="00EA1AFD">
        <w:t>will increase compliance costs</w:t>
      </w:r>
      <w:r w:rsidR="00A7454B">
        <w:t>;</w:t>
      </w:r>
    </w:p>
    <w:p w:rsidR="00C96145" w:rsidRPr="00EA1AFD" w:rsidRDefault="00C96145" w:rsidP="00AE5BDE">
      <w:pPr>
        <w:numPr>
          <w:ilvl w:val="0"/>
          <w:numId w:val="45"/>
        </w:numPr>
        <w:spacing w:line="300" w:lineRule="atLeast"/>
      </w:pPr>
      <w:r w:rsidRPr="00EA1AFD">
        <w:t>will apply to firms with a low BEPS risk</w:t>
      </w:r>
      <w:r w:rsidR="00A7454B">
        <w:t>; and</w:t>
      </w:r>
    </w:p>
    <w:p w:rsidR="00C96145" w:rsidRPr="00EA1AFD" w:rsidRDefault="00C96145" w:rsidP="00AE5BDE">
      <w:pPr>
        <w:numPr>
          <w:ilvl w:val="0"/>
          <w:numId w:val="45"/>
        </w:numPr>
        <w:spacing w:line="300" w:lineRule="atLeast"/>
      </w:pPr>
      <w:r w:rsidRPr="00EA1AFD">
        <w:t>has no international precedent</w:t>
      </w:r>
    </w:p>
    <w:p w:rsidR="00C96145" w:rsidRDefault="00C96145" w:rsidP="00AE5BDE">
      <w:pPr>
        <w:spacing w:line="300" w:lineRule="atLeast"/>
      </w:pPr>
    </w:p>
    <w:p w:rsidR="009104C7" w:rsidRDefault="009104C7" w:rsidP="00AE5BDE">
      <w:pPr>
        <w:pStyle w:val="Heading2"/>
        <w:spacing w:line="300" w:lineRule="atLeast"/>
      </w:pPr>
      <w:r>
        <w:t>Comment</w:t>
      </w:r>
    </w:p>
    <w:p w:rsidR="009104C7" w:rsidRDefault="009104C7" w:rsidP="00AE5BDE">
      <w:pPr>
        <w:tabs>
          <w:tab w:val="left" w:pos="567"/>
        </w:tabs>
        <w:spacing w:line="300" w:lineRule="atLeast"/>
      </w:pPr>
      <w:r>
        <w:fldChar w:fldCharType="begin"/>
      </w:r>
      <w:r>
        <w:instrText xml:space="preserve"> AUTONUM  </w:instrText>
      </w:r>
      <w:r>
        <w:fldChar w:fldCharType="end"/>
      </w:r>
      <w:r>
        <w:tab/>
        <w:t xml:space="preserve">We agree that transfer pricing, with the modifications proposed in the discussion document </w:t>
      </w:r>
      <w:r>
        <w:rPr>
          <w:i/>
        </w:rPr>
        <w:t>BEPS – Transfer pricing and permanent establishment avoidance</w:t>
      </w:r>
      <w:r>
        <w:t xml:space="preserve"> will limit the ability for taxpayers to use artificial or commercially irrational funding structures.  However, we remain concerned that these rules would not be adequate to prevent taxpayers from choosing to borrow from related-parties using higher-priced forms of debt than they would typically choose when borrowing from third parties. </w:t>
      </w:r>
    </w:p>
    <w:p w:rsidR="009104C7" w:rsidRPr="00C96145" w:rsidRDefault="009104C7" w:rsidP="00AE5BDE">
      <w:pPr>
        <w:spacing w:line="300" w:lineRule="atLeast"/>
      </w:pPr>
    </w:p>
    <w:p w:rsidR="00C96145" w:rsidRDefault="00C96145" w:rsidP="00AE5BDE">
      <w:pPr>
        <w:pStyle w:val="Numberparagraph"/>
        <w:numPr>
          <w:ilvl w:val="0"/>
          <w:numId w:val="0"/>
        </w:numPr>
        <w:spacing w:line="300" w:lineRule="atLeast"/>
      </w:pPr>
      <w:r w:rsidRPr="00EA1AFD">
        <w:fldChar w:fldCharType="begin"/>
      </w:r>
      <w:r w:rsidRPr="00EA1AFD">
        <w:instrText xml:space="preserve"> AUTONUM  </w:instrText>
      </w:r>
      <w:r w:rsidRPr="00EA1AFD">
        <w:fldChar w:fldCharType="end"/>
      </w:r>
      <w:r w:rsidRPr="00EA1AFD">
        <w:tab/>
      </w:r>
      <w:r>
        <w:t xml:space="preserve">We will report back with </w:t>
      </w:r>
      <w:r w:rsidR="009104C7">
        <w:t xml:space="preserve">our </w:t>
      </w:r>
      <w:r>
        <w:t>advice</w:t>
      </w:r>
      <w:r w:rsidR="009104C7">
        <w:t xml:space="preserve"> and recommendations in relation to these sub</w:t>
      </w:r>
      <w:r>
        <w:t xml:space="preserve">missions. </w:t>
      </w:r>
    </w:p>
    <w:p w:rsidR="00C96145" w:rsidRDefault="00C96145" w:rsidP="00AE5BDE">
      <w:pPr>
        <w:pStyle w:val="TRHeading1"/>
        <w:spacing w:line="300" w:lineRule="atLeast"/>
      </w:pPr>
      <w:r>
        <w:t>Non-debt liability adjustment</w:t>
      </w:r>
    </w:p>
    <w:p w:rsidR="00C96145" w:rsidRDefault="00C96145" w:rsidP="00AE5BDE">
      <w:pPr>
        <w:pStyle w:val="Heading2"/>
        <w:spacing w:line="300" w:lineRule="atLeast"/>
      </w:pPr>
      <w:r>
        <w:t>Summary of proposed rule</w:t>
      </w:r>
    </w:p>
    <w:p w:rsidR="00C96145" w:rsidRDefault="00C96145" w:rsidP="00AE5BDE">
      <w:pPr>
        <w:tabs>
          <w:tab w:val="left" w:pos="567"/>
        </w:tabs>
        <w:spacing w:line="300" w:lineRule="atLeast"/>
      </w:pPr>
      <w:r>
        <w:fldChar w:fldCharType="begin"/>
      </w:r>
      <w:r>
        <w:instrText xml:space="preserve"> AUTONUM  </w:instrText>
      </w:r>
      <w:r>
        <w:fldChar w:fldCharType="end"/>
      </w:r>
      <w:r>
        <w:tab/>
        <w:t xml:space="preserve">The thin capitalisation rules limit the amount of debt a taxpayer can claim interest deductions on in New Zealand (“deductible debt”). Currently, the maximum amount of deductible debt is set with reference to the value of the taxpayer’s assets (generally, debt up to 60 percent of the taxpayer’s assets is allowable). </w:t>
      </w:r>
    </w:p>
    <w:p w:rsidR="00C96145" w:rsidRDefault="00C96145" w:rsidP="00AE5BDE">
      <w:pPr>
        <w:tabs>
          <w:tab w:val="left" w:pos="567"/>
        </w:tabs>
        <w:spacing w:line="300" w:lineRule="atLeast"/>
      </w:pPr>
    </w:p>
    <w:p w:rsidR="00C96145" w:rsidRDefault="00C96145" w:rsidP="00AE5BDE">
      <w:pPr>
        <w:tabs>
          <w:tab w:val="left" w:pos="567"/>
        </w:tabs>
        <w:spacing w:line="300" w:lineRule="atLeast"/>
      </w:pPr>
      <w:r>
        <w:fldChar w:fldCharType="begin"/>
      </w:r>
      <w:r>
        <w:instrText xml:space="preserve"> AUTONUM  </w:instrText>
      </w:r>
      <w:r>
        <w:fldChar w:fldCharType="end"/>
      </w:r>
      <w:r>
        <w:tab/>
        <w:t>T</w:t>
      </w:r>
      <w:r w:rsidRPr="00F41016">
        <w:t xml:space="preserve">he </w:t>
      </w:r>
      <w:r>
        <w:t xml:space="preserve">interest limitation </w:t>
      </w:r>
      <w:r w:rsidRPr="00F41016">
        <w:t>discussion document proposed</w:t>
      </w:r>
      <w:r>
        <w:t xml:space="preserve"> changing this, so that a taxpayer’s maximum debt level is set with reference to the taxpayer’s assets net of its non-debt liabilities (i.e. its liabilities other than its interest</w:t>
      </w:r>
      <w:r w:rsidR="00A7454B">
        <w:t>-</w:t>
      </w:r>
      <w:r>
        <w:t xml:space="preserve">bearing debts). Some common examples of non-debt liabilities are accounts payable, reserves and provisions, and deferred tax liabilities. </w:t>
      </w:r>
    </w:p>
    <w:p w:rsidR="00C96145" w:rsidRDefault="00C96145" w:rsidP="00AE5BDE">
      <w:pPr>
        <w:tabs>
          <w:tab w:val="left" w:pos="567"/>
        </w:tabs>
        <w:spacing w:line="300" w:lineRule="atLeast"/>
      </w:pPr>
    </w:p>
    <w:p w:rsidR="00C96145" w:rsidRDefault="00C96145" w:rsidP="00AE5BDE">
      <w:pPr>
        <w:pStyle w:val="Heading2"/>
        <w:spacing w:line="300" w:lineRule="atLeast"/>
      </w:pPr>
      <w:r>
        <w:t>General reaction</w:t>
      </w:r>
    </w:p>
    <w:p w:rsidR="00C96145" w:rsidRPr="008F0B33" w:rsidRDefault="00C96145" w:rsidP="00AE5BDE">
      <w:pPr>
        <w:tabs>
          <w:tab w:val="left" w:pos="567"/>
        </w:tabs>
        <w:spacing w:line="300" w:lineRule="atLeast"/>
        <w:rPr>
          <w:b/>
          <w:i/>
        </w:rPr>
      </w:pPr>
      <w:r>
        <w:fldChar w:fldCharType="begin"/>
      </w:r>
      <w:r>
        <w:instrText xml:space="preserve"> AUTONUM  </w:instrText>
      </w:r>
      <w:r>
        <w:fldChar w:fldCharType="end"/>
      </w:r>
      <w:r>
        <w:t xml:space="preserve">  Several submitters (including CA </w:t>
      </w:r>
      <w:proofErr w:type="spellStart"/>
      <w:r>
        <w:t>ANZ</w:t>
      </w:r>
      <w:proofErr w:type="spellEnd"/>
      <w:r>
        <w:t xml:space="preserve">, </w:t>
      </w:r>
      <w:proofErr w:type="spellStart"/>
      <w:r>
        <w:t>EY</w:t>
      </w:r>
      <w:proofErr w:type="spellEnd"/>
      <w:r>
        <w:t xml:space="preserve"> and KPMG) indicated they supported the proposal in principle and understood the need for this change, raising only technical design issues (particularly relating to deferred tax). </w:t>
      </w:r>
    </w:p>
    <w:p w:rsidR="00C96145" w:rsidRDefault="00C96145" w:rsidP="00AE5BDE">
      <w:pPr>
        <w:tabs>
          <w:tab w:val="left" w:pos="567"/>
        </w:tabs>
        <w:spacing w:line="300" w:lineRule="atLeast"/>
      </w:pPr>
    </w:p>
    <w:p w:rsidR="00C96145" w:rsidRDefault="00C96145" w:rsidP="00AE5BDE">
      <w:pPr>
        <w:tabs>
          <w:tab w:val="left" w:pos="567"/>
        </w:tabs>
        <w:spacing w:line="300" w:lineRule="atLeast"/>
      </w:pPr>
      <w:r>
        <w:fldChar w:fldCharType="begin"/>
      </w:r>
      <w:r>
        <w:instrText xml:space="preserve"> AUTONUM  </w:instrText>
      </w:r>
      <w:r>
        <w:fldChar w:fldCharType="end"/>
      </w:r>
      <w:r>
        <w:tab/>
        <w:t xml:space="preserve">A number of other submitters (including </w:t>
      </w:r>
      <w:proofErr w:type="spellStart"/>
      <w:r>
        <w:t>CTG</w:t>
      </w:r>
      <w:proofErr w:type="spellEnd"/>
      <w:r>
        <w:t xml:space="preserve">, PwC and several submissions representing the infrastructure industry) argued that the proposal should not go ahead. They submitted that the proposed change would introduce volatility to taxpayers’ thin capitalisation calculations and is not relevant to BEPS.  They also wrote that the proposed exclusion of non-debt liabilities from assets would amount to a material reduction in the existing 60 percent safe harbour threshold. </w:t>
      </w:r>
    </w:p>
    <w:p w:rsidR="00C96145" w:rsidRDefault="00C96145" w:rsidP="00AE5BDE">
      <w:pPr>
        <w:pStyle w:val="Numberparagraph"/>
        <w:numPr>
          <w:ilvl w:val="0"/>
          <w:numId w:val="0"/>
        </w:numPr>
        <w:spacing w:line="300" w:lineRule="atLeast"/>
      </w:pPr>
    </w:p>
    <w:p w:rsidR="00C96145" w:rsidRDefault="00C96145" w:rsidP="00AE5BDE">
      <w:pPr>
        <w:pStyle w:val="Heading2"/>
        <w:spacing w:line="300" w:lineRule="atLeast"/>
      </w:pPr>
      <w:r>
        <w:t>Submission: deferred tax should be carved out</w:t>
      </w:r>
    </w:p>
    <w:p w:rsidR="00C96145" w:rsidRDefault="00C96145" w:rsidP="00AE5BDE">
      <w:pPr>
        <w:tabs>
          <w:tab w:val="left" w:pos="567"/>
        </w:tabs>
        <w:spacing w:line="300" w:lineRule="atLeast"/>
      </w:pPr>
      <w:r>
        <w:fldChar w:fldCharType="begin"/>
      </w:r>
      <w:r>
        <w:instrText xml:space="preserve"> AUTONUM  </w:instrText>
      </w:r>
      <w:r>
        <w:fldChar w:fldCharType="end"/>
      </w:r>
      <w:r>
        <w:tab/>
      </w:r>
      <w:r w:rsidRPr="005E7BA2">
        <w:t xml:space="preserve">To remove the </w:t>
      </w:r>
      <w:r>
        <w:t>mismatch</w:t>
      </w:r>
      <w:r w:rsidRPr="005E7BA2">
        <w:t xml:space="preserve"> between income tax calculated on taxable profits and income tax calculated on profits recognised for accounting purposes, deferred tax balances are recognised in financial statements.</w:t>
      </w:r>
      <w:r>
        <w:t xml:space="preserve">  As such, a</w:t>
      </w:r>
      <w:r w:rsidRPr="005E7BA2">
        <w:t xml:space="preserve"> taxpayer’s non-debt liabilities could include “deferred tax liabilities”</w:t>
      </w:r>
      <w:r>
        <w:t>, which arise when accounting profits are greater than profits for tax purposes.  Similarly, a taxpayer’s assets could include “deferred tax assets” which arise when profit for tax purposes is greater than accounting profit.</w:t>
      </w:r>
      <w:r w:rsidRPr="006926DD">
        <w:t xml:space="preserve"> </w:t>
      </w:r>
    </w:p>
    <w:p w:rsidR="00C96145" w:rsidRDefault="00C96145" w:rsidP="00AE5BDE">
      <w:pPr>
        <w:tabs>
          <w:tab w:val="left" w:pos="567"/>
        </w:tabs>
        <w:spacing w:line="300" w:lineRule="atLeast"/>
      </w:pPr>
    </w:p>
    <w:p w:rsidR="00C96145" w:rsidRDefault="00C96145" w:rsidP="00AE5BDE">
      <w:pPr>
        <w:tabs>
          <w:tab w:val="left" w:pos="567"/>
        </w:tabs>
        <w:spacing w:line="300" w:lineRule="atLeast"/>
      </w:pPr>
      <w:r>
        <w:fldChar w:fldCharType="begin"/>
      </w:r>
      <w:r>
        <w:instrText xml:space="preserve"> AUTONUM  </w:instrText>
      </w:r>
      <w:r>
        <w:fldChar w:fldCharType="end"/>
      </w:r>
      <w:r>
        <w:tab/>
        <w:t>All submitters that commented on this proposal were of the view that, for the purposes of the non-debt liability adjustment, these deferred tax liabilities should be ignored. Submitters also wrote that deferred tax assets should be excluded from assets. That is, a taxpayer’s assets for thin capitalisation purposes would be: (assets – deferred tax assets) – (non-debt liabilities – deferred tax liabilities).</w:t>
      </w:r>
    </w:p>
    <w:p w:rsidR="00C96145" w:rsidRDefault="00C96145" w:rsidP="00AE5BDE">
      <w:pPr>
        <w:tabs>
          <w:tab w:val="left" w:pos="567"/>
        </w:tabs>
        <w:spacing w:line="300" w:lineRule="atLeast"/>
      </w:pPr>
    </w:p>
    <w:p w:rsidR="00C96145" w:rsidRDefault="00C96145" w:rsidP="00AE5BDE">
      <w:pPr>
        <w:tabs>
          <w:tab w:val="left" w:pos="567"/>
        </w:tabs>
        <w:spacing w:line="300" w:lineRule="atLeast"/>
      </w:pPr>
      <w:r>
        <w:fldChar w:fldCharType="begin"/>
      </w:r>
      <w:r>
        <w:instrText xml:space="preserve"> AUTONUM  </w:instrText>
      </w:r>
      <w:r>
        <w:fldChar w:fldCharType="end"/>
      </w:r>
      <w:r>
        <w:tab/>
        <w:t>Submitters noted that Australia’s thin capitalisation rules feature this adjustment for deferred tax. They argued that our rules should feature a similar adjustment because:</w:t>
      </w:r>
    </w:p>
    <w:p w:rsidR="00C96145" w:rsidRPr="00C96145" w:rsidRDefault="00C96145" w:rsidP="00AE5BDE">
      <w:pPr>
        <w:tabs>
          <w:tab w:val="left" w:pos="567"/>
        </w:tabs>
        <w:spacing w:line="300" w:lineRule="atLeast"/>
        <w:rPr>
          <w:szCs w:val="24"/>
        </w:rPr>
      </w:pPr>
    </w:p>
    <w:p w:rsidR="00C96145" w:rsidRPr="009104C7" w:rsidRDefault="00C96145" w:rsidP="00AE5BDE">
      <w:pPr>
        <w:pStyle w:val="ListParagraph"/>
        <w:numPr>
          <w:ilvl w:val="0"/>
          <w:numId w:val="46"/>
        </w:numPr>
        <w:tabs>
          <w:tab w:val="left" w:pos="567"/>
        </w:tabs>
        <w:spacing w:after="0" w:line="300" w:lineRule="atLeast"/>
        <w:jc w:val="both"/>
        <w:rPr>
          <w:rFonts w:ascii="Times New Roman" w:hAnsi="Times New Roman"/>
          <w:sz w:val="24"/>
          <w:szCs w:val="24"/>
        </w:rPr>
      </w:pPr>
      <w:r w:rsidRPr="009104C7">
        <w:rPr>
          <w:rFonts w:ascii="Times New Roman" w:hAnsi="Times New Roman"/>
          <w:sz w:val="24"/>
          <w:szCs w:val="24"/>
        </w:rPr>
        <w:t>often deferred tax does not represent a real cash liability the company has to pay in the future</w:t>
      </w:r>
      <w:r w:rsidR="00A7454B">
        <w:rPr>
          <w:rFonts w:ascii="Times New Roman" w:hAnsi="Times New Roman"/>
          <w:sz w:val="24"/>
          <w:szCs w:val="24"/>
        </w:rPr>
        <w:t>;</w:t>
      </w:r>
    </w:p>
    <w:p w:rsidR="00C96145" w:rsidRPr="009104C7" w:rsidRDefault="00C96145" w:rsidP="00AE5BDE">
      <w:pPr>
        <w:pStyle w:val="ListParagraph"/>
        <w:numPr>
          <w:ilvl w:val="0"/>
          <w:numId w:val="46"/>
        </w:numPr>
        <w:tabs>
          <w:tab w:val="left" w:pos="567"/>
        </w:tabs>
        <w:spacing w:after="0" w:line="300" w:lineRule="atLeast"/>
        <w:jc w:val="both"/>
        <w:rPr>
          <w:rFonts w:ascii="Times New Roman" w:hAnsi="Times New Roman"/>
          <w:sz w:val="24"/>
          <w:szCs w:val="24"/>
        </w:rPr>
      </w:pPr>
      <w:r w:rsidRPr="009104C7">
        <w:rPr>
          <w:rFonts w:ascii="Times New Roman" w:hAnsi="Times New Roman"/>
          <w:sz w:val="24"/>
          <w:szCs w:val="24"/>
        </w:rPr>
        <w:t>deferred tax balances are ignored when third-parties (including third-party lenders) are assessing the financial position of an entity;</w:t>
      </w:r>
      <w:r w:rsidR="00A7454B">
        <w:rPr>
          <w:rFonts w:ascii="Times New Roman" w:hAnsi="Times New Roman"/>
          <w:sz w:val="24"/>
          <w:szCs w:val="24"/>
        </w:rPr>
        <w:t xml:space="preserve"> and</w:t>
      </w:r>
    </w:p>
    <w:p w:rsidR="00C96145" w:rsidRDefault="00C96145" w:rsidP="00AE5BDE">
      <w:pPr>
        <w:pStyle w:val="ListParagraph"/>
        <w:numPr>
          <w:ilvl w:val="0"/>
          <w:numId w:val="46"/>
        </w:numPr>
        <w:tabs>
          <w:tab w:val="left" w:pos="567"/>
        </w:tabs>
        <w:spacing w:after="0" w:line="300" w:lineRule="atLeast"/>
        <w:jc w:val="both"/>
        <w:rPr>
          <w:rFonts w:ascii="Times New Roman" w:hAnsi="Times New Roman"/>
          <w:sz w:val="24"/>
          <w:szCs w:val="24"/>
        </w:rPr>
      </w:pPr>
      <w:proofErr w:type="gramStart"/>
      <w:r w:rsidRPr="009104C7">
        <w:rPr>
          <w:rFonts w:ascii="Times New Roman" w:hAnsi="Times New Roman"/>
          <w:sz w:val="24"/>
          <w:szCs w:val="24"/>
        </w:rPr>
        <w:t>deferred</w:t>
      </w:r>
      <w:proofErr w:type="gramEnd"/>
      <w:r w:rsidRPr="009104C7">
        <w:rPr>
          <w:rFonts w:ascii="Times New Roman" w:hAnsi="Times New Roman"/>
          <w:sz w:val="24"/>
          <w:szCs w:val="24"/>
        </w:rPr>
        <w:t xml:space="preserve"> tax balances can be volatile – taxpayer thin capitalisation levels could become volatile without excluding them</w:t>
      </w:r>
      <w:r w:rsidR="00811A1E">
        <w:rPr>
          <w:rFonts w:ascii="Times New Roman" w:hAnsi="Times New Roman"/>
          <w:sz w:val="24"/>
          <w:szCs w:val="24"/>
        </w:rPr>
        <w:t>.</w:t>
      </w:r>
    </w:p>
    <w:p w:rsidR="009104C7" w:rsidRDefault="009104C7" w:rsidP="00AE5BDE">
      <w:pPr>
        <w:pStyle w:val="ListParagraph"/>
        <w:tabs>
          <w:tab w:val="left" w:pos="567"/>
        </w:tabs>
        <w:spacing w:after="0" w:line="300" w:lineRule="atLeast"/>
        <w:ind w:left="927"/>
        <w:jc w:val="both"/>
        <w:rPr>
          <w:rFonts w:ascii="Times New Roman" w:hAnsi="Times New Roman"/>
          <w:sz w:val="24"/>
          <w:szCs w:val="24"/>
        </w:rPr>
      </w:pPr>
    </w:p>
    <w:p w:rsidR="009104C7" w:rsidRDefault="009104C7" w:rsidP="00AE5BDE">
      <w:pPr>
        <w:pStyle w:val="Heading2"/>
        <w:spacing w:line="300" w:lineRule="atLeast"/>
      </w:pPr>
      <w:r>
        <w:t>Comment</w:t>
      </w:r>
    </w:p>
    <w:p w:rsidR="009104C7" w:rsidRPr="009104C7" w:rsidRDefault="009104C7" w:rsidP="00AE5BDE">
      <w:pPr>
        <w:spacing w:line="300" w:lineRule="atLeast"/>
      </w:pPr>
      <w:r w:rsidRPr="009104C7">
        <w:fldChar w:fldCharType="begin"/>
      </w:r>
      <w:r w:rsidRPr="009104C7">
        <w:instrText xml:space="preserve"> AUTONUM  </w:instrText>
      </w:r>
      <w:r w:rsidRPr="009104C7">
        <w:fldChar w:fldCharType="end"/>
      </w:r>
      <w:r>
        <w:tab/>
        <w:t xml:space="preserve">We have considered these submissions carefully, including discussing them with the agency in charge of setting accounting standards in New Zealand (the External Reporting Board or </w:t>
      </w:r>
      <w:proofErr w:type="spellStart"/>
      <w:r>
        <w:t>XRB</w:t>
      </w:r>
      <w:proofErr w:type="spellEnd"/>
      <w:r>
        <w:t>) and the Australian Treasury.</w:t>
      </w:r>
      <w:r w:rsidR="00CB6158">
        <w:t xml:space="preserve">  Our report next week will provide you with advice and recommendations on this issue.</w:t>
      </w:r>
    </w:p>
    <w:p w:rsidR="008E6657" w:rsidRDefault="008E6657" w:rsidP="00AE5BDE">
      <w:pPr>
        <w:pStyle w:val="TRHeading1"/>
        <w:spacing w:line="300" w:lineRule="atLeast"/>
      </w:pPr>
      <w:r>
        <w:t>PE avoidance</w:t>
      </w:r>
    </w:p>
    <w:p w:rsidR="008E6657" w:rsidRDefault="008E6657" w:rsidP="00AE5BDE">
      <w:pPr>
        <w:pStyle w:val="Numberparagraph"/>
        <w:numPr>
          <w:ilvl w:val="0"/>
          <w:numId w:val="0"/>
        </w:numPr>
        <w:spacing w:line="300" w:lineRule="atLeast"/>
        <w:ind w:left="360" w:hanging="360"/>
      </w:pPr>
      <w:r>
        <w:rPr>
          <w:b/>
        </w:rPr>
        <w:t>Summary of proposed rule</w:t>
      </w:r>
      <w:r>
        <w:t xml:space="preserve"> </w:t>
      </w:r>
    </w:p>
    <w:p w:rsidR="008E6657" w:rsidRDefault="008E6657" w:rsidP="00AE5BDE">
      <w:pPr>
        <w:pStyle w:val="TRNormal"/>
        <w:tabs>
          <w:tab w:val="left" w:pos="567"/>
        </w:tabs>
      </w:pPr>
      <w:r>
        <w:t xml:space="preserve"> </w:t>
      </w:r>
    </w:p>
    <w:p w:rsidR="008E6657" w:rsidRDefault="00CD252D" w:rsidP="00AE5BDE">
      <w:pPr>
        <w:pStyle w:val="TRNormal"/>
        <w:tabs>
          <w:tab w:val="left" w:pos="567"/>
        </w:tabs>
      </w:pPr>
      <w:r>
        <w:fldChar w:fldCharType="begin"/>
      </w:r>
      <w:r>
        <w:instrText xml:space="preserve"> AUTONUM  </w:instrText>
      </w:r>
      <w:r>
        <w:fldChar w:fldCharType="end"/>
      </w:r>
      <w:r>
        <w:tab/>
      </w:r>
      <w:r w:rsidR="008E6657">
        <w:t xml:space="preserve">Where a DTA applies, New Zealand is only able to tax a non-resident on its income from sales to New Zealand customers if the non-resident has a PE in New Zealand.  The discussion document proposed a rule to prevent non-residents from structuring their affairs to avoid having such a permanent establishment in New Zealand where one exists in substance.    </w:t>
      </w:r>
    </w:p>
    <w:p w:rsidR="008E6657" w:rsidRDefault="008E6657" w:rsidP="00AE5BDE">
      <w:pPr>
        <w:pStyle w:val="Numberparagraph"/>
        <w:numPr>
          <w:ilvl w:val="0"/>
          <w:numId w:val="0"/>
        </w:numPr>
        <w:spacing w:line="300" w:lineRule="atLeast"/>
        <w:rPr>
          <w:b/>
        </w:rPr>
      </w:pPr>
    </w:p>
    <w:p w:rsidR="008E6657" w:rsidRPr="00E76017" w:rsidRDefault="008E6657" w:rsidP="00AE5BDE">
      <w:pPr>
        <w:pStyle w:val="Numberparagraph"/>
        <w:numPr>
          <w:ilvl w:val="0"/>
          <w:numId w:val="0"/>
        </w:numPr>
        <w:spacing w:line="300" w:lineRule="atLeast"/>
        <w:ind w:left="360" w:hanging="360"/>
        <w:rPr>
          <w:b/>
        </w:rPr>
      </w:pPr>
      <w:r>
        <w:rPr>
          <w:b/>
        </w:rPr>
        <w:t xml:space="preserve">General reaction </w:t>
      </w:r>
    </w:p>
    <w:p w:rsidR="008E6657" w:rsidRDefault="008E6657" w:rsidP="00AE5BDE">
      <w:pPr>
        <w:pStyle w:val="Numberparagraph"/>
        <w:numPr>
          <w:ilvl w:val="0"/>
          <w:numId w:val="0"/>
        </w:numPr>
        <w:spacing w:line="300" w:lineRule="atLeast"/>
        <w:ind w:left="567"/>
      </w:pPr>
      <w:r>
        <w:t xml:space="preserve"> </w:t>
      </w:r>
    </w:p>
    <w:p w:rsidR="008E6657" w:rsidRDefault="00CD252D" w:rsidP="00AE5BDE">
      <w:pPr>
        <w:pStyle w:val="Numberparagraph"/>
        <w:numPr>
          <w:ilvl w:val="0"/>
          <w:numId w:val="0"/>
        </w:numPr>
        <w:spacing w:line="300" w:lineRule="atLeast"/>
      </w:pPr>
      <w:r>
        <w:fldChar w:fldCharType="begin"/>
      </w:r>
      <w:r>
        <w:instrText xml:space="preserve"> AUTONUM  </w:instrText>
      </w:r>
      <w:r>
        <w:fldChar w:fldCharType="end"/>
      </w:r>
      <w:r>
        <w:tab/>
      </w:r>
      <w:r w:rsidR="008E6657">
        <w:t xml:space="preserve">Submitters were not strongly opposed to a new PE rule in principle, with </w:t>
      </w:r>
      <w:r w:rsidR="00811A1E">
        <w:t>two</w:t>
      </w:r>
      <w:r w:rsidR="008E6657">
        <w:t xml:space="preserve"> submitters supporting the proposal (Oxfam, </w:t>
      </w:r>
      <w:proofErr w:type="spellStart"/>
      <w:r w:rsidR="008E6657">
        <w:t>NZCTU</w:t>
      </w:r>
      <w:proofErr w:type="spellEnd"/>
      <w:r w:rsidR="008E6657">
        <w:t>) and the remainder mostly accepting the need (or inevitability) for some form of PE avoidance rule.  However</w:t>
      </w:r>
      <w:r w:rsidR="00811A1E">
        <w:t>,</w:t>
      </w:r>
      <w:r w:rsidR="008E6657">
        <w:t xml:space="preserve"> </w:t>
      </w:r>
      <w:r w:rsidR="00811A1E">
        <w:t>seven</w:t>
      </w:r>
      <w:r w:rsidR="008E6657">
        <w:t xml:space="preserve"> submitters considered that we should not adopt any PE avoidance rule at this stage.  These submitters argued that:</w:t>
      </w:r>
    </w:p>
    <w:p w:rsidR="008E6657" w:rsidRDefault="008E6657" w:rsidP="00AE5BDE">
      <w:pPr>
        <w:pStyle w:val="Numberparagraph"/>
        <w:numPr>
          <w:ilvl w:val="0"/>
          <w:numId w:val="0"/>
        </w:numPr>
        <w:spacing w:line="300" w:lineRule="atLeast"/>
        <w:ind w:left="720"/>
      </w:pPr>
      <w:r>
        <w:t xml:space="preserve"> </w:t>
      </w:r>
    </w:p>
    <w:p w:rsidR="008E6657" w:rsidRPr="00F327A6" w:rsidRDefault="008E6657" w:rsidP="00AE5BDE">
      <w:pPr>
        <w:numPr>
          <w:ilvl w:val="0"/>
          <w:numId w:val="40"/>
        </w:numPr>
        <w:spacing w:line="300" w:lineRule="atLeast"/>
        <w:ind w:left="927"/>
        <w:contextualSpacing/>
        <w:rPr>
          <w:rFonts w:eastAsiaTheme="minorEastAsia"/>
          <w:lang w:eastAsia="en-US"/>
        </w:rPr>
      </w:pPr>
      <w:r w:rsidRPr="00E25AAA">
        <w:rPr>
          <w:rFonts w:eastAsiaTheme="minorEastAsia"/>
          <w:lang w:eastAsia="en-US"/>
        </w:rPr>
        <w:t>The OECD’s Multilateral Instrument (MLI)</w:t>
      </w:r>
      <w:r w:rsidRPr="00E25AAA">
        <w:rPr>
          <w:rFonts w:eastAsiaTheme="minorEastAsia"/>
          <w:vertAlign w:val="superscript"/>
          <w:lang w:eastAsia="en-US"/>
        </w:rPr>
        <w:footnoteReference w:id="5"/>
      </w:r>
      <w:r w:rsidRPr="00E25AAA">
        <w:rPr>
          <w:rFonts w:eastAsiaTheme="minorEastAsia"/>
          <w:lang w:eastAsia="en-US"/>
        </w:rPr>
        <w:t xml:space="preserve"> includes a widened definition of a PE. Any PE avoidance issues should be addressed under this.  Alternately we should defer consideration of a PE avoidance rule until the impact of the OECD’s BEPS measures has been determined (</w:t>
      </w:r>
      <w:proofErr w:type="spellStart"/>
      <w:r w:rsidRPr="00E25AAA">
        <w:rPr>
          <w:rFonts w:eastAsiaTheme="minorEastAsia"/>
          <w:lang w:eastAsia="en-US"/>
        </w:rPr>
        <w:t>EY</w:t>
      </w:r>
      <w:proofErr w:type="spellEnd"/>
      <w:r w:rsidRPr="00E25AAA">
        <w:rPr>
          <w:rFonts w:eastAsiaTheme="minorEastAsia"/>
          <w:lang w:eastAsia="en-US"/>
        </w:rPr>
        <w:t xml:space="preserve">, </w:t>
      </w:r>
      <w:proofErr w:type="spellStart"/>
      <w:r w:rsidRPr="00E25AAA">
        <w:rPr>
          <w:rFonts w:eastAsiaTheme="minorEastAsia"/>
          <w:lang w:eastAsia="en-US"/>
        </w:rPr>
        <w:t>AmCham</w:t>
      </w:r>
      <w:proofErr w:type="spellEnd"/>
      <w:r w:rsidRPr="00E25AAA">
        <w:rPr>
          <w:rFonts w:eastAsiaTheme="minorEastAsia"/>
          <w:lang w:eastAsia="en-US"/>
        </w:rPr>
        <w:t xml:space="preserve">, </w:t>
      </w:r>
      <w:proofErr w:type="spellStart"/>
      <w:r w:rsidRPr="00E25AAA">
        <w:rPr>
          <w:rFonts w:eastAsiaTheme="minorEastAsia"/>
          <w:lang w:eastAsia="en-US"/>
        </w:rPr>
        <w:t>DEG</w:t>
      </w:r>
      <w:proofErr w:type="spellEnd"/>
      <w:r w:rsidRPr="00E25AAA">
        <w:rPr>
          <w:rFonts w:eastAsiaTheme="minorEastAsia"/>
          <w:lang w:eastAsia="en-US"/>
        </w:rPr>
        <w:t xml:space="preserve">, </w:t>
      </w:r>
      <w:proofErr w:type="gramStart"/>
      <w:r w:rsidRPr="00E25AAA">
        <w:rPr>
          <w:rFonts w:eastAsiaTheme="minorEastAsia"/>
          <w:lang w:eastAsia="en-US"/>
        </w:rPr>
        <w:t>CA</w:t>
      </w:r>
      <w:proofErr w:type="gramEnd"/>
      <w:r w:rsidRPr="00E25AAA">
        <w:rPr>
          <w:rFonts w:eastAsiaTheme="minorEastAsia"/>
          <w:lang w:eastAsia="en-US"/>
        </w:rPr>
        <w:t xml:space="preserve"> </w:t>
      </w:r>
      <w:proofErr w:type="spellStart"/>
      <w:r w:rsidRPr="00E25AAA">
        <w:rPr>
          <w:rFonts w:eastAsiaTheme="minorEastAsia"/>
          <w:lang w:eastAsia="en-US"/>
        </w:rPr>
        <w:t>ANZ</w:t>
      </w:r>
      <w:proofErr w:type="spellEnd"/>
      <w:r w:rsidRPr="00E25AAA">
        <w:rPr>
          <w:rFonts w:eastAsiaTheme="minorEastAsia"/>
          <w:lang w:eastAsia="en-US"/>
        </w:rPr>
        <w:t>).</w:t>
      </w:r>
    </w:p>
    <w:p w:rsidR="008E6657" w:rsidRPr="00F327A6" w:rsidRDefault="008E6657" w:rsidP="00AE5BDE">
      <w:pPr>
        <w:spacing w:line="300" w:lineRule="atLeast"/>
        <w:ind w:left="927"/>
        <w:contextualSpacing/>
        <w:rPr>
          <w:rFonts w:eastAsiaTheme="minorEastAsia"/>
          <w:lang w:eastAsia="en-US"/>
        </w:rPr>
      </w:pPr>
    </w:p>
    <w:p w:rsidR="008E6657" w:rsidRPr="00A705D0" w:rsidRDefault="008E6657" w:rsidP="00AE5BDE">
      <w:pPr>
        <w:numPr>
          <w:ilvl w:val="0"/>
          <w:numId w:val="40"/>
        </w:numPr>
        <w:spacing w:line="300" w:lineRule="atLeast"/>
        <w:ind w:left="927"/>
        <w:contextualSpacing/>
        <w:rPr>
          <w:rFonts w:eastAsiaTheme="minorEastAsia"/>
          <w:lang w:eastAsia="en-US"/>
        </w:rPr>
      </w:pPr>
      <w:r>
        <w:rPr>
          <w:rFonts w:eastAsiaTheme="minorEastAsia"/>
          <w:lang w:eastAsia="en-US"/>
        </w:rPr>
        <w:t>The rule is unnecessary, as any current issues with PE avoidance can be addressed through our transfer pricing rules (</w:t>
      </w:r>
      <w:proofErr w:type="spellStart"/>
      <w:r>
        <w:rPr>
          <w:rFonts w:eastAsiaTheme="minorEastAsia"/>
          <w:lang w:eastAsia="en-US"/>
        </w:rPr>
        <w:t>NZLS</w:t>
      </w:r>
      <w:proofErr w:type="spellEnd"/>
      <w:r>
        <w:rPr>
          <w:rFonts w:eastAsiaTheme="minorEastAsia"/>
          <w:lang w:eastAsia="en-US"/>
        </w:rPr>
        <w:t xml:space="preserve">, </w:t>
      </w:r>
      <w:proofErr w:type="spellStart"/>
      <w:r>
        <w:rPr>
          <w:rFonts w:eastAsiaTheme="minorEastAsia"/>
          <w:lang w:eastAsia="en-US"/>
        </w:rPr>
        <w:t>DEG</w:t>
      </w:r>
      <w:proofErr w:type="spellEnd"/>
      <w:r>
        <w:rPr>
          <w:rFonts w:eastAsiaTheme="minorEastAsia"/>
          <w:lang w:eastAsia="en-US"/>
        </w:rPr>
        <w:t xml:space="preserve">, </w:t>
      </w:r>
      <w:proofErr w:type="gramStart"/>
      <w:r>
        <w:rPr>
          <w:rFonts w:eastAsiaTheme="minorEastAsia"/>
          <w:lang w:eastAsia="en-US"/>
        </w:rPr>
        <w:t>CA</w:t>
      </w:r>
      <w:proofErr w:type="gramEnd"/>
      <w:r>
        <w:rPr>
          <w:rFonts w:eastAsiaTheme="minorEastAsia"/>
          <w:lang w:eastAsia="en-US"/>
        </w:rPr>
        <w:t xml:space="preserve"> </w:t>
      </w:r>
      <w:proofErr w:type="spellStart"/>
      <w:r>
        <w:rPr>
          <w:rFonts w:eastAsiaTheme="minorEastAsia"/>
          <w:lang w:eastAsia="en-US"/>
        </w:rPr>
        <w:t>ANZ</w:t>
      </w:r>
      <w:proofErr w:type="spellEnd"/>
      <w:r>
        <w:rPr>
          <w:rFonts w:eastAsiaTheme="minorEastAsia"/>
          <w:lang w:eastAsia="en-US"/>
        </w:rPr>
        <w:t>).</w:t>
      </w:r>
    </w:p>
    <w:p w:rsidR="008E6657" w:rsidRPr="00A705D0" w:rsidRDefault="008E6657" w:rsidP="00AE5BDE">
      <w:pPr>
        <w:spacing w:line="300" w:lineRule="atLeast"/>
        <w:ind w:left="927"/>
        <w:contextualSpacing/>
        <w:rPr>
          <w:rFonts w:eastAsiaTheme="minorEastAsia"/>
          <w:lang w:eastAsia="en-US"/>
        </w:rPr>
      </w:pPr>
    </w:p>
    <w:p w:rsidR="00CB6158" w:rsidRPr="00CB6158" w:rsidRDefault="008E6657" w:rsidP="00AE5BDE">
      <w:pPr>
        <w:numPr>
          <w:ilvl w:val="0"/>
          <w:numId w:val="40"/>
        </w:numPr>
        <w:spacing w:line="300" w:lineRule="atLeast"/>
        <w:ind w:left="927"/>
        <w:contextualSpacing/>
        <w:rPr>
          <w:rFonts w:eastAsiaTheme="minorEastAsia"/>
          <w:lang w:eastAsia="en-US"/>
        </w:rPr>
      </w:pPr>
      <w:r>
        <w:rPr>
          <w:rFonts w:eastAsiaTheme="minorEastAsia"/>
          <w:lang w:eastAsia="en-US"/>
        </w:rPr>
        <w:t>The rule will apply to non-abusive transactions, is outside the OECD’s BEPS initiatives and will erode taxpayer certainty (</w:t>
      </w:r>
      <w:proofErr w:type="spellStart"/>
      <w:r>
        <w:rPr>
          <w:rFonts w:eastAsiaTheme="minorEastAsia"/>
          <w:lang w:eastAsia="en-US"/>
        </w:rPr>
        <w:t>CTG</w:t>
      </w:r>
      <w:proofErr w:type="spellEnd"/>
      <w:r>
        <w:rPr>
          <w:rFonts w:eastAsiaTheme="minorEastAsia"/>
          <w:lang w:eastAsia="en-US"/>
        </w:rPr>
        <w:t xml:space="preserve">, </w:t>
      </w:r>
      <w:proofErr w:type="spellStart"/>
      <w:r>
        <w:rPr>
          <w:rFonts w:eastAsiaTheme="minorEastAsia"/>
          <w:lang w:eastAsia="en-US"/>
        </w:rPr>
        <w:t>NFTC</w:t>
      </w:r>
      <w:proofErr w:type="spellEnd"/>
      <w:r>
        <w:rPr>
          <w:rFonts w:eastAsiaTheme="minorEastAsia"/>
          <w:lang w:eastAsia="en-US"/>
        </w:rPr>
        <w:t xml:space="preserve">, </w:t>
      </w:r>
      <w:proofErr w:type="gramStart"/>
      <w:r>
        <w:rPr>
          <w:rFonts w:eastAsiaTheme="minorEastAsia"/>
          <w:lang w:eastAsia="en-US"/>
        </w:rPr>
        <w:t>Deloitte</w:t>
      </w:r>
      <w:proofErr w:type="gramEnd"/>
      <w:r>
        <w:rPr>
          <w:rFonts w:eastAsiaTheme="minorEastAsia"/>
          <w:lang w:eastAsia="en-US"/>
        </w:rPr>
        <w:t>).</w:t>
      </w:r>
    </w:p>
    <w:p w:rsidR="00A7454B" w:rsidRDefault="00A7454B" w:rsidP="00C94CFC">
      <w:pPr>
        <w:pStyle w:val="Numberparagraph"/>
        <w:numPr>
          <w:ilvl w:val="0"/>
          <w:numId w:val="0"/>
        </w:numPr>
        <w:spacing w:line="300" w:lineRule="atLeast"/>
      </w:pPr>
    </w:p>
    <w:p w:rsidR="008E6657" w:rsidRDefault="008E6657" w:rsidP="00AE5BDE">
      <w:pPr>
        <w:pStyle w:val="Numberparagraph"/>
        <w:numPr>
          <w:ilvl w:val="0"/>
          <w:numId w:val="0"/>
        </w:numPr>
        <w:spacing w:line="300" w:lineRule="atLeast"/>
        <w:rPr>
          <w:b/>
        </w:rPr>
      </w:pPr>
      <w:r>
        <w:rPr>
          <w:b/>
        </w:rPr>
        <w:t>Threshold for the application of the new measures</w:t>
      </w:r>
    </w:p>
    <w:p w:rsidR="008E6657" w:rsidRDefault="00A7246F" w:rsidP="00AE5BDE">
      <w:pPr>
        <w:pStyle w:val="Numberparagraph"/>
        <w:numPr>
          <w:ilvl w:val="0"/>
          <w:numId w:val="0"/>
        </w:numPr>
        <w:spacing w:line="300" w:lineRule="atLeast"/>
      </w:pPr>
      <w:r>
        <w:br/>
      </w:r>
      <w:r w:rsidR="00CD252D">
        <w:fldChar w:fldCharType="begin"/>
      </w:r>
      <w:r w:rsidR="00CD252D">
        <w:instrText xml:space="preserve"> AUTONUM  </w:instrText>
      </w:r>
      <w:r w:rsidR="00CD252D">
        <w:fldChar w:fldCharType="end"/>
      </w:r>
      <w:r w:rsidR="00CD252D">
        <w:tab/>
      </w:r>
      <w:r w:rsidR="008E6657">
        <w:t>A majority of submitters (</w:t>
      </w:r>
      <w:proofErr w:type="spellStart"/>
      <w:r w:rsidR="008E6657">
        <w:t>EY</w:t>
      </w:r>
      <w:proofErr w:type="spellEnd"/>
      <w:r w:rsidR="008E6657">
        <w:t xml:space="preserve">, </w:t>
      </w:r>
      <w:proofErr w:type="spellStart"/>
      <w:r w:rsidR="008E6657">
        <w:t>NFTC</w:t>
      </w:r>
      <w:proofErr w:type="spellEnd"/>
      <w:r w:rsidR="008E6657">
        <w:t xml:space="preserve">, </w:t>
      </w:r>
      <w:proofErr w:type="spellStart"/>
      <w:r w:rsidR="008E6657">
        <w:t>DEG</w:t>
      </w:r>
      <w:proofErr w:type="spellEnd"/>
      <w:r w:rsidR="008E6657">
        <w:t xml:space="preserve">, Deloitte, </w:t>
      </w:r>
      <w:proofErr w:type="spellStart"/>
      <w:r w:rsidR="008E6657">
        <w:t>CTG</w:t>
      </w:r>
      <w:proofErr w:type="spellEnd"/>
      <w:r w:rsidR="008E6657">
        <w:t xml:space="preserve"> CA </w:t>
      </w:r>
      <w:proofErr w:type="spellStart"/>
      <w:r w:rsidR="008E6657">
        <w:t>ANZ</w:t>
      </w:r>
      <w:proofErr w:type="spellEnd"/>
      <w:r w:rsidR="008E6657">
        <w:t xml:space="preserve">, PwC, KPMG, </w:t>
      </w:r>
      <w:proofErr w:type="gramStart"/>
      <w:r w:rsidR="008E6657">
        <w:t>Russell</w:t>
      </w:r>
      <w:proofErr w:type="gramEnd"/>
      <w:r w:rsidR="008E6657">
        <w:t xml:space="preserve"> McVeagh) considered that th</w:t>
      </w:r>
      <w:r w:rsidR="00034E54">
        <w:t>e</w:t>
      </w:r>
      <w:r w:rsidR="008E6657">
        <w:t xml:space="preserve"> proposed PE avoidance test was too broad.  They </w:t>
      </w:r>
      <w:r w:rsidR="00034E54">
        <w:t xml:space="preserve">argued </w:t>
      </w:r>
      <w:r w:rsidR="008E6657">
        <w:t xml:space="preserve">that it would widen the PE definition in substance rather than just prevent </w:t>
      </w:r>
      <w:r w:rsidR="00034E54">
        <w:t>avoidance</w:t>
      </w:r>
      <w:r w:rsidR="008E6657">
        <w:t xml:space="preserve">. They were also concerned that it could capture ordinary commercial arrangements and discourage foreign investment.  Submitters suggested two options for narrowing the scope of the rule: </w:t>
      </w:r>
    </w:p>
    <w:p w:rsidR="008E6657" w:rsidRDefault="008E6657" w:rsidP="00AE5BDE">
      <w:pPr>
        <w:pStyle w:val="Numberparagraph"/>
        <w:numPr>
          <w:ilvl w:val="0"/>
          <w:numId w:val="0"/>
        </w:numPr>
        <w:spacing w:line="300" w:lineRule="atLeast"/>
      </w:pPr>
    </w:p>
    <w:p w:rsidR="008E6657" w:rsidRPr="001F4298" w:rsidRDefault="008E6657" w:rsidP="00AE5BDE">
      <w:pPr>
        <w:numPr>
          <w:ilvl w:val="0"/>
          <w:numId w:val="40"/>
        </w:numPr>
        <w:spacing w:line="300" w:lineRule="atLeast"/>
        <w:ind w:left="927"/>
        <w:contextualSpacing/>
        <w:rPr>
          <w:rFonts w:eastAsiaTheme="minorEastAsia"/>
          <w:lang w:eastAsia="en-US"/>
        </w:rPr>
      </w:pPr>
      <w:r w:rsidRPr="001F4298">
        <w:rPr>
          <w:rFonts w:eastAsiaTheme="minorEastAsia"/>
          <w:lang w:eastAsia="en-US"/>
        </w:rPr>
        <w:t>the PE avoidance rule could be targeted at abusive or artificial arrangement</w:t>
      </w:r>
      <w:r w:rsidR="00034E54">
        <w:rPr>
          <w:rFonts w:eastAsiaTheme="minorEastAsia"/>
          <w:lang w:eastAsia="en-US"/>
        </w:rPr>
        <w:t>s</w:t>
      </w:r>
      <w:r w:rsidRPr="001F4298">
        <w:rPr>
          <w:rFonts w:eastAsiaTheme="minorEastAsia"/>
          <w:lang w:eastAsia="en-US"/>
        </w:rPr>
        <w:t xml:space="preserve">; or </w:t>
      </w:r>
    </w:p>
    <w:p w:rsidR="008E6657" w:rsidRPr="001F4298" w:rsidRDefault="008E6657" w:rsidP="00AE5BDE">
      <w:pPr>
        <w:spacing w:line="300" w:lineRule="atLeast"/>
        <w:ind w:left="927"/>
        <w:contextualSpacing/>
        <w:rPr>
          <w:rFonts w:eastAsiaTheme="minorEastAsia"/>
          <w:lang w:eastAsia="en-US"/>
        </w:rPr>
      </w:pPr>
    </w:p>
    <w:p w:rsidR="008E6657" w:rsidRDefault="008E6657" w:rsidP="00AE5BDE">
      <w:pPr>
        <w:numPr>
          <w:ilvl w:val="0"/>
          <w:numId w:val="40"/>
        </w:numPr>
        <w:spacing w:line="300" w:lineRule="atLeast"/>
        <w:ind w:left="927"/>
        <w:contextualSpacing/>
        <w:rPr>
          <w:rFonts w:eastAsiaTheme="minorEastAsia"/>
          <w:lang w:eastAsia="en-US"/>
        </w:rPr>
      </w:pPr>
      <w:r w:rsidRPr="001F4298">
        <w:rPr>
          <w:rFonts w:eastAsiaTheme="minorEastAsia"/>
          <w:lang w:eastAsia="en-US"/>
        </w:rPr>
        <w:t>New Zealand could adopt the wording of the OECD’s widened PE avoidance definition in the MLI</w:t>
      </w:r>
      <w:r w:rsidR="00CD252D">
        <w:rPr>
          <w:rFonts w:eastAsiaTheme="minorEastAsia"/>
          <w:lang w:eastAsia="en-US"/>
        </w:rPr>
        <w:t>.</w:t>
      </w:r>
    </w:p>
    <w:p w:rsidR="00CD252D" w:rsidRPr="001F4298" w:rsidRDefault="00CD252D" w:rsidP="00AE5BDE">
      <w:pPr>
        <w:spacing w:line="300" w:lineRule="atLeast"/>
        <w:contextualSpacing/>
        <w:rPr>
          <w:rFonts w:eastAsiaTheme="minorEastAsia"/>
          <w:lang w:eastAsia="en-US"/>
        </w:rPr>
      </w:pPr>
    </w:p>
    <w:p w:rsidR="008E6657" w:rsidRDefault="008E6657" w:rsidP="00AE5BDE">
      <w:pPr>
        <w:pStyle w:val="Numberparagraph"/>
        <w:numPr>
          <w:ilvl w:val="0"/>
          <w:numId w:val="0"/>
        </w:numPr>
        <w:spacing w:line="300" w:lineRule="atLeast"/>
        <w:rPr>
          <w:b/>
        </w:rPr>
      </w:pPr>
      <w:r>
        <w:rPr>
          <w:b/>
        </w:rPr>
        <w:t>Overriding DTAs</w:t>
      </w:r>
    </w:p>
    <w:p w:rsidR="008E6657" w:rsidRDefault="008E6657" w:rsidP="00AE5BDE">
      <w:pPr>
        <w:pStyle w:val="Numberparagraph"/>
        <w:numPr>
          <w:ilvl w:val="0"/>
          <w:numId w:val="0"/>
        </w:numPr>
        <w:spacing w:line="300" w:lineRule="atLeast"/>
        <w:rPr>
          <w:b/>
        </w:rPr>
      </w:pPr>
    </w:p>
    <w:p w:rsidR="008E6657" w:rsidRDefault="00CD252D" w:rsidP="00AE5BDE">
      <w:pPr>
        <w:pStyle w:val="Numberparagraph"/>
        <w:numPr>
          <w:ilvl w:val="0"/>
          <w:numId w:val="0"/>
        </w:numPr>
        <w:spacing w:line="300" w:lineRule="atLeast"/>
      </w:pPr>
      <w:r>
        <w:fldChar w:fldCharType="begin"/>
      </w:r>
      <w:r>
        <w:instrText xml:space="preserve"> AUTONUM  </w:instrText>
      </w:r>
      <w:r>
        <w:fldChar w:fldCharType="end"/>
      </w:r>
      <w:r>
        <w:tab/>
      </w:r>
      <w:r w:rsidR="008E6657">
        <w:t>A majority of submitters considered that our PE rule should not override our DTAs (</w:t>
      </w:r>
      <w:proofErr w:type="spellStart"/>
      <w:r w:rsidR="008E6657">
        <w:t>CTG</w:t>
      </w:r>
      <w:proofErr w:type="spellEnd"/>
      <w:r w:rsidR="008E6657">
        <w:t xml:space="preserve">, KPMG, CA </w:t>
      </w:r>
      <w:proofErr w:type="spellStart"/>
      <w:r w:rsidR="008E6657">
        <w:t>ANZ</w:t>
      </w:r>
      <w:proofErr w:type="spellEnd"/>
      <w:r w:rsidR="008E6657">
        <w:t xml:space="preserve">, </w:t>
      </w:r>
      <w:proofErr w:type="spellStart"/>
      <w:r w:rsidR="008E6657">
        <w:t>NFTC</w:t>
      </w:r>
      <w:proofErr w:type="spellEnd"/>
      <w:r w:rsidR="008E6657">
        <w:t xml:space="preserve">, </w:t>
      </w:r>
      <w:proofErr w:type="spellStart"/>
      <w:r w:rsidR="008E6657">
        <w:t>NZLS</w:t>
      </w:r>
      <w:proofErr w:type="spellEnd"/>
      <w:r w:rsidR="008E6657">
        <w:t xml:space="preserve">, </w:t>
      </w:r>
      <w:proofErr w:type="spellStart"/>
      <w:r w:rsidR="008E6657">
        <w:t>EY</w:t>
      </w:r>
      <w:proofErr w:type="spellEnd"/>
      <w:r w:rsidR="008E6657">
        <w:t xml:space="preserve">, Russell McVeagh, </w:t>
      </w:r>
      <w:proofErr w:type="spellStart"/>
      <w:proofErr w:type="gramStart"/>
      <w:r w:rsidR="008E6657">
        <w:t>DEG</w:t>
      </w:r>
      <w:proofErr w:type="spellEnd"/>
      <w:proofErr w:type="gramEnd"/>
      <w:r w:rsidR="008E6657">
        <w:t>).  This is because DTAs are important to international trade, and New Zealand exporters also need to rely on them.  Submitters also considered that we should not depart from the OECD’s agreed BEPS measures, particularly where the country of the non-resident has declined to adopt the widened PE definition in the MLI.</w:t>
      </w:r>
    </w:p>
    <w:p w:rsidR="00CD252D" w:rsidRDefault="00CD252D" w:rsidP="00AE5BDE">
      <w:pPr>
        <w:pStyle w:val="Numberparagraph"/>
        <w:numPr>
          <w:ilvl w:val="0"/>
          <w:numId w:val="0"/>
        </w:numPr>
        <w:spacing w:line="300" w:lineRule="atLeast"/>
      </w:pPr>
    </w:p>
    <w:p w:rsidR="00BD58EE" w:rsidRPr="00BD58EE" w:rsidRDefault="00BD58EE" w:rsidP="00AE5BDE">
      <w:pPr>
        <w:pStyle w:val="Heading2"/>
        <w:spacing w:line="300" w:lineRule="atLeast"/>
      </w:pPr>
      <w:r w:rsidRPr="00BD58EE">
        <w:t>Comment</w:t>
      </w:r>
    </w:p>
    <w:p w:rsidR="00CB6158" w:rsidRPr="00CB6158" w:rsidRDefault="00CB6158" w:rsidP="00AE5BDE">
      <w:pPr>
        <w:pStyle w:val="Numberparagraph"/>
        <w:numPr>
          <w:ilvl w:val="0"/>
          <w:numId w:val="0"/>
        </w:numPr>
        <w:spacing w:line="300" w:lineRule="atLeast"/>
        <w:rPr>
          <w:rFonts w:eastAsiaTheme="minorEastAsia"/>
          <w:lang w:eastAsia="en-US"/>
        </w:rPr>
      </w:pPr>
      <w:r w:rsidRPr="00CB6158">
        <w:fldChar w:fldCharType="begin"/>
      </w:r>
      <w:r w:rsidRPr="00CB6158">
        <w:instrText xml:space="preserve"> AUTONUM  </w:instrText>
      </w:r>
      <w:r w:rsidRPr="00CB6158">
        <w:fldChar w:fldCharType="end"/>
      </w:r>
      <w:r w:rsidRPr="00CB6158">
        <w:tab/>
        <w:t>O</w:t>
      </w:r>
      <w:r w:rsidRPr="00CB6158">
        <w:rPr>
          <w:rFonts w:eastAsiaTheme="minorEastAsia"/>
          <w:lang w:eastAsia="en-US"/>
        </w:rPr>
        <w:t>ur proposed PE avoidance rule is broadly consistent with the OECD’s BEPS initiatives</w:t>
      </w:r>
      <w:r>
        <w:rPr>
          <w:rFonts w:eastAsiaTheme="minorEastAsia"/>
          <w:lang w:eastAsia="en-US"/>
        </w:rPr>
        <w:t xml:space="preserve"> and measures adopted by the UK and Australia. </w:t>
      </w:r>
    </w:p>
    <w:p w:rsidR="00CB6158" w:rsidRDefault="00CB6158" w:rsidP="00AE5BDE">
      <w:pPr>
        <w:pStyle w:val="Numberparagraph"/>
        <w:numPr>
          <w:ilvl w:val="0"/>
          <w:numId w:val="0"/>
        </w:numPr>
        <w:spacing w:line="300" w:lineRule="atLeast"/>
      </w:pPr>
    </w:p>
    <w:p w:rsidR="008E6657" w:rsidRDefault="00CD252D" w:rsidP="00AE5BDE">
      <w:pPr>
        <w:pStyle w:val="Numberparagraph"/>
        <w:numPr>
          <w:ilvl w:val="0"/>
          <w:numId w:val="0"/>
        </w:numPr>
        <w:spacing w:line="300" w:lineRule="atLeast"/>
      </w:pPr>
      <w:r>
        <w:fldChar w:fldCharType="begin"/>
      </w:r>
      <w:r>
        <w:instrText xml:space="preserve"> AUTONUM  </w:instrText>
      </w:r>
      <w:r>
        <w:fldChar w:fldCharType="end"/>
      </w:r>
      <w:r>
        <w:tab/>
      </w:r>
      <w:r w:rsidR="008E6657">
        <w:t>The OECD’s Commentary to the Model Tax Convention (the Commentary) states that, as a general rule, there will be no conflict between domestic anti-avoidance provisions and the provisions of a DTA.  It also confirms that States are not obliged to grant the benefits of a DTA if the DTA has been abused (noting that this should not be lightly assumed). Accordingly, the proposed PE avoidance rule should not conflict with New Zealand’s DTAs.</w:t>
      </w:r>
      <w:r w:rsidR="00CB6158">
        <w:t xml:space="preserve">  </w:t>
      </w:r>
      <w:r w:rsidR="008E6657">
        <w:t xml:space="preserve">We also note that both the UK and Australian PE avoidance rules over-ride their DTAs.   </w:t>
      </w:r>
    </w:p>
    <w:p w:rsidR="00CB6158" w:rsidRDefault="00CB6158" w:rsidP="00AE5BDE">
      <w:pPr>
        <w:pStyle w:val="Numberparagraph"/>
        <w:numPr>
          <w:ilvl w:val="0"/>
          <w:numId w:val="0"/>
        </w:numPr>
        <w:spacing w:line="300" w:lineRule="atLeast"/>
      </w:pPr>
    </w:p>
    <w:p w:rsidR="00814EDC" w:rsidRDefault="00CB6158" w:rsidP="00C94CFC">
      <w:pPr>
        <w:pStyle w:val="Numberparagraph"/>
        <w:numPr>
          <w:ilvl w:val="0"/>
          <w:numId w:val="0"/>
        </w:numPr>
        <w:spacing w:line="300" w:lineRule="atLeast"/>
        <w:rPr>
          <w:b/>
          <w:sz w:val="28"/>
        </w:rPr>
      </w:pPr>
      <w:r w:rsidRPr="00CB6158">
        <w:fldChar w:fldCharType="begin"/>
      </w:r>
      <w:r w:rsidRPr="00CB6158">
        <w:instrText xml:space="preserve"> AUTONUM  </w:instrText>
      </w:r>
      <w:r w:rsidRPr="00CB6158">
        <w:fldChar w:fldCharType="end"/>
      </w:r>
      <w:r w:rsidRPr="00CB6158">
        <w:tab/>
        <w:t xml:space="preserve">We will report back with advice </w:t>
      </w:r>
      <w:r w:rsidR="00034E54">
        <w:t xml:space="preserve">and recommendations </w:t>
      </w:r>
      <w:r w:rsidRPr="00CB6158">
        <w:t>on these submissions.</w:t>
      </w:r>
    </w:p>
    <w:p w:rsidR="008E6657" w:rsidRDefault="008E6657" w:rsidP="00AE5BDE">
      <w:pPr>
        <w:pStyle w:val="TRHeading1"/>
        <w:spacing w:line="300" w:lineRule="atLeast"/>
      </w:pPr>
      <w:r>
        <w:t xml:space="preserve">Transfer </w:t>
      </w:r>
      <w:r w:rsidR="00C96145">
        <w:t>p</w:t>
      </w:r>
      <w:r>
        <w:t>ricing</w:t>
      </w:r>
    </w:p>
    <w:p w:rsidR="008E6657" w:rsidRPr="00F26F33" w:rsidRDefault="008E6657" w:rsidP="00AE5BDE">
      <w:pPr>
        <w:pStyle w:val="Numberparagraph"/>
        <w:numPr>
          <w:ilvl w:val="0"/>
          <w:numId w:val="0"/>
        </w:numPr>
        <w:spacing w:line="300" w:lineRule="atLeast"/>
        <w:rPr>
          <w:b/>
        </w:rPr>
      </w:pPr>
      <w:r w:rsidRPr="00F26F33">
        <w:rPr>
          <w:b/>
        </w:rPr>
        <w:t xml:space="preserve">Summary of proposed rules </w:t>
      </w:r>
    </w:p>
    <w:p w:rsidR="008E6657" w:rsidRDefault="008E6657" w:rsidP="00AE5BDE">
      <w:pPr>
        <w:pStyle w:val="Numberparagraph"/>
        <w:numPr>
          <w:ilvl w:val="0"/>
          <w:numId w:val="0"/>
        </w:numPr>
        <w:spacing w:line="300" w:lineRule="atLeast"/>
      </w:pPr>
    </w:p>
    <w:p w:rsidR="008E6657" w:rsidRDefault="00CD252D" w:rsidP="00AE5BDE">
      <w:pPr>
        <w:pStyle w:val="Numberparagraph"/>
        <w:numPr>
          <w:ilvl w:val="0"/>
          <w:numId w:val="0"/>
        </w:numPr>
        <w:spacing w:line="300" w:lineRule="atLeast"/>
      </w:pPr>
      <w:r>
        <w:fldChar w:fldCharType="begin"/>
      </w:r>
      <w:r>
        <w:instrText xml:space="preserve"> AUTONUM  </w:instrText>
      </w:r>
      <w:r>
        <w:fldChar w:fldCharType="end"/>
      </w:r>
      <w:r>
        <w:tab/>
      </w:r>
      <w:r w:rsidR="008E6657">
        <w:t>Transfer pricing rules guard against multinationals using related</w:t>
      </w:r>
      <w:r w:rsidR="00FE30EA">
        <w:t>-</w:t>
      </w:r>
      <w:r w:rsidR="008E6657">
        <w:t xml:space="preserve">party payments to shift profits offshore by requiring these payments to be consistent with an arm’s length </w:t>
      </w:r>
      <w:r w:rsidR="00034E54">
        <w:t>or</w:t>
      </w:r>
      <w:r w:rsidR="008E6657">
        <w:t xml:space="preserve"> market price that unrelated parties would agree to. Chapter 5 of the discussion document outlined a package of proposals to strengthen the transfer pricing rules so they align with the OECD’s transfer pricing guidelines and Australia’s transfer pricing rules. </w:t>
      </w:r>
    </w:p>
    <w:p w:rsidR="00CD252D" w:rsidRDefault="00CD252D" w:rsidP="00AE5BDE">
      <w:pPr>
        <w:pStyle w:val="Numberparagraph"/>
        <w:numPr>
          <w:ilvl w:val="0"/>
          <w:numId w:val="0"/>
        </w:numPr>
        <w:spacing w:line="300" w:lineRule="atLeast"/>
        <w:rPr>
          <w:b/>
        </w:rPr>
      </w:pPr>
    </w:p>
    <w:p w:rsidR="00811A1E" w:rsidRDefault="00811A1E">
      <w:pPr>
        <w:jc w:val="left"/>
        <w:rPr>
          <w:b/>
          <w:szCs w:val="24"/>
        </w:rPr>
      </w:pPr>
      <w:r>
        <w:rPr>
          <w:b/>
        </w:rPr>
        <w:br w:type="page"/>
      </w:r>
    </w:p>
    <w:p w:rsidR="008E6657" w:rsidRPr="003467D3" w:rsidRDefault="008E6657" w:rsidP="00AE5BDE">
      <w:pPr>
        <w:pStyle w:val="Numberparagraph"/>
        <w:numPr>
          <w:ilvl w:val="0"/>
          <w:numId w:val="0"/>
        </w:numPr>
        <w:spacing w:line="300" w:lineRule="atLeast"/>
        <w:rPr>
          <w:b/>
        </w:rPr>
      </w:pPr>
      <w:r>
        <w:rPr>
          <w:b/>
        </w:rPr>
        <w:t>General reaction</w:t>
      </w:r>
    </w:p>
    <w:p w:rsidR="008E6657" w:rsidRDefault="008E6657" w:rsidP="00AE5BDE">
      <w:pPr>
        <w:pStyle w:val="Numberparagraph"/>
        <w:numPr>
          <w:ilvl w:val="0"/>
          <w:numId w:val="0"/>
        </w:numPr>
        <w:spacing w:line="300" w:lineRule="atLeast"/>
      </w:pPr>
    </w:p>
    <w:p w:rsidR="008E6657" w:rsidRDefault="00CD252D" w:rsidP="00AE5BDE">
      <w:pPr>
        <w:pStyle w:val="Numberparagraph"/>
        <w:numPr>
          <w:ilvl w:val="0"/>
          <w:numId w:val="0"/>
        </w:numPr>
        <w:spacing w:line="300" w:lineRule="atLeast"/>
      </w:pPr>
      <w:r>
        <w:fldChar w:fldCharType="begin"/>
      </w:r>
      <w:r>
        <w:instrText xml:space="preserve"> AUTONUM  </w:instrText>
      </w:r>
      <w:r>
        <w:fldChar w:fldCharType="end"/>
      </w:r>
      <w:r>
        <w:tab/>
      </w:r>
      <w:r w:rsidR="008E6657">
        <w:t>Three submitters (</w:t>
      </w:r>
      <w:proofErr w:type="spellStart"/>
      <w:r w:rsidR="008E6657" w:rsidRPr="00E80703">
        <w:t>CTG</w:t>
      </w:r>
      <w:proofErr w:type="spellEnd"/>
      <w:r w:rsidR="008E6657" w:rsidRPr="00E80703">
        <w:t xml:space="preserve">, </w:t>
      </w:r>
      <w:proofErr w:type="spellStart"/>
      <w:r w:rsidR="008E6657" w:rsidRPr="00E80703">
        <w:t>EY</w:t>
      </w:r>
      <w:proofErr w:type="spellEnd"/>
      <w:r w:rsidR="008E6657">
        <w:t xml:space="preserve">, </w:t>
      </w:r>
      <w:proofErr w:type="gramStart"/>
      <w:r w:rsidR="008E6657" w:rsidRPr="00E80703">
        <w:t>KPMG</w:t>
      </w:r>
      <w:proofErr w:type="gramEnd"/>
      <w:r w:rsidR="008E6657">
        <w:t xml:space="preserve">) considered the transfer pricing proposals were unnecessary </w:t>
      </w:r>
      <w:r w:rsidR="00034E54">
        <w:t>and argued that</w:t>
      </w:r>
      <w:r w:rsidR="008E6657">
        <w:t xml:space="preserve"> the existing transfer pricing rules </w:t>
      </w:r>
      <w:r w:rsidR="00034E54">
        <w:t>are</w:t>
      </w:r>
      <w:r w:rsidR="008E6657">
        <w:t xml:space="preserve"> sufficient. </w:t>
      </w:r>
    </w:p>
    <w:p w:rsidR="008E6657" w:rsidRDefault="008E6657" w:rsidP="00AE5BDE">
      <w:pPr>
        <w:pStyle w:val="Numberparagraph"/>
        <w:numPr>
          <w:ilvl w:val="0"/>
          <w:numId w:val="0"/>
        </w:numPr>
        <w:spacing w:line="300" w:lineRule="atLeast"/>
      </w:pPr>
    </w:p>
    <w:p w:rsidR="008E6657" w:rsidRDefault="00CD252D" w:rsidP="00AE5BDE">
      <w:pPr>
        <w:pStyle w:val="Numberparagraph"/>
        <w:numPr>
          <w:ilvl w:val="0"/>
          <w:numId w:val="0"/>
        </w:numPr>
        <w:spacing w:line="300" w:lineRule="atLeast"/>
      </w:pPr>
      <w:r>
        <w:fldChar w:fldCharType="begin"/>
      </w:r>
      <w:r>
        <w:instrText xml:space="preserve"> AUTONUM  </w:instrText>
      </w:r>
      <w:r>
        <w:fldChar w:fldCharType="end"/>
      </w:r>
      <w:r>
        <w:tab/>
      </w:r>
      <w:r w:rsidR="008E6657">
        <w:t xml:space="preserve">Other submitters generally accepted that there was a need to update New Zealand’s transfer pricing legislation </w:t>
      </w:r>
      <w:r w:rsidR="008E6657" w:rsidRPr="00420B5C">
        <w:t xml:space="preserve">so </w:t>
      </w:r>
      <w:r w:rsidR="008E6657">
        <w:t>it</w:t>
      </w:r>
      <w:r w:rsidR="008E6657" w:rsidRPr="00420B5C">
        <w:t xml:space="preserve"> align</w:t>
      </w:r>
      <w:r w:rsidR="008E6657">
        <w:t>ed</w:t>
      </w:r>
      <w:r w:rsidR="008E6657" w:rsidRPr="00420B5C">
        <w:t xml:space="preserve"> with the OECD’s </w:t>
      </w:r>
      <w:r w:rsidR="00D30F30">
        <w:t xml:space="preserve">new </w:t>
      </w:r>
      <w:r w:rsidR="008E6657" w:rsidRPr="00420B5C">
        <w:t>transfer pricing guidelines</w:t>
      </w:r>
      <w:r w:rsidR="00814EDC">
        <w:t xml:space="preserve"> (which were developed to combat BEPS)</w:t>
      </w:r>
      <w:r w:rsidR="008E6657">
        <w:t xml:space="preserve">. </w:t>
      </w:r>
    </w:p>
    <w:p w:rsidR="008E6657" w:rsidRDefault="008E6657" w:rsidP="00AE5BDE">
      <w:pPr>
        <w:pStyle w:val="Numberparagraph"/>
        <w:numPr>
          <w:ilvl w:val="0"/>
          <w:numId w:val="0"/>
        </w:numPr>
        <w:spacing w:line="300" w:lineRule="atLeast"/>
      </w:pPr>
    </w:p>
    <w:p w:rsidR="008E6657" w:rsidRDefault="00CD252D" w:rsidP="00AE5BDE">
      <w:pPr>
        <w:pStyle w:val="Numberparagraph"/>
        <w:numPr>
          <w:ilvl w:val="0"/>
          <w:numId w:val="0"/>
        </w:numPr>
        <w:spacing w:line="300" w:lineRule="atLeast"/>
      </w:pPr>
      <w:r>
        <w:fldChar w:fldCharType="begin"/>
      </w:r>
      <w:r>
        <w:instrText xml:space="preserve"> AUTONUM  </w:instrText>
      </w:r>
      <w:r>
        <w:fldChar w:fldCharType="end"/>
      </w:r>
      <w:r>
        <w:tab/>
      </w:r>
      <w:r w:rsidR="008E6657">
        <w:t>However, as expected, there was strong opposition to the proposal to extend the time bar for transfer</w:t>
      </w:r>
      <w:r w:rsidR="00BD58EE">
        <w:t xml:space="preserve"> pricing adjustments to 7 years.</w:t>
      </w:r>
    </w:p>
    <w:p w:rsidR="00F36523" w:rsidRDefault="00F36523" w:rsidP="00AE5BDE">
      <w:pPr>
        <w:pStyle w:val="Numberparagraph"/>
        <w:numPr>
          <w:ilvl w:val="0"/>
          <w:numId w:val="0"/>
        </w:numPr>
        <w:spacing w:line="300" w:lineRule="atLeast"/>
        <w:rPr>
          <w:b/>
        </w:rPr>
      </w:pPr>
    </w:p>
    <w:p w:rsidR="008E6657" w:rsidRPr="003467D3" w:rsidRDefault="008E6657" w:rsidP="00AE5BDE">
      <w:pPr>
        <w:pStyle w:val="Numberparagraph"/>
        <w:numPr>
          <w:ilvl w:val="0"/>
          <w:numId w:val="0"/>
        </w:numPr>
        <w:spacing w:line="300" w:lineRule="atLeast"/>
        <w:rPr>
          <w:b/>
        </w:rPr>
      </w:pPr>
      <w:r>
        <w:rPr>
          <w:b/>
        </w:rPr>
        <w:t xml:space="preserve">Extending the time </w:t>
      </w:r>
      <w:r w:rsidRPr="003467D3">
        <w:rPr>
          <w:b/>
        </w:rPr>
        <w:t>bar</w:t>
      </w:r>
      <w:r>
        <w:rPr>
          <w:b/>
        </w:rPr>
        <w:t xml:space="preserve"> to 7 years</w:t>
      </w:r>
    </w:p>
    <w:p w:rsidR="008E6657" w:rsidRPr="00DC234C" w:rsidRDefault="008E6657" w:rsidP="00AE5BDE">
      <w:pPr>
        <w:pStyle w:val="Numberparagraph"/>
        <w:numPr>
          <w:ilvl w:val="0"/>
          <w:numId w:val="0"/>
        </w:numPr>
        <w:spacing w:line="300" w:lineRule="atLeast"/>
        <w:rPr>
          <w:b/>
          <w:i/>
        </w:rPr>
      </w:pPr>
    </w:p>
    <w:p w:rsidR="008E6657" w:rsidRDefault="00CD252D" w:rsidP="00AE5BDE">
      <w:pPr>
        <w:pStyle w:val="Numberparagraph"/>
        <w:numPr>
          <w:ilvl w:val="0"/>
          <w:numId w:val="0"/>
        </w:numPr>
        <w:spacing w:line="300" w:lineRule="atLeast"/>
      </w:pPr>
      <w:r>
        <w:fldChar w:fldCharType="begin"/>
      </w:r>
      <w:r>
        <w:instrText xml:space="preserve"> AUTONUM  </w:instrText>
      </w:r>
      <w:r>
        <w:fldChar w:fldCharType="end"/>
      </w:r>
      <w:r>
        <w:tab/>
      </w:r>
      <w:r w:rsidR="008E6657">
        <w:t xml:space="preserve">Inland Revenue currently has 4 years from the day that a taxpayer has filed an income tax return in which it can investigate and adjust the tax position taken by the taxpayer in their income tax return. This 4 year period is known as the time bar.  The discussion document </w:t>
      </w:r>
      <w:r w:rsidR="008E6657" w:rsidRPr="00DC234C">
        <w:t>propos</w:t>
      </w:r>
      <w:r w:rsidR="008E6657">
        <w:t>ed</w:t>
      </w:r>
      <w:r w:rsidR="008E6657" w:rsidRPr="00DC234C">
        <w:t xml:space="preserve"> </w:t>
      </w:r>
      <w:r w:rsidR="008E6657">
        <w:t>that</w:t>
      </w:r>
      <w:r w:rsidR="008E6657" w:rsidRPr="00DC234C">
        <w:t xml:space="preserve"> transfer pricing</w:t>
      </w:r>
      <w:r w:rsidR="008E6657">
        <w:t xml:space="preserve"> issues should have a longer</w:t>
      </w:r>
      <w:r w:rsidR="008E6657" w:rsidRPr="00DC234C">
        <w:t xml:space="preserve"> </w:t>
      </w:r>
      <w:r w:rsidR="008E6657">
        <w:t>time bar of 7 years (consistent with fact that Australia and Canada have 7</w:t>
      </w:r>
      <w:r w:rsidR="00034E54">
        <w:t>-year</w:t>
      </w:r>
      <w:r w:rsidR="008E6657">
        <w:t xml:space="preserve"> time bars for transfer pricing). </w:t>
      </w:r>
    </w:p>
    <w:p w:rsidR="008E6657" w:rsidRDefault="008E6657" w:rsidP="00AE5BDE">
      <w:pPr>
        <w:pStyle w:val="Numberparagraph"/>
        <w:numPr>
          <w:ilvl w:val="0"/>
          <w:numId w:val="0"/>
        </w:numPr>
        <w:spacing w:line="300" w:lineRule="atLeast"/>
      </w:pPr>
    </w:p>
    <w:p w:rsidR="008E6657" w:rsidRPr="00DC234C" w:rsidRDefault="00CD252D" w:rsidP="00AE5BDE">
      <w:pPr>
        <w:pStyle w:val="Numberparagraph"/>
        <w:numPr>
          <w:ilvl w:val="0"/>
          <w:numId w:val="0"/>
        </w:numPr>
        <w:spacing w:line="300" w:lineRule="atLeast"/>
      </w:pPr>
      <w:r>
        <w:fldChar w:fldCharType="begin"/>
      </w:r>
      <w:r>
        <w:instrText xml:space="preserve"> AUTONUM  </w:instrText>
      </w:r>
      <w:r>
        <w:fldChar w:fldCharType="end"/>
      </w:r>
      <w:r>
        <w:tab/>
      </w:r>
      <w:r w:rsidR="00A7246F">
        <w:t xml:space="preserve">Most submissions </w:t>
      </w:r>
      <w:r w:rsidR="008B07DA">
        <w:t>on the discussion document</w:t>
      </w:r>
      <w:r w:rsidR="008E6657" w:rsidRPr="00B431C1">
        <w:t xml:space="preserve"> </w:t>
      </w:r>
      <w:r w:rsidR="008E6657">
        <w:t>opposed this proposal.</w:t>
      </w:r>
      <w:r w:rsidR="008E6657" w:rsidDel="00DD2403">
        <w:t xml:space="preserve"> </w:t>
      </w:r>
      <w:r w:rsidR="008E6657">
        <w:t xml:space="preserve">The </w:t>
      </w:r>
      <w:r w:rsidR="008E6657" w:rsidRPr="00DC234C">
        <w:t xml:space="preserve">main </w:t>
      </w:r>
      <w:r w:rsidR="00A7246F">
        <w:t>arguments</w:t>
      </w:r>
      <w:r w:rsidR="008E6657" w:rsidRPr="00DC234C">
        <w:t xml:space="preserve"> </w:t>
      </w:r>
      <w:r w:rsidR="00A7246F">
        <w:t xml:space="preserve">raised by submitters </w:t>
      </w:r>
      <w:r w:rsidR="008E6657" w:rsidRPr="00DC234C">
        <w:t>were:</w:t>
      </w:r>
    </w:p>
    <w:p w:rsidR="008E6657" w:rsidRPr="00DC234C" w:rsidRDefault="008E6657" w:rsidP="00AE5BDE">
      <w:pPr>
        <w:pStyle w:val="Numberparagraph"/>
        <w:numPr>
          <w:ilvl w:val="0"/>
          <w:numId w:val="0"/>
        </w:numPr>
        <w:spacing w:line="300" w:lineRule="atLeast"/>
      </w:pPr>
    </w:p>
    <w:p w:rsidR="008E6657" w:rsidRPr="00E25AAA" w:rsidRDefault="008E6657" w:rsidP="00AE5BDE">
      <w:pPr>
        <w:numPr>
          <w:ilvl w:val="0"/>
          <w:numId w:val="40"/>
        </w:numPr>
        <w:spacing w:line="300" w:lineRule="atLeast"/>
        <w:ind w:left="927"/>
        <w:contextualSpacing/>
        <w:rPr>
          <w:rFonts w:eastAsiaTheme="minorEastAsia"/>
          <w:lang w:eastAsia="en-US"/>
        </w:rPr>
      </w:pPr>
      <w:r w:rsidRPr="00E25AAA">
        <w:rPr>
          <w:rFonts w:eastAsiaTheme="minorEastAsia"/>
          <w:lang w:eastAsia="en-US"/>
        </w:rPr>
        <w:t>A longer time bar increase</w:t>
      </w:r>
      <w:r w:rsidR="00034E54">
        <w:rPr>
          <w:rFonts w:eastAsiaTheme="minorEastAsia"/>
          <w:lang w:eastAsia="en-US"/>
        </w:rPr>
        <w:t>s</w:t>
      </w:r>
      <w:r w:rsidRPr="00E25AAA">
        <w:rPr>
          <w:rFonts w:eastAsiaTheme="minorEastAsia"/>
          <w:lang w:eastAsia="en-US"/>
        </w:rPr>
        <w:t xml:space="preserve"> uncertainty for taxpayers and does not promote efficiency in transfer pricing disputes (will delay timely resolution).</w:t>
      </w:r>
    </w:p>
    <w:p w:rsidR="008E6657" w:rsidRPr="00E25AAA" w:rsidRDefault="008E6657" w:rsidP="00AE5BDE">
      <w:pPr>
        <w:spacing w:line="300" w:lineRule="atLeast"/>
        <w:ind w:left="927"/>
        <w:contextualSpacing/>
        <w:rPr>
          <w:rFonts w:eastAsiaTheme="minorEastAsia"/>
          <w:lang w:eastAsia="en-US"/>
        </w:rPr>
      </w:pPr>
    </w:p>
    <w:p w:rsidR="008E6657" w:rsidRPr="00E25AAA" w:rsidRDefault="008E6657" w:rsidP="00AE5BDE">
      <w:pPr>
        <w:numPr>
          <w:ilvl w:val="0"/>
          <w:numId w:val="40"/>
        </w:numPr>
        <w:spacing w:line="300" w:lineRule="atLeast"/>
        <w:ind w:left="927"/>
        <w:contextualSpacing/>
        <w:rPr>
          <w:rFonts w:eastAsiaTheme="minorEastAsia"/>
          <w:lang w:eastAsia="en-US"/>
        </w:rPr>
      </w:pPr>
      <w:r w:rsidRPr="00E25AAA">
        <w:rPr>
          <w:rFonts w:eastAsiaTheme="minorEastAsia"/>
          <w:lang w:eastAsia="en-US"/>
        </w:rPr>
        <w:t>The discussion document argued that a longer time bar is needed because transfer pricing issues are complex and fact-specific, but</w:t>
      </w:r>
      <w:r w:rsidR="00034E54">
        <w:rPr>
          <w:rFonts w:eastAsiaTheme="minorEastAsia"/>
          <w:lang w:eastAsia="en-US"/>
        </w:rPr>
        <w:t xml:space="preserve"> submitters noted that</w:t>
      </w:r>
      <w:r w:rsidRPr="00E25AAA">
        <w:rPr>
          <w:rFonts w:eastAsiaTheme="minorEastAsia"/>
          <w:lang w:eastAsia="en-US"/>
        </w:rPr>
        <w:t xml:space="preserve"> this is also true of other areas of tax such as tax avoidance, the capital / revenue boundary and complex financial arrangements.</w:t>
      </w:r>
    </w:p>
    <w:p w:rsidR="008E6657" w:rsidRPr="00E25AAA" w:rsidRDefault="008E6657" w:rsidP="00AE5BDE">
      <w:pPr>
        <w:spacing w:line="300" w:lineRule="atLeast"/>
        <w:ind w:left="927"/>
        <w:contextualSpacing/>
        <w:rPr>
          <w:rFonts w:eastAsiaTheme="minorEastAsia"/>
          <w:lang w:eastAsia="en-US"/>
        </w:rPr>
      </w:pPr>
    </w:p>
    <w:p w:rsidR="008E6657" w:rsidRPr="00E25AAA" w:rsidRDefault="008E6657" w:rsidP="00AE5BDE">
      <w:pPr>
        <w:numPr>
          <w:ilvl w:val="0"/>
          <w:numId w:val="40"/>
        </w:numPr>
        <w:spacing w:line="300" w:lineRule="atLeast"/>
        <w:ind w:left="927"/>
        <w:contextualSpacing/>
        <w:rPr>
          <w:rFonts w:eastAsiaTheme="minorEastAsia"/>
          <w:lang w:eastAsia="en-US"/>
        </w:rPr>
      </w:pPr>
      <w:r w:rsidRPr="00E25AAA">
        <w:rPr>
          <w:rFonts w:eastAsiaTheme="minorEastAsia"/>
          <w:lang w:eastAsia="en-US"/>
        </w:rPr>
        <w:t>Most countries have the same time bar for transfer pricing and other tax issues, and in most cases this was less than 7 years.</w:t>
      </w:r>
    </w:p>
    <w:p w:rsidR="008E6657" w:rsidRPr="00E25AAA" w:rsidRDefault="008E6657" w:rsidP="00AE5BDE">
      <w:pPr>
        <w:spacing w:line="300" w:lineRule="atLeast"/>
        <w:ind w:left="927"/>
        <w:contextualSpacing/>
        <w:rPr>
          <w:rFonts w:eastAsiaTheme="minorEastAsia"/>
          <w:lang w:eastAsia="en-US"/>
        </w:rPr>
      </w:pPr>
    </w:p>
    <w:p w:rsidR="008E6657" w:rsidRPr="00E25AAA" w:rsidRDefault="008E6657" w:rsidP="00AE5BDE">
      <w:pPr>
        <w:numPr>
          <w:ilvl w:val="0"/>
          <w:numId w:val="40"/>
        </w:numPr>
        <w:spacing w:line="300" w:lineRule="atLeast"/>
        <w:ind w:left="927"/>
        <w:contextualSpacing/>
        <w:rPr>
          <w:rFonts w:eastAsiaTheme="minorEastAsia"/>
          <w:lang w:eastAsia="en-US"/>
        </w:rPr>
      </w:pPr>
      <w:r w:rsidRPr="00E25AAA">
        <w:rPr>
          <w:rFonts w:eastAsiaTheme="minorEastAsia"/>
          <w:lang w:eastAsia="en-US"/>
        </w:rPr>
        <w:t>If a transfer pricing dispute is resolved in favour of Inland Revenue, the taxpayer will be at risk of double tax in jurisdictions where the time bar has already passed.</w:t>
      </w:r>
    </w:p>
    <w:p w:rsidR="008E6657" w:rsidRPr="00E25AAA" w:rsidRDefault="008E6657" w:rsidP="00AE5BDE">
      <w:pPr>
        <w:spacing w:line="300" w:lineRule="atLeast"/>
        <w:ind w:left="927"/>
        <w:contextualSpacing/>
        <w:rPr>
          <w:rFonts w:eastAsiaTheme="minorEastAsia"/>
          <w:lang w:eastAsia="en-US"/>
        </w:rPr>
      </w:pPr>
    </w:p>
    <w:p w:rsidR="008E6657" w:rsidRPr="00E25AAA" w:rsidRDefault="008E6657" w:rsidP="00AE5BDE">
      <w:pPr>
        <w:numPr>
          <w:ilvl w:val="0"/>
          <w:numId w:val="40"/>
        </w:numPr>
        <w:spacing w:line="300" w:lineRule="atLeast"/>
        <w:ind w:left="927"/>
        <w:contextualSpacing/>
        <w:rPr>
          <w:rFonts w:eastAsiaTheme="minorEastAsia"/>
          <w:lang w:eastAsia="en-US"/>
        </w:rPr>
      </w:pPr>
      <w:r w:rsidRPr="00E25AAA">
        <w:rPr>
          <w:rFonts w:eastAsiaTheme="minorEastAsia"/>
          <w:lang w:eastAsia="en-US"/>
        </w:rPr>
        <w:t>Imposing a longer time bar is inconsistent with Inland Revenue’s Business Transformation goals of real-time review and helping taxpayers get it right from the start.</w:t>
      </w:r>
    </w:p>
    <w:p w:rsidR="008E6657" w:rsidRPr="00E25AAA" w:rsidRDefault="008E6657" w:rsidP="00AE5BDE">
      <w:pPr>
        <w:spacing w:line="300" w:lineRule="atLeast"/>
        <w:ind w:left="927"/>
        <w:contextualSpacing/>
        <w:rPr>
          <w:rFonts w:eastAsiaTheme="minorEastAsia"/>
          <w:lang w:eastAsia="en-US"/>
        </w:rPr>
      </w:pPr>
    </w:p>
    <w:p w:rsidR="008E6657" w:rsidRDefault="008E6657" w:rsidP="00AE5BDE">
      <w:pPr>
        <w:numPr>
          <w:ilvl w:val="0"/>
          <w:numId w:val="40"/>
        </w:numPr>
        <w:spacing w:line="300" w:lineRule="atLeast"/>
        <w:ind w:left="927"/>
        <w:contextualSpacing/>
        <w:rPr>
          <w:rFonts w:eastAsiaTheme="minorEastAsia"/>
          <w:lang w:eastAsia="en-US"/>
        </w:rPr>
      </w:pPr>
      <w:r w:rsidRPr="00E25AAA">
        <w:rPr>
          <w:rFonts w:eastAsiaTheme="minorEastAsia"/>
          <w:lang w:eastAsia="en-US"/>
        </w:rPr>
        <w:t xml:space="preserve">Inland Revenue should invest more resource into its transfer pricing team if the investigations are taking longer than 4 years. </w:t>
      </w:r>
    </w:p>
    <w:p w:rsidR="00CB6158" w:rsidRDefault="00CB6158" w:rsidP="00AE5BDE">
      <w:pPr>
        <w:pStyle w:val="ListParagraph"/>
        <w:spacing w:line="300" w:lineRule="atLeast"/>
        <w:rPr>
          <w:rFonts w:eastAsiaTheme="minorEastAsia"/>
        </w:rPr>
      </w:pPr>
    </w:p>
    <w:p w:rsidR="008E6657" w:rsidRDefault="00CB6158" w:rsidP="00AE5BDE">
      <w:pPr>
        <w:pStyle w:val="Heading2"/>
        <w:spacing w:line="300" w:lineRule="atLeast"/>
        <w:rPr>
          <w:rFonts w:eastAsiaTheme="minorEastAsia"/>
          <w:lang w:eastAsia="en-US"/>
        </w:rPr>
      </w:pPr>
      <w:r>
        <w:rPr>
          <w:rFonts w:eastAsiaTheme="minorEastAsia"/>
          <w:lang w:eastAsia="en-US"/>
        </w:rPr>
        <w:t>Comment</w:t>
      </w:r>
    </w:p>
    <w:p w:rsidR="00AF549A" w:rsidRDefault="00CD252D" w:rsidP="00AE5BDE">
      <w:pPr>
        <w:pStyle w:val="Numberparagraph"/>
        <w:numPr>
          <w:ilvl w:val="0"/>
          <w:numId w:val="0"/>
        </w:numPr>
        <w:spacing w:line="300" w:lineRule="atLeast"/>
      </w:pPr>
      <w:r>
        <w:fldChar w:fldCharType="begin"/>
      </w:r>
      <w:r>
        <w:instrText xml:space="preserve"> AUTONUM  </w:instrText>
      </w:r>
      <w:r>
        <w:fldChar w:fldCharType="end"/>
      </w:r>
      <w:r>
        <w:tab/>
      </w:r>
      <w:r w:rsidR="00BD58EE">
        <w:t xml:space="preserve">We will report back with further advice </w:t>
      </w:r>
      <w:r w:rsidR="00CB6158">
        <w:t xml:space="preserve">and recommendations </w:t>
      </w:r>
      <w:r w:rsidR="00BD58EE">
        <w:t>on this and the other transfer pricing submissions.</w:t>
      </w:r>
    </w:p>
    <w:p w:rsidR="00E32968" w:rsidRDefault="00E32968" w:rsidP="00AE5BDE">
      <w:pPr>
        <w:pStyle w:val="TRHeading1"/>
        <w:spacing w:line="300" w:lineRule="atLeast"/>
      </w:pPr>
      <w:r>
        <w:t xml:space="preserve">Next steps </w:t>
      </w:r>
    </w:p>
    <w:p w:rsidR="00E32968" w:rsidRDefault="00B6233D" w:rsidP="00AE5BDE">
      <w:pPr>
        <w:pStyle w:val="Numberparagraph"/>
        <w:numPr>
          <w:ilvl w:val="0"/>
          <w:numId w:val="0"/>
        </w:numPr>
        <w:spacing w:line="300" w:lineRule="atLeast"/>
      </w:pPr>
      <w:r w:rsidRPr="00B6233D">
        <w:fldChar w:fldCharType="begin"/>
      </w:r>
      <w:r w:rsidRPr="00B6233D">
        <w:instrText xml:space="preserve"> AUTONUM  </w:instrText>
      </w:r>
      <w:r w:rsidRPr="00B6233D">
        <w:fldChar w:fldCharType="end"/>
      </w:r>
      <w:r>
        <w:tab/>
      </w:r>
      <w:r w:rsidR="002B183F">
        <w:t>Officials are happy to discuss this report with you at your joint Ministers’ meeting on 19 June. We will report back with advice and recommendations on these submissions and other issues next week.</w:t>
      </w:r>
    </w:p>
    <w:p w:rsidR="00E32968" w:rsidRDefault="00E32968" w:rsidP="00AE5BDE">
      <w:pPr>
        <w:pStyle w:val="Numberparagraph"/>
        <w:numPr>
          <w:ilvl w:val="0"/>
          <w:numId w:val="0"/>
        </w:numPr>
        <w:spacing w:line="300" w:lineRule="atLeast"/>
      </w:pPr>
    </w:p>
    <w:p w:rsidR="00E32968" w:rsidRDefault="00B6233D" w:rsidP="00AE5BDE">
      <w:pPr>
        <w:pStyle w:val="Numberparagraph"/>
        <w:numPr>
          <w:ilvl w:val="0"/>
          <w:numId w:val="0"/>
        </w:numPr>
        <w:spacing w:line="300" w:lineRule="atLeast"/>
      </w:pPr>
      <w:r w:rsidRPr="00B6233D">
        <w:fldChar w:fldCharType="begin"/>
      </w:r>
      <w:r w:rsidRPr="00B6233D">
        <w:instrText xml:space="preserve"> AUTONUM  </w:instrText>
      </w:r>
      <w:r w:rsidRPr="00B6233D">
        <w:fldChar w:fldCharType="end"/>
      </w:r>
      <w:r>
        <w:tab/>
      </w:r>
      <w:r w:rsidR="00E32968">
        <w:t xml:space="preserve">Subject to your decisions, we </w:t>
      </w:r>
      <w:r w:rsidR="006D7392">
        <w:t>anticipate the following timeline:</w:t>
      </w:r>
      <w:r w:rsidR="00E32968">
        <w:t xml:space="preserve"> </w:t>
      </w:r>
    </w:p>
    <w:p w:rsidR="00C96145" w:rsidRPr="00174316" w:rsidRDefault="00C96145" w:rsidP="00AE5BDE">
      <w:pPr>
        <w:pStyle w:val="Numberparagraph"/>
        <w:numPr>
          <w:ilvl w:val="0"/>
          <w:numId w:val="0"/>
        </w:numPr>
        <w:spacing w:line="300" w:lineRule="atLeast"/>
      </w:pPr>
    </w:p>
    <w:tbl>
      <w:tblPr>
        <w:tblW w:w="0" w:type="auto"/>
        <w:tblInd w:w="108" w:type="dxa"/>
        <w:tblCellMar>
          <w:left w:w="0" w:type="dxa"/>
          <w:right w:w="0" w:type="dxa"/>
        </w:tblCellMar>
        <w:tblLook w:val="04A0" w:firstRow="1" w:lastRow="0" w:firstColumn="1" w:lastColumn="0" w:noHBand="0" w:noVBand="1"/>
      </w:tblPr>
      <w:tblGrid>
        <w:gridCol w:w="2268"/>
        <w:gridCol w:w="6910"/>
      </w:tblGrid>
      <w:tr w:rsidR="00E32968" w:rsidTr="00BF4D5C">
        <w:trPr>
          <w:cantSplit/>
        </w:trPr>
        <w:tc>
          <w:tcPr>
            <w:tcW w:w="2268" w:type="dxa"/>
            <w:tcBorders>
              <w:top w:val="single" w:sz="8" w:space="0" w:color="1F497D"/>
              <w:left w:val="single" w:sz="12" w:space="0" w:color="1F497D"/>
              <w:bottom w:val="nil"/>
              <w:right w:val="single" w:sz="8" w:space="0" w:color="FFFFFF"/>
            </w:tcBorders>
            <w:shd w:val="clear" w:color="auto" w:fill="000000"/>
            <w:tcMar>
              <w:top w:w="0" w:type="dxa"/>
              <w:left w:w="108" w:type="dxa"/>
              <w:bottom w:w="0" w:type="dxa"/>
              <w:right w:w="108" w:type="dxa"/>
            </w:tcMar>
            <w:hideMark/>
          </w:tcPr>
          <w:p w:rsidR="00E32968" w:rsidRDefault="00E32968" w:rsidP="00AE5BDE">
            <w:pPr>
              <w:keepNext/>
              <w:spacing w:before="60" w:after="32" w:line="300" w:lineRule="atLeast"/>
              <w:rPr>
                <w:rFonts w:ascii="Calibri" w:eastAsiaTheme="minorHAnsi" w:hAnsi="Calibri" w:cs="Calibri"/>
                <w:b/>
                <w:bCs/>
                <w:color w:val="FFFFFF"/>
                <w:sz w:val="22"/>
                <w:szCs w:val="22"/>
              </w:rPr>
            </w:pPr>
            <w:r>
              <w:rPr>
                <w:b/>
                <w:bCs/>
                <w:color w:val="FFFFFF"/>
              </w:rPr>
              <w:t xml:space="preserve">Date </w:t>
            </w:r>
          </w:p>
        </w:tc>
        <w:tc>
          <w:tcPr>
            <w:tcW w:w="6910" w:type="dxa"/>
            <w:tcBorders>
              <w:top w:val="single" w:sz="8" w:space="0" w:color="1F497D"/>
              <w:left w:val="nil"/>
              <w:bottom w:val="nil"/>
              <w:right w:val="single" w:sz="12" w:space="0" w:color="1F497D"/>
            </w:tcBorders>
            <w:shd w:val="clear" w:color="auto" w:fill="000000"/>
            <w:tcMar>
              <w:top w:w="0" w:type="dxa"/>
              <w:left w:w="108" w:type="dxa"/>
              <w:bottom w:w="0" w:type="dxa"/>
              <w:right w:w="108" w:type="dxa"/>
            </w:tcMar>
            <w:hideMark/>
          </w:tcPr>
          <w:p w:rsidR="00E32968" w:rsidRDefault="00E32968" w:rsidP="00AE5BDE">
            <w:pPr>
              <w:keepNext/>
              <w:spacing w:before="60" w:after="32" w:line="300" w:lineRule="atLeast"/>
              <w:rPr>
                <w:rFonts w:ascii="Calibri" w:eastAsiaTheme="minorHAnsi" w:hAnsi="Calibri" w:cs="Calibri"/>
                <w:b/>
                <w:bCs/>
                <w:color w:val="FFFFFF"/>
                <w:sz w:val="22"/>
                <w:szCs w:val="22"/>
              </w:rPr>
            </w:pPr>
            <w:r>
              <w:rPr>
                <w:b/>
                <w:bCs/>
                <w:color w:val="FFFFFF"/>
              </w:rPr>
              <w:t>Milestone/action</w:t>
            </w:r>
          </w:p>
        </w:tc>
      </w:tr>
      <w:tr w:rsidR="00E32968" w:rsidTr="00BF4D5C">
        <w:trPr>
          <w:cantSplit/>
        </w:trPr>
        <w:tc>
          <w:tcPr>
            <w:tcW w:w="2268" w:type="dxa"/>
            <w:tcBorders>
              <w:top w:val="nil"/>
              <w:left w:val="single" w:sz="12" w:space="0" w:color="1F497D"/>
              <w:bottom w:val="single" w:sz="8" w:space="0" w:color="1F497D"/>
              <w:right w:val="single" w:sz="8" w:space="0" w:color="1F497D"/>
            </w:tcBorders>
            <w:tcMar>
              <w:top w:w="0" w:type="dxa"/>
              <w:left w:w="108" w:type="dxa"/>
              <w:bottom w:w="0" w:type="dxa"/>
              <w:right w:w="108" w:type="dxa"/>
            </w:tcMar>
            <w:hideMark/>
          </w:tcPr>
          <w:p w:rsidR="00E32968" w:rsidRDefault="00E32968" w:rsidP="00AE5BDE">
            <w:pPr>
              <w:keepNext/>
              <w:spacing w:before="56" w:after="32" w:line="300" w:lineRule="atLeast"/>
              <w:rPr>
                <w:rFonts w:ascii="Calibri" w:eastAsiaTheme="minorHAnsi" w:hAnsi="Calibri" w:cs="Calibri"/>
                <w:sz w:val="22"/>
                <w:szCs w:val="22"/>
              </w:rPr>
            </w:pPr>
            <w:r>
              <w:t xml:space="preserve">Monday 19 June </w:t>
            </w:r>
          </w:p>
        </w:tc>
        <w:tc>
          <w:tcPr>
            <w:tcW w:w="6910" w:type="dxa"/>
            <w:tcBorders>
              <w:top w:val="nil"/>
              <w:left w:val="nil"/>
              <w:bottom w:val="single" w:sz="8" w:space="0" w:color="1F497D"/>
              <w:right w:val="single" w:sz="12" w:space="0" w:color="1F497D"/>
            </w:tcBorders>
            <w:tcMar>
              <w:top w:w="0" w:type="dxa"/>
              <w:left w:w="108" w:type="dxa"/>
              <w:bottom w:w="0" w:type="dxa"/>
              <w:right w:w="108" w:type="dxa"/>
            </w:tcMar>
            <w:hideMark/>
          </w:tcPr>
          <w:p w:rsidR="00E32968" w:rsidRDefault="00E32968" w:rsidP="00AE5BDE">
            <w:pPr>
              <w:keepNext/>
              <w:spacing w:before="56" w:after="32" w:line="300" w:lineRule="atLeast"/>
              <w:rPr>
                <w:rFonts w:ascii="Calibri" w:eastAsiaTheme="minorHAnsi" w:hAnsi="Calibri" w:cs="Calibri"/>
                <w:sz w:val="22"/>
                <w:szCs w:val="22"/>
              </w:rPr>
            </w:pPr>
            <w:r>
              <w:t>Joint Mi</w:t>
            </w:r>
            <w:r w:rsidR="00F02F27">
              <w:t>nisters’ meeting to discuss these</w:t>
            </w:r>
            <w:r>
              <w:t xml:space="preserve"> report</w:t>
            </w:r>
            <w:r w:rsidR="00F02F27">
              <w:t>s</w:t>
            </w:r>
            <w:r>
              <w:t xml:space="preserve"> and policy recommendations</w:t>
            </w:r>
          </w:p>
        </w:tc>
      </w:tr>
      <w:tr w:rsidR="00F36523" w:rsidTr="00BF4D5C">
        <w:trPr>
          <w:cantSplit/>
        </w:trPr>
        <w:tc>
          <w:tcPr>
            <w:tcW w:w="2268" w:type="dxa"/>
            <w:tcBorders>
              <w:top w:val="nil"/>
              <w:left w:val="single" w:sz="12" w:space="0" w:color="1F497D"/>
              <w:bottom w:val="single" w:sz="8" w:space="0" w:color="1F497D"/>
              <w:right w:val="single" w:sz="8" w:space="0" w:color="1F497D"/>
            </w:tcBorders>
            <w:tcMar>
              <w:top w:w="0" w:type="dxa"/>
              <w:left w:w="108" w:type="dxa"/>
              <w:bottom w:w="0" w:type="dxa"/>
              <w:right w:w="108" w:type="dxa"/>
            </w:tcMar>
          </w:tcPr>
          <w:p w:rsidR="00F36523" w:rsidRDefault="00F36523" w:rsidP="00AE5BDE">
            <w:pPr>
              <w:keepNext/>
              <w:spacing w:before="56" w:after="32" w:line="300" w:lineRule="atLeast"/>
            </w:pPr>
            <w:r w:rsidRPr="0001189B">
              <w:rPr>
                <w:szCs w:val="24"/>
              </w:rPr>
              <w:t xml:space="preserve">Week commencing </w:t>
            </w:r>
            <w:r>
              <w:rPr>
                <w:szCs w:val="24"/>
              </w:rPr>
              <w:t xml:space="preserve"> 19</w:t>
            </w:r>
            <w:r w:rsidRPr="00D70C00">
              <w:rPr>
                <w:szCs w:val="24"/>
              </w:rPr>
              <w:t xml:space="preserve"> June</w:t>
            </w:r>
          </w:p>
        </w:tc>
        <w:tc>
          <w:tcPr>
            <w:tcW w:w="6910" w:type="dxa"/>
            <w:tcBorders>
              <w:top w:val="nil"/>
              <w:left w:val="nil"/>
              <w:bottom w:val="single" w:sz="8" w:space="0" w:color="1F497D"/>
              <w:right w:val="single" w:sz="12" w:space="0" w:color="1F497D"/>
            </w:tcBorders>
            <w:tcMar>
              <w:top w:w="0" w:type="dxa"/>
              <w:left w:w="108" w:type="dxa"/>
              <w:bottom w:w="0" w:type="dxa"/>
              <w:right w:w="108" w:type="dxa"/>
            </w:tcMar>
          </w:tcPr>
          <w:p w:rsidR="00F36523" w:rsidRPr="00F36523" w:rsidRDefault="00F36523" w:rsidP="00AE5BDE">
            <w:pPr>
              <w:pStyle w:val="ListParagraph"/>
              <w:keepNext/>
              <w:numPr>
                <w:ilvl w:val="0"/>
                <w:numId w:val="36"/>
              </w:numPr>
              <w:spacing w:before="56" w:after="32" w:line="300" w:lineRule="atLeast"/>
              <w:rPr>
                <w:szCs w:val="24"/>
              </w:rPr>
            </w:pPr>
            <w:r w:rsidRPr="00E52A49">
              <w:rPr>
                <w:rFonts w:ascii="Times New Roman" w:hAnsi="Times New Roman"/>
                <w:sz w:val="24"/>
                <w:szCs w:val="24"/>
              </w:rPr>
              <w:t xml:space="preserve">Report </w:t>
            </w:r>
            <w:r>
              <w:rPr>
                <w:rFonts w:ascii="Times New Roman" w:hAnsi="Times New Roman"/>
                <w:sz w:val="24"/>
                <w:szCs w:val="24"/>
              </w:rPr>
              <w:t>with advice and policy recommendations on transfer pricing and PE avoidance</w:t>
            </w:r>
          </w:p>
          <w:p w:rsidR="00F36523" w:rsidRPr="00F36523" w:rsidRDefault="00F36523" w:rsidP="00AE5BDE">
            <w:pPr>
              <w:pStyle w:val="ListParagraph"/>
              <w:keepNext/>
              <w:numPr>
                <w:ilvl w:val="0"/>
                <w:numId w:val="36"/>
              </w:numPr>
              <w:spacing w:before="56" w:after="32" w:line="300" w:lineRule="atLeast"/>
              <w:rPr>
                <w:szCs w:val="24"/>
              </w:rPr>
            </w:pPr>
            <w:r w:rsidRPr="00E52A49">
              <w:rPr>
                <w:rFonts w:ascii="Times New Roman" w:hAnsi="Times New Roman"/>
                <w:sz w:val="24"/>
                <w:szCs w:val="24"/>
              </w:rPr>
              <w:t xml:space="preserve">Report </w:t>
            </w:r>
            <w:r>
              <w:rPr>
                <w:rFonts w:ascii="Times New Roman" w:hAnsi="Times New Roman"/>
                <w:sz w:val="24"/>
                <w:szCs w:val="24"/>
              </w:rPr>
              <w:t>with advice and policy recommendations on interest limitation</w:t>
            </w:r>
          </w:p>
        </w:tc>
      </w:tr>
      <w:tr w:rsidR="002F3685" w:rsidRPr="0001189B" w:rsidTr="00BF4D5C">
        <w:trPr>
          <w:cantSplit/>
        </w:trPr>
        <w:tc>
          <w:tcPr>
            <w:tcW w:w="2268" w:type="dxa"/>
            <w:tcBorders>
              <w:top w:val="nil"/>
              <w:left w:val="single" w:sz="12" w:space="0" w:color="1F497D"/>
              <w:bottom w:val="single" w:sz="8" w:space="0" w:color="1F497D"/>
              <w:right w:val="single" w:sz="8" w:space="0" w:color="1F497D"/>
            </w:tcBorders>
            <w:tcMar>
              <w:top w:w="0" w:type="dxa"/>
              <w:left w:w="108" w:type="dxa"/>
              <w:bottom w:w="0" w:type="dxa"/>
              <w:right w:w="108" w:type="dxa"/>
            </w:tcMar>
          </w:tcPr>
          <w:p w:rsidR="002F3685" w:rsidRPr="00D70C00" w:rsidRDefault="003A45BD" w:rsidP="00AE5BDE">
            <w:pPr>
              <w:keepNext/>
              <w:spacing w:before="56" w:after="32" w:line="300" w:lineRule="atLeast"/>
              <w:rPr>
                <w:szCs w:val="24"/>
              </w:rPr>
            </w:pPr>
            <w:r w:rsidRPr="0001189B">
              <w:rPr>
                <w:szCs w:val="24"/>
              </w:rPr>
              <w:t xml:space="preserve">Week commencing </w:t>
            </w:r>
            <w:r w:rsidR="000D0533">
              <w:rPr>
                <w:szCs w:val="24"/>
              </w:rPr>
              <w:t xml:space="preserve"> 26</w:t>
            </w:r>
            <w:r w:rsidR="002F3685" w:rsidRPr="00D70C00">
              <w:rPr>
                <w:szCs w:val="24"/>
              </w:rPr>
              <w:t xml:space="preserve"> June</w:t>
            </w:r>
          </w:p>
        </w:tc>
        <w:tc>
          <w:tcPr>
            <w:tcW w:w="6910" w:type="dxa"/>
            <w:tcBorders>
              <w:top w:val="nil"/>
              <w:left w:val="nil"/>
              <w:bottom w:val="single" w:sz="8" w:space="0" w:color="1F497D"/>
              <w:right w:val="single" w:sz="12" w:space="0" w:color="1F497D"/>
            </w:tcBorders>
            <w:tcMar>
              <w:top w:w="0" w:type="dxa"/>
              <w:left w:w="108" w:type="dxa"/>
              <w:bottom w:w="0" w:type="dxa"/>
              <w:right w:w="108" w:type="dxa"/>
            </w:tcMar>
          </w:tcPr>
          <w:p w:rsidR="002F3685" w:rsidRPr="00D70C00" w:rsidRDefault="002F3685" w:rsidP="00AE5BDE">
            <w:pPr>
              <w:pStyle w:val="ListParagraph"/>
              <w:keepNext/>
              <w:numPr>
                <w:ilvl w:val="0"/>
                <w:numId w:val="36"/>
              </w:numPr>
              <w:spacing w:before="56" w:after="32" w:line="300" w:lineRule="atLeast"/>
              <w:rPr>
                <w:szCs w:val="24"/>
              </w:rPr>
            </w:pPr>
            <w:r w:rsidRPr="00E52A49">
              <w:rPr>
                <w:rFonts w:ascii="Times New Roman" w:hAnsi="Times New Roman"/>
                <w:sz w:val="24"/>
                <w:szCs w:val="24"/>
              </w:rPr>
              <w:t>Report on hybrids entities and instruments proposals sent to Ministers</w:t>
            </w:r>
          </w:p>
          <w:p w:rsidR="006D7392" w:rsidRPr="00D70C00" w:rsidRDefault="006D7392" w:rsidP="00AE5BDE">
            <w:pPr>
              <w:pStyle w:val="ListParagraph"/>
              <w:keepNext/>
              <w:numPr>
                <w:ilvl w:val="0"/>
                <w:numId w:val="36"/>
              </w:numPr>
              <w:spacing w:before="56" w:after="32" w:line="300" w:lineRule="atLeast"/>
              <w:rPr>
                <w:szCs w:val="24"/>
              </w:rPr>
            </w:pPr>
            <w:r w:rsidRPr="00E52A49">
              <w:rPr>
                <w:rFonts w:ascii="Times New Roman" w:hAnsi="Times New Roman"/>
                <w:sz w:val="24"/>
                <w:szCs w:val="24"/>
              </w:rPr>
              <w:t>Draft cover Cabinet paper with overview</w:t>
            </w:r>
            <w:r w:rsidR="00E52A49">
              <w:rPr>
                <w:rFonts w:ascii="Times New Roman" w:hAnsi="Times New Roman"/>
                <w:sz w:val="24"/>
                <w:szCs w:val="24"/>
              </w:rPr>
              <w:t xml:space="preserve"> of the BEPS package to Minis</w:t>
            </w:r>
            <w:r w:rsidRPr="00E52A49">
              <w:rPr>
                <w:rFonts w:ascii="Times New Roman" w:hAnsi="Times New Roman"/>
                <w:sz w:val="24"/>
                <w:szCs w:val="24"/>
              </w:rPr>
              <w:t>ters</w:t>
            </w:r>
          </w:p>
        </w:tc>
      </w:tr>
      <w:tr w:rsidR="002F3685" w:rsidRPr="0001189B" w:rsidTr="00BF4D5C">
        <w:trPr>
          <w:cantSplit/>
        </w:trPr>
        <w:tc>
          <w:tcPr>
            <w:tcW w:w="2268" w:type="dxa"/>
            <w:tcBorders>
              <w:top w:val="nil"/>
              <w:left w:val="single" w:sz="12" w:space="0" w:color="1F497D"/>
              <w:bottom w:val="single" w:sz="8" w:space="0" w:color="1F497D"/>
              <w:right w:val="single" w:sz="8" w:space="0" w:color="1F497D"/>
            </w:tcBorders>
            <w:tcMar>
              <w:top w:w="0" w:type="dxa"/>
              <w:left w:w="108" w:type="dxa"/>
              <w:bottom w:w="0" w:type="dxa"/>
              <w:right w:w="108" w:type="dxa"/>
            </w:tcMar>
          </w:tcPr>
          <w:p w:rsidR="002F3685" w:rsidRPr="00D70C00" w:rsidRDefault="002F3685" w:rsidP="00AE5BDE">
            <w:pPr>
              <w:keepNext/>
              <w:spacing w:before="56" w:after="32" w:line="300" w:lineRule="atLeast"/>
              <w:rPr>
                <w:szCs w:val="24"/>
              </w:rPr>
            </w:pPr>
            <w:r w:rsidRPr="00D70C00">
              <w:rPr>
                <w:szCs w:val="24"/>
              </w:rPr>
              <w:t>Wednesday 5 July</w:t>
            </w:r>
          </w:p>
        </w:tc>
        <w:tc>
          <w:tcPr>
            <w:tcW w:w="6910" w:type="dxa"/>
            <w:tcBorders>
              <w:top w:val="nil"/>
              <w:left w:val="nil"/>
              <w:bottom w:val="single" w:sz="8" w:space="0" w:color="1F497D"/>
              <w:right w:val="single" w:sz="12" w:space="0" w:color="1F497D"/>
            </w:tcBorders>
            <w:tcMar>
              <w:top w:w="0" w:type="dxa"/>
              <w:left w:w="108" w:type="dxa"/>
              <w:bottom w:w="0" w:type="dxa"/>
              <w:right w:w="108" w:type="dxa"/>
            </w:tcMar>
          </w:tcPr>
          <w:p w:rsidR="002F3685" w:rsidRPr="000D0533" w:rsidRDefault="002F3685" w:rsidP="00AE5BDE">
            <w:pPr>
              <w:keepNext/>
              <w:spacing w:before="56" w:after="32" w:line="300" w:lineRule="atLeast"/>
              <w:rPr>
                <w:szCs w:val="24"/>
              </w:rPr>
            </w:pPr>
            <w:r w:rsidRPr="00EB00D2">
              <w:rPr>
                <w:szCs w:val="24"/>
              </w:rPr>
              <w:t>Joint Ministers</w:t>
            </w:r>
            <w:r w:rsidR="00FE30EA">
              <w:rPr>
                <w:szCs w:val="24"/>
              </w:rPr>
              <w:t>’</w:t>
            </w:r>
            <w:r w:rsidRPr="00EB00D2">
              <w:rPr>
                <w:szCs w:val="24"/>
              </w:rPr>
              <w:t xml:space="preserve"> meeting to discuss hybrids recommendations</w:t>
            </w:r>
            <w:r w:rsidR="0001189B" w:rsidRPr="00EB00D2">
              <w:rPr>
                <w:szCs w:val="24"/>
              </w:rPr>
              <w:t xml:space="preserve"> and draft cover Cabinet paper</w:t>
            </w:r>
          </w:p>
        </w:tc>
      </w:tr>
      <w:tr w:rsidR="003A45BD" w:rsidRPr="0001189B" w:rsidTr="00BF4D5C">
        <w:trPr>
          <w:cantSplit/>
        </w:trPr>
        <w:tc>
          <w:tcPr>
            <w:tcW w:w="2268" w:type="dxa"/>
            <w:tcBorders>
              <w:top w:val="nil"/>
              <w:left w:val="single" w:sz="12" w:space="0" w:color="1F497D"/>
              <w:bottom w:val="single" w:sz="8" w:space="0" w:color="1F497D"/>
              <w:right w:val="single" w:sz="8" w:space="0" w:color="1F497D"/>
            </w:tcBorders>
            <w:tcMar>
              <w:top w:w="0" w:type="dxa"/>
              <w:left w:w="108" w:type="dxa"/>
              <w:bottom w:w="0" w:type="dxa"/>
              <w:right w:w="108" w:type="dxa"/>
            </w:tcMar>
          </w:tcPr>
          <w:p w:rsidR="003A45BD" w:rsidRPr="00EB00D2" w:rsidRDefault="003A45BD" w:rsidP="00AE5BDE">
            <w:pPr>
              <w:keepNext/>
              <w:spacing w:before="56" w:after="32" w:line="300" w:lineRule="atLeast"/>
              <w:rPr>
                <w:szCs w:val="24"/>
              </w:rPr>
            </w:pPr>
            <w:r w:rsidRPr="00D70C00">
              <w:rPr>
                <w:szCs w:val="24"/>
              </w:rPr>
              <w:t xml:space="preserve">Week commencing </w:t>
            </w:r>
            <w:r w:rsidRPr="00EB00D2">
              <w:rPr>
                <w:szCs w:val="24"/>
              </w:rPr>
              <w:t>10 July</w:t>
            </w:r>
          </w:p>
        </w:tc>
        <w:tc>
          <w:tcPr>
            <w:tcW w:w="6910" w:type="dxa"/>
            <w:tcBorders>
              <w:top w:val="nil"/>
              <w:left w:val="nil"/>
              <w:bottom w:val="single" w:sz="8" w:space="0" w:color="1F497D"/>
              <w:right w:val="single" w:sz="12" w:space="0" w:color="1F497D"/>
            </w:tcBorders>
            <w:tcMar>
              <w:top w:w="0" w:type="dxa"/>
              <w:left w:w="108" w:type="dxa"/>
              <w:bottom w:w="0" w:type="dxa"/>
              <w:right w:w="108" w:type="dxa"/>
            </w:tcMar>
          </w:tcPr>
          <w:p w:rsidR="003A45BD" w:rsidRPr="000D0533" w:rsidRDefault="0001189B" w:rsidP="00AE5BDE">
            <w:pPr>
              <w:keepNext/>
              <w:spacing w:before="56" w:after="32" w:line="300" w:lineRule="atLeast"/>
              <w:rPr>
                <w:szCs w:val="24"/>
              </w:rPr>
            </w:pPr>
            <w:r w:rsidRPr="000D0533">
              <w:rPr>
                <w:szCs w:val="24"/>
              </w:rPr>
              <w:t xml:space="preserve">Provide the following </w:t>
            </w:r>
            <w:r w:rsidR="003A45BD" w:rsidRPr="000D0533">
              <w:rPr>
                <w:szCs w:val="24"/>
              </w:rPr>
              <w:t>Cabinet Paper</w:t>
            </w:r>
            <w:r w:rsidRPr="000D0533">
              <w:rPr>
                <w:szCs w:val="24"/>
              </w:rPr>
              <w:t>s</w:t>
            </w:r>
            <w:r w:rsidR="003A45BD" w:rsidRPr="000D0533">
              <w:rPr>
                <w:szCs w:val="24"/>
              </w:rPr>
              <w:t xml:space="preserve"> and </w:t>
            </w:r>
            <w:proofErr w:type="spellStart"/>
            <w:r w:rsidR="003A45BD" w:rsidRPr="000D0533">
              <w:rPr>
                <w:szCs w:val="24"/>
              </w:rPr>
              <w:t>RIS</w:t>
            </w:r>
            <w:r w:rsidRPr="000D0533">
              <w:rPr>
                <w:szCs w:val="24"/>
              </w:rPr>
              <w:t>s</w:t>
            </w:r>
            <w:proofErr w:type="spellEnd"/>
            <w:r w:rsidR="003A45BD" w:rsidRPr="000D0533">
              <w:rPr>
                <w:szCs w:val="24"/>
              </w:rPr>
              <w:t xml:space="preserve"> to Ministers</w:t>
            </w:r>
            <w:r w:rsidRPr="000D0533">
              <w:rPr>
                <w:szCs w:val="24"/>
              </w:rPr>
              <w:t>:</w:t>
            </w:r>
          </w:p>
          <w:p w:rsidR="0001189B" w:rsidRPr="00D70C00" w:rsidRDefault="0001189B" w:rsidP="00AE5BDE">
            <w:pPr>
              <w:pStyle w:val="ListParagraph"/>
              <w:keepNext/>
              <w:numPr>
                <w:ilvl w:val="0"/>
                <w:numId w:val="37"/>
              </w:numPr>
              <w:spacing w:before="56" w:after="32" w:line="300" w:lineRule="atLeast"/>
              <w:rPr>
                <w:szCs w:val="24"/>
              </w:rPr>
            </w:pPr>
            <w:r w:rsidRPr="00E52A49">
              <w:rPr>
                <w:rFonts w:ascii="Times New Roman" w:hAnsi="Times New Roman"/>
                <w:sz w:val="24"/>
                <w:szCs w:val="24"/>
              </w:rPr>
              <w:t>Cover paper with overview of BEPS package</w:t>
            </w:r>
          </w:p>
          <w:p w:rsidR="0001189B" w:rsidRPr="00D70C00" w:rsidRDefault="0001189B" w:rsidP="00AE5BDE">
            <w:pPr>
              <w:pStyle w:val="ListParagraph"/>
              <w:keepNext/>
              <w:numPr>
                <w:ilvl w:val="0"/>
                <w:numId w:val="37"/>
              </w:numPr>
              <w:spacing w:before="56" w:after="32" w:line="300" w:lineRule="atLeast"/>
              <w:rPr>
                <w:szCs w:val="24"/>
              </w:rPr>
            </w:pPr>
            <w:r w:rsidRPr="00E52A49">
              <w:rPr>
                <w:rFonts w:ascii="Times New Roman" w:hAnsi="Times New Roman"/>
                <w:sz w:val="24"/>
                <w:szCs w:val="24"/>
              </w:rPr>
              <w:t>Transfer pricing and permanent establishment avoidance</w:t>
            </w:r>
          </w:p>
          <w:p w:rsidR="0001189B" w:rsidRPr="00D70C00" w:rsidRDefault="0001189B" w:rsidP="00AE5BDE">
            <w:pPr>
              <w:pStyle w:val="ListParagraph"/>
              <w:keepNext/>
              <w:numPr>
                <w:ilvl w:val="0"/>
                <w:numId w:val="37"/>
              </w:numPr>
              <w:spacing w:before="56" w:after="32" w:line="300" w:lineRule="atLeast"/>
              <w:rPr>
                <w:szCs w:val="24"/>
              </w:rPr>
            </w:pPr>
            <w:r w:rsidRPr="00E52A49">
              <w:rPr>
                <w:rFonts w:ascii="Times New Roman" w:hAnsi="Times New Roman"/>
                <w:sz w:val="24"/>
                <w:szCs w:val="24"/>
              </w:rPr>
              <w:t>Interest limitation</w:t>
            </w:r>
          </w:p>
          <w:p w:rsidR="0001189B" w:rsidRPr="00D70C00" w:rsidRDefault="0001189B" w:rsidP="00AE5BDE">
            <w:pPr>
              <w:pStyle w:val="ListParagraph"/>
              <w:keepNext/>
              <w:numPr>
                <w:ilvl w:val="0"/>
                <w:numId w:val="37"/>
              </w:numPr>
              <w:spacing w:before="56" w:after="32" w:line="300" w:lineRule="atLeast"/>
              <w:rPr>
                <w:szCs w:val="24"/>
              </w:rPr>
            </w:pPr>
            <w:r w:rsidRPr="00E52A49">
              <w:rPr>
                <w:rFonts w:ascii="Times New Roman" w:hAnsi="Times New Roman"/>
                <w:sz w:val="24"/>
                <w:szCs w:val="24"/>
              </w:rPr>
              <w:t>Hybrid mismatches</w:t>
            </w:r>
          </w:p>
        </w:tc>
      </w:tr>
      <w:tr w:rsidR="00E32968" w:rsidTr="00BF4D5C">
        <w:trPr>
          <w:cantSplit/>
        </w:trPr>
        <w:tc>
          <w:tcPr>
            <w:tcW w:w="2268" w:type="dxa"/>
            <w:tcBorders>
              <w:top w:val="nil"/>
              <w:left w:val="single" w:sz="12" w:space="0" w:color="1F497D"/>
              <w:bottom w:val="single" w:sz="8" w:space="0" w:color="1F497D"/>
              <w:right w:val="single" w:sz="8" w:space="0" w:color="1F497D"/>
            </w:tcBorders>
            <w:tcMar>
              <w:top w:w="0" w:type="dxa"/>
              <w:left w:w="108" w:type="dxa"/>
              <w:bottom w:w="0" w:type="dxa"/>
              <w:right w:w="108" w:type="dxa"/>
            </w:tcMar>
            <w:hideMark/>
          </w:tcPr>
          <w:p w:rsidR="00E32968" w:rsidRDefault="00E32968" w:rsidP="00AE5BDE">
            <w:pPr>
              <w:keepNext/>
              <w:spacing w:before="56" w:after="32" w:line="300" w:lineRule="atLeast"/>
              <w:rPr>
                <w:rFonts w:ascii="Calibri" w:eastAsiaTheme="minorHAnsi" w:hAnsi="Calibri" w:cs="Calibri"/>
                <w:sz w:val="22"/>
                <w:szCs w:val="22"/>
              </w:rPr>
            </w:pPr>
            <w:r>
              <w:t xml:space="preserve">Thursday 20 July </w:t>
            </w:r>
          </w:p>
        </w:tc>
        <w:tc>
          <w:tcPr>
            <w:tcW w:w="6910" w:type="dxa"/>
            <w:tcBorders>
              <w:top w:val="nil"/>
              <w:left w:val="nil"/>
              <w:bottom w:val="single" w:sz="8" w:space="0" w:color="1F497D"/>
              <w:right w:val="single" w:sz="12" w:space="0" w:color="1F497D"/>
            </w:tcBorders>
            <w:tcMar>
              <w:top w:w="0" w:type="dxa"/>
              <w:left w:w="108" w:type="dxa"/>
              <w:bottom w:w="0" w:type="dxa"/>
              <w:right w:w="108" w:type="dxa"/>
            </w:tcMar>
            <w:hideMark/>
          </w:tcPr>
          <w:p w:rsidR="00E32968" w:rsidRDefault="00E32968" w:rsidP="00AE5BDE">
            <w:pPr>
              <w:keepNext/>
              <w:spacing w:before="56" w:after="32" w:line="300" w:lineRule="atLeast"/>
              <w:rPr>
                <w:rFonts w:ascii="Calibri" w:eastAsiaTheme="minorHAnsi" w:hAnsi="Calibri" w:cs="Calibri"/>
                <w:sz w:val="22"/>
                <w:szCs w:val="22"/>
              </w:rPr>
            </w:pPr>
            <w:r>
              <w:t>Deadline for lodging Cabinet Paper</w:t>
            </w:r>
            <w:r w:rsidR="00F02F27">
              <w:t>s</w:t>
            </w:r>
            <w:r>
              <w:t xml:space="preserve"> in </w:t>
            </w:r>
            <w:proofErr w:type="spellStart"/>
            <w:r>
              <w:t>CabNet</w:t>
            </w:r>
            <w:proofErr w:type="spellEnd"/>
            <w:r>
              <w:t xml:space="preserve"> </w:t>
            </w:r>
          </w:p>
        </w:tc>
      </w:tr>
      <w:tr w:rsidR="00E32968" w:rsidTr="00BF4D5C">
        <w:trPr>
          <w:cantSplit/>
        </w:trPr>
        <w:tc>
          <w:tcPr>
            <w:tcW w:w="2268" w:type="dxa"/>
            <w:tcBorders>
              <w:top w:val="nil"/>
              <w:left w:val="single" w:sz="12" w:space="0" w:color="1F497D"/>
              <w:bottom w:val="single" w:sz="8" w:space="0" w:color="1F497D"/>
              <w:right w:val="single" w:sz="8" w:space="0" w:color="1F497D"/>
            </w:tcBorders>
            <w:tcMar>
              <w:top w:w="0" w:type="dxa"/>
              <w:left w:w="108" w:type="dxa"/>
              <w:bottom w:w="0" w:type="dxa"/>
              <w:right w:w="108" w:type="dxa"/>
            </w:tcMar>
            <w:hideMark/>
          </w:tcPr>
          <w:p w:rsidR="00E32968" w:rsidRDefault="00E32968" w:rsidP="00AE5BDE">
            <w:pPr>
              <w:keepNext/>
              <w:spacing w:before="56" w:after="32" w:line="300" w:lineRule="atLeast"/>
              <w:rPr>
                <w:rFonts w:ascii="Calibri" w:eastAsiaTheme="minorHAnsi" w:hAnsi="Calibri" w:cs="Calibri"/>
                <w:sz w:val="22"/>
                <w:szCs w:val="22"/>
              </w:rPr>
            </w:pPr>
            <w:r>
              <w:t>Wednesday 26 July</w:t>
            </w:r>
          </w:p>
        </w:tc>
        <w:tc>
          <w:tcPr>
            <w:tcW w:w="6910" w:type="dxa"/>
            <w:tcBorders>
              <w:top w:val="nil"/>
              <w:left w:val="nil"/>
              <w:bottom w:val="single" w:sz="8" w:space="0" w:color="1F497D"/>
              <w:right w:val="single" w:sz="12" w:space="0" w:color="1F497D"/>
            </w:tcBorders>
            <w:tcMar>
              <w:top w:w="0" w:type="dxa"/>
              <w:left w:w="108" w:type="dxa"/>
              <w:bottom w:w="0" w:type="dxa"/>
              <w:right w:w="108" w:type="dxa"/>
            </w:tcMar>
            <w:hideMark/>
          </w:tcPr>
          <w:p w:rsidR="00E32968" w:rsidRDefault="00E32968" w:rsidP="00AE5BDE">
            <w:pPr>
              <w:keepNext/>
              <w:spacing w:before="56" w:after="32" w:line="300" w:lineRule="atLeast"/>
              <w:rPr>
                <w:rFonts w:ascii="Calibri" w:eastAsiaTheme="minorHAnsi" w:hAnsi="Calibri" w:cs="Calibri"/>
                <w:sz w:val="22"/>
                <w:szCs w:val="22"/>
              </w:rPr>
            </w:pPr>
            <w:proofErr w:type="spellStart"/>
            <w:r>
              <w:t>EGI</w:t>
            </w:r>
            <w:proofErr w:type="spellEnd"/>
          </w:p>
        </w:tc>
      </w:tr>
      <w:tr w:rsidR="00E32968" w:rsidTr="00BF4D5C">
        <w:trPr>
          <w:cantSplit/>
        </w:trPr>
        <w:tc>
          <w:tcPr>
            <w:tcW w:w="2268" w:type="dxa"/>
            <w:tcBorders>
              <w:top w:val="nil"/>
              <w:left w:val="single" w:sz="12" w:space="0" w:color="1F497D"/>
              <w:bottom w:val="single" w:sz="8" w:space="0" w:color="1F497D"/>
              <w:right w:val="single" w:sz="8" w:space="0" w:color="1F497D"/>
            </w:tcBorders>
            <w:tcMar>
              <w:top w:w="0" w:type="dxa"/>
              <w:left w:w="108" w:type="dxa"/>
              <w:bottom w:w="0" w:type="dxa"/>
              <w:right w:w="108" w:type="dxa"/>
            </w:tcMar>
            <w:hideMark/>
          </w:tcPr>
          <w:p w:rsidR="00E32968" w:rsidRPr="00DA4DE5" w:rsidRDefault="00E32968" w:rsidP="00AE5BDE">
            <w:pPr>
              <w:keepNext/>
              <w:spacing w:before="56" w:after="32" w:line="300" w:lineRule="atLeast"/>
            </w:pPr>
            <w:r>
              <w:t>Monday 31 July</w:t>
            </w:r>
          </w:p>
        </w:tc>
        <w:tc>
          <w:tcPr>
            <w:tcW w:w="6910" w:type="dxa"/>
            <w:tcBorders>
              <w:top w:val="nil"/>
              <w:left w:val="nil"/>
              <w:bottom w:val="single" w:sz="8" w:space="0" w:color="1F497D"/>
              <w:right w:val="single" w:sz="12" w:space="0" w:color="1F497D"/>
            </w:tcBorders>
            <w:tcMar>
              <w:top w:w="0" w:type="dxa"/>
              <w:left w:w="108" w:type="dxa"/>
              <w:bottom w:w="0" w:type="dxa"/>
              <w:right w:w="108" w:type="dxa"/>
            </w:tcMar>
            <w:hideMark/>
          </w:tcPr>
          <w:p w:rsidR="00E32968" w:rsidRPr="00DA4DE5" w:rsidRDefault="00E32968" w:rsidP="00AE5BDE">
            <w:pPr>
              <w:keepNext/>
              <w:spacing w:before="56" w:after="32" w:line="300" w:lineRule="atLeast"/>
            </w:pPr>
            <w:r>
              <w:t xml:space="preserve">Cabinet </w:t>
            </w:r>
          </w:p>
        </w:tc>
      </w:tr>
    </w:tbl>
    <w:p w:rsidR="00B6233D" w:rsidRDefault="00B6233D" w:rsidP="00AE5BDE">
      <w:pPr>
        <w:pStyle w:val="Numberparagraph"/>
        <w:numPr>
          <w:ilvl w:val="0"/>
          <w:numId w:val="0"/>
        </w:numPr>
        <w:spacing w:line="300" w:lineRule="atLeast"/>
        <w:rPr>
          <w:rFonts w:ascii="Verdana" w:eastAsiaTheme="minorHAnsi" w:hAnsi="Verdana" w:cs="Calibri"/>
          <w:sz w:val="20"/>
          <w:szCs w:val="20"/>
          <w:lang w:eastAsia="en-US"/>
        </w:rPr>
      </w:pPr>
    </w:p>
    <w:p w:rsidR="00E32968" w:rsidRPr="00174316" w:rsidRDefault="00B6233D" w:rsidP="00AE5BDE">
      <w:pPr>
        <w:pStyle w:val="Numberparagraph"/>
        <w:numPr>
          <w:ilvl w:val="0"/>
          <w:numId w:val="0"/>
        </w:numPr>
        <w:spacing w:line="300" w:lineRule="atLeast"/>
      </w:pPr>
      <w:r w:rsidRPr="00B6233D">
        <w:fldChar w:fldCharType="begin"/>
      </w:r>
      <w:r w:rsidRPr="00B6233D">
        <w:instrText xml:space="preserve"> AUTONUM  </w:instrText>
      </w:r>
      <w:r w:rsidRPr="00B6233D">
        <w:fldChar w:fldCharType="end"/>
      </w:r>
      <w:r>
        <w:tab/>
      </w:r>
      <w:r w:rsidR="00E32968">
        <w:t xml:space="preserve">Consultation on draft legislation </w:t>
      </w:r>
      <w:r w:rsidR="0063542B">
        <w:t xml:space="preserve">and technical design details </w:t>
      </w:r>
      <w:r w:rsidR="00E32968">
        <w:t>will take place following Cabinet decisions, with a planned BEPS bill to be introduced after the general election.  To stay on track with the planned commencement date of income years starting on or after 1 July 2018, the BEPS bill will need to be introduced and have its first reading by 14 December 2017.</w:t>
      </w:r>
    </w:p>
    <w:p w:rsidR="00291E66" w:rsidRDefault="00291E66" w:rsidP="00AE5BDE">
      <w:pPr>
        <w:spacing w:line="300" w:lineRule="atLeast"/>
        <w:jc w:val="left"/>
        <w:rPr>
          <w:b/>
          <w:sz w:val="18"/>
          <w:szCs w:val="18"/>
        </w:rPr>
      </w:pPr>
      <w:r>
        <w:rPr>
          <w:b/>
          <w:sz w:val="18"/>
          <w:szCs w:val="18"/>
        </w:rPr>
        <w:br w:type="page"/>
      </w:r>
    </w:p>
    <w:p w:rsidR="00291E66" w:rsidRDefault="00291E66" w:rsidP="00AE5BDE">
      <w:pPr>
        <w:spacing w:after="200" w:line="300" w:lineRule="atLeast"/>
        <w:rPr>
          <w:b/>
          <w:sz w:val="28"/>
          <w:szCs w:val="28"/>
        </w:rPr>
      </w:pPr>
      <w:r>
        <w:rPr>
          <w:b/>
          <w:sz w:val="28"/>
          <w:szCs w:val="28"/>
        </w:rPr>
        <w:t>Appendix: List of submitters</w:t>
      </w:r>
    </w:p>
    <w:tbl>
      <w:tblPr>
        <w:tblStyle w:val="TableGrid"/>
        <w:tblW w:w="9606" w:type="dxa"/>
        <w:tblLayout w:type="fixed"/>
        <w:tblLook w:val="04A0" w:firstRow="1" w:lastRow="0" w:firstColumn="1" w:lastColumn="0" w:noHBand="0" w:noVBand="1"/>
      </w:tblPr>
      <w:tblGrid>
        <w:gridCol w:w="1668"/>
        <w:gridCol w:w="1984"/>
        <w:gridCol w:w="4536"/>
        <w:gridCol w:w="709"/>
        <w:gridCol w:w="709"/>
      </w:tblGrid>
      <w:tr w:rsidR="00291E66" w:rsidRPr="00E52A49" w:rsidTr="00B85363">
        <w:tc>
          <w:tcPr>
            <w:tcW w:w="1668" w:type="dxa"/>
          </w:tcPr>
          <w:p w:rsidR="00291E66" w:rsidRPr="00E52A49" w:rsidRDefault="00291E66" w:rsidP="00AE5BDE">
            <w:pPr>
              <w:spacing w:line="300" w:lineRule="atLeast"/>
              <w:rPr>
                <w:b/>
                <w:szCs w:val="24"/>
              </w:rPr>
            </w:pPr>
            <w:r w:rsidRPr="00E52A49">
              <w:rPr>
                <w:b/>
                <w:szCs w:val="24"/>
              </w:rPr>
              <w:t>Abbreviation</w:t>
            </w:r>
          </w:p>
        </w:tc>
        <w:tc>
          <w:tcPr>
            <w:tcW w:w="1984" w:type="dxa"/>
          </w:tcPr>
          <w:p w:rsidR="00291E66" w:rsidRPr="00E52A49" w:rsidRDefault="00291E66" w:rsidP="00AE5BDE">
            <w:pPr>
              <w:spacing w:line="300" w:lineRule="atLeast"/>
              <w:jc w:val="left"/>
              <w:rPr>
                <w:b/>
                <w:szCs w:val="24"/>
              </w:rPr>
            </w:pPr>
            <w:r w:rsidRPr="00E52A49">
              <w:rPr>
                <w:b/>
                <w:szCs w:val="24"/>
              </w:rPr>
              <w:t>Full name</w:t>
            </w:r>
          </w:p>
        </w:tc>
        <w:tc>
          <w:tcPr>
            <w:tcW w:w="4536" w:type="dxa"/>
          </w:tcPr>
          <w:p w:rsidR="00291E66" w:rsidRPr="00E52A49" w:rsidRDefault="00291E66" w:rsidP="00AE5BDE">
            <w:pPr>
              <w:spacing w:line="300" w:lineRule="atLeast"/>
              <w:rPr>
                <w:b/>
                <w:szCs w:val="24"/>
              </w:rPr>
            </w:pPr>
            <w:r w:rsidRPr="00E52A49">
              <w:rPr>
                <w:b/>
                <w:szCs w:val="24"/>
              </w:rPr>
              <w:t>Description</w:t>
            </w:r>
          </w:p>
        </w:tc>
        <w:tc>
          <w:tcPr>
            <w:tcW w:w="709" w:type="dxa"/>
          </w:tcPr>
          <w:p w:rsidR="00291E66" w:rsidRPr="00E52A49" w:rsidRDefault="00B02572" w:rsidP="00AE5BDE">
            <w:pPr>
              <w:spacing w:line="300" w:lineRule="atLeast"/>
              <w:rPr>
                <w:b/>
                <w:szCs w:val="24"/>
              </w:rPr>
            </w:pPr>
            <w:r w:rsidRPr="00E52A49">
              <w:rPr>
                <w:b/>
                <w:szCs w:val="24"/>
              </w:rPr>
              <w:t>IL</w:t>
            </w:r>
            <w:r w:rsidR="00B85363">
              <w:rPr>
                <w:rStyle w:val="FootnoteReference"/>
                <w:b/>
                <w:szCs w:val="24"/>
              </w:rPr>
              <w:footnoteReference w:id="6"/>
            </w:r>
          </w:p>
        </w:tc>
        <w:tc>
          <w:tcPr>
            <w:tcW w:w="709" w:type="dxa"/>
          </w:tcPr>
          <w:p w:rsidR="00291E66" w:rsidRPr="00E52A49" w:rsidRDefault="00B02572" w:rsidP="00AE5BDE">
            <w:pPr>
              <w:spacing w:line="300" w:lineRule="atLeast"/>
              <w:rPr>
                <w:b/>
                <w:szCs w:val="24"/>
              </w:rPr>
            </w:pPr>
            <w:proofErr w:type="spellStart"/>
            <w:r w:rsidRPr="00E52A49">
              <w:rPr>
                <w:b/>
                <w:szCs w:val="24"/>
              </w:rPr>
              <w:t>TP</w:t>
            </w:r>
            <w:proofErr w:type="spellEnd"/>
            <w:r w:rsidR="00B85363">
              <w:rPr>
                <w:rStyle w:val="FootnoteReference"/>
                <w:b/>
                <w:szCs w:val="24"/>
              </w:rPr>
              <w:footnoteReference w:id="7"/>
            </w:r>
          </w:p>
        </w:tc>
      </w:tr>
      <w:tr w:rsidR="00291E66" w:rsidRPr="00E52A49" w:rsidTr="00B85363">
        <w:tc>
          <w:tcPr>
            <w:tcW w:w="1668" w:type="dxa"/>
          </w:tcPr>
          <w:p w:rsidR="00291E66" w:rsidRPr="00E52A49" w:rsidRDefault="00291E66" w:rsidP="00AE5BDE">
            <w:pPr>
              <w:spacing w:line="300" w:lineRule="atLeast"/>
              <w:rPr>
                <w:szCs w:val="24"/>
              </w:rPr>
            </w:pPr>
            <w:proofErr w:type="spellStart"/>
            <w:r w:rsidRPr="00E52A49">
              <w:rPr>
                <w:szCs w:val="24"/>
              </w:rPr>
              <w:t>AmCham</w:t>
            </w:r>
            <w:proofErr w:type="spellEnd"/>
          </w:p>
        </w:tc>
        <w:tc>
          <w:tcPr>
            <w:tcW w:w="1984" w:type="dxa"/>
          </w:tcPr>
          <w:p w:rsidR="00291E66" w:rsidRPr="00E52A49" w:rsidRDefault="00291E66" w:rsidP="00AE5BDE">
            <w:pPr>
              <w:spacing w:line="300" w:lineRule="atLeast"/>
              <w:jc w:val="left"/>
              <w:rPr>
                <w:szCs w:val="24"/>
              </w:rPr>
            </w:pPr>
            <w:r w:rsidRPr="00E52A49">
              <w:rPr>
                <w:szCs w:val="24"/>
              </w:rPr>
              <w:t>The American Chamber of Commerce in New Zealand</w:t>
            </w:r>
          </w:p>
        </w:tc>
        <w:tc>
          <w:tcPr>
            <w:tcW w:w="4536" w:type="dxa"/>
          </w:tcPr>
          <w:p w:rsidR="00291E66" w:rsidRPr="00E52A49" w:rsidRDefault="00291E66" w:rsidP="00AE5BDE">
            <w:pPr>
              <w:spacing w:line="300" w:lineRule="atLeast"/>
              <w:rPr>
                <w:szCs w:val="24"/>
              </w:rPr>
            </w:pPr>
            <w:proofErr w:type="spellStart"/>
            <w:r w:rsidRPr="00E52A49">
              <w:rPr>
                <w:szCs w:val="24"/>
              </w:rPr>
              <w:t>AmCham</w:t>
            </w:r>
            <w:proofErr w:type="spellEnd"/>
            <w:r w:rsidRPr="00E52A49">
              <w:rPr>
                <w:szCs w:val="24"/>
              </w:rPr>
              <w:t xml:space="preserve"> is a New Zealand business organisation which promotes two-way trade and investment relationships primarily between New Zealand and the United States, but also within the Asia-Pacific region.</w:t>
            </w:r>
          </w:p>
        </w:tc>
        <w:tc>
          <w:tcPr>
            <w:tcW w:w="709" w:type="dxa"/>
            <w:vAlign w:val="center"/>
          </w:tcPr>
          <w:p w:rsidR="00291E66" w:rsidRPr="00E52A49" w:rsidRDefault="00B02572" w:rsidP="00AE5BDE">
            <w:pPr>
              <w:spacing w:line="300" w:lineRule="atLeast"/>
              <w:jc w:val="center"/>
              <w:rPr>
                <w:szCs w:val="24"/>
              </w:rPr>
            </w:pPr>
            <w:r w:rsidRPr="00E52A49">
              <w:rPr>
                <w:b/>
                <w:szCs w:val="24"/>
              </w:rPr>
              <w:sym w:font="Wingdings" w:char="F0FC"/>
            </w:r>
          </w:p>
        </w:tc>
        <w:tc>
          <w:tcPr>
            <w:tcW w:w="709" w:type="dxa"/>
            <w:vAlign w:val="center"/>
          </w:tcPr>
          <w:p w:rsidR="00291E66" w:rsidRPr="00E52A49" w:rsidRDefault="00B02572" w:rsidP="00AE5BDE">
            <w:pPr>
              <w:spacing w:line="300" w:lineRule="atLeast"/>
              <w:jc w:val="center"/>
              <w:rPr>
                <w:b/>
                <w:szCs w:val="24"/>
              </w:rPr>
            </w:pPr>
            <w:r w:rsidRPr="00E52A49">
              <w:rPr>
                <w:b/>
                <w:szCs w:val="24"/>
              </w:rPr>
              <w:sym w:font="Wingdings" w:char="F0FC"/>
            </w:r>
          </w:p>
        </w:tc>
      </w:tr>
      <w:tr w:rsidR="00B02572" w:rsidRPr="00E52A49" w:rsidTr="00B85363">
        <w:tc>
          <w:tcPr>
            <w:tcW w:w="1668" w:type="dxa"/>
          </w:tcPr>
          <w:p w:rsidR="00B02572" w:rsidRPr="00E52A49" w:rsidRDefault="00B02572" w:rsidP="00AE5BDE">
            <w:pPr>
              <w:spacing w:line="300" w:lineRule="atLeast"/>
              <w:rPr>
                <w:szCs w:val="24"/>
              </w:rPr>
            </w:pPr>
            <w:r w:rsidRPr="00E52A49">
              <w:rPr>
                <w:szCs w:val="24"/>
              </w:rPr>
              <w:t>AMP (</w:t>
            </w:r>
            <w:proofErr w:type="spellStart"/>
            <w:r w:rsidRPr="00E52A49">
              <w:rPr>
                <w:szCs w:val="24"/>
              </w:rPr>
              <w:t>Aus</w:t>
            </w:r>
            <w:proofErr w:type="spellEnd"/>
            <w:r w:rsidRPr="00E52A49">
              <w:rPr>
                <w:szCs w:val="24"/>
              </w:rPr>
              <w:t>)</w:t>
            </w:r>
          </w:p>
        </w:tc>
        <w:tc>
          <w:tcPr>
            <w:tcW w:w="1984" w:type="dxa"/>
          </w:tcPr>
          <w:p w:rsidR="00B02572" w:rsidRPr="00E52A49" w:rsidRDefault="00B02572" w:rsidP="00AE5BDE">
            <w:pPr>
              <w:spacing w:line="300" w:lineRule="atLeast"/>
              <w:jc w:val="left"/>
              <w:rPr>
                <w:szCs w:val="24"/>
              </w:rPr>
            </w:pPr>
            <w:r w:rsidRPr="00E52A49">
              <w:rPr>
                <w:szCs w:val="24"/>
              </w:rPr>
              <w:t>AMP Capital Investors Limited</w:t>
            </w:r>
          </w:p>
        </w:tc>
        <w:tc>
          <w:tcPr>
            <w:tcW w:w="4536" w:type="dxa"/>
          </w:tcPr>
          <w:p w:rsidR="00B02572" w:rsidRPr="00E52A49" w:rsidRDefault="00DD33B0" w:rsidP="00AE5BDE">
            <w:pPr>
              <w:spacing w:line="300" w:lineRule="atLeast"/>
              <w:rPr>
                <w:szCs w:val="24"/>
              </w:rPr>
            </w:pPr>
            <w:r w:rsidRPr="00E52A49">
              <w:rPr>
                <w:szCs w:val="24"/>
              </w:rPr>
              <w:t>AMP is a specialist investment manager that manages a number of Portfolio Investment Entity funds, as well as private equity investments.</w:t>
            </w:r>
          </w:p>
        </w:tc>
        <w:tc>
          <w:tcPr>
            <w:tcW w:w="709" w:type="dxa"/>
            <w:vAlign w:val="center"/>
          </w:tcPr>
          <w:p w:rsidR="00B02572" w:rsidRPr="00E52A49" w:rsidRDefault="00C42EDD" w:rsidP="00AE5BDE">
            <w:pPr>
              <w:spacing w:line="300" w:lineRule="atLeast"/>
              <w:jc w:val="center"/>
              <w:rPr>
                <w:b/>
                <w:szCs w:val="24"/>
              </w:rPr>
            </w:pPr>
            <w:r w:rsidRPr="00E52A49">
              <w:rPr>
                <w:b/>
                <w:szCs w:val="24"/>
              </w:rPr>
              <w:sym w:font="Wingdings" w:char="F0FC"/>
            </w:r>
          </w:p>
        </w:tc>
        <w:tc>
          <w:tcPr>
            <w:tcW w:w="709" w:type="dxa"/>
            <w:vAlign w:val="center"/>
          </w:tcPr>
          <w:p w:rsidR="00B02572" w:rsidRPr="00E52A49" w:rsidRDefault="00B02572" w:rsidP="00AE5BDE">
            <w:pPr>
              <w:spacing w:line="300" w:lineRule="atLeast"/>
              <w:jc w:val="center"/>
              <w:rPr>
                <w:b/>
                <w:szCs w:val="24"/>
              </w:rPr>
            </w:pPr>
          </w:p>
        </w:tc>
      </w:tr>
      <w:tr w:rsidR="00291E66" w:rsidRPr="00E52A49" w:rsidTr="00B85363">
        <w:tc>
          <w:tcPr>
            <w:tcW w:w="1668" w:type="dxa"/>
          </w:tcPr>
          <w:p w:rsidR="00291E66" w:rsidRPr="00E52A49" w:rsidRDefault="00291E66" w:rsidP="00AE5BDE">
            <w:pPr>
              <w:spacing w:line="300" w:lineRule="atLeast"/>
              <w:rPr>
                <w:szCs w:val="24"/>
              </w:rPr>
            </w:pPr>
            <w:r w:rsidRPr="00E52A49">
              <w:rPr>
                <w:szCs w:val="24"/>
              </w:rPr>
              <w:t>AMP</w:t>
            </w:r>
            <w:r w:rsidR="00B02572" w:rsidRPr="00E52A49">
              <w:rPr>
                <w:szCs w:val="24"/>
              </w:rPr>
              <w:t xml:space="preserve"> (NZ)</w:t>
            </w:r>
          </w:p>
        </w:tc>
        <w:tc>
          <w:tcPr>
            <w:tcW w:w="1984" w:type="dxa"/>
          </w:tcPr>
          <w:p w:rsidR="00291E66" w:rsidRPr="00E52A49" w:rsidRDefault="00291E66" w:rsidP="00AE5BDE">
            <w:pPr>
              <w:spacing w:line="300" w:lineRule="atLeast"/>
              <w:jc w:val="left"/>
              <w:rPr>
                <w:szCs w:val="24"/>
              </w:rPr>
            </w:pPr>
            <w:r w:rsidRPr="00E52A49">
              <w:rPr>
                <w:szCs w:val="24"/>
              </w:rPr>
              <w:t xml:space="preserve">AMP Capital </w:t>
            </w:r>
            <w:r w:rsidR="00B02572" w:rsidRPr="00E52A49">
              <w:rPr>
                <w:szCs w:val="24"/>
              </w:rPr>
              <w:t>Investors (</w:t>
            </w:r>
            <w:r w:rsidRPr="00E52A49">
              <w:rPr>
                <w:szCs w:val="24"/>
              </w:rPr>
              <w:t>New Zealand</w:t>
            </w:r>
            <w:r w:rsidR="00B02572" w:rsidRPr="00E52A49">
              <w:rPr>
                <w:szCs w:val="24"/>
              </w:rPr>
              <w:t>) Limited</w:t>
            </w:r>
          </w:p>
        </w:tc>
        <w:tc>
          <w:tcPr>
            <w:tcW w:w="4536" w:type="dxa"/>
          </w:tcPr>
          <w:p w:rsidR="00291E66" w:rsidRPr="00E52A49" w:rsidRDefault="00291E66" w:rsidP="00AE5BDE">
            <w:pPr>
              <w:spacing w:line="300" w:lineRule="atLeast"/>
              <w:rPr>
                <w:szCs w:val="24"/>
              </w:rPr>
            </w:pPr>
            <w:r w:rsidRPr="00E52A49">
              <w:rPr>
                <w:szCs w:val="24"/>
              </w:rPr>
              <w:t>AMP</w:t>
            </w:r>
            <w:r w:rsidR="00DD33B0" w:rsidRPr="00E52A49">
              <w:rPr>
                <w:szCs w:val="24"/>
              </w:rPr>
              <w:t xml:space="preserve"> </w:t>
            </w:r>
            <w:r w:rsidRPr="00E52A49">
              <w:rPr>
                <w:szCs w:val="24"/>
              </w:rPr>
              <w:t>is a specialist investment manager that manages a number of Portfolio Investment Entity funds, as well as private equity investments.</w:t>
            </w:r>
          </w:p>
        </w:tc>
        <w:tc>
          <w:tcPr>
            <w:tcW w:w="709" w:type="dxa"/>
            <w:vAlign w:val="center"/>
          </w:tcPr>
          <w:p w:rsidR="00291E66" w:rsidRPr="00E52A49" w:rsidRDefault="00B02572" w:rsidP="00AE5BDE">
            <w:pPr>
              <w:spacing w:line="300" w:lineRule="atLeast"/>
              <w:jc w:val="center"/>
              <w:rPr>
                <w:szCs w:val="24"/>
              </w:rPr>
            </w:pPr>
            <w:r w:rsidRPr="00E52A49">
              <w:rPr>
                <w:b/>
                <w:szCs w:val="24"/>
              </w:rPr>
              <w:sym w:font="Wingdings" w:char="F0FC"/>
            </w:r>
          </w:p>
        </w:tc>
        <w:tc>
          <w:tcPr>
            <w:tcW w:w="709" w:type="dxa"/>
            <w:vAlign w:val="center"/>
          </w:tcPr>
          <w:p w:rsidR="00291E66" w:rsidRPr="00E52A49" w:rsidRDefault="00B02572" w:rsidP="00AE5BDE">
            <w:pPr>
              <w:spacing w:line="300" w:lineRule="atLeast"/>
              <w:jc w:val="center"/>
              <w:rPr>
                <w:szCs w:val="24"/>
              </w:rPr>
            </w:pPr>
            <w:r w:rsidRPr="00E52A49">
              <w:rPr>
                <w:b/>
                <w:szCs w:val="24"/>
              </w:rPr>
              <w:sym w:font="Wingdings" w:char="F0FC"/>
            </w:r>
          </w:p>
        </w:tc>
      </w:tr>
      <w:tr w:rsidR="00C42EDD" w:rsidRPr="00E52A49" w:rsidTr="00B85363">
        <w:tc>
          <w:tcPr>
            <w:tcW w:w="1668" w:type="dxa"/>
          </w:tcPr>
          <w:p w:rsidR="00C42EDD" w:rsidRPr="00E52A49" w:rsidRDefault="00C42EDD" w:rsidP="00AE5BDE">
            <w:pPr>
              <w:spacing w:line="300" w:lineRule="atLeast"/>
              <w:rPr>
                <w:szCs w:val="24"/>
              </w:rPr>
            </w:pPr>
            <w:proofErr w:type="spellStart"/>
            <w:r w:rsidRPr="00E52A49">
              <w:rPr>
                <w:szCs w:val="24"/>
              </w:rPr>
              <w:t>ANZ</w:t>
            </w:r>
            <w:proofErr w:type="spellEnd"/>
          </w:p>
        </w:tc>
        <w:tc>
          <w:tcPr>
            <w:tcW w:w="1984" w:type="dxa"/>
          </w:tcPr>
          <w:p w:rsidR="00C42EDD" w:rsidRPr="00E52A49" w:rsidRDefault="00C42EDD" w:rsidP="00AE5BDE">
            <w:pPr>
              <w:spacing w:line="300" w:lineRule="atLeast"/>
              <w:jc w:val="left"/>
              <w:rPr>
                <w:szCs w:val="24"/>
              </w:rPr>
            </w:pPr>
            <w:proofErr w:type="spellStart"/>
            <w:r w:rsidRPr="00E52A49">
              <w:rPr>
                <w:szCs w:val="24"/>
              </w:rPr>
              <w:t>ANZ</w:t>
            </w:r>
            <w:proofErr w:type="spellEnd"/>
            <w:r w:rsidRPr="00E52A49">
              <w:rPr>
                <w:szCs w:val="24"/>
              </w:rPr>
              <w:t xml:space="preserve"> Bank New Zealand Limited</w:t>
            </w:r>
          </w:p>
        </w:tc>
        <w:tc>
          <w:tcPr>
            <w:tcW w:w="4536" w:type="dxa"/>
          </w:tcPr>
          <w:p w:rsidR="00C42EDD" w:rsidRPr="00E52A49" w:rsidRDefault="00DD33B0" w:rsidP="00AE5BDE">
            <w:pPr>
              <w:spacing w:line="300" w:lineRule="atLeast"/>
              <w:rPr>
                <w:szCs w:val="24"/>
              </w:rPr>
            </w:pPr>
            <w:proofErr w:type="spellStart"/>
            <w:r w:rsidRPr="00E52A49">
              <w:rPr>
                <w:szCs w:val="24"/>
              </w:rPr>
              <w:t>ANZ</w:t>
            </w:r>
            <w:proofErr w:type="spellEnd"/>
            <w:r w:rsidRPr="00E52A49">
              <w:rPr>
                <w:szCs w:val="24"/>
              </w:rPr>
              <w:t xml:space="preserve"> is a major bank in New Zealand and Australia.</w:t>
            </w:r>
          </w:p>
        </w:tc>
        <w:tc>
          <w:tcPr>
            <w:tcW w:w="709" w:type="dxa"/>
            <w:vAlign w:val="center"/>
          </w:tcPr>
          <w:p w:rsidR="00C42EDD" w:rsidRPr="00E52A49" w:rsidRDefault="00C42EDD" w:rsidP="00AE5BDE">
            <w:pPr>
              <w:spacing w:line="300" w:lineRule="atLeast"/>
              <w:jc w:val="center"/>
              <w:rPr>
                <w:b/>
                <w:szCs w:val="24"/>
              </w:rPr>
            </w:pPr>
            <w:r w:rsidRPr="00E52A49">
              <w:rPr>
                <w:b/>
                <w:szCs w:val="24"/>
              </w:rPr>
              <w:sym w:font="Wingdings" w:char="F0FC"/>
            </w:r>
          </w:p>
        </w:tc>
        <w:tc>
          <w:tcPr>
            <w:tcW w:w="709" w:type="dxa"/>
            <w:vAlign w:val="center"/>
          </w:tcPr>
          <w:p w:rsidR="00C42EDD" w:rsidRPr="00E52A49" w:rsidRDefault="00C42EDD" w:rsidP="00AE5BDE">
            <w:pPr>
              <w:spacing w:line="300" w:lineRule="atLeast"/>
              <w:jc w:val="center"/>
              <w:rPr>
                <w:b/>
                <w:szCs w:val="24"/>
              </w:rPr>
            </w:pPr>
          </w:p>
        </w:tc>
      </w:tr>
      <w:tr w:rsidR="00C42EDD" w:rsidRPr="00E52A49" w:rsidTr="00B85363">
        <w:tc>
          <w:tcPr>
            <w:tcW w:w="1668" w:type="dxa"/>
          </w:tcPr>
          <w:p w:rsidR="00C42EDD" w:rsidRPr="00E52A49" w:rsidRDefault="00C42EDD" w:rsidP="00AE5BDE">
            <w:pPr>
              <w:spacing w:line="300" w:lineRule="atLeast"/>
              <w:rPr>
                <w:szCs w:val="24"/>
              </w:rPr>
            </w:pPr>
            <w:r w:rsidRPr="00E52A49">
              <w:rPr>
                <w:szCs w:val="24"/>
              </w:rPr>
              <w:t>BNZ</w:t>
            </w:r>
          </w:p>
        </w:tc>
        <w:tc>
          <w:tcPr>
            <w:tcW w:w="1984" w:type="dxa"/>
          </w:tcPr>
          <w:p w:rsidR="00C42EDD" w:rsidRPr="00E52A49" w:rsidRDefault="00C42EDD" w:rsidP="00AE5BDE">
            <w:pPr>
              <w:spacing w:line="300" w:lineRule="atLeast"/>
              <w:jc w:val="left"/>
              <w:rPr>
                <w:szCs w:val="24"/>
              </w:rPr>
            </w:pPr>
            <w:r w:rsidRPr="00E52A49">
              <w:rPr>
                <w:szCs w:val="24"/>
              </w:rPr>
              <w:t>Bank of New Zealand</w:t>
            </w:r>
          </w:p>
        </w:tc>
        <w:tc>
          <w:tcPr>
            <w:tcW w:w="4536" w:type="dxa"/>
          </w:tcPr>
          <w:p w:rsidR="00C42EDD" w:rsidRPr="00E52A49" w:rsidRDefault="00DD33B0" w:rsidP="00AE5BDE">
            <w:pPr>
              <w:spacing w:line="300" w:lineRule="atLeast"/>
              <w:rPr>
                <w:szCs w:val="24"/>
              </w:rPr>
            </w:pPr>
            <w:r w:rsidRPr="00E52A49">
              <w:rPr>
                <w:szCs w:val="24"/>
              </w:rPr>
              <w:t>BNZ is a major bank in New Zealand and Australia (NAB).</w:t>
            </w:r>
          </w:p>
        </w:tc>
        <w:tc>
          <w:tcPr>
            <w:tcW w:w="709" w:type="dxa"/>
            <w:vAlign w:val="center"/>
          </w:tcPr>
          <w:p w:rsidR="00C42EDD" w:rsidRPr="00E52A49" w:rsidRDefault="00C42EDD" w:rsidP="00AE5BDE">
            <w:pPr>
              <w:spacing w:line="300" w:lineRule="atLeast"/>
              <w:jc w:val="center"/>
              <w:rPr>
                <w:b/>
                <w:szCs w:val="24"/>
              </w:rPr>
            </w:pPr>
            <w:r w:rsidRPr="00E52A49">
              <w:rPr>
                <w:b/>
                <w:szCs w:val="24"/>
              </w:rPr>
              <w:sym w:font="Wingdings" w:char="F0FC"/>
            </w:r>
          </w:p>
        </w:tc>
        <w:tc>
          <w:tcPr>
            <w:tcW w:w="709" w:type="dxa"/>
            <w:vAlign w:val="center"/>
          </w:tcPr>
          <w:p w:rsidR="00C42EDD" w:rsidRPr="00E52A49" w:rsidRDefault="00C42EDD" w:rsidP="00AE5BDE">
            <w:pPr>
              <w:spacing w:line="300" w:lineRule="atLeast"/>
              <w:jc w:val="center"/>
              <w:rPr>
                <w:b/>
                <w:szCs w:val="24"/>
              </w:rPr>
            </w:pPr>
          </w:p>
        </w:tc>
      </w:tr>
      <w:tr w:rsidR="00291E66" w:rsidRPr="00E52A49" w:rsidTr="00B85363">
        <w:tc>
          <w:tcPr>
            <w:tcW w:w="1668" w:type="dxa"/>
          </w:tcPr>
          <w:p w:rsidR="00291E66" w:rsidRPr="00E52A49" w:rsidRDefault="00291E66" w:rsidP="00AE5BDE">
            <w:pPr>
              <w:spacing w:line="300" w:lineRule="atLeast"/>
              <w:rPr>
                <w:szCs w:val="24"/>
              </w:rPr>
            </w:pPr>
            <w:r w:rsidRPr="00E52A49">
              <w:rPr>
                <w:szCs w:val="24"/>
              </w:rPr>
              <w:t xml:space="preserve">CA </w:t>
            </w:r>
            <w:proofErr w:type="spellStart"/>
            <w:r w:rsidRPr="00E52A49">
              <w:rPr>
                <w:szCs w:val="24"/>
              </w:rPr>
              <w:t>ANZ</w:t>
            </w:r>
            <w:proofErr w:type="spellEnd"/>
          </w:p>
        </w:tc>
        <w:tc>
          <w:tcPr>
            <w:tcW w:w="1984" w:type="dxa"/>
          </w:tcPr>
          <w:p w:rsidR="00291E66" w:rsidRPr="00E52A49" w:rsidRDefault="00291E66" w:rsidP="00AE5BDE">
            <w:pPr>
              <w:spacing w:line="300" w:lineRule="atLeast"/>
              <w:jc w:val="left"/>
              <w:rPr>
                <w:szCs w:val="24"/>
              </w:rPr>
            </w:pPr>
            <w:r w:rsidRPr="00E52A49">
              <w:rPr>
                <w:szCs w:val="24"/>
              </w:rPr>
              <w:t>Chartered Accountants Australia and New Zealand</w:t>
            </w:r>
          </w:p>
        </w:tc>
        <w:tc>
          <w:tcPr>
            <w:tcW w:w="4536" w:type="dxa"/>
          </w:tcPr>
          <w:p w:rsidR="00291E66" w:rsidRPr="00E52A49" w:rsidRDefault="00291E66" w:rsidP="00AE5BDE">
            <w:pPr>
              <w:spacing w:line="300" w:lineRule="atLeast"/>
              <w:rPr>
                <w:szCs w:val="24"/>
              </w:rPr>
            </w:pPr>
            <w:r w:rsidRPr="00E52A49">
              <w:rPr>
                <w:szCs w:val="24"/>
              </w:rPr>
              <w:t xml:space="preserve">Chartered Accountants Australia and New Zealand is the incorporated body representing the Institutes of Chartered Accountants in Australia and New Zealand. CA </w:t>
            </w:r>
            <w:proofErr w:type="spellStart"/>
            <w:r w:rsidRPr="00E52A49">
              <w:rPr>
                <w:szCs w:val="24"/>
              </w:rPr>
              <w:t>ANZ</w:t>
            </w:r>
            <w:proofErr w:type="spellEnd"/>
            <w:r w:rsidRPr="00E52A49">
              <w:rPr>
                <w:szCs w:val="24"/>
              </w:rPr>
              <w:t xml:space="preserve"> represents over 100,000 members in Australia, New Zealand, and overseas.</w:t>
            </w:r>
          </w:p>
        </w:tc>
        <w:tc>
          <w:tcPr>
            <w:tcW w:w="709" w:type="dxa"/>
            <w:vAlign w:val="center"/>
          </w:tcPr>
          <w:p w:rsidR="00291E66" w:rsidRPr="00E52A49" w:rsidRDefault="00B02572" w:rsidP="00AE5BDE">
            <w:pPr>
              <w:spacing w:line="300" w:lineRule="atLeast"/>
              <w:jc w:val="center"/>
              <w:rPr>
                <w:szCs w:val="24"/>
              </w:rPr>
            </w:pPr>
            <w:r w:rsidRPr="00E52A49">
              <w:rPr>
                <w:b/>
                <w:szCs w:val="24"/>
              </w:rPr>
              <w:sym w:font="Wingdings" w:char="F0FC"/>
            </w:r>
          </w:p>
        </w:tc>
        <w:tc>
          <w:tcPr>
            <w:tcW w:w="709" w:type="dxa"/>
            <w:vAlign w:val="center"/>
          </w:tcPr>
          <w:p w:rsidR="00291E66" w:rsidRPr="00E52A49" w:rsidRDefault="00B02572" w:rsidP="00AE5BDE">
            <w:pPr>
              <w:spacing w:line="300" w:lineRule="atLeast"/>
              <w:jc w:val="center"/>
              <w:rPr>
                <w:szCs w:val="24"/>
              </w:rPr>
            </w:pPr>
            <w:r w:rsidRPr="00E52A49">
              <w:rPr>
                <w:b/>
                <w:szCs w:val="24"/>
              </w:rPr>
              <w:sym w:font="Wingdings" w:char="F0FC"/>
            </w:r>
          </w:p>
        </w:tc>
      </w:tr>
      <w:tr w:rsidR="00291E66" w:rsidRPr="00E52A49" w:rsidTr="00B85363">
        <w:tc>
          <w:tcPr>
            <w:tcW w:w="1668" w:type="dxa"/>
          </w:tcPr>
          <w:p w:rsidR="00291E66" w:rsidRPr="00E52A49" w:rsidRDefault="00291E66" w:rsidP="00AE5BDE">
            <w:pPr>
              <w:spacing w:line="300" w:lineRule="atLeast"/>
              <w:rPr>
                <w:szCs w:val="24"/>
              </w:rPr>
            </w:pPr>
            <w:proofErr w:type="spellStart"/>
            <w:r w:rsidRPr="00E52A49">
              <w:rPr>
                <w:szCs w:val="24"/>
              </w:rPr>
              <w:t>CTG</w:t>
            </w:r>
            <w:proofErr w:type="spellEnd"/>
          </w:p>
        </w:tc>
        <w:tc>
          <w:tcPr>
            <w:tcW w:w="1984" w:type="dxa"/>
          </w:tcPr>
          <w:p w:rsidR="00291E66" w:rsidRPr="00E52A49" w:rsidRDefault="00291E66" w:rsidP="00AE5BDE">
            <w:pPr>
              <w:spacing w:line="300" w:lineRule="atLeast"/>
              <w:jc w:val="left"/>
              <w:rPr>
                <w:szCs w:val="24"/>
              </w:rPr>
            </w:pPr>
            <w:r w:rsidRPr="00E52A49">
              <w:rPr>
                <w:szCs w:val="24"/>
              </w:rPr>
              <w:t>Corporate Taxpayers Group</w:t>
            </w:r>
          </w:p>
        </w:tc>
        <w:tc>
          <w:tcPr>
            <w:tcW w:w="4536" w:type="dxa"/>
          </w:tcPr>
          <w:p w:rsidR="00291E66" w:rsidRPr="00E52A49" w:rsidRDefault="00291E66" w:rsidP="00AE5BDE">
            <w:pPr>
              <w:spacing w:line="300" w:lineRule="atLeast"/>
              <w:rPr>
                <w:szCs w:val="24"/>
              </w:rPr>
            </w:pPr>
            <w:proofErr w:type="spellStart"/>
            <w:r w:rsidRPr="00E52A49">
              <w:rPr>
                <w:szCs w:val="24"/>
              </w:rPr>
              <w:t>CTG</w:t>
            </w:r>
            <w:proofErr w:type="spellEnd"/>
            <w:r w:rsidRPr="00E52A49">
              <w:rPr>
                <w:szCs w:val="24"/>
              </w:rPr>
              <w:t xml:space="preserve"> represents 40 large New Zealand corporates and also include tax advisors from Deloitte, Russell McVeagh, and </w:t>
            </w:r>
            <w:proofErr w:type="spellStart"/>
            <w:r w:rsidRPr="00E52A49">
              <w:rPr>
                <w:szCs w:val="24"/>
              </w:rPr>
              <w:t>OliverShaw</w:t>
            </w:r>
            <w:proofErr w:type="spellEnd"/>
            <w:r w:rsidRPr="00E52A49">
              <w:rPr>
                <w:szCs w:val="24"/>
              </w:rPr>
              <w:t>.</w:t>
            </w:r>
          </w:p>
        </w:tc>
        <w:tc>
          <w:tcPr>
            <w:tcW w:w="709" w:type="dxa"/>
            <w:vAlign w:val="center"/>
          </w:tcPr>
          <w:p w:rsidR="00291E66" w:rsidRPr="00E52A49" w:rsidRDefault="00B02572" w:rsidP="00AE5BDE">
            <w:pPr>
              <w:spacing w:line="300" w:lineRule="atLeast"/>
              <w:jc w:val="center"/>
              <w:rPr>
                <w:szCs w:val="24"/>
              </w:rPr>
            </w:pPr>
            <w:r w:rsidRPr="00E52A49">
              <w:rPr>
                <w:b/>
                <w:szCs w:val="24"/>
              </w:rPr>
              <w:sym w:font="Wingdings" w:char="F0FC"/>
            </w:r>
          </w:p>
        </w:tc>
        <w:tc>
          <w:tcPr>
            <w:tcW w:w="709" w:type="dxa"/>
            <w:vAlign w:val="center"/>
          </w:tcPr>
          <w:p w:rsidR="00291E66" w:rsidRPr="00E52A49" w:rsidRDefault="00B02572" w:rsidP="00AE5BDE">
            <w:pPr>
              <w:spacing w:line="300" w:lineRule="atLeast"/>
              <w:jc w:val="center"/>
              <w:rPr>
                <w:szCs w:val="24"/>
              </w:rPr>
            </w:pPr>
            <w:r w:rsidRPr="00E52A49">
              <w:rPr>
                <w:b/>
                <w:szCs w:val="24"/>
              </w:rPr>
              <w:sym w:font="Wingdings" w:char="F0FC"/>
            </w:r>
          </w:p>
        </w:tc>
      </w:tr>
      <w:tr w:rsidR="00291E66" w:rsidRPr="00E52A49" w:rsidTr="00B85363">
        <w:tc>
          <w:tcPr>
            <w:tcW w:w="1668" w:type="dxa"/>
          </w:tcPr>
          <w:p w:rsidR="00291E66" w:rsidRPr="00E52A49" w:rsidRDefault="00291E66" w:rsidP="00AE5BDE">
            <w:pPr>
              <w:spacing w:line="300" w:lineRule="atLeast"/>
              <w:rPr>
                <w:szCs w:val="24"/>
              </w:rPr>
            </w:pPr>
            <w:proofErr w:type="spellStart"/>
            <w:r w:rsidRPr="00E52A49">
              <w:rPr>
                <w:szCs w:val="24"/>
              </w:rPr>
              <w:t>DEG</w:t>
            </w:r>
            <w:proofErr w:type="spellEnd"/>
          </w:p>
        </w:tc>
        <w:tc>
          <w:tcPr>
            <w:tcW w:w="1984" w:type="dxa"/>
          </w:tcPr>
          <w:p w:rsidR="00291E66" w:rsidRPr="00E52A49" w:rsidRDefault="00291E66" w:rsidP="00AE5BDE">
            <w:pPr>
              <w:spacing w:line="300" w:lineRule="atLeast"/>
              <w:jc w:val="left"/>
              <w:rPr>
                <w:szCs w:val="24"/>
              </w:rPr>
            </w:pPr>
            <w:r w:rsidRPr="00E52A49">
              <w:rPr>
                <w:szCs w:val="24"/>
              </w:rPr>
              <w:t>Digital Economy Group</w:t>
            </w:r>
          </w:p>
        </w:tc>
        <w:tc>
          <w:tcPr>
            <w:tcW w:w="4536" w:type="dxa"/>
          </w:tcPr>
          <w:p w:rsidR="00291E66" w:rsidRPr="00E52A49" w:rsidRDefault="00291E66" w:rsidP="00AE5BDE">
            <w:pPr>
              <w:spacing w:line="300" w:lineRule="atLeast"/>
              <w:rPr>
                <w:szCs w:val="24"/>
              </w:rPr>
            </w:pPr>
            <w:proofErr w:type="spellStart"/>
            <w:r w:rsidRPr="00E52A49">
              <w:rPr>
                <w:szCs w:val="24"/>
              </w:rPr>
              <w:t>DEG</w:t>
            </w:r>
            <w:proofErr w:type="spellEnd"/>
            <w:r w:rsidRPr="00E52A49">
              <w:rPr>
                <w:szCs w:val="24"/>
              </w:rPr>
              <w:t xml:space="preserve"> is an informal coalition of leading US and non-US software, information/content, social networking, and e-commerce companies that provide goods or services through digital and non-digital means.</w:t>
            </w:r>
          </w:p>
        </w:tc>
        <w:tc>
          <w:tcPr>
            <w:tcW w:w="709" w:type="dxa"/>
            <w:vAlign w:val="center"/>
          </w:tcPr>
          <w:p w:rsidR="00291E66" w:rsidRPr="00E52A49" w:rsidRDefault="00291E66" w:rsidP="00AE5BDE">
            <w:pPr>
              <w:spacing w:line="300" w:lineRule="atLeast"/>
              <w:jc w:val="center"/>
              <w:rPr>
                <w:szCs w:val="24"/>
              </w:rPr>
            </w:pPr>
          </w:p>
        </w:tc>
        <w:tc>
          <w:tcPr>
            <w:tcW w:w="709" w:type="dxa"/>
            <w:vAlign w:val="center"/>
          </w:tcPr>
          <w:p w:rsidR="00291E66" w:rsidRPr="00E52A49" w:rsidRDefault="00B02572" w:rsidP="00AE5BDE">
            <w:pPr>
              <w:spacing w:line="300" w:lineRule="atLeast"/>
              <w:jc w:val="center"/>
              <w:rPr>
                <w:szCs w:val="24"/>
              </w:rPr>
            </w:pPr>
            <w:r w:rsidRPr="00E52A49">
              <w:rPr>
                <w:b/>
                <w:szCs w:val="24"/>
              </w:rPr>
              <w:sym w:font="Wingdings" w:char="F0FC"/>
            </w:r>
          </w:p>
        </w:tc>
      </w:tr>
      <w:tr w:rsidR="00291E66" w:rsidRPr="00E52A49" w:rsidTr="00B85363">
        <w:tc>
          <w:tcPr>
            <w:tcW w:w="1668" w:type="dxa"/>
          </w:tcPr>
          <w:p w:rsidR="00291E66" w:rsidRPr="00E52A49" w:rsidRDefault="00291E66" w:rsidP="00AE5BDE">
            <w:pPr>
              <w:spacing w:line="300" w:lineRule="atLeast"/>
              <w:rPr>
                <w:szCs w:val="24"/>
              </w:rPr>
            </w:pPr>
            <w:r w:rsidRPr="00E52A49">
              <w:rPr>
                <w:szCs w:val="24"/>
              </w:rPr>
              <w:t>Deloitte</w:t>
            </w:r>
          </w:p>
        </w:tc>
        <w:tc>
          <w:tcPr>
            <w:tcW w:w="1984" w:type="dxa"/>
          </w:tcPr>
          <w:p w:rsidR="00291E66" w:rsidRPr="00E52A49" w:rsidRDefault="00291E66" w:rsidP="00AE5BDE">
            <w:pPr>
              <w:spacing w:line="300" w:lineRule="atLeast"/>
              <w:jc w:val="left"/>
              <w:rPr>
                <w:szCs w:val="24"/>
              </w:rPr>
            </w:pPr>
            <w:r w:rsidRPr="00E52A49">
              <w:rPr>
                <w:szCs w:val="24"/>
              </w:rPr>
              <w:t>Deloitte</w:t>
            </w:r>
          </w:p>
        </w:tc>
        <w:tc>
          <w:tcPr>
            <w:tcW w:w="4536" w:type="dxa"/>
          </w:tcPr>
          <w:p w:rsidR="00291E66" w:rsidRPr="00E52A49" w:rsidRDefault="00291E66" w:rsidP="00AE5BDE">
            <w:pPr>
              <w:spacing w:line="300" w:lineRule="atLeast"/>
              <w:rPr>
                <w:szCs w:val="24"/>
              </w:rPr>
            </w:pPr>
            <w:r w:rsidRPr="00E52A49">
              <w:rPr>
                <w:szCs w:val="24"/>
              </w:rPr>
              <w:t>Deloitte New Zealand is an accounting firm providing audit, tax, consulting, enterprise risk, and financial advisory services.</w:t>
            </w:r>
          </w:p>
        </w:tc>
        <w:tc>
          <w:tcPr>
            <w:tcW w:w="709" w:type="dxa"/>
            <w:vAlign w:val="center"/>
          </w:tcPr>
          <w:p w:rsidR="00291E66" w:rsidRPr="00E52A49" w:rsidRDefault="00B02572" w:rsidP="00AE5BDE">
            <w:pPr>
              <w:spacing w:line="300" w:lineRule="atLeast"/>
              <w:jc w:val="center"/>
              <w:rPr>
                <w:szCs w:val="24"/>
              </w:rPr>
            </w:pPr>
            <w:r w:rsidRPr="00E52A49">
              <w:rPr>
                <w:b/>
                <w:szCs w:val="24"/>
              </w:rPr>
              <w:sym w:font="Wingdings" w:char="F0FC"/>
            </w:r>
          </w:p>
        </w:tc>
        <w:tc>
          <w:tcPr>
            <w:tcW w:w="709" w:type="dxa"/>
            <w:vAlign w:val="center"/>
          </w:tcPr>
          <w:p w:rsidR="00291E66" w:rsidRPr="00E52A49" w:rsidRDefault="00B02572" w:rsidP="00AE5BDE">
            <w:pPr>
              <w:spacing w:line="300" w:lineRule="atLeast"/>
              <w:jc w:val="center"/>
              <w:rPr>
                <w:szCs w:val="24"/>
              </w:rPr>
            </w:pPr>
            <w:r w:rsidRPr="00E52A49">
              <w:rPr>
                <w:b/>
                <w:szCs w:val="24"/>
              </w:rPr>
              <w:sym w:font="Wingdings" w:char="F0FC"/>
            </w:r>
            <w:r w:rsidR="00C42EDD" w:rsidRPr="00E52A49">
              <w:rPr>
                <w:b/>
                <w:szCs w:val="24"/>
              </w:rPr>
              <w:sym w:font="Wingdings" w:char="F0FC"/>
            </w:r>
            <w:r w:rsidR="00B85363" w:rsidRPr="00B85363">
              <w:rPr>
                <w:szCs w:val="24"/>
                <w:vertAlign w:val="superscript"/>
              </w:rPr>
              <w:footnoteReference w:id="8"/>
            </w:r>
          </w:p>
        </w:tc>
      </w:tr>
      <w:tr w:rsidR="00291E66" w:rsidRPr="00E52A49" w:rsidTr="00B85363">
        <w:tc>
          <w:tcPr>
            <w:tcW w:w="1668" w:type="dxa"/>
          </w:tcPr>
          <w:p w:rsidR="00291E66" w:rsidRPr="00E52A49" w:rsidRDefault="00291E66" w:rsidP="00AE5BDE">
            <w:pPr>
              <w:spacing w:line="300" w:lineRule="atLeast"/>
              <w:rPr>
                <w:szCs w:val="24"/>
              </w:rPr>
            </w:pPr>
            <w:proofErr w:type="spellStart"/>
            <w:r w:rsidRPr="00E52A49">
              <w:rPr>
                <w:szCs w:val="24"/>
              </w:rPr>
              <w:t>EY</w:t>
            </w:r>
            <w:proofErr w:type="spellEnd"/>
          </w:p>
        </w:tc>
        <w:tc>
          <w:tcPr>
            <w:tcW w:w="1984" w:type="dxa"/>
          </w:tcPr>
          <w:p w:rsidR="00291E66" w:rsidRPr="00E52A49" w:rsidRDefault="00291E66" w:rsidP="00AE5BDE">
            <w:pPr>
              <w:spacing w:line="300" w:lineRule="atLeast"/>
              <w:jc w:val="left"/>
              <w:rPr>
                <w:szCs w:val="24"/>
              </w:rPr>
            </w:pPr>
            <w:r w:rsidRPr="00E52A49">
              <w:rPr>
                <w:szCs w:val="24"/>
              </w:rPr>
              <w:t>Ernst &amp; Young</w:t>
            </w:r>
          </w:p>
        </w:tc>
        <w:tc>
          <w:tcPr>
            <w:tcW w:w="4536" w:type="dxa"/>
          </w:tcPr>
          <w:p w:rsidR="00291E66" w:rsidRPr="00E52A49" w:rsidRDefault="00291E66" w:rsidP="00AE5BDE">
            <w:pPr>
              <w:spacing w:line="300" w:lineRule="atLeast"/>
              <w:rPr>
                <w:szCs w:val="24"/>
              </w:rPr>
            </w:pPr>
            <w:proofErr w:type="spellStart"/>
            <w:r w:rsidRPr="00E52A49">
              <w:rPr>
                <w:szCs w:val="24"/>
              </w:rPr>
              <w:t>EY</w:t>
            </w:r>
            <w:proofErr w:type="spellEnd"/>
            <w:r w:rsidRPr="00E52A49">
              <w:rPr>
                <w:szCs w:val="24"/>
              </w:rPr>
              <w:t xml:space="preserve"> New Zealand is a professional services firm which specialises in assurance, tax, transaction and advisory services.</w:t>
            </w:r>
          </w:p>
        </w:tc>
        <w:tc>
          <w:tcPr>
            <w:tcW w:w="709" w:type="dxa"/>
            <w:vAlign w:val="center"/>
          </w:tcPr>
          <w:p w:rsidR="00291E66" w:rsidRPr="00E52A49" w:rsidRDefault="00B02572" w:rsidP="00AE5BDE">
            <w:pPr>
              <w:spacing w:line="300" w:lineRule="atLeast"/>
              <w:jc w:val="center"/>
              <w:rPr>
                <w:szCs w:val="24"/>
              </w:rPr>
            </w:pPr>
            <w:r w:rsidRPr="00E52A49">
              <w:rPr>
                <w:b/>
                <w:szCs w:val="24"/>
              </w:rPr>
              <w:sym w:font="Wingdings" w:char="F0FC"/>
            </w:r>
          </w:p>
        </w:tc>
        <w:tc>
          <w:tcPr>
            <w:tcW w:w="709" w:type="dxa"/>
            <w:vAlign w:val="center"/>
          </w:tcPr>
          <w:p w:rsidR="00291E66" w:rsidRPr="00E52A49" w:rsidRDefault="00B02572" w:rsidP="00AE5BDE">
            <w:pPr>
              <w:spacing w:line="300" w:lineRule="atLeast"/>
              <w:jc w:val="center"/>
              <w:rPr>
                <w:szCs w:val="24"/>
              </w:rPr>
            </w:pPr>
            <w:r w:rsidRPr="00E52A49">
              <w:rPr>
                <w:b/>
                <w:szCs w:val="24"/>
              </w:rPr>
              <w:sym w:font="Wingdings" w:char="F0FC"/>
            </w:r>
          </w:p>
        </w:tc>
      </w:tr>
      <w:tr w:rsidR="00B02572" w:rsidRPr="00E52A49" w:rsidTr="00B85363">
        <w:tc>
          <w:tcPr>
            <w:tcW w:w="1668" w:type="dxa"/>
          </w:tcPr>
          <w:p w:rsidR="00B02572" w:rsidRPr="00E52A49" w:rsidRDefault="00B02572" w:rsidP="00AE5BDE">
            <w:pPr>
              <w:spacing w:line="300" w:lineRule="atLeast"/>
              <w:rPr>
                <w:szCs w:val="24"/>
              </w:rPr>
            </w:pPr>
            <w:r w:rsidRPr="00E52A49">
              <w:rPr>
                <w:szCs w:val="24"/>
              </w:rPr>
              <w:t>First Gas</w:t>
            </w:r>
          </w:p>
        </w:tc>
        <w:tc>
          <w:tcPr>
            <w:tcW w:w="1984" w:type="dxa"/>
          </w:tcPr>
          <w:p w:rsidR="00B02572" w:rsidRPr="00E52A49" w:rsidRDefault="00B02572" w:rsidP="00AE5BDE">
            <w:pPr>
              <w:spacing w:line="300" w:lineRule="atLeast"/>
              <w:jc w:val="left"/>
              <w:rPr>
                <w:szCs w:val="24"/>
              </w:rPr>
            </w:pPr>
            <w:r w:rsidRPr="00E52A49">
              <w:rPr>
                <w:szCs w:val="24"/>
              </w:rPr>
              <w:t>First Gas Limited</w:t>
            </w:r>
          </w:p>
        </w:tc>
        <w:tc>
          <w:tcPr>
            <w:tcW w:w="4536" w:type="dxa"/>
          </w:tcPr>
          <w:p w:rsidR="00B02572" w:rsidRPr="00E52A49" w:rsidRDefault="00DD33B0" w:rsidP="00AE5BDE">
            <w:pPr>
              <w:spacing w:line="300" w:lineRule="atLeast"/>
              <w:rPr>
                <w:szCs w:val="24"/>
              </w:rPr>
            </w:pPr>
            <w:r w:rsidRPr="00E52A49">
              <w:rPr>
                <w:szCs w:val="24"/>
              </w:rPr>
              <w:t>First Gas is one of NZ's largest gas networks.</w:t>
            </w:r>
          </w:p>
        </w:tc>
        <w:tc>
          <w:tcPr>
            <w:tcW w:w="709" w:type="dxa"/>
            <w:vAlign w:val="center"/>
          </w:tcPr>
          <w:p w:rsidR="00B02572" w:rsidRPr="00E52A49" w:rsidRDefault="00B02572" w:rsidP="00AE5BDE">
            <w:pPr>
              <w:spacing w:line="300" w:lineRule="atLeast"/>
              <w:jc w:val="center"/>
              <w:rPr>
                <w:b/>
                <w:szCs w:val="24"/>
              </w:rPr>
            </w:pPr>
            <w:r w:rsidRPr="00E52A49">
              <w:rPr>
                <w:b/>
                <w:szCs w:val="24"/>
              </w:rPr>
              <w:sym w:font="Wingdings" w:char="F0FC"/>
            </w:r>
          </w:p>
        </w:tc>
        <w:tc>
          <w:tcPr>
            <w:tcW w:w="709" w:type="dxa"/>
            <w:vAlign w:val="center"/>
          </w:tcPr>
          <w:p w:rsidR="00B02572" w:rsidRPr="00E52A49" w:rsidRDefault="00B02572" w:rsidP="00AE5BDE">
            <w:pPr>
              <w:spacing w:line="300" w:lineRule="atLeast"/>
              <w:jc w:val="center"/>
              <w:rPr>
                <w:b/>
                <w:szCs w:val="24"/>
              </w:rPr>
            </w:pPr>
          </w:p>
        </w:tc>
      </w:tr>
    </w:tbl>
    <w:p w:rsidR="00B85363" w:rsidRDefault="00B85363" w:rsidP="00AE5BDE">
      <w:pPr>
        <w:spacing w:line="300" w:lineRule="atLeast"/>
      </w:pPr>
      <w:r>
        <w:br w:type="page"/>
      </w:r>
    </w:p>
    <w:tbl>
      <w:tblPr>
        <w:tblStyle w:val="TableGrid"/>
        <w:tblW w:w="9606" w:type="dxa"/>
        <w:tblLayout w:type="fixed"/>
        <w:tblLook w:val="04A0" w:firstRow="1" w:lastRow="0" w:firstColumn="1" w:lastColumn="0" w:noHBand="0" w:noVBand="1"/>
      </w:tblPr>
      <w:tblGrid>
        <w:gridCol w:w="1668"/>
        <w:gridCol w:w="1984"/>
        <w:gridCol w:w="4536"/>
        <w:gridCol w:w="709"/>
        <w:gridCol w:w="709"/>
      </w:tblGrid>
      <w:tr w:rsidR="00B85363" w:rsidRPr="00E52A49" w:rsidTr="008A0858">
        <w:tc>
          <w:tcPr>
            <w:tcW w:w="1668" w:type="dxa"/>
          </w:tcPr>
          <w:p w:rsidR="00B85363" w:rsidRPr="00E52A49" w:rsidRDefault="00B85363" w:rsidP="00AE5BDE">
            <w:pPr>
              <w:spacing w:line="300" w:lineRule="atLeast"/>
              <w:rPr>
                <w:b/>
                <w:szCs w:val="24"/>
              </w:rPr>
            </w:pPr>
            <w:r w:rsidRPr="00E52A49">
              <w:rPr>
                <w:b/>
                <w:szCs w:val="24"/>
              </w:rPr>
              <w:t>Abbreviation</w:t>
            </w:r>
          </w:p>
        </w:tc>
        <w:tc>
          <w:tcPr>
            <w:tcW w:w="1984" w:type="dxa"/>
          </w:tcPr>
          <w:p w:rsidR="00B85363" w:rsidRPr="00E52A49" w:rsidRDefault="00B85363" w:rsidP="00AE5BDE">
            <w:pPr>
              <w:spacing w:line="300" w:lineRule="atLeast"/>
              <w:jc w:val="left"/>
              <w:rPr>
                <w:b/>
                <w:szCs w:val="24"/>
              </w:rPr>
            </w:pPr>
            <w:r w:rsidRPr="00E52A49">
              <w:rPr>
                <w:b/>
                <w:szCs w:val="24"/>
              </w:rPr>
              <w:t>Full name</w:t>
            </w:r>
          </w:p>
        </w:tc>
        <w:tc>
          <w:tcPr>
            <w:tcW w:w="4536" w:type="dxa"/>
          </w:tcPr>
          <w:p w:rsidR="00B85363" w:rsidRPr="00E52A49" w:rsidRDefault="00B85363" w:rsidP="00AE5BDE">
            <w:pPr>
              <w:spacing w:line="300" w:lineRule="atLeast"/>
              <w:rPr>
                <w:b/>
                <w:szCs w:val="24"/>
              </w:rPr>
            </w:pPr>
            <w:r w:rsidRPr="00E52A49">
              <w:rPr>
                <w:b/>
                <w:szCs w:val="24"/>
              </w:rPr>
              <w:t>Description</w:t>
            </w:r>
          </w:p>
        </w:tc>
        <w:tc>
          <w:tcPr>
            <w:tcW w:w="709" w:type="dxa"/>
          </w:tcPr>
          <w:p w:rsidR="00B85363" w:rsidRPr="00E52A49" w:rsidRDefault="00B85363" w:rsidP="00AE5BDE">
            <w:pPr>
              <w:spacing w:line="300" w:lineRule="atLeast"/>
              <w:rPr>
                <w:b/>
                <w:szCs w:val="24"/>
              </w:rPr>
            </w:pPr>
            <w:r w:rsidRPr="00E52A49">
              <w:rPr>
                <w:b/>
                <w:szCs w:val="24"/>
              </w:rPr>
              <w:t>IL</w:t>
            </w:r>
          </w:p>
        </w:tc>
        <w:tc>
          <w:tcPr>
            <w:tcW w:w="709" w:type="dxa"/>
          </w:tcPr>
          <w:p w:rsidR="00B85363" w:rsidRPr="00E52A49" w:rsidRDefault="00B85363" w:rsidP="00AE5BDE">
            <w:pPr>
              <w:spacing w:line="300" w:lineRule="atLeast"/>
              <w:rPr>
                <w:b/>
                <w:szCs w:val="24"/>
              </w:rPr>
            </w:pPr>
            <w:proofErr w:type="spellStart"/>
            <w:r w:rsidRPr="00E52A49">
              <w:rPr>
                <w:b/>
                <w:szCs w:val="24"/>
              </w:rPr>
              <w:t>TP</w:t>
            </w:r>
            <w:proofErr w:type="spellEnd"/>
          </w:p>
        </w:tc>
      </w:tr>
      <w:tr w:rsidR="00B85363" w:rsidRPr="00E52A49" w:rsidTr="00B85363">
        <w:tc>
          <w:tcPr>
            <w:tcW w:w="1668" w:type="dxa"/>
          </w:tcPr>
          <w:p w:rsidR="00B85363" w:rsidRPr="00E52A49" w:rsidRDefault="00B85363" w:rsidP="00AE5BDE">
            <w:pPr>
              <w:spacing w:line="300" w:lineRule="atLeast"/>
              <w:rPr>
                <w:szCs w:val="24"/>
              </w:rPr>
            </w:pPr>
            <w:r w:rsidRPr="00E52A49">
              <w:rPr>
                <w:szCs w:val="24"/>
              </w:rPr>
              <w:t>First State</w:t>
            </w:r>
          </w:p>
        </w:tc>
        <w:tc>
          <w:tcPr>
            <w:tcW w:w="1984" w:type="dxa"/>
          </w:tcPr>
          <w:p w:rsidR="00B85363" w:rsidRPr="00E52A49" w:rsidRDefault="00B85363" w:rsidP="00AE5BDE">
            <w:pPr>
              <w:spacing w:line="300" w:lineRule="atLeast"/>
              <w:jc w:val="left"/>
              <w:rPr>
                <w:szCs w:val="24"/>
              </w:rPr>
            </w:pPr>
            <w:r w:rsidRPr="00E52A49">
              <w:rPr>
                <w:szCs w:val="24"/>
              </w:rPr>
              <w:t>First State Investments</w:t>
            </w:r>
          </w:p>
        </w:tc>
        <w:tc>
          <w:tcPr>
            <w:tcW w:w="4536" w:type="dxa"/>
          </w:tcPr>
          <w:p w:rsidR="00B85363" w:rsidRPr="00E52A49" w:rsidRDefault="00B85363" w:rsidP="00AE5BDE">
            <w:pPr>
              <w:spacing w:line="300" w:lineRule="atLeast"/>
              <w:rPr>
                <w:szCs w:val="24"/>
              </w:rPr>
            </w:pPr>
            <w:r w:rsidRPr="00E52A49">
              <w:rPr>
                <w:szCs w:val="24"/>
              </w:rPr>
              <w:t>First State Investments (</w:t>
            </w:r>
            <w:proofErr w:type="spellStart"/>
            <w:r w:rsidRPr="00E52A49">
              <w:rPr>
                <w:szCs w:val="24"/>
              </w:rPr>
              <w:t>FSI</w:t>
            </w:r>
            <w:proofErr w:type="spellEnd"/>
            <w:r w:rsidRPr="00E52A49">
              <w:rPr>
                <w:szCs w:val="24"/>
              </w:rPr>
              <w:t>) is the investment management business of the Commonwealth Bank of Australia.</w:t>
            </w:r>
          </w:p>
        </w:tc>
        <w:tc>
          <w:tcPr>
            <w:tcW w:w="709" w:type="dxa"/>
            <w:vAlign w:val="center"/>
          </w:tcPr>
          <w:p w:rsidR="00B85363" w:rsidRPr="00E52A49" w:rsidRDefault="00B85363" w:rsidP="00AE5BDE">
            <w:pPr>
              <w:spacing w:line="300" w:lineRule="atLeast"/>
              <w:jc w:val="center"/>
              <w:rPr>
                <w:b/>
                <w:szCs w:val="24"/>
              </w:rPr>
            </w:pPr>
            <w:r w:rsidRPr="00E52A49">
              <w:rPr>
                <w:b/>
                <w:szCs w:val="24"/>
              </w:rPr>
              <w:sym w:font="Wingdings" w:char="F0FC"/>
            </w:r>
          </w:p>
        </w:tc>
        <w:tc>
          <w:tcPr>
            <w:tcW w:w="709" w:type="dxa"/>
            <w:vAlign w:val="center"/>
          </w:tcPr>
          <w:p w:rsidR="00B85363" w:rsidRPr="00E52A49" w:rsidRDefault="00B85363" w:rsidP="00AE5BDE">
            <w:pPr>
              <w:spacing w:line="300" w:lineRule="atLeast"/>
              <w:jc w:val="center"/>
              <w:rPr>
                <w:b/>
                <w:szCs w:val="24"/>
              </w:rPr>
            </w:pPr>
          </w:p>
        </w:tc>
      </w:tr>
      <w:tr w:rsidR="00B85363" w:rsidRPr="00E52A49" w:rsidTr="00B85363">
        <w:tc>
          <w:tcPr>
            <w:tcW w:w="1668" w:type="dxa"/>
          </w:tcPr>
          <w:p w:rsidR="00B85363" w:rsidRPr="00E52A49" w:rsidRDefault="00B85363" w:rsidP="00AE5BDE">
            <w:pPr>
              <w:spacing w:line="300" w:lineRule="atLeast"/>
              <w:rPr>
                <w:szCs w:val="24"/>
              </w:rPr>
            </w:pPr>
            <w:proofErr w:type="spellStart"/>
            <w:r w:rsidRPr="00E52A49">
              <w:rPr>
                <w:szCs w:val="24"/>
              </w:rPr>
              <w:t>InfraRed</w:t>
            </w:r>
            <w:proofErr w:type="spellEnd"/>
          </w:p>
        </w:tc>
        <w:tc>
          <w:tcPr>
            <w:tcW w:w="1984" w:type="dxa"/>
          </w:tcPr>
          <w:p w:rsidR="00B85363" w:rsidRPr="00E52A49" w:rsidRDefault="00B85363" w:rsidP="00AE5BDE">
            <w:pPr>
              <w:spacing w:line="300" w:lineRule="atLeast"/>
              <w:jc w:val="left"/>
              <w:rPr>
                <w:szCs w:val="24"/>
              </w:rPr>
            </w:pPr>
            <w:proofErr w:type="spellStart"/>
            <w:r w:rsidRPr="00E52A49">
              <w:rPr>
                <w:szCs w:val="24"/>
              </w:rPr>
              <w:t>InfraRed</w:t>
            </w:r>
            <w:proofErr w:type="spellEnd"/>
            <w:r w:rsidRPr="00E52A49">
              <w:rPr>
                <w:szCs w:val="24"/>
              </w:rPr>
              <w:t xml:space="preserve"> Capital Partners Limited</w:t>
            </w:r>
          </w:p>
        </w:tc>
        <w:tc>
          <w:tcPr>
            <w:tcW w:w="4536" w:type="dxa"/>
          </w:tcPr>
          <w:p w:rsidR="00B85363" w:rsidRPr="00E52A49" w:rsidRDefault="00B85363" w:rsidP="00C94CFC">
            <w:pPr>
              <w:spacing w:line="300" w:lineRule="atLeast"/>
              <w:rPr>
                <w:szCs w:val="24"/>
              </w:rPr>
            </w:pPr>
            <w:proofErr w:type="spellStart"/>
            <w:r w:rsidRPr="00E52A49">
              <w:rPr>
                <w:szCs w:val="24"/>
              </w:rPr>
              <w:t>InfraRed</w:t>
            </w:r>
            <w:proofErr w:type="spellEnd"/>
            <w:r w:rsidRPr="00E52A49">
              <w:rPr>
                <w:szCs w:val="24"/>
              </w:rPr>
              <w:t xml:space="preserve"> is an active equity investor in the New Zealand PPP sector, currently holding interests in the Auckland South Correctional Facility and Transmission Gully Motorway projects</w:t>
            </w:r>
            <w:r w:rsidR="00811A1E">
              <w:rPr>
                <w:szCs w:val="24"/>
              </w:rPr>
              <w:t>.</w:t>
            </w:r>
          </w:p>
        </w:tc>
        <w:tc>
          <w:tcPr>
            <w:tcW w:w="709" w:type="dxa"/>
            <w:vAlign w:val="center"/>
          </w:tcPr>
          <w:p w:rsidR="00B85363" w:rsidRPr="00E52A49" w:rsidRDefault="00B85363" w:rsidP="00AE5BDE">
            <w:pPr>
              <w:spacing w:line="300" w:lineRule="atLeast"/>
              <w:jc w:val="center"/>
              <w:rPr>
                <w:b/>
                <w:szCs w:val="24"/>
              </w:rPr>
            </w:pPr>
            <w:r w:rsidRPr="00E52A49">
              <w:rPr>
                <w:b/>
                <w:szCs w:val="24"/>
              </w:rPr>
              <w:sym w:font="Wingdings" w:char="F0FC"/>
            </w:r>
          </w:p>
        </w:tc>
        <w:tc>
          <w:tcPr>
            <w:tcW w:w="709" w:type="dxa"/>
            <w:vAlign w:val="center"/>
          </w:tcPr>
          <w:p w:rsidR="00B85363" w:rsidRPr="00E52A49" w:rsidRDefault="00B85363" w:rsidP="00AE5BDE">
            <w:pPr>
              <w:spacing w:line="300" w:lineRule="atLeast"/>
              <w:jc w:val="center"/>
              <w:rPr>
                <w:b/>
                <w:szCs w:val="24"/>
              </w:rPr>
            </w:pPr>
          </w:p>
        </w:tc>
      </w:tr>
      <w:tr w:rsidR="00B85363" w:rsidRPr="00E52A49" w:rsidTr="00B85363">
        <w:tc>
          <w:tcPr>
            <w:tcW w:w="1668" w:type="dxa"/>
          </w:tcPr>
          <w:p w:rsidR="00B85363" w:rsidRPr="00E52A49" w:rsidRDefault="00B85363" w:rsidP="00AE5BDE">
            <w:pPr>
              <w:spacing w:line="300" w:lineRule="atLeast"/>
              <w:rPr>
                <w:szCs w:val="24"/>
              </w:rPr>
            </w:pPr>
            <w:r w:rsidRPr="00E52A49">
              <w:rPr>
                <w:szCs w:val="24"/>
              </w:rPr>
              <w:t>KPMG</w:t>
            </w:r>
          </w:p>
        </w:tc>
        <w:tc>
          <w:tcPr>
            <w:tcW w:w="1984" w:type="dxa"/>
          </w:tcPr>
          <w:p w:rsidR="00B85363" w:rsidRPr="00E52A49" w:rsidRDefault="00B85363" w:rsidP="00AE5BDE">
            <w:pPr>
              <w:spacing w:line="300" w:lineRule="atLeast"/>
              <w:jc w:val="left"/>
              <w:rPr>
                <w:szCs w:val="24"/>
              </w:rPr>
            </w:pPr>
            <w:r w:rsidRPr="00E52A49">
              <w:rPr>
                <w:szCs w:val="24"/>
              </w:rPr>
              <w:t>KPMG</w:t>
            </w:r>
          </w:p>
        </w:tc>
        <w:tc>
          <w:tcPr>
            <w:tcW w:w="4536" w:type="dxa"/>
          </w:tcPr>
          <w:p w:rsidR="00B85363" w:rsidRPr="00E52A49" w:rsidRDefault="00B85363" w:rsidP="00AE5BDE">
            <w:pPr>
              <w:spacing w:line="300" w:lineRule="atLeast"/>
              <w:rPr>
                <w:szCs w:val="24"/>
              </w:rPr>
            </w:pPr>
            <w:r w:rsidRPr="00E52A49">
              <w:rPr>
                <w:szCs w:val="24"/>
              </w:rPr>
              <w:t xml:space="preserve">KPMG refers to the New Zealand arm of KPMG International – the global network of professional firms providing audit, tax, and advisory services. </w:t>
            </w:r>
          </w:p>
        </w:tc>
        <w:tc>
          <w:tcPr>
            <w:tcW w:w="709" w:type="dxa"/>
            <w:vAlign w:val="center"/>
          </w:tcPr>
          <w:p w:rsidR="00B85363" w:rsidRPr="00E52A49" w:rsidRDefault="00B85363" w:rsidP="00AE5BDE">
            <w:pPr>
              <w:spacing w:line="300" w:lineRule="atLeast"/>
              <w:jc w:val="center"/>
              <w:rPr>
                <w:szCs w:val="24"/>
              </w:rPr>
            </w:pPr>
            <w:r w:rsidRPr="00E52A49">
              <w:rPr>
                <w:b/>
                <w:szCs w:val="24"/>
              </w:rPr>
              <w:sym w:font="Wingdings" w:char="F0FC"/>
            </w:r>
          </w:p>
        </w:tc>
        <w:tc>
          <w:tcPr>
            <w:tcW w:w="709" w:type="dxa"/>
            <w:vAlign w:val="center"/>
          </w:tcPr>
          <w:p w:rsidR="00B85363" w:rsidRPr="00E52A49" w:rsidRDefault="00B85363" w:rsidP="00AE5BDE">
            <w:pPr>
              <w:spacing w:line="300" w:lineRule="atLeast"/>
              <w:jc w:val="center"/>
              <w:rPr>
                <w:szCs w:val="24"/>
              </w:rPr>
            </w:pPr>
            <w:r w:rsidRPr="00E52A49">
              <w:rPr>
                <w:b/>
                <w:szCs w:val="24"/>
              </w:rPr>
              <w:sym w:font="Wingdings" w:char="F0FC"/>
            </w:r>
          </w:p>
        </w:tc>
      </w:tr>
      <w:tr w:rsidR="00B85363" w:rsidRPr="00E52A49" w:rsidTr="00B85363">
        <w:tc>
          <w:tcPr>
            <w:tcW w:w="1668" w:type="dxa"/>
          </w:tcPr>
          <w:p w:rsidR="00B85363" w:rsidRPr="00E52A49" w:rsidRDefault="00B85363" w:rsidP="00AE5BDE">
            <w:pPr>
              <w:spacing w:line="300" w:lineRule="atLeast"/>
              <w:rPr>
                <w:szCs w:val="24"/>
              </w:rPr>
            </w:pPr>
            <w:proofErr w:type="spellStart"/>
            <w:r w:rsidRPr="00E52A49">
              <w:rPr>
                <w:szCs w:val="24"/>
              </w:rPr>
              <w:t>Methanex</w:t>
            </w:r>
            <w:proofErr w:type="spellEnd"/>
          </w:p>
        </w:tc>
        <w:tc>
          <w:tcPr>
            <w:tcW w:w="1984" w:type="dxa"/>
          </w:tcPr>
          <w:p w:rsidR="00B85363" w:rsidRPr="00E52A49" w:rsidRDefault="00B85363" w:rsidP="00AE5BDE">
            <w:pPr>
              <w:spacing w:line="300" w:lineRule="atLeast"/>
              <w:jc w:val="left"/>
              <w:rPr>
                <w:szCs w:val="24"/>
              </w:rPr>
            </w:pPr>
            <w:proofErr w:type="spellStart"/>
            <w:r w:rsidRPr="00E52A49">
              <w:rPr>
                <w:szCs w:val="24"/>
              </w:rPr>
              <w:t>Methanex</w:t>
            </w:r>
            <w:proofErr w:type="spellEnd"/>
            <w:r w:rsidRPr="00E52A49">
              <w:rPr>
                <w:szCs w:val="24"/>
              </w:rPr>
              <w:t xml:space="preserve"> New Zealand Limited</w:t>
            </w:r>
          </w:p>
        </w:tc>
        <w:tc>
          <w:tcPr>
            <w:tcW w:w="4536" w:type="dxa"/>
          </w:tcPr>
          <w:p w:rsidR="00B85363" w:rsidRPr="00E52A49" w:rsidRDefault="00B85363" w:rsidP="00AE5BDE">
            <w:pPr>
              <w:spacing w:line="300" w:lineRule="atLeast"/>
              <w:rPr>
                <w:szCs w:val="24"/>
              </w:rPr>
            </w:pPr>
            <w:proofErr w:type="spellStart"/>
            <w:r w:rsidRPr="00E52A49">
              <w:rPr>
                <w:szCs w:val="24"/>
              </w:rPr>
              <w:t>Methanex</w:t>
            </w:r>
            <w:proofErr w:type="spellEnd"/>
            <w:r w:rsidRPr="00E52A49">
              <w:rPr>
                <w:szCs w:val="24"/>
              </w:rPr>
              <w:t xml:space="preserve"> produces and sells methanol globally. </w:t>
            </w:r>
            <w:proofErr w:type="spellStart"/>
            <w:r w:rsidRPr="00E52A49">
              <w:rPr>
                <w:szCs w:val="24"/>
              </w:rPr>
              <w:t>Methanex</w:t>
            </w:r>
            <w:proofErr w:type="spellEnd"/>
            <w:r w:rsidRPr="00E52A49">
              <w:rPr>
                <w:szCs w:val="24"/>
              </w:rPr>
              <w:t xml:space="preserve"> NZ owns two methanol facilities in NZ, and produces methanol primarily for export to markets in Japan, Korea and China</w:t>
            </w:r>
          </w:p>
        </w:tc>
        <w:tc>
          <w:tcPr>
            <w:tcW w:w="709" w:type="dxa"/>
            <w:vAlign w:val="center"/>
          </w:tcPr>
          <w:p w:rsidR="00B85363" w:rsidRPr="00E52A49" w:rsidRDefault="00B85363" w:rsidP="00AE5BDE">
            <w:pPr>
              <w:spacing w:line="300" w:lineRule="atLeast"/>
              <w:jc w:val="center"/>
              <w:rPr>
                <w:szCs w:val="24"/>
              </w:rPr>
            </w:pPr>
            <w:r w:rsidRPr="00E52A49">
              <w:rPr>
                <w:b/>
                <w:szCs w:val="24"/>
              </w:rPr>
              <w:sym w:font="Wingdings" w:char="F0FC"/>
            </w:r>
          </w:p>
        </w:tc>
        <w:tc>
          <w:tcPr>
            <w:tcW w:w="709" w:type="dxa"/>
            <w:vAlign w:val="center"/>
          </w:tcPr>
          <w:p w:rsidR="00B85363" w:rsidRPr="00E52A49" w:rsidRDefault="00B85363" w:rsidP="00AE5BDE">
            <w:pPr>
              <w:spacing w:line="300" w:lineRule="atLeast"/>
              <w:jc w:val="center"/>
              <w:rPr>
                <w:b/>
                <w:szCs w:val="24"/>
              </w:rPr>
            </w:pPr>
          </w:p>
        </w:tc>
      </w:tr>
      <w:tr w:rsidR="00B85363" w:rsidRPr="00E52A49" w:rsidTr="00B85363">
        <w:tc>
          <w:tcPr>
            <w:tcW w:w="1668" w:type="dxa"/>
          </w:tcPr>
          <w:p w:rsidR="00B85363" w:rsidRPr="00E52A49" w:rsidRDefault="00B85363" w:rsidP="00AE5BDE">
            <w:pPr>
              <w:spacing w:line="300" w:lineRule="atLeast"/>
              <w:rPr>
                <w:szCs w:val="24"/>
              </w:rPr>
            </w:pPr>
            <w:proofErr w:type="spellStart"/>
            <w:r w:rsidRPr="00E52A49">
              <w:rPr>
                <w:szCs w:val="24"/>
              </w:rPr>
              <w:t>NFTC</w:t>
            </w:r>
            <w:proofErr w:type="spellEnd"/>
          </w:p>
        </w:tc>
        <w:tc>
          <w:tcPr>
            <w:tcW w:w="1984" w:type="dxa"/>
          </w:tcPr>
          <w:p w:rsidR="00B85363" w:rsidRPr="00E52A49" w:rsidRDefault="00B85363" w:rsidP="00AE5BDE">
            <w:pPr>
              <w:spacing w:line="300" w:lineRule="atLeast"/>
              <w:jc w:val="left"/>
              <w:rPr>
                <w:szCs w:val="24"/>
              </w:rPr>
            </w:pPr>
            <w:r w:rsidRPr="00E52A49">
              <w:rPr>
                <w:szCs w:val="24"/>
              </w:rPr>
              <w:t>National Foreign Trade Council</w:t>
            </w:r>
          </w:p>
        </w:tc>
        <w:tc>
          <w:tcPr>
            <w:tcW w:w="4536" w:type="dxa"/>
          </w:tcPr>
          <w:p w:rsidR="00B85363" w:rsidRPr="00E52A49" w:rsidRDefault="00B85363" w:rsidP="00AE5BDE">
            <w:pPr>
              <w:spacing w:line="300" w:lineRule="atLeast"/>
              <w:rPr>
                <w:szCs w:val="24"/>
              </w:rPr>
            </w:pPr>
            <w:proofErr w:type="spellStart"/>
            <w:r w:rsidRPr="00E52A49">
              <w:rPr>
                <w:szCs w:val="24"/>
              </w:rPr>
              <w:t>NFTC</w:t>
            </w:r>
            <w:proofErr w:type="spellEnd"/>
            <w:r w:rsidRPr="00E52A49">
              <w:rPr>
                <w:szCs w:val="24"/>
              </w:rPr>
              <w:t xml:space="preserve"> is an association of approximately 250 United States business enterprises engaged in all aspects of international trade and investment.</w:t>
            </w:r>
          </w:p>
        </w:tc>
        <w:tc>
          <w:tcPr>
            <w:tcW w:w="709" w:type="dxa"/>
            <w:vAlign w:val="center"/>
          </w:tcPr>
          <w:p w:rsidR="00B85363" w:rsidRPr="00E52A49" w:rsidRDefault="00B85363" w:rsidP="00AE5BDE">
            <w:pPr>
              <w:spacing w:line="300" w:lineRule="atLeast"/>
              <w:jc w:val="center"/>
              <w:rPr>
                <w:szCs w:val="24"/>
              </w:rPr>
            </w:pPr>
          </w:p>
        </w:tc>
        <w:tc>
          <w:tcPr>
            <w:tcW w:w="709" w:type="dxa"/>
            <w:vAlign w:val="center"/>
          </w:tcPr>
          <w:p w:rsidR="00B85363" w:rsidRPr="00E52A49" w:rsidRDefault="00B85363" w:rsidP="00AE5BDE">
            <w:pPr>
              <w:spacing w:line="300" w:lineRule="atLeast"/>
              <w:jc w:val="center"/>
              <w:rPr>
                <w:szCs w:val="24"/>
              </w:rPr>
            </w:pPr>
            <w:r w:rsidRPr="00E52A49">
              <w:rPr>
                <w:b/>
                <w:szCs w:val="24"/>
              </w:rPr>
              <w:sym w:font="Wingdings" w:char="F0FC"/>
            </w:r>
          </w:p>
        </w:tc>
      </w:tr>
      <w:tr w:rsidR="00B85363" w:rsidRPr="00E52A49" w:rsidTr="00B85363">
        <w:tc>
          <w:tcPr>
            <w:tcW w:w="1668" w:type="dxa"/>
          </w:tcPr>
          <w:p w:rsidR="00B85363" w:rsidRPr="00E52A49" w:rsidRDefault="00B85363" w:rsidP="00AE5BDE">
            <w:pPr>
              <w:spacing w:line="300" w:lineRule="atLeast"/>
              <w:rPr>
                <w:szCs w:val="24"/>
              </w:rPr>
            </w:pPr>
            <w:proofErr w:type="spellStart"/>
            <w:r w:rsidRPr="00E52A49">
              <w:rPr>
                <w:szCs w:val="24"/>
              </w:rPr>
              <w:t>NZBA</w:t>
            </w:r>
            <w:proofErr w:type="spellEnd"/>
          </w:p>
        </w:tc>
        <w:tc>
          <w:tcPr>
            <w:tcW w:w="1984" w:type="dxa"/>
          </w:tcPr>
          <w:p w:rsidR="00B85363" w:rsidRPr="00E52A49" w:rsidRDefault="00B85363" w:rsidP="00AE5BDE">
            <w:pPr>
              <w:spacing w:line="300" w:lineRule="atLeast"/>
              <w:jc w:val="left"/>
              <w:rPr>
                <w:szCs w:val="24"/>
              </w:rPr>
            </w:pPr>
            <w:r w:rsidRPr="00E52A49">
              <w:rPr>
                <w:szCs w:val="24"/>
              </w:rPr>
              <w:t>New Zealand Bankers Association</w:t>
            </w:r>
          </w:p>
        </w:tc>
        <w:tc>
          <w:tcPr>
            <w:tcW w:w="4536" w:type="dxa"/>
          </w:tcPr>
          <w:p w:rsidR="00B85363" w:rsidRPr="00E52A49" w:rsidRDefault="00B85363" w:rsidP="00AE5BDE">
            <w:pPr>
              <w:spacing w:line="300" w:lineRule="atLeast"/>
              <w:rPr>
                <w:szCs w:val="24"/>
              </w:rPr>
            </w:pPr>
            <w:proofErr w:type="spellStart"/>
            <w:r w:rsidRPr="00E52A49">
              <w:rPr>
                <w:szCs w:val="24"/>
              </w:rPr>
              <w:t>NZBA</w:t>
            </w:r>
            <w:proofErr w:type="spellEnd"/>
            <w:r w:rsidRPr="00E52A49">
              <w:rPr>
                <w:szCs w:val="24"/>
              </w:rPr>
              <w:t xml:space="preserve"> works on behalf of the New Zealand banking industry in conjunction with its member banks.</w:t>
            </w:r>
          </w:p>
        </w:tc>
        <w:tc>
          <w:tcPr>
            <w:tcW w:w="709" w:type="dxa"/>
            <w:vAlign w:val="center"/>
          </w:tcPr>
          <w:p w:rsidR="00B85363" w:rsidRPr="00E52A49" w:rsidRDefault="00B85363" w:rsidP="00AE5BDE">
            <w:pPr>
              <w:spacing w:line="300" w:lineRule="atLeast"/>
              <w:jc w:val="center"/>
              <w:rPr>
                <w:b/>
                <w:szCs w:val="24"/>
              </w:rPr>
            </w:pPr>
            <w:r w:rsidRPr="00E52A49">
              <w:rPr>
                <w:b/>
                <w:szCs w:val="24"/>
              </w:rPr>
              <w:sym w:font="Wingdings" w:char="F0FC"/>
            </w:r>
          </w:p>
        </w:tc>
        <w:tc>
          <w:tcPr>
            <w:tcW w:w="709" w:type="dxa"/>
            <w:vAlign w:val="center"/>
          </w:tcPr>
          <w:p w:rsidR="00B85363" w:rsidRPr="00E52A49" w:rsidRDefault="00B85363" w:rsidP="00AE5BDE">
            <w:pPr>
              <w:spacing w:line="300" w:lineRule="atLeast"/>
              <w:jc w:val="center"/>
              <w:rPr>
                <w:b/>
                <w:szCs w:val="24"/>
              </w:rPr>
            </w:pPr>
          </w:p>
        </w:tc>
      </w:tr>
      <w:tr w:rsidR="00B85363" w:rsidRPr="00E52A49" w:rsidTr="00B85363">
        <w:tc>
          <w:tcPr>
            <w:tcW w:w="1668" w:type="dxa"/>
          </w:tcPr>
          <w:p w:rsidR="00B85363" w:rsidRPr="00E52A49" w:rsidRDefault="00B85363" w:rsidP="00AE5BDE">
            <w:pPr>
              <w:spacing w:line="300" w:lineRule="atLeast"/>
              <w:rPr>
                <w:szCs w:val="24"/>
              </w:rPr>
            </w:pPr>
            <w:proofErr w:type="spellStart"/>
            <w:r w:rsidRPr="00E52A49">
              <w:rPr>
                <w:szCs w:val="24"/>
              </w:rPr>
              <w:t>NZCTU</w:t>
            </w:r>
            <w:proofErr w:type="spellEnd"/>
          </w:p>
        </w:tc>
        <w:tc>
          <w:tcPr>
            <w:tcW w:w="1984" w:type="dxa"/>
          </w:tcPr>
          <w:p w:rsidR="00B85363" w:rsidRPr="00E52A49" w:rsidRDefault="00B85363" w:rsidP="00AE5BDE">
            <w:pPr>
              <w:spacing w:line="300" w:lineRule="atLeast"/>
              <w:jc w:val="left"/>
              <w:rPr>
                <w:szCs w:val="24"/>
              </w:rPr>
            </w:pPr>
            <w:r w:rsidRPr="00E52A49">
              <w:rPr>
                <w:szCs w:val="24"/>
              </w:rPr>
              <w:t xml:space="preserve">New Zealand Council of Trade Unions Te </w:t>
            </w:r>
            <w:proofErr w:type="spellStart"/>
            <w:r w:rsidRPr="00E52A49">
              <w:rPr>
                <w:szCs w:val="24"/>
              </w:rPr>
              <w:t>Kauae</w:t>
            </w:r>
            <w:proofErr w:type="spellEnd"/>
            <w:r w:rsidRPr="00E52A49">
              <w:rPr>
                <w:szCs w:val="24"/>
              </w:rPr>
              <w:t xml:space="preserve"> </w:t>
            </w:r>
            <w:proofErr w:type="spellStart"/>
            <w:r w:rsidRPr="00E52A49">
              <w:rPr>
                <w:szCs w:val="24"/>
              </w:rPr>
              <w:t>Kaimahi</w:t>
            </w:r>
            <w:proofErr w:type="spellEnd"/>
          </w:p>
        </w:tc>
        <w:tc>
          <w:tcPr>
            <w:tcW w:w="4536" w:type="dxa"/>
          </w:tcPr>
          <w:p w:rsidR="00B85363" w:rsidRPr="00E52A49" w:rsidRDefault="00B85363" w:rsidP="00AE5BDE">
            <w:pPr>
              <w:spacing w:line="300" w:lineRule="atLeast"/>
              <w:rPr>
                <w:szCs w:val="24"/>
              </w:rPr>
            </w:pPr>
            <w:proofErr w:type="spellStart"/>
            <w:r w:rsidRPr="00E52A49">
              <w:rPr>
                <w:szCs w:val="24"/>
              </w:rPr>
              <w:t>NZCTU</w:t>
            </w:r>
            <w:proofErr w:type="spellEnd"/>
            <w:r w:rsidRPr="00E52A49">
              <w:rPr>
                <w:szCs w:val="24"/>
              </w:rPr>
              <w:t xml:space="preserve"> is one of the largest democratic organisations in New Zealand.  </w:t>
            </w:r>
            <w:proofErr w:type="spellStart"/>
            <w:r w:rsidRPr="00E52A49">
              <w:rPr>
                <w:szCs w:val="24"/>
              </w:rPr>
              <w:t>NZCT</w:t>
            </w:r>
            <w:r w:rsidR="00811A1E">
              <w:rPr>
                <w:szCs w:val="24"/>
              </w:rPr>
              <w:t>U</w:t>
            </w:r>
            <w:proofErr w:type="spellEnd"/>
            <w:r w:rsidRPr="00E52A49">
              <w:rPr>
                <w:szCs w:val="24"/>
              </w:rPr>
              <w:t xml:space="preserve"> is made up of 30 unions and has 320,000 members.</w:t>
            </w:r>
          </w:p>
        </w:tc>
        <w:tc>
          <w:tcPr>
            <w:tcW w:w="709" w:type="dxa"/>
            <w:vAlign w:val="center"/>
          </w:tcPr>
          <w:p w:rsidR="00B85363" w:rsidRPr="00E52A49" w:rsidRDefault="00B85363" w:rsidP="00AE5BDE">
            <w:pPr>
              <w:spacing w:line="300" w:lineRule="atLeast"/>
              <w:jc w:val="center"/>
              <w:rPr>
                <w:szCs w:val="24"/>
              </w:rPr>
            </w:pPr>
            <w:r w:rsidRPr="00E52A49">
              <w:rPr>
                <w:b/>
                <w:szCs w:val="24"/>
              </w:rPr>
              <w:sym w:font="Wingdings" w:char="F0FC"/>
            </w:r>
          </w:p>
        </w:tc>
        <w:tc>
          <w:tcPr>
            <w:tcW w:w="709" w:type="dxa"/>
            <w:vAlign w:val="center"/>
          </w:tcPr>
          <w:p w:rsidR="00B85363" w:rsidRPr="00E52A49" w:rsidRDefault="00B85363" w:rsidP="00AE5BDE">
            <w:pPr>
              <w:spacing w:line="300" w:lineRule="atLeast"/>
              <w:jc w:val="center"/>
              <w:rPr>
                <w:szCs w:val="24"/>
              </w:rPr>
            </w:pPr>
            <w:r w:rsidRPr="00E52A49">
              <w:rPr>
                <w:b/>
                <w:szCs w:val="24"/>
              </w:rPr>
              <w:sym w:font="Wingdings" w:char="F0FC"/>
            </w:r>
          </w:p>
        </w:tc>
      </w:tr>
      <w:tr w:rsidR="00B85363" w:rsidRPr="00E52A49" w:rsidTr="00B85363">
        <w:tc>
          <w:tcPr>
            <w:tcW w:w="1668" w:type="dxa"/>
          </w:tcPr>
          <w:p w:rsidR="00B85363" w:rsidRPr="00E52A49" w:rsidRDefault="00B85363" w:rsidP="00AE5BDE">
            <w:pPr>
              <w:spacing w:line="300" w:lineRule="atLeast"/>
              <w:rPr>
                <w:szCs w:val="24"/>
              </w:rPr>
            </w:pPr>
            <w:proofErr w:type="spellStart"/>
            <w:r w:rsidRPr="00E52A49">
              <w:rPr>
                <w:szCs w:val="24"/>
              </w:rPr>
              <w:t>NZLS</w:t>
            </w:r>
            <w:proofErr w:type="spellEnd"/>
          </w:p>
        </w:tc>
        <w:tc>
          <w:tcPr>
            <w:tcW w:w="1984" w:type="dxa"/>
          </w:tcPr>
          <w:p w:rsidR="00B85363" w:rsidRPr="00E52A49" w:rsidRDefault="00B85363" w:rsidP="00AE5BDE">
            <w:pPr>
              <w:spacing w:line="300" w:lineRule="atLeast"/>
              <w:jc w:val="left"/>
              <w:rPr>
                <w:szCs w:val="24"/>
              </w:rPr>
            </w:pPr>
            <w:r w:rsidRPr="00E52A49">
              <w:rPr>
                <w:szCs w:val="24"/>
              </w:rPr>
              <w:t>New Zealand Law Society</w:t>
            </w:r>
          </w:p>
        </w:tc>
        <w:tc>
          <w:tcPr>
            <w:tcW w:w="4536" w:type="dxa"/>
          </w:tcPr>
          <w:p w:rsidR="00B85363" w:rsidRPr="00E52A49" w:rsidRDefault="00B85363" w:rsidP="00AE5BDE">
            <w:pPr>
              <w:spacing w:line="300" w:lineRule="atLeast"/>
              <w:rPr>
                <w:szCs w:val="24"/>
              </w:rPr>
            </w:pPr>
            <w:proofErr w:type="spellStart"/>
            <w:r w:rsidRPr="00E52A49">
              <w:rPr>
                <w:szCs w:val="24"/>
              </w:rPr>
              <w:t>NZLS</w:t>
            </w:r>
            <w:proofErr w:type="spellEnd"/>
            <w:r w:rsidRPr="00E52A49">
              <w:rPr>
                <w:szCs w:val="24"/>
              </w:rPr>
              <w:t xml:space="preserve"> controls and regulates the practice of the law profession in New Zealand.  The </w:t>
            </w:r>
            <w:proofErr w:type="spellStart"/>
            <w:r w:rsidRPr="00E52A49">
              <w:rPr>
                <w:szCs w:val="24"/>
              </w:rPr>
              <w:t>NZLS</w:t>
            </w:r>
            <w:proofErr w:type="spellEnd"/>
            <w:r w:rsidRPr="00E52A49">
              <w:rPr>
                <w:szCs w:val="24"/>
              </w:rPr>
              <w:t xml:space="preserve"> also assists and promotes law reform for the purpose of upholding the rule of law and the administration of justice. </w:t>
            </w:r>
          </w:p>
        </w:tc>
        <w:tc>
          <w:tcPr>
            <w:tcW w:w="709" w:type="dxa"/>
            <w:vAlign w:val="center"/>
          </w:tcPr>
          <w:p w:rsidR="00B85363" w:rsidRPr="00E52A49" w:rsidRDefault="00B85363" w:rsidP="00AE5BDE">
            <w:pPr>
              <w:spacing w:line="300" w:lineRule="atLeast"/>
              <w:jc w:val="center"/>
              <w:rPr>
                <w:szCs w:val="24"/>
              </w:rPr>
            </w:pPr>
            <w:r w:rsidRPr="00E52A49">
              <w:rPr>
                <w:b/>
                <w:szCs w:val="24"/>
              </w:rPr>
              <w:sym w:font="Wingdings" w:char="F0FC"/>
            </w:r>
          </w:p>
        </w:tc>
        <w:tc>
          <w:tcPr>
            <w:tcW w:w="709" w:type="dxa"/>
            <w:vAlign w:val="center"/>
          </w:tcPr>
          <w:p w:rsidR="00B85363" w:rsidRPr="00E52A49" w:rsidRDefault="00B85363" w:rsidP="00AE5BDE">
            <w:pPr>
              <w:spacing w:line="300" w:lineRule="atLeast"/>
              <w:jc w:val="center"/>
              <w:rPr>
                <w:szCs w:val="24"/>
              </w:rPr>
            </w:pPr>
            <w:r w:rsidRPr="00E52A49">
              <w:rPr>
                <w:b/>
                <w:szCs w:val="24"/>
              </w:rPr>
              <w:sym w:font="Wingdings" w:char="F0FC"/>
            </w:r>
          </w:p>
        </w:tc>
      </w:tr>
      <w:tr w:rsidR="00B85363" w:rsidRPr="00E52A49" w:rsidTr="00B85363">
        <w:tc>
          <w:tcPr>
            <w:tcW w:w="1668" w:type="dxa"/>
          </w:tcPr>
          <w:p w:rsidR="00B85363" w:rsidRPr="00E52A49" w:rsidRDefault="00B85363" w:rsidP="00AE5BDE">
            <w:pPr>
              <w:spacing w:line="300" w:lineRule="atLeast"/>
              <w:rPr>
                <w:szCs w:val="24"/>
              </w:rPr>
            </w:pPr>
            <w:proofErr w:type="spellStart"/>
            <w:r w:rsidRPr="00E52A49">
              <w:rPr>
                <w:szCs w:val="24"/>
              </w:rPr>
              <w:t>Olivershaw</w:t>
            </w:r>
            <w:proofErr w:type="spellEnd"/>
          </w:p>
        </w:tc>
        <w:tc>
          <w:tcPr>
            <w:tcW w:w="1984" w:type="dxa"/>
          </w:tcPr>
          <w:p w:rsidR="00B85363" w:rsidRPr="00E52A49" w:rsidRDefault="00B85363" w:rsidP="00AE5BDE">
            <w:pPr>
              <w:spacing w:line="300" w:lineRule="atLeast"/>
              <w:jc w:val="left"/>
              <w:rPr>
                <w:szCs w:val="24"/>
              </w:rPr>
            </w:pPr>
            <w:proofErr w:type="spellStart"/>
            <w:r w:rsidRPr="00E52A49">
              <w:rPr>
                <w:szCs w:val="24"/>
              </w:rPr>
              <w:t>Olivershaw</w:t>
            </w:r>
            <w:proofErr w:type="spellEnd"/>
            <w:r w:rsidRPr="00E52A49">
              <w:rPr>
                <w:szCs w:val="24"/>
              </w:rPr>
              <w:t xml:space="preserve"> Limited</w:t>
            </w:r>
          </w:p>
        </w:tc>
        <w:tc>
          <w:tcPr>
            <w:tcW w:w="4536" w:type="dxa"/>
          </w:tcPr>
          <w:p w:rsidR="00B85363" w:rsidRPr="00E52A49" w:rsidRDefault="00B85363" w:rsidP="00AE5BDE">
            <w:pPr>
              <w:spacing w:line="300" w:lineRule="atLeast"/>
              <w:rPr>
                <w:szCs w:val="24"/>
              </w:rPr>
            </w:pPr>
            <w:proofErr w:type="spellStart"/>
            <w:r w:rsidRPr="00E52A49">
              <w:rPr>
                <w:szCs w:val="24"/>
              </w:rPr>
              <w:t>Olivershaw</w:t>
            </w:r>
            <w:proofErr w:type="spellEnd"/>
            <w:r w:rsidRPr="00E52A49">
              <w:rPr>
                <w:szCs w:val="24"/>
              </w:rPr>
              <w:t xml:space="preserve"> provides tax advisory services for corporate clients, corporate boards, high net worth individuals and accounting firms.</w:t>
            </w:r>
          </w:p>
        </w:tc>
        <w:tc>
          <w:tcPr>
            <w:tcW w:w="709" w:type="dxa"/>
            <w:vAlign w:val="center"/>
          </w:tcPr>
          <w:p w:rsidR="00B85363" w:rsidRPr="00E52A49" w:rsidRDefault="00B85363" w:rsidP="00AE5BDE">
            <w:pPr>
              <w:spacing w:line="300" w:lineRule="atLeast"/>
              <w:jc w:val="center"/>
              <w:rPr>
                <w:b/>
                <w:szCs w:val="24"/>
              </w:rPr>
            </w:pPr>
            <w:r w:rsidRPr="00E52A49">
              <w:rPr>
                <w:b/>
                <w:szCs w:val="24"/>
              </w:rPr>
              <w:sym w:font="Wingdings" w:char="F0FC"/>
            </w:r>
          </w:p>
        </w:tc>
        <w:tc>
          <w:tcPr>
            <w:tcW w:w="709" w:type="dxa"/>
            <w:vAlign w:val="center"/>
          </w:tcPr>
          <w:p w:rsidR="00B85363" w:rsidRPr="00E52A49" w:rsidRDefault="00B85363" w:rsidP="00AE5BDE">
            <w:pPr>
              <w:spacing w:line="300" w:lineRule="atLeast"/>
              <w:jc w:val="center"/>
              <w:rPr>
                <w:b/>
                <w:szCs w:val="24"/>
              </w:rPr>
            </w:pPr>
          </w:p>
        </w:tc>
      </w:tr>
      <w:tr w:rsidR="00B85363" w:rsidRPr="00E52A49" w:rsidTr="00B85363">
        <w:tc>
          <w:tcPr>
            <w:tcW w:w="1668" w:type="dxa"/>
          </w:tcPr>
          <w:p w:rsidR="00B85363" w:rsidRPr="00E52A49" w:rsidRDefault="00B85363" w:rsidP="00AE5BDE">
            <w:pPr>
              <w:spacing w:line="300" w:lineRule="atLeast"/>
              <w:rPr>
                <w:szCs w:val="24"/>
              </w:rPr>
            </w:pPr>
            <w:r w:rsidRPr="00E52A49">
              <w:rPr>
                <w:szCs w:val="24"/>
              </w:rPr>
              <w:t>Oxfam</w:t>
            </w:r>
          </w:p>
        </w:tc>
        <w:tc>
          <w:tcPr>
            <w:tcW w:w="1984" w:type="dxa"/>
          </w:tcPr>
          <w:p w:rsidR="00B85363" w:rsidRPr="00E52A49" w:rsidRDefault="00B85363" w:rsidP="00AE5BDE">
            <w:pPr>
              <w:spacing w:line="300" w:lineRule="atLeast"/>
              <w:jc w:val="left"/>
              <w:rPr>
                <w:szCs w:val="24"/>
              </w:rPr>
            </w:pPr>
            <w:r w:rsidRPr="00E52A49">
              <w:rPr>
                <w:szCs w:val="24"/>
              </w:rPr>
              <w:t>Oxfam New Zealand</w:t>
            </w:r>
          </w:p>
        </w:tc>
        <w:tc>
          <w:tcPr>
            <w:tcW w:w="4536" w:type="dxa"/>
          </w:tcPr>
          <w:p w:rsidR="00B85363" w:rsidRPr="00E52A49" w:rsidRDefault="00B85363" w:rsidP="00AE5BDE">
            <w:pPr>
              <w:spacing w:line="300" w:lineRule="atLeast"/>
              <w:rPr>
                <w:szCs w:val="24"/>
              </w:rPr>
            </w:pPr>
            <w:r w:rsidRPr="00E52A49">
              <w:rPr>
                <w:szCs w:val="24"/>
              </w:rPr>
              <w:t>Oxfam is a world-wide development organisation that mobilises the power of people against poverty.  Oxfam NZ is the New Zealand arm of the global organisation.</w:t>
            </w:r>
          </w:p>
        </w:tc>
        <w:tc>
          <w:tcPr>
            <w:tcW w:w="709" w:type="dxa"/>
            <w:vAlign w:val="center"/>
          </w:tcPr>
          <w:p w:rsidR="00B85363" w:rsidRPr="00E52A49" w:rsidRDefault="00B85363" w:rsidP="00AE5BDE">
            <w:pPr>
              <w:spacing w:line="300" w:lineRule="atLeast"/>
              <w:jc w:val="center"/>
              <w:rPr>
                <w:szCs w:val="24"/>
              </w:rPr>
            </w:pPr>
            <w:r w:rsidRPr="00E52A49">
              <w:rPr>
                <w:b/>
                <w:szCs w:val="24"/>
              </w:rPr>
              <w:sym w:font="Wingdings" w:char="F0FC"/>
            </w:r>
          </w:p>
        </w:tc>
        <w:tc>
          <w:tcPr>
            <w:tcW w:w="709" w:type="dxa"/>
            <w:vAlign w:val="center"/>
          </w:tcPr>
          <w:p w:rsidR="00B85363" w:rsidRPr="00E52A49" w:rsidRDefault="00B85363" w:rsidP="00AE5BDE">
            <w:pPr>
              <w:spacing w:line="300" w:lineRule="atLeast"/>
              <w:jc w:val="center"/>
              <w:rPr>
                <w:szCs w:val="24"/>
              </w:rPr>
            </w:pPr>
            <w:r w:rsidRPr="00E52A49">
              <w:rPr>
                <w:b/>
                <w:szCs w:val="24"/>
              </w:rPr>
              <w:sym w:font="Wingdings" w:char="F0FC"/>
            </w:r>
          </w:p>
        </w:tc>
      </w:tr>
      <w:tr w:rsidR="00B85363" w:rsidRPr="00E52A49" w:rsidTr="00B85363">
        <w:tc>
          <w:tcPr>
            <w:tcW w:w="1668" w:type="dxa"/>
          </w:tcPr>
          <w:p w:rsidR="00B85363" w:rsidRPr="00E52A49" w:rsidRDefault="00B85363" w:rsidP="00AE5BDE">
            <w:pPr>
              <w:spacing w:line="300" w:lineRule="atLeast"/>
              <w:rPr>
                <w:szCs w:val="24"/>
              </w:rPr>
            </w:pPr>
            <w:r w:rsidRPr="00E52A49">
              <w:rPr>
                <w:szCs w:val="24"/>
              </w:rPr>
              <w:t>Plenary</w:t>
            </w:r>
          </w:p>
        </w:tc>
        <w:tc>
          <w:tcPr>
            <w:tcW w:w="1984" w:type="dxa"/>
          </w:tcPr>
          <w:p w:rsidR="00B85363" w:rsidRPr="00E52A49" w:rsidRDefault="00B85363" w:rsidP="00AE5BDE">
            <w:pPr>
              <w:spacing w:line="300" w:lineRule="atLeast"/>
              <w:jc w:val="left"/>
              <w:rPr>
                <w:szCs w:val="24"/>
              </w:rPr>
            </w:pPr>
            <w:r w:rsidRPr="00E52A49">
              <w:rPr>
                <w:szCs w:val="24"/>
              </w:rPr>
              <w:t>Plenary Origination Pty Ltd</w:t>
            </w:r>
          </w:p>
        </w:tc>
        <w:tc>
          <w:tcPr>
            <w:tcW w:w="4536" w:type="dxa"/>
          </w:tcPr>
          <w:p w:rsidR="00B85363" w:rsidRPr="00E52A49" w:rsidRDefault="00B85363" w:rsidP="00AE5BDE">
            <w:pPr>
              <w:spacing w:line="300" w:lineRule="atLeast"/>
              <w:rPr>
                <w:szCs w:val="24"/>
              </w:rPr>
            </w:pPr>
            <w:r w:rsidRPr="00E52A49">
              <w:rPr>
                <w:szCs w:val="24"/>
              </w:rPr>
              <w:t>Plenary Group is an independent long-term investor, developer and manager of public infrastructure in Australia.</w:t>
            </w:r>
          </w:p>
        </w:tc>
        <w:tc>
          <w:tcPr>
            <w:tcW w:w="709" w:type="dxa"/>
            <w:vAlign w:val="center"/>
          </w:tcPr>
          <w:p w:rsidR="00B85363" w:rsidRPr="00E52A49" w:rsidRDefault="00B85363" w:rsidP="00AE5BDE">
            <w:pPr>
              <w:spacing w:line="300" w:lineRule="atLeast"/>
              <w:jc w:val="center"/>
              <w:rPr>
                <w:b/>
                <w:szCs w:val="24"/>
              </w:rPr>
            </w:pPr>
            <w:r w:rsidRPr="00E52A49">
              <w:rPr>
                <w:b/>
                <w:szCs w:val="24"/>
              </w:rPr>
              <w:sym w:font="Wingdings" w:char="F0FC"/>
            </w:r>
          </w:p>
        </w:tc>
        <w:tc>
          <w:tcPr>
            <w:tcW w:w="709" w:type="dxa"/>
            <w:vAlign w:val="center"/>
          </w:tcPr>
          <w:p w:rsidR="00B85363" w:rsidRPr="00E52A49" w:rsidRDefault="00B85363" w:rsidP="00AE5BDE">
            <w:pPr>
              <w:spacing w:line="300" w:lineRule="atLeast"/>
              <w:jc w:val="center"/>
              <w:rPr>
                <w:b/>
                <w:szCs w:val="24"/>
              </w:rPr>
            </w:pPr>
          </w:p>
        </w:tc>
      </w:tr>
    </w:tbl>
    <w:p w:rsidR="00811A1E" w:rsidRDefault="00811A1E">
      <w:r>
        <w:br w:type="page"/>
      </w:r>
    </w:p>
    <w:tbl>
      <w:tblPr>
        <w:tblStyle w:val="TableGrid"/>
        <w:tblW w:w="9606" w:type="dxa"/>
        <w:tblLayout w:type="fixed"/>
        <w:tblLook w:val="04A0" w:firstRow="1" w:lastRow="0" w:firstColumn="1" w:lastColumn="0" w:noHBand="0" w:noVBand="1"/>
      </w:tblPr>
      <w:tblGrid>
        <w:gridCol w:w="1668"/>
        <w:gridCol w:w="1984"/>
        <w:gridCol w:w="4536"/>
        <w:gridCol w:w="709"/>
        <w:gridCol w:w="709"/>
      </w:tblGrid>
      <w:tr w:rsidR="00811A1E" w:rsidRPr="00E52A49" w:rsidTr="00C94CFC">
        <w:tc>
          <w:tcPr>
            <w:tcW w:w="1668" w:type="dxa"/>
          </w:tcPr>
          <w:p w:rsidR="00811A1E" w:rsidRPr="00E52A49" w:rsidRDefault="00811A1E" w:rsidP="00AE5BDE">
            <w:pPr>
              <w:spacing w:line="300" w:lineRule="atLeast"/>
              <w:rPr>
                <w:szCs w:val="24"/>
              </w:rPr>
            </w:pPr>
            <w:r w:rsidRPr="00E52A49">
              <w:rPr>
                <w:b/>
                <w:szCs w:val="24"/>
              </w:rPr>
              <w:t>Abbreviation</w:t>
            </w:r>
          </w:p>
        </w:tc>
        <w:tc>
          <w:tcPr>
            <w:tcW w:w="1984" w:type="dxa"/>
          </w:tcPr>
          <w:p w:rsidR="00811A1E" w:rsidRPr="00E52A49" w:rsidRDefault="00811A1E" w:rsidP="00AE5BDE">
            <w:pPr>
              <w:spacing w:line="300" w:lineRule="atLeast"/>
              <w:jc w:val="left"/>
              <w:rPr>
                <w:szCs w:val="24"/>
              </w:rPr>
            </w:pPr>
            <w:r w:rsidRPr="00E52A49">
              <w:rPr>
                <w:b/>
                <w:szCs w:val="24"/>
              </w:rPr>
              <w:t>Full name</w:t>
            </w:r>
          </w:p>
        </w:tc>
        <w:tc>
          <w:tcPr>
            <w:tcW w:w="4536" w:type="dxa"/>
          </w:tcPr>
          <w:p w:rsidR="00811A1E" w:rsidRPr="00E52A49" w:rsidRDefault="00811A1E" w:rsidP="00AE5BDE">
            <w:pPr>
              <w:spacing w:line="300" w:lineRule="atLeast"/>
              <w:rPr>
                <w:szCs w:val="24"/>
              </w:rPr>
            </w:pPr>
            <w:r w:rsidRPr="00E52A49">
              <w:rPr>
                <w:b/>
                <w:szCs w:val="24"/>
              </w:rPr>
              <w:t>Description</w:t>
            </w:r>
          </w:p>
        </w:tc>
        <w:tc>
          <w:tcPr>
            <w:tcW w:w="709" w:type="dxa"/>
          </w:tcPr>
          <w:p w:rsidR="00811A1E" w:rsidRPr="00E52A49" w:rsidRDefault="00811A1E" w:rsidP="00AE5BDE">
            <w:pPr>
              <w:spacing w:line="300" w:lineRule="atLeast"/>
              <w:jc w:val="center"/>
              <w:rPr>
                <w:b/>
                <w:szCs w:val="24"/>
              </w:rPr>
            </w:pPr>
            <w:r w:rsidRPr="00E52A49">
              <w:rPr>
                <w:b/>
                <w:szCs w:val="24"/>
              </w:rPr>
              <w:t>IL</w:t>
            </w:r>
          </w:p>
        </w:tc>
        <w:tc>
          <w:tcPr>
            <w:tcW w:w="709" w:type="dxa"/>
          </w:tcPr>
          <w:p w:rsidR="00811A1E" w:rsidRPr="00E52A49" w:rsidRDefault="00811A1E" w:rsidP="00AE5BDE">
            <w:pPr>
              <w:spacing w:line="300" w:lineRule="atLeast"/>
              <w:jc w:val="center"/>
              <w:rPr>
                <w:b/>
                <w:szCs w:val="24"/>
              </w:rPr>
            </w:pPr>
            <w:proofErr w:type="spellStart"/>
            <w:r w:rsidRPr="00E52A49">
              <w:rPr>
                <w:b/>
                <w:szCs w:val="24"/>
              </w:rPr>
              <w:t>TP</w:t>
            </w:r>
            <w:proofErr w:type="spellEnd"/>
          </w:p>
        </w:tc>
      </w:tr>
      <w:tr w:rsidR="00811A1E" w:rsidRPr="00E52A49" w:rsidTr="00B85363">
        <w:tc>
          <w:tcPr>
            <w:tcW w:w="1668" w:type="dxa"/>
          </w:tcPr>
          <w:p w:rsidR="00811A1E" w:rsidRPr="00E52A49" w:rsidRDefault="00811A1E" w:rsidP="00AE5BDE">
            <w:pPr>
              <w:spacing w:line="300" w:lineRule="atLeast"/>
              <w:rPr>
                <w:szCs w:val="24"/>
              </w:rPr>
            </w:pPr>
            <w:proofErr w:type="spellStart"/>
            <w:r w:rsidRPr="00E52A49">
              <w:rPr>
                <w:szCs w:val="24"/>
              </w:rPr>
              <w:t>Powerco</w:t>
            </w:r>
            <w:proofErr w:type="spellEnd"/>
          </w:p>
        </w:tc>
        <w:tc>
          <w:tcPr>
            <w:tcW w:w="1984" w:type="dxa"/>
          </w:tcPr>
          <w:p w:rsidR="00811A1E" w:rsidRPr="00E52A49" w:rsidRDefault="00811A1E" w:rsidP="00AE5BDE">
            <w:pPr>
              <w:spacing w:line="300" w:lineRule="atLeast"/>
              <w:jc w:val="left"/>
              <w:rPr>
                <w:szCs w:val="24"/>
              </w:rPr>
            </w:pPr>
            <w:proofErr w:type="spellStart"/>
            <w:r w:rsidRPr="00E52A49">
              <w:rPr>
                <w:szCs w:val="24"/>
              </w:rPr>
              <w:t>Powerco</w:t>
            </w:r>
            <w:proofErr w:type="spellEnd"/>
            <w:r w:rsidRPr="00E52A49">
              <w:rPr>
                <w:szCs w:val="24"/>
              </w:rPr>
              <w:t xml:space="preserve"> Limited</w:t>
            </w:r>
          </w:p>
        </w:tc>
        <w:tc>
          <w:tcPr>
            <w:tcW w:w="4536" w:type="dxa"/>
          </w:tcPr>
          <w:p w:rsidR="00811A1E" w:rsidRPr="00E52A49" w:rsidRDefault="00811A1E" w:rsidP="00AE5BDE">
            <w:pPr>
              <w:spacing w:line="300" w:lineRule="atLeast"/>
              <w:rPr>
                <w:szCs w:val="24"/>
              </w:rPr>
            </w:pPr>
            <w:proofErr w:type="spellStart"/>
            <w:r w:rsidRPr="00E52A49">
              <w:rPr>
                <w:szCs w:val="24"/>
              </w:rPr>
              <w:t>Powerco</w:t>
            </w:r>
            <w:proofErr w:type="spellEnd"/>
            <w:r w:rsidRPr="00E52A49">
              <w:rPr>
                <w:szCs w:val="24"/>
              </w:rPr>
              <w:t xml:space="preserve"> is New Zealand’s largest electricity distributer.  It also has the second largest gas distribution network.</w:t>
            </w:r>
          </w:p>
        </w:tc>
        <w:tc>
          <w:tcPr>
            <w:tcW w:w="709" w:type="dxa"/>
            <w:vAlign w:val="center"/>
          </w:tcPr>
          <w:p w:rsidR="00811A1E" w:rsidRPr="00E52A49" w:rsidRDefault="00811A1E" w:rsidP="00AE5BDE">
            <w:pPr>
              <w:spacing w:line="300" w:lineRule="atLeast"/>
              <w:jc w:val="center"/>
              <w:rPr>
                <w:b/>
                <w:szCs w:val="24"/>
              </w:rPr>
            </w:pPr>
            <w:r w:rsidRPr="00E52A49">
              <w:rPr>
                <w:b/>
                <w:szCs w:val="24"/>
              </w:rPr>
              <w:sym w:font="Wingdings" w:char="F0FC"/>
            </w:r>
          </w:p>
        </w:tc>
        <w:tc>
          <w:tcPr>
            <w:tcW w:w="709" w:type="dxa"/>
            <w:vAlign w:val="center"/>
          </w:tcPr>
          <w:p w:rsidR="00811A1E" w:rsidRPr="00E52A49" w:rsidRDefault="00811A1E" w:rsidP="00AE5BDE">
            <w:pPr>
              <w:spacing w:line="300" w:lineRule="atLeast"/>
              <w:jc w:val="center"/>
              <w:rPr>
                <w:b/>
                <w:szCs w:val="24"/>
              </w:rPr>
            </w:pPr>
          </w:p>
        </w:tc>
      </w:tr>
      <w:tr w:rsidR="00811A1E" w:rsidRPr="00E52A49" w:rsidTr="00B85363">
        <w:tc>
          <w:tcPr>
            <w:tcW w:w="1668" w:type="dxa"/>
          </w:tcPr>
          <w:p w:rsidR="00811A1E" w:rsidRPr="00E52A49" w:rsidRDefault="00811A1E" w:rsidP="00AE5BDE">
            <w:pPr>
              <w:spacing w:line="300" w:lineRule="atLeast"/>
              <w:rPr>
                <w:szCs w:val="24"/>
              </w:rPr>
            </w:pPr>
            <w:r w:rsidRPr="00E52A49">
              <w:rPr>
                <w:szCs w:val="24"/>
              </w:rPr>
              <w:t>PwC</w:t>
            </w:r>
          </w:p>
        </w:tc>
        <w:tc>
          <w:tcPr>
            <w:tcW w:w="1984" w:type="dxa"/>
          </w:tcPr>
          <w:p w:rsidR="00811A1E" w:rsidRPr="00E52A49" w:rsidRDefault="00811A1E" w:rsidP="00AE5BDE">
            <w:pPr>
              <w:spacing w:line="300" w:lineRule="atLeast"/>
              <w:jc w:val="left"/>
              <w:rPr>
                <w:szCs w:val="24"/>
              </w:rPr>
            </w:pPr>
            <w:r w:rsidRPr="00E52A49">
              <w:rPr>
                <w:szCs w:val="24"/>
              </w:rPr>
              <w:t>PwC</w:t>
            </w:r>
          </w:p>
        </w:tc>
        <w:tc>
          <w:tcPr>
            <w:tcW w:w="4536" w:type="dxa"/>
          </w:tcPr>
          <w:p w:rsidR="00811A1E" w:rsidRPr="00E52A49" w:rsidRDefault="00811A1E" w:rsidP="00AE5BDE">
            <w:pPr>
              <w:spacing w:line="300" w:lineRule="atLeast"/>
              <w:rPr>
                <w:szCs w:val="24"/>
              </w:rPr>
            </w:pPr>
            <w:r w:rsidRPr="00E52A49">
              <w:rPr>
                <w:szCs w:val="24"/>
              </w:rPr>
              <w:t>PwC refers to the New Zealand arm of PwC International – a multinational professional services network which advises on tax.</w:t>
            </w:r>
          </w:p>
        </w:tc>
        <w:tc>
          <w:tcPr>
            <w:tcW w:w="709" w:type="dxa"/>
            <w:vAlign w:val="center"/>
          </w:tcPr>
          <w:p w:rsidR="00811A1E" w:rsidRPr="00E52A49" w:rsidRDefault="00811A1E" w:rsidP="00AE5BDE">
            <w:pPr>
              <w:spacing w:line="300" w:lineRule="atLeast"/>
              <w:jc w:val="center"/>
              <w:rPr>
                <w:szCs w:val="24"/>
              </w:rPr>
            </w:pPr>
            <w:r w:rsidRPr="00E52A49">
              <w:rPr>
                <w:b/>
                <w:szCs w:val="24"/>
              </w:rPr>
              <w:sym w:font="Wingdings" w:char="F0FC"/>
            </w:r>
          </w:p>
        </w:tc>
        <w:tc>
          <w:tcPr>
            <w:tcW w:w="709" w:type="dxa"/>
            <w:vAlign w:val="center"/>
          </w:tcPr>
          <w:p w:rsidR="00811A1E" w:rsidRPr="00E52A49" w:rsidRDefault="00811A1E" w:rsidP="00AE5BDE">
            <w:pPr>
              <w:spacing w:line="300" w:lineRule="atLeast"/>
              <w:jc w:val="center"/>
              <w:rPr>
                <w:szCs w:val="24"/>
              </w:rPr>
            </w:pPr>
            <w:r w:rsidRPr="00E52A49">
              <w:rPr>
                <w:b/>
                <w:szCs w:val="24"/>
              </w:rPr>
              <w:sym w:font="Wingdings" w:char="F0FC"/>
            </w:r>
          </w:p>
        </w:tc>
      </w:tr>
      <w:tr w:rsidR="00811A1E" w:rsidRPr="00E52A49" w:rsidTr="00B85363">
        <w:tc>
          <w:tcPr>
            <w:tcW w:w="1668" w:type="dxa"/>
          </w:tcPr>
          <w:p w:rsidR="00811A1E" w:rsidRPr="00E52A49" w:rsidRDefault="00811A1E" w:rsidP="00AE5BDE">
            <w:pPr>
              <w:spacing w:line="300" w:lineRule="atLeast"/>
              <w:rPr>
                <w:szCs w:val="24"/>
              </w:rPr>
            </w:pPr>
            <w:proofErr w:type="spellStart"/>
            <w:r w:rsidRPr="00E52A49">
              <w:rPr>
                <w:szCs w:val="24"/>
              </w:rPr>
              <w:t>QIC</w:t>
            </w:r>
            <w:proofErr w:type="spellEnd"/>
          </w:p>
        </w:tc>
        <w:tc>
          <w:tcPr>
            <w:tcW w:w="1984" w:type="dxa"/>
          </w:tcPr>
          <w:p w:rsidR="00811A1E" w:rsidRPr="00E52A49" w:rsidRDefault="00811A1E" w:rsidP="00AE5BDE">
            <w:pPr>
              <w:spacing w:line="300" w:lineRule="atLeast"/>
              <w:jc w:val="left"/>
              <w:rPr>
                <w:szCs w:val="24"/>
              </w:rPr>
            </w:pPr>
            <w:proofErr w:type="spellStart"/>
            <w:r w:rsidRPr="00E52A49">
              <w:rPr>
                <w:szCs w:val="24"/>
              </w:rPr>
              <w:t>QIC</w:t>
            </w:r>
            <w:proofErr w:type="spellEnd"/>
            <w:r w:rsidRPr="00E52A49">
              <w:rPr>
                <w:szCs w:val="24"/>
              </w:rPr>
              <w:t xml:space="preserve"> Private Capital Pty Limited</w:t>
            </w:r>
          </w:p>
        </w:tc>
        <w:tc>
          <w:tcPr>
            <w:tcW w:w="4536" w:type="dxa"/>
          </w:tcPr>
          <w:p w:rsidR="00811A1E" w:rsidRPr="00E52A49" w:rsidRDefault="00811A1E" w:rsidP="00AE5BDE">
            <w:pPr>
              <w:spacing w:line="300" w:lineRule="atLeast"/>
              <w:rPr>
                <w:szCs w:val="24"/>
              </w:rPr>
            </w:pPr>
            <w:proofErr w:type="spellStart"/>
            <w:r w:rsidRPr="00E52A49">
              <w:rPr>
                <w:szCs w:val="24"/>
              </w:rPr>
              <w:t>QIC</w:t>
            </w:r>
            <w:proofErr w:type="spellEnd"/>
            <w:r w:rsidRPr="00E52A49">
              <w:rPr>
                <w:szCs w:val="24"/>
              </w:rPr>
              <w:t xml:space="preserve"> is an investor in global infrastructure markets and manages a 58% interest in </w:t>
            </w:r>
            <w:proofErr w:type="spellStart"/>
            <w:r w:rsidRPr="00E52A49">
              <w:rPr>
                <w:szCs w:val="24"/>
              </w:rPr>
              <w:t>Powerco</w:t>
            </w:r>
            <w:proofErr w:type="spellEnd"/>
            <w:r w:rsidRPr="00E52A49">
              <w:rPr>
                <w:szCs w:val="24"/>
              </w:rPr>
              <w:t xml:space="preserve"> NZ Holdings Limited.</w:t>
            </w:r>
          </w:p>
        </w:tc>
        <w:tc>
          <w:tcPr>
            <w:tcW w:w="709" w:type="dxa"/>
            <w:vAlign w:val="center"/>
          </w:tcPr>
          <w:p w:rsidR="00811A1E" w:rsidRPr="00E52A49" w:rsidRDefault="00811A1E" w:rsidP="00AE5BDE">
            <w:pPr>
              <w:spacing w:line="300" w:lineRule="atLeast"/>
              <w:jc w:val="center"/>
              <w:rPr>
                <w:b/>
                <w:szCs w:val="24"/>
              </w:rPr>
            </w:pPr>
            <w:r w:rsidRPr="00E52A49">
              <w:rPr>
                <w:b/>
                <w:szCs w:val="24"/>
              </w:rPr>
              <w:sym w:font="Wingdings" w:char="F0FC"/>
            </w:r>
          </w:p>
        </w:tc>
        <w:tc>
          <w:tcPr>
            <w:tcW w:w="709" w:type="dxa"/>
            <w:vAlign w:val="center"/>
          </w:tcPr>
          <w:p w:rsidR="00811A1E" w:rsidRPr="00E52A49" w:rsidRDefault="00811A1E" w:rsidP="00AE5BDE">
            <w:pPr>
              <w:spacing w:line="300" w:lineRule="atLeast"/>
              <w:jc w:val="center"/>
              <w:rPr>
                <w:b/>
                <w:szCs w:val="24"/>
              </w:rPr>
            </w:pPr>
          </w:p>
        </w:tc>
      </w:tr>
      <w:tr w:rsidR="00811A1E" w:rsidRPr="00E52A49" w:rsidTr="00B85363">
        <w:tc>
          <w:tcPr>
            <w:tcW w:w="1668" w:type="dxa"/>
          </w:tcPr>
          <w:p w:rsidR="00811A1E" w:rsidRPr="00E52A49" w:rsidRDefault="00811A1E" w:rsidP="00AE5BDE">
            <w:pPr>
              <w:spacing w:line="300" w:lineRule="atLeast"/>
              <w:rPr>
                <w:szCs w:val="24"/>
              </w:rPr>
            </w:pPr>
            <w:r w:rsidRPr="00E52A49">
              <w:rPr>
                <w:szCs w:val="24"/>
              </w:rPr>
              <w:t>Russell McVeagh</w:t>
            </w:r>
          </w:p>
        </w:tc>
        <w:tc>
          <w:tcPr>
            <w:tcW w:w="1984" w:type="dxa"/>
          </w:tcPr>
          <w:p w:rsidR="00811A1E" w:rsidRPr="00E52A49" w:rsidRDefault="00811A1E" w:rsidP="00AE5BDE">
            <w:pPr>
              <w:spacing w:line="300" w:lineRule="atLeast"/>
              <w:jc w:val="left"/>
              <w:rPr>
                <w:szCs w:val="24"/>
              </w:rPr>
            </w:pPr>
            <w:r w:rsidRPr="00E52A49">
              <w:rPr>
                <w:szCs w:val="24"/>
              </w:rPr>
              <w:t>Russell McVeagh</w:t>
            </w:r>
          </w:p>
        </w:tc>
        <w:tc>
          <w:tcPr>
            <w:tcW w:w="4536" w:type="dxa"/>
          </w:tcPr>
          <w:p w:rsidR="00811A1E" w:rsidRPr="00E52A49" w:rsidRDefault="00811A1E" w:rsidP="00AE5BDE">
            <w:pPr>
              <w:spacing w:line="300" w:lineRule="atLeast"/>
              <w:rPr>
                <w:szCs w:val="24"/>
              </w:rPr>
            </w:pPr>
            <w:r w:rsidRPr="00E52A49">
              <w:rPr>
                <w:szCs w:val="24"/>
              </w:rPr>
              <w:t xml:space="preserve">Russell McVeagh is a New Zealand commercial law firm with offices in Auckland and Wellington.  </w:t>
            </w:r>
          </w:p>
        </w:tc>
        <w:tc>
          <w:tcPr>
            <w:tcW w:w="709" w:type="dxa"/>
            <w:vAlign w:val="center"/>
          </w:tcPr>
          <w:p w:rsidR="00811A1E" w:rsidRPr="00E52A49" w:rsidRDefault="00811A1E" w:rsidP="00AE5BDE">
            <w:pPr>
              <w:spacing w:line="300" w:lineRule="atLeast"/>
              <w:jc w:val="center"/>
              <w:rPr>
                <w:szCs w:val="24"/>
              </w:rPr>
            </w:pPr>
            <w:r w:rsidRPr="00E52A49">
              <w:rPr>
                <w:b/>
                <w:szCs w:val="24"/>
              </w:rPr>
              <w:sym w:font="Wingdings" w:char="F0FC"/>
            </w:r>
          </w:p>
        </w:tc>
        <w:tc>
          <w:tcPr>
            <w:tcW w:w="709" w:type="dxa"/>
            <w:vAlign w:val="center"/>
          </w:tcPr>
          <w:p w:rsidR="00811A1E" w:rsidRPr="00E52A49" w:rsidRDefault="00811A1E" w:rsidP="00AE5BDE">
            <w:pPr>
              <w:spacing w:line="300" w:lineRule="atLeast"/>
              <w:jc w:val="center"/>
              <w:rPr>
                <w:szCs w:val="24"/>
              </w:rPr>
            </w:pPr>
            <w:r w:rsidRPr="00E52A49">
              <w:rPr>
                <w:b/>
                <w:szCs w:val="24"/>
              </w:rPr>
              <w:sym w:font="Wingdings" w:char="F0FC"/>
            </w:r>
          </w:p>
        </w:tc>
      </w:tr>
      <w:tr w:rsidR="00811A1E" w:rsidRPr="00E52A49" w:rsidTr="00B85363">
        <w:tc>
          <w:tcPr>
            <w:tcW w:w="1668" w:type="dxa"/>
          </w:tcPr>
          <w:p w:rsidR="00811A1E" w:rsidRPr="00E52A49" w:rsidRDefault="00811A1E" w:rsidP="00AE5BDE">
            <w:pPr>
              <w:spacing w:line="300" w:lineRule="atLeast"/>
              <w:rPr>
                <w:szCs w:val="24"/>
              </w:rPr>
            </w:pPr>
            <w:proofErr w:type="spellStart"/>
            <w:r w:rsidRPr="00E52A49">
              <w:rPr>
                <w:szCs w:val="24"/>
              </w:rPr>
              <w:t>SKYCITY</w:t>
            </w:r>
            <w:proofErr w:type="spellEnd"/>
          </w:p>
        </w:tc>
        <w:tc>
          <w:tcPr>
            <w:tcW w:w="1984" w:type="dxa"/>
          </w:tcPr>
          <w:p w:rsidR="00811A1E" w:rsidRPr="00E52A49" w:rsidRDefault="00811A1E" w:rsidP="00AE5BDE">
            <w:pPr>
              <w:spacing w:line="300" w:lineRule="atLeast"/>
              <w:jc w:val="left"/>
              <w:rPr>
                <w:szCs w:val="24"/>
              </w:rPr>
            </w:pPr>
            <w:proofErr w:type="spellStart"/>
            <w:r w:rsidRPr="00E52A49">
              <w:rPr>
                <w:szCs w:val="24"/>
              </w:rPr>
              <w:t>SKYCITY</w:t>
            </w:r>
            <w:proofErr w:type="spellEnd"/>
            <w:r w:rsidRPr="00E52A49">
              <w:rPr>
                <w:szCs w:val="24"/>
              </w:rPr>
              <w:t xml:space="preserve"> Entertainment Group Limited</w:t>
            </w:r>
          </w:p>
        </w:tc>
        <w:tc>
          <w:tcPr>
            <w:tcW w:w="4536" w:type="dxa"/>
          </w:tcPr>
          <w:p w:rsidR="00811A1E" w:rsidRPr="00E52A49" w:rsidRDefault="00811A1E" w:rsidP="00C94CFC">
            <w:pPr>
              <w:spacing w:line="300" w:lineRule="atLeast"/>
              <w:rPr>
                <w:szCs w:val="24"/>
              </w:rPr>
            </w:pPr>
            <w:proofErr w:type="spellStart"/>
            <w:r w:rsidRPr="00E52A49">
              <w:rPr>
                <w:szCs w:val="24"/>
              </w:rPr>
              <w:t>S</w:t>
            </w:r>
            <w:r>
              <w:rPr>
                <w:szCs w:val="24"/>
              </w:rPr>
              <w:t>KYCITY</w:t>
            </w:r>
            <w:proofErr w:type="spellEnd"/>
            <w:r w:rsidRPr="00E52A49">
              <w:rPr>
                <w:szCs w:val="24"/>
              </w:rPr>
              <w:t xml:space="preserve"> is an entertainment and gaming business owning and operating casinos in New Zealand (Auckland, Hamilton and Queenstown) and Australia (Adelaide and Darwin).</w:t>
            </w:r>
          </w:p>
        </w:tc>
        <w:tc>
          <w:tcPr>
            <w:tcW w:w="709" w:type="dxa"/>
            <w:vAlign w:val="center"/>
          </w:tcPr>
          <w:p w:rsidR="00811A1E" w:rsidRPr="00E52A49" w:rsidRDefault="00811A1E" w:rsidP="00AE5BDE">
            <w:pPr>
              <w:spacing w:line="300" w:lineRule="atLeast"/>
              <w:jc w:val="center"/>
              <w:rPr>
                <w:szCs w:val="24"/>
              </w:rPr>
            </w:pPr>
            <w:r w:rsidRPr="00E52A49">
              <w:rPr>
                <w:b/>
                <w:szCs w:val="24"/>
              </w:rPr>
              <w:sym w:font="Wingdings" w:char="F0FC"/>
            </w:r>
          </w:p>
        </w:tc>
        <w:tc>
          <w:tcPr>
            <w:tcW w:w="709" w:type="dxa"/>
            <w:vAlign w:val="center"/>
          </w:tcPr>
          <w:p w:rsidR="00811A1E" w:rsidRPr="00E52A49" w:rsidRDefault="00811A1E" w:rsidP="00AE5BDE">
            <w:pPr>
              <w:spacing w:line="300" w:lineRule="atLeast"/>
              <w:jc w:val="center"/>
              <w:rPr>
                <w:szCs w:val="24"/>
              </w:rPr>
            </w:pPr>
          </w:p>
        </w:tc>
      </w:tr>
      <w:tr w:rsidR="00811A1E" w:rsidRPr="00E52A49" w:rsidTr="00B85363">
        <w:tc>
          <w:tcPr>
            <w:tcW w:w="1668" w:type="dxa"/>
          </w:tcPr>
          <w:p w:rsidR="00811A1E" w:rsidRPr="00E52A49" w:rsidRDefault="00811A1E" w:rsidP="00AE5BDE">
            <w:pPr>
              <w:spacing w:line="300" w:lineRule="atLeast"/>
              <w:rPr>
                <w:szCs w:val="24"/>
              </w:rPr>
            </w:pPr>
            <w:proofErr w:type="spellStart"/>
            <w:r w:rsidRPr="00E52A49">
              <w:rPr>
                <w:szCs w:val="24"/>
              </w:rPr>
              <w:t>TPEQ</w:t>
            </w:r>
            <w:proofErr w:type="spellEnd"/>
          </w:p>
        </w:tc>
        <w:tc>
          <w:tcPr>
            <w:tcW w:w="1984" w:type="dxa"/>
          </w:tcPr>
          <w:p w:rsidR="00811A1E" w:rsidRPr="00E52A49" w:rsidRDefault="00811A1E" w:rsidP="00AE5BDE">
            <w:pPr>
              <w:spacing w:line="300" w:lineRule="atLeast"/>
              <w:jc w:val="left"/>
              <w:rPr>
                <w:szCs w:val="24"/>
              </w:rPr>
            </w:pPr>
            <w:proofErr w:type="spellStart"/>
            <w:r w:rsidRPr="00E52A49">
              <w:rPr>
                <w:szCs w:val="24"/>
              </w:rPr>
              <w:t>TP</w:t>
            </w:r>
            <w:proofErr w:type="spellEnd"/>
            <w:r w:rsidRPr="00E52A49">
              <w:rPr>
                <w:szCs w:val="24"/>
              </w:rPr>
              <w:t xml:space="preserve"> Equilibrium | </w:t>
            </w:r>
            <w:proofErr w:type="spellStart"/>
            <w:r w:rsidRPr="00E52A49">
              <w:rPr>
                <w:szCs w:val="24"/>
              </w:rPr>
              <w:t>AustralAsia</w:t>
            </w:r>
            <w:proofErr w:type="spellEnd"/>
          </w:p>
        </w:tc>
        <w:tc>
          <w:tcPr>
            <w:tcW w:w="4536" w:type="dxa"/>
          </w:tcPr>
          <w:p w:rsidR="00811A1E" w:rsidRPr="00E52A49" w:rsidRDefault="00811A1E" w:rsidP="00AE5BDE">
            <w:pPr>
              <w:spacing w:line="300" w:lineRule="atLeast"/>
              <w:rPr>
                <w:szCs w:val="24"/>
              </w:rPr>
            </w:pPr>
            <w:proofErr w:type="spellStart"/>
            <w:r w:rsidRPr="00E52A49">
              <w:rPr>
                <w:szCs w:val="24"/>
              </w:rPr>
              <w:t>TPEQ</w:t>
            </w:r>
            <w:proofErr w:type="spellEnd"/>
            <w:r w:rsidRPr="00E52A49">
              <w:rPr>
                <w:szCs w:val="24"/>
              </w:rPr>
              <w:t xml:space="preserve"> is a boutique transfer pricing advisory firm which covers numerous industries for both the Australian and New Zealand markets.</w:t>
            </w:r>
          </w:p>
        </w:tc>
        <w:tc>
          <w:tcPr>
            <w:tcW w:w="709" w:type="dxa"/>
            <w:vAlign w:val="center"/>
          </w:tcPr>
          <w:p w:rsidR="00811A1E" w:rsidRPr="00E52A49" w:rsidRDefault="00811A1E" w:rsidP="00AE5BDE">
            <w:pPr>
              <w:spacing w:line="300" w:lineRule="atLeast"/>
              <w:jc w:val="center"/>
              <w:rPr>
                <w:szCs w:val="24"/>
              </w:rPr>
            </w:pPr>
            <w:r w:rsidRPr="00E52A49">
              <w:rPr>
                <w:b/>
                <w:szCs w:val="24"/>
              </w:rPr>
              <w:sym w:font="Wingdings" w:char="F0FC"/>
            </w:r>
          </w:p>
        </w:tc>
        <w:tc>
          <w:tcPr>
            <w:tcW w:w="709" w:type="dxa"/>
            <w:vAlign w:val="center"/>
          </w:tcPr>
          <w:p w:rsidR="00811A1E" w:rsidRPr="00E52A49" w:rsidRDefault="00811A1E" w:rsidP="00AE5BDE">
            <w:pPr>
              <w:spacing w:line="300" w:lineRule="atLeast"/>
              <w:jc w:val="center"/>
              <w:rPr>
                <w:szCs w:val="24"/>
              </w:rPr>
            </w:pPr>
            <w:r w:rsidRPr="00E52A49">
              <w:rPr>
                <w:b/>
                <w:szCs w:val="24"/>
              </w:rPr>
              <w:sym w:font="Wingdings" w:char="F0FC"/>
            </w:r>
          </w:p>
        </w:tc>
      </w:tr>
      <w:tr w:rsidR="00811A1E" w:rsidRPr="00E52A49" w:rsidTr="00B85363">
        <w:tc>
          <w:tcPr>
            <w:tcW w:w="1668" w:type="dxa"/>
          </w:tcPr>
          <w:p w:rsidR="00811A1E" w:rsidRPr="00E52A49" w:rsidRDefault="00811A1E" w:rsidP="00AE5BDE">
            <w:pPr>
              <w:spacing w:line="300" w:lineRule="atLeast"/>
              <w:rPr>
                <w:szCs w:val="24"/>
              </w:rPr>
            </w:pPr>
            <w:r w:rsidRPr="00E52A49">
              <w:rPr>
                <w:szCs w:val="24"/>
              </w:rPr>
              <w:t>Westpac</w:t>
            </w:r>
          </w:p>
        </w:tc>
        <w:tc>
          <w:tcPr>
            <w:tcW w:w="1984" w:type="dxa"/>
          </w:tcPr>
          <w:p w:rsidR="00811A1E" w:rsidRPr="00E52A49" w:rsidRDefault="00811A1E" w:rsidP="00AE5BDE">
            <w:pPr>
              <w:spacing w:line="300" w:lineRule="atLeast"/>
              <w:jc w:val="left"/>
              <w:rPr>
                <w:szCs w:val="24"/>
              </w:rPr>
            </w:pPr>
            <w:r w:rsidRPr="00E52A49">
              <w:rPr>
                <w:szCs w:val="24"/>
              </w:rPr>
              <w:t>Westpac New Zealand Limited and Westpac Banking Corporation NZ Branch</w:t>
            </w:r>
          </w:p>
        </w:tc>
        <w:tc>
          <w:tcPr>
            <w:tcW w:w="4536" w:type="dxa"/>
          </w:tcPr>
          <w:p w:rsidR="00811A1E" w:rsidRPr="00E52A49" w:rsidRDefault="00811A1E" w:rsidP="00AE5BDE">
            <w:pPr>
              <w:spacing w:line="300" w:lineRule="atLeast"/>
              <w:rPr>
                <w:szCs w:val="24"/>
              </w:rPr>
            </w:pPr>
            <w:r w:rsidRPr="00E52A49">
              <w:rPr>
                <w:szCs w:val="24"/>
              </w:rPr>
              <w:t>Westpac is a major bank in New Zealand and Australia.</w:t>
            </w:r>
          </w:p>
        </w:tc>
        <w:tc>
          <w:tcPr>
            <w:tcW w:w="709" w:type="dxa"/>
            <w:vAlign w:val="center"/>
          </w:tcPr>
          <w:p w:rsidR="00811A1E" w:rsidRPr="00E52A49" w:rsidRDefault="00811A1E" w:rsidP="00AE5BDE">
            <w:pPr>
              <w:spacing w:line="300" w:lineRule="atLeast"/>
              <w:jc w:val="center"/>
              <w:rPr>
                <w:b/>
                <w:szCs w:val="24"/>
              </w:rPr>
            </w:pPr>
            <w:r w:rsidRPr="00E52A49">
              <w:rPr>
                <w:b/>
                <w:szCs w:val="24"/>
              </w:rPr>
              <w:sym w:font="Wingdings" w:char="F0FC"/>
            </w:r>
          </w:p>
        </w:tc>
        <w:tc>
          <w:tcPr>
            <w:tcW w:w="709" w:type="dxa"/>
            <w:vAlign w:val="center"/>
          </w:tcPr>
          <w:p w:rsidR="00811A1E" w:rsidRPr="00E52A49" w:rsidRDefault="00811A1E" w:rsidP="00AE5BDE">
            <w:pPr>
              <w:spacing w:line="300" w:lineRule="atLeast"/>
              <w:jc w:val="center"/>
              <w:rPr>
                <w:b/>
                <w:szCs w:val="24"/>
              </w:rPr>
            </w:pPr>
          </w:p>
        </w:tc>
      </w:tr>
    </w:tbl>
    <w:p w:rsidR="00094174" w:rsidRDefault="00094174" w:rsidP="00094174">
      <w:pPr>
        <w:pStyle w:val="TRNormal"/>
        <w:tabs>
          <w:tab w:val="left" w:pos="567"/>
        </w:tabs>
      </w:pPr>
    </w:p>
    <w:sectPr w:rsidR="00094174" w:rsidSect="00C3002D">
      <w:headerReference w:type="even" r:id="rId11"/>
      <w:headerReference w:type="default" r:id="rId12"/>
      <w:footerReference w:type="default" r:id="rId13"/>
      <w:headerReference w:type="first" r:id="rId14"/>
      <w:footerReference w:type="first" r:id="rId15"/>
      <w:pgSz w:w="11907" w:h="16840" w:code="9"/>
      <w:pgMar w:top="1276" w:right="1418" w:bottom="1134" w:left="1418" w:header="284"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243" w:rsidRDefault="001F6243">
      <w:r>
        <w:separator/>
      </w:r>
    </w:p>
  </w:endnote>
  <w:endnote w:type="continuationSeparator" w:id="0">
    <w:p w:rsidR="001F6243" w:rsidRDefault="001F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0" w:name="TsyIMFooter"/>
  <w:p w:rsidR="001F6243" w:rsidRPr="006646C7" w:rsidRDefault="001F6243">
    <w:pPr>
      <w:rPr>
        <w:sz w:val="14"/>
      </w:rPr>
    </w:pPr>
    <w:r w:rsidRPr="006646C7">
      <w:rPr>
        <w:sz w:val="14"/>
      </w:rPr>
      <w:fldChar w:fldCharType="begin"/>
    </w:r>
    <w:r w:rsidRPr="006646C7">
      <w:rPr>
        <w:sz w:val="14"/>
      </w:rPr>
      <w:instrText>PAGE</w:instrText>
    </w:r>
    <w:r w:rsidRPr="006646C7">
      <w:rPr>
        <w:sz w:val="14"/>
      </w:rPr>
      <w:fldChar w:fldCharType="separate"/>
    </w:r>
    <w:r>
      <w:rPr>
        <w:noProof/>
        <w:sz w:val="14"/>
      </w:rPr>
      <w:t>12</w:t>
    </w:r>
    <w:r w:rsidRPr="006646C7">
      <w:rPr>
        <w:sz w:val="14"/>
      </w:rPr>
      <w:fldChar w:fldCharType="end"/>
    </w:r>
    <w:r w:rsidRPr="006646C7">
      <w:rPr>
        <w:sz w:val="14"/>
      </w:rPr>
      <w:t>Treasury</w:t>
    </w:r>
    <w:proofErr w:type="gramStart"/>
    <w:r w:rsidRPr="006646C7">
      <w:rPr>
        <w:sz w:val="14"/>
      </w:rPr>
      <w:t>:3727240v1</w:t>
    </w:r>
    <w:proofErr w:type="gramEnd"/>
    <w:r w:rsidRPr="006646C7">
      <w:rPr>
        <w:sz w:val="14"/>
      </w:rPr>
      <w:t xml:space="preserve"> </w:t>
    </w:r>
    <w:bookmarkEnd w:id="1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243" w:rsidRDefault="001F6243">
    <w:pPr>
      <w:pStyle w:val="TRFooter"/>
    </w:pPr>
    <w:r w:rsidRPr="002C6FBF">
      <w:t>T2017/1630</w:t>
    </w:r>
    <w:r>
      <w:t xml:space="preserve">, </w:t>
    </w:r>
    <w:r w:rsidRPr="002C6FBF">
      <w:t>IR2017/361</w:t>
    </w:r>
    <w:r>
      <w:t>: BEPS – summary of submissions on March 2017 discussion documents</w:t>
    </w:r>
    <w:r>
      <w:rPr>
        <w:b/>
      </w:rPr>
      <w:tab/>
    </w:r>
    <w:r>
      <w:rPr>
        <w:rStyle w:val="TRPageNumber"/>
      </w:rPr>
      <w:t xml:space="preserve">Page </w:t>
    </w:r>
    <w:r>
      <w:rPr>
        <w:rStyle w:val="TRPageNumber"/>
      </w:rPr>
      <w:fldChar w:fldCharType="begin"/>
    </w:r>
    <w:r>
      <w:rPr>
        <w:rStyle w:val="TRPageNumber"/>
      </w:rPr>
      <w:instrText>PAGE</w:instrText>
    </w:r>
    <w:r>
      <w:rPr>
        <w:rStyle w:val="TRPageNumber"/>
      </w:rPr>
      <w:fldChar w:fldCharType="separate"/>
    </w:r>
    <w:r w:rsidR="00871AD1">
      <w:rPr>
        <w:rStyle w:val="TRPageNumber"/>
        <w:noProof/>
      </w:rPr>
      <w:t>15</w:t>
    </w:r>
    <w:r>
      <w:rPr>
        <w:rStyle w:val="TR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243" w:rsidRDefault="001F6243">
    <w:pPr>
      <w:framePr w:wrap="around" w:vAnchor="text" w:hAnchor="margin" w:xAlign="right" w:y="1"/>
    </w:pPr>
  </w:p>
  <w:p w:rsidR="001F6243" w:rsidRDefault="001F6243">
    <w:pPr>
      <w:tabs>
        <w:tab w:val="right" w:pos="9356"/>
      </w:tabs>
      <w:ind w:right="-1"/>
    </w:pPr>
    <w:r>
      <w:rPr>
        <w:b/>
      </w:rPr>
      <w:t xml:space="preserve"> </w:t>
    </w:r>
    <w:r>
      <w:tab/>
      <w:t xml:space="preserve">Page </w:t>
    </w:r>
    <w:r>
      <w:fldChar w:fldCharType="begin"/>
    </w:r>
    <w:r>
      <w:instrText xml:space="preserve">PAGE  </w:instrText>
    </w:r>
    <w:r>
      <w:fldChar w:fldCharType="separate"/>
    </w:r>
    <w:r>
      <w:rPr>
        <w:noProof/>
      </w:rPr>
      <w:t>2</w:t>
    </w:r>
    <w:r>
      <w:fldChar w:fldCharType="end"/>
    </w:r>
  </w:p>
  <w:p w:rsidR="001F6243" w:rsidRDefault="001F62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243" w:rsidRDefault="001F6243">
      <w:r>
        <w:separator/>
      </w:r>
    </w:p>
  </w:footnote>
  <w:footnote w:type="continuationSeparator" w:id="0">
    <w:p w:rsidR="001F6243" w:rsidRDefault="001F6243">
      <w:r>
        <w:continuationSeparator/>
      </w:r>
    </w:p>
  </w:footnote>
  <w:footnote w:id="1">
    <w:p w:rsidR="001F6243" w:rsidRDefault="001F6243">
      <w:pPr>
        <w:pStyle w:val="FootnoteText"/>
      </w:pPr>
      <w:r>
        <w:rPr>
          <w:rStyle w:val="FootnoteReference"/>
        </w:rPr>
        <w:footnoteRef/>
      </w:r>
      <w:r>
        <w:t xml:space="preserve"> An </w:t>
      </w:r>
      <w:proofErr w:type="spellStart"/>
      <w:r>
        <w:t>APA</w:t>
      </w:r>
      <w:proofErr w:type="spellEnd"/>
      <w:r>
        <w:t xml:space="preserve"> is </w:t>
      </w:r>
      <w:r w:rsidRPr="00D30F30">
        <w:t>essentially a binding ruling that confirms Inland Revenue agrees that the taxpayer’s planned transfer pricing positions are compliant with the transfer pricing rules for up to five years.</w:t>
      </w:r>
    </w:p>
  </w:footnote>
  <w:footnote w:id="2">
    <w:p w:rsidR="001F6243" w:rsidRDefault="001F6243" w:rsidP="00F36523">
      <w:pPr>
        <w:pStyle w:val="FootnoteText"/>
      </w:pPr>
      <w:r>
        <w:rPr>
          <w:rStyle w:val="FootnoteReference"/>
        </w:rPr>
        <w:footnoteRef/>
      </w:r>
      <w:r>
        <w:t xml:space="preserve"> The discussion document proposed that the measures would apply from income years beginning on or after the date that the new legislation was enacted.</w:t>
      </w:r>
    </w:p>
  </w:footnote>
  <w:footnote w:id="3">
    <w:p w:rsidR="001F6243" w:rsidRDefault="001F6243" w:rsidP="00C96145">
      <w:pPr>
        <w:pStyle w:val="FootnoteText"/>
      </w:pPr>
      <w:r>
        <w:rPr>
          <w:rStyle w:val="FootnoteReference"/>
        </w:rPr>
        <w:footnoteRef/>
      </w:r>
      <w:r>
        <w:t xml:space="preserve"> </w:t>
      </w:r>
      <w:r w:rsidRPr="00541CAE">
        <w:rPr>
          <w:i/>
        </w:rPr>
        <w:t>Government plan to target tax avoidance cops criticism</w:t>
      </w:r>
      <w:r>
        <w:t>, National Business Review, May 12 2017.</w:t>
      </w:r>
    </w:p>
  </w:footnote>
  <w:footnote w:id="4">
    <w:p w:rsidR="001F6243" w:rsidRDefault="001F6243" w:rsidP="00C96145">
      <w:pPr>
        <w:pStyle w:val="FootnoteText"/>
      </w:pPr>
      <w:r>
        <w:rPr>
          <w:rStyle w:val="FootnoteReference"/>
        </w:rPr>
        <w:footnoteRef/>
      </w:r>
      <w:r>
        <w:t xml:space="preserve"> Hoke, William, </w:t>
      </w:r>
      <w:r w:rsidRPr="00120FE8">
        <w:rPr>
          <w:i/>
        </w:rPr>
        <w:t>Australian Court Rejects Chevron’s Transfer Pricing Appeal</w:t>
      </w:r>
      <w:r>
        <w:t xml:space="preserve">, Tax Notes International, </w:t>
      </w:r>
      <w:proofErr w:type="gramStart"/>
      <w:r>
        <w:t>May</w:t>
      </w:r>
      <w:proofErr w:type="gramEnd"/>
      <w:r>
        <w:t xml:space="preserve"> 1 2017.</w:t>
      </w:r>
    </w:p>
  </w:footnote>
  <w:footnote w:id="5">
    <w:p w:rsidR="001F6243" w:rsidRDefault="001F6243" w:rsidP="008E6657">
      <w:pPr>
        <w:pStyle w:val="FootnoteText"/>
      </w:pPr>
      <w:r>
        <w:rPr>
          <w:rStyle w:val="FootnoteReference"/>
        </w:rPr>
        <w:footnoteRef/>
      </w:r>
      <w:r>
        <w:t xml:space="preserve"> The </w:t>
      </w:r>
      <w:r>
        <w:rPr>
          <w:i/>
        </w:rPr>
        <w:t>Multilateral Convention to Implement Tax Treaty Related Measures To Prevent Base Erosion and Profit Shifting</w:t>
      </w:r>
      <w:r>
        <w:t>.  The MLI is a multilateral convention which is intended to prevent DTAs from being used to facilitate cross-border tax avoidance.  The MLI amends a large number of each signatory’s DTAs at once, and so implements the OECD’s recommended DTA changes much faster than a succession of bilateral negotiations could.  New Zealand signed the MLI on 7 June 2017.</w:t>
      </w:r>
    </w:p>
  </w:footnote>
  <w:footnote w:id="6">
    <w:p w:rsidR="001F6243" w:rsidRDefault="001F6243">
      <w:pPr>
        <w:pStyle w:val="FootnoteText"/>
      </w:pPr>
      <w:r>
        <w:rPr>
          <w:rStyle w:val="FootnoteReference"/>
        </w:rPr>
        <w:footnoteRef/>
      </w:r>
      <w:r>
        <w:t xml:space="preserve"> Submission received on </w:t>
      </w:r>
      <w:r>
        <w:rPr>
          <w:i/>
        </w:rPr>
        <w:t>BEPS – strengthening our interest limitation rules</w:t>
      </w:r>
      <w:r>
        <w:t xml:space="preserve"> </w:t>
      </w:r>
    </w:p>
  </w:footnote>
  <w:footnote w:id="7">
    <w:p w:rsidR="001F6243" w:rsidRDefault="001F6243">
      <w:pPr>
        <w:pStyle w:val="FootnoteText"/>
      </w:pPr>
      <w:r>
        <w:rPr>
          <w:rStyle w:val="FootnoteReference"/>
        </w:rPr>
        <w:footnoteRef/>
      </w:r>
      <w:r>
        <w:t xml:space="preserve"> Submission received on </w:t>
      </w:r>
      <w:r w:rsidRPr="00B85363">
        <w:rPr>
          <w:i/>
        </w:rPr>
        <w:t>BEPS – transfer pricing and permanent establishment avoidance</w:t>
      </w:r>
    </w:p>
  </w:footnote>
  <w:footnote w:id="8">
    <w:p w:rsidR="001F6243" w:rsidRDefault="001F6243" w:rsidP="00B85363">
      <w:pPr>
        <w:pStyle w:val="FootnoteText"/>
      </w:pPr>
      <w:r>
        <w:rPr>
          <w:rStyle w:val="FootnoteReference"/>
        </w:rPr>
        <w:footnoteRef/>
      </w:r>
      <w:r>
        <w:t xml:space="preserve"> Deloitte made two separate submissions on the </w:t>
      </w:r>
      <w:r w:rsidRPr="00C42EDD">
        <w:rPr>
          <w:i/>
        </w:rPr>
        <w:t>BEPS – transfer pricing and permanent establishment avoidance</w:t>
      </w:r>
      <w:r>
        <w:t xml:space="preserve"> discussion document.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000" w:firstRow="0" w:lastRow="0" w:firstColumn="0" w:lastColumn="0" w:noHBand="0" w:noVBand="0"/>
    </w:tblPr>
    <w:tblGrid>
      <w:gridCol w:w="4077"/>
      <w:gridCol w:w="3544"/>
      <w:gridCol w:w="2126"/>
    </w:tblGrid>
    <w:tr w:rsidR="001F6243" w:rsidTr="00E1497C">
      <w:trPr>
        <w:trHeight w:val="963"/>
      </w:trPr>
      <w:tc>
        <w:tcPr>
          <w:tcW w:w="4077" w:type="dxa"/>
        </w:tcPr>
        <w:p w:rsidR="001F6243" w:rsidRDefault="001F6243" w:rsidP="00E1497C">
          <w:pPr>
            <w:jc w:val="left"/>
            <w:rPr>
              <w:b/>
              <w:caps/>
              <w:color w:val="000000"/>
              <w:sz w:val="32"/>
            </w:rPr>
          </w:pPr>
          <w:r>
            <w:rPr>
              <w:noProof/>
              <w:lang w:eastAsia="en-NZ"/>
            </w:rPr>
            <w:drawing>
              <wp:inline distT="0" distB="0" distL="0" distR="0" wp14:anchorId="4F406301" wp14:editId="7423024A">
                <wp:extent cx="2423795" cy="673100"/>
                <wp:effectExtent l="0" t="0" r="0" b="0"/>
                <wp:docPr id="6" name="Picture 6" descr="new IR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R logo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795" cy="673100"/>
                        </a:xfrm>
                        <a:prstGeom prst="rect">
                          <a:avLst/>
                        </a:prstGeom>
                        <a:noFill/>
                        <a:ln>
                          <a:noFill/>
                        </a:ln>
                      </pic:spPr>
                    </pic:pic>
                  </a:graphicData>
                </a:graphic>
              </wp:inline>
            </w:drawing>
          </w:r>
          <w:r>
            <w:rPr>
              <w:noProof/>
              <w:lang w:eastAsia="en-NZ"/>
            </w:rPr>
            <mc:AlternateContent>
              <mc:Choice Requires="wps">
                <w:drawing>
                  <wp:anchor distT="0" distB="0" distL="114300" distR="114300" simplePos="0" relativeHeight="251659264" behindDoc="0" locked="0" layoutInCell="0" allowOverlap="1" wp14:anchorId="7E1BC46B" wp14:editId="0A4B4086">
                    <wp:simplePos x="0" y="0"/>
                    <wp:positionH relativeFrom="column">
                      <wp:posOffset>-106680</wp:posOffset>
                    </wp:positionH>
                    <wp:positionV relativeFrom="paragraph">
                      <wp:posOffset>732155</wp:posOffset>
                    </wp:positionV>
                    <wp:extent cx="2255520" cy="373380"/>
                    <wp:effectExtent l="0" t="0" r="0"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243" w:rsidRDefault="001F6243" w:rsidP="00EF0B80">
                                <w:pPr>
                                  <w:rPr>
                                    <w:spacing w:val="4"/>
                                    <w:sz w:val="25"/>
                                  </w:rPr>
                                </w:pPr>
                                <w:r>
                                  <w:rPr>
                                    <w:color w:val="000000"/>
                                    <w:spacing w:val="4"/>
                                    <w:sz w:val="25"/>
                                  </w:rPr>
                                  <w:t>POLICY AND STRATEGY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8.4pt;margin-top:57.65pt;width:177.6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J7tgIAALk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" o:allowincell="f" filled="f" stroked="f">
                    <v:textbox>
                      <w:txbxContent>
                        <w:p w:rsidR="001F6243" w:rsidRDefault="001F6243" w:rsidP="00EF0B80">
                          <w:pPr>
                            <w:rPr>
                              <w:spacing w:val="4"/>
                              <w:sz w:val="25"/>
                            </w:rPr>
                          </w:pPr>
                          <w:r>
                            <w:rPr>
                              <w:color w:val="000000"/>
                              <w:spacing w:val="4"/>
                              <w:sz w:val="25"/>
                            </w:rPr>
                            <w:t>POLICY AND STRATEGY</w:t>
                          </w:r>
                        </w:p>
                      </w:txbxContent>
                    </v:textbox>
                    <w10:wrap type="square"/>
                  </v:shape>
                </w:pict>
              </mc:Fallback>
            </mc:AlternateContent>
          </w:r>
        </w:p>
      </w:tc>
      <w:tc>
        <w:tcPr>
          <w:tcW w:w="3544" w:type="dxa"/>
        </w:tcPr>
        <w:p w:rsidR="001F6243" w:rsidRDefault="001F6243" w:rsidP="00E1497C">
          <w:pPr>
            <w:jc w:val="center"/>
          </w:pPr>
        </w:p>
      </w:tc>
      <w:tc>
        <w:tcPr>
          <w:tcW w:w="2126" w:type="dxa"/>
        </w:tcPr>
        <w:p w:rsidR="001F6243" w:rsidRDefault="001F6243" w:rsidP="00E1497C">
          <w:pPr>
            <w:jc w:val="right"/>
            <w:rPr>
              <w:b/>
              <w:caps/>
              <w:color w:val="000000"/>
              <w:sz w:val="32"/>
            </w:rPr>
          </w:pPr>
          <w:r>
            <w:rPr>
              <w:noProof/>
              <w:lang w:eastAsia="en-NZ"/>
            </w:rPr>
            <w:drawing>
              <wp:inline distT="0" distB="0" distL="0" distR="0" wp14:anchorId="03F70DB4" wp14:editId="37D56EA2">
                <wp:extent cx="1233805" cy="1216025"/>
                <wp:effectExtent l="0" t="0" r="4445" b="3175"/>
                <wp:docPr id="7" name="Picture 7" descr="ts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y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3805" cy="1216025"/>
                        </a:xfrm>
                        <a:prstGeom prst="rect">
                          <a:avLst/>
                        </a:prstGeom>
                        <a:noFill/>
                        <a:ln>
                          <a:noFill/>
                        </a:ln>
                      </pic:spPr>
                    </pic:pic>
                  </a:graphicData>
                </a:graphic>
              </wp:inline>
            </w:drawing>
          </w:r>
        </w:p>
      </w:tc>
    </w:tr>
  </w:tbl>
  <w:p w:rsidR="001F6243" w:rsidRDefault="001F6243" w:rsidP="00EF0B80">
    <w:pPr>
      <w:pStyle w:val="Header"/>
      <w:spacing w:after="9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243" w:rsidRDefault="001F624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243" w:rsidRDefault="001F6243" w:rsidP="008C6AD1">
    <w:pPr>
      <w:pStyle w:val="TRHeader"/>
      <w:tabs>
        <w:tab w:val="right" w:pos="9071"/>
      </w:tabs>
      <w:jc w:val="right"/>
    </w:pPr>
    <w:r>
      <w:t>In Confidence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243" w:rsidRDefault="001F6243"/>
  <w:p w:rsidR="001F6243" w:rsidRDefault="001F62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8D6C3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3DD621F"/>
    <w:multiLevelType w:val="singleLevel"/>
    <w:tmpl w:val="915E4D5A"/>
    <w:lvl w:ilvl="0">
      <w:start w:val="1"/>
      <w:numFmt w:val="decimal"/>
      <w:lvlText w:val="%1"/>
      <w:legacy w:legacy="1" w:legacySpace="0" w:legacyIndent="567"/>
      <w:lvlJc w:val="left"/>
      <w:pPr>
        <w:ind w:left="567" w:hanging="567"/>
      </w:pPr>
    </w:lvl>
  </w:abstractNum>
  <w:abstractNum w:abstractNumId="3">
    <w:nsid w:val="0592515D"/>
    <w:multiLevelType w:val="hybridMultilevel"/>
    <w:tmpl w:val="A5C4EBB4"/>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4">
    <w:nsid w:val="0C000399"/>
    <w:multiLevelType w:val="singleLevel"/>
    <w:tmpl w:val="915E4D5A"/>
    <w:lvl w:ilvl="0">
      <w:start w:val="1"/>
      <w:numFmt w:val="decimal"/>
      <w:lvlText w:val="%1"/>
      <w:legacy w:legacy="1" w:legacySpace="0" w:legacyIndent="567"/>
      <w:lvlJc w:val="left"/>
      <w:pPr>
        <w:ind w:left="567" w:hanging="567"/>
      </w:pPr>
    </w:lvl>
  </w:abstractNum>
  <w:abstractNum w:abstractNumId="5">
    <w:nsid w:val="0C362B6B"/>
    <w:multiLevelType w:val="hybridMultilevel"/>
    <w:tmpl w:val="BD04BF38"/>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6">
    <w:nsid w:val="0CA12010"/>
    <w:multiLevelType w:val="singleLevel"/>
    <w:tmpl w:val="638C4CD0"/>
    <w:lvl w:ilvl="0">
      <w:start w:val="1"/>
      <w:numFmt w:val="bullet"/>
      <w:lvlText w:val=""/>
      <w:lvlJc w:val="left"/>
      <w:pPr>
        <w:tabs>
          <w:tab w:val="num" w:pos="567"/>
        </w:tabs>
        <w:ind w:left="567" w:hanging="567"/>
      </w:pPr>
      <w:rPr>
        <w:rFonts w:ascii="Symbol" w:hAnsi="Symbol" w:hint="default"/>
      </w:rPr>
    </w:lvl>
  </w:abstractNum>
  <w:abstractNum w:abstractNumId="7">
    <w:nsid w:val="0E020BC7"/>
    <w:multiLevelType w:val="hybridMultilevel"/>
    <w:tmpl w:val="2166ACDC"/>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8">
    <w:nsid w:val="1101173F"/>
    <w:multiLevelType w:val="singleLevel"/>
    <w:tmpl w:val="915E4D5A"/>
    <w:lvl w:ilvl="0">
      <w:start w:val="1"/>
      <w:numFmt w:val="decimal"/>
      <w:lvlText w:val="%1"/>
      <w:legacy w:legacy="1" w:legacySpace="0" w:legacyIndent="567"/>
      <w:lvlJc w:val="left"/>
      <w:pPr>
        <w:ind w:left="567" w:hanging="567"/>
      </w:pPr>
    </w:lvl>
  </w:abstractNum>
  <w:abstractNum w:abstractNumId="9">
    <w:nsid w:val="12557B67"/>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0">
    <w:nsid w:val="12F9016C"/>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1">
    <w:nsid w:val="13E31336"/>
    <w:multiLevelType w:val="hybridMultilevel"/>
    <w:tmpl w:val="5E382814"/>
    <w:lvl w:ilvl="0" w:tplc="A3A0AB44">
      <w:start w:val="1"/>
      <w:numFmt w:val="bullet"/>
      <w:lvlText w:val="-"/>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16433613"/>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3">
    <w:nsid w:val="174F58CF"/>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4">
    <w:nsid w:val="176D6BC9"/>
    <w:multiLevelType w:val="hybridMultilevel"/>
    <w:tmpl w:val="C5DAF57C"/>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15">
    <w:nsid w:val="19C72808"/>
    <w:multiLevelType w:val="hybridMultilevel"/>
    <w:tmpl w:val="FA842B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1CA80B76"/>
    <w:multiLevelType w:val="singleLevel"/>
    <w:tmpl w:val="FAD8B7F2"/>
    <w:lvl w:ilvl="0">
      <w:start w:val="1"/>
      <w:numFmt w:val="decimal"/>
      <w:lvlText w:val="%1."/>
      <w:lvlJc w:val="left"/>
      <w:pPr>
        <w:tabs>
          <w:tab w:val="num" w:pos="360"/>
        </w:tabs>
        <w:ind w:left="360" w:hanging="360"/>
      </w:pPr>
      <w:rPr>
        <w:rFonts w:ascii="Helvetica" w:hAnsi="Helvetica" w:hint="default"/>
        <w:b w:val="0"/>
        <w:i w:val="0"/>
      </w:rPr>
    </w:lvl>
  </w:abstractNum>
  <w:abstractNum w:abstractNumId="17">
    <w:nsid w:val="1CDB2C0B"/>
    <w:multiLevelType w:val="hybridMultilevel"/>
    <w:tmpl w:val="9F96CF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22880143"/>
    <w:multiLevelType w:val="hybridMultilevel"/>
    <w:tmpl w:val="3BAA3F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30420999"/>
    <w:multiLevelType w:val="hybridMultilevel"/>
    <w:tmpl w:val="BE5C5A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335F0215"/>
    <w:multiLevelType w:val="hybridMultilevel"/>
    <w:tmpl w:val="F36C22DA"/>
    <w:lvl w:ilvl="0" w:tplc="AFA6EBD6">
      <w:start w:val="1"/>
      <w:numFmt w:val="decimal"/>
      <w:pStyle w:val="Numberparagraph"/>
      <w:lvlText w:val="%1."/>
      <w:lvlJc w:val="left"/>
      <w:pPr>
        <w:ind w:left="360" w:hanging="360"/>
      </w:pPr>
      <w:rPr>
        <w:b w:val="0"/>
        <w:i w:val="0"/>
      </w:rPr>
    </w:lvl>
    <w:lvl w:ilvl="1" w:tplc="14090019">
      <w:start w:val="1"/>
      <w:numFmt w:val="lowerLetter"/>
      <w:lvlText w:val="%2."/>
      <w:lvlJc w:val="left"/>
      <w:pPr>
        <w:ind w:left="1069"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nsid w:val="33D5238E"/>
    <w:multiLevelType w:val="hybridMultilevel"/>
    <w:tmpl w:val="3CAE5F1C"/>
    <w:lvl w:ilvl="0" w:tplc="138E7468">
      <w:start w:val="1"/>
      <w:numFmt w:val="lowerLetter"/>
      <w:lvlText w:val="(%1)"/>
      <w:lvlJc w:val="left"/>
      <w:pPr>
        <w:ind w:left="930" w:hanging="57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nsid w:val="35E83889"/>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3">
    <w:nsid w:val="361347DE"/>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4">
    <w:nsid w:val="39071271"/>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5">
    <w:nsid w:val="3C816D8D"/>
    <w:multiLevelType w:val="hybridMultilevel"/>
    <w:tmpl w:val="2CA8A9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3E4C2C0C"/>
    <w:multiLevelType w:val="hybridMultilevel"/>
    <w:tmpl w:val="EDAA5ADC"/>
    <w:lvl w:ilvl="0" w:tplc="A3A0AB44">
      <w:start w:val="1"/>
      <w:numFmt w:val="bullet"/>
      <w:lvlText w:val="-"/>
      <w:lvlJc w:val="left"/>
      <w:pPr>
        <w:ind w:left="360" w:hanging="360"/>
      </w:pPr>
      <w:rPr>
        <w:rFonts w:ascii="Courier New" w:hAnsi="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nsid w:val="3FC77CE5"/>
    <w:multiLevelType w:val="hybridMultilevel"/>
    <w:tmpl w:val="6706B4E6"/>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28">
    <w:nsid w:val="4443103C"/>
    <w:multiLevelType w:val="hybridMultilevel"/>
    <w:tmpl w:val="D640F4C0"/>
    <w:lvl w:ilvl="0" w:tplc="F33E4A88">
      <w:numFmt w:val="bullet"/>
      <w:lvlText w:val=""/>
      <w:lvlJc w:val="left"/>
      <w:pPr>
        <w:ind w:left="360" w:hanging="360"/>
      </w:pPr>
      <w:rPr>
        <w:rFonts w:ascii="Symbol" w:eastAsiaTheme="minorHAnsi" w:hAnsi="Symbol" w:cstheme="minorBidi"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9">
    <w:nsid w:val="463F23D2"/>
    <w:multiLevelType w:val="singleLevel"/>
    <w:tmpl w:val="915E4D5A"/>
    <w:lvl w:ilvl="0">
      <w:start w:val="1"/>
      <w:numFmt w:val="decimal"/>
      <w:lvlText w:val="%1"/>
      <w:legacy w:legacy="1" w:legacySpace="0" w:legacyIndent="567"/>
      <w:lvlJc w:val="left"/>
      <w:pPr>
        <w:ind w:left="567" w:hanging="567"/>
      </w:pPr>
    </w:lvl>
  </w:abstractNum>
  <w:abstractNum w:abstractNumId="30">
    <w:nsid w:val="535F252A"/>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31">
    <w:nsid w:val="56204238"/>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32">
    <w:nsid w:val="5A361D6B"/>
    <w:multiLevelType w:val="hybridMultilevel"/>
    <w:tmpl w:val="746CCCD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nsid w:val="5B9C374A"/>
    <w:multiLevelType w:val="hybridMultilevel"/>
    <w:tmpl w:val="A2DA055C"/>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34">
    <w:nsid w:val="5BDF4C5D"/>
    <w:multiLevelType w:val="hybridMultilevel"/>
    <w:tmpl w:val="B8CCE632"/>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35">
    <w:nsid w:val="5C4E7217"/>
    <w:multiLevelType w:val="singleLevel"/>
    <w:tmpl w:val="915E4D5A"/>
    <w:lvl w:ilvl="0">
      <w:start w:val="1"/>
      <w:numFmt w:val="decimal"/>
      <w:lvlText w:val="%1"/>
      <w:legacy w:legacy="1" w:legacySpace="0" w:legacyIndent="567"/>
      <w:lvlJc w:val="left"/>
      <w:pPr>
        <w:ind w:left="567" w:hanging="567"/>
      </w:pPr>
    </w:lvl>
  </w:abstractNum>
  <w:abstractNum w:abstractNumId="36">
    <w:nsid w:val="5F033750"/>
    <w:multiLevelType w:val="hybridMultilevel"/>
    <w:tmpl w:val="B87C1960"/>
    <w:lvl w:ilvl="0" w:tplc="E5A470F4">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nsid w:val="62441813"/>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38">
    <w:nsid w:val="6B1B4A56"/>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39">
    <w:nsid w:val="6BD108CD"/>
    <w:multiLevelType w:val="singleLevel"/>
    <w:tmpl w:val="915E4D5A"/>
    <w:lvl w:ilvl="0">
      <w:start w:val="1"/>
      <w:numFmt w:val="decimal"/>
      <w:lvlText w:val="%1"/>
      <w:legacy w:legacy="1" w:legacySpace="0" w:legacyIndent="567"/>
      <w:lvlJc w:val="left"/>
      <w:pPr>
        <w:ind w:left="567" w:hanging="567"/>
      </w:pPr>
    </w:lvl>
  </w:abstractNum>
  <w:abstractNum w:abstractNumId="40">
    <w:nsid w:val="71330935"/>
    <w:multiLevelType w:val="hybridMultilevel"/>
    <w:tmpl w:val="D4B238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nsid w:val="715C1B4E"/>
    <w:multiLevelType w:val="singleLevel"/>
    <w:tmpl w:val="915E4D5A"/>
    <w:lvl w:ilvl="0">
      <w:start w:val="1"/>
      <w:numFmt w:val="decimal"/>
      <w:lvlText w:val="%1"/>
      <w:legacy w:legacy="1" w:legacySpace="0" w:legacyIndent="567"/>
      <w:lvlJc w:val="left"/>
      <w:pPr>
        <w:ind w:left="567" w:hanging="567"/>
      </w:pPr>
    </w:lvl>
  </w:abstractNum>
  <w:abstractNum w:abstractNumId="42">
    <w:nsid w:val="722E105A"/>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43">
    <w:nsid w:val="757F6153"/>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44">
    <w:nsid w:val="76277BC7"/>
    <w:multiLevelType w:val="hybridMultilevel"/>
    <w:tmpl w:val="CCA08A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nsid w:val="767C4449"/>
    <w:multiLevelType w:val="singleLevel"/>
    <w:tmpl w:val="08D0946E"/>
    <w:lvl w:ilvl="0">
      <w:start w:val="1"/>
      <w:numFmt w:val="bullet"/>
      <w:pStyle w:val="TRListBullet"/>
      <w:lvlText w:val=""/>
      <w:lvlJc w:val="left"/>
      <w:pPr>
        <w:tabs>
          <w:tab w:val="num" w:pos="1134"/>
        </w:tabs>
        <w:ind w:left="1134" w:hanging="567"/>
      </w:pPr>
      <w:rPr>
        <w:rFonts w:ascii="Symbol" w:hAnsi="Symbol" w:hint="default"/>
        <w:sz w:val="24"/>
      </w:rPr>
    </w:lvl>
  </w:abstractNum>
  <w:abstractNum w:abstractNumId="46">
    <w:nsid w:val="7F2C214E"/>
    <w:multiLevelType w:val="hybridMultilevel"/>
    <w:tmpl w:val="D820C0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37"/>
  </w:num>
  <w:num w:numId="3">
    <w:abstractNumId w:val="42"/>
  </w:num>
  <w:num w:numId="4">
    <w:abstractNumId w:val="10"/>
  </w:num>
  <w:num w:numId="5">
    <w:abstractNumId w:val="24"/>
  </w:num>
  <w:num w:numId="6">
    <w:abstractNumId w:val="38"/>
  </w:num>
  <w:num w:numId="7">
    <w:abstractNumId w:val="12"/>
  </w:num>
  <w:num w:numId="8">
    <w:abstractNumId w:val="30"/>
  </w:num>
  <w:num w:numId="9">
    <w:abstractNumId w:val="43"/>
  </w:num>
  <w:num w:numId="10">
    <w:abstractNumId w:val="23"/>
  </w:num>
  <w:num w:numId="11">
    <w:abstractNumId w:val="31"/>
  </w:num>
  <w:num w:numId="12">
    <w:abstractNumId w:val="13"/>
  </w:num>
  <w:num w:numId="13">
    <w:abstractNumId w:val="22"/>
  </w:num>
  <w:num w:numId="14">
    <w:abstractNumId w:val="41"/>
  </w:num>
  <w:num w:numId="15">
    <w:abstractNumId w:val="1"/>
    <w:lvlOverride w:ilvl="0">
      <w:lvl w:ilvl="0">
        <w:start w:val="1"/>
        <w:numFmt w:val="bullet"/>
        <w:lvlText w:val=""/>
        <w:legacy w:legacy="1" w:legacySpace="0" w:legacyIndent="567"/>
        <w:lvlJc w:val="left"/>
        <w:pPr>
          <w:ind w:left="567" w:hanging="567"/>
        </w:pPr>
        <w:rPr>
          <w:rFonts w:ascii="Times" w:hAnsi="Times" w:hint="default"/>
        </w:rPr>
      </w:lvl>
    </w:lvlOverride>
  </w:num>
  <w:num w:numId="16">
    <w:abstractNumId w:val="2"/>
  </w:num>
  <w:num w:numId="17">
    <w:abstractNumId w:val="8"/>
  </w:num>
  <w:num w:numId="18">
    <w:abstractNumId w:val="29"/>
  </w:num>
  <w:num w:numId="19">
    <w:abstractNumId w:val="6"/>
  </w:num>
  <w:num w:numId="20">
    <w:abstractNumId w:val="4"/>
  </w:num>
  <w:num w:numId="21">
    <w:abstractNumId w:val="16"/>
  </w:num>
  <w:num w:numId="22">
    <w:abstractNumId w:val="39"/>
  </w:num>
  <w:num w:numId="23">
    <w:abstractNumId w:val="35"/>
  </w:num>
  <w:num w:numId="24">
    <w:abstractNumId w:val="45"/>
  </w:num>
  <w:num w:numId="25">
    <w:abstractNumId w:val="0"/>
  </w:num>
  <w:num w:numId="26">
    <w:abstractNumId w:val="15"/>
  </w:num>
  <w:num w:numId="27">
    <w:abstractNumId w:val="36"/>
  </w:num>
  <w:num w:numId="28">
    <w:abstractNumId w:val="26"/>
  </w:num>
  <w:num w:numId="29">
    <w:abstractNumId w:val="11"/>
  </w:num>
  <w:num w:numId="30">
    <w:abstractNumId w:val="20"/>
  </w:num>
  <w:num w:numId="31">
    <w:abstractNumId w:val="28"/>
  </w:num>
  <w:num w:numId="32">
    <w:abstractNumId w:val="34"/>
  </w:num>
  <w:num w:numId="33">
    <w:abstractNumId w:val="44"/>
  </w:num>
  <w:num w:numId="34">
    <w:abstractNumId w:val="19"/>
  </w:num>
  <w:num w:numId="35">
    <w:abstractNumId w:val="32"/>
  </w:num>
  <w:num w:numId="36">
    <w:abstractNumId w:val="40"/>
  </w:num>
  <w:num w:numId="37">
    <w:abstractNumId w:val="25"/>
  </w:num>
  <w:num w:numId="38">
    <w:abstractNumId w:val="17"/>
  </w:num>
  <w:num w:numId="39">
    <w:abstractNumId w:val="18"/>
  </w:num>
  <w:num w:numId="40">
    <w:abstractNumId w:val="7"/>
  </w:num>
  <w:num w:numId="41">
    <w:abstractNumId w:val="21"/>
  </w:num>
  <w:num w:numId="42">
    <w:abstractNumId w:val="46"/>
  </w:num>
  <w:num w:numId="43">
    <w:abstractNumId w:val="14"/>
  </w:num>
  <w:num w:numId="44">
    <w:abstractNumId w:val="3"/>
  </w:num>
  <w:num w:numId="45">
    <w:abstractNumId w:val="5"/>
  </w:num>
  <w:num w:numId="46">
    <w:abstractNumId w:val="27"/>
  </w:num>
  <w:num w:numId="47">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Mack [TSY]">
    <w15:presenceInfo w15:providerId="None" w15:userId="Steve Mack [TS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embedSystemFonts/>
  <w:activeWritingStyle w:appName="MSWord" w:lang="en-AU" w:vendorID="8" w:dllVersion="513" w:checkStyle="1"/>
  <w:activeWritingStyle w:appName="MSWord" w:lang="en-NZ"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F3"/>
    <w:rsid w:val="000030F9"/>
    <w:rsid w:val="00005522"/>
    <w:rsid w:val="0001189B"/>
    <w:rsid w:val="00034E54"/>
    <w:rsid w:val="000533F6"/>
    <w:rsid w:val="00064565"/>
    <w:rsid w:val="00065220"/>
    <w:rsid w:val="00094174"/>
    <w:rsid w:val="000954C5"/>
    <w:rsid w:val="000A2B27"/>
    <w:rsid w:val="000A7577"/>
    <w:rsid w:val="000A7923"/>
    <w:rsid w:val="000B5D2A"/>
    <w:rsid w:val="000D0533"/>
    <w:rsid w:val="000D4EA8"/>
    <w:rsid w:val="000D5AF1"/>
    <w:rsid w:val="000E3600"/>
    <w:rsid w:val="000F50BC"/>
    <w:rsid w:val="000F5975"/>
    <w:rsid w:val="00102A5F"/>
    <w:rsid w:val="001055AB"/>
    <w:rsid w:val="00107F7C"/>
    <w:rsid w:val="00114E1C"/>
    <w:rsid w:val="00123FE5"/>
    <w:rsid w:val="00127D8A"/>
    <w:rsid w:val="001311E7"/>
    <w:rsid w:val="001319A6"/>
    <w:rsid w:val="0013396B"/>
    <w:rsid w:val="00154CBC"/>
    <w:rsid w:val="00170FA9"/>
    <w:rsid w:val="001811D6"/>
    <w:rsid w:val="00192C20"/>
    <w:rsid w:val="001A77D1"/>
    <w:rsid w:val="001B41A0"/>
    <w:rsid w:val="001D2D28"/>
    <w:rsid w:val="001F1005"/>
    <w:rsid w:val="001F590B"/>
    <w:rsid w:val="001F6243"/>
    <w:rsid w:val="00215F2A"/>
    <w:rsid w:val="0022007A"/>
    <w:rsid w:val="00220AA3"/>
    <w:rsid w:val="0023241B"/>
    <w:rsid w:val="00243A94"/>
    <w:rsid w:val="00245FB9"/>
    <w:rsid w:val="00247B50"/>
    <w:rsid w:val="002539E4"/>
    <w:rsid w:val="00262C24"/>
    <w:rsid w:val="00262FE8"/>
    <w:rsid w:val="00266338"/>
    <w:rsid w:val="002710E4"/>
    <w:rsid w:val="00272919"/>
    <w:rsid w:val="00287905"/>
    <w:rsid w:val="00287FC3"/>
    <w:rsid w:val="00291E66"/>
    <w:rsid w:val="002B183F"/>
    <w:rsid w:val="002C3EBF"/>
    <w:rsid w:val="002C3F68"/>
    <w:rsid w:val="002C6FBF"/>
    <w:rsid w:val="002D00BC"/>
    <w:rsid w:val="002D710E"/>
    <w:rsid w:val="002E1E54"/>
    <w:rsid w:val="002F3685"/>
    <w:rsid w:val="003153EE"/>
    <w:rsid w:val="003302E5"/>
    <w:rsid w:val="00372F2B"/>
    <w:rsid w:val="003730D8"/>
    <w:rsid w:val="003A3A13"/>
    <w:rsid w:val="003A45BD"/>
    <w:rsid w:val="003B2B43"/>
    <w:rsid w:val="003C4AA6"/>
    <w:rsid w:val="003E6D1B"/>
    <w:rsid w:val="003F7102"/>
    <w:rsid w:val="00406DF4"/>
    <w:rsid w:val="00410D77"/>
    <w:rsid w:val="00412BBB"/>
    <w:rsid w:val="00433921"/>
    <w:rsid w:val="00440CBD"/>
    <w:rsid w:val="00471B2A"/>
    <w:rsid w:val="00477668"/>
    <w:rsid w:val="00483FD6"/>
    <w:rsid w:val="00495C6B"/>
    <w:rsid w:val="004965EB"/>
    <w:rsid w:val="004A654E"/>
    <w:rsid w:val="004B7914"/>
    <w:rsid w:val="004D37E9"/>
    <w:rsid w:val="004E29F0"/>
    <w:rsid w:val="004F24A4"/>
    <w:rsid w:val="004F6D2C"/>
    <w:rsid w:val="00520040"/>
    <w:rsid w:val="00534572"/>
    <w:rsid w:val="005408DA"/>
    <w:rsid w:val="005510C7"/>
    <w:rsid w:val="00557F27"/>
    <w:rsid w:val="00570E79"/>
    <w:rsid w:val="00594E98"/>
    <w:rsid w:val="005A2A1A"/>
    <w:rsid w:val="005B4B23"/>
    <w:rsid w:val="005B76A2"/>
    <w:rsid w:val="005D73FB"/>
    <w:rsid w:val="005E37EF"/>
    <w:rsid w:val="005F0DA2"/>
    <w:rsid w:val="005F405C"/>
    <w:rsid w:val="0060271F"/>
    <w:rsid w:val="006304E2"/>
    <w:rsid w:val="0063542B"/>
    <w:rsid w:val="00646BD4"/>
    <w:rsid w:val="006579F8"/>
    <w:rsid w:val="00662F7A"/>
    <w:rsid w:val="006646C7"/>
    <w:rsid w:val="006A06D9"/>
    <w:rsid w:val="006D7392"/>
    <w:rsid w:val="006D782B"/>
    <w:rsid w:val="006E4002"/>
    <w:rsid w:val="00712369"/>
    <w:rsid w:val="00715BDD"/>
    <w:rsid w:val="007221B3"/>
    <w:rsid w:val="007260DC"/>
    <w:rsid w:val="007732D2"/>
    <w:rsid w:val="00792330"/>
    <w:rsid w:val="007A6789"/>
    <w:rsid w:val="007E4935"/>
    <w:rsid w:val="007F69BA"/>
    <w:rsid w:val="00806895"/>
    <w:rsid w:val="00811A1E"/>
    <w:rsid w:val="00814EDC"/>
    <w:rsid w:val="00824074"/>
    <w:rsid w:val="00861176"/>
    <w:rsid w:val="00871AD1"/>
    <w:rsid w:val="00872E0F"/>
    <w:rsid w:val="00883017"/>
    <w:rsid w:val="008862F3"/>
    <w:rsid w:val="008A0858"/>
    <w:rsid w:val="008A47EA"/>
    <w:rsid w:val="008B07DA"/>
    <w:rsid w:val="008B35D0"/>
    <w:rsid w:val="008B6563"/>
    <w:rsid w:val="008C6AD1"/>
    <w:rsid w:val="008D4DEC"/>
    <w:rsid w:val="008E360C"/>
    <w:rsid w:val="008E6657"/>
    <w:rsid w:val="00904CFC"/>
    <w:rsid w:val="00907F35"/>
    <w:rsid w:val="009101E6"/>
    <w:rsid w:val="009104C7"/>
    <w:rsid w:val="00932AF3"/>
    <w:rsid w:val="00937FE4"/>
    <w:rsid w:val="0095012C"/>
    <w:rsid w:val="0095085A"/>
    <w:rsid w:val="00960F62"/>
    <w:rsid w:val="009613D0"/>
    <w:rsid w:val="009676CD"/>
    <w:rsid w:val="00996437"/>
    <w:rsid w:val="009A0652"/>
    <w:rsid w:val="009A0F92"/>
    <w:rsid w:val="009A4648"/>
    <w:rsid w:val="009A73B7"/>
    <w:rsid w:val="009C0D98"/>
    <w:rsid w:val="00A02ECA"/>
    <w:rsid w:val="00A04E47"/>
    <w:rsid w:val="00A469DA"/>
    <w:rsid w:val="00A66D1D"/>
    <w:rsid w:val="00A70FFF"/>
    <w:rsid w:val="00A715D1"/>
    <w:rsid w:val="00A7246F"/>
    <w:rsid w:val="00A7454B"/>
    <w:rsid w:val="00A85F72"/>
    <w:rsid w:val="00A87FF5"/>
    <w:rsid w:val="00AA47A3"/>
    <w:rsid w:val="00AC0387"/>
    <w:rsid w:val="00AC100A"/>
    <w:rsid w:val="00AE4A51"/>
    <w:rsid w:val="00AE5BDE"/>
    <w:rsid w:val="00AE6C88"/>
    <w:rsid w:val="00AE72A3"/>
    <w:rsid w:val="00AF3BF0"/>
    <w:rsid w:val="00AF4AF9"/>
    <w:rsid w:val="00AF549A"/>
    <w:rsid w:val="00B02572"/>
    <w:rsid w:val="00B201F2"/>
    <w:rsid w:val="00B44E13"/>
    <w:rsid w:val="00B50924"/>
    <w:rsid w:val="00B53977"/>
    <w:rsid w:val="00B572D3"/>
    <w:rsid w:val="00B60AC5"/>
    <w:rsid w:val="00B6233D"/>
    <w:rsid w:val="00B82777"/>
    <w:rsid w:val="00B85363"/>
    <w:rsid w:val="00B91B1F"/>
    <w:rsid w:val="00BA0424"/>
    <w:rsid w:val="00BA134E"/>
    <w:rsid w:val="00BB1073"/>
    <w:rsid w:val="00BC2387"/>
    <w:rsid w:val="00BC5F2C"/>
    <w:rsid w:val="00BC74AC"/>
    <w:rsid w:val="00BD332F"/>
    <w:rsid w:val="00BD41DB"/>
    <w:rsid w:val="00BD58EE"/>
    <w:rsid w:val="00BE66DA"/>
    <w:rsid w:val="00BE743E"/>
    <w:rsid w:val="00BF4D5C"/>
    <w:rsid w:val="00C0566A"/>
    <w:rsid w:val="00C132CF"/>
    <w:rsid w:val="00C16F17"/>
    <w:rsid w:val="00C219AE"/>
    <w:rsid w:val="00C3002D"/>
    <w:rsid w:val="00C42EDD"/>
    <w:rsid w:val="00C46044"/>
    <w:rsid w:val="00C655C2"/>
    <w:rsid w:val="00C6707E"/>
    <w:rsid w:val="00C72669"/>
    <w:rsid w:val="00C93B51"/>
    <w:rsid w:val="00C94CFC"/>
    <w:rsid w:val="00C96145"/>
    <w:rsid w:val="00CB6158"/>
    <w:rsid w:val="00CD252D"/>
    <w:rsid w:val="00CD6FE4"/>
    <w:rsid w:val="00CE3CBC"/>
    <w:rsid w:val="00CE4896"/>
    <w:rsid w:val="00CE5FB5"/>
    <w:rsid w:val="00CF2C9B"/>
    <w:rsid w:val="00CF49D8"/>
    <w:rsid w:val="00CF6A44"/>
    <w:rsid w:val="00CF793F"/>
    <w:rsid w:val="00D01509"/>
    <w:rsid w:val="00D05B86"/>
    <w:rsid w:val="00D1449D"/>
    <w:rsid w:val="00D16B6E"/>
    <w:rsid w:val="00D30F30"/>
    <w:rsid w:val="00D37AE9"/>
    <w:rsid w:val="00D43F68"/>
    <w:rsid w:val="00D5104A"/>
    <w:rsid w:val="00D54854"/>
    <w:rsid w:val="00D70C00"/>
    <w:rsid w:val="00D744EF"/>
    <w:rsid w:val="00D757B3"/>
    <w:rsid w:val="00D83D70"/>
    <w:rsid w:val="00D857FE"/>
    <w:rsid w:val="00D868D2"/>
    <w:rsid w:val="00D9081C"/>
    <w:rsid w:val="00D94B1F"/>
    <w:rsid w:val="00D950E1"/>
    <w:rsid w:val="00DB0C14"/>
    <w:rsid w:val="00DB2510"/>
    <w:rsid w:val="00DC256B"/>
    <w:rsid w:val="00DD33B0"/>
    <w:rsid w:val="00DE08D9"/>
    <w:rsid w:val="00E1497C"/>
    <w:rsid w:val="00E325C5"/>
    <w:rsid w:val="00E32968"/>
    <w:rsid w:val="00E33072"/>
    <w:rsid w:val="00E33E52"/>
    <w:rsid w:val="00E46758"/>
    <w:rsid w:val="00E52A49"/>
    <w:rsid w:val="00E531EC"/>
    <w:rsid w:val="00E6057C"/>
    <w:rsid w:val="00E60B32"/>
    <w:rsid w:val="00E85728"/>
    <w:rsid w:val="00E929B0"/>
    <w:rsid w:val="00E9685E"/>
    <w:rsid w:val="00EA1AFD"/>
    <w:rsid w:val="00EA2A35"/>
    <w:rsid w:val="00EB00D2"/>
    <w:rsid w:val="00EB0BD7"/>
    <w:rsid w:val="00EB340E"/>
    <w:rsid w:val="00EC7D24"/>
    <w:rsid w:val="00EF0B80"/>
    <w:rsid w:val="00EF0E6E"/>
    <w:rsid w:val="00EF4F4F"/>
    <w:rsid w:val="00EF5493"/>
    <w:rsid w:val="00F0038A"/>
    <w:rsid w:val="00F00A89"/>
    <w:rsid w:val="00F02F27"/>
    <w:rsid w:val="00F03136"/>
    <w:rsid w:val="00F24C68"/>
    <w:rsid w:val="00F25FFA"/>
    <w:rsid w:val="00F36523"/>
    <w:rsid w:val="00F4752C"/>
    <w:rsid w:val="00F5353A"/>
    <w:rsid w:val="00F6173B"/>
    <w:rsid w:val="00F65722"/>
    <w:rsid w:val="00F7382E"/>
    <w:rsid w:val="00F76F1C"/>
    <w:rsid w:val="00F85588"/>
    <w:rsid w:val="00F85FA7"/>
    <w:rsid w:val="00FA7108"/>
    <w:rsid w:val="00FD2316"/>
    <w:rsid w:val="00FE30EA"/>
    <w:rsid w:val="00FF09C2"/>
    <w:rsid w:val="00FF13BC"/>
    <w:rsid w:val="00FF441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85A"/>
    <w:pPr>
      <w:jc w:val="both"/>
    </w:pPr>
    <w:rPr>
      <w:sz w:val="24"/>
      <w:lang w:eastAsia="en-AU"/>
    </w:rPr>
  </w:style>
  <w:style w:type="paragraph" w:styleId="Heading1">
    <w:name w:val="heading 1"/>
    <w:basedOn w:val="Normal"/>
    <w:next w:val="Normal"/>
    <w:qFormat/>
    <w:pPr>
      <w:keepNext/>
      <w:spacing w:before="60" w:after="240"/>
      <w:outlineLvl w:val="0"/>
    </w:pPr>
    <w:rPr>
      <w:b/>
      <w:caps/>
    </w:rPr>
  </w:style>
  <w:style w:type="paragraph" w:styleId="Heading2">
    <w:name w:val="heading 2"/>
    <w:basedOn w:val="Heading1"/>
    <w:next w:val="Normal"/>
    <w:link w:val="Heading2Char"/>
    <w:qFormat/>
    <w:pPr>
      <w:outlineLvl w:val="1"/>
    </w:pPr>
    <w:rPr>
      <w:caps w:val="0"/>
    </w:rPr>
  </w:style>
  <w:style w:type="paragraph" w:styleId="Heading3">
    <w:name w:val="heading 3"/>
    <w:basedOn w:val="Normal"/>
    <w:next w:val="Normal"/>
    <w:link w:val="Heading3Char"/>
    <w:qFormat/>
    <w:pPr>
      <w:keepNext/>
      <w:spacing w:after="240"/>
      <w:outlineLvl w:val="2"/>
    </w:pPr>
    <w:rPr>
      <w:b/>
      <w:i/>
    </w:rPr>
  </w:style>
  <w:style w:type="paragraph" w:styleId="Heading4">
    <w:name w:val="heading 4"/>
    <w:basedOn w:val="Normal"/>
    <w:next w:val="Normal"/>
    <w:qFormat/>
    <w:pPr>
      <w:keepNext/>
      <w:spacing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BodyText">
    <w:name w:val="_TRBody Text"/>
    <w:pPr>
      <w:spacing w:line="300" w:lineRule="atLeast"/>
      <w:jc w:val="both"/>
    </w:pPr>
    <w:rPr>
      <w:sz w:val="24"/>
      <w:lang w:eastAsia="en-AU"/>
    </w:rPr>
  </w:style>
  <w:style w:type="paragraph" w:customStyle="1" w:styleId="TRNormal">
    <w:name w:val="_TRNormal"/>
    <w:pPr>
      <w:spacing w:line="300" w:lineRule="atLeast"/>
      <w:jc w:val="both"/>
    </w:pPr>
    <w:rPr>
      <w:sz w:val="24"/>
      <w:lang w:eastAsia="en-AU"/>
    </w:rPr>
  </w:style>
  <w:style w:type="paragraph" w:customStyle="1" w:styleId="TRHeading1">
    <w:name w:val="_TRHeading 1"/>
    <w:next w:val="TRNormal"/>
    <w:pPr>
      <w:keepNext/>
      <w:widowControl w:val="0"/>
      <w:pBdr>
        <w:bottom w:val="single" w:sz="4" w:space="1" w:color="auto"/>
      </w:pBdr>
      <w:spacing w:before="720" w:after="360"/>
    </w:pPr>
    <w:rPr>
      <w:b/>
      <w:sz w:val="28"/>
      <w:lang w:eastAsia="en-AU"/>
    </w:rPr>
  </w:style>
  <w:style w:type="paragraph" w:customStyle="1" w:styleId="TRHeading2">
    <w:name w:val="_TRHeading 2"/>
    <w:basedOn w:val="TRHeading1"/>
    <w:next w:val="TRNormal"/>
    <w:pPr>
      <w:pBdr>
        <w:bottom w:val="none" w:sz="0" w:space="0" w:color="auto"/>
      </w:pBdr>
      <w:spacing w:before="560"/>
    </w:pPr>
    <w:rPr>
      <w:sz w:val="24"/>
    </w:rPr>
  </w:style>
  <w:style w:type="paragraph" w:customStyle="1" w:styleId="TRHeading3">
    <w:name w:val="_TRHeading 3"/>
    <w:basedOn w:val="TRHeading2"/>
    <w:next w:val="TRNormal"/>
    <w:rPr>
      <w:i/>
    </w:rPr>
  </w:style>
  <w:style w:type="paragraph" w:customStyle="1" w:styleId="TRHeading4">
    <w:name w:val="_TRHeading 4"/>
    <w:basedOn w:val="TRHeading3"/>
    <w:next w:val="TRNormal"/>
    <w:pPr>
      <w:spacing w:before="360"/>
    </w:pPr>
    <w:rPr>
      <w:b w:val="0"/>
    </w:rPr>
  </w:style>
  <w:style w:type="paragraph" w:customStyle="1" w:styleId="TRFooter">
    <w:name w:val="_TRFooter"/>
    <w:basedOn w:val="TRNormal"/>
    <w:pPr>
      <w:tabs>
        <w:tab w:val="right" w:pos="9071"/>
      </w:tabs>
      <w:spacing w:line="240" w:lineRule="atLeast"/>
    </w:pPr>
    <w:rPr>
      <w:sz w:val="16"/>
    </w:rPr>
  </w:style>
  <w:style w:type="paragraph" w:customStyle="1" w:styleId="TRFootnoteReference">
    <w:name w:val="_TRFootnote Reference"/>
    <w:basedOn w:val="TRBodyText"/>
    <w:rPr>
      <w:sz w:val="16"/>
    </w:rPr>
  </w:style>
  <w:style w:type="paragraph" w:customStyle="1" w:styleId="TRFootnoteText">
    <w:name w:val="_TRFootnote Text"/>
    <w:basedOn w:val="TRNormal"/>
    <w:rPr>
      <w:sz w:val="16"/>
    </w:rPr>
  </w:style>
  <w:style w:type="paragraph" w:customStyle="1" w:styleId="TRHeader">
    <w:name w:val="_TRHeader"/>
    <w:basedOn w:val="TRNormal"/>
    <w:rPr>
      <w:b/>
      <w:sz w:val="16"/>
    </w:rPr>
  </w:style>
  <w:style w:type="paragraph" w:customStyle="1" w:styleId="TRList">
    <w:name w:val="_TRList"/>
    <w:basedOn w:val="TRNormal"/>
  </w:style>
  <w:style w:type="paragraph" w:customStyle="1" w:styleId="TRListBullet">
    <w:name w:val="_TRList Bullet"/>
    <w:basedOn w:val="TRNormal"/>
    <w:pPr>
      <w:numPr>
        <w:numId w:val="24"/>
      </w:numPr>
      <w:tabs>
        <w:tab w:val="clear" w:pos="1134"/>
      </w:tabs>
      <w:spacing w:after="200"/>
      <w:ind w:left="539" w:hanging="539"/>
    </w:pPr>
  </w:style>
  <w:style w:type="paragraph" w:customStyle="1" w:styleId="TRNormalIndent">
    <w:name w:val="_TRNormal Indent"/>
    <w:basedOn w:val="TRNormal"/>
  </w:style>
  <w:style w:type="character" w:customStyle="1" w:styleId="TRPageNumber">
    <w:name w:val="_TRPage Number"/>
    <w:basedOn w:val="DefaultParagraphFont"/>
    <w:rPr>
      <w:rFonts w:ascii="Times New Roman" w:hAnsi="Times New Roman"/>
      <w:sz w:val="16"/>
    </w:rPr>
  </w:style>
  <w:style w:type="character" w:customStyle="1" w:styleId="TRDefaultParagraphFont">
    <w:name w:val="_TRDefault Paragraph Font"/>
    <w:basedOn w:val="DefaultParagraphFont"/>
    <w:rPr>
      <w:rFonts w:ascii="Times New Roman" w:hAnsi="Times New Roman"/>
      <w:b/>
    </w:rPr>
  </w:style>
  <w:style w:type="paragraph" w:customStyle="1" w:styleId="TRTitle">
    <w:name w:val="_TRTitle"/>
    <w:basedOn w:val="TRNormal"/>
    <w:next w:val="TRNormal"/>
    <w:pPr>
      <w:pBdr>
        <w:bottom w:val="single" w:sz="8" w:space="1" w:color="auto"/>
      </w:pBdr>
      <w:spacing w:before="360" w:after="120"/>
      <w:ind w:left="2552" w:hanging="2552"/>
    </w:pPr>
    <w:rPr>
      <w:b/>
      <w:sz w:val="32"/>
    </w:rPr>
  </w:style>
  <w:style w:type="paragraph" w:styleId="BodyText">
    <w:name w:val="Body Text"/>
    <w:basedOn w:val="Normal"/>
    <w:pPr>
      <w:spacing w:line="300" w:lineRule="exact"/>
    </w:pPr>
  </w:style>
  <w:style w:type="paragraph" w:styleId="ListBullet">
    <w:name w:val="List Bullet"/>
    <w:basedOn w:val="Normal"/>
    <w:autoRedefine/>
    <w:pPr>
      <w:numPr>
        <w:numId w:val="25"/>
      </w:numPr>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customStyle="1" w:styleId="Body">
    <w:name w:val="Body"/>
    <w:basedOn w:val="Normal"/>
    <w:pPr>
      <w:tabs>
        <w:tab w:val="left" w:pos="567"/>
      </w:tabs>
      <w:spacing w:line="300" w:lineRule="exact"/>
    </w:pPr>
  </w:style>
  <w:style w:type="table" w:styleId="TableGrid">
    <w:name w:val="Table Grid"/>
    <w:basedOn w:val="TableNormal"/>
    <w:uiPriority w:val="59"/>
    <w:rsid w:val="00FF09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Pr>
      <w:sz w:val="16"/>
    </w:rPr>
  </w:style>
  <w:style w:type="character" w:customStyle="1" w:styleId="HeaderChar">
    <w:name w:val="Header Char"/>
    <w:basedOn w:val="DefaultParagraphFont"/>
    <w:link w:val="Header"/>
    <w:uiPriority w:val="99"/>
    <w:rsid w:val="001319A6"/>
    <w:rPr>
      <w:sz w:val="24"/>
      <w:lang w:eastAsia="en-AU"/>
    </w:rPr>
  </w:style>
  <w:style w:type="character" w:styleId="Hyperlink">
    <w:name w:val="Hyperlink"/>
    <w:basedOn w:val="DefaultParagraphFont"/>
    <w:uiPriority w:val="99"/>
    <w:unhideWhenUsed/>
    <w:rsid w:val="002D00BC"/>
    <w:rPr>
      <w:color w:val="0000FF" w:themeColor="hyperlink"/>
      <w:u w:val="single"/>
    </w:rPr>
  </w:style>
  <w:style w:type="paragraph" w:styleId="BalloonText">
    <w:name w:val="Balloon Text"/>
    <w:basedOn w:val="Normal"/>
    <w:link w:val="BalloonTextChar"/>
    <w:uiPriority w:val="99"/>
    <w:semiHidden/>
    <w:unhideWhenUsed/>
    <w:rsid w:val="009A4648"/>
    <w:rPr>
      <w:rFonts w:ascii="Tahoma" w:hAnsi="Tahoma" w:cs="Tahoma"/>
      <w:sz w:val="16"/>
      <w:szCs w:val="16"/>
    </w:rPr>
  </w:style>
  <w:style w:type="character" w:customStyle="1" w:styleId="BalloonTextChar">
    <w:name w:val="Balloon Text Char"/>
    <w:basedOn w:val="DefaultParagraphFont"/>
    <w:link w:val="BalloonText"/>
    <w:uiPriority w:val="99"/>
    <w:semiHidden/>
    <w:rsid w:val="009A4648"/>
    <w:rPr>
      <w:rFonts w:ascii="Tahoma" w:hAnsi="Tahoma" w:cs="Tahoma"/>
      <w:sz w:val="16"/>
      <w:szCs w:val="16"/>
      <w:lang w:eastAsia="en-AU"/>
    </w:rPr>
  </w:style>
  <w:style w:type="character" w:styleId="CommentReference">
    <w:name w:val="annotation reference"/>
    <w:basedOn w:val="DefaultParagraphFont"/>
    <w:uiPriority w:val="99"/>
    <w:semiHidden/>
    <w:unhideWhenUsed/>
    <w:rsid w:val="000D4EA8"/>
    <w:rPr>
      <w:sz w:val="16"/>
      <w:szCs w:val="16"/>
    </w:rPr>
  </w:style>
  <w:style w:type="paragraph" w:styleId="CommentText">
    <w:name w:val="annotation text"/>
    <w:basedOn w:val="Normal"/>
    <w:link w:val="CommentTextChar"/>
    <w:uiPriority w:val="99"/>
    <w:semiHidden/>
    <w:unhideWhenUsed/>
    <w:rsid w:val="000D4EA8"/>
    <w:rPr>
      <w:sz w:val="20"/>
    </w:rPr>
  </w:style>
  <w:style w:type="character" w:customStyle="1" w:styleId="CommentTextChar">
    <w:name w:val="Comment Text Char"/>
    <w:basedOn w:val="DefaultParagraphFont"/>
    <w:link w:val="CommentText"/>
    <w:uiPriority w:val="99"/>
    <w:semiHidden/>
    <w:rsid w:val="000D4EA8"/>
    <w:rPr>
      <w:lang w:eastAsia="en-AU"/>
    </w:rPr>
  </w:style>
  <w:style w:type="paragraph" w:customStyle="1" w:styleId="Numberparagraph">
    <w:name w:val="Number paragraph"/>
    <w:basedOn w:val="Normal"/>
    <w:qFormat/>
    <w:rsid w:val="00557F27"/>
    <w:pPr>
      <w:numPr>
        <w:numId w:val="30"/>
      </w:numPr>
      <w:tabs>
        <w:tab w:val="left" w:pos="567"/>
      </w:tabs>
    </w:pPr>
    <w:rPr>
      <w:szCs w:val="24"/>
    </w:rPr>
  </w:style>
  <w:style w:type="character" w:customStyle="1" w:styleId="FootnoteTextChar">
    <w:name w:val="Footnote Text Char"/>
    <w:basedOn w:val="DefaultParagraphFont"/>
    <w:link w:val="FootnoteText"/>
    <w:semiHidden/>
    <w:rsid w:val="00E32968"/>
    <w:rPr>
      <w:sz w:val="16"/>
      <w:lang w:eastAsia="en-AU"/>
    </w:rPr>
  </w:style>
  <w:style w:type="character" w:styleId="FootnoteReference">
    <w:name w:val="footnote reference"/>
    <w:basedOn w:val="DefaultParagraphFont"/>
    <w:uiPriority w:val="99"/>
    <w:semiHidden/>
    <w:unhideWhenUsed/>
    <w:rsid w:val="00E32968"/>
    <w:rPr>
      <w:vertAlign w:val="superscript"/>
    </w:rPr>
  </w:style>
  <w:style w:type="paragraph" w:styleId="CommentSubject">
    <w:name w:val="annotation subject"/>
    <w:basedOn w:val="CommentText"/>
    <w:next w:val="CommentText"/>
    <w:link w:val="CommentSubjectChar"/>
    <w:uiPriority w:val="99"/>
    <w:semiHidden/>
    <w:unhideWhenUsed/>
    <w:rsid w:val="00E32968"/>
    <w:rPr>
      <w:b/>
      <w:bCs/>
    </w:rPr>
  </w:style>
  <w:style w:type="character" w:customStyle="1" w:styleId="CommentSubjectChar">
    <w:name w:val="Comment Subject Char"/>
    <w:basedOn w:val="CommentTextChar"/>
    <w:link w:val="CommentSubject"/>
    <w:uiPriority w:val="99"/>
    <w:semiHidden/>
    <w:rsid w:val="00E32968"/>
    <w:rPr>
      <w:b/>
      <w:bCs/>
      <w:lang w:eastAsia="en-AU"/>
    </w:rPr>
  </w:style>
  <w:style w:type="paragraph" w:styleId="ListParagraph">
    <w:name w:val="List Paragraph"/>
    <w:aliases w:val="List Item,List Paragraph1,PEP Bullets,IR Bullet,Keystone Numbered List"/>
    <w:basedOn w:val="Normal"/>
    <w:link w:val="ListParagraphChar"/>
    <w:uiPriority w:val="34"/>
    <w:qFormat/>
    <w:rsid w:val="009A73B7"/>
    <w:pPr>
      <w:spacing w:after="120" w:line="320" w:lineRule="atLeast"/>
      <w:ind w:left="720"/>
      <w:contextualSpacing/>
      <w:jc w:val="left"/>
    </w:pPr>
    <w:rPr>
      <w:rFonts w:ascii="Verdana" w:eastAsia="Calibri" w:hAnsi="Verdana"/>
      <w:sz w:val="20"/>
      <w:szCs w:val="22"/>
      <w:lang w:eastAsia="en-US"/>
    </w:rPr>
  </w:style>
  <w:style w:type="character" w:customStyle="1" w:styleId="ListParagraphChar">
    <w:name w:val="List Paragraph Char"/>
    <w:aliases w:val="List Item Char,List Paragraph1 Char,PEP Bullets Char,IR Bullet Char,Keystone Numbered List Char"/>
    <w:basedOn w:val="DefaultParagraphFont"/>
    <w:link w:val="ListParagraph"/>
    <w:uiPriority w:val="34"/>
    <w:locked/>
    <w:rsid w:val="009A73B7"/>
    <w:rPr>
      <w:rFonts w:ascii="Verdana" w:eastAsia="Calibri" w:hAnsi="Verdana"/>
      <w:szCs w:val="22"/>
      <w:lang w:eastAsia="en-US"/>
    </w:rPr>
  </w:style>
  <w:style w:type="paragraph" w:styleId="Revision">
    <w:name w:val="Revision"/>
    <w:hidden/>
    <w:uiPriority w:val="99"/>
    <w:semiHidden/>
    <w:rsid w:val="006646C7"/>
    <w:rPr>
      <w:sz w:val="24"/>
      <w:lang w:eastAsia="en-AU"/>
    </w:rPr>
  </w:style>
  <w:style w:type="paragraph" w:styleId="EndnoteText">
    <w:name w:val="endnote text"/>
    <w:basedOn w:val="Normal"/>
    <w:link w:val="EndnoteTextChar"/>
    <w:uiPriority w:val="99"/>
    <w:semiHidden/>
    <w:unhideWhenUsed/>
    <w:rsid w:val="00B85363"/>
    <w:rPr>
      <w:sz w:val="20"/>
    </w:rPr>
  </w:style>
  <w:style w:type="character" w:customStyle="1" w:styleId="EndnoteTextChar">
    <w:name w:val="Endnote Text Char"/>
    <w:basedOn w:val="DefaultParagraphFont"/>
    <w:link w:val="EndnoteText"/>
    <w:uiPriority w:val="99"/>
    <w:semiHidden/>
    <w:rsid w:val="00B85363"/>
    <w:rPr>
      <w:lang w:eastAsia="en-AU"/>
    </w:rPr>
  </w:style>
  <w:style w:type="character" w:styleId="EndnoteReference">
    <w:name w:val="endnote reference"/>
    <w:basedOn w:val="DefaultParagraphFont"/>
    <w:uiPriority w:val="99"/>
    <w:semiHidden/>
    <w:unhideWhenUsed/>
    <w:rsid w:val="00B85363"/>
    <w:rPr>
      <w:vertAlign w:val="superscript"/>
    </w:rPr>
  </w:style>
  <w:style w:type="character" w:customStyle="1" w:styleId="Heading3Char">
    <w:name w:val="Heading 3 Char"/>
    <w:basedOn w:val="DefaultParagraphFont"/>
    <w:link w:val="Heading3"/>
    <w:rsid w:val="00BE66DA"/>
    <w:rPr>
      <w:b/>
      <w:i/>
      <w:sz w:val="24"/>
      <w:lang w:eastAsia="en-AU"/>
    </w:rPr>
  </w:style>
  <w:style w:type="character" w:customStyle="1" w:styleId="Heading2Char">
    <w:name w:val="Heading 2 Char"/>
    <w:basedOn w:val="DefaultParagraphFont"/>
    <w:link w:val="Heading2"/>
    <w:rsid w:val="00D30F30"/>
    <w:rPr>
      <w:b/>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85A"/>
    <w:pPr>
      <w:jc w:val="both"/>
    </w:pPr>
    <w:rPr>
      <w:sz w:val="24"/>
      <w:lang w:eastAsia="en-AU"/>
    </w:rPr>
  </w:style>
  <w:style w:type="paragraph" w:styleId="Heading1">
    <w:name w:val="heading 1"/>
    <w:basedOn w:val="Normal"/>
    <w:next w:val="Normal"/>
    <w:qFormat/>
    <w:pPr>
      <w:keepNext/>
      <w:spacing w:before="60" w:after="240"/>
      <w:outlineLvl w:val="0"/>
    </w:pPr>
    <w:rPr>
      <w:b/>
      <w:caps/>
    </w:rPr>
  </w:style>
  <w:style w:type="paragraph" w:styleId="Heading2">
    <w:name w:val="heading 2"/>
    <w:basedOn w:val="Heading1"/>
    <w:next w:val="Normal"/>
    <w:link w:val="Heading2Char"/>
    <w:qFormat/>
    <w:pPr>
      <w:outlineLvl w:val="1"/>
    </w:pPr>
    <w:rPr>
      <w:caps w:val="0"/>
    </w:rPr>
  </w:style>
  <w:style w:type="paragraph" w:styleId="Heading3">
    <w:name w:val="heading 3"/>
    <w:basedOn w:val="Normal"/>
    <w:next w:val="Normal"/>
    <w:link w:val="Heading3Char"/>
    <w:qFormat/>
    <w:pPr>
      <w:keepNext/>
      <w:spacing w:after="240"/>
      <w:outlineLvl w:val="2"/>
    </w:pPr>
    <w:rPr>
      <w:b/>
      <w:i/>
    </w:rPr>
  </w:style>
  <w:style w:type="paragraph" w:styleId="Heading4">
    <w:name w:val="heading 4"/>
    <w:basedOn w:val="Normal"/>
    <w:next w:val="Normal"/>
    <w:qFormat/>
    <w:pPr>
      <w:keepNext/>
      <w:spacing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BodyText">
    <w:name w:val="_TRBody Text"/>
    <w:pPr>
      <w:spacing w:line="300" w:lineRule="atLeast"/>
      <w:jc w:val="both"/>
    </w:pPr>
    <w:rPr>
      <w:sz w:val="24"/>
      <w:lang w:eastAsia="en-AU"/>
    </w:rPr>
  </w:style>
  <w:style w:type="paragraph" w:customStyle="1" w:styleId="TRNormal">
    <w:name w:val="_TRNormal"/>
    <w:pPr>
      <w:spacing w:line="300" w:lineRule="atLeast"/>
      <w:jc w:val="both"/>
    </w:pPr>
    <w:rPr>
      <w:sz w:val="24"/>
      <w:lang w:eastAsia="en-AU"/>
    </w:rPr>
  </w:style>
  <w:style w:type="paragraph" w:customStyle="1" w:styleId="TRHeading1">
    <w:name w:val="_TRHeading 1"/>
    <w:next w:val="TRNormal"/>
    <w:pPr>
      <w:keepNext/>
      <w:widowControl w:val="0"/>
      <w:pBdr>
        <w:bottom w:val="single" w:sz="4" w:space="1" w:color="auto"/>
      </w:pBdr>
      <w:spacing w:before="720" w:after="360"/>
    </w:pPr>
    <w:rPr>
      <w:b/>
      <w:sz w:val="28"/>
      <w:lang w:eastAsia="en-AU"/>
    </w:rPr>
  </w:style>
  <w:style w:type="paragraph" w:customStyle="1" w:styleId="TRHeading2">
    <w:name w:val="_TRHeading 2"/>
    <w:basedOn w:val="TRHeading1"/>
    <w:next w:val="TRNormal"/>
    <w:pPr>
      <w:pBdr>
        <w:bottom w:val="none" w:sz="0" w:space="0" w:color="auto"/>
      </w:pBdr>
      <w:spacing w:before="560"/>
    </w:pPr>
    <w:rPr>
      <w:sz w:val="24"/>
    </w:rPr>
  </w:style>
  <w:style w:type="paragraph" w:customStyle="1" w:styleId="TRHeading3">
    <w:name w:val="_TRHeading 3"/>
    <w:basedOn w:val="TRHeading2"/>
    <w:next w:val="TRNormal"/>
    <w:rPr>
      <w:i/>
    </w:rPr>
  </w:style>
  <w:style w:type="paragraph" w:customStyle="1" w:styleId="TRHeading4">
    <w:name w:val="_TRHeading 4"/>
    <w:basedOn w:val="TRHeading3"/>
    <w:next w:val="TRNormal"/>
    <w:pPr>
      <w:spacing w:before="360"/>
    </w:pPr>
    <w:rPr>
      <w:b w:val="0"/>
    </w:rPr>
  </w:style>
  <w:style w:type="paragraph" w:customStyle="1" w:styleId="TRFooter">
    <w:name w:val="_TRFooter"/>
    <w:basedOn w:val="TRNormal"/>
    <w:pPr>
      <w:tabs>
        <w:tab w:val="right" w:pos="9071"/>
      </w:tabs>
      <w:spacing w:line="240" w:lineRule="atLeast"/>
    </w:pPr>
    <w:rPr>
      <w:sz w:val="16"/>
    </w:rPr>
  </w:style>
  <w:style w:type="paragraph" w:customStyle="1" w:styleId="TRFootnoteReference">
    <w:name w:val="_TRFootnote Reference"/>
    <w:basedOn w:val="TRBodyText"/>
    <w:rPr>
      <w:sz w:val="16"/>
    </w:rPr>
  </w:style>
  <w:style w:type="paragraph" w:customStyle="1" w:styleId="TRFootnoteText">
    <w:name w:val="_TRFootnote Text"/>
    <w:basedOn w:val="TRNormal"/>
    <w:rPr>
      <w:sz w:val="16"/>
    </w:rPr>
  </w:style>
  <w:style w:type="paragraph" w:customStyle="1" w:styleId="TRHeader">
    <w:name w:val="_TRHeader"/>
    <w:basedOn w:val="TRNormal"/>
    <w:rPr>
      <w:b/>
      <w:sz w:val="16"/>
    </w:rPr>
  </w:style>
  <w:style w:type="paragraph" w:customStyle="1" w:styleId="TRList">
    <w:name w:val="_TRList"/>
    <w:basedOn w:val="TRNormal"/>
  </w:style>
  <w:style w:type="paragraph" w:customStyle="1" w:styleId="TRListBullet">
    <w:name w:val="_TRList Bullet"/>
    <w:basedOn w:val="TRNormal"/>
    <w:pPr>
      <w:numPr>
        <w:numId w:val="24"/>
      </w:numPr>
      <w:tabs>
        <w:tab w:val="clear" w:pos="1134"/>
      </w:tabs>
      <w:spacing w:after="200"/>
      <w:ind w:left="539" w:hanging="539"/>
    </w:pPr>
  </w:style>
  <w:style w:type="paragraph" w:customStyle="1" w:styleId="TRNormalIndent">
    <w:name w:val="_TRNormal Indent"/>
    <w:basedOn w:val="TRNormal"/>
  </w:style>
  <w:style w:type="character" w:customStyle="1" w:styleId="TRPageNumber">
    <w:name w:val="_TRPage Number"/>
    <w:basedOn w:val="DefaultParagraphFont"/>
    <w:rPr>
      <w:rFonts w:ascii="Times New Roman" w:hAnsi="Times New Roman"/>
      <w:sz w:val="16"/>
    </w:rPr>
  </w:style>
  <w:style w:type="character" w:customStyle="1" w:styleId="TRDefaultParagraphFont">
    <w:name w:val="_TRDefault Paragraph Font"/>
    <w:basedOn w:val="DefaultParagraphFont"/>
    <w:rPr>
      <w:rFonts w:ascii="Times New Roman" w:hAnsi="Times New Roman"/>
      <w:b/>
    </w:rPr>
  </w:style>
  <w:style w:type="paragraph" w:customStyle="1" w:styleId="TRTitle">
    <w:name w:val="_TRTitle"/>
    <w:basedOn w:val="TRNormal"/>
    <w:next w:val="TRNormal"/>
    <w:pPr>
      <w:pBdr>
        <w:bottom w:val="single" w:sz="8" w:space="1" w:color="auto"/>
      </w:pBdr>
      <w:spacing w:before="360" w:after="120"/>
      <w:ind w:left="2552" w:hanging="2552"/>
    </w:pPr>
    <w:rPr>
      <w:b/>
      <w:sz w:val="32"/>
    </w:rPr>
  </w:style>
  <w:style w:type="paragraph" w:styleId="BodyText">
    <w:name w:val="Body Text"/>
    <w:basedOn w:val="Normal"/>
    <w:pPr>
      <w:spacing w:line="300" w:lineRule="exact"/>
    </w:pPr>
  </w:style>
  <w:style w:type="paragraph" w:styleId="ListBullet">
    <w:name w:val="List Bullet"/>
    <w:basedOn w:val="Normal"/>
    <w:autoRedefine/>
    <w:pPr>
      <w:numPr>
        <w:numId w:val="25"/>
      </w:numPr>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customStyle="1" w:styleId="Body">
    <w:name w:val="Body"/>
    <w:basedOn w:val="Normal"/>
    <w:pPr>
      <w:tabs>
        <w:tab w:val="left" w:pos="567"/>
      </w:tabs>
      <w:spacing w:line="300" w:lineRule="exact"/>
    </w:pPr>
  </w:style>
  <w:style w:type="table" w:styleId="TableGrid">
    <w:name w:val="Table Grid"/>
    <w:basedOn w:val="TableNormal"/>
    <w:uiPriority w:val="59"/>
    <w:rsid w:val="00FF09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Pr>
      <w:sz w:val="16"/>
    </w:rPr>
  </w:style>
  <w:style w:type="character" w:customStyle="1" w:styleId="HeaderChar">
    <w:name w:val="Header Char"/>
    <w:basedOn w:val="DefaultParagraphFont"/>
    <w:link w:val="Header"/>
    <w:uiPriority w:val="99"/>
    <w:rsid w:val="001319A6"/>
    <w:rPr>
      <w:sz w:val="24"/>
      <w:lang w:eastAsia="en-AU"/>
    </w:rPr>
  </w:style>
  <w:style w:type="character" w:styleId="Hyperlink">
    <w:name w:val="Hyperlink"/>
    <w:basedOn w:val="DefaultParagraphFont"/>
    <w:uiPriority w:val="99"/>
    <w:unhideWhenUsed/>
    <w:rsid w:val="002D00BC"/>
    <w:rPr>
      <w:color w:val="0000FF" w:themeColor="hyperlink"/>
      <w:u w:val="single"/>
    </w:rPr>
  </w:style>
  <w:style w:type="paragraph" w:styleId="BalloonText">
    <w:name w:val="Balloon Text"/>
    <w:basedOn w:val="Normal"/>
    <w:link w:val="BalloonTextChar"/>
    <w:uiPriority w:val="99"/>
    <w:semiHidden/>
    <w:unhideWhenUsed/>
    <w:rsid w:val="009A4648"/>
    <w:rPr>
      <w:rFonts w:ascii="Tahoma" w:hAnsi="Tahoma" w:cs="Tahoma"/>
      <w:sz w:val="16"/>
      <w:szCs w:val="16"/>
    </w:rPr>
  </w:style>
  <w:style w:type="character" w:customStyle="1" w:styleId="BalloonTextChar">
    <w:name w:val="Balloon Text Char"/>
    <w:basedOn w:val="DefaultParagraphFont"/>
    <w:link w:val="BalloonText"/>
    <w:uiPriority w:val="99"/>
    <w:semiHidden/>
    <w:rsid w:val="009A4648"/>
    <w:rPr>
      <w:rFonts w:ascii="Tahoma" w:hAnsi="Tahoma" w:cs="Tahoma"/>
      <w:sz w:val="16"/>
      <w:szCs w:val="16"/>
      <w:lang w:eastAsia="en-AU"/>
    </w:rPr>
  </w:style>
  <w:style w:type="character" w:styleId="CommentReference">
    <w:name w:val="annotation reference"/>
    <w:basedOn w:val="DefaultParagraphFont"/>
    <w:uiPriority w:val="99"/>
    <w:semiHidden/>
    <w:unhideWhenUsed/>
    <w:rsid w:val="000D4EA8"/>
    <w:rPr>
      <w:sz w:val="16"/>
      <w:szCs w:val="16"/>
    </w:rPr>
  </w:style>
  <w:style w:type="paragraph" w:styleId="CommentText">
    <w:name w:val="annotation text"/>
    <w:basedOn w:val="Normal"/>
    <w:link w:val="CommentTextChar"/>
    <w:uiPriority w:val="99"/>
    <w:semiHidden/>
    <w:unhideWhenUsed/>
    <w:rsid w:val="000D4EA8"/>
    <w:rPr>
      <w:sz w:val="20"/>
    </w:rPr>
  </w:style>
  <w:style w:type="character" w:customStyle="1" w:styleId="CommentTextChar">
    <w:name w:val="Comment Text Char"/>
    <w:basedOn w:val="DefaultParagraphFont"/>
    <w:link w:val="CommentText"/>
    <w:uiPriority w:val="99"/>
    <w:semiHidden/>
    <w:rsid w:val="000D4EA8"/>
    <w:rPr>
      <w:lang w:eastAsia="en-AU"/>
    </w:rPr>
  </w:style>
  <w:style w:type="paragraph" w:customStyle="1" w:styleId="Numberparagraph">
    <w:name w:val="Number paragraph"/>
    <w:basedOn w:val="Normal"/>
    <w:qFormat/>
    <w:rsid w:val="00557F27"/>
    <w:pPr>
      <w:numPr>
        <w:numId w:val="30"/>
      </w:numPr>
      <w:tabs>
        <w:tab w:val="left" w:pos="567"/>
      </w:tabs>
    </w:pPr>
    <w:rPr>
      <w:szCs w:val="24"/>
    </w:rPr>
  </w:style>
  <w:style w:type="character" w:customStyle="1" w:styleId="FootnoteTextChar">
    <w:name w:val="Footnote Text Char"/>
    <w:basedOn w:val="DefaultParagraphFont"/>
    <w:link w:val="FootnoteText"/>
    <w:semiHidden/>
    <w:rsid w:val="00E32968"/>
    <w:rPr>
      <w:sz w:val="16"/>
      <w:lang w:eastAsia="en-AU"/>
    </w:rPr>
  </w:style>
  <w:style w:type="character" w:styleId="FootnoteReference">
    <w:name w:val="footnote reference"/>
    <w:basedOn w:val="DefaultParagraphFont"/>
    <w:uiPriority w:val="99"/>
    <w:semiHidden/>
    <w:unhideWhenUsed/>
    <w:rsid w:val="00E32968"/>
    <w:rPr>
      <w:vertAlign w:val="superscript"/>
    </w:rPr>
  </w:style>
  <w:style w:type="paragraph" w:styleId="CommentSubject">
    <w:name w:val="annotation subject"/>
    <w:basedOn w:val="CommentText"/>
    <w:next w:val="CommentText"/>
    <w:link w:val="CommentSubjectChar"/>
    <w:uiPriority w:val="99"/>
    <w:semiHidden/>
    <w:unhideWhenUsed/>
    <w:rsid w:val="00E32968"/>
    <w:rPr>
      <w:b/>
      <w:bCs/>
    </w:rPr>
  </w:style>
  <w:style w:type="character" w:customStyle="1" w:styleId="CommentSubjectChar">
    <w:name w:val="Comment Subject Char"/>
    <w:basedOn w:val="CommentTextChar"/>
    <w:link w:val="CommentSubject"/>
    <w:uiPriority w:val="99"/>
    <w:semiHidden/>
    <w:rsid w:val="00E32968"/>
    <w:rPr>
      <w:b/>
      <w:bCs/>
      <w:lang w:eastAsia="en-AU"/>
    </w:rPr>
  </w:style>
  <w:style w:type="paragraph" w:styleId="ListParagraph">
    <w:name w:val="List Paragraph"/>
    <w:aliases w:val="List Item,List Paragraph1,PEP Bullets,IR Bullet,Keystone Numbered List"/>
    <w:basedOn w:val="Normal"/>
    <w:link w:val="ListParagraphChar"/>
    <w:uiPriority w:val="34"/>
    <w:qFormat/>
    <w:rsid w:val="009A73B7"/>
    <w:pPr>
      <w:spacing w:after="120" w:line="320" w:lineRule="atLeast"/>
      <w:ind w:left="720"/>
      <w:contextualSpacing/>
      <w:jc w:val="left"/>
    </w:pPr>
    <w:rPr>
      <w:rFonts w:ascii="Verdana" w:eastAsia="Calibri" w:hAnsi="Verdana"/>
      <w:sz w:val="20"/>
      <w:szCs w:val="22"/>
      <w:lang w:eastAsia="en-US"/>
    </w:rPr>
  </w:style>
  <w:style w:type="character" w:customStyle="1" w:styleId="ListParagraphChar">
    <w:name w:val="List Paragraph Char"/>
    <w:aliases w:val="List Item Char,List Paragraph1 Char,PEP Bullets Char,IR Bullet Char,Keystone Numbered List Char"/>
    <w:basedOn w:val="DefaultParagraphFont"/>
    <w:link w:val="ListParagraph"/>
    <w:uiPriority w:val="34"/>
    <w:locked/>
    <w:rsid w:val="009A73B7"/>
    <w:rPr>
      <w:rFonts w:ascii="Verdana" w:eastAsia="Calibri" w:hAnsi="Verdana"/>
      <w:szCs w:val="22"/>
      <w:lang w:eastAsia="en-US"/>
    </w:rPr>
  </w:style>
  <w:style w:type="paragraph" w:styleId="Revision">
    <w:name w:val="Revision"/>
    <w:hidden/>
    <w:uiPriority w:val="99"/>
    <w:semiHidden/>
    <w:rsid w:val="006646C7"/>
    <w:rPr>
      <w:sz w:val="24"/>
      <w:lang w:eastAsia="en-AU"/>
    </w:rPr>
  </w:style>
  <w:style w:type="paragraph" w:styleId="EndnoteText">
    <w:name w:val="endnote text"/>
    <w:basedOn w:val="Normal"/>
    <w:link w:val="EndnoteTextChar"/>
    <w:uiPriority w:val="99"/>
    <w:semiHidden/>
    <w:unhideWhenUsed/>
    <w:rsid w:val="00B85363"/>
    <w:rPr>
      <w:sz w:val="20"/>
    </w:rPr>
  </w:style>
  <w:style w:type="character" w:customStyle="1" w:styleId="EndnoteTextChar">
    <w:name w:val="Endnote Text Char"/>
    <w:basedOn w:val="DefaultParagraphFont"/>
    <w:link w:val="EndnoteText"/>
    <w:uiPriority w:val="99"/>
    <w:semiHidden/>
    <w:rsid w:val="00B85363"/>
    <w:rPr>
      <w:lang w:eastAsia="en-AU"/>
    </w:rPr>
  </w:style>
  <w:style w:type="character" w:styleId="EndnoteReference">
    <w:name w:val="endnote reference"/>
    <w:basedOn w:val="DefaultParagraphFont"/>
    <w:uiPriority w:val="99"/>
    <w:semiHidden/>
    <w:unhideWhenUsed/>
    <w:rsid w:val="00B85363"/>
    <w:rPr>
      <w:vertAlign w:val="superscript"/>
    </w:rPr>
  </w:style>
  <w:style w:type="character" w:customStyle="1" w:styleId="Heading3Char">
    <w:name w:val="Heading 3 Char"/>
    <w:basedOn w:val="DefaultParagraphFont"/>
    <w:link w:val="Heading3"/>
    <w:rsid w:val="00BE66DA"/>
    <w:rPr>
      <w:b/>
      <w:i/>
      <w:sz w:val="24"/>
      <w:lang w:eastAsia="en-AU"/>
    </w:rPr>
  </w:style>
  <w:style w:type="character" w:customStyle="1" w:styleId="Heading2Char">
    <w:name w:val="Heading 2 Char"/>
    <w:basedOn w:val="DefaultParagraphFont"/>
    <w:link w:val="Heading2"/>
    <w:rsid w:val="00D30F30"/>
    <w:rPr>
      <w:b/>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179">
      <w:bodyDiv w:val="1"/>
      <w:marLeft w:val="0"/>
      <w:marRight w:val="0"/>
      <w:marTop w:val="0"/>
      <w:marBottom w:val="0"/>
      <w:divBdr>
        <w:top w:val="none" w:sz="0" w:space="0" w:color="auto"/>
        <w:left w:val="none" w:sz="0" w:space="0" w:color="auto"/>
        <w:bottom w:val="none" w:sz="0" w:space="0" w:color="auto"/>
        <w:right w:val="none" w:sz="0" w:space="0" w:color="auto"/>
      </w:divBdr>
    </w:div>
    <w:div w:id="166990581">
      <w:bodyDiv w:val="1"/>
      <w:marLeft w:val="0"/>
      <w:marRight w:val="0"/>
      <w:marTop w:val="0"/>
      <w:marBottom w:val="0"/>
      <w:divBdr>
        <w:top w:val="none" w:sz="0" w:space="0" w:color="auto"/>
        <w:left w:val="none" w:sz="0" w:space="0" w:color="auto"/>
        <w:bottom w:val="none" w:sz="0" w:space="0" w:color="auto"/>
        <w:right w:val="none" w:sz="0" w:space="0" w:color="auto"/>
      </w:divBdr>
    </w:div>
    <w:div w:id="170578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0C6B1-648D-4197-ACEE-778C2751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4880</Words>
  <Characters>26746</Characters>
  <Application>Microsoft Office Word</Application>
  <DocSecurity>0</DocSecurity>
  <Lines>835</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2017-09-27T23:41:00Z</dcterms:created>
  <dcterms:modified xsi:type="dcterms:W3CDTF">2017-09-28T00:07:00Z</dcterms:modified>
</cp:coreProperties>
</file>