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640" w:rsidRPr="00DD23B8" w:rsidRDefault="00DD36C5" w:rsidP="007E2640">
      <w:pPr>
        <w:tabs>
          <w:tab w:val="left" w:pos="567"/>
        </w:tabs>
        <w:jc w:val="right"/>
        <w:rPr>
          <w:szCs w:val="24"/>
          <w:lang w:eastAsia="en-AU"/>
        </w:rPr>
      </w:pPr>
      <w:r>
        <w:rPr>
          <w:szCs w:val="24"/>
          <w:lang w:eastAsia="en-AU"/>
        </w:rPr>
        <w:t>Restricted</w:t>
      </w:r>
    </w:p>
    <w:p w:rsidR="004F6ED4" w:rsidRDefault="004F6ED4" w:rsidP="007E2640">
      <w:pPr>
        <w:tabs>
          <w:tab w:val="left" w:pos="567"/>
        </w:tabs>
        <w:jc w:val="right"/>
        <w:rPr>
          <w:b/>
          <w:szCs w:val="24"/>
          <w:lang w:eastAsia="en-AU"/>
        </w:rPr>
      </w:pPr>
    </w:p>
    <w:p w:rsidR="005732F2" w:rsidRPr="00DD23B8" w:rsidRDefault="005732F2" w:rsidP="005732F2">
      <w:pPr>
        <w:tabs>
          <w:tab w:val="left" w:pos="567"/>
        </w:tabs>
        <w:jc w:val="right"/>
        <w:rPr>
          <w:szCs w:val="24"/>
          <w:lang w:eastAsia="en-AU"/>
        </w:rPr>
      </w:pPr>
      <w:r w:rsidRPr="00DD23B8">
        <w:rPr>
          <w:szCs w:val="24"/>
          <w:lang w:eastAsia="en-AU"/>
        </w:rPr>
        <w:t xml:space="preserve">Office of the Minister of </w:t>
      </w:r>
      <w:r>
        <w:rPr>
          <w:szCs w:val="24"/>
          <w:lang w:eastAsia="en-AU"/>
        </w:rPr>
        <w:t>Finance</w:t>
      </w:r>
    </w:p>
    <w:p w:rsidR="007E2640" w:rsidRPr="00DD23B8" w:rsidRDefault="004F6ED4" w:rsidP="007E2640">
      <w:pPr>
        <w:tabs>
          <w:tab w:val="left" w:pos="567"/>
        </w:tabs>
        <w:jc w:val="right"/>
        <w:rPr>
          <w:szCs w:val="24"/>
          <w:lang w:eastAsia="en-AU"/>
        </w:rPr>
      </w:pPr>
      <w:r w:rsidRPr="00DD23B8">
        <w:rPr>
          <w:szCs w:val="24"/>
          <w:lang w:eastAsia="en-AU"/>
        </w:rPr>
        <w:t xml:space="preserve">Office of the Minister of </w:t>
      </w:r>
      <w:r w:rsidR="00917545">
        <w:rPr>
          <w:szCs w:val="24"/>
          <w:lang w:eastAsia="en-AU"/>
        </w:rPr>
        <w:t>Revenue</w:t>
      </w:r>
    </w:p>
    <w:p w:rsidR="007E2640" w:rsidRPr="00DD23B8" w:rsidRDefault="007E2640" w:rsidP="007E2640">
      <w:pPr>
        <w:tabs>
          <w:tab w:val="left" w:pos="567"/>
        </w:tabs>
        <w:rPr>
          <w:szCs w:val="24"/>
          <w:lang w:eastAsia="en-AU"/>
        </w:rPr>
      </w:pPr>
    </w:p>
    <w:p w:rsidR="007E2640" w:rsidRPr="00DD23B8" w:rsidRDefault="007E2640" w:rsidP="007E2640">
      <w:pPr>
        <w:tabs>
          <w:tab w:val="left" w:pos="567"/>
        </w:tabs>
        <w:rPr>
          <w:szCs w:val="24"/>
          <w:lang w:eastAsia="en-AU"/>
        </w:rPr>
      </w:pPr>
    </w:p>
    <w:p w:rsidR="007E2640" w:rsidRPr="00DD23B8" w:rsidRDefault="00917545" w:rsidP="00550856">
      <w:pPr>
        <w:tabs>
          <w:tab w:val="left" w:pos="567"/>
        </w:tabs>
        <w:jc w:val="right"/>
        <w:rPr>
          <w:szCs w:val="24"/>
          <w:lang w:eastAsia="en-AU"/>
        </w:rPr>
      </w:pPr>
      <w:r w:rsidRPr="005732F2">
        <w:rPr>
          <w:szCs w:val="24"/>
          <w:lang w:eastAsia="en-AU"/>
        </w:rPr>
        <w:t>Cabinet</w:t>
      </w:r>
    </w:p>
    <w:p w:rsidR="007E2640" w:rsidRPr="00DD23B8" w:rsidRDefault="007E2640" w:rsidP="007E2640">
      <w:pPr>
        <w:tabs>
          <w:tab w:val="left" w:pos="567"/>
        </w:tabs>
        <w:rPr>
          <w:szCs w:val="24"/>
          <w:lang w:eastAsia="en-AU"/>
        </w:rPr>
      </w:pPr>
    </w:p>
    <w:p w:rsidR="00094E89" w:rsidRPr="00DD23B8" w:rsidRDefault="00094E89" w:rsidP="007E2640">
      <w:pPr>
        <w:tabs>
          <w:tab w:val="left" w:pos="567"/>
        </w:tabs>
        <w:rPr>
          <w:szCs w:val="24"/>
          <w:lang w:eastAsia="en-AU"/>
        </w:rPr>
      </w:pPr>
    </w:p>
    <w:p w:rsidR="007E2640" w:rsidRPr="00DD23B8" w:rsidRDefault="00D96506" w:rsidP="00550856">
      <w:pPr>
        <w:tabs>
          <w:tab w:val="left" w:pos="567"/>
        </w:tabs>
        <w:rPr>
          <w:b/>
          <w:szCs w:val="24"/>
          <w:lang w:eastAsia="en-AU"/>
        </w:rPr>
      </w:pPr>
      <w:r>
        <w:rPr>
          <w:b/>
          <w:bCs/>
          <w:sz w:val="26"/>
          <w:szCs w:val="26"/>
          <w:lang w:eastAsia="en-AU"/>
        </w:rPr>
        <w:t>S</w:t>
      </w:r>
      <w:r w:rsidR="00917545">
        <w:rPr>
          <w:b/>
          <w:bCs/>
          <w:sz w:val="26"/>
          <w:szCs w:val="26"/>
          <w:lang w:eastAsia="en-AU"/>
        </w:rPr>
        <w:t>ignature and ratification of the Multilateral Convention to Implement Tax Treaty Related Measures to Prevent Base Erosion and Profit Shifting</w:t>
      </w:r>
    </w:p>
    <w:p w:rsidR="007E2640" w:rsidRDefault="007E2640" w:rsidP="00094E89">
      <w:pPr>
        <w:tabs>
          <w:tab w:val="left" w:pos="567"/>
        </w:tabs>
        <w:jc w:val="both"/>
        <w:rPr>
          <w:szCs w:val="24"/>
          <w:lang w:eastAsia="en-AU"/>
        </w:rPr>
      </w:pPr>
    </w:p>
    <w:p w:rsidR="00763BDD" w:rsidRPr="00DD23B8" w:rsidRDefault="00763BDD" w:rsidP="00094E89">
      <w:pPr>
        <w:tabs>
          <w:tab w:val="left" w:pos="567"/>
        </w:tabs>
        <w:jc w:val="both"/>
        <w:rPr>
          <w:szCs w:val="24"/>
          <w:lang w:eastAsia="en-AU"/>
        </w:rPr>
      </w:pPr>
    </w:p>
    <w:p w:rsidR="007E2640" w:rsidRPr="00DD23B8" w:rsidRDefault="004F6ED4" w:rsidP="007E2640">
      <w:pPr>
        <w:tabs>
          <w:tab w:val="left" w:pos="567"/>
        </w:tabs>
        <w:rPr>
          <w:szCs w:val="24"/>
          <w:lang w:eastAsia="en-AU"/>
        </w:rPr>
      </w:pPr>
      <w:r w:rsidRPr="00DD23B8">
        <w:rPr>
          <w:b/>
          <w:bCs/>
          <w:szCs w:val="24"/>
          <w:lang w:eastAsia="en-AU"/>
        </w:rPr>
        <w:t>Proposal</w:t>
      </w:r>
    </w:p>
    <w:p w:rsidR="007E2640" w:rsidRPr="00DD23B8" w:rsidRDefault="007E2640" w:rsidP="007E2640">
      <w:pPr>
        <w:tabs>
          <w:tab w:val="left" w:pos="567"/>
        </w:tabs>
        <w:jc w:val="both"/>
        <w:rPr>
          <w:szCs w:val="24"/>
          <w:lang w:eastAsia="en-AU"/>
        </w:rPr>
      </w:pPr>
    </w:p>
    <w:p w:rsidR="00682039" w:rsidRPr="00B308FF" w:rsidRDefault="00917545" w:rsidP="00682039">
      <w:pPr>
        <w:pStyle w:val="Numberparagraph"/>
        <w:ind w:left="426"/>
      </w:pPr>
      <w:r>
        <w:t>This paper proposes that Cabinet authorises New Zealand’s signature of, and the steps necessary to  ratify</w:t>
      </w:r>
      <w:r w:rsidR="00D96506">
        <w:t xml:space="preserve"> and bring into force</w:t>
      </w:r>
      <w:r>
        <w:t xml:space="preserve">, the </w:t>
      </w:r>
      <w:r w:rsidRPr="00917545">
        <w:rPr>
          <w:rFonts w:cs="Arial"/>
          <w:i/>
        </w:rPr>
        <w:t>Multilateral Convention to Implement Tax Treaty Related Measures to Prevent Base Erosion and Profit Shifting</w:t>
      </w:r>
      <w:r>
        <w:rPr>
          <w:rFonts w:cs="Arial"/>
        </w:rPr>
        <w:t xml:space="preserve"> (“the Multilateral Instrument” or “MLI</w:t>
      </w:r>
      <w:r w:rsidR="00373A7B">
        <w:rPr>
          <w:rFonts w:cs="Arial"/>
        </w:rPr>
        <w:t>”</w:t>
      </w:r>
      <w:r>
        <w:rPr>
          <w:rFonts w:cs="Arial"/>
        </w:rPr>
        <w:t xml:space="preserve">). </w:t>
      </w:r>
      <w:r>
        <w:t xml:space="preserve">The full text of the MLI is attached as </w:t>
      </w:r>
      <w:r w:rsidR="00EB24CC">
        <w:t>A</w:t>
      </w:r>
      <w:r>
        <w:t xml:space="preserve">nnex A and a full list of New Zealand’s proposed notifications and reservations to be submitted at the time of signature </w:t>
      </w:r>
      <w:r w:rsidR="00EB24CC">
        <w:t xml:space="preserve">and confirmed upon ratification </w:t>
      </w:r>
      <w:r>
        <w:t xml:space="preserve">is attached as </w:t>
      </w:r>
      <w:r w:rsidR="00EB24CC">
        <w:t>A</w:t>
      </w:r>
      <w:r>
        <w:t>nnex B.</w:t>
      </w:r>
      <w:r w:rsidR="00682039" w:rsidRPr="00682039">
        <w:t xml:space="preserve"> </w:t>
      </w:r>
      <w:r w:rsidR="00682039">
        <w:t xml:space="preserve">A table showing the </w:t>
      </w:r>
      <w:proofErr w:type="spellStart"/>
      <w:r w:rsidR="00682039">
        <w:t>MLI’s</w:t>
      </w:r>
      <w:proofErr w:type="spellEnd"/>
      <w:r w:rsidR="00682039">
        <w:t xml:space="preserve"> coverage of New Zealand’s double tax agreement (“DTA”) network is attached as Annex </w:t>
      </w:r>
      <w:r w:rsidR="007D4F6A">
        <w:t>C</w:t>
      </w:r>
      <w:r w:rsidR="00682039">
        <w:t>.</w:t>
      </w:r>
    </w:p>
    <w:p w:rsidR="007E2640" w:rsidRPr="00DD23B8" w:rsidRDefault="007E2640" w:rsidP="007E2640">
      <w:pPr>
        <w:tabs>
          <w:tab w:val="left" w:pos="567"/>
        </w:tabs>
        <w:jc w:val="both"/>
        <w:rPr>
          <w:b/>
          <w:bCs/>
          <w:szCs w:val="24"/>
          <w:lang w:eastAsia="en-AU"/>
        </w:rPr>
      </w:pPr>
    </w:p>
    <w:p w:rsidR="007E2640" w:rsidRPr="00DD23B8" w:rsidRDefault="004F6ED4" w:rsidP="007E2640">
      <w:pPr>
        <w:tabs>
          <w:tab w:val="left" w:pos="567"/>
        </w:tabs>
        <w:jc w:val="both"/>
        <w:rPr>
          <w:szCs w:val="24"/>
          <w:lang w:eastAsia="en-AU"/>
        </w:rPr>
      </w:pPr>
      <w:r w:rsidRPr="00DD23B8">
        <w:rPr>
          <w:b/>
          <w:bCs/>
          <w:szCs w:val="24"/>
          <w:lang w:eastAsia="en-AU"/>
        </w:rPr>
        <w:t>Executive summary</w:t>
      </w:r>
    </w:p>
    <w:p w:rsidR="007B6715" w:rsidRPr="00DD23B8" w:rsidRDefault="007B6715" w:rsidP="007B6715">
      <w:pPr>
        <w:tabs>
          <w:tab w:val="left" w:pos="567"/>
        </w:tabs>
        <w:jc w:val="both"/>
        <w:rPr>
          <w:szCs w:val="24"/>
          <w:lang w:eastAsia="en-AU"/>
        </w:rPr>
      </w:pPr>
    </w:p>
    <w:p w:rsidR="007B6715" w:rsidRDefault="007B6715" w:rsidP="007F0894">
      <w:pPr>
        <w:pStyle w:val="Numberparagraph"/>
        <w:ind w:left="426"/>
      </w:pPr>
      <w:r>
        <w:t xml:space="preserve">DTAs are bilateral international treaties designed to reduce tax impediments to cross-border services, trade and investment </w:t>
      </w:r>
      <w:r w:rsidRPr="001A2215">
        <w:t>without creating opportunities for non-taxation or reduced taxation through tax avoidance or evasion</w:t>
      </w:r>
      <w:r>
        <w:t xml:space="preserve">. DTAs also enable tax administrations to assist each other in the detection and prevention of tax evasion and avoidance. </w:t>
      </w:r>
      <w:r w:rsidRPr="001A2215">
        <w:t xml:space="preserve">Section </w:t>
      </w:r>
      <w:proofErr w:type="spellStart"/>
      <w:r w:rsidRPr="001A2215">
        <w:t>BH</w:t>
      </w:r>
      <w:proofErr w:type="spellEnd"/>
      <w:r w:rsidRPr="001A2215">
        <w:t xml:space="preserve"> 1 of the Income Tax Act 2007 provides for the negotiation of and giving of effect to DTAs with other countries. New Zealand currently has </w:t>
      </w:r>
      <w:r>
        <w:t>40</w:t>
      </w:r>
      <w:r w:rsidRPr="001A2215">
        <w:t xml:space="preserve"> DTAs in force, primarily with major trading and investment partners.</w:t>
      </w:r>
      <w:r>
        <w:t xml:space="preserve">  </w:t>
      </w:r>
    </w:p>
    <w:p w:rsidR="004D1656" w:rsidRDefault="004D1656" w:rsidP="007F0894">
      <w:pPr>
        <w:pStyle w:val="Numberparagraph"/>
        <w:numPr>
          <w:ilvl w:val="0"/>
          <w:numId w:val="0"/>
        </w:numPr>
        <w:ind w:left="426"/>
      </w:pPr>
    </w:p>
    <w:p w:rsidR="004D1656" w:rsidRDefault="004D1656" w:rsidP="007F0894">
      <w:pPr>
        <w:pStyle w:val="Numberparagraph"/>
        <w:ind w:left="426"/>
      </w:pPr>
      <w:r w:rsidRPr="00AB0E44">
        <w:t xml:space="preserve">The </w:t>
      </w:r>
      <w:r>
        <w:t>MLI</w:t>
      </w:r>
      <w:r w:rsidRPr="00AB0E44">
        <w:t xml:space="preserve"> is a multilateral international treaty that proposes to </w:t>
      </w:r>
      <w:r>
        <w:t xml:space="preserve">quickly and efficiently </w:t>
      </w:r>
      <w:r w:rsidRPr="00AB0E44">
        <w:t xml:space="preserve">amend a significant number of </w:t>
      </w:r>
      <w:r>
        <w:t>DTAs</w:t>
      </w:r>
      <w:r w:rsidRPr="00AB0E44">
        <w:t xml:space="preserve"> around the world to take into account new treaty standards relating to treaty abuse and dispute</w:t>
      </w:r>
      <w:r>
        <w:t xml:space="preserve"> resolution that have arisen out of the </w:t>
      </w:r>
      <w:r w:rsidR="00DD36C5">
        <w:t>Organisation for Economi</w:t>
      </w:r>
      <w:r w:rsidR="002141D7">
        <w:t>c Co-operation and Development</w:t>
      </w:r>
      <w:r w:rsidR="00DD36C5">
        <w:t xml:space="preserve"> (OECD)</w:t>
      </w:r>
      <w:r w:rsidR="002141D7">
        <w:t xml:space="preserve"> and G20’s</w:t>
      </w:r>
      <w:r w:rsidR="00831050">
        <w:t xml:space="preserve"> 15-point Action Plan on base erosion and </w:t>
      </w:r>
      <w:proofErr w:type="gramStart"/>
      <w:r w:rsidR="00831050">
        <w:t>profit</w:t>
      </w:r>
      <w:proofErr w:type="gramEnd"/>
      <w:r w:rsidR="00831050">
        <w:t xml:space="preserve"> shifting (</w:t>
      </w:r>
      <w:r w:rsidR="0040318C">
        <w:t>“</w:t>
      </w:r>
      <w:r w:rsidR="00831050">
        <w:t>BEPS</w:t>
      </w:r>
      <w:r w:rsidR="0040318C">
        <w:t>”</w:t>
      </w:r>
      <w:r w:rsidR="00831050">
        <w:t>). It allows New Zealand to update the majority of its 40 DTAs without entering into bilateral negotiations with each of its treaty partners.</w:t>
      </w:r>
    </w:p>
    <w:p w:rsidR="00921DBB" w:rsidRDefault="00921DBB" w:rsidP="00921DBB">
      <w:pPr>
        <w:pStyle w:val="ListParagraph"/>
      </w:pPr>
    </w:p>
    <w:p w:rsidR="00921DBB" w:rsidRPr="004927AD" w:rsidRDefault="004927AD" w:rsidP="007F0894">
      <w:pPr>
        <w:pStyle w:val="Numberparagraph"/>
        <w:ind w:left="426"/>
      </w:pPr>
      <w:r w:rsidRPr="008F5CAC">
        <w:t xml:space="preserve">In </w:t>
      </w:r>
      <w:r w:rsidRPr="00670C14">
        <w:t xml:space="preserve">May 2016, Cabinet considered the MLI as part of the New Zealand Government’s response to BEPS (CAB-16-MIN-0218 </w:t>
      </w:r>
      <w:r w:rsidRPr="005738E2">
        <w:t>refers</w:t>
      </w:r>
      <w:r w:rsidRPr="008F5CAC">
        <w:t>)</w:t>
      </w:r>
      <w:r w:rsidRPr="00670C14">
        <w:t>.</w:t>
      </w:r>
      <w:r>
        <w:t xml:space="preserve"> </w:t>
      </w:r>
      <w:r w:rsidR="00587CE5" w:rsidRPr="005738E2">
        <w:t xml:space="preserve">In February 2017, </w:t>
      </w:r>
      <w:r w:rsidR="00921DBB" w:rsidRPr="008F5CAC">
        <w:t xml:space="preserve">Cabinet </w:t>
      </w:r>
      <w:r w:rsidR="00587CE5" w:rsidRPr="004927AD">
        <w:t>approved the release of an officials’ issues paper seeking submissions on New Zealand’s implementation of the MLI (</w:t>
      </w:r>
      <w:r w:rsidR="00921DBB" w:rsidRPr="00F05665">
        <w:t>EGI-17-MIN-0005</w:t>
      </w:r>
      <w:r w:rsidR="00E50006">
        <w:t>,</w:t>
      </w:r>
      <w:r w:rsidR="00E50006" w:rsidRPr="00E50006">
        <w:t xml:space="preserve"> CAB-17-MIN-0041</w:t>
      </w:r>
      <w:r w:rsidR="00587CE5" w:rsidRPr="005738E2">
        <w:t xml:space="preserve"> refers).  </w:t>
      </w:r>
    </w:p>
    <w:p w:rsidR="00DE111B" w:rsidRDefault="00DE111B" w:rsidP="007F0894">
      <w:pPr>
        <w:pStyle w:val="Numberparagraph"/>
        <w:numPr>
          <w:ilvl w:val="0"/>
          <w:numId w:val="0"/>
        </w:numPr>
        <w:ind w:left="426"/>
      </w:pPr>
    </w:p>
    <w:p w:rsidR="00831050" w:rsidRPr="008B44EC" w:rsidRDefault="00831050" w:rsidP="007F0894">
      <w:pPr>
        <w:pStyle w:val="Numberparagraph"/>
        <w:ind w:left="426"/>
      </w:pPr>
      <w:r>
        <w:t>This pape</w:t>
      </w:r>
      <w:r w:rsidR="00B308FF">
        <w:t>r seeks Cabinet approval for New Zealand to sign the MLI at a signing ceremony arranged by the OECD to be held in Paris on 7 June 2017</w:t>
      </w:r>
      <w:r>
        <w:t xml:space="preserve">. </w:t>
      </w:r>
      <w:r w:rsidRPr="00BD699E">
        <w:t>As</w:t>
      </w:r>
      <w:r w:rsidR="00D96506">
        <w:t xml:space="preserve"> the MLI is subject to ratification it must be presented to the House of Representatives for</w:t>
      </w:r>
      <w:r w:rsidRPr="00BD699E">
        <w:t xml:space="preserve"> Parliamentary treaty examination </w:t>
      </w:r>
      <w:r>
        <w:t>in accordance with Standing Order 397</w:t>
      </w:r>
      <w:r w:rsidRPr="00BD699E">
        <w:t>, this paper also proposes that Cabinet approve</w:t>
      </w:r>
      <w:r>
        <w:t>s</w:t>
      </w:r>
      <w:r w:rsidRPr="00BD699E">
        <w:t xml:space="preserve"> the text of an extended </w:t>
      </w:r>
      <w:r>
        <w:t>N</w:t>
      </w:r>
      <w:r w:rsidRPr="00BD699E">
        <w:t xml:space="preserve">ational </w:t>
      </w:r>
      <w:r>
        <w:t>I</w:t>
      </w:r>
      <w:r w:rsidRPr="00BD699E">
        <w:t xml:space="preserve">nterest </w:t>
      </w:r>
      <w:r>
        <w:t>A</w:t>
      </w:r>
      <w:r w:rsidRPr="00BD699E">
        <w:t>nalysis (</w:t>
      </w:r>
      <w:r>
        <w:t>“</w:t>
      </w:r>
      <w:r w:rsidRPr="00BD699E">
        <w:t>NIA</w:t>
      </w:r>
      <w:r>
        <w:t>”</w:t>
      </w:r>
      <w:r w:rsidRPr="00BD699E">
        <w:t>) for submission to Parliament.</w:t>
      </w:r>
      <w:r>
        <w:t xml:space="preserve"> The extended NIA is attached as Annex </w:t>
      </w:r>
      <w:r w:rsidR="007D4F6A">
        <w:t>D</w:t>
      </w:r>
      <w:r>
        <w:t xml:space="preserve">. </w:t>
      </w:r>
      <w:r w:rsidRPr="00BD699E">
        <w:t>This paper also proposes that Cabinet authorise</w:t>
      </w:r>
      <w:r>
        <w:t>s</w:t>
      </w:r>
      <w:r w:rsidRPr="00BD699E">
        <w:t xml:space="preserve"> the steps necessary to give effect to the provisions of the </w:t>
      </w:r>
      <w:r w:rsidR="00B308FF">
        <w:t>MLI</w:t>
      </w:r>
      <w:r w:rsidRPr="00BD699E">
        <w:t xml:space="preserve"> under New Zealand law and, after those </w:t>
      </w:r>
      <w:r w:rsidRPr="00BD699E">
        <w:lastRenderedPageBreak/>
        <w:t xml:space="preserve">steps have been successfully completed, authorise officials to </w:t>
      </w:r>
      <w:r w:rsidR="00B308FF">
        <w:t>ratify the MLI by depositing an instrument of ratification</w:t>
      </w:r>
      <w:r w:rsidR="00C72D0A">
        <w:t>, along with New Zealand’s list of confirmed notifications and reservations,</w:t>
      </w:r>
      <w:r w:rsidR="00B308FF">
        <w:t xml:space="preserve"> with the MLI Depositary (the OECD)</w:t>
      </w:r>
      <w:r>
        <w:t>.</w:t>
      </w:r>
    </w:p>
    <w:p w:rsidR="007B6715" w:rsidRDefault="007B6715" w:rsidP="007E2640">
      <w:pPr>
        <w:tabs>
          <w:tab w:val="left" w:pos="567"/>
        </w:tabs>
        <w:jc w:val="both"/>
        <w:rPr>
          <w:szCs w:val="24"/>
          <w:lang w:eastAsia="en-AU"/>
        </w:rPr>
      </w:pPr>
    </w:p>
    <w:p w:rsidR="00763BDD" w:rsidRPr="00DD23B8" w:rsidRDefault="00763BDD" w:rsidP="007E2640">
      <w:pPr>
        <w:tabs>
          <w:tab w:val="left" w:pos="567"/>
        </w:tabs>
        <w:jc w:val="both"/>
        <w:rPr>
          <w:szCs w:val="24"/>
          <w:lang w:eastAsia="en-AU"/>
        </w:rPr>
      </w:pPr>
    </w:p>
    <w:p w:rsidR="007E2640" w:rsidRPr="00DD23B8" w:rsidRDefault="004F6ED4" w:rsidP="007E2640">
      <w:pPr>
        <w:tabs>
          <w:tab w:val="left" w:pos="567"/>
        </w:tabs>
        <w:jc w:val="both"/>
        <w:rPr>
          <w:szCs w:val="24"/>
          <w:lang w:eastAsia="en-AU"/>
        </w:rPr>
      </w:pPr>
      <w:r w:rsidRPr="00DD23B8">
        <w:rPr>
          <w:b/>
          <w:bCs/>
          <w:szCs w:val="24"/>
          <w:lang w:eastAsia="en-AU"/>
        </w:rPr>
        <w:t>Background</w:t>
      </w:r>
    </w:p>
    <w:p w:rsidR="00D23100" w:rsidRPr="00DD23B8" w:rsidRDefault="00D23100" w:rsidP="007E2640">
      <w:pPr>
        <w:tabs>
          <w:tab w:val="left" w:pos="567"/>
        </w:tabs>
        <w:jc w:val="both"/>
        <w:rPr>
          <w:szCs w:val="24"/>
          <w:lang w:eastAsia="en-AU"/>
        </w:rPr>
      </w:pPr>
    </w:p>
    <w:p w:rsidR="00B308FF" w:rsidRDefault="00B308FF" w:rsidP="007F0894">
      <w:pPr>
        <w:pStyle w:val="Numberparagraph"/>
        <w:ind w:left="426"/>
      </w:pPr>
      <w:r>
        <w:t xml:space="preserve">DTAs are bilateral international treaties designed to reduce tax impediments to cross-border services, trade and investment </w:t>
      </w:r>
      <w:r w:rsidRPr="001A2215">
        <w:t>without creating opportunities for non-taxation or reduced taxation through tax avoidance or evasion</w:t>
      </w:r>
      <w:r>
        <w:t xml:space="preserve">. DTAs also enable tax administrations to assist each other in the detection and prevention of tax evasion and avoidance. </w:t>
      </w:r>
      <w:r w:rsidRPr="001A2215">
        <w:t xml:space="preserve">Section </w:t>
      </w:r>
      <w:proofErr w:type="spellStart"/>
      <w:r w:rsidRPr="001A2215">
        <w:t>BH</w:t>
      </w:r>
      <w:proofErr w:type="spellEnd"/>
      <w:r w:rsidRPr="001A2215">
        <w:t xml:space="preserve"> 1 of the Income Tax Act 2007 provides for the negotiation of and giving of effect to DTAs with other countries. New Zealand currently has </w:t>
      </w:r>
      <w:r>
        <w:t>40</w:t>
      </w:r>
      <w:r w:rsidRPr="001A2215">
        <w:t xml:space="preserve"> DTAs in force, primarily with major trading and investment partners.</w:t>
      </w:r>
      <w:r>
        <w:t xml:space="preserve">  </w:t>
      </w:r>
    </w:p>
    <w:p w:rsidR="00E4232F" w:rsidRDefault="00E4232F" w:rsidP="007F0894">
      <w:pPr>
        <w:pStyle w:val="Numberparagraph"/>
        <w:numPr>
          <w:ilvl w:val="0"/>
          <w:numId w:val="0"/>
        </w:numPr>
        <w:ind w:left="426"/>
      </w:pPr>
    </w:p>
    <w:p w:rsidR="004D1656" w:rsidRDefault="004D1656" w:rsidP="007F0894">
      <w:pPr>
        <w:pStyle w:val="Numberparagraph"/>
        <w:ind w:left="426"/>
      </w:pPr>
      <w:r>
        <w:t>While DTAs are beneficial for taxpayers, investors and governments themselves, t</w:t>
      </w:r>
      <w:r w:rsidRPr="00AC3AE7">
        <w:t>here is the potential for these bilateral agreements to be misused to reduce or eliminate a multinational’s worldwide tax. Misuse of DTAs in this way has been a feature of a number of cross-border tax avoidance arrangements.</w:t>
      </w:r>
    </w:p>
    <w:p w:rsidR="004D1656" w:rsidRDefault="004D1656" w:rsidP="007F0894">
      <w:pPr>
        <w:pStyle w:val="Numberparagraph"/>
        <w:numPr>
          <w:ilvl w:val="0"/>
          <w:numId w:val="0"/>
        </w:numPr>
        <w:ind w:left="426"/>
      </w:pPr>
    </w:p>
    <w:p w:rsidR="004D1656" w:rsidRDefault="004D1656" w:rsidP="007F0894">
      <w:pPr>
        <w:pStyle w:val="Numberparagraph"/>
        <w:ind w:left="426"/>
      </w:pPr>
      <w:r>
        <w:t xml:space="preserve">The misuse of DTAs forms part of a wider problem referred to as BEPS, which has been the focus of significant global media and political attention since late 2012, following evidence suggesting that some multinationals pay little or no tax anywhere in the world. </w:t>
      </w:r>
    </w:p>
    <w:p w:rsidR="004D1656" w:rsidRPr="00BA0AEE" w:rsidRDefault="004D1656" w:rsidP="007F0894">
      <w:pPr>
        <w:pStyle w:val="Numberparagraph"/>
        <w:numPr>
          <w:ilvl w:val="0"/>
          <w:numId w:val="0"/>
        </w:numPr>
        <w:ind w:left="426"/>
      </w:pPr>
    </w:p>
    <w:p w:rsidR="004D1656" w:rsidRDefault="004D1656" w:rsidP="007F0894">
      <w:pPr>
        <w:pStyle w:val="Numberparagraph"/>
        <w:ind w:left="426"/>
      </w:pPr>
      <w:r>
        <w:t xml:space="preserve">BEPS is a global problem as many BEPS strategies exploit technical differences between different countries’ tax rules, so New Zealand has been working with the OECD and G20 to develop a co-ordinated global solution to address BEPS through the 15-point </w:t>
      </w:r>
      <w:r w:rsidR="002141D7">
        <w:t>OECD/G20</w:t>
      </w:r>
      <w:r>
        <w:t xml:space="preserve"> BEPS Action Plan.</w:t>
      </w:r>
    </w:p>
    <w:p w:rsidR="004D1656" w:rsidRDefault="004D1656" w:rsidP="007F0894">
      <w:pPr>
        <w:pStyle w:val="Numberparagraph"/>
        <w:numPr>
          <w:ilvl w:val="0"/>
          <w:numId w:val="0"/>
        </w:numPr>
        <w:ind w:left="426"/>
      </w:pPr>
    </w:p>
    <w:p w:rsidR="002C0264" w:rsidRDefault="004D1656" w:rsidP="007F0894">
      <w:pPr>
        <w:pStyle w:val="Numberparagraph"/>
        <w:ind w:left="426"/>
      </w:pPr>
      <w:r>
        <w:t xml:space="preserve">A number of the items on the </w:t>
      </w:r>
      <w:r w:rsidR="00C72D0A">
        <w:t>OECD</w:t>
      </w:r>
      <w:r w:rsidR="00A84FAB">
        <w:t>/G20</w:t>
      </w:r>
      <w:r w:rsidR="00C72D0A">
        <w:t xml:space="preserve"> </w:t>
      </w:r>
      <w:r>
        <w:t xml:space="preserve">BEPS Action Plan address the misuse of DTAs and can only be implemented through changes to DTAs themselves. </w:t>
      </w:r>
      <w:r w:rsidR="002C0264">
        <w:t>These are:</w:t>
      </w:r>
    </w:p>
    <w:p w:rsidR="002C0264" w:rsidRDefault="002C0264" w:rsidP="002C0264">
      <w:pPr>
        <w:spacing w:line="276" w:lineRule="auto"/>
      </w:pPr>
    </w:p>
    <w:p w:rsidR="002C0264" w:rsidRPr="00493AEE" w:rsidRDefault="002C0264" w:rsidP="00F83840">
      <w:pPr>
        <w:pStyle w:val="Numberparagraph"/>
        <w:numPr>
          <w:ilvl w:val="0"/>
          <w:numId w:val="10"/>
        </w:numPr>
      </w:pPr>
      <w:r w:rsidRPr="00493AEE">
        <w:t>preventing the granting of treaty benefits in inappropriate circumstances (Action 6);</w:t>
      </w:r>
    </w:p>
    <w:p w:rsidR="002C0264" w:rsidRPr="00493AEE" w:rsidRDefault="002C0264" w:rsidP="00F83840">
      <w:pPr>
        <w:pStyle w:val="Numberparagraph"/>
        <w:numPr>
          <w:ilvl w:val="0"/>
          <w:numId w:val="10"/>
        </w:numPr>
      </w:pPr>
      <w:r w:rsidRPr="00493AEE">
        <w:t>preventing the artificial avoidance of permanent establishment status (Action 7);</w:t>
      </w:r>
    </w:p>
    <w:p w:rsidR="002C0264" w:rsidRPr="00493AEE" w:rsidRDefault="002C0264" w:rsidP="00F83840">
      <w:pPr>
        <w:pStyle w:val="Numberparagraph"/>
        <w:numPr>
          <w:ilvl w:val="0"/>
          <w:numId w:val="10"/>
        </w:numPr>
      </w:pPr>
      <w:r w:rsidRPr="00493AEE">
        <w:t>neutralising the effects of hybrid mismatch arrangements that have a treaty aspect (Action 2); and</w:t>
      </w:r>
    </w:p>
    <w:p w:rsidR="002C0264" w:rsidRDefault="002C0264" w:rsidP="00F83840">
      <w:pPr>
        <w:pStyle w:val="Numberparagraph"/>
        <w:numPr>
          <w:ilvl w:val="0"/>
          <w:numId w:val="10"/>
        </w:numPr>
      </w:pPr>
      <w:proofErr w:type="gramStart"/>
      <w:r w:rsidRPr="00493AEE">
        <w:t>providing</w:t>
      </w:r>
      <w:proofErr w:type="gramEnd"/>
      <w:r w:rsidRPr="00493AEE">
        <w:t xml:space="preserve"> improved mechanisms for effective dispute resolution (Action 14).</w:t>
      </w:r>
    </w:p>
    <w:p w:rsidR="002C0264" w:rsidRDefault="002C0264" w:rsidP="002C0264">
      <w:pPr>
        <w:pStyle w:val="Numberparagraph"/>
        <w:numPr>
          <w:ilvl w:val="0"/>
          <w:numId w:val="0"/>
        </w:numPr>
      </w:pPr>
    </w:p>
    <w:p w:rsidR="002C0264" w:rsidRDefault="002C0264" w:rsidP="007F0894">
      <w:pPr>
        <w:pStyle w:val="Numberparagraph"/>
        <w:ind w:left="426"/>
      </w:pPr>
      <w:r>
        <w:t>Some of these solutions are “minimum standards” that countries that commit to solving BEPS are expected to adopt. Other provisions are optional, but are DTA “best practice” and now form part of the OECD Model Tax Convention following adoption of the OECD</w:t>
      </w:r>
      <w:r w:rsidR="00A84FAB">
        <w:t>/G20</w:t>
      </w:r>
      <w:r>
        <w:t xml:space="preserve"> BEPS Action Plan.</w:t>
      </w:r>
    </w:p>
    <w:p w:rsidR="00D823E4" w:rsidRDefault="00D823E4" w:rsidP="007F0894">
      <w:pPr>
        <w:pStyle w:val="Numberparagraph"/>
        <w:numPr>
          <w:ilvl w:val="0"/>
          <w:numId w:val="0"/>
        </w:numPr>
        <w:ind w:left="426"/>
      </w:pPr>
    </w:p>
    <w:p w:rsidR="00D823E4" w:rsidRDefault="00D823E4" w:rsidP="007F0894">
      <w:pPr>
        <w:pStyle w:val="Numberparagraph"/>
        <w:ind w:left="426"/>
      </w:pPr>
      <w:r w:rsidRPr="00D823E4">
        <w:t>Countries, including New Zealand, were presented with the difficulty of how to quickly and efficiently implement these measures without requiring the bilateral renegotiation of several thousand existing DTAs, which could take several years (or even potentially decades). For this reason, the Multilateral Instrument was developed under Action 15 of the OECD</w:t>
      </w:r>
      <w:r w:rsidR="00A84FAB">
        <w:t>/G20</w:t>
      </w:r>
      <w:r w:rsidRPr="00D823E4">
        <w:t xml:space="preserve"> BEPS Action Plan to swiftly amend the DTAs of all participating jurisdictions.</w:t>
      </w:r>
    </w:p>
    <w:p w:rsidR="00F05665" w:rsidRDefault="00F05665" w:rsidP="00F05665">
      <w:pPr>
        <w:pStyle w:val="ListParagraph"/>
      </w:pPr>
    </w:p>
    <w:p w:rsidR="00F05665" w:rsidRDefault="00F05665" w:rsidP="00F05665">
      <w:pPr>
        <w:pStyle w:val="Numberparagraph"/>
        <w:numPr>
          <w:ilvl w:val="0"/>
          <w:numId w:val="0"/>
        </w:numPr>
        <w:ind w:left="426"/>
      </w:pPr>
    </w:p>
    <w:p w:rsidR="004D1656" w:rsidRPr="00E4232F" w:rsidRDefault="004D1656" w:rsidP="004D1656">
      <w:pPr>
        <w:pStyle w:val="Numberparagraph"/>
        <w:numPr>
          <w:ilvl w:val="0"/>
          <w:numId w:val="0"/>
        </w:numPr>
      </w:pPr>
    </w:p>
    <w:p w:rsidR="007E2640" w:rsidRDefault="00D823E4" w:rsidP="007E2640">
      <w:pPr>
        <w:tabs>
          <w:tab w:val="left" w:pos="567"/>
        </w:tabs>
        <w:jc w:val="both"/>
        <w:rPr>
          <w:b/>
          <w:bCs/>
          <w:szCs w:val="24"/>
          <w:lang w:eastAsia="en-AU"/>
        </w:rPr>
      </w:pPr>
      <w:r>
        <w:rPr>
          <w:b/>
          <w:bCs/>
          <w:szCs w:val="24"/>
          <w:lang w:eastAsia="en-AU"/>
        </w:rPr>
        <w:lastRenderedPageBreak/>
        <w:t>The Multilateral Instrument</w:t>
      </w:r>
    </w:p>
    <w:p w:rsidR="002C0264" w:rsidRDefault="002C0264" w:rsidP="00EB24CC">
      <w:pPr>
        <w:pStyle w:val="Chapter2"/>
        <w:numPr>
          <w:ilvl w:val="0"/>
          <w:numId w:val="0"/>
        </w:numPr>
        <w:spacing w:line="276" w:lineRule="auto"/>
      </w:pPr>
    </w:p>
    <w:p w:rsidR="002C0264" w:rsidRDefault="002C0264" w:rsidP="007F0894">
      <w:pPr>
        <w:pStyle w:val="Numberparagraph"/>
        <w:ind w:left="426"/>
      </w:pPr>
      <w:r w:rsidRPr="00AB0E44">
        <w:t xml:space="preserve">The </w:t>
      </w:r>
      <w:r>
        <w:t>MLI</w:t>
      </w:r>
      <w:r w:rsidRPr="00AB0E44">
        <w:t xml:space="preserve"> is a multilateral international treaty that proposes to </w:t>
      </w:r>
      <w:r>
        <w:t xml:space="preserve">quickly and efficiently </w:t>
      </w:r>
      <w:r w:rsidRPr="00AB0E44">
        <w:t xml:space="preserve">amend a significant number of </w:t>
      </w:r>
      <w:r>
        <w:t>DTAs</w:t>
      </w:r>
      <w:r w:rsidRPr="00AB0E44">
        <w:t xml:space="preserve"> around the world to take into account new treaty standards relating to treaty abuse and dispute</w:t>
      </w:r>
      <w:r>
        <w:t xml:space="preserve"> resolution that have arisen out of the </w:t>
      </w:r>
      <w:r w:rsidR="00B05DE4">
        <w:t>OECD</w:t>
      </w:r>
      <w:r w:rsidR="00A84FAB">
        <w:t>/G20</w:t>
      </w:r>
      <w:r w:rsidR="00B05DE4">
        <w:t xml:space="preserve"> BEPS Action Plan, as outlined in paragraph </w:t>
      </w:r>
      <w:r w:rsidR="00FB71E8">
        <w:t>10</w:t>
      </w:r>
      <w:r>
        <w:t>. It allows New Zealand to update the majority of its 40 DTAs without entering into bilateral negotiations with each of its treaty partners.</w:t>
      </w:r>
    </w:p>
    <w:p w:rsidR="00C40B61" w:rsidRDefault="00C40B61" w:rsidP="007F0894">
      <w:pPr>
        <w:pStyle w:val="Numberparagraph"/>
        <w:numPr>
          <w:ilvl w:val="0"/>
          <w:numId w:val="0"/>
        </w:numPr>
        <w:ind w:left="426"/>
      </w:pPr>
    </w:p>
    <w:p w:rsidR="00C40B61" w:rsidRDefault="00C40B61" w:rsidP="007F0894">
      <w:pPr>
        <w:pStyle w:val="Numberparagraph"/>
        <w:ind w:left="426"/>
      </w:pPr>
      <w:r>
        <w:t>New Zealand’s treaty negotiation resources are limited and to update New Zealand’s entire DTA network would take several years, if not decades, particularly as many of New Zealand’s treaty partners would likely place greater importance on updating more significant treaties. This would limit New Zealand’s likelihood of being able to meet the OECD minimum standard in a timely fashion.</w:t>
      </w:r>
    </w:p>
    <w:p w:rsidR="00AE342B" w:rsidRDefault="00AE342B" w:rsidP="007F0894">
      <w:pPr>
        <w:pStyle w:val="Numberparagraph"/>
        <w:numPr>
          <w:ilvl w:val="0"/>
          <w:numId w:val="0"/>
        </w:numPr>
        <w:ind w:left="426"/>
      </w:pPr>
    </w:p>
    <w:p w:rsidR="00B05DE4" w:rsidRDefault="00B05DE4" w:rsidP="007F0894">
      <w:pPr>
        <w:pStyle w:val="Numberparagraph"/>
        <w:ind w:left="426"/>
      </w:pPr>
      <w:r>
        <w:t xml:space="preserve">The text of the </w:t>
      </w:r>
      <w:r w:rsidR="00C40B61">
        <w:t>MLI</w:t>
      </w:r>
      <w:r>
        <w:t xml:space="preserve"> was developed by the OECD Ad Hoc Group consisting of officials from more than 100 participating jurisdictions</w:t>
      </w:r>
      <w:r w:rsidR="00AE342B">
        <w:t>, including New Zealand</w:t>
      </w:r>
      <w:r w:rsidR="00EC6072">
        <w:t>,</w:t>
      </w:r>
      <w:r>
        <w:t xml:space="preserve"> and was formally adopted by the OECD in November 2016.</w:t>
      </w:r>
      <w:r w:rsidR="00AE342B" w:rsidRPr="00AE342B">
        <w:t xml:space="preserve"> </w:t>
      </w:r>
      <w:r w:rsidR="00AE342B">
        <w:t xml:space="preserve">Experts in both international tax and public international law participated in the OECD Ad Hoc Group that developed the </w:t>
      </w:r>
      <w:r w:rsidR="00C40B61">
        <w:t>MLI</w:t>
      </w:r>
      <w:r w:rsidR="00AE342B">
        <w:t xml:space="preserve"> to ensure that it works as intended.</w:t>
      </w:r>
    </w:p>
    <w:p w:rsidR="00AE342B" w:rsidRDefault="00AE342B" w:rsidP="007F0894">
      <w:pPr>
        <w:pStyle w:val="Numberparagraph"/>
        <w:numPr>
          <w:ilvl w:val="0"/>
          <w:numId w:val="0"/>
        </w:numPr>
        <w:ind w:left="426"/>
      </w:pPr>
    </w:p>
    <w:p w:rsidR="00AE342B" w:rsidRDefault="00AE342B" w:rsidP="007F0894">
      <w:pPr>
        <w:pStyle w:val="Numberparagraph"/>
        <w:ind w:left="426"/>
      </w:pPr>
      <w:r>
        <w:t xml:space="preserve">The </w:t>
      </w:r>
      <w:r w:rsidR="00C40B61">
        <w:t>MLI</w:t>
      </w:r>
      <w:r w:rsidR="00011C05">
        <w:t xml:space="preserve"> is flexible and allows jurisdictions</w:t>
      </w:r>
      <w:r>
        <w:t xml:space="preserve"> to choose:</w:t>
      </w:r>
    </w:p>
    <w:p w:rsidR="00AE342B" w:rsidRPr="00287272" w:rsidRDefault="00AE342B" w:rsidP="00AE342B">
      <w:pPr>
        <w:spacing w:line="276" w:lineRule="auto"/>
      </w:pPr>
    </w:p>
    <w:p w:rsidR="00AE342B" w:rsidRDefault="00AE342B" w:rsidP="00F83840">
      <w:pPr>
        <w:pStyle w:val="Bullets"/>
        <w:numPr>
          <w:ilvl w:val="0"/>
          <w:numId w:val="9"/>
        </w:numPr>
        <w:spacing w:after="0" w:line="276" w:lineRule="auto"/>
      </w:pPr>
      <w:r>
        <w:t xml:space="preserve">which of their existing DTAs they wish to modify through the </w:t>
      </w:r>
      <w:r w:rsidR="00C40B61">
        <w:t>MLI</w:t>
      </w:r>
      <w:r>
        <w:t>;</w:t>
      </w:r>
    </w:p>
    <w:p w:rsidR="00AE342B" w:rsidRDefault="00AE342B" w:rsidP="00F83840">
      <w:pPr>
        <w:pStyle w:val="Bullets"/>
        <w:numPr>
          <w:ilvl w:val="0"/>
          <w:numId w:val="9"/>
        </w:numPr>
        <w:spacing w:after="0" w:line="276" w:lineRule="auto"/>
      </w:pPr>
      <w:r>
        <w:t>alternative ways of meeting BEPS minimum standards on treaty abuse and dispute resolution; and</w:t>
      </w:r>
    </w:p>
    <w:p w:rsidR="00C40B61" w:rsidRDefault="00AE342B" w:rsidP="00F83840">
      <w:pPr>
        <w:pStyle w:val="Bullets"/>
        <w:numPr>
          <w:ilvl w:val="0"/>
          <w:numId w:val="9"/>
        </w:numPr>
        <w:spacing w:after="0" w:line="276" w:lineRule="auto"/>
      </w:pPr>
      <w:proofErr w:type="gramStart"/>
      <w:r>
        <w:t>whether</w:t>
      </w:r>
      <w:proofErr w:type="gramEnd"/>
      <w:r>
        <w:t xml:space="preserve"> they want to adopt the OECD-recommended provisions</w:t>
      </w:r>
      <w:r w:rsidRPr="008C25CB">
        <w:t xml:space="preserve"> </w:t>
      </w:r>
      <w:r>
        <w:t xml:space="preserve">for non-minimum standards.  </w:t>
      </w:r>
    </w:p>
    <w:p w:rsidR="00C40B61" w:rsidRDefault="00C40B61" w:rsidP="00C40B61">
      <w:pPr>
        <w:pStyle w:val="Bullets"/>
        <w:numPr>
          <w:ilvl w:val="0"/>
          <w:numId w:val="0"/>
        </w:numPr>
        <w:spacing w:after="0" w:line="276" w:lineRule="auto"/>
        <w:ind w:left="360"/>
      </w:pPr>
    </w:p>
    <w:p w:rsidR="00EB24CC" w:rsidRDefault="00AE342B" w:rsidP="007F0894">
      <w:pPr>
        <w:pStyle w:val="Numberparagraph"/>
        <w:ind w:left="426"/>
      </w:pPr>
      <w:r>
        <w:t>Within some of these provisions, there are alternative ways of addressing BEPS concerns and the ability for countries to enter a variety of reservations</w:t>
      </w:r>
      <w:r w:rsidR="00C40B61">
        <w:t>.</w:t>
      </w:r>
    </w:p>
    <w:p w:rsidR="00714751" w:rsidRDefault="00714751" w:rsidP="007E2640">
      <w:pPr>
        <w:tabs>
          <w:tab w:val="left" w:pos="567"/>
        </w:tabs>
        <w:jc w:val="both"/>
        <w:rPr>
          <w:b/>
          <w:bCs/>
          <w:szCs w:val="24"/>
          <w:lang w:eastAsia="en-AU"/>
        </w:rPr>
      </w:pPr>
    </w:p>
    <w:p w:rsidR="00714751" w:rsidRDefault="00011C05" w:rsidP="00714751">
      <w:pPr>
        <w:spacing w:line="276" w:lineRule="auto"/>
        <w:rPr>
          <w:rStyle w:val="Emphasis"/>
        </w:rPr>
      </w:pPr>
      <w:r>
        <w:rPr>
          <w:rStyle w:val="Emphasis"/>
        </w:rPr>
        <w:t>New Zealand’s</w:t>
      </w:r>
      <w:r w:rsidR="00DD5539">
        <w:rPr>
          <w:rStyle w:val="Emphasis"/>
        </w:rPr>
        <w:t xml:space="preserve"> proposed</w:t>
      </w:r>
      <w:r>
        <w:rPr>
          <w:rStyle w:val="Emphasis"/>
        </w:rPr>
        <w:t xml:space="preserve"> MLI positions</w:t>
      </w:r>
    </w:p>
    <w:p w:rsidR="00011C05" w:rsidRPr="007F0894" w:rsidRDefault="00011C05" w:rsidP="007F0894">
      <w:pPr>
        <w:pStyle w:val="Numberparagraph"/>
        <w:numPr>
          <w:ilvl w:val="0"/>
          <w:numId w:val="0"/>
        </w:numPr>
        <w:ind w:left="426"/>
        <w:rPr>
          <w:i/>
          <w:iCs/>
        </w:rPr>
      </w:pPr>
    </w:p>
    <w:p w:rsidR="009D1F59" w:rsidRDefault="00714751" w:rsidP="007F0894">
      <w:pPr>
        <w:pStyle w:val="Numberparagraph"/>
        <w:ind w:left="426"/>
      </w:pPr>
      <w:r w:rsidRPr="007F0894">
        <w:t xml:space="preserve">To make the best use of the </w:t>
      </w:r>
      <w:r w:rsidR="000256E1" w:rsidRPr="007F0894">
        <w:t>MLI</w:t>
      </w:r>
      <w:r w:rsidRPr="007F0894">
        <w:t>, New Zealand’s</w:t>
      </w:r>
      <w:r w:rsidR="000256E1" w:rsidRPr="007F0894">
        <w:t xml:space="preserve"> proposed</w:t>
      </w:r>
      <w:r w:rsidRPr="007F0894">
        <w:t xml:space="preserve"> strategy </w:t>
      </w:r>
      <w:r w:rsidR="000256E1" w:rsidRPr="007F0894">
        <w:t>is</w:t>
      </w:r>
      <w:r w:rsidRPr="007F0894">
        <w:t xml:space="preserve"> to include the majority of its DTAs within the scope of </w:t>
      </w:r>
      <w:r w:rsidR="000256E1" w:rsidRPr="007F0894">
        <w:t>the MLI</w:t>
      </w:r>
      <w:r w:rsidRPr="007F0894">
        <w:t xml:space="preserve"> and to adopt as many of the </w:t>
      </w:r>
      <w:r w:rsidR="00DD5539" w:rsidRPr="007F0894">
        <w:t>MLI</w:t>
      </w:r>
      <w:r w:rsidRPr="007F0894">
        <w:t xml:space="preserve"> provisions as possible</w:t>
      </w:r>
      <w:r w:rsidR="00DD5539" w:rsidRPr="007F0894">
        <w:t>, where they are in line with New Zealand’s overall treaty policy</w:t>
      </w:r>
      <w:r w:rsidRPr="007F0894">
        <w:t xml:space="preserve">. This </w:t>
      </w:r>
      <w:r w:rsidR="009D1F59" w:rsidRPr="007F0894">
        <w:t xml:space="preserve">will </w:t>
      </w:r>
      <w:r w:rsidRPr="007F0894">
        <w:t>give New Zealand the best chance of strengthening its DTAs with as many jurisdictions as possible</w:t>
      </w:r>
      <w:r w:rsidR="009D1F59">
        <w:t xml:space="preserve"> and will introduce consistency across New Zealand’s treaty network</w:t>
      </w:r>
      <w:r w:rsidRPr="00FA2BF5">
        <w:t>.</w:t>
      </w:r>
    </w:p>
    <w:p w:rsidR="00DD5539" w:rsidRDefault="00DD5539" w:rsidP="007F0894">
      <w:pPr>
        <w:pStyle w:val="Numberparagraph"/>
        <w:numPr>
          <w:ilvl w:val="0"/>
          <w:numId w:val="0"/>
        </w:numPr>
        <w:ind w:left="426"/>
      </w:pPr>
    </w:p>
    <w:p w:rsidR="00714751" w:rsidRDefault="00714751" w:rsidP="007F0894">
      <w:pPr>
        <w:pStyle w:val="Numberparagraph"/>
        <w:ind w:left="426"/>
      </w:pPr>
      <w:r>
        <w:t xml:space="preserve">Of New Zealand’s 40 in-force DTAs, </w:t>
      </w:r>
      <w:r w:rsidR="001B015B">
        <w:t>New Zealand has nominated</w:t>
      </w:r>
      <w:r w:rsidR="005631AC">
        <w:t xml:space="preserve"> </w:t>
      </w:r>
      <w:r w:rsidR="001B015B">
        <w:t xml:space="preserve">34 to </w:t>
      </w:r>
      <w:r w:rsidR="005631AC">
        <w:t>be covered by the MLI</w:t>
      </w:r>
      <w:r>
        <w:t xml:space="preserve">. Many of these DTAs were concluded in the 1970s and 1980s and do not reflect modern treaty standards, even before the work on BEPS was completed. The </w:t>
      </w:r>
      <w:r w:rsidR="003B1C26">
        <w:t>six</w:t>
      </w:r>
      <w:r>
        <w:t xml:space="preserve"> DTAs that have not been listed are with jurisdictions who will not be signing the </w:t>
      </w:r>
      <w:r w:rsidR="005631AC">
        <w:t>MLI</w:t>
      </w:r>
      <w:r>
        <w:t xml:space="preserve">. </w:t>
      </w:r>
      <w:r w:rsidR="007475AB">
        <w:t>To be modified by the MLI, both New Zealand and the other jurisdiction must elect for the MLI to apply to the DTA (if there is a match, then the DTA is a “covered tax agreement”). Based on current draft notifications, New Zealand is expected to have 2</w:t>
      </w:r>
      <w:r w:rsidR="008515BE">
        <w:t>8</w:t>
      </w:r>
      <w:r w:rsidR="007475AB">
        <w:t xml:space="preserve"> covered tax agreements. </w:t>
      </w:r>
      <w:r w:rsidR="007D4F6A">
        <w:t xml:space="preserve">See Annex C. </w:t>
      </w:r>
      <w:r w:rsidR="007475AB">
        <w:t>While this list is not final, it provides a fairly good indication of the likely coverage of the MLI.</w:t>
      </w:r>
      <w:r w:rsidR="001B015B">
        <w:t xml:space="preserve"> Final coverage will not be confirmed until each jurisdiction deposits its instrument of ratification </w:t>
      </w:r>
      <w:r w:rsidR="00464CC1">
        <w:t>with</w:t>
      </w:r>
      <w:r w:rsidR="001B015B">
        <w:t xml:space="preserve"> the OECD Depositary.  </w:t>
      </w:r>
    </w:p>
    <w:p w:rsidR="00714751" w:rsidRDefault="00714751" w:rsidP="007F0894">
      <w:pPr>
        <w:pStyle w:val="Numberparagraph"/>
        <w:numPr>
          <w:ilvl w:val="0"/>
          <w:numId w:val="0"/>
        </w:numPr>
        <w:ind w:left="426"/>
      </w:pPr>
    </w:p>
    <w:p w:rsidR="00714751" w:rsidRDefault="00DD5539" w:rsidP="007F0894">
      <w:pPr>
        <w:pStyle w:val="Numberparagraph"/>
        <w:ind w:left="426"/>
      </w:pPr>
      <w:r>
        <w:t>As noted in paragraph 1</w:t>
      </w:r>
      <w:r w:rsidR="00464CC1">
        <w:t>8</w:t>
      </w:r>
      <w:r w:rsidR="00714751">
        <w:t xml:space="preserve">, New Zealand’s </w:t>
      </w:r>
      <w:r>
        <w:t xml:space="preserve">proposed </w:t>
      </w:r>
      <w:r w:rsidR="00714751">
        <w:t xml:space="preserve">strategy </w:t>
      </w:r>
      <w:r>
        <w:t xml:space="preserve">is </w:t>
      </w:r>
      <w:r w:rsidR="00714751">
        <w:t xml:space="preserve">to adopt as many of the </w:t>
      </w:r>
      <w:r>
        <w:t>MLI</w:t>
      </w:r>
      <w:r w:rsidR="00714751">
        <w:t xml:space="preserve"> provisions as possible</w:t>
      </w:r>
      <w:r w:rsidR="00FB71E8">
        <w:t>.</w:t>
      </w:r>
      <w:r w:rsidR="00714751">
        <w:t xml:space="preserve"> </w:t>
      </w:r>
      <w:r w:rsidR="00FB71E8">
        <w:t>T</w:t>
      </w:r>
      <w:r w:rsidR="00714751">
        <w:t>his is because they are base protection measures that are in line with New Zealand’s existing treaty policy (which has a greater source state emphasis than the OECD Model</w:t>
      </w:r>
      <w:r w:rsidR="00116C72">
        <w:t xml:space="preserve"> Tax Convention on which th</w:t>
      </w:r>
      <w:r>
        <w:t>e New Zealand negotiating model is b</w:t>
      </w:r>
      <w:r w:rsidR="00116C72">
        <w:t>a</w:t>
      </w:r>
      <w:r>
        <w:t>sed</w:t>
      </w:r>
      <w:r w:rsidR="00714751">
        <w:t xml:space="preserve">). For example, New Zealand generally takes a broader approach in its DTAs than the current OECD Model Tax Convention in determining whether a permanent establishment exists. This means that the recommendations under Action 7 (preventing the artificial avoidance of permanent establishment status) of the </w:t>
      </w:r>
      <w:r w:rsidR="00FB71E8">
        <w:t>OECD/G20</w:t>
      </w:r>
      <w:r w:rsidR="00714751">
        <w:t xml:space="preserve"> BEPS Action Plan which are contained in Articles 12</w:t>
      </w:r>
      <w:r w:rsidR="00714751">
        <w:softHyphen/>
        <w:t xml:space="preserve"> to 15 of the </w:t>
      </w:r>
      <w:r w:rsidR="00116C72">
        <w:t>MLI</w:t>
      </w:r>
      <w:r w:rsidR="00714751">
        <w:t xml:space="preserve"> are not contrary to New Zealand’s general treaty policy and, in New Zealand’s view, represent an improvement to the </w:t>
      </w:r>
      <w:r w:rsidR="00116C72">
        <w:t xml:space="preserve">OECD </w:t>
      </w:r>
      <w:r w:rsidR="00714751">
        <w:t>Model Tax Convention.</w:t>
      </w:r>
    </w:p>
    <w:p w:rsidR="00C97E2A" w:rsidRDefault="00C97E2A" w:rsidP="00E85FE5">
      <w:pPr>
        <w:pStyle w:val="ListParagraph"/>
      </w:pPr>
    </w:p>
    <w:p w:rsidR="00F83840" w:rsidRDefault="00F83840" w:rsidP="00F83840">
      <w:pPr>
        <w:pStyle w:val="Numberparagraph"/>
        <w:numPr>
          <w:ilvl w:val="0"/>
          <w:numId w:val="0"/>
        </w:numPr>
        <w:shd w:val="clear" w:color="auto" w:fill="000000" w:themeFill="text1"/>
        <w:jc w:val="left"/>
      </w:pPr>
      <w:r w:rsidRPr="00F83840">
        <w:rPr>
          <w:shd w:val="clear" w:color="auto" w:fill="000000" w:themeFill="text1"/>
        </w:rPr>
        <w:t>Withheld under section 6(a) of the Official Information Act 1982</w:t>
      </w:r>
      <w:r>
        <w:rPr>
          <w:shd w:val="clear" w:color="auto" w:fill="000000" w:themeFill="text1"/>
        </w:rPr>
        <w:br/>
      </w:r>
      <w:r>
        <w:rPr>
          <w:shd w:val="clear" w:color="auto" w:fill="000000" w:themeFill="text1"/>
        </w:rPr>
        <w:br/>
      </w:r>
      <w:r>
        <w:rPr>
          <w:shd w:val="clear" w:color="auto" w:fill="000000" w:themeFill="text1"/>
        </w:rPr>
        <w:br/>
      </w:r>
    </w:p>
    <w:p w:rsidR="00F83840" w:rsidRDefault="00F83840" w:rsidP="00F83840">
      <w:pPr>
        <w:pStyle w:val="Numberparagraph"/>
        <w:numPr>
          <w:ilvl w:val="0"/>
          <w:numId w:val="0"/>
        </w:numPr>
        <w:jc w:val="left"/>
      </w:pPr>
    </w:p>
    <w:p w:rsidR="007876A5" w:rsidRDefault="00116C72" w:rsidP="00F83840">
      <w:pPr>
        <w:pStyle w:val="Numberparagraph"/>
        <w:numPr>
          <w:ilvl w:val="0"/>
          <w:numId w:val="12"/>
        </w:numPr>
        <w:ind w:left="426"/>
      </w:pPr>
      <w:r>
        <w:t xml:space="preserve">In addition to </w:t>
      </w:r>
      <w:r w:rsidR="009D1F59">
        <w:t>the proposed changes to the concept of a permanent establishment, it is proposed that New Zealand signs up to the provisions that relate to the following common problems identified with the OECD Model Tax Convention:</w:t>
      </w:r>
    </w:p>
    <w:p w:rsidR="00EC6072" w:rsidRDefault="00EC6072" w:rsidP="00EC6072">
      <w:pPr>
        <w:pStyle w:val="ListParagraph"/>
      </w:pPr>
    </w:p>
    <w:p w:rsidR="007876A5" w:rsidRDefault="007876A5" w:rsidP="007F0894">
      <w:pPr>
        <w:pStyle w:val="Bullets"/>
        <w:tabs>
          <w:tab w:val="clear" w:pos="-284"/>
          <w:tab w:val="num" w:pos="142"/>
        </w:tabs>
        <w:ind w:left="993"/>
      </w:pPr>
      <w:r>
        <w:t>Fiscally transparent entities</w:t>
      </w:r>
      <w:r w:rsidRPr="00EB51B1">
        <w:t xml:space="preserve"> (like trusts or partnerships) create arbitrage opportunities because they are treated differently for tax purposes by different countries</w:t>
      </w:r>
      <w:r>
        <w:t>. T</w:t>
      </w:r>
      <w:r w:rsidRPr="00EB51B1">
        <w:t xml:space="preserve">he provision </w:t>
      </w:r>
      <w:r>
        <w:t xml:space="preserve">in Article 3 </w:t>
      </w:r>
      <w:r w:rsidRPr="00EB51B1">
        <w:t>clarifies that treaty benefits will only be allowed to the extent to which the item of income is taxed in the state in which the entity is resident.</w:t>
      </w:r>
    </w:p>
    <w:p w:rsidR="00EC6072" w:rsidRDefault="007876A5" w:rsidP="007F0894">
      <w:pPr>
        <w:pStyle w:val="Bullets"/>
        <w:tabs>
          <w:tab w:val="clear" w:pos="-284"/>
        </w:tabs>
        <w:ind w:left="993"/>
      </w:pPr>
      <w:r>
        <w:t>Dual resident entities</w:t>
      </w:r>
      <w:r w:rsidRPr="009823FF">
        <w:t xml:space="preserve"> can be used to take advantage of arbitrage opportunities</w:t>
      </w:r>
      <w:r>
        <w:t xml:space="preserve"> by manipulating the current “place of effective management” test</w:t>
      </w:r>
      <w:r w:rsidRPr="009823FF">
        <w:t>. The proposed provision</w:t>
      </w:r>
      <w:r>
        <w:t xml:space="preserve"> in Article 4</w:t>
      </w:r>
      <w:r w:rsidRPr="009823FF">
        <w:t xml:space="preserve"> will require </w:t>
      </w:r>
      <w:r>
        <w:t>competent authoritie</w:t>
      </w:r>
      <w:r w:rsidRPr="009823FF">
        <w:t>s to a</w:t>
      </w:r>
      <w:r>
        <w:t>gree the residence status of a dual resident entity.</w:t>
      </w:r>
      <w:r w:rsidR="00EC6072">
        <w:t xml:space="preserve"> If there is no agreement, then treaty benefits will be denied, or only granted to the extent to which the competent authorities can agree.</w:t>
      </w:r>
    </w:p>
    <w:p w:rsidR="007876A5" w:rsidRPr="002C4C09" w:rsidRDefault="007876A5" w:rsidP="007F0894">
      <w:pPr>
        <w:pStyle w:val="Bullets"/>
        <w:ind w:left="993"/>
        <w:rPr>
          <w:sz w:val="20"/>
        </w:rPr>
      </w:pPr>
      <w:r>
        <w:t xml:space="preserve">In the OECD Model Tax Convention and in many of New Zealand’s modern treaties, a lower withholding </w:t>
      </w:r>
      <w:r w:rsidR="009D1F59">
        <w:t xml:space="preserve">tax </w:t>
      </w:r>
      <w:r>
        <w:t>rate is available where the shareholder owns more than a certain proportion of the company’s shares. The M</w:t>
      </w:r>
      <w:r w:rsidR="00444510">
        <w:t>LI</w:t>
      </w:r>
      <w:r>
        <w:t xml:space="preserve"> provision in Article 8 requires shares to be held for a minimum of 365 days for the shareholder to be entitled to reduced withholding tax rates on dividends. This prevents shareholders buying shares and holding them temporarily in order to access lower withholding rates.</w:t>
      </w:r>
    </w:p>
    <w:p w:rsidR="007876A5" w:rsidRPr="004F45FB" w:rsidRDefault="007876A5" w:rsidP="007F0894">
      <w:pPr>
        <w:pStyle w:val="Bullets"/>
        <w:ind w:left="993"/>
        <w:rPr>
          <w:sz w:val="20"/>
        </w:rPr>
      </w:pPr>
      <w:r>
        <w:t xml:space="preserve">Investors can hold land through companies and dispose of the shares in the company to avoid paying tax on the disposal of that land. Many treaties contain a “land-rich company rule” which allows the source jurisdiction to tax income derived from land when the majority of a company’s assets consist of land. </w:t>
      </w:r>
      <w:r w:rsidRPr="002C4C09">
        <w:t xml:space="preserve">To prevent artificial and temporary dilution of the amount of land held by </w:t>
      </w:r>
      <w:r>
        <w:t xml:space="preserve">a company just before sale, the </w:t>
      </w:r>
      <w:r w:rsidRPr="002C4C09">
        <w:t>provision</w:t>
      </w:r>
      <w:r>
        <w:t xml:space="preserve"> in Article 9</w:t>
      </w:r>
      <w:r w:rsidRPr="002C4C09">
        <w:t xml:space="preserve"> requires the threshold for the amount of land ownership which triggers the rule to be measured on every day in the 365 day period leading</w:t>
      </w:r>
      <w:r>
        <w:t xml:space="preserve"> up to the sale of the shares and extends the rule to interests in other entities such as partnerships and trusts.</w:t>
      </w:r>
    </w:p>
    <w:p w:rsidR="007876A5" w:rsidRPr="004002B4" w:rsidRDefault="007876A5" w:rsidP="007F0894">
      <w:pPr>
        <w:pStyle w:val="Bullets"/>
        <w:ind w:left="993"/>
        <w:rPr>
          <w:sz w:val="20"/>
        </w:rPr>
      </w:pPr>
      <w:r>
        <w:t xml:space="preserve">Permanent establishments can be established in third states to exploit low tax rates and branch exemptions. Article 10 of the </w:t>
      </w:r>
      <w:r w:rsidR="00444510">
        <w:t>MLI</w:t>
      </w:r>
      <w:r>
        <w:t xml:space="preserve"> introduces a provision that denies treaty benefits in the case of income derived by a permanent establishment of one of the parties to the DTA, where that permanent establishment is situated in a low tax third state.</w:t>
      </w:r>
    </w:p>
    <w:p w:rsidR="007876A5" w:rsidRPr="00F85DA6" w:rsidRDefault="007876A5" w:rsidP="007F0894">
      <w:pPr>
        <w:pStyle w:val="Bullets"/>
        <w:ind w:left="993"/>
        <w:rPr>
          <w:sz w:val="20"/>
        </w:rPr>
      </w:pPr>
      <w:r>
        <w:t>Article 11 introduces a provision that preserves a jurisdiction’s right to tax its own residents. For example, this provision would prevent a New Zealand resident who is engaged in a tax avoidance arrangement from claiming that a DTA prevents New Zealand from using its domestic general anti-a</w:t>
      </w:r>
      <w:r w:rsidR="00444510">
        <w:t>voidance</w:t>
      </w:r>
      <w:r>
        <w:t xml:space="preserve"> rule to impose tax.</w:t>
      </w:r>
    </w:p>
    <w:p w:rsidR="007876A5" w:rsidRDefault="007876A5" w:rsidP="007876A5">
      <w:pPr>
        <w:pStyle w:val="Chapter2"/>
        <w:numPr>
          <w:ilvl w:val="0"/>
          <w:numId w:val="0"/>
        </w:numPr>
        <w:spacing w:line="276" w:lineRule="auto"/>
      </w:pPr>
    </w:p>
    <w:p w:rsidR="007876A5" w:rsidRDefault="007876A5" w:rsidP="007F0894">
      <w:pPr>
        <w:pStyle w:val="Numberparagraph"/>
        <w:ind w:left="426"/>
      </w:pPr>
      <w:r>
        <w:t xml:space="preserve">In addition to addressing these specific BEPS concerns, Article 6 </w:t>
      </w:r>
      <w:r w:rsidR="00444510">
        <w:t xml:space="preserve">of the MLI </w:t>
      </w:r>
      <w:r>
        <w:t>proposes to amend the preamble to DTAs to confirm that they are not intended to be used to generate double non-taxation</w:t>
      </w:r>
      <w:r w:rsidR="00EC6072">
        <w:t>,</w:t>
      </w:r>
      <w:r>
        <w:t xml:space="preserve"> and under Article 7, New Zealand has selected the option of adding a principal purpose test to its DTAs. The principal purpose test is a general anti-abuse rule that applies to the whole DTA. Both Articles 6 and 7 form part of the OECD minimum standard.</w:t>
      </w:r>
    </w:p>
    <w:p w:rsidR="007876A5" w:rsidRDefault="007876A5" w:rsidP="007F0894">
      <w:pPr>
        <w:pStyle w:val="Numberparagraph"/>
        <w:numPr>
          <w:ilvl w:val="0"/>
          <w:numId w:val="0"/>
        </w:numPr>
        <w:ind w:left="426"/>
      </w:pPr>
    </w:p>
    <w:p w:rsidR="00444510" w:rsidRDefault="007876A5" w:rsidP="007F0894">
      <w:pPr>
        <w:pStyle w:val="Numberparagraph"/>
        <w:ind w:left="426"/>
      </w:pPr>
      <w:r>
        <w:t xml:space="preserve">In addition to these base protection measures, New Zealand is signing up to taxpayer friendly measures relating to the mutual agreement procedure </w:t>
      </w:r>
      <w:r w:rsidR="00EC6072">
        <w:t xml:space="preserve">(“MAP”) </w:t>
      </w:r>
      <w:r>
        <w:t>and the availability of arbitration a</w:t>
      </w:r>
      <w:r w:rsidR="00444510">
        <w:t>s a form of dispute</w:t>
      </w:r>
      <w:r>
        <w:t xml:space="preserve"> resolution</w:t>
      </w:r>
      <w:r w:rsidR="00EC6072">
        <w:t>. These measures are</w:t>
      </w:r>
      <w:r>
        <w:t xml:space="preserve"> a result of the work on Action 14 of the G20/OECD BEPS Action Plan relating to </w:t>
      </w:r>
      <w:r w:rsidR="00464CC1">
        <w:t>the improvement of</w:t>
      </w:r>
      <w:r>
        <w:t xml:space="preserve"> mechanisms for effective dispute resolution</w:t>
      </w:r>
      <w:r w:rsidR="00EC6072">
        <w:t>. The key provisions are as follows</w:t>
      </w:r>
      <w:r w:rsidR="00444510">
        <w:t>:</w:t>
      </w:r>
    </w:p>
    <w:p w:rsidR="00EC6072" w:rsidRDefault="00EC6072" w:rsidP="00EC6072">
      <w:pPr>
        <w:pStyle w:val="ListParagraph"/>
      </w:pPr>
    </w:p>
    <w:p w:rsidR="00444510" w:rsidRDefault="007876A5" w:rsidP="007F0894">
      <w:pPr>
        <w:pStyle w:val="Bullets"/>
        <w:tabs>
          <w:tab w:val="clear" w:pos="-284"/>
          <w:tab w:val="num" w:pos="142"/>
        </w:tabs>
        <w:ind w:left="993"/>
      </w:pPr>
      <w:r>
        <w:t xml:space="preserve">Article 16 of the </w:t>
      </w:r>
      <w:r w:rsidR="00444510">
        <w:t>MLI</w:t>
      </w:r>
      <w:r>
        <w:t xml:space="preserve"> introduces a provision allowing taxpayers to request </w:t>
      </w:r>
      <w:r w:rsidR="00EC6072">
        <w:t>MAP</w:t>
      </w:r>
      <w:r>
        <w:t xml:space="preserve"> where they believe taxation is not in accordance with the treaty. This is a new OECD minimum standard. While the majority of New Zealand’s DTAs contain MAP provisions, the </w:t>
      </w:r>
      <w:r w:rsidR="00444510">
        <w:t>MLI</w:t>
      </w:r>
      <w:r>
        <w:t xml:space="preserve"> will amend these provisions to allow taxpayers to approach the competent authority of either jurisdiction (currently they only permit a case to be presented to the competent authority of the taxpayer’s coun</w:t>
      </w:r>
      <w:r w:rsidR="00444510">
        <w:t>try of residence).</w:t>
      </w:r>
    </w:p>
    <w:p w:rsidR="00444510" w:rsidRDefault="007876A5" w:rsidP="007F0894">
      <w:pPr>
        <w:pStyle w:val="Bullets"/>
        <w:ind w:left="993"/>
      </w:pPr>
      <w:r>
        <w:t xml:space="preserve">Article 16 </w:t>
      </w:r>
      <w:r w:rsidR="00444510">
        <w:t xml:space="preserve">also </w:t>
      </w:r>
      <w:r>
        <w:t>creates a new minimum standard regarding time limits for bringing a case to MAP and time limits for implementing a solution.</w:t>
      </w:r>
    </w:p>
    <w:p w:rsidR="00444510" w:rsidRDefault="007876A5" w:rsidP="007F0894">
      <w:pPr>
        <w:pStyle w:val="Bullets"/>
        <w:ind w:left="993"/>
      </w:pPr>
      <w:r>
        <w:t>Article 17</w:t>
      </w:r>
      <w:r w:rsidRPr="00CE6A6E">
        <w:t xml:space="preserve"> </w:t>
      </w:r>
      <w:r>
        <w:t xml:space="preserve">requires </w:t>
      </w:r>
      <w:r w:rsidRPr="00CE6A6E">
        <w:t>contracting states to make appropriate corresponding adjustments in transfer pricing cases.</w:t>
      </w:r>
      <w:r>
        <w:t xml:space="preserve"> This provision is already found in most of New Zealand’s DTAs except for New Zealand’s oldest treaties.</w:t>
      </w:r>
    </w:p>
    <w:p w:rsidR="007876A5" w:rsidRPr="00444510" w:rsidRDefault="007876A5" w:rsidP="007F0894">
      <w:pPr>
        <w:pStyle w:val="Bullets"/>
        <w:ind w:left="993"/>
      </w:pPr>
      <w:r w:rsidRPr="00444510">
        <w:t xml:space="preserve">New Zealand has also opted to apply </w:t>
      </w:r>
      <w:r w:rsidR="00D96506">
        <w:t>P</w:t>
      </w:r>
      <w:r w:rsidRPr="00444510">
        <w:t xml:space="preserve">art VI of the </w:t>
      </w:r>
      <w:r w:rsidR="00444510" w:rsidRPr="00444510">
        <w:t>MLI</w:t>
      </w:r>
      <w:r w:rsidRPr="00444510">
        <w:t>, which will introduce arbitration as a means of dispute resolution. If a solution cannot be reach under MAP, taxpayers have the ability to request that unresolved issues can be taken to arbitration. New Zealand has already agreed to arbitration in its tr</w:t>
      </w:r>
      <w:r w:rsidR="00444510" w:rsidRPr="00444510">
        <w:t>eaties with Australia and Japan</w:t>
      </w:r>
      <w:r w:rsidRPr="00444510">
        <w:t>. New Zealand’s experience is that the arbitration facility is very rarely used, but it acts as an incentive for the competent authorities of two jurisdictions to come to an agreement within the required time period for MAP.</w:t>
      </w:r>
    </w:p>
    <w:p w:rsidR="00011C05" w:rsidRDefault="00011C05" w:rsidP="00714751">
      <w:pPr>
        <w:spacing w:line="276" w:lineRule="auto"/>
      </w:pPr>
    </w:p>
    <w:p w:rsidR="00011C05" w:rsidRDefault="00011C05" w:rsidP="00011C05">
      <w:pPr>
        <w:pStyle w:val="Numberparagraph"/>
        <w:numPr>
          <w:ilvl w:val="0"/>
          <w:numId w:val="0"/>
        </w:numPr>
        <w:rPr>
          <w:rStyle w:val="Emphasis"/>
        </w:rPr>
      </w:pPr>
      <w:r>
        <w:rPr>
          <w:rStyle w:val="Emphasis"/>
        </w:rPr>
        <w:t>Implementation issues and consultation</w:t>
      </w:r>
    </w:p>
    <w:p w:rsidR="00BD28E0" w:rsidRDefault="00BD28E0" w:rsidP="00011C05">
      <w:pPr>
        <w:pStyle w:val="Numberparagraph"/>
        <w:numPr>
          <w:ilvl w:val="0"/>
          <w:numId w:val="0"/>
        </w:numPr>
        <w:rPr>
          <w:rStyle w:val="Emphasis"/>
        </w:rPr>
      </w:pPr>
    </w:p>
    <w:p w:rsidR="00BD28E0" w:rsidRDefault="00BD28E0" w:rsidP="007F0894">
      <w:pPr>
        <w:pStyle w:val="Numberparagraph"/>
        <w:ind w:left="426"/>
      </w:pPr>
      <w:r>
        <w:t>The main difficulty</w:t>
      </w:r>
      <w:r w:rsidR="00366B36">
        <w:t xml:space="preserve"> in implementing the provisions of MLI compared with amending protocols </w:t>
      </w:r>
      <w:r>
        <w:t xml:space="preserve">stems from the fact that the provisions in the </w:t>
      </w:r>
      <w:r w:rsidR="00366B36">
        <w:t>MLI</w:t>
      </w:r>
      <w:r>
        <w:t xml:space="preserve"> have been drafted more broadly than they otherwise would for an amending protocol to take account of the fact that the </w:t>
      </w:r>
      <w:r w:rsidR="00366B36">
        <w:t>MLI</w:t>
      </w:r>
      <w:r>
        <w:t xml:space="preserve"> must be able to apply to not one DTA, but several thousand. </w:t>
      </w:r>
    </w:p>
    <w:p w:rsidR="00BD28E0" w:rsidRDefault="00BD28E0" w:rsidP="007F0894">
      <w:pPr>
        <w:pStyle w:val="Numberparagraph"/>
        <w:numPr>
          <w:ilvl w:val="0"/>
          <w:numId w:val="0"/>
        </w:numPr>
        <w:ind w:left="426"/>
      </w:pPr>
    </w:p>
    <w:p w:rsidR="007C0617" w:rsidRDefault="00BD28E0" w:rsidP="007F0894">
      <w:pPr>
        <w:pStyle w:val="Numberparagraph"/>
        <w:ind w:left="426"/>
      </w:pPr>
      <w:r>
        <w:t xml:space="preserve">This means that there can be some ambiguity in how the </w:t>
      </w:r>
      <w:r w:rsidR="00366B36">
        <w:t>MLI</w:t>
      </w:r>
      <w:r>
        <w:t xml:space="preserve"> applies to a particular DTA. This ambiguity is mitigated in many cases as a </w:t>
      </w:r>
      <w:r w:rsidR="00366B36">
        <w:t>MLI</w:t>
      </w:r>
      <w:r>
        <w:t xml:space="preserve"> provision will only replace the corresponding existing provision if both treaty partners notify the same provision. However, compliance costs may still be incurred as taxpayers will need to consider the DTA and </w:t>
      </w:r>
      <w:r w:rsidR="007C0617">
        <w:t>MLI</w:t>
      </w:r>
      <w:r>
        <w:t xml:space="preserve"> alongside both jurisdictions’ notifications and reservations. </w:t>
      </w:r>
    </w:p>
    <w:p w:rsidR="007C0617" w:rsidRDefault="007C0617" w:rsidP="007C0617">
      <w:pPr>
        <w:pStyle w:val="Numberparagraph"/>
        <w:numPr>
          <w:ilvl w:val="0"/>
          <w:numId w:val="0"/>
        </w:numPr>
      </w:pPr>
    </w:p>
    <w:p w:rsidR="007C0617" w:rsidRDefault="007C0617" w:rsidP="007F0894">
      <w:pPr>
        <w:pStyle w:val="Numberparagraph"/>
        <w:ind w:left="426"/>
      </w:pPr>
      <w:bookmarkStart w:id="0" w:name="_Ref479590829"/>
      <w:r>
        <w:t xml:space="preserve">While officials generally do not consult on the content of tax treaties, due to the unusual nature of the MLI, public feedback was sought on potential implementation issues related to the Multilateral Instrument. An officials’ issues paper titled </w:t>
      </w:r>
      <w:r w:rsidRPr="00E7460A">
        <w:rPr>
          <w:i/>
        </w:rPr>
        <w:t>New Zealand’s implementation of the multilateral convention to implement tax treaty related measures to prevent BEPS</w:t>
      </w:r>
      <w:r>
        <w:t xml:space="preserve"> was released on 3 March 2017. Submissions closed on 7 April 2017 and </w:t>
      </w:r>
      <w:r w:rsidR="00A84FBA">
        <w:t>5</w:t>
      </w:r>
      <w:r>
        <w:t xml:space="preserve"> were received</w:t>
      </w:r>
      <w:r w:rsidR="00EC6072">
        <w:t xml:space="preserve"> (from </w:t>
      </w:r>
      <w:proofErr w:type="spellStart"/>
      <w:r w:rsidR="00EC6072">
        <w:t>EY</w:t>
      </w:r>
      <w:proofErr w:type="spellEnd"/>
      <w:r w:rsidR="00EC6072">
        <w:t xml:space="preserve">, </w:t>
      </w:r>
      <w:r w:rsidR="00A84FBA">
        <w:t xml:space="preserve">KPMG, </w:t>
      </w:r>
      <w:r w:rsidR="00EC6072">
        <w:t>PwC, Corporate Taxpayers Group (“</w:t>
      </w:r>
      <w:proofErr w:type="spellStart"/>
      <w:r w:rsidR="00EC6072">
        <w:t>CTG</w:t>
      </w:r>
      <w:proofErr w:type="spellEnd"/>
      <w:r w:rsidR="00EC6072">
        <w:t xml:space="preserve">”) and Chartered Accountants Australia and New Zealand (“CA </w:t>
      </w:r>
      <w:proofErr w:type="spellStart"/>
      <w:r w:rsidR="00EC6072">
        <w:t>ANZ</w:t>
      </w:r>
      <w:proofErr w:type="spellEnd"/>
      <w:r w:rsidR="00EC6072">
        <w:t>”))</w:t>
      </w:r>
      <w:r>
        <w:t xml:space="preserve">. Two stakeholder workshops were held on 27 and 28 March 2017 with </w:t>
      </w:r>
      <w:proofErr w:type="spellStart"/>
      <w:r w:rsidR="00EC6072">
        <w:t>CTG</w:t>
      </w:r>
      <w:proofErr w:type="spellEnd"/>
      <w:r w:rsidR="00EC6072">
        <w:t xml:space="preserve"> and CA </w:t>
      </w:r>
      <w:proofErr w:type="spellStart"/>
      <w:r w:rsidR="00EC6072">
        <w:t>ANZ</w:t>
      </w:r>
      <w:proofErr w:type="spellEnd"/>
      <w:r>
        <w:t xml:space="preserve"> to enable officials to better understand practitioners’ concerns.</w:t>
      </w:r>
      <w:bookmarkEnd w:id="0"/>
    </w:p>
    <w:p w:rsidR="00453F9B" w:rsidRDefault="00453F9B" w:rsidP="00453F9B">
      <w:pPr>
        <w:pStyle w:val="ListParagraph"/>
      </w:pPr>
    </w:p>
    <w:p w:rsidR="00453F9B" w:rsidRDefault="00253142" w:rsidP="007F0894">
      <w:pPr>
        <w:pStyle w:val="Numberparagraph"/>
        <w:ind w:left="426"/>
      </w:pPr>
      <w:r>
        <w:t xml:space="preserve">Two of the submissions supported the </w:t>
      </w:r>
      <w:r w:rsidR="00453F9B">
        <w:t>adoption of the MLI</w:t>
      </w:r>
      <w:r>
        <w:t xml:space="preserve"> as the most effective way to implement the treaty related BEPS recommendations</w:t>
      </w:r>
      <w:r w:rsidR="00453F9B">
        <w:t>.</w:t>
      </w:r>
      <w:r>
        <w:t xml:space="preserve"> </w:t>
      </w:r>
      <w:r w:rsidR="005738E2">
        <w:t xml:space="preserve">One submission acknowledged that the </w:t>
      </w:r>
      <w:r w:rsidR="005738E2" w:rsidRPr="00F5252A">
        <w:t>New Zealand Government has the</w:t>
      </w:r>
      <w:r w:rsidR="005738E2">
        <w:t xml:space="preserve"> </w:t>
      </w:r>
      <w:r w:rsidR="005738E2" w:rsidRPr="00F5252A">
        <w:t>constitutional ability to decide</w:t>
      </w:r>
      <w:r w:rsidR="005738E2">
        <w:t xml:space="preserve"> </w:t>
      </w:r>
      <w:r w:rsidR="005738E2" w:rsidRPr="00F5252A">
        <w:t>New Zealand’s tax treaty position</w:t>
      </w:r>
      <w:r w:rsidR="005738E2">
        <w:t xml:space="preserve"> and</w:t>
      </w:r>
      <w:r w:rsidR="005738E2" w:rsidRPr="00F5252A">
        <w:t xml:space="preserve"> </w:t>
      </w:r>
      <w:r w:rsidR="005738E2">
        <w:t>i</w:t>
      </w:r>
      <w:r w:rsidR="005738E2" w:rsidRPr="00F5252A">
        <w:t>t therefore makes sense</w:t>
      </w:r>
      <w:r w:rsidR="005738E2">
        <w:t xml:space="preserve"> to achieve this in the shortest time at the least cost through the MLI. </w:t>
      </w:r>
      <w:r>
        <w:t>One submission acknowledged that participating in OECD and G20 initiatives to target BEPS is a key focus for the government, while not explicitly supporting the adoption. The final submission did not express an overall view on adoption, but submitted that New Zealand should not adopt all of the optional provisions.</w:t>
      </w:r>
    </w:p>
    <w:p w:rsidR="007C0617" w:rsidRDefault="007C0617" w:rsidP="007C0617">
      <w:pPr>
        <w:pStyle w:val="Numberparagraph"/>
        <w:numPr>
          <w:ilvl w:val="0"/>
          <w:numId w:val="0"/>
        </w:numPr>
      </w:pPr>
    </w:p>
    <w:p w:rsidR="00264E9A" w:rsidRDefault="007C0617" w:rsidP="007F0894">
      <w:pPr>
        <w:pStyle w:val="Numberparagraph"/>
        <w:ind w:left="426"/>
      </w:pPr>
      <w:bookmarkStart w:id="1" w:name="_Ref479590831"/>
      <w:r w:rsidRPr="00253142">
        <w:t xml:space="preserve">The main </w:t>
      </w:r>
      <w:r w:rsidR="00544FDA">
        <w:t>issues</w:t>
      </w:r>
      <w:r w:rsidRPr="00253142">
        <w:t xml:space="preserve"> raised in submissions</w:t>
      </w:r>
      <w:r w:rsidR="00264E9A" w:rsidRPr="00253142">
        <w:t xml:space="preserve"> relate to</w:t>
      </w:r>
      <w:r w:rsidR="00544FDA">
        <w:t>:</w:t>
      </w:r>
      <w:bookmarkEnd w:id="1"/>
      <w:r w:rsidRPr="00253142">
        <w:t xml:space="preserve"> </w:t>
      </w:r>
    </w:p>
    <w:p w:rsidR="00253142" w:rsidRDefault="00253142" w:rsidP="00253142">
      <w:pPr>
        <w:pStyle w:val="ListParagraph"/>
      </w:pPr>
    </w:p>
    <w:p w:rsidR="00544FDA" w:rsidRPr="00F05665" w:rsidRDefault="00544FDA" w:rsidP="00F83840">
      <w:pPr>
        <w:pStyle w:val="Numberparagraph"/>
        <w:numPr>
          <w:ilvl w:val="1"/>
          <w:numId w:val="1"/>
        </w:numPr>
      </w:pPr>
      <w:proofErr w:type="gramStart"/>
      <w:r w:rsidRPr="00F05665">
        <w:rPr>
          <w:b/>
        </w:rPr>
        <w:t>s</w:t>
      </w:r>
      <w:r w:rsidR="00FF4E6A" w:rsidRPr="00F05665">
        <w:rPr>
          <w:b/>
        </w:rPr>
        <w:t>ubstantive</w:t>
      </w:r>
      <w:proofErr w:type="gramEnd"/>
      <w:r w:rsidR="00FF4E6A" w:rsidRPr="00F05665">
        <w:rPr>
          <w:b/>
        </w:rPr>
        <w:t xml:space="preserve"> positions taken by New Zealand</w:t>
      </w:r>
      <w:r w:rsidR="00FF4E6A" w:rsidRPr="00F05665">
        <w:t xml:space="preserve">. </w:t>
      </w:r>
      <w:r w:rsidR="00587CE5" w:rsidRPr="00F05665">
        <w:t>Although consultation was intended to focus on implementation issues</w:t>
      </w:r>
      <w:r w:rsidR="00A32ABA" w:rsidRPr="00F05665">
        <w:t>,</w:t>
      </w:r>
      <w:r w:rsidR="00587CE5" w:rsidRPr="00F05665">
        <w:t xml:space="preserve"> submitters did comment on the substance of the new provisions in the MLI. Most submitters were generally supportive of </w:t>
      </w:r>
      <w:r w:rsidR="0017037D" w:rsidRPr="00F05665">
        <w:t xml:space="preserve">New Zealand’s adoption of the MLI and a number supported </w:t>
      </w:r>
      <w:r w:rsidR="00587CE5" w:rsidRPr="00F05665">
        <w:t xml:space="preserve">the proposals to </w:t>
      </w:r>
      <w:r w:rsidR="00A32ABA" w:rsidRPr="00F05665">
        <w:t>take up</w:t>
      </w:r>
      <w:r w:rsidR="00587CE5" w:rsidRPr="00F05665">
        <w:t xml:space="preserve"> most of the MLI provisions as an efficient way to amend our treaty network</w:t>
      </w:r>
      <w:r w:rsidR="00732C16" w:rsidRPr="00F05665">
        <w:t>, but</w:t>
      </w:r>
      <w:r w:rsidR="00587CE5" w:rsidRPr="00F05665">
        <w:t> </w:t>
      </w:r>
      <w:r w:rsidR="00732C16" w:rsidRPr="00F05665">
        <w:t>some submitters raised concerns about specific provisions. One point of contention among submitters was the proposal to adopt Article 4 of the MLI, relating to dual-resident entities (refer paragraph 2</w:t>
      </w:r>
      <w:r w:rsidR="00D75318">
        <w:t>2</w:t>
      </w:r>
      <w:r w:rsidR="00732C16" w:rsidRPr="00F05665">
        <w:t xml:space="preserve"> above).</w:t>
      </w:r>
      <w:r w:rsidR="00730091" w:rsidRPr="00F05665">
        <w:t xml:space="preserve"> However, this new rule is being adopted by many countries as a means of curbing certain forms of treaty abuse.</w:t>
      </w:r>
      <w:r w:rsidR="00587CE5" w:rsidRPr="00F05665">
        <w:t xml:space="preserve"> </w:t>
      </w:r>
      <w:r w:rsidR="0017037D" w:rsidRPr="00F05665">
        <w:t xml:space="preserve">It is also consistent with the position New Zealand has taken in a number of bilateral treaties. Officials are exploring ways to reduce compliance costs associated with this provision. </w:t>
      </w:r>
      <w:r w:rsidR="00730091" w:rsidRPr="00F05665">
        <w:t>Another concern related to</w:t>
      </w:r>
      <w:r w:rsidR="00587CE5" w:rsidRPr="00F05665">
        <w:t xml:space="preserve"> one aspect of the new </w:t>
      </w:r>
      <w:r w:rsidR="00730091" w:rsidRPr="00F05665">
        <w:t>permanent establishment</w:t>
      </w:r>
      <w:r w:rsidR="00587CE5" w:rsidRPr="00F05665">
        <w:t xml:space="preserve"> provisions which might lead to more taxation of New Zealanders operating offshore. However, </w:t>
      </w:r>
      <w:r w:rsidR="00191817" w:rsidRPr="00F05665">
        <w:t xml:space="preserve">New Zealand’s </w:t>
      </w:r>
      <w:r w:rsidR="00587CE5" w:rsidRPr="00F05665">
        <w:t xml:space="preserve">adoption of this provision </w:t>
      </w:r>
      <w:r w:rsidR="00191817" w:rsidRPr="00F05665">
        <w:t>would be</w:t>
      </w:r>
      <w:r w:rsidR="00587CE5" w:rsidRPr="00F05665">
        <w:t xml:space="preserve"> consistent with</w:t>
      </w:r>
      <w:r w:rsidR="00730091" w:rsidRPr="00F05665">
        <w:t xml:space="preserve"> both</w:t>
      </w:r>
      <w:r w:rsidR="00587CE5" w:rsidRPr="00F05665">
        <w:t xml:space="preserve"> </w:t>
      </w:r>
      <w:r w:rsidR="00730091" w:rsidRPr="00F05665">
        <w:t>the</w:t>
      </w:r>
      <w:r w:rsidR="00587CE5" w:rsidRPr="00F05665">
        <w:t xml:space="preserve"> proposals </w:t>
      </w:r>
      <w:r w:rsidR="00730091" w:rsidRPr="00F05665">
        <w:t xml:space="preserve">contained </w:t>
      </w:r>
      <w:r w:rsidR="00587CE5" w:rsidRPr="00F05665">
        <w:t>in the</w:t>
      </w:r>
      <w:r w:rsidR="00730091" w:rsidRPr="00F05665">
        <w:t xml:space="preserve"> recent Government</w:t>
      </w:r>
      <w:r w:rsidR="00587CE5" w:rsidRPr="00F05665">
        <w:t xml:space="preserve"> discussion document </w:t>
      </w:r>
      <w:r w:rsidR="00730091" w:rsidRPr="00F05665">
        <w:t xml:space="preserve">titled </w:t>
      </w:r>
      <w:r w:rsidR="00730091" w:rsidRPr="00F05665">
        <w:rPr>
          <w:i/>
        </w:rPr>
        <w:t>BEPS – Transfer pricing and permanent establishment avoidance</w:t>
      </w:r>
      <w:r w:rsidR="00587CE5" w:rsidRPr="00F05665">
        <w:t xml:space="preserve"> and the long-term direction of New Zealand’s </w:t>
      </w:r>
      <w:r w:rsidR="00191817" w:rsidRPr="00F05665">
        <w:t xml:space="preserve">tax </w:t>
      </w:r>
      <w:r w:rsidR="00587CE5" w:rsidRPr="00F05665">
        <w:t>treaty policy.</w:t>
      </w:r>
    </w:p>
    <w:p w:rsidR="00544FDA" w:rsidRDefault="00544FDA" w:rsidP="00544FDA">
      <w:pPr>
        <w:pStyle w:val="Numberparagraph"/>
        <w:numPr>
          <w:ilvl w:val="0"/>
          <w:numId w:val="0"/>
        </w:numPr>
        <w:ind w:left="1440"/>
      </w:pPr>
    </w:p>
    <w:p w:rsidR="00544FDA" w:rsidRPr="00544FDA" w:rsidRDefault="00544FDA" w:rsidP="00F83840">
      <w:pPr>
        <w:pStyle w:val="Numberparagraph"/>
        <w:numPr>
          <w:ilvl w:val="1"/>
          <w:numId w:val="1"/>
        </w:numPr>
      </w:pPr>
      <w:proofErr w:type="gramStart"/>
      <w:r w:rsidRPr="00385119">
        <w:rPr>
          <w:b/>
        </w:rPr>
        <w:t>request</w:t>
      </w:r>
      <w:r w:rsidR="00385119" w:rsidRPr="00385119">
        <w:rPr>
          <w:b/>
        </w:rPr>
        <w:t>s</w:t>
      </w:r>
      <w:proofErr w:type="gramEnd"/>
      <w:r w:rsidRPr="00385119">
        <w:rPr>
          <w:b/>
        </w:rPr>
        <w:t xml:space="preserve"> for additional guidance and administrative resources</w:t>
      </w:r>
      <w:r>
        <w:t xml:space="preserve"> to help taxpayers apply DTAs as modified by the MLI (including requests for Inland Revenue to produce consolidated versions of New Zealand’s DTAs as modified by the MLI). New Zealand officials have already been working with their Australian counterparts to scope what administrative guidance could be jointly developed to assist taxpayers. </w:t>
      </w:r>
      <w:r w:rsidRPr="00544FDA">
        <w:t xml:space="preserve">Publishers may produce consolidated texts as they </w:t>
      </w:r>
      <w:r w:rsidR="00C06B77">
        <w:t xml:space="preserve">currently </w:t>
      </w:r>
      <w:r w:rsidRPr="00544FDA">
        <w:t xml:space="preserve">do with amending protocols and original DTAs. In addition to this, New Zealand Inland Revenue officials are continuing discussions with overseas counterparts to determine what additional certainty the competent authorities may be able to provide (for example, through a memorandum of understanding which sets out in more detail how each </w:t>
      </w:r>
      <w:r w:rsidR="00587CE5">
        <w:t>MLI</w:t>
      </w:r>
      <w:r w:rsidRPr="00544FDA">
        <w:t xml:space="preserve"> provision applies to the DTA).</w:t>
      </w:r>
    </w:p>
    <w:p w:rsidR="00544FDA" w:rsidRDefault="00544FDA" w:rsidP="00544FDA">
      <w:pPr>
        <w:pStyle w:val="ListParagraph"/>
      </w:pPr>
    </w:p>
    <w:p w:rsidR="00544FDA" w:rsidRDefault="00544FDA" w:rsidP="00F83840">
      <w:pPr>
        <w:pStyle w:val="Numberparagraph"/>
        <w:numPr>
          <w:ilvl w:val="1"/>
          <w:numId w:val="1"/>
        </w:numPr>
      </w:pPr>
      <w:proofErr w:type="gramStart"/>
      <w:r w:rsidRPr="00385119">
        <w:rPr>
          <w:b/>
        </w:rPr>
        <w:t>technical</w:t>
      </w:r>
      <w:proofErr w:type="gramEnd"/>
      <w:r w:rsidRPr="00385119">
        <w:rPr>
          <w:b/>
        </w:rPr>
        <w:t xml:space="preserve"> domestic law changes</w:t>
      </w:r>
      <w:r>
        <w:t xml:space="preserve"> needed to implement the MLI smoothly. Officials are considering these suggestions and will report separately to Ministers on what domestic law changes may be required before the MLI comes into effect.</w:t>
      </w:r>
    </w:p>
    <w:p w:rsidR="00D823E4" w:rsidRDefault="00D823E4" w:rsidP="00D823E4">
      <w:pPr>
        <w:pStyle w:val="Numberparagraph"/>
        <w:numPr>
          <w:ilvl w:val="0"/>
          <w:numId w:val="0"/>
        </w:numPr>
      </w:pPr>
    </w:p>
    <w:p w:rsidR="002A6821" w:rsidRDefault="002A6821" w:rsidP="00D823E4">
      <w:pPr>
        <w:tabs>
          <w:tab w:val="left" w:pos="567"/>
        </w:tabs>
        <w:jc w:val="both"/>
        <w:rPr>
          <w:b/>
          <w:bCs/>
          <w:szCs w:val="24"/>
          <w:lang w:eastAsia="en-AU"/>
        </w:rPr>
      </w:pPr>
    </w:p>
    <w:p w:rsidR="002A6821" w:rsidRDefault="002A6821" w:rsidP="00D823E4">
      <w:pPr>
        <w:tabs>
          <w:tab w:val="left" w:pos="567"/>
        </w:tabs>
        <w:jc w:val="both"/>
        <w:rPr>
          <w:b/>
          <w:bCs/>
          <w:szCs w:val="24"/>
          <w:lang w:eastAsia="en-AU"/>
        </w:rPr>
      </w:pPr>
    </w:p>
    <w:p w:rsidR="002A6821" w:rsidRDefault="002A6821" w:rsidP="00D823E4">
      <w:pPr>
        <w:tabs>
          <w:tab w:val="left" w:pos="567"/>
        </w:tabs>
        <w:jc w:val="both"/>
        <w:rPr>
          <w:b/>
          <w:bCs/>
          <w:szCs w:val="24"/>
          <w:lang w:eastAsia="en-AU"/>
        </w:rPr>
      </w:pPr>
    </w:p>
    <w:p w:rsidR="00D823E4" w:rsidRPr="00DD23B8" w:rsidRDefault="00D823E4" w:rsidP="00D823E4">
      <w:pPr>
        <w:tabs>
          <w:tab w:val="left" w:pos="567"/>
        </w:tabs>
        <w:jc w:val="both"/>
        <w:rPr>
          <w:szCs w:val="24"/>
          <w:lang w:eastAsia="en-AU"/>
        </w:rPr>
      </w:pPr>
      <w:r>
        <w:rPr>
          <w:b/>
          <w:bCs/>
          <w:szCs w:val="24"/>
          <w:lang w:eastAsia="en-AU"/>
        </w:rPr>
        <w:t>Next steps</w:t>
      </w:r>
    </w:p>
    <w:p w:rsidR="00D823E4" w:rsidRPr="00E4232F" w:rsidRDefault="00D823E4" w:rsidP="00D823E4">
      <w:pPr>
        <w:pStyle w:val="Numberparagraph"/>
        <w:numPr>
          <w:ilvl w:val="0"/>
          <w:numId w:val="0"/>
        </w:numPr>
      </w:pPr>
    </w:p>
    <w:p w:rsidR="00D823E4" w:rsidRDefault="00D823E4" w:rsidP="007F0894">
      <w:pPr>
        <w:pStyle w:val="Numberparagraph"/>
        <w:ind w:left="426"/>
      </w:pPr>
      <w:r>
        <w:t xml:space="preserve">Subject to Cabinet’s approval for New Zealand to sign the MLI, </w:t>
      </w:r>
      <w:r w:rsidR="00385119">
        <w:t>we</w:t>
      </w:r>
      <w:r>
        <w:t xml:space="preserve"> propose that </w:t>
      </w:r>
      <w:r w:rsidR="00385119">
        <w:t>the Minister of Revenue</w:t>
      </w:r>
      <w:r>
        <w:t xml:space="preserve"> sign</w:t>
      </w:r>
      <w:r w:rsidR="00385119">
        <w:t>s</w:t>
      </w:r>
      <w:r>
        <w:t xml:space="preserve"> the MLI at a signing ceremony arranged by the OECD to be held in Paris on 7 June 2017. </w:t>
      </w:r>
      <w:r w:rsidR="00343FA6">
        <w:t>At the signing ceremony</w:t>
      </w:r>
      <w:r w:rsidR="00300794">
        <w:t>, New Zealand will also need to present its expected notifications and reservations.</w:t>
      </w:r>
    </w:p>
    <w:p w:rsidR="004927AD" w:rsidRDefault="004927AD" w:rsidP="00F05665">
      <w:pPr>
        <w:pStyle w:val="Numberparagraph"/>
        <w:numPr>
          <w:ilvl w:val="0"/>
          <w:numId w:val="0"/>
        </w:numPr>
        <w:ind w:left="426"/>
      </w:pPr>
    </w:p>
    <w:p w:rsidR="004927AD" w:rsidRDefault="004927AD" w:rsidP="007F0894">
      <w:pPr>
        <w:pStyle w:val="Numberparagraph"/>
        <w:ind w:left="426"/>
      </w:pPr>
      <w:r w:rsidRPr="003C1EB3">
        <w:t>An</w:t>
      </w:r>
      <w:r>
        <w:t xml:space="preserve"> Instrument of Full Powers will need to be obtained from the Minister of Foreign Affairs to enable the Minister of Revenue to sign the MLI. The Ministry of Foreign Affairs and Trade will prepare this Instrument and arrange for its signature.</w:t>
      </w:r>
    </w:p>
    <w:p w:rsidR="00D823E4" w:rsidRDefault="00D823E4" w:rsidP="007F0894">
      <w:pPr>
        <w:pStyle w:val="Numberparagraph"/>
        <w:numPr>
          <w:ilvl w:val="0"/>
          <w:numId w:val="0"/>
        </w:numPr>
        <w:ind w:left="426"/>
      </w:pPr>
    </w:p>
    <w:p w:rsidR="00D823E4" w:rsidRDefault="00713079" w:rsidP="007F0894">
      <w:pPr>
        <w:pStyle w:val="Numberparagraph"/>
        <w:ind w:left="426"/>
      </w:pPr>
      <w:r>
        <w:t>Standing Order 397 provides that the Government will present any international treaty that is the subject of ratification by New</w:t>
      </w:r>
      <w:r w:rsidR="00C06B77">
        <w:t xml:space="preserve"> </w:t>
      </w:r>
      <w:r>
        <w:t xml:space="preserve">Zealand to the House of Representatives for treaty examination by Select Committee. </w:t>
      </w:r>
      <w:r w:rsidR="00D823E4">
        <w:t>Accordingly, after signature, it is proposed that the MLI be submitted to the House of Representatives for Parliamentary treaty examination.</w:t>
      </w:r>
      <w:r w:rsidR="00D823E4" w:rsidRPr="006620FE">
        <w:t xml:space="preserve"> For th</w:t>
      </w:r>
      <w:r w:rsidR="00D823E4">
        <w:t>is</w:t>
      </w:r>
      <w:r w:rsidR="00D823E4" w:rsidRPr="006620FE">
        <w:t xml:space="preserve"> purpose, an extended NIA has been dr</w:t>
      </w:r>
      <w:r w:rsidR="00D823E4">
        <w:t xml:space="preserve">afted and is attached at Annex </w:t>
      </w:r>
      <w:r w:rsidR="007D4F6A">
        <w:t>D</w:t>
      </w:r>
      <w:r w:rsidR="00D823E4" w:rsidRPr="006620FE">
        <w:t xml:space="preserve">. This paper seeks Cabinet approval of the extended NIA so that it can be submitted to Parliament </w:t>
      </w:r>
      <w:r w:rsidR="00D823E4">
        <w:t>as part of</w:t>
      </w:r>
      <w:r w:rsidR="00D823E4" w:rsidRPr="006620FE">
        <w:t xml:space="preserve"> the Parliamentary treaty examination process.</w:t>
      </w:r>
    </w:p>
    <w:p w:rsidR="00D823E4" w:rsidRDefault="00D823E4" w:rsidP="007F0894">
      <w:pPr>
        <w:pStyle w:val="Numberparagraph"/>
        <w:numPr>
          <w:ilvl w:val="0"/>
          <w:numId w:val="0"/>
        </w:numPr>
        <w:ind w:left="426"/>
      </w:pPr>
    </w:p>
    <w:p w:rsidR="00D823E4" w:rsidRDefault="00713079" w:rsidP="007F0894">
      <w:pPr>
        <w:pStyle w:val="Numberparagraph"/>
        <w:ind w:left="426"/>
      </w:pPr>
      <w:r>
        <w:t>The MLI will be</w:t>
      </w:r>
      <w:r w:rsidRPr="006506D5">
        <w:t xml:space="preserve"> </w:t>
      </w:r>
      <w:r>
        <w:t xml:space="preserve">implemented by an </w:t>
      </w:r>
      <w:r w:rsidRPr="006620FE">
        <w:t xml:space="preserve">Order in Council </w:t>
      </w:r>
      <w:r>
        <w:t xml:space="preserve">made pursuant to section </w:t>
      </w:r>
      <w:proofErr w:type="spellStart"/>
      <w:r>
        <w:t>BH</w:t>
      </w:r>
      <w:proofErr w:type="spellEnd"/>
      <w:r>
        <w:t xml:space="preserve"> 1 of the Income Tax Act 2007 which has overriding effect in relation to other legislation relating to tax and the exchange of information that relates to tax. </w:t>
      </w:r>
      <w:r w:rsidR="00D823E4" w:rsidRPr="006620FE">
        <w:t xml:space="preserve">Subject to satisfactory completion of Parliamentary treaty examination, this paper also seeks Cabinet approval for </w:t>
      </w:r>
      <w:r w:rsidR="00D823E4">
        <w:t>me</w:t>
      </w:r>
      <w:r w:rsidR="00D823E4" w:rsidRPr="006620FE">
        <w:t xml:space="preserve"> to issue drafting instructions for </w:t>
      </w:r>
      <w:r w:rsidR="00D823E4">
        <w:t xml:space="preserve">an </w:t>
      </w:r>
      <w:r w:rsidR="00D823E4" w:rsidRPr="006620FE">
        <w:t xml:space="preserve">Order in Council to implement the </w:t>
      </w:r>
      <w:r w:rsidR="00D823E4">
        <w:t>MLI</w:t>
      </w:r>
      <w:r w:rsidR="00D823E4" w:rsidRPr="000343CA">
        <w:t xml:space="preserve"> </w:t>
      </w:r>
      <w:r w:rsidR="00D823E4" w:rsidRPr="006620FE">
        <w:t>into New Zealand domestic law</w:t>
      </w:r>
      <w:r w:rsidR="00D823E4">
        <w:t>.</w:t>
      </w:r>
    </w:p>
    <w:p w:rsidR="00D823E4" w:rsidRDefault="00D823E4" w:rsidP="007F0894">
      <w:pPr>
        <w:pStyle w:val="Numberparagraph"/>
        <w:numPr>
          <w:ilvl w:val="0"/>
          <w:numId w:val="0"/>
        </w:numPr>
        <w:ind w:left="426"/>
      </w:pPr>
    </w:p>
    <w:p w:rsidR="00D823E4" w:rsidRPr="00BD4936" w:rsidRDefault="00D823E4" w:rsidP="007F0894">
      <w:pPr>
        <w:pStyle w:val="Numberparagraph"/>
        <w:ind w:left="426"/>
      </w:pPr>
      <w:r>
        <w:t>Article 3</w:t>
      </w:r>
      <w:r w:rsidR="00F95A53">
        <w:t>4 provides that the MLI</w:t>
      </w:r>
      <w:r>
        <w:t xml:space="preserve"> </w:t>
      </w:r>
      <w:r w:rsidR="00F95A53">
        <w:t>will enter into force for New Zealand once New Zealand has deposited its instrument of ratification. New Zealand will be in a position to deposit its instrument of ratification following the completion of all domestic procedures for entry into force.</w:t>
      </w:r>
      <w:r>
        <w:t xml:space="preserve"> Subject to the successful promulgation of an Order in Council, this paper seeks Cabinet approval for officials to </w:t>
      </w:r>
      <w:r w:rsidR="00E7460A">
        <w:t xml:space="preserve">ratify </w:t>
      </w:r>
      <w:r w:rsidR="00E7460A" w:rsidRPr="00385119">
        <w:t>the MLI by depositing New Zealand’s instrument of ratification with the MLI Depositary.</w:t>
      </w:r>
      <w:r w:rsidR="00300794" w:rsidRPr="00385119">
        <w:t xml:space="preserve"> New Zealand will also need to confirm its </w:t>
      </w:r>
      <w:r w:rsidR="00385119" w:rsidRPr="00385119">
        <w:t xml:space="preserve">final </w:t>
      </w:r>
      <w:r w:rsidR="00300794" w:rsidRPr="00385119">
        <w:t>notifications and reservations at this point in time.</w:t>
      </w:r>
    </w:p>
    <w:p w:rsidR="00D823E4" w:rsidRDefault="00D823E4" w:rsidP="007E2640">
      <w:pPr>
        <w:tabs>
          <w:tab w:val="left" w:pos="567"/>
        </w:tabs>
        <w:jc w:val="both"/>
        <w:rPr>
          <w:szCs w:val="24"/>
          <w:lang w:eastAsia="en-AU"/>
        </w:rPr>
      </w:pPr>
    </w:p>
    <w:p w:rsidR="00763BDD" w:rsidRPr="00DD23B8" w:rsidRDefault="00763BDD" w:rsidP="007E2640">
      <w:pPr>
        <w:tabs>
          <w:tab w:val="left" w:pos="567"/>
        </w:tabs>
        <w:jc w:val="both"/>
        <w:rPr>
          <w:szCs w:val="24"/>
          <w:lang w:eastAsia="en-AU"/>
        </w:rPr>
      </w:pPr>
    </w:p>
    <w:p w:rsidR="007E2640" w:rsidRPr="00DD23B8" w:rsidRDefault="004F6ED4" w:rsidP="007E2640">
      <w:pPr>
        <w:tabs>
          <w:tab w:val="left" w:pos="567"/>
        </w:tabs>
        <w:jc w:val="both"/>
        <w:rPr>
          <w:szCs w:val="24"/>
          <w:lang w:eastAsia="en-AU"/>
        </w:rPr>
      </w:pPr>
      <w:r w:rsidRPr="00DD23B8">
        <w:rPr>
          <w:b/>
          <w:bCs/>
          <w:szCs w:val="24"/>
          <w:lang w:eastAsia="en-AU"/>
        </w:rPr>
        <w:t>Consultation</w:t>
      </w:r>
    </w:p>
    <w:p w:rsidR="00763BDD" w:rsidRDefault="00763BDD" w:rsidP="007F0894">
      <w:pPr>
        <w:pStyle w:val="Numberparagraph"/>
        <w:numPr>
          <w:ilvl w:val="0"/>
          <w:numId w:val="0"/>
        </w:numPr>
        <w:ind w:left="426"/>
      </w:pPr>
    </w:p>
    <w:p w:rsidR="00E7460A" w:rsidRDefault="003B1C26" w:rsidP="007F0894">
      <w:pPr>
        <w:pStyle w:val="Numberparagraph"/>
        <w:ind w:left="426"/>
      </w:pPr>
      <w:r>
        <w:t>Tax policy officials</w:t>
      </w:r>
      <w:r w:rsidR="00E7460A" w:rsidRPr="004051F3">
        <w:t xml:space="preserve"> and the Ministry of Foreign Affairs and Trade</w:t>
      </w:r>
      <w:r w:rsidR="00191817">
        <w:t xml:space="preserve"> were consulted</w:t>
      </w:r>
      <w:r w:rsidR="00E7460A" w:rsidRPr="004051F3">
        <w:t xml:space="preserve"> in the preparation of this</w:t>
      </w:r>
      <w:r w:rsidR="00E7460A">
        <w:t xml:space="preserve"> Cabinet</w:t>
      </w:r>
      <w:r w:rsidR="00E7460A" w:rsidRPr="004051F3">
        <w:t xml:space="preserve"> paper</w:t>
      </w:r>
      <w:r w:rsidR="00E7460A">
        <w:t>.</w:t>
      </w:r>
      <w:r w:rsidR="00E7460A" w:rsidRPr="004051F3">
        <w:t xml:space="preserve"> </w:t>
      </w:r>
    </w:p>
    <w:p w:rsidR="00E7460A" w:rsidRDefault="00E7460A" w:rsidP="00E7460A">
      <w:pPr>
        <w:pStyle w:val="Numberparagraph"/>
        <w:numPr>
          <w:ilvl w:val="0"/>
          <w:numId w:val="0"/>
        </w:numPr>
      </w:pPr>
    </w:p>
    <w:p w:rsidR="00E7460A" w:rsidRPr="004051F3" w:rsidRDefault="00E7460A" w:rsidP="007F0894">
      <w:pPr>
        <w:pStyle w:val="Numberparagraph"/>
        <w:ind w:left="426"/>
      </w:pPr>
      <w:r>
        <w:t xml:space="preserve">In addition, an officials’ issues paper titled </w:t>
      </w:r>
      <w:r w:rsidRPr="00E7460A">
        <w:rPr>
          <w:i/>
        </w:rPr>
        <w:t>New Zealand’s implementation of the multilateral convention to implement tax treaty related measures to prevent BEPS</w:t>
      </w:r>
      <w:r>
        <w:t xml:space="preserve"> was released on 3 March 2017.</w:t>
      </w:r>
      <w:r w:rsidR="00D15DE9">
        <w:t xml:space="preserve"> Submissions closed on 7 April 2017 and </w:t>
      </w:r>
      <w:r w:rsidR="00385119">
        <w:t>5</w:t>
      </w:r>
      <w:r w:rsidR="00D15DE9">
        <w:t xml:space="preserve"> were received. Officials met with interested stakeholders</w:t>
      </w:r>
      <w:r w:rsidR="00373A7B">
        <w:t>. These submissions and views</w:t>
      </w:r>
      <w:r w:rsidR="00385119">
        <w:t xml:space="preserve"> are summarised in paragraphs </w:t>
      </w:r>
      <w:r w:rsidR="00D75318">
        <w:t xml:space="preserve">26 </w:t>
      </w:r>
      <w:r w:rsidR="00385119">
        <w:t xml:space="preserve">to </w:t>
      </w:r>
      <w:r w:rsidR="00C06B77">
        <w:t>2</w:t>
      </w:r>
      <w:r w:rsidR="00D75318">
        <w:t>9</w:t>
      </w:r>
      <w:r w:rsidR="00C06B77">
        <w:t xml:space="preserve"> </w:t>
      </w:r>
      <w:r w:rsidR="00385119">
        <w:t>above.</w:t>
      </w:r>
    </w:p>
    <w:p w:rsidR="00D23100" w:rsidRPr="00DD23B8" w:rsidRDefault="00D23100" w:rsidP="007E2640">
      <w:pPr>
        <w:tabs>
          <w:tab w:val="left" w:pos="567"/>
        </w:tabs>
        <w:jc w:val="both"/>
        <w:rPr>
          <w:b/>
          <w:bCs/>
          <w:szCs w:val="24"/>
          <w:lang w:eastAsia="en-AU"/>
        </w:rPr>
      </w:pPr>
    </w:p>
    <w:p w:rsidR="00D23100" w:rsidRPr="00DD23B8" w:rsidRDefault="00D23100" w:rsidP="007E2640">
      <w:pPr>
        <w:tabs>
          <w:tab w:val="left" w:pos="567"/>
        </w:tabs>
        <w:jc w:val="both"/>
        <w:rPr>
          <w:b/>
          <w:bCs/>
          <w:szCs w:val="24"/>
          <w:lang w:eastAsia="en-AU"/>
        </w:rPr>
      </w:pPr>
    </w:p>
    <w:p w:rsidR="007E2640" w:rsidRDefault="004F6ED4" w:rsidP="007E2640">
      <w:pPr>
        <w:tabs>
          <w:tab w:val="left" w:pos="567"/>
        </w:tabs>
        <w:jc w:val="both"/>
        <w:rPr>
          <w:b/>
          <w:bCs/>
          <w:szCs w:val="24"/>
          <w:lang w:eastAsia="en-AU"/>
        </w:rPr>
      </w:pPr>
      <w:r w:rsidRPr="00DD23B8">
        <w:rPr>
          <w:b/>
          <w:bCs/>
          <w:szCs w:val="24"/>
          <w:lang w:eastAsia="en-AU"/>
        </w:rPr>
        <w:t>Financial implications</w:t>
      </w:r>
    </w:p>
    <w:p w:rsidR="00D23100" w:rsidRPr="00DD23B8" w:rsidRDefault="00D23100" w:rsidP="007E2640">
      <w:pPr>
        <w:tabs>
          <w:tab w:val="left" w:pos="567"/>
        </w:tabs>
        <w:jc w:val="both"/>
        <w:rPr>
          <w:szCs w:val="24"/>
          <w:lang w:eastAsia="en-AU"/>
        </w:rPr>
      </w:pPr>
    </w:p>
    <w:p w:rsidR="005B6BED" w:rsidRPr="00C458BE" w:rsidRDefault="005B6BED" w:rsidP="007F0894">
      <w:pPr>
        <w:pStyle w:val="Numberparagraph"/>
        <w:ind w:left="426"/>
      </w:pPr>
      <w:r w:rsidRPr="007F0894">
        <w:t xml:space="preserve">Normally, new DTAs or amending protocols constrain New Zealand from taxing certain income and limit the rate at which tax on passive income (dividends, interest, and royalties) can be imposed and therefore result in the reduction of New Zealand tax. </w:t>
      </w:r>
      <w:r w:rsidR="00C458BE" w:rsidRPr="007F0894">
        <w:t>This</w:t>
      </w:r>
      <w:r w:rsidRPr="007F0894">
        <w:t xml:space="preserve"> upfront revenue cost is</w:t>
      </w:r>
      <w:r w:rsidR="00C458BE" w:rsidRPr="007F0894">
        <w:t xml:space="preserve"> then</w:t>
      </w:r>
      <w:r w:rsidRPr="007F0894">
        <w:t xml:space="preserve"> typically offset by other </w:t>
      </w:r>
      <w:r w:rsidR="00385119" w:rsidRPr="007F0894">
        <w:t xml:space="preserve">factors (for example, through </w:t>
      </w:r>
      <w:r w:rsidRPr="007F0894">
        <w:t>reduced need to allow foreign tax credits).</w:t>
      </w:r>
    </w:p>
    <w:p w:rsidR="00A0082D" w:rsidRDefault="00A0082D" w:rsidP="007F0894">
      <w:pPr>
        <w:pStyle w:val="Numberparagraph"/>
        <w:numPr>
          <w:ilvl w:val="0"/>
          <w:numId w:val="0"/>
        </w:numPr>
        <w:ind w:left="426"/>
      </w:pPr>
    </w:p>
    <w:p w:rsidR="005B6BED" w:rsidRPr="007F0894" w:rsidRDefault="005B6BED" w:rsidP="007F0894">
      <w:pPr>
        <w:pStyle w:val="Numberparagraph"/>
        <w:ind w:left="426"/>
      </w:pPr>
      <w:r w:rsidRPr="007F0894">
        <w:t xml:space="preserve">The </w:t>
      </w:r>
      <w:r w:rsidR="00C458BE" w:rsidRPr="007F0894">
        <w:t>MLI</w:t>
      </w:r>
      <w:r w:rsidRPr="007F0894">
        <w:t xml:space="preserve"> differs in that its provisions are typically base protection measures which increase New Zealand’s ability to tax inbound investment and equips New Zealand with a whole-of-treaty anti-abuse rule to prevent tax avoidance through the use of DTAs. This may result in more tax paid by non-residents in New Zealand.</w:t>
      </w:r>
      <w:r w:rsidR="00A0082D" w:rsidRPr="007F0894">
        <w:t xml:space="preserve"> However, as the provisions are reciprocal, the MLI may increase</w:t>
      </w:r>
      <w:r w:rsidRPr="007F0894">
        <w:t xml:space="preserve"> the amount of foreign income tax paid by New Zealand residents with </w:t>
      </w:r>
      <w:r w:rsidR="00A0082D" w:rsidRPr="007F0894">
        <w:t>investments and business operations overseas</w:t>
      </w:r>
      <w:r w:rsidRPr="007F0894">
        <w:t>. This could decrease the amount of New Zealand income tax paid on that foreign income as a foreign tax credit is provided for foreign income tax paid.</w:t>
      </w:r>
    </w:p>
    <w:p w:rsidR="00A0082D" w:rsidRPr="007F0894" w:rsidRDefault="00A0082D" w:rsidP="007F0894">
      <w:pPr>
        <w:pStyle w:val="Numberparagraph"/>
        <w:numPr>
          <w:ilvl w:val="0"/>
          <w:numId w:val="0"/>
        </w:numPr>
        <w:ind w:left="426"/>
      </w:pPr>
    </w:p>
    <w:p w:rsidR="005B6BED" w:rsidRPr="007F0894" w:rsidRDefault="005B6BED" w:rsidP="007F0894">
      <w:pPr>
        <w:pStyle w:val="Numberparagraph"/>
        <w:ind w:left="426"/>
      </w:pPr>
      <w:r w:rsidRPr="007F0894">
        <w:t xml:space="preserve">Data limitations prevent officials from accurately estimating the actual impact on net tax revenue. However, as New Zealand is a capital importer and the </w:t>
      </w:r>
      <w:r w:rsidR="00A0082D" w:rsidRPr="007F0894">
        <w:t>MLI</w:t>
      </w:r>
      <w:r w:rsidRPr="007F0894">
        <w:t xml:space="preserve"> covers the majority of New Zealand’s DTA network, it is expected that overall impact on tax revenue will be positive.</w:t>
      </w:r>
    </w:p>
    <w:p w:rsidR="005B6BED" w:rsidRPr="007F0894" w:rsidRDefault="005B6BED" w:rsidP="007F0894">
      <w:pPr>
        <w:pStyle w:val="Numberparagraph"/>
        <w:numPr>
          <w:ilvl w:val="0"/>
          <w:numId w:val="0"/>
        </w:numPr>
        <w:ind w:left="426"/>
      </w:pPr>
    </w:p>
    <w:p w:rsidR="005B6BED" w:rsidRPr="00A0082D" w:rsidRDefault="005B6BED" w:rsidP="007F0894">
      <w:pPr>
        <w:pStyle w:val="Numberparagraph"/>
        <w:ind w:left="426"/>
      </w:pPr>
      <w:r w:rsidRPr="007F0894">
        <w:t xml:space="preserve">In terms of costs borne by Inland Revenue, there will be costs associated in administering the arbitration provisions of the </w:t>
      </w:r>
      <w:r w:rsidR="00A0082D" w:rsidRPr="007F0894">
        <w:t>MLI</w:t>
      </w:r>
      <w:r w:rsidR="00385119" w:rsidRPr="007F0894">
        <w:t xml:space="preserve"> and some of the provisions that require competent authority agreement</w:t>
      </w:r>
      <w:r w:rsidRPr="007F0894">
        <w:t xml:space="preserve">. However, these are expected to be </w:t>
      </w:r>
      <w:r w:rsidR="00385119" w:rsidRPr="007F0894">
        <w:t xml:space="preserve">relatively </w:t>
      </w:r>
      <w:r w:rsidRPr="007F0894">
        <w:t xml:space="preserve">small. The existence of arbitration provides a strong incentive for </w:t>
      </w:r>
      <w:r w:rsidR="00A0082D" w:rsidRPr="007F0894">
        <w:t>tax</w:t>
      </w:r>
      <w:r w:rsidRPr="007F0894">
        <w:t xml:space="preserve"> authorities to resolve issues under the mutual agreement procedure before arbitration can be triggered. New Zealand’s DTAs with Australia and Japan already provide for arbitration and New Zealand’s experience is that very few cases have been brought by taxpayers under the mutual agreement procedure and almost all of these have been settle</w:t>
      </w:r>
      <w:r w:rsidR="003C1ACE">
        <w:t>d</w:t>
      </w:r>
      <w:r w:rsidRPr="007F0894">
        <w:t xml:space="preserve"> within the required time period, regardless of whether the DTA provides for arbitration.</w:t>
      </w:r>
    </w:p>
    <w:p w:rsidR="005B6BED" w:rsidRDefault="005B6BED" w:rsidP="007E2640">
      <w:pPr>
        <w:tabs>
          <w:tab w:val="left" w:pos="567"/>
        </w:tabs>
        <w:jc w:val="both"/>
        <w:rPr>
          <w:szCs w:val="24"/>
          <w:lang w:eastAsia="en-AU"/>
        </w:rPr>
      </w:pPr>
    </w:p>
    <w:p w:rsidR="00763BDD" w:rsidRPr="00DD23B8" w:rsidRDefault="00763BDD" w:rsidP="007E2640">
      <w:pPr>
        <w:tabs>
          <w:tab w:val="left" w:pos="567"/>
        </w:tabs>
        <w:jc w:val="both"/>
        <w:rPr>
          <w:szCs w:val="24"/>
          <w:lang w:eastAsia="en-AU"/>
        </w:rPr>
      </w:pPr>
    </w:p>
    <w:p w:rsidR="007E2640" w:rsidRPr="00DD23B8" w:rsidRDefault="004F6ED4" w:rsidP="007E2640">
      <w:pPr>
        <w:tabs>
          <w:tab w:val="left" w:pos="567"/>
        </w:tabs>
        <w:jc w:val="both"/>
        <w:rPr>
          <w:b/>
          <w:szCs w:val="24"/>
          <w:lang w:eastAsia="en-AU"/>
        </w:rPr>
      </w:pPr>
      <w:r w:rsidRPr="00DD23B8">
        <w:rPr>
          <w:b/>
          <w:szCs w:val="24"/>
          <w:lang w:eastAsia="en-AU"/>
        </w:rPr>
        <w:t>H</w:t>
      </w:r>
      <w:r w:rsidR="00763BDD">
        <w:rPr>
          <w:b/>
          <w:bCs/>
          <w:szCs w:val="24"/>
          <w:lang w:eastAsia="en-AU"/>
        </w:rPr>
        <w:t>uman rights</w:t>
      </w:r>
    </w:p>
    <w:p w:rsidR="00763BDD" w:rsidRDefault="00763BDD" w:rsidP="007F0894">
      <w:pPr>
        <w:pStyle w:val="Numberparagraph"/>
        <w:numPr>
          <w:ilvl w:val="0"/>
          <w:numId w:val="0"/>
        </w:numPr>
        <w:ind w:left="426"/>
      </w:pPr>
    </w:p>
    <w:p w:rsidR="00D15DE9" w:rsidRPr="001C079C" w:rsidRDefault="00D15DE9" w:rsidP="007F0894">
      <w:pPr>
        <w:pStyle w:val="Numberparagraph"/>
        <w:ind w:left="426"/>
      </w:pPr>
      <w:r w:rsidRPr="007F0894">
        <w:t>No</w:t>
      </w:r>
      <w:r w:rsidRPr="00FD54AF">
        <w:t xml:space="preserve"> inconsistencies with the New Zealand Bill of Rights Act 1990 or the Human Rights Act 1</w:t>
      </w:r>
      <w:r>
        <w:t>993 have been identified.</w:t>
      </w:r>
    </w:p>
    <w:p w:rsidR="00D23100" w:rsidRDefault="00D23100" w:rsidP="007E2640">
      <w:pPr>
        <w:tabs>
          <w:tab w:val="left" w:pos="567"/>
        </w:tabs>
        <w:jc w:val="both"/>
        <w:rPr>
          <w:szCs w:val="24"/>
          <w:lang w:eastAsia="en-AU"/>
        </w:rPr>
      </w:pPr>
    </w:p>
    <w:p w:rsidR="00763BDD" w:rsidRPr="00DD23B8" w:rsidRDefault="00763BDD" w:rsidP="007E2640">
      <w:pPr>
        <w:tabs>
          <w:tab w:val="left" w:pos="567"/>
        </w:tabs>
        <w:jc w:val="both"/>
        <w:rPr>
          <w:szCs w:val="24"/>
          <w:lang w:eastAsia="en-AU"/>
        </w:rPr>
      </w:pPr>
    </w:p>
    <w:p w:rsidR="007E2640" w:rsidRPr="00DD23B8" w:rsidRDefault="004F6ED4" w:rsidP="007E2640">
      <w:pPr>
        <w:tabs>
          <w:tab w:val="left" w:pos="567"/>
        </w:tabs>
        <w:jc w:val="both"/>
        <w:rPr>
          <w:b/>
          <w:szCs w:val="24"/>
          <w:lang w:eastAsia="en-AU"/>
        </w:rPr>
      </w:pPr>
      <w:r w:rsidRPr="00DD23B8">
        <w:rPr>
          <w:b/>
          <w:szCs w:val="24"/>
          <w:lang w:eastAsia="en-AU"/>
        </w:rPr>
        <w:t>L</w:t>
      </w:r>
      <w:r w:rsidRPr="00DD23B8">
        <w:rPr>
          <w:b/>
          <w:bCs/>
          <w:szCs w:val="24"/>
          <w:lang w:eastAsia="en-AU"/>
        </w:rPr>
        <w:t>egislative implications</w:t>
      </w:r>
    </w:p>
    <w:p w:rsidR="00D23100" w:rsidRPr="00DD23B8" w:rsidRDefault="00D23100" w:rsidP="007E2640">
      <w:pPr>
        <w:tabs>
          <w:tab w:val="left" w:pos="567"/>
        </w:tabs>
        <w:jc w:val="both"/>
        <w:rPr>
          <w:szCs w:val="24"/>
          <w:lang w:eastAsia="en-AU"/>
        </w:rPr>
      </w:pPr>
    </w:p>
    <w:p w:rsidR="00D15DE9" w:rsidRDefault="00D15DE9" w:rsidP="007F0894">
      <w:pPr>
        <w:pStyle w:val="Numberparagraph"/>
        <w:ind w:left="426"/>
      </w:pPr>
      <w:r>
        <w:t xml:space="preserve">The MLI must be given effect by Order in Council, pursuant to section </w:t>
      </w:r>
      <w:proofErr w:type="spellStart"/>
      <w:r>
        <w:t>BH</w:t>
      </w:r>
      <w:proofErr w:type="spellEnd"/>
      <w:r>
        <w:t xml:space="preserve"> 1 of the Income Tax Act 2007.</w:t>
      </w:r>
    </w:p>
    <w:p w:rsidR="00D15DE9" w:rsidRDefault="00D15DE9" w:rsidP="007F0894">
      <w:pPr>
        <w:pStyle w:val="Numberparagraph"/>
        <w:numPr>
          <w:ilvl w:val="0"/>
          <w:numId w:val="0"/>
        </w:numPr>
        <w:ind w:left="426"/>
      </w:pPr>
    </w:p>
    <w:p w:rsidR="00D15DE9" w:rsidRDefault="00D15DE9" w:rsidP="007F0894">
      <w:pPr>
        <w:pStyle w:val="Numberparagraph"/>
        <w:ind w:left="426"/>
      </w:pPr>
      <w:r>
        <w:t>Accordingly this paper seeks approval for an Order in Council to be drafted and submitted to Cabinet following the signing of the MLI and the completion of the Parliamentary treaty examination process.</w:t>
      </w:r>
    </w:p>
    <w:p w:rsidR="00D23100" w:rsidRDefault="00D23100" w:rsidP="007E2640">
      <w:pPr>
        <w:tabs>
          <w:tab w:val="left" w:pos="567"/>
        </w:tabs>
        <w:jc w:val="both"/>
        <w:rPr>
          <w:szCs w:val="24"/>
          <w:lang w:eastAsia="en-AU"/>
        </w:rPr>
      </w:pPr>
    </w:p>
    <w:p w:rsidR="007E2640" w:rsidRPr="00DD23B8" w:rsidRDefault="004F6ED4" w:rsidP="007E2640">
      <w:pPr>
        <w:tabs>
          <w:tab w:val="left" w:pos="567"/>
        </w:tabs>
        <w:jc w:val="both"/>
        <w:rPr>
          <w:b/>
          <w:szCs w:val="24"/>
          <w:lang w:eastAsia="en-AU"/>
        </w:rPr>
      </w:pPr>
      <w:r w:rsidRPr="00DD23B8">
        <w:rPr>
          <w:b/>
          <w:szCs w:val="24"/>
          <w:lang w:eastAsia="en-AU"/>
        </w:rPr>
        <w:t>R</w:t>
      </w:r>
      <w:r w:rsidRPr="00DD23B8">
        <w:rPr>
          <w:b/>
          <w:bCs/>
          <w:szCs w:val="24"/>
          <w:lang w:eastAsia="en-AU"/>
        </w:rPr>
        <w:t>egulatory impact analysis</w:t>
      </w:r>
    </w:p>
    <w:p w:rsidR="00763BDD" w:rsidRDefault="00763BDD" w:rsidP="00A0224A">
      <w:pPr>
        <w:tabs>
          <w:tab w:val="left" w:pos="567"/>
        </w:tabs>
        <w:jc w:val="both"/>
        <w:rPr>
          <w:szCs w:val="24"/>
          <w:lang w:eastAsia="en-AU"/>
        </w:rPr>
      </w:pPr>
    </w:p>
    <w:p w:rsidR="00D15DE9" w:rsidRPr="00E85B57" w:rsidRDefault="00D15DE9" w:rsidP="007F0894">
      <w:pPr>
        <w:pStyle w:val="Numberparagraph"/>
        <w:ind w:left="426"/>
      </w:pPr>
      <w:r w:rsidRPr="00E85B57">
        <w:t xml:space="preserve">As this proposal has regulatory implications (it requires an Order in Council), </w:t>
      </w:r>
      <w:r w:rsidR="00073F06">
        <w:t xml:space="preserve">the </w:t>
      </w:r>
      <w:r w:rsidRPr="00E85B57">
        <w:t>Regulatory Impac</w:t>
      </w:r>
      <w:r>
        <w:t>t Analysis</w:t>
      </w:r>
      <w:r w:rsidR="00073F06">
        <w:t xml:space="preserve"> (RIA)</w:t>
      </w:r>
      <w:r>
        <w:t xml:space="preserve"> requirements apply. </w:t>
      </w:r>
      <w:r w:rsidRPr="00E85B57">
        <w:t>However, as this paper relates to an international treaty</w:t>
      </w:r>
      <w:r w:rsidR="00073F06">
        <w:t xml:space="preserve">, </w:t>
      </w:r>
      <w:r w:rsidRPr="00E85B57">
        <w:t xml:space="preserve">an extended NIA has been prepared (see Annex </w:t>
      </w:r>
      <w:r w:rsidR="007D4F6A">
        <w:t>D</w:t>
      </w:r>
      <w:r w:rsidRPr="00E85B57">
        <w:t>)</w:t>
      </w:r>
      <w:r w:rsidR="00073F06">
        <w:t xml:space="preserve"> rather than</w:t>
      </w:r>
      <w:r w:rsidRPr="00E85B57">
        <w:t xml:space="preserve"> a separate Regulatory Impact Statement.</w:t>
      </w:r>
    </w:p>
    <w:p w:rsidR="00D15DE9" w:rsidRPr="00E85B57" w:rsidRDefault="00D15DE9" w:rsidP="007F0894">
      <w:pPr>
        <w:pStyle w:val="Numberparagraph"/>
        <w:numPr>
          <w:ilvl w:val="0"/>
          <w:numId w:val="0"/>
        </w:numPr>
        <w:ind w:left="426"/>
      </w:pPr>
    </w:p>
    <w:p w:rsidR="0087429B" w:rsidRDefault="00D15DE9" w:rsidP="007F0894">
      <w:pPr>
        <w:pStyle w:val="Numberparagraph"/>
        <w:ind w:left="426"/>
      </w:pPr>
      <w:r w:rsidRPr="00E85B57">
        <w:t>The extended NIA w</w:t>
      </w:r>
      <w:r>
        <w:t xml:space="preserve">as prepared by Inland Revenue. </w:t>
      </w:r>
      <w:r w:rsidRPr="00E85B57">
        <w:t>The</w:t>
      </w:r>
      <w:r>
        <w:t xml:space="preserve"> extended</w:t>
      </w:r>
      <w:r w:rsidRPr="00E85B57">
        <w:t xml:space="preserve"> NIA was circulated with this paper to the</w:t>
      </w:r>
      <w:r>
        <w:t xml:space="preserve"> Treasury and the</w:t>
      </w:r>
      <w:r w:rsidRPr="00E85B57">
        <w:t xml:space="preserve"> Ministry of Foreign Affairs and Trade </w:t>
      </w:r>
      <w:r>
        <w:t xml:space="preserve">for departmental consultation. </w:t>
      </w:r>
      <w:r w:rsidRPr="00386601">
        <w:t xml:space="preserve"> </w:t>
      </w:r>
    </w:p>
    <w:p w:rsidR="0087429B" w:rsidRDefault="0087429B" w:rsidP="0087429B">
      <w:pPr>
        <w:pStyle w:val="ListParagraph"/>
      </w:pPr>
    </w:p>
    <w:p w:rsidR="00D15DE9" w:rsidRPr="007F0894" w:rsidRDefault="0087429B" w:rsidP="007F0894">
      <w:pPr>
        <w:pStyle w:val="Numberparagraph"/>
        <w:ind w:left="426"/>
      </w:pPr>
      <w:r>
        <w:t xml:space="preserve">As this proposal has regulatory implications (it requires an Order in Council), the Regulatory Impact </w:t>
      </w:r>
      <w:r w:rsidRPr="0087429B">
        <w:t>Analysis (RIA) requirements apply. However, as this paper relates to an international treaty, an extended NIA has been prepared (see Annex D) in accordance with the RIA requirements.</w:t>
      </w:r>
    </w:p>
    <w:p w:rsidR="0087429B" w:rsidRPr="0087429B" w:rsidRDefault="0087429B" w:rsidP="0087429B">
      <w:pPr>
        <w:pStyle w:val="Numberparagraph"/>
        <w:numPr>
          <w:ilvl w:val="0"/>
          <w:numId w:val="0"/>
        </w:numPr>
        <w:ind w:left="1986"/>
        <w:rPr>
          <w:strike/>
        </w:rPr>
      </w:pPr>
      <w:r>
        <w:rPr>
          <w:color w:val="1F497D"/>
        </w:rPr>
        <w:t xml:space="preserve"> </w:t>
      </w:r>
    </w:p>
    <w:p w:rsidR="0087429B" w:rsidRDefault="0087429B" w:rsidP="0087429B">
      <w:pPr>
        <w:pStyle w:val="Numberparagraph"/>
        <w:ind w:left="426"/>
      </w:pPr>
      <w:r>
        <w:t xml:space="preserve">The extended NIA was prepared by Inland Revenue. The extended NIA was circulated with this paper to the Treasury and the Ministry of Foreign Affairs and Trade for departmental consultation.  </w:t>
      </w:r>
    </w:p>
    <w:p w:rsidR="0087429B" w:rsidRDefault="0087429B" w:rsidP="0087429B">
      <w:pPr>
        <w:pStyle w:val="ListParagraph"/>
      </w:pPr>
    </w:p>
    <w:p w:rsidR="0087429B" w:rsidRDefault="0087429B" w:rsidP="0087429B">
      <w:pPr>
        <w:pStyle w:val="Numberparagraph"/>
        <w:ind w:left="426"/>
      </w:pPr>
      <w:r>
        <w:t>The Regulatory Impact Analysis Team (</w:t>
      </w:r>
      <w:proofErr w:type="spellStart"/>
      <w:r>
        <w:t>RIAT</w:t>
      </w:r>
      <w:proofErr w:type="spellEnd"/>
      <w:r>
        <w:t>) and the tax strategy team in the Treasury have jointly reviewed the extended NIA prepared by Inland Revenue and associated supporting material, and considers that the information and analysis summarised in the extended NIA meets the quality assurance criteria.</w:t>
      </w:r>
    </w:p>
    <w:p w:rsidR="0087429B" w:rsidRDefault="0087429B" w:rsidP="0087429B">
      <w:pPr>
        <w:pStyle w:val="Numberparagraph"/>
        <w:numPr>
          <w:ilvl w:val="0"/>
          <w:numId w:val="0"/>
        </w:numPr>
        <w:ind w:left="426"/>
      </w:pPr>
    </w:p>
    <w:p w:rsidR="0087429B" w:rsidRDefault="0087429B" w:rsidP="0087429B">
      <w:pPr>
        <w:pStyle w:val="Numberparagraph"/>
        <w:ind w:left="426"/>
      </w:pPr>
      <w:r>
        <w:t>The extended NIA compares the benefits and costs of signing the treaty relative to taking no action or other potential approaches to amending DTAs, and provides sufficient analysis to support the proposals.</w:t>
      </w:r>
    </w:p>
    <w:p w:rsidR="0087429B" w:rsidRDefault="0087429B" w:rsidP="0087429B">
      <w:pPr>
        <w:pStyle w:val="Numberparagraph"/>
        <w:numPr>
          <w:ilvl w:val="0"/>
          <w:numId w:val="0"/>
        </w:numPr>
        <w:ind w:left="426"/>
      </w:pPr>
    </w:p>
    <w:p w:rsidR="00073F06" w:rsidRDefault="0087429B" w:rsidP="0087429B">
      <w:pPr>
        <w:pStyle w:val="Numberparagraph"/>
        <w:ind w:left="426"/>
      </w:pPr>
      <w:r>
        <w:t xml:space="preserve">In part because provisions in the MLI are drafted broadly it has been difficult to project the revenue and compliance impacts from the treaty. </w:t>
      </w:r>
      <w:proofErr w:type="spellStart"/>
      <w:r>
        <w:t>RIAT</w:t>
      </w:r>
      <w:proofErr w:type="spellEnd"/>
      <w:r>
        <w:t xml:space="preserve"> recommends ongoing monitoring and evaluation of the impacts of the MLI as part of the Government’s response to BEPS to ensure that any unintended consequences are known.</w:t>
      </w:r>
    </w:p>
    <w:p w:rsidR="00D23100" w:rsidRPr="00DD23B8" w:rsidRDefault="00D23100" w:rsidP="007E2640">
      <w:pPr>
        <w:tabs>
          <w:tab w:val="left" w:pos="567"/>
        </w:tabs>
        <w:jc w:val="both"/>
        <w:rPr>
          <w:szCs w:val="24"/>
          <w:lang w:eastAsia="en-AU"/>
        </w:rPr>
      </w:pPr>
    </w:p>
    <w:p w:rsidR="007E2640" w:rsidRPr="00DD23B8" w:rsidRDefault="004F6ED4" w:rsidP="007E2640">
      <w:pPr>
        <w:tabs>
          <w:tab w:val="left" w:pos="567"/>
        </w:tabs>
        <w:jc w:val="both"/>
        <w:rPr>
          <w:szCs w:val="24"/>
          <w:lang w:eastAsia="en-AU"/>
        </w:rPr>
      </w:pPr>
      <w:r w:rsidRPr="00DD23B8">
        <w:rPr>
          <w:b/>
          <w:bCs/>
          <w:szCs w:val="24"/>
          <w:lang w:eastAsia="en-AU"/>
        </w:rPr>
        <w:t>Publicity</w:t>
      </w:r>
    </w:p>
    <w:p w:rsidR="00D23100" w:rsidRPr="00DD23B8" w:rsidRDefault="00D23100" w:rsidP="007E2640">
      <w:pPr>
        <w:tabs>
          <w:tab w:val="left" w:pos="567"/>
        </w:tabs>
        <w:jc w:val="both"/>
        <w:rPr>
          <w:szCs w:val="24"/>
          <w:lang w:eastAsia="en-AU"/>
        </w:rPr>
      </w:pPr>
    </w:p>
    <w:p w:rsidR="00D23100" w:rsidRDefault="005C7C61" w:rsidP="007F0894">
      <w:pPr>
        <w:pStyle w:val="Numberparagraph"/>
        <w:ind w:left="426"/>
      </w:pPr>
      <w:r>
        <w:t>It is proposed that New Zealand participates in the signing ceremony arranged by the OECD to be held in Paris on 7 June 2017. Appropriate media statements and announcements will be arranged once details have been finalised. The text of the MLI and New Zealand’s notifications and reservations will be publicly available on Inland Revenue’s Tax Policy website. The extended NIA will be publicly available on the Parliamentary website following Parliamentary treaty examination.</w:t>
      </w:r>
    </w:p>
    <w:p w:rsidR="005C7C61" w:rsidRDefault="005C7C61" w:rsidP="007F0894">
      <w:pPr>
        <w:pStyle w:val="Numberparagraph"/>
        <w:numPr>
          <w:ilvl w:val="0"/>
          <w:numId w:val="0"/>
        </w:numPr>
        <w:ind w:left="426"/>
      </w:pPr>
    </w:p>
    <w:p w:rsidR="00D15DE9" w:rsidRPr="00DD23B8" w:rsidRDefault="005C7C61" w:rsidP="007F0894">
      <w:pPr>
        <w:pStyle w:val="Numberparagraph"/>
        <w:ind w:left="426"/>
      </w:pPr>
      <w:r>
        <w:t>It is expected that the OECD will also arrange its own publicity for the signing ceremony and will make all signatories’ reservations and notifications publicly available following the signing ceremony.</w:t>
      </w:r>
    </w:p>
    <w:p w:rsidR="00D23100" w:rsidRPr="00DD23B8" w:rsidRDefault="00D23100" w:rsidP="00AE00CD">
      <w:pPr>
        <w:rPr>
          <w:lang w:eastAsia="en-AU"/>
        </w:rPr>
      </w:pPr>
    </w:p>
    <w:p w:rsidR="00D23100" w:rsidRPr="00763BDD" w:rsidRDefault="00D23100" w:rsidP="00AE00CD">
      <w:pPr>
        <w:rPr>
          <w:lang w:eastAsia="en-AU"/>
        </w:rPr>
      </w:pPr>
    </w:p>
    <w:p w:rsidR="007E2640" w:rsidRDefault="004F6ED4" w:rsidP="007E2640">
      <w:pPr>
        <w:tabs>
          <w:tab w:val="left" w:pos="567"/>
        </w:tabs>
        <w:jc w:val="both"/>
        <w:rPr>
          <w:b/>
          <w:bCs/>
          <w:szCs w:val="24"/>
          <w:lang w:eastAsia="en-AU"/>
        </w:rPr>
      </w:pPr>
      <w:r w:rsidRPr="00DD23B8">
        <w:rPr>
          <w:b/>
          <w:bCs/>
          <w:szCs w:val="24"/>
          <w:lang w:eastAsia="en-AU"/>
        </w:rPr>
        <w:t>Recommendations</w:t>
      </w:r>
    </w:p>
    <w:p w:rsidR="00763BDD" w:rsidRPr="00DD23B8" w:rsidRDefault="00763BDD" w:rsidP="007E2640">
      <w:pPr>
        <w:tabs>
          <w:tab w:val="left" w:pos="567"/>
        </w:tabs>
        <w:jc w:val="both"/>
        <w:rPr>
          <w:szCs w:val="24"/>
          <w:lang w:eastAsia="en-AU"/>
        </w:rPr>
      </w:pPr>
    </w:p>
    <w:p w:rsidR="00AF3E31" w:rsidRPr="00DD23B8" w:rsidRDefault="006477A6" w:rsidP="007F0894">
      <w:pPr>
        <w:pStyle w:val="Numberparagraph"/>
        <w:ind w:left="426"/>
      </w:pPr>
      <w:r>
        <w:t>We</w:t>
      </w:r>
      <w:r w:rsidR="005C7C61">
        <w:t xml:space="preserve"> recommend that the </w:t>
      </w:r>
      <w:r w:rsidR="005C7C61" w:rsidRPr="00306C4E">
        <w:t>Cabinet</w:t>
      </w:r>
      <w:bookmarkStart w:id="2" w:name="_GoBack"/>
      <w:bookmarkEnd w:id="2"/>
      <w:r w:rsidR="005C7C61" w:rsidRPr="00306C4E">
        <w:t>:</w:t>
      </w:r>
    </w:p>
    <w:p w:rsidR="005C7C61" w:rsidRPr="00DD23B8" w:rsidRDefault="005C7C61" w:rsidP="005C7C61">
      <w:pPr>
        <w:rPr>
          <w:lang w:eastAsia="en-AU"/>
        </w:rPr>
      </w:pPr>
      <w:r>
        <w:rPr>
          <w:lang w:eastAsia="en-AU"/>
        </w:rPr>
        <w:t xml:space="preserve">   </w:t>
      </w:r>
    </w:p>
    <w:p w:rsidR="00AF3E31" w:rsidRDefault="00AF3E31" w:rsidP="001169AE">
      <w:pPr>
        <w:pStyle w:val="Recommendationfirstlevel"/>
        <w:tabs>
          <w:tab w:val="clear" w:pos="567"/>
          <w:tab w:val="left" w:pos="709"/>
        </w:tabs>
        <w:rPr>
          <w:lang w:eastAsia="en-US"/>
        </w:rPr>
      </w:pPr>
      <w:r>
        <w:rPr>
          <w:b/>
          <w:bCs/>
        </w:rPr>
        <w:t>note</w:t>
      </w:r>
      <w:r>
        <w:t xml:space="preserve"> that the Income Tax Act 2007 authorises the negotiation of, and giving effect to double tax agreements</w:t>
      </w:r>
      <w:r w:rsidR="00567860">
        <w:t xml:space="preserve"> (</w:t>
      </w:r>
      <w:r w:rsidR="001169AE">
        <w:t>“</w:t>
      </w:r>
      <w:r w:rsidR="00567860">
        <w:t>DTAs</w:t>
      </w:r>
      <w:r w:rsidR="001169AE">
        <w:t>”</w:t>
      </w:r>
      <w:r w:rsidR="00567860">
        <w:t>)</w:t>
      </w:r>
      <w:r>
        <w:t xml:space="preserve"> with other </w:t>
      </w:r>
      <w:r w:rsidR="00567860">
        <w:t>jurisdictions</w:t>
      </w:r>
      <w:r>
        <w:t>;</w:t>
      </w:r>
    </w:p>
    <w:p w:rsidR="00AF3E31" w:rsidRDefault="00AF3E31" w:rsidP="001169AE">
      <w:pPr>
        <w:pStyle w:val="Recommendationfirstlevel"/>
        <w:numPr>
          <w:ilvl w:val="0"/>
          <w:numId w:val="0"/>
        </w:numPr>
        <w:tabs>
          <w:tab w:val="clear" w:pos="567"/>
          <w:tab w:val="left" w:pos="709"/>
        </w:tabs>
        <w:ind w:left="1134"/>
      </w:pPr>
    </w:p>
    <w:p w:rsidR="0087429B" w:rsidRDefault="0087429B" w:rsidP="001169AE">
      <w:pPr>
        <w:pStyle w:val="Recommendationfirstlevel"/>
        <w:numPr>
          <w:ilvl w:val="0"/>
          <w:numId w:val="0"/>
        </w:numPr>
        <w:tabs>
          <w:tab w:val="clear" w:pos="567"/>
          <w:tab w:val="left" w:pos="709"/>
        </w:tabs>
        <w:ind w:left="1134"/>
      </w:pPr>
    </w:p>
    <w:p w:rsidR="0087429B" w:rsidRDefault="0087429B" w:rsidP="001169AE">
      <w:pPr>
        <w:pStyle w:val="Recommendationfirstlevel"/>
        <w:numPr>
          <w:ilvl w:val="0"/>
          <w:numId w:val="0"/>
        </w:numPr>
        <w:tabs>
          <w:tab w:val="clear" w:pos="567"/>
          <w:tab w:val="left" w:pos="709"/>
        </w:tabs>
        <w:ind w:left="1134"/>
      </w:pPr>
    </w:p>
    <w:p w:rsidR="005C7C61" w:rsidRPr="00ED3107" w:rsidRDefault="005C7C61" w:rsidP="001169AE">
      <w:pPr>
        <w:pStyle w:val="Recommendationfirstlevel"/>
        <w:tabs>
          <w:tab w:val="clear" w:pos="567"/>
          <w:tab w:val="left" w:pos="709"/>
        </w:tabs>
      </w:pPr>
      <w:r w:rsidRPr="00FD74EA">
        <w:rPr>
          <w:b/>
        </w:rPr>
        <w:t>note</w:t>
      </w:r>
      <w:r>
        <w:t xml:space="preserve"> that officials </w:t>
      </w:r>
      <w:r w:rsidR="00AF3E31">
        <w:t>participated in</w:t>
      </w:r>
      <w:r>
        <w:t xml:space="preserve"> the negotiation of</w:t>
      </w:r>
      <w:r w:rsidRPr="00282D06">
        <w:t xml:space="preserve"> </w:t>
      </w:r>
      <w:r>
        <w:t>t</w:t>
      </w:r>
      <w:r w:rsidRPr="00282D06">
        <w:t xml:space="preserve">he </w:t>
      </w:r>
      <w:r w:rsidR="00373A7B" w:rsidRPr="00917545">
        <w:rPr>
          <w:rFonts w:cs="Arial"/>
          <w:i/>
        </w:rPr>
        <w:t>Multilateral Convention to Implement Tax Treaty Related Measures to Prevent Base Erosion and Profit Shifting</w:t>
      </w:r>
      <w:r w:rsidR="00373A7B">
        <w:rPr>
          <w:rFonts w:cs="Arial"/>
        </w:rPr>
        <w:t xml:space="preserve"> (</w:t>
      </w:r>
      <w:r w:rsidR="001169AE">
        <w:rPr>
          <w:rFonts w:cs="Arial"/>
        </w:rPr>
        <w:t xml:space="preserve">the </w:t>
      </w:r>
      <w:r w:rsidR="00373A7B">
        <w:rPr>
          <w:rFonts w:cs="Arial"/>
        </w:rPr>
        <w:t>“MLI”)</w:t>
      </w:r>
      <w:r w:rsidR="00F83551">
        <w:rPr>
          <w:rFonts w:cs="Arial"/>
        </w:rPr>
        <w:t>, the text of which was formally adopted in November 2016;</w:t>
      </w:r>
    </w:p>
    <w:p w:rsidR="00ED3107" w:rsidRPr="00567860" w:rsidRDefault="00ED3107" w:rsidP="001169AE">
      <w:pPr>
        <w:pStyle w:val="Recommendationfirstlevel"/>
        <w:numPr>
          <w:ilvl w:val="0"/>
          <w:numId w:val="0"/>
        </w:numPr>
        <w:tabs>
          <w:tab w:val="clear" w:pos="567"/>
          <w:tab w:val="left" w:pos="709"/>
        </w:tabs>
        <w:ind w:left="1134"/>
      </w:pPr>
    </w:p>
    <w:p w:rsidR="00567860" w:rsidRDefault="00567860" w:rsidP="001169AE">
      <w:pPr>
        <w:pStyle w:val="Recommendationfirstlevel"/>
        <w:tabs>
          <w:tab w:val="clear" w:pos="567"/>
          <w:tab w:val="left" w:pos="709"/>
        </w:tabs>
      </w:pPr>
      <w:r>
        <w:rPr>
          <w:b/>
        </w:rPr>
        <w:t xml:space="preserve">note </w:t>
      </w:r>
      <w:r w:rsidRPr="00ED3107">
        <w:t xml:space="preserve">that the MLI will </w:t>
      </w:r>
      <w:r w:rsidR="00ED3107" w:rsidRPr="00ED3107">
        <w:t xml:space="preserve">quickly and </w:t>
      </w:r>
      <w:r w:rsidRPr="00ED3107">
        <w:t xml:space="preserve">efficiently amend the majority of New Zealand’s </w:t>
      </w:r>
      <w:r w:rsidR="00ED3107" w:rsidRPr="00ED3107">
        <w:t>DTAs to include the recommended changes to tax treaties arising out of the OECD</w:t>
      </w:r>
      <w:r w:rsidR="006477A6">
        <w:t>/G20</w:t>
      </w:r>
      <w:r w:rsidR="00ED3107" w:rsidRPr="00ED3107">
        <w:t xml:space="preserve"> 15 point Action Plan on base erosion and profit shifting</w:t>
      </w:r>
      <w:r w:rsidR="00ED3107">
        <w:t>;</w:t>
      </w:r>
    </w:p>
    <w:p w:rsidR="005C7C61" w:rsidRDefault="005C7C61" w:rsidP="001169AE">
      <w:pPr>
        <w:pStyle w:val="Recommendationfirstlevel"/>
        <w:numPr>
          <w:ilvl w:val="0"/>
          <w:numId w:val="0"/>
        </w:numPr>
        <w:tabs>
          <w:tab w:val="clear" w:pos="567"/>
          <w:tab w:val="left" w:pos="709"/>
        </w:tabs>
      </w:pPr>
    </w:p>
    <w:p w:rsidR="00F83551" w:rsidRDefault="005C7C61" w:rsidP="001169AE">
      <w:pPr>
        <w:pStyle w:val="Recommendationfirstlevel"/>
        <w:tabs>
          <w:tab w:val="clear" w:pos="567"/>
          <w:tab w:val="left" w:pos="709"/>
        </w:tabs>
      </w:pPr>
      <w:r w:rsidRPr="00FD74EA">
        <w:rPr>
          <w:b/>
        </w:rPr>
        <w:t>approve</w:t>
      </w:r>
      <w:r>
        <w:t xml:space="preserve"> the text of the </w:t>
      </w:r>
      <w:r w:rsidR="00373A7B">
        <w:t>MLI</w:t>
      </w:r>
      <w:r>
        <w:t xml:space="preserve"> attached to the Cabinet paper as Annex A</w:t>
      </w:r>
      <w:r w:rsidR="003C1ACE">
        <w:t xml:space="preserve"> (subject to any minor technical changes resulting from the process of translation or legal verification)</w:t>
      </w:r>
      <w:r w:rsidR="00F83551">
        <w:t>;</w:t>
      </w:r>
    </w:p>
    <w:p w:rsidR="001A21B5" w:rsidRDefault="001A21B5" w:rsidP="001169AE">
      <w:pPr>
        <w:pStyle w:val="Recommendationfirstlevel"/>
        <w:numPr>
          <w:ilvl w:val="0"/>
          <w:numId w:val="0"/>
        </w:numPr>
        <w:tabs>
          <w:tab w:val="clear" w:pos="567"/>
          <w:tab w:val="left" w:pos="709"/>
        </w:tabs>
        <w:ind w:left="1134"/>
      </w:pPr>
    </w:p>
    <w:p w:rsidR="001A21B5" w:rsidRDefault="001A21B5" w:rsidP="001169AE">
      <w:pPr>
        <w:pStyle w:val="Recommendationfirstlevel"/>
        <w:tabs>
          <w:tab w:val="clear" w:pos="567"/>
          <w:tab w:val="left" w:pos="709"/>
        </w:tabs>
      </w:pPr>
      <w:r>
        <w:rPr>
          <w:b/>
        </w:rPr>
        <w:t xml:space="preserve">note </w:t>
      </w:r>
      <w:r w:rsidRPr="001A21B5">
        <w:t>that officials</w:t>
      </w:r>
      <w:r>
        <w:t xml:space="preserve"> have finalised New Zealand’s</w:t>
      </w:r>
      <w:r w:rsidR="005C7F74">
        <w:t xml:space="preserve"> expected notifications and reservations in relation to the choices available in the MLI;</w:t>
      </w:r>
    </w:p>
    <w:p w:rsidR="00F83551" w:rsidRDefault="00F83551" w:rsidP="001169AE">
      <w:pPr>
        <w:pStyle w:val="Recommendationfirstlevel"/>
        <w:numPr>
          <w:ilvl w:val="0"/>
          <w:numId w:val="0"/>
        </w:numPr>
        <w:tabs>
          <w:tab w:val="clear" w:pos="567"/>
          <w:tab w:val="left" w:pos="709"/>
        </w:tabs>
        <w:ind w:left="1134"/>
      </w:pPr>
    </w:p>
    <w:p w:rsidR="005C7C61" w:rsidRDefault="00F83551" w:rsidP="001169AE">
      <w:pPr>
        <w:pStyle w:val="Recommendationfirstlevel"/>
        <w:tabs>
          <w:tab w:val="clear" w:pos="567"/>
          <w:tab w:val="left" w:pos="709"/>
        </w:tabs>
      </w:pPr>
      <w:r>
        <w:rPr>
          <w:b/>
        </w:rPr>
        <w:t xml:space="preserve">approve </w:t>
      </w:r>
      <w:r w:rsidR="00373A7B">
        <w:t>New Zealand’s expected notifications and reservations attached to the Cabinet paper as Annex B</w:t>
      </w:r>
      <w:r w:rsidR="005C7C61">
        <w:t>;</w:t>
      </w:r>
    </w:p>
    <w:p w:rsidR="00A11142" w:rsidRDefault="00A11142" w:rsidP="00F05665">
      <w:pPr>
        <w:pStyle w:val="ListParagraph"/>
      </w:pPr>
    </w:p>
    <w:p w:rsidR="00A11142" w:rsidRDefault="00A11142" w:rsidP="001169AE">
      <w:pPr>
        <w:pStyle w:val="Recommendationfirstlevel"/>
        <w:tabs>
          <w:tab w:val="clear" w:pos="567"/>
          <w:tab w:val="left" w:pos="709"/>
        </w:tabs>
      </w:pPr>
      <w:r>
        <w:rPr>
          <w:b/>
        </w:rPr>
        <w:t>delegate</w:t>
      </w:r>
      <w:r w:rsidRPr="00F05665">
        <w:t xml:space="preserve"> to the </w:t>
      </w:r>
      <w:r w:rsidR="007167BA" w:rsidRPr="00F05665">
        <w:t xml:space="preserve">Minister of </w:t>
      </w:r>
      <w:r w:rsidR="007167BA">
        <w:t>Finance and</w:t>
      </w:r>
      <w:r w:rsidR="007167BA" w:rsidRPr="00F05665">
        <w:t xml:space="preserve"> </w:t>
      </w:r>
      <w:r w:rsidRPr="00F05665">
        <w:t>Minister of Revenue the</w:t>
      </w:r>
      <w:r>
        <w:t xml:space="preserve"> authority to approve any changes to the notifications and reservations</w:t>
      </w:r>
      <w:r w:rsidR="002A6821" w:rsidRPr="002A6821">
        <w:t xml:space="preserve"> </w:t>
      </w:r>
      <w:r w:rsidR="002A6821">
        <w:t>as a result of developments in other jurisdictions’ positions</w:t>
      </w:r>
      <w:r w:rsidR="00C55508">
        <w:t xml:space="preserve"> and any other minor technical changes</w:t>
      </w:r>
      <w:r>
        <w:t>;</w:t>
      </w:r>
    </w:p>
    <w:p w:rsidR="005C7C61" w:rsidRDefault="005C7C61" w:rsidP="005C7C61">
      <w:pPr>
        <w:pStyle w:val="Recommendationfirstlevel"/>
        <w:numPr>
          <w:ilvl w:val="0"/>
          <w:numId w:val="0"/>
        </w:numPr>
        <w:ind w:left="1134"/>
      </w:pPr>
    </w:p>
    <w:p w:rsidR="005C7C61" w:rsidRDefault="005C7C61" w:rsidP="001169AE">
      <w:pPr>
        <w:pStyle w:val="Recommendationfirstlevel"/>
        <w:tabs>
          <w:tab w:val="clear" w:pos="567"/>
          <w:tab w:val="left" w:pos="709"/>
        </w:tabs>
      </w:pPr>
      <w:r w:rsidRPr="00FD74EA">
        <w:rPr>
          <w:b/>
        </w:rPr>
        <w:t>agree</w:t>
      </w:r>
      <w:r w:rsidR="00373A7B">
        <w:t xml:space="preserve"> that New Zealand sign the MLI</w:t>
      </w:r>
      <w:r w:rsidRPr="00386601">
        <w:t>;</w:t>
      </w:r>
    </w:p>
    <w:p w:rsidR="004927AD" w:rsidRDefault="004927AD" w:rsidP="00F05665">
      <w:pPr>
        <w:pStyle w:val="ListParagraph"/>
      </w:pPr>
    </w:p>
    <w:p w:rsidR="004927AD" w:rsidRDefault="004927AD" w:rsidP="001169AE">
      <w:pPr>
        <w:pStyle w:val="Recommendationfirstlevel"/>
        <w:tabs>
          <w:tab w:val="clear" w:pos="567"/>
          <w:tab w:val="left" w:pos="709"/>
        </w:tabs>
      </w:pPr>
      <w:proofErr w:type="gramStart"/>
      <w:r w:rsidRPr="00F05665">
        <w:rPr>
          <w:b/>
        </w:rPr>
        <w:t>note</w:t>
      </w:r>
      <w:proofErr w:type="gramEnd"/>
      <w:r>
        <w:t xml:space="preserve"> that a</w:t>
      </w:r>
      <w:r w:rsidRPr="003C1EB3">
        <w:t>n</w:t>
      </w:r>
      <w:r>
        <w:t xml:space="preserve"> Instrument of Full Powers will need to be obtained from the Minister of Foreign Affairs to enable the Minister of Revenue to sign the MLI. The Ministry of Foreign Affairs and Trade will prepare this Instrument and arrange for its signature;</w:t>
      </w:r>
    </w:p>
    <w:p w:rsidR="005C7C61" w:rsidRDefault="005C7C61" w:rsidP="005C7C61">
      <w:pPr>
        <w:pStyle w:val="Recommendationfirstlevel"/>
        <w:numPr>
          <w:ilvl w:val="0"/>
          <w:numId w:val="0"/>
        </w:numPr>
        <w:ind w:left="1134"/>
      </w:pPr>
    </w:p>
    <w:p w:rsidR="005C7C61" w:rsidRDefault="005C7C61" w:rsidP="001169AE">
      <w:pPr>
        <w:pStyle w:val="Recommendationfirstlevel"/>
        <w:tabs>
          <w:tab w:val="clear" w:pos="567"/>
          <w:tab w:val="left" w:pos="709"/>
        </w:tabs>
      </w:pPr>
      <w:r w:rsidRPr="00FD0458">
        <w:rPr>
          <w:b/>
        </w:rPr>
        <w:t>approve</w:t>
      </w:r>
      <w:r>
        <w:t xml:space="preserve"> the extended National Interest Analysis (“NIA”) attached to the Cabinet pap</w:t>
      </w:r>
      <w:r w:rsidR="00373A7B">
        <w:t xml:space="preserve">er as Annex </w:t>
      </w:r>
      <w:r w:rsidR="007D4F6A">
        <w:t>D</w:t>
      </w:r>
      <w:r>
        <w:t>;</w:t>
      </w:r>
    </w:p>
    <w:p w:rsidR="00E90DD0" w:rsidRDefault="00E90DD0" w:rsidP="00F05665">
      <w:pPr>
        <w:pStyle w:val="ListParagraph"/>
      </w:pPr>
    </w:p>
    <w:p w:rsidR="00E90DD0" w:rsidRDefault="00E90DD0" w:rsidP="005E35C4">
      <w:pPr>
        <w:pStyle w:val="Recommendationfirstlevel"/>
        <w:tabs>
          <w:tab w:val="clear" w:pos="567"/>
          <w:tab w:val="left" w:pos="709"/>
        </w:tabs>
      </w:pPr>
      <w:r>
        <w:rPr>
          <w:b/>
        </w:rPr>
        <w:t>note</w:t>
      </w:r>
      <w:r>
        <w:t xml:space="preserve"> the content of the NIA may change as a result of developments in other jurisdictions</w:t>
      </w:r>
      <w:r w:rsidR="00C97E2A">
        <w:t>’</w:t>
      </w:r>
      <w:r>
        <w:t xml:space="preserve"> positions between now and Parliamentary treaty examination;</w:t>
      </w:r>
    </w:p>
    <w:p w:rsidR="005C7C61" w:rsidRDefault="005C7C61" w:rsidP="005C7C61">
      <w:pPr>
        <w:pStyle w:val="Recommendationfirstlevel"/>
        <w:numPr>
          <w:ilvl w:val="0"/>
          <w:numId w:val="0"/>
        </w:numPr>
        <w:ind w:left="1134"/>
      </w:pPr>
    </w:p>
    <w:p w:rsidR="003C1ACE" w:rsidRPr="003B1C26" w:rsidRDefault="003C1ACE" w:rsidP="001169AE">
      <w:pPr>
        <w:pStyle w:val="Recommendationfirstlevel"/>
        <w:tabs>
          <w:tab w:val="clear" w:pos="567"/>
          <w:tab w:val="left" w:pos="709"/>
        </w:tabs>
      </w:pPr>
      <w:r>
        <w:rPr>
          <w:b/>
        </w:rPr>
        <w:t>note</w:t>
      </w:r>
      <w:r>
        <w:t xml:space="preserve"> that the Government will present any international treaty that is the subject of ratification to the House of Representatives for Parliamentary treaty examination, in accordance with Standing Order 397;</w:t>
      </w:r>
    </w:p>
    <w:p w:rsidR="003C1ACE" w:rsidRDefault="003C1ACE" w:rsidP="003B1C26">
      <w:pPr>
        <w:pStyle w:val="ListParagraph"/>
        <w:rPr>
          <w:b/>
        </w:rPr>
      </w:pPr>
    </w:p>
    <w:p w:rsidR="005C7C61" w:rsidRDefault="005C7C61" w:rsidP="005C7C61">
      <w:pPr>
        <w:pStyle w:val="Recommendationfirstlevel"/>
      </w:pPr>
      <w:r w:rsidRPr="00FD0458">
        <w:rPr>
          <w:b/>
        </w:rPr>
        <w:t>agree</w:t>
      </w:r>
      <w:r>
        <w:t xml:space="preserve"> that, following signature, the text of </w:t>
      </w:r>
      <w:r w:rsidR="00373A7B">
        <w:t>the MLI</w:t>
      </w:r>
      <w:r>
        <w:t xml:space="preserve">, </w:t>
      </w:r>
      <w:r w:rsidR="00373A7B">
        <w:t xml:space="preserve">New Zealand’s notifications and reservations, </w:t>
      </w:r>
      <w:r>
        <w:t>and the NIA be tabled in the House of Representatives for Parliamentary treaty examination, in accordance with Standing Order 397;</w:t>
      </w:r>
    </w:p>
    <w:p w:rsidR="003C1ACE" w:rsidRDefault="003C1ACE" w:rsidP="003B1C26">
      <w:pPr>
        <w:pStyle w:val="ListParagraph"/>
      </w:pPr>
    </w:p>
    <w:p w:rsidR="003C1ACE" w:rsidRDefault="003C1ACE" w:rsidP="003C1ACE">
      <w:pPr>
        <w:pStyle w:val="Recommendationfirstlevel"/>
      </w:pPr>
      <w:r w:rsidRPr="00FD0458">
        <w:rPr>
          <w:b/>
        </w:rPr>
        <w:t>note</w:t>
      </w:r>
      <w:r>
        <w:t xml:space="preserve"> that the MLI will be incorporated into New Zealand domestic law through an Order in Council with overriding effect made pursuant to section </w:t>
      </w:r>
      <w:proofErr w:type="spellStart"/>
      <w:r>
        <w:t>BH</w:t>
      </w:r>
      <w:proofErr w:type="spellEnd"/>
      <w:r>
        <w:t xml:space="preserve"> 1 of the Income Tax Act 2007;</w:t>
      </w:r>
    </w:p>
    <w:p w:rsidR="005C7C61" w:rsidRDefault="005C7C61" w:rsidP="005C7C61">
      <w:pPr>
        <w:pStyle w:val="Recommendationfirstlevel"/>
        <w:numPr>
          <w:ilvl w:val="0"/>
          <w:numId w:val="0"/>
        </w:numPr>
      </w:pPr>
    </w:p>
    <w:p w:rsidR="005C7C61" w:rsidRDefault="005C7C61" w:rsidP="005C7C61">
      <w:pPr>
        <w:pStyle w:val="Recommendationfirstlevel"/>
      </w:pPr>
      <w:r w:rsidRPr="00FD0458">
        <w:rPr>
          <w:b/>
        </w:rPr>
        <w:t>invite</w:t>
      </w:r>
      <w:r>
        <w:t xml:space="preserve"> the Minister of Revenue to instruct the Parliamentary Counsel Office to draft the Order in Council to give effect to the </w:t>
      </w:r>
      <w:r w:rsidR="00373A7B">
        <w:t>MLI</w:t>
      </w:r>
      <w:r>
        <w:t>, following signature and completion of the Parliamentary treaty examination process;</w:t>
      </w:r>
    </w:p>
    <w:p w:rsidR="0087429B" w:rsidRDefault="0087429B" w:rsidP="0087429B">
      <w:pPr>
        <w:pStyle w:val="ListParagraph"/>
      </w:pPr>
    </w:p>
    <w:p w:rsidR="0087429B" w:rsidRDefault="0087429B" w:rsidP="0087429B">
      <w:pPr>
        <w:pStyle w:val="Recommendationfirstlevel"/>
        <w:numPr>
          <w:ilvl w:val="0"/>
          <w:numId w:val="0"/>
        </w:numPr>
        <w:ind w:left="720" w:hanging="360"/>
      </w:pPr>
    </w:p>
    <w:p w:rsidR="0087429B" w:rsidRDefault="0087429B" w:rsidP="0087429B">
      <w:pPr>
        <w:pStyle w:val="Recommendationfirstlevel"/>
        <w:numPr>
          <w:ilvl w:val="0"/>
          <w:numId w:val="0"/>
        </w:numPr>
        <w:ind w:left="720" w:hanging="360"/>
      </w:pPr>
    </w:p>
    <w:p w:rsidR="005C7C61" w:rsidRDefault="005C7C61" w:rsidP="005C7C61">
      <w:pPr>
        <w:pStyle w:val="Recommendationfirstlevel"/>
        <w:numPr>
          <w:ilvl w:val="0"/>
          <w:numId w:val="0"/>
        </w:numPr>
        <w:ind w:left="1134"/>
      </w:pPr>
    </w:p>
    <w:p w:rsidR="005C7C61" w:rsidRDefault="005C7C61" w:rsidP="005C7C61">
      <w:pPr>
        <w:pStyle w:val="Recommendationfirstlevel"/>
      </w:pPr>
      <w:proofErr w:type="gramStart"/>
      <w:r w:rsidRPr="00FD0458">
        <w:rPr>
          <w:b/>
        </w:rPr>
        <w:t>authorise</w:t>
      </w:r>
      <w:proofErr w:type="gramEnd"/>
      <w:r>
        <w:t xml:space="preserve"> officials, following signature, completion of the Parliamentary treaty examination process, and promulgation of</w:t>
      </w:r>
      <w:r w:rsidR="00373A7B">
        <w:t xml:space="preserve"> the Order in Council to bring the MLI</w:t>
      </w:r>
      <w:r>
        <w:t xml:space="preserve"> into force by </w:t>
      </w:r>
      <w:r w:rsidR="00373A7B">
        <w:t>depositing New Zealand’s instrument of ratification</w:t>
      </w:r>
      <w:r w:rsidR="005C7F74">
        <w:t xml:space="preserve"> and list of confirmed notification</w:t>
      </w:r>
      <w:r w:rsidR="00530DFD">
        <w:t>s</w:t>
      </w:r>
      <w:r w:rsidR="005C7F74">
        <w:t xml:space="preserve"> and reservations</w:t>
      </w:r>
      <w:r>
        <w:t xml:space="preserve"> </w:t>
      </w:r>
      <w:r w:rsidR="00373A7B">
        <w:t xml:space="preserve">with the </w:t>
      </w:r>
      <w:r w:rsidR="00385119">
        <w:t>OECD</w:t>
      </w:r>
      <w:r w:rsidR="00373A7B">
        <w:t xml:space="preserve"> Depositary</w:t>
      </w:r>
      <w:r>
        <w:t>.</w:t>
      </w:r>
    </w:p>
    <w:p w:rsidR="00415C5B" w:rsidRDefault="00415C5B" w:rsidP="00415C5B">
      <w:pPr>
        <w:pStyle w:val="Recommendationfirstlevel"/>
        <w:numPr>
          <w:ilvl w:val="0"/>
          <w:numId w:val="0"/>
        </w:numPr>
        <w:ind w:left="1134"/>
      </w:pPr>
    </w:p>
    <w:p w:rsidR="00017290" w:rsidRPr="00DD23B8" w:rsidRDefault="00017290" w:rsidP="006808E1">
      <w:pPr>
        <w:tabs>
          <w:tab w:val="left" w:pos="567"/>
        </w:tabs>
        <w:ind w:left="1125" w:hanging="1125"/>
        <w:jc w:val="both"/>
        <w:rPr>
          <w:szCs w:val="24"/>
          <w:lang w:eastAsia="en-AU"/>
        </w:rPr>
      </w:pPr>
    </w:p>
    <w:p w:rsidR="00E4232F" w:rsidRDefault="00E4232F" w:rsidP="00E4232F">
      <w:pPr>
        <w:tabs>
          <w:tab w:val="left" w:pos="567"/>
          <w:tab w:val="left" w:pos="1125"/>
        </w:tabs>
        <w:jc w:val="both"/>
        <w:rPr>
          <w:szCs w:val="24"/>
          <w:lang w:eastAsia="en-AU"/>
        </w:rPr>
      </w:pPr>
    </w:p>
    <w:tbl>
      <w:tblPr>
        <w:tblStyle w:val="TableGrid"/>
        <w:tblW w:w="0" w:type="auto"/>
        <w:tblLook w:val="04A0" w:firstRow="1" w:lastRow="0" w:firstColumn="1" w:lastColumn="0" w:noHBand="0" w:noVBand="1"/>
      </w:tblPr>
      <w:tblGrid>
        <w:gridCol w:w="4643"/>
        <w:gridCol w:w="4644"/>
      </w:tblGrid>
      <w:tr w:rsidR="003B1C26" w:rsidTr="003B1C26">
        <w:tc>
          <w:tcPr>
            <w:tcW w:w="4643" w:type="dxa"/>
          </w:tcPr>
          <w:p w:rsidR="003B1C26" w:rsidRPr="00DD23B8" w:rsidRDefault="003B1C26" w:rsidP="003B1C26">
            <w:pPr>
              <w:tabs>
                <w:tab w:val="left" w:pos="567"/>
                <w:tab w:val="left" w:pos="5100"/>
              </w:tabs>
              <w:jc w:val="both"/>
              <w:rPr>
                <w:b/>
                <w:szCs w:val="24"/>
                <w:lang w:eastAsia="en-AU"/>
              </w:rPr>
            </w:pPr>
            <w:r>
              <w:rPr>
                <w:b/>
                <w:szCs w:val="24"/>
                <w:lang w:eastAsia="en-AU"/>
              </w:rPr>
              <w:t>Hon Steven Joyce</w:t>
            </w:r>
          </w:p>
          <w:p w:rsidR="003B1C26" w:rsidRDefault="003B1C26" w:rsidP="003B1C26">
            <w:pPr>
              <w:tabs>
                <w:tab w:val="left" w:pos="567"/>
                <w:tab w:val="left" w:pos="5100"/>
              </w:tabs>
              <w:jc w:val="both"/>
              <w:rPr>
                <w:szCs w:val="24"/>
                <w:lang w:eastAsia="en-AU"/>
              </w:rPr>
            </w:pPr>
            <w:r>
              <w:rPr>
                <w:szCs w:val="24"/>
                <w:lang w:eastAsia="en-AU"/>
              </w:rPr>
              <w:t>Minister of Finance</w:t>
            </w:r>
          </w:p>
          <w:p w:rsidR="003B1C26" w:rsidRPr="00DD23B8" w:rsidRDefault="003B1C26" w:rsidP="003B1C26">
            <w:pPr>
              <w:tabs>
                <w:tab w:val="left" w:pos="567"/>
                <w:tab w:val="left" w:pos="5100"/>
              </w:tabs>
              <w:jc w:val="both"/>
              <w:rPr>
                <w:szCs w:val="24"/>
                <w:lang w:eastAsia="en-AU"/>
              </w:rPr>
            </w:pPr>
          </w:p>
          <w:p w:rsidR="007475AB" w:rsidRPr="007475AB" w:rsidRDefault="007475AB" w:rsidP="007475AB">
            <w:pPr>
              <w:tabs>
                <w:tab w:val="left" w:pos="567"/>
                <w:tab w:val="left" w:pos="1125"/>
              </w:tabs>
              <w:jc w:val="both"/>
              <w:rPr>
                <w:sz w:val="22"/>
                <w:szCs w:val="22"/>
              </w:rPr>
            </w:pPr>
            <w:r w:rsidRPr="007475AB">
              <w:rPr>
                <w:sz w:val="22"/>
                <w:szCs w:val="22"/>
              </w:rPr>
              <w:t xml:space="preserve"> </w:t>
            </w:r>
            <w:r w:rsidRPr="007475AB">
              <w:rPr>
                <w:sz w:val="22"/>
                <w:szCs w:val="22"/>
                <w:u w:val="single"/>
              </w:rPr>
              <w:t xml:space="preserve">        </w:t>
            </w:r>
            <w:r w:rsidRPr="007475AB">
              <w:rPr>
                <w:sz w:val="22"/>
                <w:szCs w:val="22"/>
              </w:rPr>
              <w:t>/</w:t>
            </w:r>
            <w:r w:rsidRPr="007475AB">
              <w:rPr>
                <w:sz w:val="22"/>
                <w:szCs w:val="22"/>
                <w:u w:val="single"/>
              </w:rPr>
              <w:t xml:space="preserve">          </w:t>
            </w:r>
            <w:r w:rsidRPr="007475AB">
              <w:rPr>
                <w:sz w:val="22"/>
                <w:szCs w:val="22"/>
              </w:rPr>
              <w:tab/>
              <w:t>/</w:t>
            </w:r>
            <w:r w:rsidRPr="007475AB">
              <w:rPr>
                <w:sz w:val="22"/>
                <w:szCs w:val="22"/>
                <w:u w:val="single"/>
              </w:rPr>
              <w:tab/>
            </w:r>
          </w:p>
          <w:p w:rsidR="003B1C26" w:rsidRDefault="007475AB" w:rsidP="007475AB">
            <w:pPr>
              <w:tabs>
                <w:tab w:val="left" w:pos="567"/>
                <w:tab w:val="left" w:pos="1125"/>
              </w:tabs>
              <w:jc w:val="both"/>
              <w:rPr>
                <w:szCs w:val="24"/>
                <w:lang w:eastAsia="en-AU"/>
              </w:rPr>
            </w:pPr>
            <w:r>
              <w:rPr>
                <w:sz w:val="22"/>
                <w:szCs w:val="22"/>
              </w:rPr>
              <w:t xml:space="preserve"> Date</w:t>
            </w:r>
          </w:p>
        </w:tc>
        <w:tc>
          <w:tcPr>
            <w:tcW w:w="4644" w:type="dxa"/>
          </w:tcPr>
          <w:p w:rsidR="003B1C26" w:rsidRPr="00DD23B8" w:rsidRDefault="003B1C26" w:rsidP="003B1C26">
            <w:pPr>
              <w:tabs>
                <w:tab w:val="left" w:pos="567"/>
                <w:tab w:val="left" w:pos="5100"/>
              </w:tabs>
              <w:jc w:val="both"/>
              <w:rPr>
                <w:b/>
                <w:szCs w:val="24"/>
                <w:lang w:eastAsia="en-AU"/>
              </w:rPr>
            </w:pPr>
            <w:r>
              <w:rPr>
                <w:b/>
                <w:szCs w:val="24"/>
                <w:lang w:eastAsia="en-AU"/>
              </w:rPr>
              <w:t>Hon Judith Collins</w:t>
            </w:r>
          </w:p>
          <w:p w:rsidR="003B1C26" w:rsidRPr="00DD23B8" w:rsidRDefault="003B1C26" w:rsidP="003B1C26">
            <w:pPr>
              <w:tabs>
                <w:tab w:val="left" w:pos="567"/>
                <w:tab w:val="left" w:pos="5100"/>
              </w:tabs>
              <w:jc w:val="both"/>
              <w:rPr>
                <w:szCs w:val="24"/>
                <w:lang w:eastAsia="en-AU"/>
              </w:rPr>
            </w:pPr>
            <w:r>
              <w:rPr>
                <w:szCs w:val="24"/>
                <w:lang w:eastAsia="en-AU"/>
              </w:rPr>
              <w:t>Minister of Revenue</w:t>
            </w:r>
          </w:p>
          <w:p w:rsidR="007475AB" w:rsidRDefault="00E55FE3" w:rsidP="00E4232F">
            <w:pPr>
              <w:tabs>
                <w:tab w:val="left" w:pos="567"/>
                <w:tab w:val="left" w:pos="1125"/>
              </w:tabs>
              <w:jc w:val="both"/>
              <w:rPr>
                <w:sz w:val="22"/>
                <w:szCs w:val="22"/>
              </w:rPr>
            </w:pPr>
            <w:r w:rsidRPr="00DD23B8">
              <w:rPr>
                <w:sz w:val="22"/>
                <w:szCs w:val="22"/>
              </w:rPr>
              <w:tab/>
            </w:r>
          </w:p>
          <w:p w:rsidR="003B1C26" w:rsidRPr="007475AB" w:rsidRDefault="007475AB" w:rsidP="00E4232F">
            <w:pPr>
              <w:tabs>
                <w:tab w:val="left" w:pos="567"/>
                <w:tab w:val="left" w:pos="1125"/>
              </w:tabs>
              <w:jc w:val="both"/>
              <w:rPr>
                <w:sz w:val="22"/>
                <w:szCs w:val="22"/>
              </w:rPr>
            </w:pPr>
            <w:r w:rsidRPr="007475AB">
              <w:rPr>
                <w:sz w:val="22"/>
                <w:szCs w:val="22"/>
              </w:rPr>
              <w:t xml:space="preserve"> </w:t>
            </w:r>
            <w:r w:rsidRPr="007475AB">
              <w:rPr>
                <w:sz w:val="22"/>
                <w:szCs w:val="22"/>
                <w:u w:val="single"/>
              </w:rPr>
              <w:t xml:space="preserve">        </w:t>
            </w:r>
            <w:r w:rsidR="00E55FE3" w:rsidRPr="007475AB">
              <w:rPr>
                <w:sz w:val="22"/>
                <w:szCs w:val="22"/>
              </w:rPr>
              <w:t>/</w:t>
            </w:r>
            <w:r w:rsidRPr="007475AB">
              <w:rPr>
                <w:sz w:val="22"/>
                <w:szCs w:val="22"/>
                <w:u w:val="single"/>
              </w:rPr>
              <w:t xml:space="preserve">          </w:t>
            </w:r>
            <w:r w:rsidR="00E55FE3" w:rsidRPr="007475AB">
              <w:rPr>
                <w:sz w:val="22"/>
                <w:szCs w:val="22"/>
              </w:rPr>
              <w:tab/>
              <w:t>/</w:t>
            </w:r>
            <w:r w:rsidR="00E55FE3" w:rsidRPr="007475AB">
              <w:rPr>
                <w:sz w:val="22"/>
                <w:szCs w:val="22"/>
                <w:u w:val="single"/>
              </w:rPr>
              <w:tab/>
            </w:r>
          </w:p>
          <w:p w:rsidR="007475AB" w:rsidRPr="007475AB" w:rsidRDefault="007475AB" w:rsidP="007475AB">
            <w:pPr>
              <w:tabs>
                <w:tab w:val="left" w:pos="567"/>
                <w:tab w:val="left" w:pos="1125"/>
              </w:tabs>
              <w:jc w:val="both"/>
              <w:rPr>
                <w:szCs w:val="24"/>
                <w:lang w:eastAsia="en-AU"/>
              </w:rPr>
            </w:pPr>
            <w:r>
              <w:rPr>
                <w:sz w:val="22"/>
                <w:szCs w:val="22"/>
              </w:rPr>
              <w:t xml:space="preserve"> Date</w:t>
            </w:r>
          </w:p>
        </w:tc>
      </w:tr>
    </w:tbl>
    <w:p w:rsidR="003B1C26" w:rsidRDefault="003B1C26" w:rsidP="00E4232F">
      <w:pPr>
        <w:tabs>
          <w:tab w:val="left" w:pos="567"/>
          <w:tab w:val="left" w:pos="1125"/>
        </w:tabs>
        <w:jc w:val="both"/>
        <w:rPr>
          <w:szCs w:val="24"/>
          <w:lang w:eastAsia="en-AU"/>
        </w:rPr>
      </w:pPr>
    </w:p>
    <w:p w:rsidR="003B1C26" w:rsidRPr="00DD23B8" w:rsidRDefault="003B1C26" w:rsidP="003B1C26">
      <w:pPr>
        <w:tabs>
          <w:tab w:val="left" w:pos="567"/>
        </w:tabs>
        <w:jc w:val="both"/>
        <w:rPr>
          <w:szCs w:val="24"/>
          <w:lang w:eastAsia="en-AU"/>
        </w:rPr>
      </w:pPr>
    </w:p>
    <w:p w:rsidR="003B1C26" w:rsidRPr="00DD23B8" w:rsidRDefault="003B1C26" w:rsidP="003B1C26"/>
    <w:p w:rsidR="00682039" w:rsidRDefault="00682039">
      <w:r>
        <w:br w:type="page"/>
      </w:r>
    </w:p>
    <w:p w:rsidR="00682039" w:rsidRDefault="00682039" w:rsidP="00682039">
      <w:pPr>
        <w:spacing w:line="276" w:lineRule="auto"/>
        <w:rPr>
          <w:b/>
          <w:u w:val="single"/>
        </w:rPr>
      </w:pPr>
      <w:r>
        <w:rPr>
          <w:b/>
          <w:u w:val="single"/>
        </w:rPr>
        <w:t>Annex A</w:t>
      </w:r>
    </w:p>
    <w:p w:rsidR="00682039" w:rsidRDefault="00682039" w:rsidP="00682039">
      <w:pPr>
        <w:rPr>
          <w:b/>
          <w:u w:val="single"/>
        </w:rPr>
      </w:pPr>
    </w:p>
    <w:p w:rsidR="00682039" w:rsidRPr="0051643C" w:rsidRDefault="00682039" w:rsidP="00682039">
      <w:pPr>
        <w:rPr>
          <w:i/>
        </w:rPr>
      </w:pPr>
      <w:r w:rsidRPr="0051643C">
        <w:rPr>
          <w:i/>
        </w:rPr>
        <w:t>Text of the MLI</w:t>
      </w:r>
      <w:r w:rsidRPr="0051643C">
        <w:rPr>
          <w:i/>
        </w:rPr>
        <w:br w:type="page"/>
      </w:r>
    </w:p>
    <w:p w:rsidR="00682039" w:rsidRDefault="00682039" w:rsidP="00682039">
      <w:pPr>
        <w:spacing w:line="276" w:lineRule="auto"/>
        <w:rPr>
          <w:b/>
          <w:u w:val="single"/>
        </w:rPr>
      </w:pPr>
      <w:r>
        <w:rPr>
          <w:b/>
          <w:u w:val="single"/>
        </w:rPr>
        <w:t>Annex B</w:t>
      </w:r>
    </w:p>
    <w:p w:rsidR="00682039" w:rsidRDefault="00682039" w:rsidP="00682039">
      <w:pPr>
        <w:rPr>
          <w:b/>
          <w:u w:val="single"/>
        </w:rPr>
      </w:pPr>
    </w:p>
    <w:p w:rsidR="00682039" w:rsidRDefault="00682039" w:rsidP="00682039">
      <w:pPr>
        <w:rPr>
          <w:b/>
          <w:u w:val="single"/>
        </w:rPr>
      </w:pPr>
      <w:r>
        <w:rPr>
          <w:i/>
        </w:rPr>
        <w:t>New Zealand’s notifications and reservations</w:t>
      </w:r>
      <w:r>
        <w:rPr>
          <w:b/>
          <w:u w:val="single"/>
        </w:rPr>
        <w:t xml:space="preserve"> </w:t>
      </w:r>
      <w:r>
        <w:rPr>
          <w:b/>
          <w:u w:val="single"/>
        </w:rPr>
        <w:br w:type="page"/>
      </w:r>
    </w:p>
    <w:p w:rsidR="00682039" w:rsidRPr="00843A68" w:rsidRDefault="00682039" w:rsidP="00682039">
      <w:pPr>
        <w:rPr>
          <w:i/>
        </w:rPr>
      </w:pPr>
    </w:p>
    <w:p w:rsidR="00682039" w:rsidRDefault="00682039" w:rsidP="00682039">
      <w:pPr>
        <w:spacing w:line="276" w:lineRule="auto"/>
        <w:rPr>
          <w:b/>
          <w:u w:val="single"/>
        </w:rPr>
      </w:pPr>
      <w:r>
        <w:rPr>
          <w:b/>
          <w:u w:val="single"/>
        </w:rPr>
        <w:t xml:space="preserve">Annex </w:t>
      </w:r>
      <w:r w:rsidR="007D4F6A">
        <w:rPr>
          <w:b/>
          <w:u w:val="single"/>
        </w:rPr>
        <w:t>C</w:t>
      </w:r>
    </w:p>
    <w:p w:rsidR="00682039" w:rsidRDefault="00682039" w:rsidP="00682039">
      <w:pPr>
        <w:spacing w:line="276" w:lineRule="auto"/>
        <w:rPr>
          <w:b/>
          <w:u w:val="single"/>
        </w:rPr>
      </w:pPr>
    </w:p>
    <w:p w:rsidR="00682039" w:rsidRDefault="00682039" w:rsidP="00682039">
      <w:pPr>
        <w:pStyle w:val="TRNormal"/>
      </w:pPr>
      <w:r>
        <w:t xml:space="preserve">New Zealand has 40 DTAs currently in force. The table below shows the coverage of the MLI across New Zealand’s treaty network (as at </w:t>
      </w:r>
      <w:r w:rsidR="006341F6">
        <w:t>9 May</w:t>
      </w:r>
      <w:r>
        <w:t xml:space="preserve"> 2017). </w:t>
      </w:r>
    </w:p>
    <w:p w:rsidR="00682039" w:rsidRDefault="00682039" w:rsidP="00682039">
      <w:pPr>
        <w:pStyle w:val="TRNormal"/>
      </w:pPr>
    </w:p>
    <w:tbl>
      <w:tblPr>
        <w:tblW w:w="3951" w:type="pct"/>
        <w:tblLayout w:type="fixed"/>
        <w:tblLook w:val="04A0" w:firstRow="1" w:lastRow="0" w:firstColumn="1" w:lastColumn="0" w:noHBand="0" w:noVBand="1"/>
      </w:tblPr>
      <w:tblGrid>
        <w:gridCol w:w="1620"/>
        <w:gridCol w:w="6167"/>
      </w:tblGrid>
      <w:tr w:rsidR="00682039" w:rsidRPr="00AB5D04" w:rsidTr="00682039">
        <w:trPr>
          <w:trHeight w:val="225"/>
        </w:trPr>
        <w:tc>
          <w:tcPr>
            <w:tcW w:w="1040" w:type="pct"/>
            <w:tcBorders>
              <w:top w:val="single" w:sz="4" w:space="0" w:color="auto"/>
              <w:left w:val="single" w:sz="4" w:space="0" w:color="auto"/>
              <w:bottom w:val="single" w:sz="4" w:space="0" w:color="auto"/>
              <w:right w:val="single" w:sz="4" w:space="0" w:color="auto"/>
            </w:tcBorders>
            <w:shd w:val="clear" w:color="auto" w:fill="000000" w:themeFill="text1"/>
          </w:tcPr>
          <w:p w:rsidR="00682039" w:rsidRPr="00803CEA" w:rsidRDefault="00682039" w:rsidP="00AA6D28">
            <w:pPr>
              <w:jc w:val="center"/>
              <w:rPr>
                <w:b/>
                <w:color w:val="FFFFFF" w:themeColor="background1"/>
                <w:szCs w:val="24"/>
                <w:lang w:eastAsia="en-NZ"/>
              </w:rPr>
            </w:pPr>
          </w:p>
        </w:tc>
        <w:tc>
          <w:tcPr>
            <w:tcW w:w="3960" w:type="pct"/>
            <w:tcBorders>
              <w:top w:val="single" w:sz="4" w:space="0" w:color="auto"/>
              <w:left w:val="single" w:sz="4" w:space="0" w:color="auto"/>
              <w:bottom w:val="single" w:sz="4" w:space="0" w:color="auto"/>
              <w:right w:val="single" w:sz="4" w:space="0" w:color="auto"/>
            </w:tcBorders>
            <w:shd w:val="clear" w:color="auto" w:fill="000000" w:themeFill="text1"/>
            <w:noWrap/>
            <w:vAlign w:val="bottom"/>
          </w:tcPr>
          <w:p w:rsidR="00682039" w:rsidRPr="00803CEA" w:rsidRDefault="00682039" w:rsidP="00AA6D28">
            <w:pPr>
              <w:jc w:val="center"/>
              <w:rPr>
                <w:b/>
                <w:color w:val="FFFFFF" w:themeColor="background1"/>
                <w:szCs w:val="24"/>
                <w:lang w:eastAsia="en-NZ"/>
              </w:rPr>
            </w:pPr>
            <w:r w:rsidRPr="00803CEA">
              <w:rPr>
                <w:b/>
                <w:color w:val="FFFFFF" w:themeColor="background1"/>
                <w:szCs w:val="24"/>
                <w:lang w:eastAsia="en-NZ"/>
              </w:rPr>
              <w:t>DTA</w:t>
            </w:r>
          </w:p>
        </w:tc>
      </w:tr>
      <w:tr w:rsidR="00682039" w:rsidRPr="00AB5D04" w:rsidTr="00682039">
        <w:trPr>
          <w:trHeight w:val="225"/>
        </w:trPr>
        <w:tc>
          <w:tcPr>
            <w:tcW w:w="1040" w:type="pct"/>
            <w:vMerge w:val="restart"/>
            <w:tcBorders>
              <w:top w:val="single" w:sz="4" w:space="0" w:color="auto"/>
              <w:left w:val="single" w:sz="4" w:space="0" w:color="auto"/>
              <w:right w:val="single" w:sz="4" w:space="0" w:color="auto"/>
            </w:tcBorders>
            <w:shd w:val="clear" w:color="auto" w:fill="DBE5F1" w:themeFill="accent1" w:themeFillTint="33"/>
            <w:textDirection w:val="btLr"/>
          </w:tcPr>
          <w:p w:rsidR="00682039" w:rsidRPr="00F705D0" w:rsidRDefault="00682039" w:rsidP="00AA6D28">
            <w:pPr>
              <w:ind w:left="39" w:right="113"/>
              <w:jc w:val="center"/>
              <w:rPr>
                <w:b/>
                <w:color w:val="000000"/>
                <w:sz w:val="28"/>
                <w:szCs w:val="24"/>
                <w:lang w:eastAsia="en-NZ"/>
              </w:rPr>
            </w:pPr>
            <w:r w:rsidRPr="00F705D0">
              <w:rPr>
                <w:b/>
                <w:color w:val="000000"/>
                <w:sz w:val="28"/>
                <w:szCs w:val="24"/>
                <w:lang w:eastAsia="en-NZ"/>
              </w:rPr>
              <w:t>Covered tax agreements</w:t>
            </w:r>
          </w:p>
        </w:tc>
        <w:tc>
          <w:tcPr>
            <w:tcW w:w="3960" w:type="pct"/>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rsidR="00682039" w:rsidRPr="00F705D0" w:rsidRDefault="00682039" w:rsidP="00F83840">
            <w:pPr>
              <w:pStyle w:val="ListParagraph"/>
              <w:numPr>
                <w:ilvl w:val="0"/>
                <w:numId w:val="11"/>
              </w:numPr>
              <w:ind w:left="181" w:hanging="142"/>
              <w:rPr>
                <w:color w:val="000000"/>
                <w:szCs w:val="24"/>
                <w:lang w:eastAsia="en-NZ"/>
              </w:rPr>
            </w:pPr>
            <w:r w:rsidRPr="00F705D0">
              <w:rPr>
                <w:color w:val="000000"/>
                <w:szCs w:val="24"/>
                <w:lang w:eastAsia="en-NZ"/>
              </w:rPr>
              <w:t>Australia</w:t>
            </w:r>
          </w:p>
        </w:tc>
      </w:tr>
      <w:tr w:rsidR="00682039" w:rsidRPr="00AB5D04" w:rsidTr="00682039">
        <w:trPr>
          <w:trHeight w:val="225"/>
        </w:trPr>
        <w:tc>
          <w:tcPr>
            <w:tcW w:w="1040" w:type="pct"/>
            <w:vMerge/>
            <w:tcBorders>
              <w:left w:val="single" w:sz="4" w:space="0" w:color="auto"/>
              <w:right w:val="single" w:sz="4" w:space="0" w:color="auto"/>
            </w:tcBorders>
            <w:shd w:val="clear" w:color="auto" w:fill="DBE5F1" w:themeFill="accent1" w:themeFillTint="33"/>
          </w:tcPr>
          <w:p w:rsidR="00682039" w:rsidRPr="00F705D0" w:rsidRDefault="00682039" w:rsidP="00AA6D28">
            <w:pPr>
              <w:ind w:left="39"/>
              <w:rPr>
                <w:color w:val="000000"/>
                <w:sz w:val="28"/>
                <w:szCs w:val="24"/>
                <w:lang w:eastAsia="en-NZ"/>
              </w:rPr>
            </w:pPr>
          </w:p>
        </w:tc>
        <w:tc>
          <w:tcPr>
            <w:tcW w:w="3960" w:type="pct"/>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rsidR="00682039" w:rsidRPr="00F705D0" w:rsidRDefault="00682039" w:rsidP="00F83840">
            <w:pPr>
              <w:pStyle w:val="ListParagraph"/>
              <w:numPr>
                <w:ilvl w:val="0"/>
                <w:numId w:val="11"/>
              </w:numPr>
              <w:ind w:left="181" w:hanging="142"/>
              <w:rPr>
                <w:color w:val="000000"/>
                <w:szCs w:val="24"/>
                <w:lang w:eastAsia="en-NZ"/>
              </w:rPr>
            </w:pPr>
            <w:r w:rsidRPr="00F705D0">
              <w:rPr>
                <w:color w:val="000000"/>
                <w:szCs w:val="24"/>
                <w:lang w:eastAsia="en-NZ"/>
              </w:rPr>
              <w:t>Belgium</w:t>
            </w:r>
          </w:p>
        </w:tc>
      </w:tr>
      <w:tr w:rsidR="00682039" w:rsidRPr="00AB5D04" w:rsidTr="00682039">
        <w:trPr>
          <w:trHeight w:val="225"/>
        </w:trPr>
        <w:tc>
          <w:tcPr>
            <w:tcW w:w="1040" w:type="pct"/>
            <w:vMerge/>
            <w:tcBorders>
              <w:left w:val="single" w:sz="4" w:space="0" w:color="auto"/>
              <w:right w:val="single" w:sz="4" w:space="0" w:color="auto"/>
            </w:tcBorders>
            <w:shd w:val="clear" w:color="auto" w:fill="DBE5F1" w:themeFill="accent1" w:themeFillTint="33"/>
          </w:tcPr>
          <w:p w:rsidR="00682039" w:rsidRPr="00F705D0" w:rsidRDefault="00682039" w:rsidP="00AA6D28">
            <w:pPr>
              <w:ind w:left="39"/>
              <w:rPr>
                <w:color w:val="000000"/>
                <w:sz w:val="28"/>
                <w:szCs w:val="24"/>
                <w:lang w:eastAsia="en-NZ"/>
              </w:rPr>
            </w:pPr>
          </w:p>
        </w:tc>
        <w:tc>
          <w:tcPr>
            <w:tcW w:w="3960" w:type="pct"/>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rsidR="00682039" w:rsidRPr="00F705D0" w:rsidRDefault="00682039" w:rsidP="00F83840">
            <w:pPr>
              <w:pStyle w:val="ListParagraph"/>
              <w:numPr>
                <w:ilvl w:val="0"/>
                <w:numId w:val="11"/>
              </w:numPr>
              <w:ind w:left="181" w:hanging="142"/>
              <w:rPr>
                <w:color w:val="000000"/>
                <w:szCs w:val="24"/>
                <w:lang w:eastAsia="en-NZ"/>
              </w:rPr>
            </w:pPr>
            <w:r w:rsidRPr="00F705D0">
              <w:rPr>
                <w:color w:val="000000"/>
                <w:szCs w:val="24"/>
                <w:lang w:eastAsia="en-NZ"/>
              </w:rPr>
              <w:t>Canada</w:t>
            </w:r>
          </w:p>
        </w:tc>
      </w:tr>
      <w:tr w:rsidR="00682039" w:rsidRPr="00AB5D04" w:rsidTr="00682039">
        <w:trPr>
          <w:trHeight w:val="225"/>
        </w:trPr>
        <w:tc>
          <w:tcPr>
            <w:tcW w:w="1040" w:type="pct"/>
            <w:vMerge/>
            <w:tcBorders>
              <w:left w:val="single" w:sz="4" w:space="0" w:color="auto"/>
              <w:right w:val="single" w:sz="4" w:space="0" w:color="auto"/>
            </w:tcBorders>
            <w:shd w:val="clear" w:color="auto" w:fill="DBE5F1" w:themeFill="accent1" w:themeFillTint="33"/>
          </w:tcPr>
          <w:p w:rsidR="00682039" w:rsidRPr="00F705D0" w:rsidRDefault="00682039" w:rsidP="00AA6D28">
            <w:pPr>
              <w:ind w:left="39"/>
              <w:rPr>
                <w:color w:val="000000"/>
                <w:sz w:val="28"/>
                <w:szCs w:val="24"/>
                <w:lang w:eastAsia="en-NZ"/>
              </w:rPr>
            </w:pPr>
          </w:p>
        </w:tc>
        <w:tc>
          <w:tcPr>
            <w:tcW w:w="3960" w:type="pct"/>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rsidR="00682039" w:rsidRPr="00F705D0" w:rsidRDefault="00682039" w:rsidP="00F83840">
            <w:pPr>
              <w:pStyle w:val="ListParagraph"/>
              <w:numPr>
                <w:ilvl w:val="0"/>
                <w:numId w:val="11"/>
              </w:numPr>
              <w:ind w:left="181" w:hanging="142"/>
              <w:rPr>
                <w:color w:val="000000"/>
                <w:szCs w:val="24"/>
                <w:lang w:eastAsia="en-NZ"/>
              </w:rPr>
            </w:pPr>
            <w:r w:rsidRPr="00F705D0">
              <w:rPr>
                <w:color w:val="000000"/>
                <w:szCs w:val="24"/>
                <w:lang w:eastAsia="en-NZ"/>
              </w:rPr>
              <w:t>Chile</w:t>
            </w:r>
          </w:p>
        </w:tc>
      </w:tr>
      <w:tr w:rsidR="00682039" w:rsidRPr="00AB5D04" w:rsidTr="00682039">
        <w:trPr>
          <w:trHeight w:val="225"/>
        </w:trPr>
        <w:tc>
          <w:tcPr>
            <w:tcW w:w="1040" w:type="pct"/>
            <w:vMerge/>
            <w:tcBorders>
              <w:left w:val="single" w:sz="4" w:space="0" w:color="auto"/>
              <w:right w:val="single" w:sz="4" w:space="0" w:color="auto"/>
            </w:tcBorders>
            <w:shd w:val="clear" w:color="auto" w:fill="DBE5F1" w:themeFill="accent1" w:themeFillTint="33"/>
          </w:tcPr>
          <w:p w:rsidR="00682039" w:rsidRPr="00F705D0" w:rsidRDefault="00682039" w:rsidP="00AA6D28">
            <w:pPr>
              <w:ind w:left="39"/>
              <w:rPr>
                <w:color w:val="000000"/>
                <w:sz w:val="28"/>
                <w:szCs w:val="24"/>
                <w:lang w:eastAsia="en-NZ"/>
              </w:rPr>
            </w:pPr>
          </w:p>
        </w:tc>
        <w:tc>
          <w:tcPr>
            <w:tcW w:w="3960" w:type="pct"/>
            <w:tcBorders>
              <w:top w:val="single" w:sz="4" w:space="0" w:color="auto"/>
              <w:left w:val="single" w:sz="4" w:space="0" w:color="auto"/>
              <w:bottom w:val="single" w:sz="4" w:space="0" w:color="auto"/>
              <w:right w:val="single" w:sz="4" w:space="0" w:color="auto"/>
            </w:tcBorders>
            <w:shd w:val="clear" w:color="auto" w:fill="DBE5F1" w:themeFill="accent1" w:themeFillTint="33"/>
            <w:noWrap/>
          </w:tcPr>
          <w:p w:rsidR="00682039" w:rsidRPr="00F705D0" w:rsidRDefault="00682039" w:rsidP="00F83840">
            <w:pPr>
              <w:pStyle w:val="ListParagraph"/>
              <w:numPr>
                <w:ilvl w:val="0"/>
                <w:numId w:val="11"/>
              </w:numPr>
              <w:ind w:left="181" w:hanging="142"/>
              <w:rPr>
                <w:color w:val="000000"/>
                <w:szCs w:val="24"/>
                <w:lang w:eastAsia="en-NZ"/>
              </w:rPr>
            </w:pPr>
            <w:r w:rsidRPr="00F705D0">
              <w:rPr>
                <w:color w:val="000000"/>
                <w:szCs w:val="24"/>
                <w:lang w:eastAsia="en-NZ"/>
              </w:rPr>
              <w:t xml:space="preserve">China </w:t>
            </w:r>
          </w:p>
        </w:tc>
      </w:tr>
      <w:tr w:rsidR="00682039" w:rsidRPr="00AB5D04" w:rsidTr="00682039">
        <w:trPr>
          <w:trHeight w:val="225"/>
        </w:trPr>
        <w:tc>
          <w:tcPr>
            <w:tcW w:w="1040" w:type="pct"/>
            <w:vMerge/>
            <w:tcBorders>
              <w:left w:val="single" w:sz="4" w:space="0" w:color="auto"/>
              <w:right w:val="single" w:sz="4" w:space="0" w:color="auto"/>
            </w:tcBorders>
            <w:shd w:val="clear" w:color="auto" w:fill="DBE5F1" w:themeFill="accent1" w:themeFillTint="33"/>
          </w:tcPr>
          <w:p w:rsidR="00682039" w:rsidRPr="00F705D0" w:rsidRDefault="00682039" w:rsidP="00AA6D28">
            <w:pPr>
              <w:ind w:left="39"/>
              <w:rPr>
                <w:color w:val="000000"/>
                <w:sz w:val="28"/>
                <w:szCs w:val="24"/>
                <w:lang w:eastAsia="en-NZ"/>
              </w:rPr>
            </w:pPr>
          </w:p>
        </w:tc>
        <w:tc>
          <w:tcPr>
            <w:tcW w:w="3960" w:type="pct"/>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rsidR="00682039" w:rsidRPr="00F705D0" w:rsidRDefault="00682039" w:rsidP="00F83840">
            <w:pPr>
              <w:pStyle w:val="ListParagraph"/>
              <w:numPr>
                <w:ilvl w:val="0"/>
                <w:numId w:val="11"/>
              </w:numPr>
              <w:ind w:left="181" w:hanging="142"/>
              <w:rPr>
                <w:color w:val="000000"/>
                <w:szCs w:val="24"/>
                <w:lang w:eastAsia="en-NZ"/>
              </w:rPr>
            </w:pPr>
            <w:r w:rsidRPr="00F705D0">
              <w:rPr>
                <w:color w:val="000000"/>
                <w:szCs w:val="24"/>
                <w:lang w:eastAsia="en-NZ"/>
              </w:rPr>
              <w:t>Czech Republic</w:t>
            </w:r>
          </w:p>
        </w:tc>
      </w:tr>
      <w:tr w:rsidR="00682039" w:rsidRPr="00AB5D04" w:rsidTr="00682039">
        <w:trPr>
          <w:trHeight w:val="225"/>
        </w:trPr>
        <w:tc>
          <w:tcPr>
            <w:tcW w:w="1040" w:type="pct"/>
            <w:vMerge/>
            <w:tcBorders>
              <w:left w:val="single" w:sz="4" w:space="0" w:color="auto"/>
              <w:right w:val="single" w:sz="4" w:space="0" w:color="auto"/>
            </w:tcBorders>
            <w:shd w:val="clear" w:color="auto" w:fill="DBE5F1" w:themeFill="accent1" w:themeFillTint="33"/>
          </w:tcPr>
          <w:p w:rsidR="00682039" w:rsidRPr="00F705D0" w:rsidRDefault="00682039" w:rsidP="00AA6D28">
            <w:pPr>
              <w:ind w:left="39"/>
              <w:rPr>
                <w:color w:val="000000"/>
                <w:sz w:val="28"/>
                <w:szCs w:val="24"/>
                <w:lang w:eastAsia="en-NZ"/>
              </w:rPr>
            </w:pPr>
          </w:p>
        </w:tc>
        <w:tc>
          <w:tcPr>
            <w:tcW w:w="3960" w:type="pct"/>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rsidR="00682039" w:rsidRPr="00F705D0" w:rsidRDefault="00682039" w:rsidP="00F83840">
            <w:pPr>
              <w:pStyle w:val="ListParagraph"/>
              <w:numPr>
                <w:ilvl w:val="0"/>
                <w:numId w:val="11"/>
              </w:numPr>
              <w:ind w:left="181" w:hanging="142"/>
              <w:rPr>
                <w:color w:val="000000"/>
                <w:szCs w:val="24"/>
                <w:lang w:eastAsia="en-NZ"/>
              </w:rPr>
            </w:pPr>
            <w:r w:rsidRPr="00F705D0">
              <w:rPr>
                <w:color w:val="000000"/>
                <w:szCs w:val="24"/>
                <w:lang w:eastAsia="en-NZ"/>
              </w:rPr>
              <w:t>Denmark</w:t>
            </w:r>
          </w:p>
        </w:tc>
      </w:tr>
      <w:tr w:rsidR="00682039" w:rsidRPr="00AB5D04" w:rsidTr="00682039">
        <w:trPr>
          <w:trHeight w:val="225"/>
        </w:trPr>
        <w:tc>
          <w:tcPr>
            <w:tcW w:w="1040" w:type="pct"/>
            <w:vMerge/>
            <w:tcBorders>
              <w:left w:val="single" w:sz="4" w:space="0" w:color="auto"/>
              <w:right w:val="single" w:sz="4" w:space="0" w:color="auto"/>
            </w:tcBorders>
            <w:shd w:val="clear" w:color="auto" w:fill="DBE5F1" w:themeFill="accent1" w:themeFillTint="33"/>
          </w:tcPr>
          <w:p w:rsidR="00682039" w:rsidRPr="00F705D0" w:rsidRDefault="00682039" w:rsidP="00AA6D28">
            <w:pPr>
              <w:ind w:left="39"/>
              <w:rPr>
                <w:color w:val="000000"/>
                <w:sz w:val="28"/>
                <w:szCs w:val="24"/>
                <w:lang w:eastAsia="en-NZ"/>
              </w:rPr>
            </w:pPr>
          </w:p>
        </w:tc>
        <w:tc>
          <w:tcPr>
            <w:tcW w:w="3960" w:type="pct"/>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rsidR="00682039" w:rsidRPr="00F705D0" w:rsidRDefault="00682039" w:rsidP="00F83840">
            <w:pPr>
              <w:pStyle w:val="ListParagraph"/>
              <w:numPr>
                <w:ilvl w:val="0"/>
                <w:numId w:val="11"/>
              </w:numPr>
              <w:ind w:left="181" w:hanging="142"/>
              <w:rPr>
                <w:color w:val="000000"/>
                <w:szCs w:val="24"/>
                <w:lang w:eastAsia="en-NZ"/>
              </w:rPr>
            </w:pPr>
            <w:r w:rsidRPr="00F705D0">
              <w:rPr>
                <w:color w:val="000000"/>
                <w:szCs w:val="24"/>
                <w:lang w:eastAsia="en-NZ"/>
              </w:rPr>
              <w:t>Finland</w:t>
            </w:r>
          </w:p>
        </w:tc>
      </w:tr>
      <w:tr w:rsidR="00682039" w:rsidRPr="00AB5D04" w:rsidTr="00682039">
        <w:trPr>
          <w:trHeight w:val="225"/>
        </w:trPr>
        <w:tc>
          <w:tcPr>
            <w:tcW w:w="1040" w:type="pct"/>
            <w:vMerge/>
            <w:tcBorders>
              <w:left w:val="single" w:sz="4" w:space="0" w:color="auto"/>
              <w:right w:val="single" w:sz="4" w:space="0" w:color="auto"/>
            </w:tcBorders>
            <w:shd w:val="clear" w:color="auto" w:fill="DBE5F1" w:themeFill="accent1" w:themeFillTint="33"/>
          </w:tcPr>
          <w:p w:rsidR="00682039" w:rsidRPr="00F705D0" w:rsidRDefault="00682039" w:rsidP="00AA6D28">
            <w:pPr>
              <w:ind w:left="39"/>
              <w:rPr>
                <w:color w:val="000000"/>
                <w:sz w:val="28"/>
                <w:szCs w:val="24"/>
                <w:lang w:eastAsia="en-NZ"/>
              </w:rPr>
            </w:pPr>
          </w:p>
        </w:tc>
        <w:tc>
          <w:tcPr>
            <w:tcW w:w="3960" w:type="pct"/>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rsidR="00682039" w:rsidRPr="00F705D0" w:rsidRDefault="00682039" w:rsidP="00F83840">
            <w:pPr>
              <w:pStyle w:val="ListParagraph"/>
              <w:numPr>
                <w:ilvl w:val="0"/>
                <w:numId w:val="11"/>
              </w:numPr>
              <w:ind w:left="181" w:hanging="142"/>
              <w:rPr>
                <w:color w:val="000000"/>
                <w:szCs w:val="24"/>
                <w:lang w:eastAsia="en-NZ"/>
              </w:rPr>
            </w:pPr>
            <w:r w:rsidRPr="00F705D0">
              <w:rPr>
                <w:color w:val="000000"/>
                <w:szCs w:val="24"/>
                <w:lang w:eastAsia="en-NZ"/>
              </w:rPr>
              <w:t>France</w:t>
            </w:r>
          </w:p>
        </w:tc>
      </w:tr>
      <w:tr w:rsidR="00682039" w:rsidRPr="00AB5D04" w:rsidTr="00682039">
        <w:trPr>
          <w:trHeight w:val="225"/>
        </w:trPr>
        <w:tc>
          <w:tcPr>
            <w:tcW w:w="1040" w:type="pct"/>
            <w:vMerge/>
            <w:tcBorders>
              <w:left w:val="single" w:sz="4" w:space="0" w:color="auto"/>
              <w:right w:val="single" w:sz="4" w:space="0" w:color="auto"/>
            </w:tcBorders>
            <w:shd w:val="clear" w:color="auto" w:fill="DBE5F1" w:themeFill="accent1" w:themeFillTint="33"/>
          </w:tcPr>
          <w:p w:rsidR="00682039" w:rsidRPr="00F705D0" w:rsidRDefault="00682039" w:rsidP="00AA6D28">
            <w:pPr>
              <w:ind w:left="39"/>
              <w:rPr>
                <w:color w:val="000000"/>
                <w:sz w:val="28"/>
                <w:szCs w:val="24"/>
                <w:lang w:eastAsia="en-NZ"/>
              </w:rPr>
            </w:pPr>
          </w:p>
        </w:tc>
        <w:tc>
          <w:tcPr>
            <w:tcW w:w="3960" w:type="pct"/>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rsidR="00682039" w:rsidRPr="00F705D0" w:rsidRDefault="00682039" w:rsidP="00F83840">
            <w:pPr>
              <w:pStyle w:val="ListParagraph"/>
              <w:numPr>
                <w:ilvl w:val="0"/>
                <w:numId w:val="11"/>
              </w:numPr>
              <w:ind w:left="181" w:hanging="142"/>
              <w:rPr>
                <w:color w:val="000000"/>
                <w:szCs w:val="24"/>
                <w:lang w:eastAsia="en-NZ"/>
              </w:rPr>
            </w:pPr>
            <w:r w:rsidRPr="00F705D0">
              <w:rPr>
                <w:color w:val="000000"/>
                <w:szCs w:val="24"/>
                <w:lang w:eastAsia="en-NZ"/>
              </w:rPr>
              <w:t>Germany</w:t>
            </w:r>
          </w:p>
        </w:tc>
      </w:tr>
      <w:tr w:rsidR="00682039" w:rsidRPr="00AB5D04" w:rsidTr="00682039">
        <w:trPr>
          <w:trHeight w:val="225"/>
        </w:trPr>
        <w:tc>
          <w:tcPr>
            <w:tcW w:w="1040" w:type="pct"/>
            <w:vMerge/>
            <w:tcBorders>
              <w:left w:val="single" w:sz="4" w:space="0" w:color="auto"/>
              <w:right w:val="single" w:sz="4" w:space="0" w:color="auto"/>
            </w:tcBorders>
            <w:shd w:val="clear" w:color="auto" w:fill="DBE5F1" w:themeFill="accent1" w:themeFillTint="33"/>
          </w:tcPr>
          <w:p w:rsidR="00682039" w:rsidRPr="00F705D0" w:rsidRDefault="00682039" w:rsidP="00AA6D28">
            <w:pPr>
              <w:ind w:left="39"/>
              <w:rPr>
                <w:color w:val="000000"/>
                <w:sz w:val="28"/>
                <w:szCs w:val="24"/>
                <w:lang w:eastAsia="en-NZ"/>
              </w:rPr>
            </w:pPr>
          </w:p>
        </w:tc>
        <w:tc>
          <w:tcPr>
            <w:tcW w:w="3960" w:type="pct"/>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rsidR="00682039" w:rsidRPr="00F705D0" w:rsidRDefault="00682039" w:rsidP="00F83840">
            <w:pPr>
              <w:pStyle w:val="ListParagraph"/>
              <w:numPr>
                <w:ilvl w:val="0"/>
                <w:numId w:val="11"/>
              </w:numPr>
              <w:ind w:left="181" w:hanging="142"/>
              <w:rPr>
                <w:color w:val="000000"/>
                <w:szCs w:val="24"/>
                <w:lang w:eastAsia="en-NZ"/>
              </w:rPr>
            </w:pPr>
            <w:r w:rsidRPr="00F705D0">
              <w:rPr>
                <w:color w:val="000000"/>
                <w:szCs w:val="24"/>
                <w:lang w:eastAsia="en-NZ"/>
              </w:rPr>
              <w:t>Hong Kong (China)</w:t>
            </w:r>
          </w:p>
        </w:tc>
      </w:tr>
      <w:tr w:rsidR="00682039" w:rsidRPr="00AB5D04" w:rsidTr="00682039">
        <w:trPr>
          <w:trHeight w:val="225"/>
        </w:trPr>
        <w:tc>
          <w:tcPr>
            <w:tcW w:w="1040" w:type="pct"/>
            <w:vMerge/>
            <w:tcBorders>
              <w:left w:val="single" w:sz="4" w:space="0" w:color="auto"/>
              <w:right w:val="single" w:sz="4" w:space="0" w:color="auto"/>
            </w:tcBorders>
            <w:shd w:val="clear" w:color="auto" w:fill="DBE5F1" w:themeFill="accent1" w:themeFillTint="33"/>
          </w:tcPr>
          <w:p w:rsidR="00682039" w:rsidRPr="00F705D0" w:rsidRDefault="00682039" w:rsidP="00AA6D28">
            <w:pPr>
              <w:ind w:left="39"/>
              <w:rPr>
                <w:color w:val="000000"/>
                <w:sz w:val="28"/>
                <w:szCs w:val="24"/>
                <w:lang w:eastAsia="en-NZ"/>
              </w:rPr>
            </w:pPr>
          </w:p>
        </w:tc>
        <w:tc>
          <w:tcPr>
            <w:tcW w:w="3960" w:type="pct"/>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rsidR="00682039" w:rsidRPr="00F705D0" w:rsidRDefault="00682039" w:rsidP="00F83840">
            <w:pPr>
              <w:pStyle w:val="ListParagraph"/>
              <w:numPr>
                <w:ilvl w:val="0"/>
                <w:numId w:val="11"/>
              </w:numPr>
              <w:ind w:left="181" w:hanging="142"/>
              <w:rPr>
                <w:color w:val="000000"/>
                <w:szCs w:val="24"/>
                <w:lang w:eastAsia="en-NZ"/>
              </w:rPr>
            </w:pPr>
            <w:r w:rsidRPr="00F705D0">
              <w:rPr>
                <w:color w:val="000000"/>
                <w:szCs w:val="24"/>
                <w:lang w:eastAsia="en-NZ"/>
              </w:rPr>
              <w:t>India</w:t>
            </w:r>
          </w:p>
        </w:tc>
      </w:tr>
      <w:tr w:rsidR="00682039" w:rsidRPr="00AB5D04" w:rsidTr="00682039">
        <w:trPr>
          <w:trHeight w:val="225"/>
        </w:trPr>
        <w:tc>
          <w:tcPr>
            <w:tcW w:w="1040" w:type="pct"/>
            <w:vMerge/>
            <w:tcBorders>
              <w:left w:val="single" w:sz="4" w:space="0" w:color="auto"/>
              <w:right w:val="single" w:sz="4" w:space="0" w:color="auto"/>
            </w:tcBorders>
            <w:shd w:val="clear" w:color="auto" w:fill="DBE5F1" w:themeFill="accent1" w:themeFillTint="33"/>
          </w:tcPr>
          <w:p w:rsidR="00682039" w:rsidRPr="00F705D0" w:rsidRDefault="00682039" w:rsidP="00AA6D28">
            <w:pPr>
              <w:ind w:left="39"/>
              <w:rPr>
                <w:color w:val="000000"/>
                <w:sz w:val="28"/>
                <w:szCs w:val="24"/>
                <w:lang w:eastAsia="en-NZ"/>
              </w:rPr>
            </w:pPr>
          </w:p>
        </w:tc>
        <w:tc>
          <w:tcPr>
            <w:tcW w:w="3960" w:type="pct"/>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rsidR="00682039" w:rsidRPr="00F705D0" w:rsidRDefault="00682039" w:rsidP="00F83840">
            <w:pPr>
              <w:pStyle w:val="ListParagraph"/>
              <w:numPr>
                <w:ilvl w:val="0"/>
                <w:numId w:val="11"/>
              </w:numPr>
              <w:ind w:left="181" w:hanging="142"/>
              <w:rPr>
                <w:color w:val="000000"/>
                <w:szCs w:val="24"/>
                <w:lang w:eastAsia="en-NZ"/>
              </w:rPr>
            </w:pPr>
            <w:r w:rsidRPr="00F705D0">
              <w:rPr>
                <w:color w:val="000000"/>
                <w:szCs w:val="24"/>
                <w:lang w:eastAsia="en-NZ"/>
              </w:rPr>
              <w:t>Indonesia</w:t>
            </w:r>
          </w:p>
        </w:tc>
      </w:tr>
      <w:tr w:rsidR="00682039" w:rsidRPr="00AB5D04" w:rsidTr="00682039">
        <w:trPr>
          <w:trHeight w:val="225"/>
        </w:trPr>
        <w:tc>
          <w:tcPr>
            <w:tcW w:w="1040" w:type="pct"/>
            <w:vMerge/>
            <w:tcBorders>
              <w:left w:val="single" w:sz="4" w:space="0" w:color="auto"/>
              <w:right w:val="single" w:sz="4" w:space="0" w:color="auto"/>
            </w:tcBorders>
            <w:shd w:val="clear" w:color="auto" w:fill="DBE5F1" w:themeFill="accent1" w:themeFillTint="33"/>
          </w:tcPr>
          <w:p w:rsidR="00682039" w:rsidRPr="00F705D0" w:rsidRDefault="00682039" w:rsidP="00AA6D28">
            <w:pPr>
              <w:ind w:left="39"/>
              <w:rPr>
                <w:color w:val="000000"/>
                <w:sz w:val="28"/>
                <w:szCs w:val="24"/>
                <w:lang w:eastAsia="en-NZ"/>
              </w:rPr>
            </w:pPr>
          </w:p>
        </w:tc>
        <w:tc>
          <w:tcPr>
            <w:tcW w:w="3960" w:type="pct"/>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rsidR="00682039" w:rsidRPr="00F705D0" w:rsidRDefault="00682039" w:rsidP="00F83840">
            <w:pPr>
              <w:pStyle w:val="ListParagraph"/>
              <w:numPr>
                <w:ilvl w:val="0"/>
                <w:numId w:val="11"/>
              </w:numPr>
              <w:ind w:left="181" w:hanging="142"/>
              <w:rPr>
                <w:color w:val="000000"/>
                <w:szCs w:val="24"/>
                <w:lang w:eastAsia="en-NZ"/>
              </w:rPr>
            </w:pPr>
            <w:r w:rsidRPr="00F705D0">
              <w:rPr>
                <w:color w:val="000000"/>
                <w:szCs w:val="24"/>
                <w:lang w:eastAsia="en-NZ"/>
              </w:rPr>
              <w:t>Ireland</w:t>
            </w:r>
          </w:p>
        </w:tc>
      </w:tr>
      <w:tr w:rsidR="00682039" w:rsidRPr="00AB5D04" w:rsidTr="00682039">
        <w:trPr>
          <w:trHeight w:val="225"/>
        </w:trPr>
        <w:tc>
          <w:tcPr>
            <w:tcW w:w="1040" w:type="pct"/>
            <w:vMerge/>
            <w:tcBorders>
              <w:left w:val="single" w:sz="4" w:space="0" w:color="auto"/>
              <w:right w:val="single" w:sz="4" w:space="0" w:color="auto"/>
            </w:tcBorders>
            <w:shd w:val="clear" w:color="auto" w:fill="DBE5F1" w:themeFill="accent1" w:themeFillTint="33"/>
          </w:tcPr>
          <w:p w:rsidR="00682039" w:rsidRPr="00F705D0" w:rsidRDefault="00682039" w:rsidP="00AA6D28">
            <w:pPr>
              <w:ind w:left="39"/>
              <w:rPr>
                <w:color w:val="000000"/>
                <w:sz w:val="28"/>
                <w:szCs w:val="24"/>
                <w:lang w:eastAsia="en-NZ"/>
              </w:rPr>
            </w:pPr>
          </w:p>
        </w:tc>
        <w:tc>
          <w:tcPr>
            <w:tcW w:w="3960" w:type="pct"/>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rsidR="00682039" w:rsidRPr="00F705D0" w:rsidRDefault="00682039" w:rsidP="00F83840">
            <w:pPr>
              <w:pStyle w:val="ListParagraph"/>
              <w:numPr>
                <w:ilvl w:val="0"/>
                <w:numId w:val="11"/>
              </w:numPr>
              <w:ind w:left="181" w:hanging="142"/>
              <w:rPr>
                <w:color w:val="000000"/>
                <w:szCs w:val="24"/>
                <w:lang w:eastAsia="en-NZ"/>
              </w:rPr>
            </w:pPr>
            <w:r w:rsidRPr="00F705D0">
              <w:rPr>
                <w:color w:val="000000"/>
                <w:szCs w:val="24"/>
                <w:lang w:eastAsia="en-NZ"/>
              </w:rPr>
              <w:t>Italy</w:t>
            </w:r>
          </w:p>
        </w:tc>
      </w:tr>
      <w:tr w:rsidR="00682039" w:rsidRPr="00AB5D04" w:rsidTr="00682039">
        <w:trPr>
          <w:trHeight w:val="225"/>
        </w:trPr>
        <w:tc>
          <w:tcPr>
            <w:tcW w:w="1040" w:type="pct"/>
            <w:vMerge/>
            <w:tcBorders>
              <w:left w:val="single" w:sz="4" w:space="0" w:color="auto"/>
              <w:right w:val="single" w:sz="4" w:space="0" w:color="auto"/>
            </w:tcBorders>
            <w:shd w:val="clear" w:color="auto" w:fill="DBE5F1" w:themeFill="accent1" w:themeFillTint="33"/>
          </w:tcPr>
          <w:p w:rsidR="00682039" w:rsidRPr="00F705D0" w:rsidRDefault="00682039" w:rsidP="00AA6D28">
            <w:pPr>
              <w:ind w:left="39"/>
              <w:rPr>
                <w:color w:val="000000"/>
                <w:sz w:val="28"/>
                <w:szCs w:val="24"/>
                <w:lang w:eastAsia="en-NZ"/>
              </w:rPr>
            </w:pPr>
          </w:p>
        </w:tc>
        <w:tc>
          <w:tcPr>
            <w:tcW w:w="3960" w:type="pct"/>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rsidR="00682039" w:rsidRPr="00F705D0" w:rsidRDefault="00682039" w:rsidP="00F83840">
            <w:pPr>
              <w:pStyle w:val="ListParagraph"/>
              <w:numPr>
                <w:ilvl w:val="0"/>
                <w:numId w:val="11"/>
              </w:numPr>
              <w:ind w:left="181" w:hanging="142"/>
              <w:rPr>
                <w:color w:val="000000"/>
                <w:szCs w:val="24"/>
                <w:lang w:eastAsia="en-NZ"/>
              </w:rPr>
            </w:pPr>
            <w:r w:rsidRPr="00F705D0">
              <w:rPr>
                <w:color w:val="000000"/>
                <w:szCs w:val="24"/>
                <w:lang w:eastAsia="en-NZ"/>
              </w:rPr>
              <w:t>Japan</w:t>
            </w:r>
          </w:p>
        </w:tc>
      </w:tr>
      <w:tr w:rsidR="00682039" w:rsidRPr="00AB5D04" w:rsidTr="00682039">
        <w:trPr>
          <w:trHeight w:val="225"/>
        </w:trPr>
        <w:tc>
          <w:tcPr>
            <w:tcW w:w="1040" w:type="pct"/>
            <w:vMerge/>
            <w:tcBorders>
              <w:left w:val="single" w:sz="4" w:space="0" w:color="auto"/>
              <w:right w:val="single" w:sz="4" w:space="0" w:color="auto"/>
            </w:tcBorders>
            <w:shd w:val="clear" w:color="auto" w:fill="DBE5F1" w:themeFill="accent1" w:themeFillTint="33"/>
          </w:tcPr>
          <w:p w:rsidR="00682039" w:rsidRPr="00F705D0" w:rsidRDefault="00682039" w:rsidP="00AA6D28">
            <w:pPr>
              <w:ind w:left="39"/>
              <w:rPr>
                <w:color w:val="000000"/>
                <w:sz w:val="28"/>
                <w:szCs w:val="24"/>
                <w:lang w:eastAsia="en-NZ"/>
              </w:rPr>
            </w:pPr>
          </w:p>
        </w:tc>
        <w:tc>
          <w:tcPr>
            <w:tcW w:w="3960" w:type="pct"/>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rsidR="00682039" w:rsidRPr="00F705D0" w:rsidRDefault="00682039" w:rsidP="00F83840">
            <w:pPr>
              <w:pStyle w:val="ListParagraph"/>
              <w:numPr>
                <w:ilvl w:val="0"/>
                <w:numId w:val="11"/>
              </w:numPr>
              <w:ind w:left="181" w:hanging="142"/>
              <w:rPr>
                <w:color w:val="000000"/>
                <w:szCs w:val="24"/>
                <w:lang w:eastAsia="en-NZ"/>
              </w:rPr>
            </w:pPr>
            <w:r w:rsidRPr="00F705D0">
              <w:rPr>
                <w:color w:val="000000"/>
                <w:szCs w:val="24"/>
                <w:lang w:eastAsia="en-NZ"/>
              </w:rPr>
              <w:t>Malaysia</w:t>
            </w:r>
          </w:p>
        </w:tc>
      </w:tr>
      <w:tr w:rsidR="00682039" w:rsidRPr="00AB5D04" w:rsidTr="00682039">
        <w:trPr>
          <w:trHeight w:val="225"/>
        </w:trPr>
        <w:tc>
          <w:tcPr>
            <w:tcW w:w="1040" w:type="pct"/>
            <w:vMerge/>
            <w:tcBorders>
              <w:left w:val="single" w:sz="4" w:space="0" w:color="auto"/>
              <w:right w:val="single" w:sz="4" w:space="0" w:color="auto"/>
            </w:tcBorders>
            <w:shd w:val="clear" w:color="auto" w:fill="DBE5F1" w:themeFill="accent1" w:themeFillTint="33"/>
          </w:tcPr>
          <w:p w:rsidR="00682039" w:rsidRPr="00F705D0" w:rsidRDefault="00682039" w:rsidP="00AA6D28">
            <w:pPr>
              <w:ind w:left="39"/>
              <w:rPr>
                <w:color w:val="000000"/>
                <w:sz w:val="28"/>
                <w:szCs w:val="24"/>
                <w:lang w:eastAsia="en-NZ"/>
              </w:rPr>
            </w:pPr>
          </w:p>
        </w:tc>
        <w:tc>
          <w:tcPr>
            <w:tcW w:w="3960" w:type="pct"/>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rsidR="00682039" w:rsidRPr="00F705D0" w:rsidRDefault="00682039" w:rsidP="00F83840">
            <w:pPr>
              <w:pStyle w:val="ListParagraph"/>
              <w:numPr>
                <w:ilvl w:val="0"/>
                <w:numId w:val="11"/>
              </w:numPr>
              <w:ind w:left="181" w:hanging="142"/>
              <w:rPr>
                <w:color w:val="000000"/>
                <w:szCs w:val="24"/>
                <w:lang w:eastAsia="en-NZ"/>
              </w:rPr>
            </w:pPr>
            <w:r w:rsidRPr="00F705D0">
              <w:rPr>
                <w:color w:val="000000"/>
                <w:szCs w:val="24"/>
                <w:lang w:eastAsia="en-NZ"/>
              </w:rPr>
              <w:t>Mexico</w:t>
            </w:r>
          </w:p>
        </w:tc>
      </w:tr>
      <w:tr w:rsidR="00682039" w:rsidRPr="00AB5D04" w:rsidTr="00682039">
        <w:trPr>
          <w:trHeight w:val="225"/>
        </w:trPr>
        <w:tc>
          <w:tcPr>
            <w:tcW w:w="1040" w:type="pct"/>
            <w:vMerge/>
            <w:tcBorders>
              <w:left w:val="single" w:sz="4" w:space="0" w:color="auto"/>
              <w:right w:val="single" w:sz="4" w:space="0" w:color="auto"/>
            </w:tcBorders>
            <w:shd w:val="clear" w:color="auto" w:fill="DBE5F1" w:themeFill="accent1" w:themeFillTint="33"/>
          </w:tcPr>
          <w:p w:rsidR="00682039" w:rsidRPr="00F705D0" w:rsidRDefault="00682039" w:rsidP="00AA6D28">
            <w:pPr>
              <w:ind w:left="39"/>
              <w:rPr>
                <w:color w:val="000000"/>
                <w:sz w:val="28"/>
                <w:szCs w:val="24"/>
                <w:lang w:eastAsia="en-NZ"/>
              </w:rPr>
            </w:pPr>
          </w:p>
        </w:tc>
        <w:tc>
          <w:tcPr>
            <w:tcW w:w="3960" w:type="pct"/>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rsidR="00682039" w:rsidRPr="00F705D0" w:rsidRDefault="00682039" w:rsidP="00F83840">
            <w:pPr>
              <w:pStyle w:val="ListParagraph"/>
              <w:numPr>
                <w:ilvl w:val="0"/>
                <w:numId w:val="11"/>
              </w:numPr>
              <w:ind w:left="181" w:hanging="142"/>
              <w:rPr>
                <w:color w:val="000000"/>
                <w:szCs w:val="24"/>
                <w:lang w:eastAsia="en-NZ"/>
              </w:rPr>
            </w:pPr>
            <w:r w:rsidRPr="00F705D0">
              <w:rPr>
                <w:color w:val="000000"/>
                <w:szCs w:val="24"/>
                <w:lang w:eastAsia="en-NZ"/>
              </w:rPr>
              <w:t>Netherlands</w:t>
            </w:r>
          </w:p>
        </w:tc>
      </w:tr>
      <w:tr w:rsidR="00682039" w:rsidRPr="00AB5D04" w:rsidTr="00682039">
        <w:trPr>
          <w:trHeight w:val="225"/>
        </w:trPr>
        <w:tc>
          <w:tcPr>
            <w:tcW w:w="1040" w:type="pct"/>
            <w:vMerge/>
            <w:tcBorders>
              <w:left w:val="single" w:sz="4" w:space="0" w:color="auto"/>
              <w:right w:val="single" w:sz="4" w:space="0" w:color="auto"/>
            </w:tcBorders>
            <w:shd w:val="clear" w:color="auto" w:fill="DBE5F1" w:themeFill="accent1" w:themeFillTint="33"/>
          </w:tcPr>
          <w:p w:rsidR="00682039" w:rsidRPr="00F705D0" w:rsidRDefault="00682039" w:rsidP="00AA6D28">
            <w:pPr>
              <w:ind w:left="39"/>
              <w:rPr>
                <w:color w:val="000000"/>
                <w:sz w:val="28"/>
                <w:szCs w:val="24"/>
                <w:lang w:eastAsia="en-NZ"/>
              </w:rPr>
            </w:pPr>
          </w:p>
        </w:tc>
        <w:tc>
          <w:tcPr>
            <w:tcW w:w="3960" w:type="pct"/>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rsidR="00682039" w:rsidRPr="00F705D0" w:rsidRDefault="00682039" w:rsidP="00F83840">
            <w:pPr>
              <w:pStyle w:val="ListParagraph"/>
              <w:numPr>
                <w:ilvl w:val="0"/>
                <w:numId w:val="11"/>
              </w:numPr>
              <w:ind w:left="181" w:hanging="142"/>
              <w:rPr>
                <w:color w:val="000000"/>
                <w:szCs w:val="24"/>
                <w:lang w:eastAsia="en-NZ"/>
              </w:rPr>
            </w:pPr>
            <w:r w:rsidRPr="00F705D0">
              <w:rPr>
                <w:color w:val="000000"/>
                <w:szCs w:val="24"/>
                <w:lang w:eastAsia="en-NZ"/>
              </w:rPr>
              <w:t>Poland</w:t>
            </w:r>
          </w:p>
        </w:tc>
      </w:tr>
      <w:tr w:rsidR="00682039" w:rsidRPr="00AB5D04" w:rsidTr="00682039">
        <w:trPr>
          <w:trHeight w:val="225"/>
        </w:trPr>
        <w:tc>
          <w:tcPr>
            <w:tcW w:w="1040" w:type="pct"/>
            <w:vMerge/>
            <w:tcBorders>
              <w:left w:val="single" w:sz="4" w:space="0" w:color="auto"/>
              <w:right w:val="single" w:sz="4" w:space="0" w:color="auto"/>
            </w:tcBorders>
            <w:shd w:val="clear" w:color="auto" w:fill="DBE5F1" w:themeFill="accent1" w:themeFillTint="33"/>
          </w:tcPr>
          <w:p w:rsidR="00682039" w:rsidRPr="00F705D0" w:rsidRDefault="00682039" w:rsidP="00AA6D28">
            <w:pPr>
              <w:ind w:left="39"/>
              <w:rPr>
                <w:color w:val="000000"/>
                <w:sz w:val="28"/>
                <w:szCs w:val="24"/>
                <w:lang w:eastAsia="en-NZ"/>
              </w:rPr>
            </w:pPr>
          </w:p>
        </w:tc>
        <w:tc>
          <w:tcPr>
            <w:tcW w:w="3960" w:type="pct"/>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rsidR="00682039" w:rsidRPr="00F705D0" w:rsidRDefault="00682039" w:rsidP="00F83840">
            <w:pPr>
              <w:pStyle w:val="ListParagraph"/>
              <w:numPr>
                <w:ilvl w:val="0"/>
                <w:numId w:val="11"/>
              </w:numPr>
              <w:ind w:left="181" w:hanging="142"/>
              <w:rPr>
                <w:color w:val="000000"/>
                <w:szCs w:val="24"/>
                <w:lang w:eastAsia="en-NZ"/>
              </w:rPr>
            </w:pPr>
            <w:r w:rsidRPr="00F705D0">
              <w:rPr>
                <w:color w:val="000000"/>
                <w:szCs w:val="24"/>
                <w:lang w:eastAsia="en-NZ"/>
              </w:rPr>
              <w:t>Russia</w:t>
            </w:r>
          </w:p>
        </w:tc>
      </w:tr>
      <w:tr w:rsidR="00682039" w:rsidRPr="00AB5D04" w:rsidTr="00682039">
        <w:trPr>
          <w:trHeight w:val="225"/>
        </w:trPr>
        <w:tc>
          <w:tcPr>
            <w:tcW w:w="1040" w:type="pct"/>
            <w:vMerge/>
            <w:tcBorders>
              <w:left w:val="single" w:sz="4" w:space="0" w:color="auto"/>
              <w:right w:val="single" w:sz="4" w:space="0" w:color="auto"/>
            </w:tcBorders>
            <w:shd w:val="clear" w:color="auto" w:fill="DBE5F1" w:themeFill="accent1" w:themeFillTint="33"/>
          </w:tcPr>
          <w:p w:rsidR="00682039" w:rsidRPr="00F705D0" w:rsidRDefault="00682039" w:rsidP="00AA6D28">
            <w:pPr>
              <w:ind w:left="39"/>
              <w:rPr>
                <w:color w:val="000000"/>
                <w:sz w:val="28"/>
                <w:szCs w:val="24"/>
                <w:lang w:eastAsia="en-NZ"/>
              </w:rPr>
            </w:pPr>
          </w:p>
        </w:tc>
        <w:tc>
          <w:tcPr>
            <w:tcW w:w="3960" w:type="pct"/>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rsidR="00682039" w:rsidRPr="00F705D0" w:rsidRDefault="00682039" w:rsidP="00F83840">
            <w:pPr>
              <w:pStyle w:val="ListParagraph"/>
              <w:numPr>
                <w:ilvl w:val="0"/>
                <w:numId w:val="11"/>
              </w:numPr>
              <w:ind w:left="181" w:hanging="142"/>
              <w:rPr>
                <w:color w:val="000000"/>
                <w:szCs w:val="24"/>
                <w:lang w:eastAsia="en-NZ"/>
              </w:rPr>
            </w:pPr>
            <w:r w:rsidRPr="00F705D0">
              <w:rPr>
                <w:color w:val="000000"/>
                <w:szCs w:val="24"/>
                <w:lang w:eastAsia="en-NZ"/>
              </w:rPr>
              <w:t>Singapore</w:t>
            </w:r>
          </w:p>
        </w:tc>
      </w:tr>
      <w:tr w:rsidR="00682039" w:rsidRPr="00AB5D04" w:rsidTr="00682039">
        <w:trPr>
          <w:trHeight w:val="225"/>
        </w:trPr>
        <w:tc>
          <w:tcPr>
            <w:tcW w:w="1040" w:type="pct"/>
            <w:vMerge/>
            <w:tcBorders>
              <w:left w:val="single" w:sz="4" w:space="0" w:color="auto"/>
              <w:right w:val="single" w:sz="4" w:space="0" w:color="auto"/>
            </w:tcBorders>
            <w:shd w:val="clear" w:color="auto" w:fill="DBE5F1" w:themeFill="accent1" w:themeFillTint="33"/>
          </w:tcPr>
          <w:p w:rsidR="00682039" w:rsidRPr="00F705D0" w:rsidRDefault="00682039" w:rsidP="00AA6D28">
            <w:pPr>
              <w:ind w:left="39"/>
              <w:rPr>
                <w:color w:val="000000"/>
                <w:sz w:val="28"/>
                <w:szCs w:val="24"/>
                <w:lang w:eastAsia="en-NZ"/>
              </w:rPr>
            </w:pPr>
          </w:p>
        </w:tc>
        <w:tc>
          <w:tcPr>
            <w:tcW w:w="3960" w:type="pct"/>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rsidR="00682039" w:rsidRPr="00F705D0" w:rsidRDefault="00682039" w:rsidP="00F83840">
            <w:pPr>
              <w:pStyle w:val="ListParagraph"/>
              <w:numPr>
                <w:ilvl w:val="0"/>
                <w:numId w:val="11"/>
              </w:numPr>
              <w:ind w:left="181" w:hanging="142"/>
              <w:rPr>
                <w:color w:val="000000"/>
                <w:szCs w:val="24"/>
                <w:lang w:eastAsia="en-NZ"/>
              </w:rPr>
            </w:pPr>
            <w:r w:rsidRPr="00F705D0">
              <w:rPr>
                <w:color w:val="000000"/>
                <w:szCs w:val="24"/>
                <w:lang w:eastAsia="en-NZ"/>
              </w:rPr>
              <w:t>South Africa</w:t>
            </w:r>
          </w:p>
        </w:tc>
      </w:tr>
      <w:tr w:rsidR="00682039" w:rsidRPr="00AB5D04" w:rsidTr="00682039">
        <w:trPr>
          <w:trHeight w:val="225"/>
        </w:trPr>
        <w:tc>
          <w:tcPr>
            <w:tcW w:w="1040" w:type="pct"/>
            <w:vMerge/>
            <w:tcBorders>
              <w:left w:val="single" w:sz="4" w:space="0" w:color="auto"/>
              <w:right w:val="single" w:sz="4" w:space="0" w:color="auto"/>
            </w:tcBorders>
            <w:shd w:val="clear" w:color="auto" w:fill="DBE5F1" w:themeFill="accent1" w:themeFillTint="33"/>
          </w:tcPr>
          <w:p w:rsidR="00682039" w:rsidRPr="00F705D0" w:rsidRDefault="00682039" w:rsidP="00AA6D28">
            <w:pPr>
              <w:ind w:left="39"/>
              <w:rPr>
                <w:color w:val="000000"/>
                <w:sz w:val="28"/>
                <w:szCs w:val="24"/>
                <w:lang w:eastAsia="en-NZ"/>
              </w:rPr>
            </w:pPr>
          </w:p>
        </w:tc>
        <w:tc>
          <w:tcPr>
            <w:tcW w:w="3960" w:type="pct"/>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rsidR="00682039" w:rsidRPr="00F705D0" w:rsidRDefault="00682039" w:rsidP="00F83840">
            <w:pPr>
              <w:pStyle w:val="ListParagraph"/>
              <w:numPr>
                <w:ilvl w:val="0"/>
                <w:numId w:val="11"/>
              </w:numPr>
              <w:ind w:left="181" w:hanging="142"/>
              <w:rPr>
                <w:color w:val="000000"/>
                <w:szCs w:val="24"/>
                <w:lang w:eastAsia="en-NZ"/>
              </w:rPr>
            </w:pPr>
            <w:r w:rsidRPr="00F705D0">
              <w:rPr>
                <w:color w:val="000000"/>
                <w:szCs w:val="24"/>
                <w:lang w:eastAsia="en-NZ"/>
              </w:rPr>
              <w:t>Spain</w:t>
            </w:r>
          </w:p>
        </w:tc>
      </w:tr>
      <w:tr w:rsidR="00682039" w:rsidRPr="00AB5D04" w:rsidTr="00682039">
        <w:trPr>
          <w:trHeight w:val="225"/>
        </w:trPr>
        <w:tc>
          <w:tcPr>
            <w:tcW w:w="1040" w:type="pct"/>
            <w:vMerge/>
            <w:tcBorders>
              <w:left w:val="single" w:sz="4" w:space="0" w:color="auto"/>
              <w:right w:val="single" w:sz="4" w:space="0" w:color="auto"/>
            </w:tcBorders>
            <w:shd w:val="clear" w:color="auto" w:fill="DBE5F1" w:themeFill="accent1" w:themeFillTint="33"/>
          </w:tcPr>
          <w:p w:rsidR="00682039" w:rsidRPr="00F705D0" w:rsidRDefault="00682039" w:rsidP="00AA6D28">
            <w:pPr>
              <w:ind w:left="39"/>
              <w:rPr>
                <w:color w:val="000000"/>
                <w:sz w:val="28"/>
                <w:szCs w:val="24"/>
                <w:lang w:eastAsia="en-NZ"/>
              </w:rPr>
            </w:pPr>
          </w:p>
        </w:tc>
        <w:tc>
          <w:tcPr>
            <w:tcW w:w="3960" w:type="pct"/>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rsidR="00682039" w:rsidRPr="00F705D0" w:rsidRDefault="00682039" w:rsidP="00F83840">
            <w:pPr>
              <w:pStyle w:val="ListParagraph"/>
              <w:numPr>
                <w:ilvl w:val="0"/>
                <w:numId w:val="11"/>
              </w:numPr>
              <w:ind w:left="181" w:hanging="142"/>
              <w:rPr>
                <w:color w:val="000000"/>
                <w:szCs w:val="24"/>
                <w:lang w:eastAsia="en-NZ"/>
              </w:rPr>
            </w:pPr>
            <w:r w:rsidRPr="00F705D0">
              <w:rPr>
                <w:color w:val="000000"/>
                <w:szCs w:val="24"/>
                <w:lang w:eastAsia="en-NZ"/>
              </w:rPr>
              <w:t>Sweden</w:t>
            </w:r>
          </w:p>
        </w:tc>
      </w:tr>
      <w:tr w:rsidR="00682039" w:rsidRPr="00AB5D04" w:rsidTr="00682039">
        <w:trPr>
          <w:trHeight w:val="225"/>
        </w:trPr>
        <w:tc>
          <w:tcPr>
            <w:tcW w:w="1040" w:type="pct"/>
            <w:vMerge/>
            <w:tcBorders>
              <w:left w:val="single" w:sz="4" w:space="0" w:color="auto"/>
              <w:right w:val="single" w:sz="4" w:space="0" w:color="auto"/>
            </w:tcBorders>
            <w:shd w:val="clear" w:color="auto" w:fill="DBE5F1" w:themeFill="accent1" w:themeFillTint="33"/>
          </w:tcPr>
          <w:p w:rsidR="00682039" w:rsidRPr="00F705D0" w:rsidRDefault="00682039" w:rsidP="00AA6D28">
            <w:pPr>
              <w:ind w:left="39"/>
              <w:rPr>
                <w:color w:val="000000"/>
                <w:sz w:val="28"/>
                <w:szCs w:val="24"/>
                <w:lang w:eastAsia="en-NZ"/>
              </w:rPr>
            </w:pPr>
          </w:p>
        </w:tc>
        <w:tc>
          <w:tcPr>
            <w:tcW w:w="3960" w:type="pct"/>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rsidR="00682039" w:rsidRPr="00F705D0" w:rsidRDefault="00682039" w:rsidP="00F83840">
            <w:pPr>
              <w:pStyle w:val="ListParagraph"/>
              <w:numPr>
                <w:ilvl w:val="0"/>
                <w:numId w:val="11"/>
              </w:numPr>
              <w:ind w:left="181" w:hanging="142"/>
              <w:rPr>
                <w:color w:val="000000"/>
                <w:szCs w:val="24"/>
                <w:lang w:eastAsia="en-NZ"/>
              </w:rPr>
            </w:pPr>
            <w:r w:rsidRPr="00F705D0">
              <w:rPr>
                <w:color w:val="000000"/>
                <w:szCs w:val="24"/>
                <w:lang w:eastAsia="en-NZ"/>
              </w:rPr>
              <w:t>Turkey</w:t>
            </w:r>
          </w:p>
        </w:tc>
      </w:tr>
      <w:tr w:rsidR="00682039" w:rsidRPr="00AB5D04" w:rsidTr="00682039">
        <w:trPr>
          <w:trHeight w:val="225"/>
        </w:trPr>
        <w:tc>
          <w:tcPr>
            <w:tcW w:w="1040" w:type="pct"/>
            <w:vMerge/>
            <w:tcBorders>
              <w:left w:val="single" w:sz="4" w:space="0" w:color="auto"/>
              <w:right w:val="single" w:sz="4" w:space="0" w:color="auto"/>
            </w:tcBorders>
            <w:shd w:val="clear" w:color="auto" w:fill="DBE5F1" w:themeFill="accent1" w:themeFillTint="33"/>
          </w:tcPr>
          <w:p w:rsidR="00682039" w:rsidRPr="00F705D0" w:rsidRDefault="00682039" w:rsidP="00AA6D28">
            <w:pPr>
              <w:ind w:left="39"/>
              <w:rPr>
                <w:color w:val="000000"/>
                <w:sz w:val="28"/>
                <w:szCs w:val="24"/>
                <w:lang w:eastAsia="en-NZ"/>
              </w:rPr>
            </w:pPr>
          </w:p>
        </w:tc>
        <w:tc>
          <w:tcPr>
            <w:tcW w:w="3960" w:type="pct"/>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rsidR="00682039" w:rsidRPr="00F705D0" w:rsidRDefault="00682039" w:rsidP="00F83840">
            <w:pPr>
              <w:pStyle w:val="ListParagraph"/>
              <w:numPr>
                <w:ilvl w:val="0"/>
                <w:numId w:val="11"/>
              </w:numPr>
              <w:ind w:left="181" w:hanging="142"/>
              <w:rPr>
                <w:color w:val="000000"/>
                <w:szCs w:val="24"/>
                <w:lang w:eastAsia="en-NZ"/>
              </w:rPr>
            </w:pPr>
            <w:r w:rsidRPr="00F705D0">
              <w:rPr>
                <w:color w:val="000000"/>
                <w:szCs w:val="24"/>
                <w:lang w:eastAsia="en-NZ"/>
              </w:rPr>
              <w:t>United Kingdom</w:t>
            </w:r>
          </w:p>
        </w:tc>
      </w:tr>
      <w:tr w:rsidR="00682039" w:rsidRPr="00AB5D04" w:rsidTr="00682039">
        <w:trPr>
          <w:trHeight w:val="225"/>
        </w:trPr>
        <w:tc>
          <w:tcPr>
            <w:tcW w:w="1040" w:type="pct"/>
            <w:vMerge/>
            <w:tcBorders>
              <w:left w:val="single" w:sz="4" w:space="0" w:color="auto"/>
              <w:bottom w:val="single" w:sz="4" w:space="0" w:color="auto"/>
              <w:right w:val="single" w:sz="4" w:space="0" w:color="auto"/>
            </w:tcBorders>
            <w:shd w:val="clear" w:color="auto" w:fill="DBE5F1" w:themeFill="accent1" w:themeFillTint="33"/>
          </w:tcPr>
          <w:p w:rsidR="00682039" w:rsidRPr="00F705D0" w:rsidRDefault="00682039" w:rsidP="00AA6D28">
            <w:pPr>
              <w:ind w:left="39"/>
              <w:rPr>
                <w:color w:val="000000"/>
                <w:sz w:val="28"/>
                <w:szCs w:val="24"/>
                <w:lang w:eastAsia="en-NZ"/>
              </w:rPr>
            </w:pPr>
          </w:p>
        </w:tc>
        <w:tc>
          <w:tcPr>
            <w:tcW w:w="3960" w:type="pct"/>
            <w:tcBorders>
              <w:top w:val="single" w:sz="4" w:space="0" w:color="auto"/>
              <w:left w:val="single" w:sz="4" w:space="0" w:color="auto"/>
              <w:bottom w:val="single" w:sz="4" w:space="0" w:color="auto"/>
              <w:right w:val="single" w:sz="4" w:space="0" w:color="auto"/>
            </w:tcBorders>
            <w:shd w:val="clear" w:color="auto" w:fill="DBE5F1" w:themeFill="accent1" w:themeFillTint="33"/>
            <w:noWrap/>
          </w:tcPr>
          <w:p w:rsidR="00682039" w:rsidRPr="00F705D0" w:rsidRDefault="00682039" w:rsidP="00F83840">
            <w:pPr>
              <w:pStyle w:val="ListParagraph"/>
              <w:numPr>
                <w:ilvl w:val="0"/>
                <w:numId w:val="11"/>
              </w:numPr>
              <w:ind w:left="181" w:hanging="142"/>
              <w:rPr>
                <w:color w:val="000000"/>
                <w:szCs w:val="24"/>
                <w:lang w:eastAsia="en-NZ"/>
              </w:rPr>
            </w:pPr>
            <w:r>
              <w:rPr>
                <w:color w:val="000000"/>
                <w:szCs w:val="24"/>
                <w:lang w:eastAsia="en-NZ"/>
              </w:rPr>
              <w:t>Korea</w:t>
            </w:r>
          </w:p>
        </w:tc>
      </w:tr>
      <w:tr w:rsidR="008515BE" w:rsidRPr="00AB5D04" w:rsidTr="00682039">
        <w:trPr>
          <w:trHeight w:val="225"/>
        </w:trPr>
        <w:tc>
          <w:tcPr>
            <w:tcW w:w="1040" w:type="pct"/>
            <w:vMerge w:val="restart"/>
            <w:tcBorders>
              <w:top w:val="single" w:sz="4" w:space="0" w:color="auto"/>
              <w:left w:val="single" w:sz="4" w:space="0" w:color="auto"/>
              <w:right w:val="single" w:sz="4" w:space="0" w:color="auto"/>
            </w:tcBorders>
            <w:shd w:val="clear" w:color="auto" w:fill="FDE9D9" w:themeFill="accent6" w:themeFillTint="33"/>
            <w:textDirection w:val="btLr"/>
          </w:tcPr>
          <w:p w:rsidR="008515BE" w:rsidRPr="00F705D0" w:rsidRDefault="008515BE" w:rsidP="00AA6D28">
            <w:pPr>
              <w:ind w:left="39" w:right="113"/>
              <w:jc w:val="center"/>
              <w:rPr>
                <w:b/>
                <w:sz w:val="28"/>
              </w:rPr>
            </w:pPr>
            <w:r w:rsidRPr="00F705D0">
              <w:rPr>
                <w:b/>
                <w:sz w:val="28"/>
              </w:rPr>
              <w:t>Not modified by the MLI</w:t>
            </w:r>
          </w:p>
        </w:tc>
        <w:tc>
          <w:tcPr>
            <w:tcW w:w="3960" w:type="pct"/>
            <w:tcBorders>
              <w:top w:val="single" w:sz="4" w:space="0" w:color="auto"/>
              <w:left w:val="single" w:sz="4" w:space="0" w:color="auto"/>
              <w:bottom w:val="single" w:sz="4" w:space="0" w:color="auto"/>
              <w:right w:val="single" w:sz="4" w:space="0" w:color="auto"/>
            </w:tcBorders>
            <w:shd w:val="clear" w:color="auto" w:fill="FDE9D9" w:themeFill="accent6" w:themeFillTint="33"/>
            <w:noWrap/>
          </w:tcPr>
          <w:p w:rsidR="008515BE" w:rsidRPr="00F705D0" w:rsidRDefault="008515BE" w:rsidP="00F83840">
            <w:pPr>
              <w:pStyle w:val="ListParagraph"/>
              <w:numPr>
                <w:ilvl w:val="0"/>
                <w:numId w:val="11"/>
              </w:numPr>
              <w:ind w:left="181" w:hanging="142"/>
            </w:pPr>
            <w:r w:rsidRPr="00F705D0">
              <w:rPr>
                <w:color w:val="000000"/>
                <w:szCs w:val="24"/>
                <w:lang w:eastAsia="en-NZ"/>
              </w:rPr>
              <w:t>Switzerland</w:t>
            </w:r>
          </w:p>
        </w:tc>
      </w:tr>
      <w:tr w:rsidR="008515BE" w:rsidRPr="00AB5D04" w:rsidTr="00000561">
        <w:trPr>
          <w:trHeight w:val="225"/>
        </w:trPr>
        <w:tc>
          <w:tcPr>
            <w:tcW w:w="1040" w:type="pct"/>
            <w:vMerge/>
            <w:tcBorders>
              <w:left w:val="single" w:sz="4" w:space="0" w:color="auto"/>
              <w:right w:val="single" w:sz="4" w:space="0" w:color="auto"/>
            </w:tcBorders>
            <w:shd w:val="clear" w:color="auto" w:fill="FDE9D9" w:themeFill="accent6" w:themeFillTint="33"/>
            <w:textDirection w:val="btLr"/>
          </w:tcPr>
          <w:p w:rsidR="008515BE" w:rsidRPr="00F705D0" w:rsidRDefault="008515BE" w:rsidP="00AA6D28">
            <w:pPr>
              <w:ind w:left="39" w:right="113"/>
              <w:jc w:val="center"/>
              <w:rPr>
                <w:b/>
                <w:sz w:val="28"/>
              </w:rPr>
            </w:pPr>
          </w:p>
        </w:tc>
        <w:tc>
          <w:tcPr>
            <w:tcW w:w="3960" w:type="pct"/>
            <w:tcBorders>
              <w:top w:val="single" w:sz="4" w:space="0" w:color="auto"/>
              <w:left w:val="single" w:sz="4" w:space="0" w:color="auto"/>
              <w:bottom w:val="single" w:sz="4" w:space="0" w:color="auto"/>
              <w:right w:val="single" w:sz="4" w:space="0" w:color="auto"/>
            </w:tcBorders>
            <w:shd w:val="clear" w:color="auto" w:fill="FDE9D9" w:themeFill="accent6" w:themeFillTint="33"/>
            <w:noWrap/>
          </w:tcPr>
          <w:p w:rsidR="008515BE" w:rsidRPr="00F705D0" w:rsidRDefault="008515BE" w:rsidP="00F83840">
            <w:pPr>
              <w:pStyle w:val="ListParagraph"/>
              <w:numPr>
                <w:ilvl w:val="0"/>
                <w:numId w:val="11"/>
              </w:numPr>
              <w:ind w:left="181" w:hanging="142"/>
              <w:rPr>
                <w:color w:val="000000"/>
                <w:szCs w:val="24"/>
                <w:lang w:eastAsia="en-NZ"/>
              </w:rPr>
            </w:pPr>
            <w:r w:rsidRPr="00F705D0">
              <w:t>Viet Nam</w:t>
            </w:r>
          </w:p>
        </w:tc>
      </w:tr>
      <w:tr w:rsidR="008515BE" w:rsidRPr="00AB5D04" w:rsidTr="00682039">
        <w:trPr>
          <w:trHeight w:val="225"/>
        </w:trPr>
        <w:tc>
          <w:tcPr>
            <w:tcW w:w="1040" w:type="pct"/>
            <w:vMerge/>
            <w:tcBorders>
              <w:left w:val="single" w:sz="4" w:space="0" w:color="auto"/>
              <w:right w:val="single" w:sz="4" w:space="0" w:color="auto"/>
            </w:tcBorders>
            <w:shd w:val="clear" w:color="auto" w:fill="FDE9D9" w:themeFill="accent6" w:themeFillTint="33"/>
          </w:tcPr>
          <w:p w:rsidR="008515BE" w:rsidRPr="00531BF6" w:rsidRDefault="008515BE" w:rsidP="00AA6D28">
            <w:pPr>
              <w:ind w:left="39"/>
            </w:pPr>
          </w:p>
        </w:tc>
        <w:tc>
          <w:tcPr>
            <w:tcW w:w="3960" w:type="pct"/>
            <w:tcBorders>
              <w:top w:val="single" w:sz="4" w:space="0" w:color="auto"/>
              <w:left w:val="single" w:sz="4" w:space="0" w:color="auto"/>
              <w:bottom w:val="single" w:sz="4" w:space="0" w:color="auto"/>
              <w:right w:val="single" w:sz="4" w:space="0" w:color="auto"/>
            </w:tcBorders>
            <w:shd w:val="clear" w:color="auto" w:fill="FDE9D9" w:themeFill="accent6" w:themeFillTint="33"/>
            <w:noWrap/>
          </w:tcPr>
          <w:p w:rsidR="008515BE" w:rsidRPr="00F705D0" w:rsidRDefault="008515BE" w:rsidP="00F83840">
            <w:pPr>
              <w:pStyle w:val="ListParagraph"/>
              <w:numPr>
                <w:ilvl w:val="0"/>
                <w:numId w:val="11"/>
              </w:numPr>
              <w:ind w:left="181" w:hanging="142"/>
              <w:rPr>
                <w:color w:val="000000"/>
                <w:szCs w:val="24"/>
                <w:lang w:eastAsia="en-NZ"/>
              </w:rPr>
            </w:pPr>
            <w:r w:rsidRPr="00F705D0">
              <w:t>Thailand</w:t>
            </w:r>
          </w:p>
        </w:tc>
      </w:tr>
      <w:tr w:rsidR="008515BE" w:rsidRPr="00AB5D04" w:rsidTr="00682039">
        <w:trPr>
          <w:trHeight w:val="225"/>
        </w:trPr>
        <w:tc>
          <w:tcPr>
            <w:tcW w:w="1040" w:type="pct"/>
            <w:vMerge/>
            <w:tcBorders>
              <w:left w:val="single" w:sz="4" w:space="0" w:color="auto"/>
              <w:right w:val="single" w:sz="4" w:space="0" w:color="auto"/>
            </w:tcBorders>
            <w:shd w:val="clear" w:color="auto" w:fill="FDE9D9" w:themeFill="accent6" w:themeFillTint="33"/>
          </w:tcPr>
          <w:p w:rsidR="008515BE" w:rsidRPr="00531BF6" w:rsidRDefault="008515BE" w:rsidP="00AA6D28">
            <w:pPr>
              <w:ind w:left="39"/>
            </w:pPr>
          </w:p>
        </w:tc>
        <w:tc>
          <w:tcPr>
            <w:tcW w:w="3960" w:type="pct"/>
            <w:tcBorders>
              <w:top w:val="single" w:sz="4" w:space="0" w:color="auto"/>
              <w:left w:val="single" w:sz="4" w:space="0" w:color="auto"/>
              <w:bottom w:val="single" w:sz="4" w:space="0" w:color="auto"/>
              <w:right w:val="single" w:sz="4" w:space="0" w:color="auto"/>
            </w:tcBorders>
            <w:shd w:val="clear" w:color="auto" w:fill="FDE9D9" w:themeFill="accent6" w:themeFillTint="33"/>
            <w:noWrap/>
          </w:tcPr>
          <w:p w:rsidR="008515BE" w:rsidRPr="00F705D0" w:rsidRDefault="008515BE" w:rsidP="00F83840">
            <w:pPr>
              <w:pStyle w:val="ListParagraph"/>
              <w:numPr>
                <w:ilvl w:val="0"/>
                <w:numId w:val="11"/>
              </w:numPr>
              <w:ind w:left="181" w:hanging="142"/>
              <w:rPr>
                <w:color w:val="000000"/>
                <w:szCs w:val="24"/>
                <w:lang w:eastAsia="en-NZ"/>
              </w:rPr>
            </w:pPr>
            <w:r w:rsidRPr="00F705D0">
              <w:t>Philippines</w:t>
            </w:r>
          </w:p>
        </w:tc>
      </w:tr>
      <w:tr w:rsidR="008515BE" w:rsidRPr="00AB5D04" w:rsidTr="00682039">
        <w:trPr>
          <w:trHeight w:val="225"/>
        </w:trPr>
        <w:tc>
          <w:tcPr>
            <w:tcW w:w="1040" w:type="pct"/>
            <w:vMerge/>
            <w:tcBorders>
              <w:left w:val="single" w:sz="4" w:space="0" w:color="auto"/>
              <w:right w:val="single" w:sz="4" w:space="0" w:color="auto"/>
            </w:tcBorders>
            <w:shd w:val="clear" w:color="auto" w:fill="FDE9D9" w:themeFill="accent6" w:themeFillTint="33"/>
          </w:tcPr>
          <w:p w:rsidR="008515BE" w:rsidRPr="00531BF6" w:rsidRDefault="008515BE" w:rsidP="00AA6D28">
            <w:pPr>
              <w:ind w:left="39"/>
            </w:pPr>
          </w:p>
        </w:tc>
        <w:tc>
          <w:tcPr>
            <w:tcW w:w="3960" w:type="pct"/>
            <w:tcBorders>
              <w:top w:val="single" w:sz="4" w:space="0" w:color="auto"/>
              <w:left w:val="single" w:sz="4" w:space="0" w:color="auto"/>
              <w:bottom w:val="single" w:sz="4" w:space="0" w:color="auto"/>
              <w:right w:val="single" w:sz="4" w:space="0" w:color="auto"/>
            </w:tcBorders>
            <w:shd w:val="clear" w:color="auto" w:fill="FDE9D9" w:themeFill="accent6" w:themeFillTint="33"/>
            <w:noWrap/>
          </w:tcPr>
          <w:p w:rsidR="008515BE" w:rsidRPr="00F705D0" w:rsidRDefault="008515BE" w:rsidP="00F83840">
            <w:pPr>
              <w:pStyle w:val="ListParagraph"/>
              <w:numPr>
                <w:ilvl w:val="0"/>
                <w:numId w:val="11"/>
              </w:numPr>
              <w:ind w:left="181" w:hanging="142"/>
              <w:rPr>
                <w:color w:val="000000"/>
                <w:szCs w:val="24"/>
                <w:lang w:eastAsia="en-NZ"/>
              </w:rPr>
            </w:pPr>
            <w:r w:rsidRPr="00F705D0">
              <w:t xml:space="preserve">Norway </w:t>
            </w:r>
          </w:p>
        </w:tc>
      </w:tr>
      <w:tr w:rsidR="008515BE" w:rsidRPr="00AB5D04" w:rsidTr="00682039">
        <w:trPr>
          <w:trHeight w:val="225"/>
        </w:trPr>
        <w:tc>
          <w:tcPr>
            <w:tcW w:w="1040" w:type="pct"/>
            <w:vMerge/>
            <w:tcBorders>
              <w:left w:val="single" w:sz="4" w:space="0" w:color="auto"/>
              <w:right w:val="single" w:sz="4" w:space="0" w:color="auto"/>
            </w:tcBorders>
            <w:shd w:val="clear" w:color="auto" w:fill="FDE9D9" w:themeFill="accent6" w:themeFillTint="33"/>
          </w:tcPr>
          <w:p w:rsidR="008515BE" w:rsidRPr="00531BF6" w:rsidRDefault="008515BE" w:rsidP="00AA6D28">
            <w:pPr>
              <w:ind w:left="39"/>
            </w:pPr>
          </w:p>
        </w:tc>
        <w:tc>
          <w:tcPr>
            <w:tcW w:w="3960" w:type="pct"/>
            <w:tcBorders>
              <w:top w:val="single" w:sz="4" w:space="0" w:color="auto"/>
              <w:left w:val="single" w:sz="4" w:space="0" w:color="auto"/>
              <w:bottom w:val="single" w:sz="4" w:space="0" w:color="auto"/>
              <w:right w:val="single" w:sz="4" w:space="0" w:color="auto"/>
            </w:tcBorders>
            <w:shd w:val="clear" w:color="auto" w:fill="FDE9D9" w:themeFill="accent6" w:themeFillTint="33"/>
            <w:noWrap/>
          </w:tcPr>
          <w:p w:rsidR="008515BE" w:rsidRPr="00F705D0" w:rsidRDefault="008515BE" w:rsidP="00F83840">
            <w:pPr>
              <w:pStyle w:val="ListParagraph"/>
              <w:numPr>
                <w:ilvl w:val="0"/>
                <w:numId w:val="11"/>
              </w:numPr>
              <w:ind w:left="181" w:hanging="142"/>
              <w:rPr>
                <w:color w:val="000000"/>
                <w:szCs w:val="24"/>
                <w:lang w:eastAsia="en-NZ"/>
              </w:rPr>
            </w:pPr>
            <w:r w:rsidRPr="00F705D0">
              <w:t>Austria</w:t>
            </w:r>
          </w:p>
        </w:tc>
      </w:tr>
      <w:tr w:rsidR="008515BE" w:rsidRPr="00AB5D04" w:rsidTr="00682039">
        <w:trPr>
          <w:trHeight w:val="225"/>
        </w:trPr>
        <w:tc>
          <w:tcPr>
            <w:tcW w:w="1040" w:type="pct"/>
            <w:vMerge/>
            <w:tcBorders>
              <w:left w:val="single" w:sz="4" w:space="0" w:color="auto"/>
              <w:right w:val="single" w:sz="4" w:space="0" w:color="auto"/>
            </w:tcBorders>
            <w:shd w:val="clear" w:color="auto" w:fill="FDE9D9" w:themeFill="accent6" w:themeFillTint="33"/>
          </w:tcPr>
          <w:p w:rsidR="008515BE" w:rsidRPr="000B3F78" w:rsidRDefault="008515BE" w:rsidP="00AA6D28">
            <w:pPr>
              <w:ind w:left="39"/>
            </w:pPr>
          </w:p>
        </w:tc>
        <w:tc>
          <w:tcPr>
            <w:tcW w:w="3960" w:type="pct"/>
            <w:tcBorders>
              <w:top w:val="single" w:sz="4" w:space="0" w:color="auto"/>
              <w:left w:val="single" w:sz="4" w:space="0" w:color="auto"/>
              <w:bottom w:val="single" w:sz="4" w:space="0" w:color="auto"/>
              <w:right w:val="single" w:sz="4" w:space="0" w:color="auto"/>
            </w:tcBorders>
            <w:shd w:val="clear" w:color="auto" w:fill="FDE9D9" w:themeFill="accent6" w:themeFillTint="33"/>
            <w:noWrap/>
          </w:tcPr>
          <w:p w:rsidR="008515BE" w:rsidRPr="00F705D0" w:rsidRDefault="008515BE" w:rsidP="00F83840">
            <w:pPr>
              <w:pStyle w:val="ListParagraph"/>
              <w:numPr>
                <w:ilvl w:val="0"/>
                <w:numId w:val="11"/>
              </w:numPr>
              <w:ind w:left="181" w:hanging="142"/>
              <w:rPr>
                <w:color w:val="000000"/>
                <w:szCs w:val="24"/>
                <w:lang w:eastAsia="en-NZ"/>
              </w:rPr>
            </w:pPr>
            <w:r w:rsidRPr="00F705D0">
              <w:t>United Arab Emirates</w:t>
            </w:r>
          </w:p>
        </w:tc>
      </w:tr>
      <w:tr w:rsidR="008515BE" w:rsidRPr="00AB5D04" w:rsidTr="00682039">
        <w:trPr>
          <w:trHeight w:val="225"/>
        </w:trPr>
        <w:tc>
          <w:tcPr>
            <w:tcW w:w="1040" w:type="pct"/>
            <w:vMerge/>
            <w:tcBorders>
              <w:left w:val="single" w:sz="4" w:space="0" w:color="auto"/>
              <w:right w:val="single" w:sz="4" w:space="0" w:color="auto"/>
            </w:tcBorders>
            <w:shd w:val="clear" w:color="auto" w:fill="FDE9D9" w:themeFill="accent6" w:themeFillTint="33"/>
          </w:tcPr>
          <w:p w:rsidR="008515BE" w:rsidRDefault="008515BE" w:rsidP="00AA6D28">
            <w:pPr>
              <w:ind w:left="39"/>
            </w:pPr>
          </w:p>
        </w:tc>
        <w:tc>
          <w:tcPr>
            <w:tcW w:w="3960" w:type="pct"/>
            <w:tcBorders>
              <w:top w:val="single" w:sz="4" w:space="0" w:color="auto"/>
              <w:left w:val="single" w:sz="4" w:space="0" w:color="auto"/>
              <w:bottom w:val="single" w:sz="4" w:space="0" w:color="auto"/>
              <w:right w:val="single" w:sz="4" w:space="0" w:color="auto"/>
            </w:tcBorders>
            <w:shd w:val="clear" w:color="auto" w:fill="FDE9D9" w:themeFill="accent6" w:themeFillTint="33"/>
            <w:noWrap/>
          </w:tcPr>
          <w:p w:rsidR="008515BE" w:rsidRPr="00F705D0" w:rsidRDefault="008515BE" w:rsidP="00F83840">
            <w:pPr>
              <w:pStyle w:val="ListParagraph"/>
              <w:numPr>
                <w:ilvl w:val="0"/>
                <w:numId w:val="11"/>
              </w:numPr>
              <w:ind w:left="181" w:hanging="142"/>
              <w:rPr>
                <w:color w:val="000000"/>
                <w:szCs w:val="24"/>
                <w:lang w:eastAsia="en-NZ"/>
              </w:rPr>
            </w:pPr>
            <w:r w:rsidRPr="00F705D0">
              <w:t>Papua New Guinea</w:t>
            </w:r>
          </w:p>
        </w:tc>
      </w:tr>
      <w:tr w:rsidR="008515BE" w:rsidRPr="00AB5D04" w:rsidTr="00682039">
        <w:trPr>
          <w:trHeight w:val="225"/>
        </w:trPr>
        <w:tc>
          <w:tcPr>
            <w:tcW w:w="1040" w:type="pct"/>
            <w:vMerge/>
            <w:tcBorders>
              <w:left w:val="single" w:sz="4" w:space="0" w:color="auto"/>
              <w:right w:val="single" w:sz="4" w:space="0" w:color="auto"/>
            </w:tcBorders>
            <w:shd w:val="clear" w:color="auto" w:fill="FDE9D9" w:themeFill="accent6" w:themeFillTint="33"/>
          </w:tcPr>
          <w:p w:rsidR="008515BE" w:rsidRDefault="008515BE" w:rsidP="00AA6D28">
            <w:pPr>
              <w:ind w:left="39"/>
            </w:pPr>
          </w:p>
        </w:tc>
        <w:tc>
          <w:tcPr>
            <w:tcW w:w="3960" w:type="pct"/>
            <w:tcBorders>
              <w:top w:val="single" w:sz="4" w:space="0" w:color="auto"/>
              <w:left w:val="single" w:sz="4" w:space="0" w:color="auto"/>
              <w:bottom w:val="single" w:sz="4" w:space="0" w:color="auto"/>
              <w:right w:val="single" w:sz="4" w:space="0" w:color="auto"/>
            </w:tcBorders>
            <w:shd w:val="clear" w:color="auto" w:fill="FDE9D9" w:themeFill="accent6" w:themeFillTint="33"/>
            <w:noWrap/>
          </w:tcPr>
          <w:p w:rsidR="008515BE" w:rsidRPr="00F705D0" w:rsidRDefault="008515BE" w:rsidP="00F83840">
            <w:pPr>
              <w:pStyle w:val="ListParagraph"/>
              <w:numPr>
                <w:ilvl w:val="0"/>
                <w:numId w:val="11"/>
              </w:numPr>
              <w:ind w:left="181" w:hanging="142"/>
              <w:rPr>
                <w:color w:val="000000"/>
                <w:szCs w:val="24"/>
                <w:lang w:eastAsia="en-NZ"/>
              </w:rPr>
            </w:pPr>
            <w:r w:rsidRPr="00F705D0">
              <w:t>Samoa</w:t>
            </w:r>
          </w:p>
        </w:tc>
      </w:tr>
      <w:tr w:rsidR="008515BE" w:rsidRPr="00AB5D04" w:rsidTr="00682039">
        <w:trPr>
          <w:trHeight w:val="225"/>
        </w:trPr>
        <w:tc>
          <w:tcPr>
            <w:tcW w:w="1040" w:type="pct"/>
            <w:vMerge/>
            <w:tcBorders>
              <w:left w:val="single" w:sz="4" w:space="0" w:color="auto"/>
              <w:right w:val="single" w:sz="4" w:space="0" w:color="auto"/>
            </w:tcBorders>
            <w:shd w:val="clear" w:color="auto" w:fill="FDE9D9" w:themeFill="accent6" w:themeFillTint="33"/>
          </w:tcPr>
          <w:p w:rsidR="008515BE" w:rsidRPr="000B3F78" w:rsidRDefault="008515BE" w:rsidP="00AA6D28">
            <w:pPr>
              <w:ind w:left="39"/>
            </w:pPr>
          </w:p>
        </w:tc>
        <w:tc>
          <w:tcPr>
            <w:tcW w:w="3960" w:type="pct"/>
            <w:tcBorders>
              <w:top w:val="single" w:sz="4" w:space="0" w:color="auto"/>
              <w:left w:val="single" w:sz="4" w:space="0" w:color="auto"/>
              <w:bottom w:val="single" w:sz="4" w:space="0" w:color="auto"/>
              <w:right w:val="single" w:sz="4" w:space="0" w:color="auto"/>
            </w:tcBorders>
            <w:shd w:val="clear" w:color="auto" w:fill="FDE9D9" w:themeFill="accent6" w:themeFillTint="33"/>
            <w:noWrap/>
          </w:tcPr>
          <w:p w:rsidR="008515BE" w:rsidRPr="00F705D0" w:rsidRDefault="008515BE" w:rsidP="00F83840">
            <w:pPr>
              <w:pStyle w:val="ListParagraph"/>
              <w:numPr>
                <w:ilvl w:val="0"/>
                <w:numId w:val="11"/>
              </w:numPr>
              <w:ind w:left="181" w:hanging="142"/>
              <w:rPr>
                <w:color w:val="000000"/>
                <w:szCs w:val="24"/>
                <w:lang w:eastAsia="en-NZ"/>
              </w:rPr>
            </w:pPr>
            <w:r w:rsidRPr="00F705D0">
              <w:t>Taiwan</w:t>
            </w:r>
          </w:p>
        </w:tc>
      </w:tr>
      <w:tr w:rsidR="008515BE" w:rsidRPr="00AB5D04" w:rsidTr="00682039">
        <w:trPr>
          <w:trHeight w:val="225"/>
        </w:trPr>
        <w:tc>
          <w:tcPr>
            <w:tcW w:w="1040" w:type="pct"/>
            <w:vMerge/>
            <w:tcBorders>
              <w:left w:val="single" w:sz="4" w:space="0" w:color="auto"/>
              <w:right w:val="single" w:sz="4" w:space="0" w:color="auto"/>
            </w:tcBorders>
            <w:shd w:val="clear" w:color="auto" w:fill="FDE9D9" w:themeFill="accent6" w:themeFillTint="33"/>
          </w:tcPr>
          <w:p w:rsidR="008515BE" w:rsidRDefault="008515BE" w:rsidP="00AA6D28">
            <w:pPr>
              <w:ind w:left="39"/>
            </w:pPr>
          </w:p>
        </w:tc>
        <w:tc>
          <w:tcPr>
            <w:tcW w:w="3960" w:type="pct"/>
            <w:tcBorders>
              <w:top w:val="single" w:sz="4" w:space="0" w:color="auto"/>
              <w:left w:val="single" w:sz="4" w:space="0" w:color="auto"/>
              <w:bottom w:val="single" w:sz="4" w:space="0" w:color="auto"/>
              <w:right w:val="single" w:sz="4" w:space="0" w:color="auto"/>
            </w:tcBorders>
            <w:shd w:val="clear" w:color="auto" w:fill="FDE9D9" w:themeFill="accent6" w:themeFillTint="33"/>
            <w:noWrap/>
          </w:tcPr>
          <w:p w:rsidR="008515BE" w:rsidRPr="00F705D0" w:rsidRDefault="008515BE" w:rsidP="00F83840">
            <w:pPr>
              <w:pStyle w:val="ListParagraph"/>
              <w:numPr>
                <w:ilvl w:val="0"/>
                <w:numId w:val="11"/>
              </w:numPr>
              <w:ind w:left="181" w:hanging="142"/>
              <w:rPr>
                <w:color w:val="000000"/>
                <w:szCs w:val="24"/>
                <w:lang w:eastAsia="en-NZ"/>
              </w:rPr>
            </w:pPr>
            <w:r w:rsidRPr="00F705D0">
              <w:t>Fiji</w:t>
            </w:r>
          </w:p>
        </w:tc>
      </w:tr>
      <w:tr w:rsidR="008515BE" w:rsidRPr="00AB5D04" w:rsidTr="00682039">
        <w:trPr>
          <w:trHeight w:val="225"/>
        </w:trPr>
        <w:tc>
          <w:tcPr>
            <w:tcW w:w="1040" w:type="pct"/>
            <w:vMerge/>
            <w:tcBorders>
              <w:left w:val="single" w:sz="4" w:space="0" w:color="auto"/>
              <w:bottom w:val="single" w:sz="4" w:space="0" w:color="auto"/>
              <w:right w:val="single" w:sz="4" w:space="0" w:color="auto"/>
            </w:tcBorders>
            <w:shd w:val="clear" w:color="auto" w:fill="FDE9D9" w:themeFill="accent6" w:themeFillTint="33"/>
          </w:tcPr>
          <w:p w:rsidR="008515BE" w:rsidRDefault="008515BE" w:rsidP="00AA6D28">
            <w:pPr>
              <w:ind w:left="39"/>
            </w:pPr>
          </w:p>
        </w:tc>
        <w:tc>
          <w:tcPr>
            <w:tcW w:w="3960" w:type="pct"/>
            <w:tcBorders>
              <w:top w:val="single" w:sz="4" w:space="0" w:color="auto"/>
              <w:left w:val="single" w:sz="4" w:space="0" w:color="auto"/>
              <w:bottom w:val="single" w:sz="4" w:space="0" w:color="auto"/>
              <w:right w:val="single" w:sz="4" w:space="0" w:color="auto"/>
            </w:tcBorders>
            <w:shd w:val="clear" w:color="auto" w:fill="FDE9D9" w:themeFill="accent6" w:themeFillTint="33"/>
            <w:noWrap/>
          </w:tcPr>
          <w:p w:rsidR="008515BE" w:rsidRPr="00F705D0" w:rsidRDefault="008515BE" w:rsidP="00F83840">
            <w:pPr>
              <w:pStyle w:val="ListParagraph"/>
              <w:numPr>
                <w:ilvl w:val="0"/>
                <w:numId w:val="11"/>
              </w:numPr>
              <w:ind w:left="181" w:hanging="142"/>
              <w:rPr>
                <w:color w:val="000000"/>
                <w:szCs w:val="24"/>
                <w:lang w:eastAsia="en-NZ"/>
              </w:rPr>
            </w:pPr>
            <w:r w:rsidRPr="00F705D0">
              <w:t>United States</w:t>
            </w:r>
          </w:p>
        </w:tc>
      </w:tr>
    </w:tbl>
    <w:p w:rsidR="007D4F6A" w:rsidRDefault="007D4F6A" w:rsidP="007D4F6A">
      <w:pPr>
        <w:spacing w:line="276" w:lineRule="auto"/>
        <w:rPr>
          <w:b/>
          <w:u w:val="single"/>
        </w:rPr>
      </w:pPr>
    </w:p>
    <w:p w:rsidR="007D4F6A" w:rsidRDefault="007D4F6A">
      <w:pPr>
        <w:rPr>
          <w:b/>
          <w:u w:val="single"/>
        </w:rPr>
      </w:pPr>
      <w:r>
        <w:rPr>
          <w:b/>
          <w:u w:val="single"/>
        </w:rPr>
        <w:br w:type="page"/>
      </w:r>
    </w:p>
    <w:p w:rsidR="007D4F6A" w:rsidRDefault="007D4F6A" w:rsidP="007D4F6A">
      <w:pPr>
        <w:spacing w:line="276" w:lineRule="auto"/>
        <w:rPr>
          <w:b/>
          <w:u w:val="single"/>
        </w:rPr>
      </w:pPr>
      <w:r>
        <w:rPr>
          <w:b/>
          <w:u w:val="single"/>
        </w:rPr>
        <w:t>Annex D</w:t>
      </w:r>
    </w:p>
    <w:p w:rsidR="007D4F6A" w:rsidRDefault="007D4F6A" w:rsidP="007D4F6A">
      <w:pPr>
        <w:rPr>
          <w:b/>
          <w:u w:val="single"/>
        </w:rPr>
      </w:pPr>
    </w:p>
    <w:p w:rsidR="00D8134D" w:rsidRPr="00DD23B8" w:rsidRDefault="007D4F6A" w:rsidP="007D4F6A">
      <w:r w:rsidRPr="00843A68">
        <w:rPr>
          <w:i/>
        </w:rPr>
        <w:t>Extended NIA</w:t>
      </w:r>
    </w:p>
    <w:sectPr w:rsidR="00D8134D" w:rsidRPr="00DD23B8" w:rsidSect="00F05665">
      <w:footerReference w:type="default" r:id="rId9"/>
      <w:headerReference w:type="first" r:id="rId10"/>
      <w:footerReference w:type="first" r:id="rId11"/>
      <w:pgSz w:w="11907" w:h="16840" w:code="9"/>
      <w:pgMar w:top="1418" w:right="1134" w:bottom="993" w:left="1134" w:header="397" w:footer="397" w:gutter="0"/>
      <w:cols w:space="720"/>
      <w:noEndnote/>
      <w:titlePg/>
      <w:docGrid w:linePitch="20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7192" w:rsidRDefault="00FA7192">
      <w:r>
        <w:separator/>
      </w:r>
    </w:p>
  </w:endnote>
  <w:endnote w:type="continuationSeparator" w:id="0">
    <w:p w:rsidR="00FA7192" w:rsidRDefault="00FA7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altName w:val="Arial"/>
    <w:panose1 w:val="020B07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5828738"/>
      <w:docPartObj>
        <w:docPartGallery w:val="Page Numbers (Bottom of Page)"/>
        <w:docPartUnique/>
      </w:docPartObj>
    </w:sdtPr>
    <w:sdtEndPr>
      <w:rPr>
        <w:noProof/>
      </w:rPr>
    </w:sdtEndPr>
    <w:sdtContent>
      <w:p w:rsidR="00020797" w:rsidRDefault="00020797">
        <w:pPr>
          <w:pStyle w:val="Footer"/>
          <w:jc w:val="center"/>
        </w:pPr>
        <w:r>
          <w:fldChar w:fldCharType="begin"/>
        </w:r>
        <w:r>
          <w:instrText xml:space="preserve"> PAGE   \* MERGEFORMAT </w:instrText>
        </w:r>
        <w:r>
          <w:fldChar w:fldCharType="separate"/>
        </w:r>
        <w:r w:rsidR="00047F90">
          <w:rPr>
            <w:noProof/>
          </w:rPr>
          <w:t>15</w:t>
        </w:r>
        <w:r>
          <w:rPr>
            <w:noProof/>
          </w:rPr>
          <w:fldChar w:fldCharType="end"/>
        </w:r>
      </w:p>
    </w:sdtContent>
  </w:sdt>
  <w:p w:rsidR="00020797" w:rsidRDefault="000207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0418198"/>
      <w:docPartObj>
        <w:docPartGallery w:val="Page Numbers (Bottom of Page)"/>
        <w:docPartUnique/>
      </w:docPartObj>
    </w:sdtPr>
    <w:sdtEndPr>
      <w:rPr>
        <w:noProof/>
      </w:rPr>
    </w:sdtEndPr>
    <w:sdtContent>
      <w:p w:rsidR="00F05665" w:rsidRDefault="00F05665">
        <w:pPr>
          <w:pStyle w:val="Footer"/>
          <w:jc w:val="center"/>
        </w:pPr>
        <w:r>
          <w:fldChar w:fldCharType="begin"/>
        </w:r>
        <w:r>
          <w:instrText xml:space="preserve"> PAGE   \* MERGEFORMAT </w:instrText>
        </w:r>
        <w:r>
          <w:fldChar w:fldCharType="separate"/>
        </w:r>
        <w:r w:rsidR="00047F90">
          <w:rPr>
            <w:noProof/>
          </w:rPr>
          <w:t>1</w:t>
        </w:r>
        <w:r>
          <w:rPr>
            <w:noProof/>
          </w:rPr>
          <w:fldChar w:fldCharType="end"/>
        </w:r>
      </w:p>
    </w:sdtContent>
  </w:sdt>
  <w:p w:rsidR="00F05665" w:rsidRDefault="00F056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7192" w:rsidRDefault="00FA7192">
      <w:r>
        <w:separator/>
      </w:r>
    </w:p>
  </w:footnote>
  <w:footnote w:type="continuationSeparator" w:id="0">
    <w:p w:rsidR="00FA7192" w:rsidRDefault="00FA71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02F" w:rsidRPr="00D8134D" w:rsidRDefault="0016102F" w:rsidP="00D8134D">
    <w:pPr>
      <w:pStyle w:val="Header"/>
      <w:jc w:val="right"/>
      <w:rPr>
        <w:rFonts w:ascii="Arial" w:hAnsi="Arial" w:cs="Arial"/>
        <w:b/>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229B8"/>
    <w:multiLevelType w:val="hybridMultilevel"/>
    <w:tmpl w:val="68C23742"/>
    <w:lvl w:ilvl="0" w:tplc="14090001">
      <w:start w:val="1"/>
      <w:numFmt w:val="bullet"/>
      <w:lvlText w:val=""/>
      <w:lvlJc w:val="left"/>
      <w:pPr>
        <w:ind w:left="927" w:hanging="360"/>
      </w:pPr>
      <w:rPr>
        <w:rFonts w:ascii="Symbol" w:hAnsi="Symbol" w:hint="default"/>
        <w:b w:val="0"/>
      </w:rPr>
    </w:lvl>
    <w:lvl w:ilvl="1" w:tplc="14090019" w:tentative="1">
      <w:start w:val="1"/>
      <w:numFmt w:val="lowerLetter"/>
      <w:lvlText w:val="%2."/>
      <w:lvlJc w:val="left"/>
      <w:pPr>
        <w:ind w:left="1647" w:hanging="360"/>
      </w:pPr>
    </w:lvl>
    <w:lvl w:ilvl="2" w:tplc="1409001B" w:tentative="1">
      <w:start w:val="1"/>
      <w:numFmt w:val="lowerRoman"/>
      <w:lvlText w:val="%3."/>
      <w:lvlJc w:val="right"/>
      <w:pPr>
        <w:ind w:left="2367" w:hanging="180"/>
      </w:pPr>
    </w:lvl>
    <w:lvl w:ilvl="3" w:tplc="1409000F" w:tentative="1">
      <w:start w:val="1"/>
      <w:numFmt w:val="decimal"/>
      <w:lvlText w:val="%4."/>
      <w:lvlJc w:val="left"/>
      <w:pPr>
        <w:ind w:left="3087" w:hanging="360"/>
      </w:pPr>
    </w:lvl>
    <w:lvl w:ilvl="4" w:tplc="14090019" w:tentative="1">
      <w:start w:val="1"/>
      <w:numFmt w:val="lowerLetter"/>
      <w:lvlText w:val="%5."/>
      <w:lvlJc w:val="left"/>
      <w:pPr>
        <w:ind w:left="3807" w:hanging="360"/>
      </w:pPr>
    </w:lvl>
    <w:lvl w:ilvl="5" w:tplc="1409001B" w:tentative="1">
      <w:start w:val="1"/>
      <w:numFmt w:val="lowerRoman"/>
      <w:lvlText w:val="%6."/>
      <w:lvlJc w:val="right"/>
      <w:pPr>
        <w:ind w:left="4527" w:hanging="180"/>
      </w:pPr>
    </w:lvl>
    <w:lvl w:ilvl="6" w:tplc="1409000F" w:tentative="1">
      <w:start w:val="1"/>
      <w:numFmt w:val="decimal"/>
      <w:lvlText w:val="%7."/>
      <w:lvlJc w:val="left"/>
      <w:pPr>
        <w:ind w:left="5247" w:hanging="360"/>
      </w:pPr>
    </w:lvl>
    <w:lvl w:ilvl="7" w:tplc="14090019" w:tentative="1">
      <w:start w:val="1"/>
      <w:numFmt w:val="lowerLetter"/>
      <w:lvlText w:val="%8."/>
      <w:lvlJc w:val="left"/>
      <w:pPr>
        <w:ind w:left="5967" w:hanging="360"/>
      </w:pPr>
    </w:lvl>
    <w:lvl w:ilvl="8" w:tplc="1409001B" w:tentative="1">
      <w:start w:val="1"/>
      <w:numFmt w:val="lowerRoman"/>
      <w:lvlText w:val="%9."/>
      <w:lvlJc w:val="right"/>
      <w:pPr>
        <w:ind w:left="6687" w:hanging="180"/>
      </w:pPr>
    </w:lvl>
  </w:abstractNum>
  <w:abstractNum w:abstractNumId="1">
    <w:nsid w:val="1DC37972"/>
    <w:multiLevelType w:val="singleLevel"/>
    <w:tmpl w:val="CE343910"/>
    <w:lvl w:ilvl="0">
      <w:start w:val="1"/>
      <w:numFmt w:val="decimal"/>
      <w:pStyle w:val="Chapter2"/>
      <w:lvlText w:val="2.%1"/>
      <w:lvlJc w:val="left"/>
      <w:pPr>
        <w:tabs>
          <w:tab w:val="num" w:pos="851"/>
        </w:tabs>
        <w:ind w:left="851" w:hanging="851"/>
      </w:pPr>
      <w:rPr>
        <w:rFonts w:hint="default"/>
      </w:rPr>
    </w:lvl>
  </w:abstractNum>
  <w:abstractNum w:abstractNumId="2">
    <w:nsid w:val="1E374EBE"/>
    <w:multiLevelType w:val="hybridMultilevel"/>
    <w:tmpl w:val="523C29B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nsid w:val="335F0215"/>
    <w:multiLevelType w:val="hybridMultilevel"/>
    <w:tmpl w:val="3A1A8938"/>
    <w:lvl w:ilvl="0" w:tplc="67523324">
      <w:start w:val="1"/>
      <w:numFmt w:val="decimal"/>
      <w:pStyle w:val="Numberparagraph"/>
      <w:lvlText w:val="%1."/>
      <w:lvlJc w:val="left"/>
      <w:pPr>
        <w:ind w:left="2346" w:hanging="360"/>
      </w:pPr>
      <w:rPr>
        <w:rFonts w:hint="default"/>
        <w:b w:val="0"/>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nsid w:val="35012441"/>
    <w:multiLevelType w:val="hybridMultilevel"/>
    <w:tmpl w:val="066A70E4"/>
    <w:lvl w:ilvl="0" w:tplc="AFCC9D78">
      <w:start w:val="1"/>
      <w:numFmt w:val="decimal"/>
      <w:pStyle w:val="List2"/>
      <w:lvlText w:val="%1."/>
      <w:lvlJc w:val="right"/>
      <w:pPr>
        <w:ind w:left="1003" w:hanging="360"/>
      </w:pPr>
      <w:rPr>
        <w:rFonts w:hint="default"/>
      </w:rPr>
    </w:lvl>
    <w:lvl w:ilvl="1" w:tplc="14090019" w:tentative="1">
      <w:start w:val="1"/>
      <w:numFmt w:val="lowerLetter"/>
      <w:lvlText w:val="%2."/>
      <w:lvlJc w:val="left"/>
      <w:pPr>
        <w:ind w:left="1723" w:hanging="360"/>
      </w:pPr>
    </w:lvl>
    <w:lvl w:ilvl="2" w:tplc="1409001B" w:tentative="1">
      <w:start w:val="1"/>
      <w:numFmt w:val="lowerRoman"/>
      <w:lvlText w:val="%3."/>
      <w:lvlJc w:val="right"/>
      <w:pPr>
        <w:ind w:left="2443" w:hanging="180"/>
      </w:pPr>
    </w:lvl>
    <w:lvl w:ilvl="3" w:tplc="1409000F" w:tentative="1">
      <w:start w:val="1"/>
      <w:numFmt w:val="decimal"/>
      <w:lvlText w:val="%4."/>
      <w:lvlJc w:val="left"/>
      <w:pPr>
        <w:ind w:left="3163" w:hanging="360"/>
      </w:pPr>
    </w:lvl>
    <w:lvl w:ilvl="4" w:tplc="14090019" w:tentative="1">
      <w:start w:val="1"/>
      <w:numFmt w:val="lowerLetter"/>
      <w:lvlText w:val="%5."/>
      <w:lvlJc w:val="left"/>
      <w:pPr>
        <w:ind w:left="3883" w:hanging="360"/>
      </w:pPr>
    </w:lvl>
    <w:lvl w:ilvl="5" w:tplc="1409001B" w:tentative="1">
      <w:start w:val="1"/>
      <w:numFmt w:val="lowerRoman"/>
      <w:lvlText w:val="%6."/>
      <w:lvlJc w:val="right"/>
      <w:pPr>
        <w:ind w:left="4603" w:hanging="180"/>
      </w:pPr>
    </w:lvl>
    <w:lvl w:ilvl="6" w:tplc="1409000F" w:tentative="1">
      <w:start w:val="1"/>
      <w:numFmt w:val="decimal"/>
      <w:lvlText w:val="%7."/>
      <w:lvlJc w:val="left"/>
      <w:pPr>
        <w:ind w:left="5323" w:hanging="360"/>
      </w:pPr>
    </w:lvl>
    <w:lvl w:ilvl="7" w:tplc="14090019" w:tentative="1">
      <w:start w:val="1"/>
      <w:numFmt w:val="lowerLetter"/>
      <w:lvlText w:val="%8."/>
      <w:lvlJc w:val="left"/>
      <w:pPr>
        <w:ind w:left="6043" w:hanging="360"/>
      </w:pPr>
    </w:lvl>
    <w:lvl w:ilvl="8" w:tplc="1409001B" w:tentative="1">
      <w:start w:val="1"/>
      <w:numFmt w:val="lowerRoman"/>
      <w:lvlText w:val="%9."/>
      <w:lvlJc w:val="right"/>
      <w:pPr>
        <w:ind w:left="6763" w:hanging="180"/>
      </w:pPr>
    </w:lvl>
  </w:abstractNum>
  <w:abstractNum w:abstractNumId="5">
    <w:nsid w:val="35FC50F8"/>
    <w:multiLevelType w:val="hybridMultilevel"/>
    <w:tmpl w:val="2382744E"/>
    <w:lvl w:ilvl="0" w:tplc="B53898E8">
      <w:start w:val="1"/>
      <w:numFmt w:val="decimal"/>
      <w:pStyle w:val="Recommendationlevel21"/>
      <w:lvlText w:val="2.%1"/>
      <w:lvlJc w:val="right"/>
      <w:pPr>
        <w:ind w:left="1854" w:hanging="360"/>
      </w:pPr>
      <w:rPr>
        <w:rFonts w:hint="default"/>
      </w:rPr>
    </w:lvl>
    <w:lvl w:ilvl="1" w:tplc="14090019" w:tentative="1">
      <w:start w:val="1"/>
      <w:numFmt w:val="lowerLetter"/>
      <w:lvlText w:val="%2."/>
      <w:lvlJc w:val="left"/>
      <w:pPr>
        <w:ind w:left="2574" w:hanging="360"/>
      </w:pPr>
    </w:lvl>
    <w:lvl w:ilvl="2" w:tplc="1409001B" w:tentative="1">
      <w:start w:val="1"/>
      <w:numFmt w:val="lowerRoman"/>
      <w:lvlText w:val="%3."/>
      <w:lvlJc w:val="right"/>
      <w:pPr>
        <w:ind w:left="3294" w:hanging="180"/>
      </w:pPr>
    </w:lvl>
    <w:lvl w:ilvl="3" w:tplc="1409000F" w:tentative="1">
      <w:start w:val="1"/>
      <w:numFmt w:val="decimal"/>
      <w:lvlText w:val="%4."/>
      <w:lvlJc w:val="left"/>
      <w:pPr>
        <w:ind w:left="4014" w:hanging="360"/>
      </w:pPr>
    </w:lvl>
    <w:lvl w:ilvl="4" w:tplc="14090019" w:tentative="1">
      <w:start w:val="1"/>
      <w:numFmt w:val="lowerLetter"/>
      <w:lvlText w:val="%5."/>
      <w:lvlJc w:val="left"/>
      <w:pPr>
        <w:ind w:left="4734" w:hanging="360"/>
      </w:pPr>
    </w:lvl>
    <w:lvl w:ilvl="5" w:tplc="1409001B" w:tentative="1">
      <w:start w:val="1"/>
      <w:numFmt w:val="lowerRoman"/>
      <w:lvlText w:val="%6."/>
      <w:lvlJc w:val="right"/>
      <w:pPr>
        <w:ind w:left="5454" w:hanging="180"/>
      </w:pPr>
    </w:lvl>
    <w:lvl w:ilvl="6" w:tplc="1409000F" w:tentative="1">
      <w:start w:val="1"/>
      <w:numFmt w:val="decimal"/>
      <w:lvlText w:val="%7."/>
      <w:lvlJc w:val="left"/>
      <w:pPr>
        <w:ind w:left="6174" w:hanging="360"/>
      </w:pPr>
    </w:lvl>
    <w:lvl w:ilvl="7" w:tplc="14090019" w:tentative="1">
      <w:start w:val="1"/>
      <w:numFmt w:val="lowerLetter"/>
      <w:lvlText w:val="%8."/>
      <w:lvlJc w:val="left"/>
      <w:pPr>
        <w:ind w:left="6894" w:hanging="360"/>
      </w:pPr>
    </w:lvl>
    <w:lvl w:ilvl="8" w:tplc="1409001B" w:tentative="1">
      <w:start w:val="1"/>
      <w:numFmt w:val="lowerRoman"/>
      <w:lvlText w:val="%9."/>
      <w:lvlJc w:val="right"/>
      <w:pPr>
        <w:ind w:left="7614" w:hanging="180"/>
      </w:pPr>
    </w:lvl>
  </w:abstractNum>
  <w:abstractNum w:abstractNumId="6">
    <w:nsid w:val="44E970C5"/>
    <w:multiLevelType w:val="hybridMultilevel"/>
    <w:tmpl w:val="228CA9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nsid w:val="46864BCC"/>
    <w:multiLevelType w:val="hybridMultilevel"/>
    <w:tmpl w:val="A5ECF800"/>
    <w:lvl w:ilvl="0" w:tplc="12AE0262">
      <w:start w:val="1"/>
      <w:numFmt w:val="bullet"/>
      <w:pStyle w:val="Bullets"/>
      <w:lvlText w:val=""/>
      <w:lvlJc w:val="left"/>
      <w:pPr>
        <w:tabs>
          <w:tab w:val="num" w:pos="-284"/>
        </w:tabs>
        <w:ind w:left="567" w:hanging="567"/>
      </w:pPr>
      <w:rPr>
        <w:rFonts w:ascii="Symbol" w:hAnsi="Symbol" w:hint="default"/>
        <w:b w:val="0"/>
        <w:i w:val="0"/>
        <w:sz w:val="24"/>
        <w:szCs w:val="24"/>
      </w:rPr>
    </w:lvl>
    <w:lvl w:ilvl="1" w:tplc="058C2656">
      <w:start w:val="1"/>
      <w:numFmt w:val="bullet"/>
      <w:lvlText w:val="o"/>
      <w:lvlJc w:val="left"/>
      <w:pPr>
        <w:tabs>
          <w:tab w:val="num" w:pos="589"/>
        </w:tabs>
        <w:ind w:left="589" w:hanging="360"/>
      </w:pPr>
      <w:rPr>
        <w:rFonts w:ascii="Courier New" w:hAnsi="Courier New" w:cs="Courier New" w:hint="default"/>
      </w:rPr>
    </w:lvl>
    <w:lvl w:ilvl="2" w:tplc="1409001B">
      <w:start w:val="1"/>
      <w:numFmt w:val="bullet"/>
      <w:lvlText w:val=""/>
      <w:lvlJc w:val="left"/>
      <w:pPr>
        <w:tabs>
          <w:tab w:val="num" w:pos="1309"/>
        </w:tabs>
        <w:ind w:left="1309" w:hanging="360"/>
      </w:pPr>
      <w:rPr>
        <w:rFonts w:ascii="Wingdings" w:hAnsi="Wingdings" w:hint="default"/>
      </w:rPr>
    </w:lvl>
    <w:lvl w:ilvl="3" w:tplc="1409000F" w:tentative="1">
      <w:start w:val="1"/>
      <w:numFmt w:val="bullet"/>
      <w:lvlText w:val=""/>
      <w:lvlJc w:val="left"/>
      <w:pPr>
        <w:tabs>
          <w:tab w:val="num" w:pos="2029"/>
        </w:tabs>
        <w:ind w:left="2029" w:hanging="360"/>
      </w:pPr>
      <w:rPr>
        <w:rFonts w:ascii="Symbol" w:hAnsi="Symbol" w:hint="default"/>
      </w:rPr>
    </w:lvl>
    <w:lvl w:ilvl="4" w:tplc="14090019" w:tentative="1">
      <w:start w:val="1"/>
      <w:numFmt w:val="bullet"/>
      <w:lvlText w:val="o"/>
      <w:lvlJc w:val="left"/>
      <w:pPr>
        <w:tabs>
          <w:tab w:val="num" w:pos="2749"/>
        </w:tabs>
        <w:ind w:left="2749" w:hanging="360"/>
      </w:pPr>
      <w:rPr>
        <w:rFonts w:ascii="Courier New" w:hAnsi="Courier New" w:cs="Courier New" w:hint="default"/>
      </w:rPr>
    </w:lvl>
    <w:lvl w:ilvl="5" w:tplc="1409001B" w:tentative="1">
      <w:start w:val="1"/>
      <w:numFmt w:val="bullet"/>
      <w:lvlText w:val=""/>
      <w:lvlJc w:val="left"/>
      <w:pPr>
        <w:tabs>
          <w:tab w:val="num" w:pos="3469"/>
        </w:tabs>
        <w:ind w:left="3469" w:hanging="360"/>
      </w:pPr>
      <w:rPr>
        <w:rFonts w:ascii="Wingdings" w:hAnsi="Wingdings" w:hint="default"/>
      </w:rPr>
    </w:lvl>
    <w:lvl w:ilvl="6" w:tplc="1409000F" w:tentative="1">
      <w:start w:val="1"/>
      <w:numFmt w:val="bullet"/>
      <w:lvlText w:val=""/>
      <w:lvlJc w:val="left"/>
      <w:pPr>
        <w:tabs>
          <w:tab w:val="num" w:pos="4189"/>
        </w:tabs>
        <w:ind w:left="4189" w:hanging="360"/>
      </w:pPr>
      <w:rPr>
        <w:rFonts w:ascii="Symbol" w:hAnsi="Symbol" w:hint="default"/>
      </w:rPr>
    </w:lvl>
    <w:lvl w:ilvl="7" w:tplc="14090019" w:tentative="1">
      <w:start w:val="1"/>
      <w:numFmt w:val="bullet"/>
      <w:lvlText w:val="o"/>
      <w:lvlJc w:val="left"/>
      <w:pPr>
        <w:tabs>
          <w:tab w:val="num" w:pos="4909"/>
        </w:tabs>
        <w:ind w:left="4909" w:hanging="360"/>
      </w:pPr>
      <w:rPr>
        <w:rFonts w:ascii="Courier New" w:hAnsi="Courier New" w:cs="Courier New" w:hint="default"/>
      </w:rPr>
    </w:lvl>
    <w:lvl w:ilvl="8" w:tplc="1409001B" w:tentative="1">
      <w:start w:val="1"/>
      <w:numFmt w:val="bullet"/>
      <w:lvlText w:val=""/>
      <w:lvlJc w:val="left"/>
      <w:pPr>
        <w:tabs>
          <w:tab w:val="num" w:pos="5629"/>
        </w:tabs>
        <w:ind w:left="5629" w:hanging="360"/>
      </w:pPr>
      <w:rPr>
        <w:rFonts w:ascii="Wingdings" w:hAnsi="Wingdings" w:hint="default"/>
      </w:rPr>
    </w:lvl>
  </w:abstractNum>
  <w:abstractNum w:abstractNumId="8">
    <w:nsid w:val="47E012F8"/>
    <w:multiLevelType w:val="hybridMultilevel"/>
    <w:tmpl w:val="D5AA8772"/>
    <w:lvl w:ilvl="0" w:tplc="791CB6D0">
      <w:start w:val="1"/>
      <w:numFmt w:val="decimal"/>
      <w:pStyle w:val="Recommendation11"/>
      <w:lvlText w:val="2.%1"/>
      <w:lvlJc w:val="center"/>
      <w:pPr>
        <w:ind w:left="1494" w:hanging="360"/>
      </w:pPr>
      <w:rPr>
        <w:rFonts w:hint="default"/>
      </w:rPr>
    </w:lvl>
    <w:lvl w:ilvl="1" w:tplc="14090019" w:tentative="1">
      <w:start w:val="1"/>
      <w:numFmt w:val="lowerLetter"/>
      <w:lvlText w:val="%2."/>
      <w:lvlJc w:val="left"/>
      <w:pPr>
        <w:ind w:left="2574" w:hanging="360"/>
      </w:pPr>
    </w:lvl>
    <w:lvl w:ilvl="2" w:tplc="1409001B" w:tentative="1">
      <w:start w:val="1"/>
      <w:numFmt w:val="lowerRoman"/>
      <w:lvlText w:val="%3."/>
      <w:lvlJc w:val="right"/>
      <w:pPr>
        <w:ind w:left="3294" w:hanging="180"/>
      </w:pPr>
    </w:lvl>
    <w:lvl w:ilvl="3" w:tplc="1409000F" w:tentative="1">
      <w:start w:val="1"/>
      <w:numFmt w:val="decimal"/>
      <w:lvlText w:val="%4."/>
      <w:lvlJc w:val="left"/>
      <w:pPr>
        <w:ind w:left="4014" w:hanging="360"/>
      </w:pPr>
    </w:lvl>
    <w:lvl w:ilvl="4" w:tplc="14090019" w:tentative="1">
      <w:start w:val="1"/>
      <w:numFmt w:val="lowerLetter"/>
      <w:lvlText w:val="%5."/>
      <w:lvlJc w:val="left"/>
      <w:pPr>
        <w:ind w:left="4734" w:hanging="360"/>
      </w:pPr>
    </w:lvl>
    <w:lvl w:ilvl="5" w:tplc="1409001B" w:tentative="1">
      <w:start w:val="1"/>
      <w:numFmt w:val="lowerRoman"/>
      <w:lvlText w:val="%6."/>
      <w:lvlJc w:val="right"/>
      <w:pPr>
        <w:ind w:left="5454" w:hanging="180"/>
      </w:pPr>
    </w:lvl>
    <w:lvl w:ilvl="6" w:tplc="1409000F" w:tentative="1">
      <w:start w:val="1"/>
      <w:numFmt w:val="decimal"/>
      <w:lvlText w:val="%7."/>
      <w:lvlJc w:val="left"/>
      <w:pPr>
        <w:ind w:left="6174" w:hanging="360"/>
      </w:pPr>
    </w:lvl>
    <w:lvl w:ilvl="7" w:tplc="14090019" w:tentative="1">
      <w:start w:val="1"/>
      <w:numFmt w:val="lowerLetter"/>
      <w:lvlText w:val="%8."/>
      <w:lvlJc w:val="left"/>
      <w:pPr>
        <w:ind w:left="6894" w:hanging="360"/>
      </w:pPr>
    </w:lvl>
    <w:lvl w:ilvl="8" w:tplc="1409001B" w:tentative="1">
      <w:start w:val="1"/>
      <w:numFmt w:val="lowerRoman"/>
      <w:lvlText w:val="%9."/>
      <w:lvlJc w:val="right"/>
      <w:pPr>
        <w:ind w:left="7614" w:hanging="180"/>
      </w:pPr>
    </w:lvl>
  </w:abstractNum>
  <w:abstractNum w:abstractNumId="9">
    <w:nsid w:val="514F7994"/>
    <w:multiLevelType w:val="hybridMultilevel"/>
    <w:tmpl w:val="8C1A3F62"/>
    <w:lvl w:ilvl="0" w:tplc="08090005">
      <w:start w:val="1"/>
      <w:numFmt w:val="decimal"/>
      <w:pStyle w:val="Chapter1"/>
      <w:lvlText w:val="1.%1"/>
      <w:lvlJc w:val="left"/>
      <w:pPr>
        <w:tabs>
          <w:tab w:val="num" w:pos="851"/>
        </w:tabs>
        <w:ind w:left="851" w:hanging="851"/>
      </w:pPr>
      <w:rPr>
        <w:rFonts w:hint="default"/>
      </w:rPr>
    </w:lvl>
    <w:lvl w:ilvl="1" w:tplc="6FB61F34">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0">
    <w:nsid w:val="640B3675"/>
    <w:multiLevelType w:val="hybridMultilevel"/>
    <w:tmpl w:val="A80A1B42"/>
    <w:lvl w:ilvl="0" w:tplc="408A3C90">
      <w:start w:val="1"/>
      <w:numFmt w:val="decimal"/>
      <w:pStyle w:val="Recommendationfirstleve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3"/>
  </w:num>
  <w:num w:numId="2">
    <w:abstractNumId w:val="10"/>
  </w:num>
  <w:num w:numId="3">
    <w:abstractNumId w:val="4"/>
  </w:num>
  <w:num w:numId="4">
    <w:abstractNumId w:val="8"/>
  </w:num>
  <w:num w:numId="5">
    <w:abstractNumId w:val="5"/>
  </w:num>
  <w:num w:numId="6">
    <w:abstractNumId w:val="9"/>
  </w:num>
  <w:num w:numId="7">
    <w:abstractNumId w:val="7"/>
  </w:num>
  <w:num w:numId="8">
    <w:abstractNumId w:val="1"/>
  </w:num>
  <w:num w:numId="9">
    <w:abstractNumId w:val="6"/>
  </w:num>
  <w:num w:numId="10">
    <w:abstractNumId w:val="0"/>
  </w:num>
  <w:num w:numId="11">
    <w:abstractNumId w:val="2"/>
  </w:num>
  <w:num w:numId="12">
    <w:abstractNumId w:val="3"/>
    <w:lvlOverride w:ilvl="0">
      <w:startOverride w:val="22"/>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AU" w:vendorID="64" w:dllVersion="131078" w:nlCheck="1" w:checkStyle="1"/>
  <w:activeWritingStyle w:appName="MSWord" w:lang="en-NZ" w:vendorID="64" w:dllVersion="131078" w:nlCheck="1" w:checkStyle="1"/>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drawingGridHorizontalSpacing w:val="75"/>
  <w:drawingGridVerticalSpacing w:val="205"/>
  <w:displayHorizont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545"/>
    <w:rsid w:val="000045F4"/>
    <w:rsid w:val="00011C05"/>
    <w:rsid w:val="000126A2"/>
    <w:rsid w:val="00017290"/>
    <w:rsid w:val="00020797"/>
    <w:rsid w:val="00024DBB"/>
    <w:rsid w:val="000256E1"/>
    <w:rsid w:val="000421D3"/>
    <w:rsid w:val="00047F90"/>
    <w:rsid w:val="00051A31"/>
    <w:rsid w:val="0005688A"/>
    <w:rsid w:val="000671F7"/>
    <w:rsid w:val="0007086E"/>
    <w:rsid w:val="00073F06"/>
    <w:rsid w:val="00082A37"/>
    <w:rsid w:val="00094E89"/>
    <w:rsid w:val="000C3A14"/>
    <w:rsid w:val="000C6DD8"/>
    <w:rsid w:val="000E08DC"/>
    <w:rsid w:val="000E3622"/>
    <w:rsid w:val="000E3A99"/>
    <w:rsid w:val="000F04E8"/>
    <w:rsid w:val="00101FC1"/>
    <w:rsid w:val="00106574"/>
    <w:rsid w:val="00110013"/>
    <w:rsid w:val="00110EEB"/>
    <w:rsid w:val="00114CA4"/>
    <w:rsid w:val="001169AE"/>
    <w:rsid w:val="00116C72"/>
    <w:rsid w:val="00126600"/>
    <w:rsid w:val="001313AF"/>
    <w:rsid w:val="00160616"/>
    <w:rsid w:val="0016102F"/>
    <w:rsid w:val="00163753"/>
    <w:rsid w:val="001664F2"/>
    <w:rsid w:val="0017037D"/>
    <w:rsid w:val="00173CFC"/>
    <w:rsid w:val="00191817"/>
    <w:rsid w:val="001A21B5"/>
    <w:rsid w:val="001B015B"/>
    <w:rsid w:val="001B18B2"/>
    <w:rsid w:val="001D307B"/>
    <w:rsid w:val="002057DE"/>
    <w:rsid w:val="00205B90"/>
    <w:rsid w:val="002141D7"/>
    <w:rsid w:val="00231A8B"/>
    <w:rsid w:val="00252D0F"/>
    <w:rsid w:val="00253142"/>
    <w:rsid w:val="00254CD4"/>
    <w:rsid w:val="00263719"/>
    <w:rsid w:val="00264E9A"/>
    <w:rsid w:val="00271177"/>
    <w:rsid w:val="00273345"/>
    <w:rsid w:val="00277CDB"/>
    <w:rsid w:val="002A210D"/>
    <w:rsid w:val="002A6821"/>
    <w:rsid w:val="002B20CE"/>
    <w:rsid w:val="002C0264"/>
    <w:rsid w:val="002F04F3"/>
    <w:rsid w:val="002F1059"/>
    <w:rsid w:val="00300794"/>
    <w:rsid w:val="00306C4E"/>
    <w:rsid w:val="003126C2"/>
    <w:rsid w:val="0031285E"/>
    <w:rsid w:val="00317236"/>
    <w:rsid w:val="00323148"/>
    <w:rsid w:val="00327006"/>
    <w:rsid w:val="003358A8"/>
    <w:rsid w:val="003372C5"/>
    <w:rsid w:val="00343FA6"/>
    <w:rsid w:val="003552C2"/>
    <w:rsid w:val="00361E3B"/>
    <w:rsid w:val="003625A3"/>
    <w:rsid w:val="00366B36"/>
    <w:rsid w:val="00373A7B"/>
    <w:rsid w:val="00380443"/>
    <w:rsid w:val="00382D31"/>
    <w:rsid w:val="00382E76"/>
    <w:rsid w:val="00385119"/>
    <w:rsid w:val="00386663"/>
    <w:rsid w:val="003B1C26"/>
    <w:rsid w:val="003B59D5"/>
    <w:rsid w:val="003C1ACE"/>
    <w:rsid w:val="003C5117"/>
    <w:rsid w:val="003C7111"/>
    <w:rsid w:val="003D5F22"/>
    <w:rsid w:val="003F19D1"/>
    <w:rsid w:val="003F3B34"/>
    <w:rsid w:val="00400713"/>
    <w:rsid w:val="0040146E"/>
    <w:rsid w:val="0040318C"/>
    <w:rsid w:val="00404833"/>
    <w:rsid w:val="00415C5B"/>
    <w:rsid w:val="00415E35"/>
    <w:rsid w:val="00421BA6"/>
    <w:rsid w:val="0042508D"/>
    <w:rsid w:val="0043008E"/>
    <w:rsid w:val="00444510"/>
    <w:rsid w:val="0045225F"/>
    <w:rsid w:val="00453F9B"/>
    <w:rsid w:val="00455D40"/>
    <w:rsid w:val="00462B7A"/>
    <w:rsid w:val="00464CC1"/>
    <w:rsid w:val="00473A17"/>
    <w:rsid w:val="0047697B"/>
    <w:rsid w:val="0049067B"/>
    <w:rsid w:val="00490E7A"/>
    <w:rsid w:val="004927AD"/>
    <w:rsid w:val="004B1DB5"/>
    <w:rsid w:val="004C19B7"/>
    <w:rsid w:val="004D1656"/>
    <w:rsid w:val="004E4136"/>
    <w:rsid w:val="004F6ED4"/>
    <w:rsid w:val="00512BD8"/>
    <w:rsid w:val="00521B79"/>
    <w:rsid w:val="00530DFD"/>
    <w:rsid w:val="00544FDA"/>
    <w:rsid w:val="0054616C"/>
    <w:rsid w:val="005461E1"/>
    <w:rsid w:val="00547522"/>
    <w:rsid w:val="00550856"/>
    <w:rsid w:val="005530BD"/>
    <w:rsid w:val="0055457F"/>
    <w:rsid w:val="005608B3"/>
    <w:rsid w:val="005631AC"/>
    <w:rsid w:val="005643C7"/>
    <w:rsid w:val="005658BD"/>
    <w:rsid w:val="00567860"/>
    <w:rsid w:val="005732F2"/>
    <w:rsid w:val="005738E2"/>
    <w:rsid w:val="00585502"/>
    <w:rsid w:val="00587CE5"/>
    <w:rsid w:val="00594F7C"/>
    <w:rsid w:val="005A2A86"/>
    <w:rsid w:val="005A38C8"/>
    <w:rsid w:val="005A4102"/>
    <w:rsid w:val="005A5973"/>
    <w:rsid w:val="005B6BED"/>
    <w:rsid w:val="005C12F0"/>
    <w:rsid w:val="005C7C61"/>
    <w:rsid w:val="005C7F74"/>
    <w:rsid w:val="005D5722"/>
    <w:rsid w:val="005E35C4"/>
    <w:rsid w:val="005E78FA"/>
    <w:rsid w:val="005F2E81"/>
    <w:rsid w:val="005F4935"/>
    <w:rsid w:val="00606973"/>
    <w:rsid w:val="00622B40"/>
    <w:rsid w:val="00624563"/>
    <w:rsid w:val="006341F6"/>
    <w:rsid w:val="00644B60"/>
    <w:rsid w:val="006477A6"/>
    <w:rsid w:val="00656724"/>
    <w:rsid w:val="0066134D"/>
    <w:rsid w:val="006808E1"/>
    <w:rsid w:val="00682039"/>
    <w:rsid w:val="00684EB9"/>
    <w:rsid w:val="00693D26"/>
    <w:rsid w:val="00693EA1"/>
    <w:rsid w:val="00694060"/>
    <w:rsid w:val="006951E7"/>
    <w:rsid w:val="006A14EB"/>
    <w:rsid w:val="006A39FB"/>
    <w:rsid w:val="006A5A77"/>
    <w:rsid w:val="006B301C"/>
    <w:rsid w:val="006B5490"/>
    <w:rsid w:val="006C1552"/>
    <w:rsid w:val="006E11C1"/>
    <w:rsid w:val="006E29A6"/>
    <w:rsid w:val="006E399D"/>
    <w:rsid w:val="006F2E02"/>
    <w:rsid w:val="00702A6D"/>
    <w:rsid w:val="00707F47"/>
    <w:rsid w:val="00713079"/>
    <w:rsid w:val="00714751"/>
    <w:rsid w:val="007167BA"/>
    <w:rsid w:val="00726754"/>
    <w:rsid w:val="00730091"/>
    <w:rsid w:val="00732C16"/>
    <w:rsid w:val="00744423"/>
    <w:rsid w:val="007475AB"/>
    <w:rsid w:val="0075704C"/>
    <w:rsid w:val="00760BB3"/>
    <w:rsid w:val="00762A34"/>
    <w:rsid w:val="00763BDD"/>
    <w:rsid w:val="0076554C"/>
    <w:rsid w:val="00765843"/>
    <w:rsid w:val="007852BA"/>
    <w:rsid w:val="007876A5"/>
    <w:rsid w:val="007A0484"/>
    <w:rsid w:val="007A37A0"/>
    <w:rsid w:val="007A3C22"/>
    <w:rsid w:val="007A58EB"/>
    <w:rsid w:val="007B0C15"/>
    <w:rsid w:val="007B6715"/>
    <w:rsid w:val="007B7D93"/>
    <w:rsid w:val="007C0617"/>
    <w:rsid w:val="007D4F6A"/>
    <w:rsid w:val="007D602A"/>
    <w:rsid w:val="007E2640"/>
    <w:rsid w:val="007E787A"/>
    <w:rsid w:val="007F0705"/>
    <w:rsid w:val="007F0894"/>
    <w:rsid w:val="00801E57"/>
    <w:rsid w:val="0081188B"/>
    <w:rsid w:val="00813502"/>
    <w:rsid w:val="00831050"/>
    <w:rsid w:val="00834EE0"/>
    <w:rsid w:val="008352D5"/>
    <w:rsid w:val="008440CC"/>
    <w:rsid w:val="008515BE"/>
    <w:rsid w:val="00851C07"/>
    <w:rsid w:val="00856F8E"/>
    <w:rsid w:val="008571D2"/>
    <w:rsid w:val="00857B49"/>
    <w:rsid w:val="0087429B"/>
    <w:rsid w:val="00875734"/>
    <w:rsid w:val="00881CD3"/>
    <w:rsid w:val="008837B6"/>
    <w:rsid w:val="00890007"/>
    <w:rsid w:val="008B20B4"/>
    <w:rsid w:val="008B36BD"/>
    <w:rsid w:val="008B5D54"/>
    <w:rsid w:val="008C1A1B"/>
    <w:rsid w:val="008C3EE0"/>
    <w:rsid w:val="008D1C90"/>
    <w:rsid w:val="008E0F80"/>
    <w:rsid w:val="008E7B8D"/>
    <w:rsid w:val="008F0CDC"/>
    <w:rsid w:val="008F1C75"/>
    <w:rsid w:val="008F5CAC"/>
    <w:rsid w:val="0091000A"/>
    <w:rsid w:val="00917545"/>
    <w:rsid w:val="00917C58"/>
    <w:rsid w:val="00921189"/>
    <w:rsid w:val="00921DBB"/>
    <w:rsid w:val="00922702"/>
    <w:rsid w:val="009423E6"/>
    <w:rsid w:val="00947E24"/>
    <w:rsid w:val="009550F0"/>
    <w:rsid w:val="00963FB4"/>
    <w:rsid w:val="00967859"/>
    <w:rsid w:val="009701CD"/>
    <w:rsid w:val="00983939"/>
    <w:rsid w:val="00995E39"/>
    <w:rsid w:val="009A205F"/>
    <w:rsid w:val="009B1E5C"/>
    <w:rsid w:val="009B2C2C"/>
    <w:rsid w:val="009B2C6C"/>
    <w:rsid w:val="009B310D"/>
    <w:rsid w:val="009C73F9"/>
    <w:rsid w:val="009D1F59"/>
    <w:rsid w:val="009D2758"/>
    <w:rsid w:val="009D3B83"/>
    <w:rsid w:val="009D5FCD"/>
    <w:rsid w:val="009D6598"/>
    <w:rsid w:val="009E0CC8"/>
    <w:rsid w:val="009F4AC3"/>
    <w:rsid w:val="00A0082D"/>
    <w:rsid w:val="00A008DD"/>
    <w:rsid w:val="00A0224A"/>
    <w:rsid w:val="00A11142"/>
    <w:rsid w:val="00A15BB1"/>
    <w:rsid w:val="00A268BF"/>
    <w:rsid w:val="00A30795"/>
    <w:rsid w:val="00A32ABA"/>
    <w:rsid w:val="00A51793"/>
    <w:rsid w:val="00A51836"/>
    <w:rsid w:val="00A520B5"/>
    <w:rsid w:val="00A64634"/>
    <w:rsid w:val="00A82E8C"/>
    <w:rsid w:val="00A84FAB"/>
    <w:rsid w:val="00A84FBA"/>
    <w:rsid w:val="00AA69B2"/>
    <w:rsid w:val="00AB1974"/>
    <w:rsid w:val="00AC1298"/>
    <w:rsid w:val="00AC2310"/>
    <w:rsid w:val="00AD6205"/>
    <w:rsid w:val="00AE00CD"/>
    <w:rsid w:val="00AE2251"/>
    <w:rsid w:val="00AE342B"/>
    <w:rsid w:val="00AE42BA"/>
    <w:rsid w:val="00AE6AB9"/>
    <w:rsid w:val="00AF3E31"/>
    <w:rsid w:val="00B00B76"/>
    <w:rsid w:val="00B05DE4"/>
    <w:rsid w:val="00B308FF"/>
    <w:rsid w:val="00B317F9"/>
    <w:rsid w:val="00B330F5"/>
    <w:rsid w:val="00B57DE8"/>
    <w:rsid w:val="00B664A5"/>
    <w:rsid w:val="00B718D9"/>
    <w:rsid w:val="00B71EE3"/>
    <w:rsid w:val="00B74AC8"/>
    <w:rsid w:val="00B94810"/>
    <w:rsid w:val="00BA5A9A"/>
    <w:rsid w:val="00BB1CEF"/>
    <w:rsid w:val="00BB67E5"/>
    <w:rsid w:val="00BD1737"/>
    <w:rsid w:val="00BD28E0"/>
    <w:rsid w:val="00BE0872"/>
    <w:rsid w:val="00BF69F0"/>
    <w:rsid w:val="00C049EE"/>
    <w:rsid w:val="00C05D01"/>
    <w:rsid w:val="00C06B77"/>
    <w:rsid w:val="00C15C3B"/>
    <w:rsid w:val="00C16F3D"/>
    <w:rsid w:val="00C23036"/>
    <w:rsid w:val="00C303CC"/>
    <w:rsid w:val="00C40B61"/>
    <w:rsid w:val="00C458BE"/>
    <w:rsid w:val="00C50221"/>
    <w:rsid w:val="00C55508"/>
    <w:rsid w:val="00C60D32"/>
    <w:rsid w:val="00C66750"/>
    <w:rsid w:val="00C71015"/>
    <w:rsid w:val="00C72D0A"/>
    <w:rsid w:val="00C97E2A"/>
    <w:rsid w:val="00CC394D"/>
    <w:rsid w:val="00CD5A5B"/>
    <w:rsid w:val="00CE4177"/>
    <w:rsid w:val="00CE6629"/>
    <w:rsid w:val="00CF6414"/>
    <w:rsid w:val="00D15DE9"/>
    <w:rsid w:val="00D16223"/>
    <w:rsid w:val="00D23100"/>
    <w:rsid w:val="00D25C3A"/>
    <w:rsid w:val="00D3403A"/>
    <w:rsid w:val="00D370FC"/>
    <w:rsid w:val="00D75318"/>
    <w:rsid w:val="00D8134D"/>
    <w:rsid w:val="00D823E4"/>
    <w:rsid w:val="00D84A92"/>
    <w:rsid w:val="00D9206E"/>
    <w:rsid w:val="00D96506"/>
    <w:rsid w:val="00DC26C8"/>
    <w:rsid w:val="00DD23B8"/>
    <w:rsid w:val="00DD2F06"/>
    <w:rsid w:val="00DD36C5"/>
    <w:rsid w:val="00DD5539"/>
    <w:rsid w:val="00DE1099"/>
    <w:rsid w:val="00DE111B"/>
    <w:rsid w:val="00DE4FCB"/>
    <w:rsid w:val="00DF159B"/>
    <w:rsid w:val="00E0270D"/>
    <w:rsid w:val="00E12DB3"/>
    <w:rsid w:val="00E207D7"/>
    <w:rsid w:val="00E21EA8"/>
    <w:rsid w:val="00E23B55"/>
    <w:rsid w:val="00E2621E"/>
    <w:rsid w:val="00E26E65"/>
    <w:rsid w:val="00E30787"/>
    <w:rsid w:val="00E3238E"/>
    <w:rsid w:val="00E4232F"/>
    <w:rsid w:val="00E439B9"/>
    <w:rsid w:val="00E50006"/>
    <w:rsid w:val="00E510E3"/>
    <w:rsid w:val="00E51244"/>
    <w:rsid w:val="00E54E8F"/>
    <w:rsid w:val="00E55FE3"/>
    <w:rsid w:val="00E6359F"/>
    <w:rsid w:val="00E7460A"/>
    <w:rsid w:val="00E82392"/>
    <w:rsid w:val="00E85FE5"/>
    <w:rsid w:val="00E90DD0"/>
    <w:rsid w:val="00E92C07"/>
    <w:rsid w:val="00EA1634"/>
    <w:rsid w:val="00EA1ADF"/>
    <w:rsid w:val="00EA5271"/>
    <w:rsid w:val="00EB0DDB"/>
    <w:rsid w:val="00EB24CC"/>
    <w:rsid w:val="00EB52AD"/>
    <w:rsid w:val="00EB695F"/>
    <w:rsid w:val="00EC6072"/>
    <w:rsid w:val="00EC6FD6"/>
    <w:rsid w:val="00ED231F"/>
    <w:rsid w:val="00ED3107"/>
    <w:rsid w:val="00ED4E1B"/>
    <w:rsid w:val="00ED6CE3"/>
    <w:rsid w:val="00EE109F"/>
    <w:rsid w:val="00EF0530"/>
    <w:rsid w:val="00EF7493"/>
    <w:rsid w:val="00F05665"/>
    <w:rsid w:val="00F10A14"/>
    <w:rsid w:val="00F13D33"/>
    <w:rsid w:val="00F22E3E"/>
    <w:rsid w:val="00F2676E"/>
    <w:rsid w:val="00F541AB"/>
    <w:rsid w:val="00F64F18"/>
    <w:rsid w:val="00F83551"/>
    <w:rsid w:val="00F83840"/>
    <w:rsid w:val="00F90259"/>
    <w:rsid w:val="00F90D70"/>
    <w:rsid w:val="00F95A53"/>
    <w:rsid w:val="00FA0253"/>
    <w:rsid w:val="00FA1E52"/>
    <w:rsid w:val="00FA7192"/>
    <w:rsid w:val="00FB1AD2"/>
    <w:rsid w:val="00FB57EA"/>
    <w:rsid w:val="00FB71E8"/>
    <w:rsid w:val="00FE0678"/>
    <w:rsid w:val="00FF4E6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N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00CD"/>
    <w:rPr>
      <w:sz w:val="24"/>
      <w:lang w:eastAsia="en-US"/>
    </w:rPr>
  </w:style>
  <w:style w:type="paragraph" w:styleId="Heading1">
    <w:name w:val="heading 1"/>
    <w:basedOn w:val="Normal"/>
    <w:next w:val="Normal"/>
    <w:qFormat/>
    <w:rsid w:val="00263719"/>
    <w:pPr>
      <w:keepNext/>
      <w:spacing w:before="240" w:after="60"/>
      <w:outlineLvl w:val="0"/>
    </w:pPr>
    <w:rPr>
      <w:rFonts w:ascii="Arial" w:hAnsi="Arial" w:cs="Arial"/>
      <w:b/>
      <w:bCs/>
      <w:kern w:val="32"/>
      <w:sz w:val="32"/>
      <w:szCs w:val="32"/>
    </w:rPr>
  </w:style>
  <w:style w:type="paragraph" w:styleId="Heading2">
    <w:name w:val="heading 2"/>
    <w:basedOn w:val="Heading1"/>
    <w:next w:val="Normal"/>
    <w:qFormat/>
    <w:rsid w:val="00263719"/>
    <w:pPr>
      <w:spacing w:before="0" w:after="113" w:line="440" w:lineRule="exact"/>
      <w:outlineLvl w:val="1"/>
    </w:pPr>
    <w:rPr>
      <w:rFonts w:ascii="Times New Roman" w:hAnsi="Times New Roman"/>
      <w:b w:val="0"/>
      <w:bCs w:val="0"/>
      <w:iCs/>
      <w:color w:val="87212E"/>
      <w:sz w:val="30"/>
      <w:szCs w:val="30"/>
      <w:lang w:eastAsia="en-AU"/>
    </w:rPr>
  </w:style>
  <w:style w:type="paragraph" w:styleId="Heading3">
    <w:name w:val="heading 3"/>
    <w:basedOn w:val="Heading2"/>
    <w:next w:val="Normal"/>
    <w:qFormat/>
    <w:rsid w:val="00263719"/>
    <w:pPr>
      <w:spacing w:before="227" w:after="57" w:line="340" w:lineRule="exact"/>
      <w:outlineLvl w:val="2"/>
    </w:pPr>
    <w:rPr>
      <w:bCs/>
      <w:i/>
      <w:sz w:val="24"/>
      <w:szCs w:val="24"/>
    </w:rPr>
  </w:style>
  <w:style w:type="paragraph" w:styleId="Heading5">
    <w:name w:val="heading 5"/>
    <w:basedOn w:val="Normal"/>
    <w:next w:val="Normal"/>
    <w:qFormat/>
    <w:rsid w:val="00D8134D"/>
    <w:pPr>
      <w:keepNext/>
      <w:spacing w:before="120" w:after="144"/>
      <w:outlineLvl w:val="4"/>
    </w:pPr>
    <w:rPr>
      <w:rFonts w:ascii="Arial Bold" w:hAnsi="Arial Bold"/>
      <w:b/>
      <w:lang w:val="en-US"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0">
    <w:name w:val="Heading1"/>
    <w:basedOn w:val="DefaultParagraphFont"/>
    <w:rsid w:val="00BD1737"/>
    <w:rPr>
      <w:rFonts w:ascii="Arial" w:hAnsi="Arial"/>
      <w:b/>
      <w:bCs/>
      <w:sz w:val="36"/>
    </w:rPr>
  </w:style>
  <w:style w:type="paragraph" w:customStyle="1" w:styleId="Heading20">
    <w:name w:val="Heading2"/>
    <w:basedOn w:val="NormalWeb"/>
    <w:rsid w:val="00BD1737"/>
    <w:pPr>
      <w:spacing w:before="100" w:beforeAutospacing="1" w:after="100" w:afterAutospacing="1" w:line="360" w:lineRule="auto"/>
    </w:pPr>
    <w:rPr>
      <w:rFonts w:ascii="Arial" w:hAnsi="Arial"/>
      <w:b/>
      <w:bCs/>
      <w:color w:val="000000"/>
      <w:sz w:val="28"/>
      <w:szCs w:val="20"/>
      <w:lang w:val="en-AU"/>
    </w:rPr>
  </w:style>
  <w:style w:type="paragraph" w:styleId="NormalWeb">
    <w:name w:val="Normal (Web)"/>
    <w:basedOn w:val="Normal"/>
    <w:rsid w:val="00BD1737"/>
    <w:rPr>
      <w:szCs w:val="24"/>
    </w:rPr>
  </w:style>
  <w:style w:type="character" w:styleId="Hyperlink">
    <w:name w:val="Hyperlink"/>
    <w:basedOn w:val="DefaultParagraphFont"/>
    <w:rsid w:val="007E2640"/>
    <w:rPr>
      <w:color w:val="0000FF"/>
      <w:u w:val="single"/>
    </w:rPr>
  </w:style>
  <w:style w:type="character" w:styleId="Emphasis">
    <w:name w:val="Emphasis"/>
    <w:basedOn w:val="DefaultParagraphFont"/>
    <w:qFormat/>
    <w:rsid w:val="007E2640"/>
    <w:rPr>
      <w:i/>
      <w:iCs/>
    </w:rPr>
  </w:style>
  <w:style w:type="paragraph" w:styleId="Header">
    <w:name w:val="header"/>
    <w:basedOn w:val="Normal"/>
    <w:link w:val="HeaderChar"/>
    <w:uiPriority w:val="99"/>
    <w:rsid w:val="006808E1"/>
    <w:pPr>
      <w:tabs>
        <w:tab w:val="center" w:pos="4153"/>
        <w:tab w:val="right" w:pos="8306"/>
      </w:tabs>
    </w:pPr>
  </w:style>
  <w:style w:type="paragraph" w:styleId="Footer">
    <w:name w:val="footer"/>
    <w:basedOn w:val="Normal"/>
    <w:link w:val="FooterChar"/>
    <w:uiPriority w:val="99"/>
    <w:rsid w:val="006808E1"/>
    <w:pPr>
      <w:tabs>
        <w:tab w:val="center" w:pos="4153"/>
        <w:tab w:val="right" w:pos="8306"/>
      </w:tabs>
    </w:pPr>
  </w:style>
  <w:style w:type="character" w:styleId="PageNumber">
    <w:name w:val="page number"/>
    <w:basedOn w:val="DefaultParagraphFont"/>
    <w:rsid w:val="006808E1"/>
  </w:style>
  <w:style w:type="table" w:styleId="TableGrid">
    <w:name w:val="Table Grid"/>
    <w:basedOn w:val="TableNormal"/>
    <w:rsid w:val="00263719"/>
    <w:pPr>
      <w:spacing w:after="120" w:line="3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D8134D"/>
    <w:pPr>
      <w:jc w:val="center"/>
    </w:pPr>
    <w:rPr>
      <w:sz w:val="23"/>
      <w:lang w:val="en-US" w:eastAsia="en-NZ"/>
    </w:rPr>
  </w:style>
  <w:style w:type="paragraph" w:customStyle="1" w:styleId="Numberparagraph">
    <w:name w:val="Number paragraph"/>
    <w:basedOn w:val="Normal"/>
    <w:uiPriority w:val="99"/>
    <w:qFormat/>
    <w:rsid w:val="00E4232F"/>
    <w:pPr>
      <w:numPr>
        <w:numId w:val="1"/>
      </w:numPr>
      <w:tabs>
        <w:tab w:val="left" w:pos="567"/>
      </w:tabs>
      <w:jc w:val="both"/>
    </w:pPr>
    <w:rPr>
      <w:szCs w:val="24"/>
      <w:lang w:eastAsia="en-AU"/>
    </w:rPr>
  </w:style>
  <w:style w:type="paragraph" w:customStyle="1" w:styleId="Recommendationfirstlevel">
    <w:name w:val="Recommendation first level"/>
    <w:basedOn w:val="Normal"/>
    <w:qFormat/>
    <w:rsid w:val="00AE00CD"/>
    <w:pPr>
      <w:numPr>
        <w:numId w:val="2"/>
      </w:numPr>
      <w:tabs>
        <w:tab w:val="left" w:pos="567"/>
      </w:tabs>
      <w:jc w:val="both"/>
    </w:pPr>
    <w:rPr>
      <w:szCs w:val="24"/>
      <w:lang w:eastAsia="en-AU"/>
    </w:rPr>
  </w:style>
  <w:style w:type="paragraph" w:styleId="ListParagraph">
    <w:name w:val="List Paragraph"/>
    <w:basedOn w:val="Normal"/>
    <w:uiPriority w:val="34"/>
    <w:qFormat/>
    <w:rsid w:val="00AE00CD"/>
    <w:pPr>
      <w:ind w:left="720"/>
      <w:contextualSpacing/>
    </w:pPr>
  </w:style>
  <w:style w:type="paragraph" w:styleId="List2">
    <w:name w:val="List 2"/>
    <w:basedOn w:val="Normal"/>
    <w:autoRedefine/>
    <w:uiPriority w:val="99"/>
    <w:semiHidden/>
    <w:unhideWhenUsed/>
    <w:qFormat/>
    <w:rsid w:val="00AE00CD"/>
    <w:pPr>
      <w:numPr>
        <w:numId w:val="3"/>
      </w:numPr>
      <w:contextualSpacing/>
    </w:pPr>
  </w:style>
  <w:style w:type="paragraph" w:customStyle="1" w:styleId="Recommendation11">
    <w:name w:val="Recommendation 1.1"/>
    <w:basedOn w:val="Recommendationfirstlevel"/>
    <w:qFormat/>
    <w:rsid w:val="0016102F"/>
    <w:pPr>
      <w:numPr>
        <w:numId w:val="4"/>
      </w:numPr>
      <w:tabs>
        <w:tab w:val="clear" w:pos="567"/>
      </w:tabs>
      <w:ind w:left="1134" w:firstLine="0"/>
    </w:pPr>
  </w:style>
  <w:style w:type="paragraph" w:customStyle="1" w:styleId="Recommendationlevel21">
    <w:name w:val="Recommendation level 2.1"/>
    <w:basedOn w:val="Recommendationfirstlevel"/>
    <w:qFormat/>
    <w:rsid w:val="00415C5B"/>
    <w:pPr>
      <w:numPr>
        <w:numId w:val="5"/>
      </w:numPr>
    </w:pPr>
  </w:style>
  <w:style w:type="paragraph" w:customStyle="1" w:styleId="Chapter1">
    <w:name w:val="Chapter 1"/>
    <w:link w:val="Chapter1Char1"/>
    <w:rsid w:val="004D1656"/>
    <w:pPr>
      <w:numPr>
        <w:numId w:val="6"/>
      </w:numPr>
      <w:jc w:val="both"/>
    </w:pPr>
    <w:rPr>
      <w:sz w:val="24"/>
      <w:lang w:eastAsia="en-AU"/>
    </w:rPr>
  </w:style>
  <w:style w:type="character" w:customStyle="1" w:styleId="Chapter1Char1">
    <w:name w:val="Chapter 1 Char1"/>
    <w:basedOn w:val="DefaultParagraphFont"/>
    <w:link w:val="Chapter1"/>
    <w:rsid w:val="004D1656"/>
    <w:rPr>
      <w:sz w:val="24"/>
      <w:lang w:eastAsia="en-AU"/>
    </w:rPr>
  </w:style>
  <w:style w:type="paragraph" w:customStyle="1" w:styleId="TRNormal">
    <w:name w:val="_TRNormal"/>
    <w:link w:val="TRNormalChar"/>
    <w:rsid w:val="00D15DE9"/>
    <w:pPr>
      <w:spacing w:line="300" w:lineRule="atLeast"/>
      <w:jc w:val="both"/>
    </w:pPr>
    <w:rPr>
      <w:sz w:val="24"/>
      <w:lang w:eastAsia="en-AU"/>
    </w:rPr>
  </w:style>
  <w:style w:type="character" w:customStyle="1" w:styleId="TRNormalChar">
    <w:name w:val="_TRNormal Char"/>
    <w:basedOn w:val="DefaultParagraphFont"/>
    <w:link w:val="TRNormal"/>
    <w:rsid w:val="00D15DE9"/>
    <w:rPr>
      <w:sz w:val="24"/>
      <w:lang w:eastAsia="en-AU"/>
    </w:rPr>
  </w:style>
  <w:style w:type="character" w:styleId="CommentReference">
    <w:name w:val="annotation reference"/>
    <w:basedOn w:val="DefaultParagraphFont"/>
    <w:uiPriority w:val="99"/>
    <w:semiHidden/>
    <w:unhideWhenUsed/>
    <w:rsid w:val="00F83551"/>
    <w:rPr>
      <w:sz w:val="16"/>
      <w:szCs w:val="16"/>
    </w:rPr>
  </w:style>
  <w:style w:type="paragraph" w:styleId="CommentText">
    <w:name w:val="annotation text"/>
    <w:basedOn w:val="Normal"/>
    <w:link w:val="CommentTextChar"/>
    <w:uiPriority w:val="99"/>
    <w:semiHidden/>
    <w:unhideWhenUsed/>
    <w:rsid w:val="00F83551"/>
    <w:rPr>
      <w:sz w:val="20"/>
    </w:rPr>
  </w:style>
  <w:style w:type="character" w:customStyle="1" w:styleId="CommentTextChar">
    <w:name w:val="Comment Text Char"/>
    <w:basedOn w:val="DefaultParagraphFont"/>
    <w:link w:val="CommentText"/>
    <w:uiPriority w:val="99"/>
    <w:semiHidden/>
    <w:rsid w:val="00F83551"/>
    <w:rPr>
      <w:lang w:eastAsia="en-US"/>
    </w:rPr>
  </w:style>
  <w:style w:type="paragraph" w:styleId="CommentSubject">
    <w:name w:val="annotation subject"/>
    <w:basedOn w:val="CommentText"/>
    <w:next w:val="CommentText"/>
    <w:link w:val="CommentSubjectChar"/>
    <w:uiPriority w:val="99"/>
    <w:semiHidden/>
    <w:unhideWhenUsed/>
    <w:rsid w:val="00F83551"/>
    <w:rPr>
      <w:b/>
      <w:bCs/>
    </w:rPr>
  </w:style>
  <w:style w:type="character" w:customStyle="1" w:styleId="CommentSubjectChar">
    <w:name w:val="Comment Subject Char"/>
    <w:basedOn w:val="CommentTextChar"/>
    <w:link w:val="CommentSubject"/>
    <w:uiPriority w:val="99"/>
    <w:semiHidden/>
    <w:rsid w:val="00F83551"/>
    <w:rPr>
      <w:b/>
      <w:bCs/>
      <w:lang w:eastAsia="en-US"/>
    </w:rPr>
  </w:style>
  <w:style w:type="paragraph" w:styleId="BalloonText">
    <w:name w:val="Balloon Text"/>
    <w:basedOn w:val="Normal"/>
    <w:link w:val="BalloonTextChar"/>
    <w:uiPriority w:val="99"/>
    <w:semiHidden/>
    <w:unhideWhenUsed/>
    <w:rsid w:val="00F83551"/>
    <w:rPr>
      <w:rFonts w:ascii="Tahoma" w:hAnsi="Tahoma" w:cs="Tahoma"/>
      <w:sz w:val="16"/>
      <w:szCs w:val="16"/>
    </w:rPr>
  </w:style>
  <w:style w:type="character" w:customStyle="1" w:styleId="BalloonTextChar">
    <w:name w:val="Balloon Text Char"/>
    <w:basedOn w:val="DefaultParagraphFont"/>
    <w:link w:val="BalloonText"/>
    <w:uiPriority w:val="99"/>
    <w:semiHidden/>
    <w:rsid w:val="00F83551"/>
    <w:rPr>
      <w:rFonts w:ascii="Tahoma" w:hAnsi="Tahoma" w:cs="Tahoma"/>
      <w:sz w:val="16"/>
      <w:szCs w:val="16"/>
      <w:lang w:eastAsia="en-US"/>
    </w:rPr>
  </w:style>
  <w:style w:type="paragraph" w:customStyle="1" w:styleId="Bullets">
    <w:name w:val="Bullets"/>
    <w:basedOn w:val="Normal"/>
    <w:link w:val="BulletsChar"/>
    <w:rsid w:val="00714751"/>
    <w:pPr>
      <w:numPr>
        <w:numId w:val="7"/>
      </w:numPr>
      <w:tabs>
        <w:tab w:val="left" w:pos="1418"/>
      </w:tabs>
      <w:spacing w:after="140"/>
      <w:jc w:val="both"/>
    </w:pPr>
    <w:rPr>
      <w:lang w:val="en-GB" w:eastAsia="en-AU"/>
    </w:rPr>
  </w:style>
  <w:style w:type="character" w:customStyle="1" w:styleId="BulletsChar">
    <w:name w:val="Bullets Char"/>
    <w:basedOn w:val="DefaultParagraphFont"/>
    <w:link w:val="Bullets"/>
    <w:rsid w:val="00714751"/>
    <w:rPr>
      <w:sz w:val="24"/>
      <w:lang w:val="en-GB" w:eastAsia="en-AU"/>
    </w:rPr>
  </w:style>
  <w:style w:type="paragraph" w:customStyle="1" w:styleId="Chapter2">
    <w:name w:val="Chapter 2"/>
    <w:basedOn w:val="Chapter1"/>
    <w:link w:val="Chapter2Char"/>
    <w:rsid w:val="00714751"/>
    <w:pPr>
      <w:numPr>
        <w:numId w:val="8"/>
      </w:numPr>
    </w:pPr>
    <w:rPr>
      <w:snapToGrid w:val="0"/>
      <w:lang w:eastAsia="en-US"/>
    </w:rPr>
  </w:style>
  <w:style w:type="character" w:customStyle="1" w:styleId="Chapter2Char">
    <w:name w:val="Chapter 2 Char"/>
    <w:basedOn w:val="Chapter1Char1"/>
    <w:link w:val="Chapter2"/>
    <w:rsid w:val="00714751"/>
    <w:rPr>
      <w:snapToGrid w:val="0"/>
      <w:sz w:val="24"/>
      <w:lang w:eastAsia="en-US"/>
    </w:rPr>
  </w:style>
  <w:style w:type="character" w:customStyle="1" w:styleId="HeaderChar">
    <w:name w:val="Header Char"/>
    <w:basedOn w:val="DefaultParagraphFont"/>
    <w:link w:val="Header"/>
    <w:uiPriority w:val="99"/>
    <w:rsid w:val="00F05665"/>
    <w:rPr>
      <w:sz w:val="24"/>
      <w:lang w:eastAsia="en-US"/>
    </w:rPr>
  </w:style>
  <w:style w:type="character" w:customStyle="1" w:styleId="FooterChar">
    <w:name w:val="Footer Char"/>
    <w:basedOn w:val="DefaultParagraphFont"/>
    <w:link w:val="Footer"/>
    <w:uiPriority w:val="99"/>
    <w:rsid w:val="00F05665"/>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NZ" w:eastAsia="en-N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00CD"/>
    <w:rPr>
      <w:sz w:val="24"/>
      <w:lang w:eastAsia="en-US"/>
    </w:rPr>
  </w:style>
  <w:style w:type="paragraph" w:styleId="Heading1">
    <w:name w:val="heading 1"/>
    <w:basedOn w:val="Normal"/>
    <w:next w:val="Normal"/>
    <w:qFormat/>
    <w:rsid w:val="00263719"/>
    <w:pPr>
      <w:keepNext/>
      <w:spacing w:before="240" w:after="60"/>
      <w:outlineLvl w:val="0"/>
    </w:pPr>
    <w:rPr>
      <w:rFonts w:ascii="Arial" w:hAnsi="Arial" w:cs="Arial"/>
      <w:b/>
      <w:bCs/>
      <w:kern w:val="32"/>
      <w:sz w:val="32"/>
      <w:szCs w:val="32"/>
    </w:rPr>
  </w:style>
  <w:style w:type="paragraph" w:styleId="Heading2">
    <w:name w:val="heading 2"/>
    <w:basedOn w:val="Heading1"/>
    <w:next w:val="Normal"/>
    <w:qFormat/>
    <w:rsid w:val="00263719"/>
    <w:pPr>
      <w:spacing w:before="0" w:after="113" w:line="440" w:lineRule="exact"/>
      <w:outlineLvl w:val="1"/>
    </w:pPr>
    <w:rPr>
      <w:rFonts w:ascii="Times New Roman" w:hAnsi="Times New Roman"/>
      <w:b w:val="0"/>
      <w:bCs w:val="0"/>
      <w:iCs/>
      <w:color w:val="87212E"/>
      <w:sz w:val="30"/>
      <w:szCs w:val="30"/>
      <w:lang w:eastAsia="en-AU"/>
    </w:rPr>
  </w:style>
  <w:style w:type="paragraph" w:styleId="Heading3">
    <w:name w:val="heading 3"/>
    <w:basedOn w:val="Heading2"/>
    <w:next w:val="Normal"/>
    <w:qFormat/>
    <w:rsid w:val="00263719"/>
    <w:pPr>
      <w:spacing w:before="227" w:after="57" w:line="340" w:lineRule="exact"/>
      <w:outlineLvl w:val="2"/>
    </w:pPr>
    <w:rPr>
      <w:bCs/>
      <w:i/>
      <w:sz w:val="24"/>
      <w:szCs w:val="24"/>
    </w:rPr>
  </w:style>
  <w:style w:type="paragraph" w:styleId="Heading5">
    <w:name w:val="heading 5"/>
    <w:basedOn w:val="Normal"/>
    <w:next w:val="Normal"/>
    <w:qFormat/>
    <w:rsid w:val="00D8134D"/>
    <w:pPr>
      <w:keepNext/>
      <w:spacing w:before="120" w:after="144"/>
      <w:outlineLvl w:val="4"/>
    </w:pPr>
    <w:rPr>
      <w:rFonts w:ascii="Arial Bold" w:hAnsi="Arial Bold"/>
      <w:b/>
      <w:lang w:val="en-US"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0">
    <w:name w:val="Heading1"/>
    <w:basedOn w:val="DefaultParagraphFont"/>
    <w:rsid w:val="00BD1737"/>
    <w:rPr>
      <w:rFonts w:ascii="Arial" w:hAnsi="Arial"/>
      <w:b/>
      <w:bCs/>
      <w:sz w:val="36"/>
    </w:rPr>
  </w:style>
  <w:style w:type="paragraph" w:customStyle="1" w:styleId="Heading20">
    <w:name w:val="Heading2"/>
    <w:basedOn w:val="NormalWeb"/>
    <w:rsid w:val="00BD1737"/>
    <w:pPr>
      <w:spacing w:before="100" w:beforeAutospacing="1" w:after="100" w:afterAutospacing="1" w:line="360" w:lineRule="auto"/>
    </w:pPr>
    <w:rPr>
      <w:rFonts w:ascii="Arial" w:hAnsi="Arial"/>
      <w:b/>
      <w:bCs/>
      <w:color w:val="000000"/>
      <w:sz w:val="28"/>
      <w:szCs w:val="20"/>
      <w:lang w:val="en-AU"/>
    </w:rPr>
  </w:style>
  <w:style w:type="paragraph" w:styleId="NormalWeb">
    <w:name w:val="Normal (Web)"/>
    <w:basedOn w:val="Normal"/>
    <w:rsid w:val="00BD1737"/>
    <w:rPr>
      <w:szCs w:val="24"/>
    </w:rPr>
  </w:style>
  <w:style w:type="character" w:styleId="Hyperlink">
    <w:name w:val="Hyperlink"/>
    <w:basedOn w:val="DefaultParagraphFont"/>
    <w:rsid w:val="007E2640"/>
    <w:rPr>
      <w:color w:val="0000FF"/>
      <w:u w:val="single"/>
    </w:rPr>
  </w:style>
  <w:style w:type="character" w:styleId="Emphasis">
    <w:name w:val="Emphasis"/>
    <w:basedOn w:val="DefaultParagraphFont"/>
    <w:qFormat/>
    <w:rsid w:val="007E2640"/>
    <w:rPr>
      <w:i/>
      <w:iCs/>
    </w:rPr>
  </w:style>
  <w:style w:type="paragraph" w:styleId="Header">
    <w:name w:val="header"/>
    <w:basedOn w:val="Normal"/>
    <w:link w:val="HeaderChar"/>
    <w:uiPriority w:val="99"/>
    <w:rsid w:val="006808E1"/>
    <w:pPr>
      <w:tabs>
        <w:tab w:val="center" w:pos="4153"/>
        <w:tab w:val="right" w:pos="8306"/>
      </w:tabs>
    </w:pPr>
  </w:style>
  <w:style w:type="paragraph" w:styleId="Footer">
    <w:name w:val="footer"/>
    <w:basedOn w:val="Normal"/>
    <w:link w:val="FooterChar"/>
    <w:uiPriority w:val="99"/>
    <w:rsid w:val="006808E1"/>
    <w:pPr>
      <w:tabs>
        <w:tab w:val="center" w:pos="4153"/>
        <w:tab w:val="right" w:pos="8306"/>
      </w:tabs>
    </w:pPr>
  </w:style>
  <w:style w:type="character" w:styleId="PageNumber">
    <w:name w:val="page number"/>
    <w:basedOn w:val="DefaultParagraphFont"/>
    <w:rsid w:val="006808E1"/>
  </w:style>
  <w:style w:type="table" w:styleId="TableGrid">
    <w:name w:val="Table Grid"/>
    <w:basedOn w:val="TableNormal"/>
    <w:rsid w:val="00263719"/>
    <w:pPr>
      <w:spacing w:after="120" w:line="3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D8134D"/>
    <w:pPr>
      <w:jc w:val="center"/>
    </w:pPr>
    <w:rPr>
      <w:sz w:val="23"/>
      <w:lang w:val="en-US" w:eastAsia="en-NZ"/>
    </w:rPr>
  </w:style>
  <w:style w:type="paragraph" w:customStyle="1" w:styleId="Numberparagraph">
    <w:name w:val="Number paragraph"/>
    <w:basedOn w:val="Normal"/>
    <w:uiPriority w:val="99"/>
    <w:qFormat/>
    <w:rsid w:val="00E4232F"/>
    <w:pPr>
      <w:numPr>
        <w:numId w:val="1"/>
      </w:numPr>
      <w:tabs>
        <w:tab w:val="left" w:pos="567"/>
      </w:tabs>
      <w:jc w:val="both"/>
    </w:pPr>
    <w:rPr>
      <w:szCs w:val="24"/>
      <w:lang w:eastAsia="en-AU"/>
    </w:rPr>
  </w:style>
  <w:style w:type="paragraph" w:customStyle="1" w:styleId="Recommendationfirstlevel">
    <w:name w:val="Recommendation first level"/>
    <w:basedOn w:val="Normal"/>
    <w:qFormat/>
    <w:rsid w:val="00AE00CD"/>
    <w:pPr>
      <w:numPr>
        <w:numId w:val="2"/>
      </w:numPr>
      <w:tabs>
        <w:tab w:val="left" w:pos="567"/>
      </w:tabs>
      <w:jc w:val="both"/>
    </w:pPr>
    <w:rPr>
      <w:szCs w:val="24"/>
      <w:lang w:eastAsia="en-AU"/>
    </w:rPr>
  </w:style>
  <w:style w:type="paragraph" w:styleId="ListParagraph">
    <w:name w:val="List Paragraph"/>
    <w:basedOn w:val="Normal"/>
    <w:uiPriority w:val="34"/>
    <w:qFormat/>
    <w:rsid w:val="00AE00CD"/>
    <w:pPr>
      <w:ind w:left="720"/>
      <w:contextualSpacing/>
    </w:pPr>
  </w:style>
  <w:style w:type="paragraph" w:styleId="List2">
    <w:name w:val="List 2"/>
    <w:basedOn w:val="Normal"/>
    <w:autoRedefine/>
    <w:uiPriority w:val="99"/>
    <w:semiHidden/>
    <w:unhideWhenUsed/>
    <w:qFormat/>
    <w:rsid w:val="00AE00CD"/>
    <w:pPr>
      <w:numPr>
        <w:numId w:val="3"/>
      </w:numPr>
      <w:contextualSpacing/>
    </w:pPr>
  </w:style>
  <w:style w:type="paragraph" w:customStyle="1" w:styleId="Recommendation11">
    <w:name w:val="Recommendation 1.1"/>
    <w:basedOn w:val="Recommendationfirstlevel"/>
    <w:qFormat/>
    <w:rsid w:val="0016102F"/>
    <w:pPr>
      <w:numPr>
        <w:numId w:val="4"/>
      </w:numPr>
      <w:tabs>
        <w:tab w:val="clear" w:pos="567"/>
      </w:tabs>
      <w:ind w:left="1134" w:firstLine="0"/>
    </w:pPr>
  </w:style>
  <w:style w:type="paragraph" w:customStyle="1" w:styleId="Recommendationlevel21">
    <w:name w:val="Recommendation level 2.1"/>
    <w:basedOn w:val="Recommendationfirstlevel"/>
    <w:qFormat/>
    <w:rsid w:val="00415C5B"/>
    <w:pPr>
      <w:numPr>
        <w:numId w:val="5"/>
      </w:numPr>
    </w:pPr>
  </w:style>
  <w:style w:type="paragraph" w:customStyle="1" w:styleId="Chapter1">
    <w:name w:val="Chapter 1"/>
    <w:link w:val="Chapter1Char1"/>
    <w:rsid w:val="004D1656"/>
    <w:pPr>
      <w:numPr>
        <w:numId w:val="6"/>
      </w:numPr>
      <w:jc w:val="both"/>
    </w:pPr>
    <w:rPr>
      <w:sz w:val="24"/>
      <w:lang w:eastAsia="en-AU"/>
    </w:rPr>
  </w:style>
  <w:style w:type="character" w:customStyle="1" w:styleId="Chapter1Char1">
    <w:name w:val="Chapter 1 Char1"/>
    <w:basedOn w:val="DefaultParagraphFont"/>
    <w:link w:val="Chapter1"/>
    <w:rsid w:val="004D1656"/>
    <w:rPr>
      <w:sz w:val="24"/>
      <w:lang w:eastAsia="en-AU"/>
    </w:rPr>
  </w:style>
  <w:style w:type="paragraph" w:customStyle="1" w:styleId="TRNormal">
    <w:name w:val="_TRNormal"/>
    <w:link w:val="TRNormalChar"/>
    <w:rsid w:val="00D15DE9"/>
    <w:pPr>
      <w:spacing w:line="300" w:lineRule="atLeast"/>
      <w:jc w:val="both"/>
    </w:pPr>
    <w:rPr>
      <w:sz w:val="24"/>
      <w:lang w:eastAsia="en-AU"/>
    </w:rPr>
  </w:style>
  <w:style w:type="character" w:customStyle="1" w:styleId="TRNormalChar">
    <w:name w:val="_TRNormal Char"/>
    <w:basedOn w:val="DefaultParagraphFont"/>
    <w:link w:val="TRNormal"/>
    <w:rsid w:val="00D15DE9"/>
    <w:rPr>
      <w:sz w:val="24"/>
      <w:lang w:eastAsia="en-AU"/>
    </w:rPr>
  </w:style>
  <w:style w:type="character" w:styleId="CommentReference">
    <w:name w:val="annotation reference"/>
    <w:basedOn w:val="DefaultParagraphFont"/>
    <w:uiPriority w:val="99"/>
    <w:semiHidden/>
    <w:unhideWhenUsed/>
    <w:rsid w:val="00F83551"/>
    <w:rPr>
      <w:sz w:val="16"/>
      <w:szCs w:val="16"/>
    </w:rPr>
  </w:style>
  <w:style w:type="paragraph" w:styleId="CommentText">
    <w:name w:val="annotation text"/>
    <w:basedOn w:val="Normal"/>
    <w:link w:val="CommentTextChar"/>
    <w:uiPriority w:val="99"/>
    <w:semiHidden/>
    <w:unhideWhenUsed/>
    <w:rsid w:val="00F83551"/>
    <w:rPr>
      <w:sz w:val="20"/>
    </w:rPr>
  </w:style>
  <w:style w:type="character" w:customStyle="1" w:styleId="CommentTextChar">
    <w:name w:val="Comment Text Char"/>
    <w:basedOn w:val="DefaultParagraphFont"/>
    <w:link w:val="CommentText"/>
    <w:uiPriority w:val="99"/>
    <w:semiHidden/>
    <w:rsid w:val="00F83551"/>
    <w:rPr>
      <w:lang w:eastAsia="en-US"/>
    </w:rPr>
  </w:style>
  <w:style w:type="paragraph" w:styleId="CommentSubject">
    <w:name w:val="annotation subject"/>
    <w:basedOn w:val="CommentText"/>
    <w:next w:val="CommentText"/>
    <w:link w:val="CommentSubjectChar"/>
    <w:uiPriority w:val="99"/>
    <w:semiHidden/>
    <w:unhideWhenUsed/>
    <w:rsid w:val="00F83551"/>
    <w:rPr>
      <w:b/>
      <w:bCs/>
    </w:rPr>
  </w:style>
  <w:style w:type="character" w:customStyle="1" w:styleId="CommentSubjectChar">
    <w:name w:val="Comment Subject Char"/>
    <w:basedOn w:val="CommentTextChar"/>
    <w:link w:val="CommentSubject"/>
    <w:uiPriority w:val="99"/>
    <w:semiHidden/>
    <w:rsid w:val="00F83551"/>
    <w:rPr>
      <w:b/>
      <w:bCs/>
      <w:lang w:eastAsia="en-US"/>
    </w:rPr>
  </w:style>
  <w:style w:type="paragraph" w:styleId="BalloonText">
    <w:name w:val="Balloon Text"/>
    <w:basedOn w:val="Normal"/>
    <w:link w:val="BalloonTextChar"/>
    <w:uiPriority w:val="99"/>
    <w:semiHidden/>
    <w:unhideWhenUsed/>
    <w:rsid w:val="00F83551"/>
    <w:rPr>
      <w:rFonts w:ascii="Tahoma" w:hAnsi="Tahoma" w:cs="Tahoma"/>
      <w:sz w:val="16"/>
      <w:szCs w:val="16"/>
    </w:rPr>
  </w:style>
  <w:style w:type="character" w:customStyle="1" w:styleId="BalloonTextChar">
    <w:name w:val="Balloon Text Char"/>
    <w:basedOn w:val="DefaultParagraphFont"/>
    <w:link w:val="BalloonText"/>
    <w:uiPriority w:val="99"/>
    <w:semiHidden/>
    <w:rsid w:val="00F83551"/>
    <w:rPr>
      <w:rFonts w:ascii="Tahoma" w:hAnsi="Tahoma" w:cs="Tahoma"/>
      <w:sz w:val="16"/>
      <w:szCs w:val="16"/>
      <w:lang w:eastAsia="en-US"/>
    </w:rPr>
  </w:style>
  <w:style w:type="paragraph" w:customStyle="1" w:styleId="Bullets">
    <w:name w:val="Bullets"/>
    <w:basedOn w:val="Normal"/>
    <w:link w:val="BulletsChar"/>
    <w:rsid w:val="00714751"/>
    <w:pPr>
      <w:numPr>
        <w:numId w:val="7"/>
      </w:numPr>
      <w:tabs>
        <w:tab w:val="left" w:pos="1418"/>
      </w:tabs>
      <w:spacing w:after="140"/>
      <w:jc w:val="both"/>
    </w:pPr>
    <w:rPr>
      <w:lang w:val="en-GB" w:eastAsia="en-AU"/>
    </w:rPr>
  </w:style>
  <w:style w:type="character" w:customStyle="1" w:styleId="BulletsChar">
    <w:name w:val="Bullets Char"/>
    <w:basedOn w:val="DefaultParagraphFont"/>
    <w:link w:val="Bullets"/>
    <w:rsid w:val="00714751"/>
    <w:rPr>
      <w:sz w:val="24"/>
      <w:lang w:val="en-GB" w:eastAsia="en-AU"/>
    </w:rPr>
  </w:style>
  <w:style w:type="paragraph" w:customStyle="1" w:styleId="Chapter2">
    <w:name w:val="Chapter 2"/>
    <w:basedOn w:val="Chapter1"/>
    <w:link w:val="Chapter2Char"/>
    <w:rsid w:val="00714751"/>
    <w:pPr>
      <w:numPr>
        <w:numId w:val="8"/>
      </w:numPr>
    </w:pPr>
    <w:rPr>
      <w:snapToGrid w:val="0"/>
      <w:lang w:eastAsia="en-US"/>
    </w:rPr>
  </w:style>
  <w:style w:type="character" w:customStyle="1" w:styleId="Chapter2Char">
    <w:name w:val="Chapter 2 Char"/>
    <w:basedOn w:val="Chapter1Char1"/>
    <w:link w:val="Chapter2"/>
    <w:rsid w:val="00714751"/>
    <w:rPr>
      <w:snapToGrid w:val="0"/>
      <w:sz w:val="24"/>
      <w:lang w:eastAsia="en-US"/>
    </w:rPr>
  </w:style>
  <w:style w:type="character" w:customStyle="1" w:styleId="HeaderChar">
    <w:name w:val="Header Char"/>
    <w:basedOn w:val="DefaultParagraphFont"/>
    <w:link w:val="Header"/>
    <w:uiPriority w:val="99"/>
    <w:rsid w:val="00F05665"/>
    <w:rPr>
      <w:sz w:val="24"/>
      <w:lang w:eastAsia="en-US"/>
    </w:rPr>
  </w:style>
  <w:style w:type="character" w:customStyle="1" w:styleId="FooterChar">
    <w:name w:val="Footer Char"/>
    <w:basedOn w:val="DefaultParagraphFont"/>
    <w:link w:val="Footer"/>
    <w:uiPriority w:val="99"/>
    <w:rsid w:val="00F0566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9932216">
      <w:bodyDiv w:val="1"/>
      <w:marLeft w:val="0"/>
      <w:marRight w:val="0"/>
      <w:marTop w:val="0"/>
      <w:marBottom w:val="0"/>
      <w:divBdr>
        <w:top w:val="none" w:sz="0" w:space="0" w:color="auto"/>
        <w:left w:val="none" w:sz="0" w:space="0" w:color="auto"/>
        <w:bottom w:val="none" w:sz="0" w:space="0" w:color="auto"/>
        <w:right w:val="none" w:sz="0" w:space="0" w:color="auto"/>
      </w:divBdr>
    </w:div>
    <w:div w:id="803621418">
      <w:bodyDiv w:val="1"/>
      <w:marLeft w:val="0"/>
      <w:marRight w:val="0"/>
      <w:marTop w:val="0"/>
      <w:marBottom w:val="0"/>
      <w:divBdr>
        <w:top w:val="none" w:sz="0" w:space="0" w:color="auto"/>
        <w:left w:val="none" w:sz="0" w:space="0" w:color="auto"/>
        <w:bottom w:val="none" w:sz="0" w:space="0" w:color="auto"/>
        <w:right w:val="none" w:sz="0" w:space="0" w:color="auto"/>
      </w:divBdr>
    </w:div>
    <w:div w:id="863708254">
      <w:bodyDiv w:val="1"/>
      <w:marLeft w:val="0"/>
      <w:marRight w:val="0"/>
      <w:marTop w:val="0"/>
      <w:marBottom w:val="0"/>
      <w:divBdr>
        <w:top w:val="none" w:sz="0" w:space="0" w:color="auto"/>
        <w:left w:val="none" w:sz="0" w:space="0" w:color="auto"/>
        <w:bottom w:val="none" w:sz="0" w:space="0" w:color="auto"/>
        <w:right w:val="none" w:sz="0" w:space="0" w:color="auto"/>
      </w:divBdr>
      <w:divsChild>
        <w:div w:id="1637106440">
          <w:marLeft w:val="0"/>
          <w:marRight w:val="0"/>
          <w:marTop w:val="0"/>
          <w:marBottom w:val="0"/>
          <w:divBdr>
            <w:top w:val="none" w:sz="0" w:space="0" w:color="auto"/>
            <w:left w:val="none" w:sz="0" w:space="0" w:color="auto"/>
            <w:bottom w:val="none" w:sz="0" w:space="0" w:color="auto"/>
            <w:right w:val="none" w:sz="0" w:space="0" w:color="auto"/>
          </w:divBdr>
          <w:divsChild>
            <w:div w:id="121878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90711">
      <w:bodyDiv w:val="1"/>
      <w:marLeft w:val="0"/>
      <w:marRight w:val="0"/>
      <w:marTop w:val="0"/>
      <w:marBottom w:val="0"/>
      <w:divBdr>
        <w:top w:val="none" w:sz="0" w:space="0" w:color="auto"/>
        <w:left w:val="none" w:sz="0" w:space="0" w:color="auto"/>
        <w:bottom w:val="none" w:sz="0" w:space="0" w:color="auto"/>
        <w:right w:val="none" w:sz="0" w:space="0" w:color="auto"/>
      </w:divBdr>
    </w:div>
    <w:div w:id="1312099856">
      <w:bodyDiv w:val="1"/>
      <w:marLeft w:val="0"/>
      <w:marRight w:val="0"/>
      <w:marTop w:val="0"/>
      <w:marBottom w:val="0"/>
      <w:divBdr>
        <w:top w:val="none" w:sz="0" w:space="0" w:color="auto"/>
        <w:left w:val="none" w:sz="0" w:space="0" w:color="auto"/>
        <w:bottom w:val="none" w:sz="0" w:space="0" w:color="auto"/>
        <w:right w:val="none" w:sz="0" w:space="0" w:color="auto"/>
      </w:divBdr>
    </w:div>
    <w:div w:id="1526677105">
      <w:bodyDiv w:val="1"/>
      <w:marLeft w:val="0"/>
      <w:marRight w:val="0"/>
      <w:marTop w:val="0"/>
      <w:marBottom w:val="0"/>
      <w:divBdr>
        <w:top w:val="none" w:sz="0" w:space="0" w:color="auto"/>
        <w:left w:val="none" w:sz="0" w:space="0" w:color="auto"/>
        <w:bottom w:val="none" w:sz="0" w:space="0" w:color="auto"/>
        <w:right w:val="none" w:sz="0" w:space="0" w:color="auto"/>
      </w:divBdr>
    </w:div>
    <w:div w:id="1700543518">
      <w:bodyDiv w:val="1"/>
      <w:marLeft w:val="0"/>
      <w:marRight w:val="0"/>
      <w:marTop w:val="0"/>
      <w:marBottom w:val="0"/>
      <w:divBdr>
        <w:top w:val="none" w:sz="0" w:space="0" w:color="auto"/>
        <w:left w:val="none" w:sz="0" w:space="0" w:color="auto"/>
        <w:bottom w:val="none" w:sz="0" w:space="0" w:color="auto"/>
        <w:right w:val="none" w:sz="0" w:space="0" w:color="auto"/>
      </w:divBdr>
    </w:div>
    <w:div w:id="1901360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C9C1F1-4367-49A8-97F6-DB7310149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5029</Words>
  <Characters>26258</Characters>
  <Application>Microsoft Office Word</Application>
  <DocSecurity>0</DocSecurity>
  <Lines>218</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31225</CharactersWithSpaces>
  <SharedDoc>false</SharedDoc>
  <HLinks>
    <vt:vector size="6" baseType="variant">
      <vt:variant>
        <vt:i4>327763</vt:i4>
      </vt:variant>
      <vt:variant>
        <vt:i4>92</vt:i4>
      </vt:variant>
      <vt:variant>
        <vt:i4>0</vt:i4>
      </vt:variant>
      <vt:variant>
        <vt:i4>5</vt:i4>
      </vt:variant>
      <vt:variant>
        <vt:lpwstr>http://www.cabguide.cabinetoffice.govt.nz/procedures/consultation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2017-09-27T05:07:00Z</dcterms:created>
  <dcterms:modified xsi:type="dcterms:W3CDTF">2017-09-27T05:07:00Z</dcterms:modified>
</cp:coreProperties>
</file>