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40" w:rsidRPr="00DD23B8" w:rsidRDefault="00975A06" w:rsidP="007E2640">
      <w:pPr>
        <w:tabs>
          <w:tab w:val="left" w:pos="567"/>
        </w:tabs>
        <w:jc w:val="right"/>
        <w:rPr>
          <w:szCs w:val="24"/>
          <w:lang w:eastAsia="en-AU"/>
        </w:rPr>
      </w:pPr>
      <w:bookmarkStart w:id="0" w:name="_GoBack"/>
      <w:bookmarkEnd w:id="0"/>
      <w:r>
        <w:rPr>
          <w:szCs w:val="24"/>
          <w:lang w:eastAsia="en-AU"/>
        </w:rPr>
        <w:t>Budget Sensitive</w:t>
      </w:r>
    </w:p>
    <w:p w:rsidR="004F6ED4" w:rsidRPr="00DD23B8" w:rsidRDefault="004F6ED4" w:rsidP="007E2640">
      <w:pPr>
        <w:tabs>
          <w:tab w:val="left" w:pos="567"/>
        </w:tabs>
        <w:jc w:val="right"/>
        <w:rPr>
          <w:b/>
          <w:szCs w:val="24"/>
          <w:lang w:eastAsia="en-AU"/>
        </w:rPr>
      </w:pPr>
    </w:p>
    <w:p w:rsidR="007E2640" w:rsidRPr="00DD23B8" w:rsidRDefault="004F6ED4" w:rsidP="007E2640">
      <w:pPr>
        <w:tabs>
          <w:tab w:val="left" w:pos="567"/>
        </w:tabs>
        <w:jc w:val="right"/>
        <w:rPr>
          <w:szCs w:val="24"/>
          <w:lang w:eastAsia="en-AU"/>
        </w:rPr>
      </w:pPr>
      <w:r w:rsidRPr="00DD23B8">
        <w:rPr>
          <w:szCs w:val="24"/>
          <w:lang w:eastAsia="en-AU"/>
        </w:rPr>
        <w:t xml:space="preserve">Office of the Minister of </w:t>
      </w:r>
      <w:r w:rsidR="00835EC1">
        <w:rPr>
          <w:szCs w:val="24"/>
          <w:lang w:eastAsia="en-AU"/>
        </w:rPr>
        <w:t>Finance</w:t>
      </w:r>
    </w:p>
    <w:p w:rsidR="00835EC1" w:rsidRPr="00DD23B8" w:rsidRDefault="00835EC1" w:rsidP="00835EC1">
      <w:pPr>
        <w:tabs>
          <w:tab w:val="left" w:pos="567"/>
        </w:tabs>
        <w:jc w:val="right"/>
        <w:rPr>
          <w:szCs w:val="24"/>
          <w:lang w:eastAsia="en-AU"/>
        </w:rPr>
      </w:pPr>
      <w:r w:rsidRPr="00DD23B8">
        <w:rPr>
          <w:szCs w:val="24"/>
          <w:lang w:eastAsia="en-AU"/>
        </w:rPr>
        <w:t xml:space="preserve">Office of the Minister of </w:t>
      </w:r>
      <w:r>
        <w:rPr>
          <w:szCs w:val="24"/>
          <w:lang w:eastAsia="en-AU"/>
        </w:rPr>
        <w:t>Revenue</w:t>
      </w:r>
    </w:p>
    <w:p w:rsidR="007E2640" w:rsidRPr="00DD23B8" w:rsidRDefault="007E2640" w:rsidP="007E2640">
      <w:pPr>
        <w:tabs>
          <w:tab w:val="left" w:pos="567"/>
        </w:tabs>
        <w:rPr>
          <w:szCs w:val="24"/>
          <w:lang w:eastAsia="en-AU"/>
        </w:rPr>
      </w:pPr>
    </w:p>
    <w:p w:rsidR="007E2640" w:rsidRPr="00DD23B8" w:rsidRDefault="007E2640" w:rsidP="007E2640">
      <w:pPr>
        <w:tabs>
          <w:tab w:val="left" w:pos="567"/>
        </w:tabs>
        <w:rPr>
          <w:szCs w:val="24"/>
          <w:lang w:eastAsia="en-AU"/>
        </w:rPr>
      </w:pPr>
    </w:p>
    <w:p w:rsidR="007E2640" w:rsidRPr="00DD23B8" w:rsidRDefault="00835EC1" w:rsidP="00550856">
      <w:pPr>
        <w:tabs>
          <w:tab w:val="left" w:pos="567"/>
        </w:tabs>
        <w:jc w:val="right"/>
        <w:rPr>
          <w:szCs w:val="24"/>
          <w:lang w:eastAsia="en-AU"/>
        </w:rPr>
      </w:pPr>
      <w:r w:rsidRPr="009051F4">
        <w:rPr>
          <w:szCs w:val="24"/>
          <w:lang w:eastAsia="en-AU"/>
        </w:rPr>
        <w:t>Cabinet Economic Growth and Infrastructure Committee</w:t>
      </w:r>
    </w:p>
    <w:p w:rsidR="007E2640" w:rsidRPr="00DD23B8" w:rsidRDefault="007E2640" w:rsidP="007E2640">
      <w:pPr>
        <w:tabs>
          <w:tab w:val="left" w:pos="567"/>
        </w:tabs>
        <w:rPr>
          <w:szCs w:val="24"/>
          <w:lang w:eastAsia="en-AU"/>
        </w:rPr>
      </w:pPr>
    </w:p>
    <w:p w:rsidR="00094E89" w:rsidRPr="00DD23B8" w:rsidRDefault="00094E89" w:rsidP="007E2640">
      <w:pPr>
        <w:tabs>
          <w:tab w:val="left" w:pos="567"/>
        </w:tabs>
        <w:rPr>
          <w:szCs w:val="24"/>
          <w:lang w:eastAsia="en-AU"/>
        </w:rPr>
      </w:pPr>
    </w:p>
    <w:p w:rsidR="007E2640" w:rsidRPr="00DD23B8" w:rsidRDefault="00835EC1" w:rsidP="00550856">
      <w:pPr>
        <w:tabs>
          <w:tab w:val="left" w:pos="567"/>
        </w:tabs>
        <w:rPr>
          <w:b/>
          <w:szCs w:val="24"/>
          <w:lang w:eastAsia="en-AU"/>
        </w:rPr>
      </w:pPr>
      <w:r>
        <w:rPr>
          <w:b/>
          <w:bCs/>
          <w:sz w:val="26"/>
          <w:szCs w:val="26"/>
          <w:lang w:eastAsia="en-AU"/>
        </w:rPr>
        <w:t xml:space="preserve">FOREIGN HYBRID ENTITY </w:t>
      </w:r>
      <w:r w:rsidR="00EB616D">
        <w:rPr>
          <w:b/>
          <w:bCs/>
          <w:sz w:val="26"/>
          <w:szCs w:val="26"/>
          <w:lang w:eastAsia="en-AU"/>
        </w:rPr>
        <w:t xml:space="preserve">DOUBLE DEDUCTIONS </w:t>
      </w:r>
      <w:r w:rsidR="00F16AEC">
        <w:rPr>
          <w:b/>
          <w:bCs/>
          <w:sz w:val="26"/>
          <w:szCs w:val="26"/>
          <w:lang w:eastAsia="en-AU"/>
        </w:rPr>
        <w:t>AND BEPS REFORMS</w:t>
      </w:r>
    </w:p>
    <w:p w:rsidR="00763BDD" w:rsidRPr="00DD23B8" w:rsidRDefault="00116B51" w:rsidP="00116B51">
      <w:pPr>
        <w:tabs>
          <w:tab w:val="left" w:pos="5730"/>
        </w:tabs>
        <w:jc w:val="both"/>
        <w:rPr>
          <w:szCs w:val="24"/>
          <w:lang w:eastAsia="en-AU"/>
        </w:rPr>
      </w:pPr>
      <w:r>
        <w:rPr>
          <w:szCs w:val="24"/>
          <w:lang w:eastAsia="en-AU"/>
        </w:rPr>
        <w:tab/>
      </w:r>
    </w:p>
    <w:p w:rsidR="007E2640" w:rsidRPr="00DD23B8" w:rsidRDefault="004F6ED4" w:rsidP="0083182F">
      <w:pPr>
        <w:tabs>
          <w:tab w:val="left" w:pos="567"/>
        </w:tabs>
        <w:rPr>
          <w:szCs w:val="24"/>
          <w:lang w:eastAsia="en-AU"/>
        </w:rPr>
      </w:pPr>
      <w:r w:rsidRPr="00DD23B8">
        <w:rPr>
          <w:b/>
          <w:bCs/>
          <w:szCs w:val="24"/>
          <w:lang w:eastAsia="en-AU"/>
        </w:rPr>
        <w:t>Proposal</w:t>
      </w:r>
    </w:p>
    <w:p w:rsidR="007E2640" w:rsidRPr="00DD23B8" w:rsidRDefault="007E2640" w:rsidP="0083182F">
      <w:pPr>
        <w:tabs>
          <w:tab w:val="left" w:pos="567"/>
        </w:tabs>
        <w:jc w:val="both"/>
        <w:rPr>
          <w:szCs w:val="24"/>
          <w:lang w:eastAsia="en-AU"/>
        </w:rPr>
      </w:pPr>
    </w:p>
    <w:p w:rsidR="00E4232F" w:rsidRPr="009404CE" w:rsidRDefault="00835EC1" w:rsidP="0083182F">
      <w:pPr>
        <w:pStyle w:val="Numberparagraph"/>
        <w:ind w:left="0" w:firstLine="0"/>
      </w:pPr>
      <w:r w:rsidRPr="009404CE">
        <w:t xml:space="preserve">This paper seeks Cabinet agreement to </w:t>
      </w:r>
      <w:r w:rsidR="00CB0112" w:rsidRPr="009404CE">
        <w:t>tax law</w:t>
      </w:r>
      <w:r w:rsidRPr="009404CE">
        <w:t xml:space="preserve"> changes to </w:t>
      </w:r>
      <w:r w:rsidR="001A70AB" w:rsidRPr="009404CE">
        <w:t>restrict the ability of</w:t>
      </w:r>
      <w:r w:rsidR="00CB0112" w:rsidRPr="009404CE">
        <w:t xml:space="preserve"> New Zealand businesses </w:t>
      </w:r>
      <w:r w:rsidR="00DB79EA" w:rsidRPr="009404CE">
        <w:t>to</w:t>
      </w:r>
      <w:r w:rsidR="00CB0112" w:rsidRPr="009404CE">
        <w:t xml:space="preserve"> us</w:t>
      </w:r>
      <w:r w:rsidR="00DB79EA" w:rsidRPr="009404CE">
        <w:t>e</w:t>
      </w:r>
      <w:r w:rsidR="00CB0112" w:rsidRPr="009404CE">
        <w:t xml:space="preserve"> </w:t>
      </w:r>
      <w:r w:rsidR="00EB616D">
        <w:t>double deductions</w:t>
      </w:r>
      <w:r w:rsidR="00CB0112" w:rsidRPr="009404CE">
        <w:t xml:space="preserve"> of </w:t>
      </w:r>
      <w:r w:rsidRPr="009404CE">
        <w:t>foreign hybrid entities</w:t>
      </w:r>
      <w:r w:rsidR="007A7703">
        <w:t>, particularly Australian Limited Partnerships,</w:t>
      </w:r>
      <w:r w:rsidRPr="009404CE">
        <w:t xml:space="preserve"> </w:t>
      </w:r>
      <w:r w:rsidR="00CB0112" w:rsidRPr="009404CE">
        <w:t xml:space="preserve">to reduce their tax </w:t>
      </w:r>
      <w:r w:rsidR="00DB79EA" w:rsidRPr="009404CE">
        <w:t>liabilities</w:t>
      </w:r>
      <w:r w:rsidR="00CB0112" w:rsidRPr="009404CE">
        <w:t xml:space="preserve"> in New Zealand</w:t>
      </w:r>
      <w:r w:rsidR="009404CE" w:rsidRPr="009404CE">
        <w:t xml:space="preserve">. In addition, this paper seeks </w:t>
      </w:r>
      <w:r w:rsidR="00D76F6A" w:rsidRPr="009404CE">
        <w:t>Cabinet</w:t>
      </w:r>
      <w:r w:rsidR="00F16AEC" w:rsidRPr="009404CE">
        <w:t>’s</w:t>
      </w:r>
      <w:r w:rsidR="00D76F6A" w:rsidRPr="009404CE">
        <w:t xml:space="preserve"> approval for the</w:t>
      </w:r>
      <w:r w:rsidR="00F16AEC" w:rsidRPr="009404CE">
        <w:t xml:space="preserve"> proposals of three BEPS</w:t>
      </w:r>
      <w:r w:rsidR="00D76F6A" w:rsidRPr="009404CE">
        <w:t xml:space="preserve"> </w:t>
      </w:r>
      <w:r w:rsidR="00F16AEC" w:rsidRPr="009404CE">
        <w:t>discussion documents</w:t>
      </w:r>
      <w:r w:rsidR="00D76F6A" w:rsidRPr="009404CE">
        <w:t xml:space="preserve"> to be progressed, subject to modification in consultation</w:t>
      </w:r>
      <w:r w:rsidR="00CB0112" w:rsidRPr="009404CE">
        <w:t>.</w:t>
      </w:r>
    </w:p>
    <w:p w:rsidR="007E2640" w:rsidRPr="00CB467E" w:rsidRDefault="00CB0112" w:rsidP="0083182F">
      <w:pPr>
        <w:pStyle w:val="Numberparagraph"/>
        <w:numPr>
          <w:ilvl w:val="0"/>
          <w:numId w:val="0"/>
        </w:numPr>
      </w:pPr>
      <w:r>
        <w:rPr>
          <w:b/>
          <w:bCs/>
        </w:rPr>
        <w:tab/>
      </w:r>
    </w:p>
    <w:p w:rsidR="007E2640" w:rsidRPr="00DD23B8" w:rsidRDefault="007E2640" w:rsidP="0083182F">
      <w:pPr>
        <w:tabs>
          <w:tab w:val="left" w:pos="567"/>
        </w:tabs>
        <w:jc w:val="both"/>
        <w:rPr>
          <w:b/>
          <w:bCs/>
          <w:szCs w:val="24"/>
          <w:lang w:eastAsia="en-AU"/>
        </w:rPr>
      </w:pPr>
    </w:p>
    <w:p w:rsidR="007E2640" w:rsidRPr="00F567DC" w:rsidRDefault="004F6ED4" w:rsidP="0083182F">
      <w:pPr>
        <w:tabs>
          <w:tab w:val="left" w:pos="567"/>
        </w:tabs>
        <w:jc w:val="both"/>
        <w:rPr>
          <w:szCs w:val="24"/>
          <w:lang w:eastAsia="en-AU"/>
        </w:rPr>
      </w:pPr>
      <w:r w:rsidRPr="00F567DC">
        <w:rPr>
          <w:b/>
          <w:bCs/>
          <w:szCs w:val="24"/>
          <w:lang w:eastAsia="en-AU"/>
        </w:rPr>
        <w:t>Executive summary</w:t>
      </w:r>
    </w:p>
    <w:p w:rsidR="007E2640" w:rsidRPr="00F567DC" w:rsidRDefault="007E2640" w:rsidP="0083182F">
      <w:pPr>
        <w:tabs>
          <w:tab w:val="left" w:pos="567"/>
        </w:tabs>
        <w:jc w:val="both"/>
        <w:rPr>
          <w:szCs w:val="24"/>
          <w:lang w:eastAsia="en-AU"/>
        </w:rPr>
      </w:pPr>
    </w:p>
    <w:p w:rsidR="00E4232F" w:rsidRDefault="00F567DC" w:rsidP="0083182F">
      <w:pPr>
        <w:pStyle w:val="Numberparagraph"/>
        <w:ind w:left="0" w:firstLine="0"/>
      </w:pPr>
      <w:r w:rsidRPr="00F567DC">
        <w:t xml:space="preserve">In </w:t>
      </w:r>
      <w:r w:rsidR="00CB467E">
        <w:t>September 2016, the Government released the discussion document</w:t>
      </w:r>
      <w:r w:rsidRPr="00F567DC">
        <w:t xml:space="preserve"> </w:t>
      </w:r>
      <w:proofErr w:type="gramStart"/>
      <w:r w:rsidR="00CB467E">
        <w:rPr>
          <w:i/>
        </w:rPr>
        <w:t>Addressing</w:t>
      </w:r>
      <w:proofErr w:type="gramEnd"/>
      <w:r w:rsidR="00CB467E">
        <w:rPr>
          <w:i/>
        </w:rPr>
        <w:t xml:space="preserve"> </w:t>
      </w:r>
      <w:r w:rsidR="009404CE">
        <w:rPr>
          <w:i/>
        </w:rPr>
        <w:t>h</w:t>
      </w:r>
      <w:r w:rsidR="00CB467E">
        <w:rPr>
          <w:i/>
        </w:rPr>
        <w:t xml:space="preserve">ybrid </w:t>
      </w:r>
      <w:r w:rsidR="009404CE">
        <w:rPr>
          <w:i/>
        </w:rPr>
        <w:t>m</w:t>
      </w:r>
      <w:r w:rsidR="00CB467E">
        <w:rPr>
          <w:i/>
        </w:rPr>
        <w:t xml:space="preserve">ismatch </w:t>
      </w:r>
      <w:r w:rsidR="009404CE">
        <w:rPr>
          <w:i/>
        </w:rPr>
        <w:t>a</w:t>
      </w:r>
      <w:r w:rsidR="00CB467E">
        <w:rPr>
          <w:i/>
        </w:rPr>
        <w:t>rrangements</w:t>
      </w:r>
      <w:r w:rsidR="007A7703">
        <w:rPr>
          <w:i/>
        </w:rPr>
        <w:t xml:space="preserve"> </w:t>
      </w:r>
      <w:r w:rsidR="007A7703" w:rsidRPr="00DC2095">
        <w:t>[CAB</w:t>
      </w:r>
      <w:r w:rsidR="00DC2095">
        <w:t>-16-Min-0442</w:t>
      </w:r>
      <w:r w:rsidR="007A7703" w:rsidRPr="00DC2095">
        <w:t>]</w:t>
      </w:r>
      <w:r w:rsidR="00CB467E">
        <w:t>.</w:t>
      </w:r>
      <w:r w:rsidR="009404CE">
        <w:t xml:space="preserve"> This was followed by the release of two further discussion documents for public consultation in March 2017; </w:t>
      </w:r>
      <w:r w:rsidR="009404CE">
        <w:rPr>
          <w:i/>
        </w:rPr>
        <w:t>BEPS – transfer pricing and permanent establishment avoidance</w:t>
      </w:r>
      <w:r w:rsidR="00072C4A">
        <w:rPr>
          <w:i/>
        </w:rPr>
        <w:t>,</w:t>
      </w:r>
      <w:r w:rsidR="009404CE">
        <w:t xml:space="preserve"> and </w:t>
      </w:r>
      <w:r w:rsidR="009404CE">
        <w:rPr>
          <w:i/>
        </w:rPr>
        <w:t xml:space="preserve">BEPS - </w:t>
      </w:r>
      <w:r w:rsidR="009404CE" w:rsidRPr="000E59E0">
        <w:rPr>
          <w:i/>
        </w:rPr>
        <w:t>strengthening our interest limitation rules</w:t>
      </w:r>
      <w:r w:rsidR="007A7703">
        <w:rPr>
          <w:i/>
        </w:rPr>
        <w:t xml:space="preserve"> </w:t>
      </w:r>
      <w:r w:rsidR="00A623B0">
        <w:t>[CAB-17-MIN-0041]</w:t>
      </w:r>
      <w:r w:rsidR="009404CE">
        <w:t>.</w:t>
      </w:r>
      <w:r w:rsidR="00CB467E">
        <w:t xml:space="preserve"> </w:t>
      </w:r>
      <w:r w:rsidR="009404CE">
        <w:t xml:space="preserve">These three </w:t>
      </w:r>
      <w:r w:rsidR="00CB467E">
        <w:t>document</w:t>
      </w:r>
      <w:r w:rsidR="009404CE">
        <w:t>s</w:t>
      </w:r>
      <w:r w:rsidR="00CB467E">
        <w:t xml:space="preserve"> </w:t>
      </w:r>
      <w:r w:rsidR="009404CE">
        <w:t>are a substantial</w:t>
      </w:r>
      <w:r w:rsidR="00CB467E">
        <w:t xml:space="preserve"> part of the Government’s ongoing response to the OECD’s </w:t>
      </w:r>
      <w:r w:rsidR="00323119">
        <w:t xml:space="preserve">project to address </w:t>
      </w:r>
      <w:r w:rsidR="00CB467E">
        <w:t>base erosion and profit shifting (BEPS).</w:t>
      </w:r>
      <w:r w:rsidRPr="00F567DC">
        <w:t xml:space="preserve"> BEPS is a term that describes the various international tax planning techniques that some </w:t>
      </w:r>
      <w:r w:rsidR="00323119">
        <w:t xml:space="preserve">multinational </w:t>
      </w:r>
      <w:r w:rsidRPr="00F567DC">
        <w:t>businesses use to minimise their tax liabilities.</w:t>
      </w:r>
      <w:r w:rsidR="00323119">
        <w:t xml:space="preserve">  </w:t>
      </w:r>
    </w:p>
    <w:p w:rsidR="00F567DC" w:rsidRDefault="00F567DC" w:rsidP="0083182F">
      <w:pPr>
        <w:pStyle w:val="Numberparagraph"/>
        <w:numPr>
          <w:ilvl w:val="0"/>
          <w:numId w:val="0"/>
        </w:numPr>
      </w:pPr>
      <w:r>
        <w:t xml:space="preserve"> </w:t>
      </w:r>
    </w:p>
    <w:p w:rsidR="00CB467E" w:rsidRDefault="00D53E6D" w:rsidP="0083182F">
      <w:pPr>
        <w:pStyle w:val="Numberparagraph"/>
        <w:ind w:left="0" w:firstLine="0"/>
      </w:pPr>
      <w:r>
        <w:t xml:space="preserve">The </w:t>
      </w:r>
      <w:r>
        <w:rPr>
          <w:i/>
        </w:rPr>
        <w:t>Addressing hybrid mismatch arrangements</w:t>
      </w:r>
      <w:r>
        <w:t xml:space="preserve"> discussion document proposed a comprehensive response to hybrid mismatches, including the use of </w:t>
      </w:r>
      <w:r w:rsidR="009E068F">
        <w:t xml:space="preserve">double deductions </w:t>
      </w:r>
      <w:r>
        <w:t xml:space="preserve">by hybrid entities. </w:t>
      </w:r>
      <w:r w:rsidR="00CB467E">
        <w:t xml:space="preserve">Officials are currently consulting with the private sector on specific design issues relating to the proposals </w:t>
      </w:r>
      <w:r w:rsidR="00323119">
        <w:t>in</w:t>
      </w:r>
      <w:r w:rsidR="00CB467E">
        <w:t xml:space="preserve"> the discussion document. </w:t>
      </w:r>
    </w:p>
    <w:p w:rsidR="00CB467E" w:rsidRDefault="00CB467E" w:rsidP="0083182F">
      <w:pPr>
        <w:pStyle w:val="ListParagraph"/>
        <w:tabs>
          <w:tab w:val="left" w:pos="567"/>
        </w:tabs>
        <w:ind w:left="0"/>
      </w:pPr>
    </w:p>
    <w:p w:rsidR="00CB467E" w:rsidRPr="009051F4" w:rsidRDefault="00CB467E" w:rsidP="00D53E6D">
      <w:pPr>
        <w:pStyle w:val="Numberparagraph"/>
        <w:ind w:left="0" w:firstLine="0"/>
      </w:pPr>
      <w:r w:rsidRPr="009051F4">
        <w:t xml:space="preserve">Before then, it is important to confirm that the Government is willing to act on the most </w:t>
      </w:r>
      <w:proofErr w:type="gramStart"/>
      <w:r w:rsidR="00586240" w:rsidRPr="009051F4">
        <w:t>prevalent</w:t>
      </w:r>
      <w:proofErr w:type="gramEnd"/>
      <w:r w:rsidRPr="009051F4">
        <w:t xml:space="preserve"> hybrid structure involving </w:t>
      </w:r>
      <w:r w:rsidR="00323119" w:rsidRPr="009051F4">
        <w:t xml:space="preserve">outbound investment by </w:t>
      </w:r>
      <w:r w:rsidRPr="009051F4">
        <w:t>New Zealand</w:t>
      </w:r>
      <w:r w:rsidR="00323119" w:rsidRPr="009051F4">
        <w:t>-based groups</w:t>
      </w:r>
      <w:r w:rsidRPr="009051F4">
        <w:t xml:space="preserve"> by restricting the ability of New Zealand businesses to use </w:t>
      </w:r>
      <w:r w:rsidR="00E3703E">
        <w:t>double deductions</w:t>
      </w:r>
      <w:r w:rsidRPr="009051F4">
        <w:t xml:space="preserve"> of foreign hybrid entities</w:t>
      </w:r>
      <w:r w:rsidR="00323119" w:rsidRPr="009051F4">
        <w:t>, particularly</w:t>
      </w:r>
      <w:r w:rsidRPr="009051F4">
        <w:t xml:space="preserve"> Australian Limited Partnerships (ALPs)</w:t>
      </w:r>
      <w:r w:rsidR="00323119" w:rsidRPr="009051F4">
        <w:t>,</w:t>
      </w:r>
      <w:r w:rsidR="00290499" w:rsidRPr="009051F4">
        <w:t xml:space="preserve"> to reduce their tax liabilities in New Zealand.</w:t>
      </w:r>
      <w:r w:rsidR="00586240" w:rsidRPr="009051F4">
        <w:t xml:space="preserve"> </w:t>
      </w:r>
    </w:p>
    <w:p w:rsidR="00501C5D" w:rsidRDefault="00501C5D" w:rsidP="00501C5D">
      <w:pPr>
        <w:pStyle w:val="Numberparagraph"/>
        <w:numPr>
          <w:ilvl w:val="0"/>
          <w:numId w:val="0"/>
        </w:numPr>
        <w:ind w:left="720"/>
      </w:pPr>
    </w:p>
    <w:p w:rsidR="00501C5D" w:rsidRDefault="00D53E6D" w:rsidP="00501C5D">
      <w:pPr>
        <w:pStyle w:val="Numberparagraph"/>
        <w:ind w:left="0" w:firstLine="0"/>
      </w:pPr>
      <w:r>
        <w:t>This paper also seeks</w:t>
      </w:r>
      <w:r w:rsidR="00501C5D" w:rsidRPr="009404CE">
        <w:t xml:space="preserve"> Cabinet’s approval for the</w:t>
      </w:r>
      <w:r w:rsidR="009404CE" w:rsidRPr="009404CE">
        <w:t xml:space="preserve"> </w:t>
      </w:r>
      <w:r w:rsidR="00072C4A">
        <w:t>other</w:t>
      </w:r>
      <w:r w:rsidR="00501C5D" w:rsidRPr="009404CE">
        <w:t xml:space="preserve"> BEPS reforms </w:t>
      </w:r>
      <w:r w:rsidR="00AB3218" w:rsidRPr="009404CE">
        <w:t xml:space="preserve">proposed in </w:t>
      </w:r>
      <w:r>
        <w:t>the</w:t>
      </w:r>
      <w:r w:rsidRPr="009404CE">
        <w:t xml:space="preserve"> </w:t>
      </w:r>
      <w:r w:rsidR="009404CE" w:rsidRPr="009404CE">
        <w:t>September 2016 and</w:t>
      </w:r>
      <w:r w:rsidR="00AB3218" w:rsidRPr="009404CE">
        <w:t xml:space="preserve"> March 2017 discussion documents </w:t>
      </w:r>
      <w:r w:rsidR="00501C5D" w:rsidRPr="009404CE">
        <w:t xml:space="preserve">to be progressed, subject to modification in consultation, for implementation from 1 July 2018. </w:t>
      </w:r>
      <w:r w:rsidR="00EB616D">
        <w:t xml:space="preserve">When combined with the decision on foreign hybrid entity double deductions, </w:t>
      </w:r>
      <w:r w:rsidR="00EB616D" w:rsidRPr="009051F4">
        <w:t>t</w:t>
      </w:r>
      <w:r w:rsidR="00C2449D" w:rsidRPr="009051F4">
        <w:t>his will result in an adjustment to the revenue forecasts of</w:t>
      </w:r>
      <w:r w:rsidR="00501C5D" w:rsidRPr="009051F4">
        <w:t xml:space="preserve"> $</w:t>
      </w:r>
      <w:r w:rsidR="009404CE" w:rsidRPr="009051F4">
        <w:t xml:space="preserve">100 </w:t>
      </w:r>
      <w:r w:rsidR="00501C5D" w:rsidRPr="009051F4">
        <w:t>million per year from 2019/20 (with $</w:t>
      </w:r>
      <w:r w:rsidR="009404CE" w:rsidRPr="009051F4">
        <w:t xml:space="preserve">50 </w:t>
      </w:r>
      <w:r w:rsidR="00501C5D" w:rsidRPr="009051F4">
        <w:t>million forecast in the preceding year).</w:t>
      </w:r>
      <w:r w:rsidR="00501C5D" w:rsidRPr="009404CE">
        <w:t xml:space="preserve"> Given this is a conservative estimate, we note there is an accompanying positive fiscal risk that the revenue may be higher than estimated.</w:t>
      </w:r>
    </w:p>
    <w:p w:rsidR="00D53E6D" w:rsidRDefault="00D53E6D" w:rsidP="00D53E6D">
      <w:pPr>
        <w:pStyle w:val="Numberparagraph"/>
        <w:numPr>
          <w:ilvl w:val="0"/>
          <w:numId w:val="0"/>
        </w:numPr>
      </w:pPr>
    </w:p>
    <w:p w:rsidR="007A7703" w:rsidRDefault="00086F1D" w:rsidP="00C2449D">
      <w:pPr>
        <w:pStyle w:val="Numberparagraph"/>
        <w:ind w:left="0" w:firstLine="0"/>
      </w:pPr>
      <w:r>
        <w:t xml:space="preserve">We currently anticipate that final policy recommendations on </w:t>
      </w:r>
      <w:r w:rsidR="007A7703">
        <w:t>these</w:t>
      </w:r>
      <w:r w:rsidR="00FD2CED">
        <w:t xml:space="preserve"> BEPS reforms will be considered by Cabinet later this year</w:t>
      </w:r>
      <w:r>
        <w:t xml:space="preserve">. </w:t>
      </w:r>
    </w:p>
    <w:p w:rsidR="00C2449D" w:rsidRDefault="00C2449D" w:rsidP="00C2449D">
      <w:pPr>
        <w:pStyle w:val="Numberparagraph"/>
        <w:numPr>
          <w:ilvl w:val="0"/>
          <w:numId w:val="0"/>
        </w:numPr>
      </w:pPr>
    </w:p>
    <w:p w:rsidR="007E2640" w:rsidRDefault="004F6ED4" w:rsidP="0083182F">
      <w:pPr>
        <w:tabs>
          <w:tab w:val="left" w:pos="567"/>
        </w:tabs>
        <w:jc w:val="both"/>
        <w:rPr>
          <w:b/>
          <w:bCs/>
          <w:szCs w:val="24"/>
          <w:lang w:eastAsia="en-AU"/>
        </w:rPr>
      </w:pPr>
      <w:r w:rsidRPr="00DD23B8">
        <w:rPr>
          <w:b/>
          <w:bCs/>
          <w:szCs w:val="24"/>
          <w:lang w:eastAsia="en-AU"/>
        </w:rPr>
        <w:t>Background</w:t>
      </w:r>
    </w:p>
    <w:p w:rsidR="001A70AB" w:rsidRDefault="001A70AB" w:rsidP="0083182F">
      <w:pPr>
        <w:tabs>
          <w:tab w:val="left" w:pos="567"/>
        </w:tabs>
        <w:jc w:val="both"/>
        <w:rPr>
          <w:b/>
          <w:bCs/>
          <w:szCs w:val="24"/>
          <w:lang w:eastAsia="en-AU"/>
        </w:rPr>
      </w:pPr>
    </w:p>
    <w:p w:rsidR="001A70AB" w:rsidRPr="001A70AB" w:rsidRDefault="001A70AB" w:rsidP="0083182F">
      <w:pPr>
        <w:tabs>
          <w:tab w:val="left" w:pos="567"/>
        </w:tabs>
        <w:jc w:val="both"/>
        <w:rPr>
          <w:i/>
          <w:szCs w:val="24"/>
          <w:lang w:eastAsia="en-AU"/>
        </w:rPr>
      </w:pPr>
      <w:r w:rsidRPr="001A70AB">
        <w:rPr>
          <w:bCs/>
          <w:i/>
          <w:szCs w:val="24"/>
          <w:lang w:eastAsia="en-AU"/>
        </w:rPr>
        <w:t>BEPS</w:t>
      </w:r>
    </w:p>
    <w:p w:rsidR="00D23100" w:rsidRPr="00DD23B8" w:rsidRDefault="00D23100" w:rsidP="0083182F">
      <w:pPr>
        <w:tabs>
          <w:tab w:val="left" w:pos="567"/>
        </w:tabs>
        <w:jc w:val="both"/>
        <w:rPr>
          <w:szCs w:val="24"/>
          <w:lang w:eastAsia="en-AU"/>
        </w:rPr>
      </w:pPr>
    </w:p>
    <w:p w:rsidR="00E4232F" w:rsidRPr="00E4232F" w:rsidRDefault="001A70AB" w:rsidP="0083182F">
      <w:pPr>
        <w:pStyle w:val="Numberparagraph"/>
        <w:ind w:left="0" w:firstLine="0"/>
      </w:pPr>
      <w:r>
        <w:t xml:space="preserve">The New Zealand Government’s ongoing </w:t>
      </w:r>
      <w:r w:rsidRPr="00042181">
        <w:t xml:space="preserve">BEPS work programme has largely been driven by a wider momentum that has developed since 2012, when the OECD/G20 began work on their BEPS Action Plan, which </w:t>
      </w:r>
      <w:r w:rsidR="00323119">
        <w:t xml:space="preserve">was finalised </w:t>
      </w:r>
      <w:r w:rsidRPr="00042181">
        <w:t>in October 2015.</w:t>
      </w:r>
      <w:r w:rsidR="00CC433C">
        <w:t xml:space="preserve"> </w:t>
      </w:r>
      <w:r w:rsidRPr="00042181">
        <w:t>As a member of the OECD Council, New Zealand approved the 2015 BEPS final package and</w:t>
      </w:r>
      <w:r w:rsidR="0093574E">
        <w:t xml:space="preserve"> has</w:t>
      </w:r>
      <w:r w:rsidRPr="00042181">
        <w:t xml:space="preserve"> </w:t>
      </w:r>
      <w:r>
        <w:t>supported</w:t>
      </w:r>
      <w:r w:rsidRPr="00042181">
        <w:t xml:space="preserve"> the BEPS Action Plan since the OECD’s first declaration on BEPS</w:t>
      </w:r>
      <w:r>
        <w:t xml:space="preserve"> in 2013.</w:t>
      </w:r>
    </w:p>
    <w:p w:rsidR="00D23100" w:rsidRDefault="00D23100" w:rsidP="0083182F">
      <w:pPr>
        <w:tabs>
          <w:tab w:val="left" w:pos="567"/>
        </w:tabs>
        <w:jc w:val="both"/>
        <w:rPr>
          <w:b/>
          <w:bCs/>
          <w:szCs w:val="24"/>
          <w:lang w:eastAsia="en-AU"/>
        </w:rPr>
      </w:pPr>
    </w:p>
    <w:p w:rsidR="001A70AB" w:rsidRDefault="00CC433C" w:rsidP="0083182F">
      <w:pPr>
        <w:pStyle w:val="Numberparagraph"/>
        <w:ind w:left="0" w:firstLine="0"/>
      </w:pPr>
      <w:r>
        <w:t>Part</w:t>
      </w:r>
      <w:r w:rsidR="001A70AB" w:rsidRPr="00042181">
        <w:t xml:space="preserve"> of the</w:t>
      </w:r>
      <w:r>
        <w:t xml:space="preserve"> OECD/G20 BEPS Action Plan is </w:t>
      </w:r>
      <w:r>
        <w:rPr>
          <w:i/>
        </w:rPr>
        <w:t>Action 2:</w:t>
      </w:r>
      <w:r w:rsidR="001A70AB" w:rsidRPr="00042181">
        <w:t xml:space="preserve"> </w:t>
      </w:r>
      <w:r w:rsidR="001A70AB" w:rsidRPr="00042181">
        <w:rPr>
          <w:i/>
        </w:rPr>
        <w:t xml:space="preserve">Neutralising the Effects of Hybrid Mismatch Arrangements </w:t>
      </w:r>
      <w:r w:rsidR="001A70AB" w:rsidRPr="00042181">
        <w:t xml:space="preserve">(the OECD recommendations), under which the OECD has designed a set of hybrid mismatch rules for countries to </w:t>
      </w:r>
      <w:r w:rsidR="00323119">
        <w:t>incorporate</w:t>
      </w:r>
      <w:r w:rsidR="001A70AB" w:rsidRPr="00042181">
        <w:t xml:space="preserve"> into their own tax systems.</w:t>
      </w:r>
      <w:r w:rsidR="001A70AB">
        <w:t xml:space="preserve"> While it is not mandatory to adopt the OECD recommendations, OECD and G20 countries have agreed a general tax policy direction in respect of Action 2. This means that they are expected to converge over time in their treatment of hybrid mismatch arrangements following the agreed </w:t>
      </w:r>
      <w:r>
        <w:t>common approaches</w:t>
      </w:r>
      <w:r w:rsidR="001A70AB">
        <w:t>.</w:t>
      </w:r>
    </w:p>
    <w:p w:rsidR="00966B4A" w:rsidRDefault="00966B4A" w:rsidP="00734380">
      <w:pPr>
        <w:pStyle w:val="ListParagraph"/>
      </w:pPr>
    </w:p>
    <w:p w:rsidR="00966B4A" w:rsidRDefault="00966B4A" w:rsidP="0083182F">
      <w:pPr>
        <w:pStyle w:val="Numberparagraph"/>
        <w:ind w:left="0" w:firstLine="0"/>
      </w:pPr>
      <w:r w:rsidRPr="00966B4A">
        <w:t xml:space="preserve">The OECD has also recommended actions on </w:t>
      </w:r>
      <w:r w:rsidRPr="00966B4A">
        <w:rPr>
          <w:i/>
        </w:rPr>
        <w:t xml:space="preserve">limiting base erosion </w:t>
      </w:r>
      <w:r w:rsidR="00A623B0">
        <w:rPr>
          <w:i/>
        </w:rPr>
        <w:t>involving</w:t>
      </w:r>
      <w:r w:rsidRPr="00966B4A">
        <w:rPr>
          <w:i/>
        </w:rPr>
        <w:t xml:space="preserve"> interest </w:t>
      </w:r>
      <w:r w:rsidR="00A623B0">
        <w:rPr>
          <w:i/>
        </w:rPr>
        <w:t xml:space="preserve">deductions and other financial </w:t>
      </w:r>
      <w:r w:rsidRPr="00966B4A">
        <w:rPr>
          <w:i/>
        </w:rPr>
        <w:t>payments</w:t>
      </w:r>
      <w:r w:rsidRPr="00966B4A">
        <w:t xml:space="preserve"> (Action 4), </w:t>
      </w:r>
      <w:r w:rsidRPr="00966B4A">
        <w:rPr>
          <w:i/>
        </w:rPr>
        <w:t>preventing the artificial avoidance of permanent establishment status</w:t>
      </w:r>
      <w:r w:rsidRPr="00966B4A">
        <w:t xml:space="preserve"> (Action 7) and </w:t>
      </w:r>
      <w:r w:rsidRPr="00966B4A">
        <w:rPr>
          <w:i/>
        </w:rPr>
        <w:t>aligning transfer pricing outcomes with value creation</w:t>
      </w:r>
      <w:r w:rsidRPr="00966B4A">
        <w:t xml:space="preserve"> (Actions 8-10). The Government’s March 2017 discussion documents outline a package of proposed law changes intended to address the OECD’s concerns and recommendations in these areas, although the specific proposals are tailored for the New Zealand environment</w:t>
      </w:r>
      <w:r w:rsidR="00734380">
        <w:t xml:space="preserve"> and so differ in some respects from the OECD’s recommendations</w:t>
      </w:r>
      <w:r w:rsidRPr="00966B4A">
        <w:t>.</w:t>
      </w:r>
    </w:p>
    <w:p w:rsidR="00AB3218" w:rsidRDefault="00AB3218" w:rsidP="00AB3218">
      <w:pPr>
        <w:pStyle w:val="ListParagraph"/>
      </w:pPr>
    </w:p>
    <w:p w:rsidR="00B17F32" w:rsidRDefault="00966B4A" w:rsidP="00372B5B">
      <w:pPr>
        <w:pStyle w:val="Numberparagraph"/>
        <w:numPr>
          <w:ilvl w:val="0"/>
          <w:numId w:val="0"/>
        </w:numPr>
      </w:pPr>
      <w:r w:rsidDel="00966B4A">
        <w:t xml:space="preserve"> </w:t>
      </w:r>
    </w:p>
    <w:p w:rsidR="00B17F32" w:rsidRPr="00372B5B" w:rsidRDefault="00B17F32" w:rsidP="0083182F">
      <w:pPr>
        <w:tabs>
          <w:tab w:val="left" w:pos="567"/>
        </w:tabs>
        <w:jc w:val="both"/>
        <w:rPr>
          <w:b/>
          <w:bCs/>
          <w:szCs w:val="24"/>
          <w:lang w:eastAsia="en-AU"/>
        </w:rPr>
      </w:pPr>
      <w:r w:rsidRPr="00372B5B">
        <w:rPr>
          <w:b/>
          <w:bCs/>
          <w:szCs w:val="24"/>
          <w:lang w:eastAsia="en-AU"/>
        </w:rPr>
        <w:t>Hybrid mismatch arrangements</w:t>
      </w:r>
    </w:p>
    <w:p w:rsidR="00290499" w:rsidRDefault="00290499" w:rsidP="0083182F">
      <w:pPr>
        <w:pStyle w:val="Numberparagraph"/>
        <w:numPr>
          <w:ilvl w:val="0"/>
          <w:numId w:val="0"/>
        </w:numPr>
        <w:tabs>
          <w:tab w:val="left" w:pos="0"/>
        </w:tabs>
      </w:pPr>
    </w:p>
    <w:p w:rsidR="00290499" w:rsidRDefault="00B17F32" w:rsidP="0083182F">
      <w:pPr>
        <w:pStyle w:val="Numberparagraph"/>
        <w:ind w:left="0" w:firstLine="0"/>
      </w:pPr>
      <w:r>
        <w:t>H</w:t>
      </w:r>
      <w:r w:rsidR="00290499">
        <w:t>ybrid mismatch arrangements</w:t>
      </w:r>
      <w:r w:rsidR="00290499" w:rsidRPr="00042181">
        <w:t xml:space="preserve"> </w:t>
      </w:r>
      <w:r>
        <w:t>arise when</w:t>
      </w:r>
      <w:r w:rsidR="00290499" w:rsidRPr="00042181">
        <w:t xml:space="preserve"> countries classify transactions and entities differently from each other under their domestic laws. For example, fixed rate shares may be treated as debt in one country and </w:t>
      </w:r>
      <w:r w:rsidR="00290499">
        <w:t>shares in another.</w:t>
      </w:r>
      <w:r w:rsidR="00290499" w:rsidRPr="00042181">
        <w:t xml:space="preserve"> This is inevitable. However, </w:t>
      </w:r>
      <w:r w:rsidR="00290499">
        <w:t>differences in classification</w:t>
      </w:r>
      <w:r w:rsidR="00290499" w:rsidRPr="00042181">
        <w:t xml:space="preserve"> provide multinational </w:t>
      </w:r>
      <w:r w:rsidR="0036460D">
        <w:t>groups</w:t>
      </w:r>
      <w:r w:rsidR="00290499" w:rsidRPr="00042181">
        <w:t xml:space="preserve"> with opportunities to arbitrage between tax systems in two or more jurisdictions to create tax advantages. The result of hybrid mismatch arrangements is less aggregate tax revenue collected in the jurisdictions to which the arrangement relates.  </w:t>
      </w:r>
    </w:p>
    <w:p w:rsidR="00290499" w:rsidRDefault="00290499" w:rsidP="0083182F">
      <w:pPr>
        <w:tabs>
          <w:tab w:val="left" w:pos="567"/>
        </w:tabs>
      </w:pPr>
    </w:p>
    <w:p w:rsidR="00290499" w:rsidRDefault="00290499" w:rsidP="0083182F">
      <w:pPr>
        <w:pStyle w:val="Numberparagraph"/>
        <w:ind w:left="0" w:firstLine="0"/>
      </w:pPr>
      <w:r>
        <w:t xml:space="preserve">The Government’s discussion document </w:t>
      </w:r>
      <w:r>
        <w:rPr>
          <w:i/>
        </w:rPr>
        <w:t>Addressing Hybrid Mismat</w:t>
      </w:r>
      <w:r w:rsidRPr="00290499">
        <w:rPr>
          <w:i/>
        </w:rPr>
        <w:t xml:space="preserve">ch Arrangements </w:t>
      </w:r>
      <w:r w:rsidR="00CC433C">
        <w:t>proposed</w:t>
      </w:r>
      <w:r>
        <w:t xml:space="preserve"> that New Zealand adopt the OECD recommendations by enacting a specific set of rules that remove the tax advantages of hybrid mismatch arrangements. The proposals</w:t>
      </w:r>
      <w:r w:rsidRPr="00A21931">
        <w:t xml:space="preserve"> </w:t>
      </w:r>
      <w:r>
        <w:t xml:space="preserve">apply mainly to related parties of multinational groups and planned arrangements. </w:t>
      </w:r>
      <w:r w:rsidRPr="00042181">
        <w:t xml:space="preserve">The expected outcome of </w:t>
      </w:r>
      <w:r>
        <w:t>having hybrid mismatch rules</w:t>
      </w:r>
      <w:r w:rsidRPr="00042181">
        <w:t xml:space="preserve"> is that the tax benefit of hybrid mismatch arrangements is eliminated, in most cases influencing taxpayers to switch to more straightforward cross-border financing instruments and structures.</w:t>
      </w:r>
    </w:p>
    <w:p w:rsidR="00290499" w:rsidRDefault="00290499" w:rsidP="0083182F">
      <w:pPr>
        <w:tabs>
          <w:tab w:val="left" w:pos="567"/>
        </w:tabs>
      </w:pPr>
    </w:p>
    <w:p w:rsidR="00290499" w:rsidRDefault="00290499" w:rsidP="0083182F">
      <w:pPr>
        <w:pStyle w:val="Numberparagraph"/>
        <w:ind w:left="0" w:firstLine="0"/>
      </w:pPr>
      <w:r>
        <w:t>The global response on adopting the OECD recommendations on hybrid mismatch arrangements is as follows:</w:t>
      </w:r>
    </w:p>
    <w:p w:rsidR="00290499" w:rsidRPr="00290499" w:rsidRDefault="00290499" w:rsidP="0083182F">
      <w:pPr>
        <w:pStyle w:val="ListBullet"/>
        <w:numPr>
          <w:ilvl w:val="1"/>
          <w:numId w:val="6"/>
        </w:numPr>
        <w:tabs>
          <w:tab w:val="left" w:pos="1134"/>
        </w:tabs>
        <w:spacing w:after="0"/>
        <w:ind w:left="567" w:firstLine="0"/>
        <w:rPr>
          <w:rFonts w:ascii="Times New Roman" w:hAnsi="Times New Roman" w:cs="Times New Roman"/>
          <w:sz w:val="24"/>
          <w:szCs w:val="24"/>
        </w:rPr>
      </w:pPr>
      <w:r w:rsidRPr="00290499">
        <w:rPr>
          <w:rFonts w:ascii="Times New Roman" w:hAnsi="Times New Roman" w:cs="Times New Roman"/>
          <w:sz w:val="24"/>
          <w:szCs w:val="24"/>
        </w:rPr>
        <w:t>The United Kingdom enacted rules earlier this year to counter hybrid mismatch arrangements (effective 1 January 2017).</w:t>
      </w:r>
    </w:p>
    <w:p w:rsidR="00290499" w:rsidRPr="00290499" w:rsidRDefault="00290499" w:rsidP="0083182F">
      <w:pPr>
        <w:pStyle w:val="ListBullet"/>
        <w:numPr>
          <w:ilvl w:val="1"/>
          <w:numId w:val="6"/>
        </w:numPr>
        <w:tabs>
          <w:tab w:val="left" w:pos="1134"/>
        </w:tabs>
        <w:spacing w:after="0"/>
        <w:ind w:left="567" w:firstLine="0"/>
        <w:rPr>
          <w:rFonts w:ascii="Times New Roman" w:hAnsi="Times New Roman" w:cs="Times New Roman"/>
          <w:sz w:val="24"/>
          <w:szCs w:val="24"/>
        </w:rPr>
      </w:pPr>
      <w:r w:rsidRPr="00290499">
        <w:rPr>
          <w:rFonts w:ascii="Times New Roman" w:hAnsi="Times New Roman" w:cs="Times New Roman"/>
          <w:sz w:val="24"/>
          <w:szCs w:val="24"/>
        </w:rPr>
        <w:t>The EU has released a binding directive which requires EU members to introduce hybrid rules (effective 1 January 2020).</w:t>
      </w:r>
    </w:p>
    <w:p w:rsidR="00290499" w:rsidRPr="00290499" w:rsidRDefault="00290499" w:rsidP="0083182F">
      <w:pPr>
        <w:pStyle w:val="ListBullet"/>
        <w:numPr>
          <w:ilvl w:val="1"/>
          <w:numId w:val="6"/>
        </w:numPr>
        <w:tabs>
          <w:tab w:val="left" w:pos="1134"/>
        </w:tabs>
        <w:spacing w:after="0"/>
        <w:ind w:left="567" w:firstLine="0"/>
        <w:rPr>
          <w:rFonts w:ascii="Times New Roman" w:hAnsi="Times New Roman" w:cs="Times New Roman"/>
          <w:sz w:val="24"/>
          <w:szCs w:val="24"/>
        </w:rPr>
      </w:pPr>
      <w:r w:rsidRPr="00290499">
        <w:rPr>
          <w:rFonts w:ascii="Times New Roman" w:hAnsi="Times New Roman" w:cs="Times New Roman"/>
          <w:sz w:val="24"/>
          <w:szCs w:val="24"/>
        </w:rPr>
        <w:lastRenderedPageBreak/>
        <w:t xml:space="preserve">Australia </w:t>
      </w:r>
      <w:r>
        <w:rPr>
          <w:rFonts w:ascii="Times New Roman" w:hAnsi="Times New Roman" w:cs="Times New Roman"/>
          <w:sz w:val="24"/>
          <w:szCs w:val="24"/>
        </w:rPr>
        <w:t>is</w:t>
      </w:r>
      <w:r w:rsidRPr="00290499">
        <w:rPr>
          <w:rFonts w:ascii="Times New Roman" w:hAnsi="Times New Roman" w:cs="Times New Roman"/>
          <w:sz w:val="24"/>
          <w:szCs w:val="24"/>
        </w:rPr>
        <w:t xml:space="preserve"> committed to introducing hybrid rules (effective 1 January 2018 or 6 months after enactment)</w:t>
      </w:r>
      <w:r>
        <w:rPr>
          <w:rFonts w:ascii="Times New Roman" w:hAnsi="Times New Roman" w:cs="Times New Roman"/>
          <w:sz w:val="24"/>
          <w:szCs w:val="24"/>
        </w:rPr>
        <w:t>.</w:t>
      </w:r>
    </w:p>
    <w:p w:rsidR="00D23100" w:rsidRPr="00DD23B8" w:rsidRDefault="00D23100" w:rsidP="0083182F">
      <w:pPr>
        <w:tabs>
          <w:tab w:val="left" w:pos="567"/>
        </w:tabs>
        <w:jc w:val="both"/>
        <w:rPr>
          <w:b/>
          <w:bCs/>
          <w:szCs w:val="24"/>
          <w:lang w:eastAsia="en-AU"/>
        </w:rPr>
      </w:pPr>
    </w:p>
    <w:p w:rsidR="007E2640" w:rsidRPr="00072C4A" w:rsidRDefault="00F16AEC" w:rsidP="0083182F">
      <w:pPr>
        <w:tabs>
          <w:tab w:val="left" w:pos="567"/>
        </w:tabs>
        <w:jc w:val="both"/>
        <w:rPr>
          <w:i/>
          <w:szCs w:val="24"/>
          <w:lang w:eastAsia="en-AU"/>
        </w:rPr>
      </w:pPr>
      <w:r w:rsidRPr="00072C4A">
        <w:rPr>
          <w:bCs/>
          <w:i/>
          <w:szCs w:val="24"/>
          <w:lang w:eastAsia="en-AU"/>
        </w:rPr>
        <w:t xml:space="preserve">Foreign hybrid entity </w:t>
      </w:r>
      <w:r w:rsidR="005558B8">
        <w:rPr>
          <w:bCs/>
          <w:i/>
          <w:szCs w:val="24"/>
          <w:lang w:eastAsia="en-AU"/>
        </w:rPr>
        <w:t>double deductions</w:t>
      </w:r>
    </w:p>
    <w:p w:rsidR="00D23100" w:rsidRPr="00DD23B8" w:rsidRDefault="00D23100" w:rsidP="0083182F">
      <w:pPr>
        <w:tabs>
          <w:tab w:val="left" w:pos="567"/>
        </w:tabs>
        <w:jc w:val="both"/>
        <w:rPr>
          <w:szCs w:val="24"/>
          <w:lang w:eastAsia="en-AU"/>
        </w:rPr>
      </w:pPr>
    </w:p>
    <w:p w:rsidR="00E4232F" w:rsidRDefault="009D7898" w:rsidP="0083182F">
      <w:pPr>
        <w:pStyle w:val="Numberparagraph"/>
        <w:ind w:left="0" w:firstLine="0"/>
      </w:pPr>
      <w:r>
        <w:t>A type of hybrid mismatch featured in the</w:t>
      </w:r>
      <w:r w:rsidRPr="009D7898">
        <w:t xml:space="preserve"> </w:t>
      </w:r>
      <w:r>
        <w:t>OECD recommendations</w:t>
      </w:r>
      <w:r w:rsidR="00586240">
        <w:t xml:space="preserve"> and featured in the </w:t>
      </w:r>
      <w:r w:rsidR="00586240">
        <w:rPr>
          <w:i/>
        </w:rPr>
        <w:t>Addressing hybrid mismatch arrangements</w:t>
      </w:r>
      <w:r w:rsidR="00586240">
        <w:t xml:space="preserve"> discussion document </w:t>
      </w:r>
      <w:r>
        <w:t>is the double deduction</w:t>
      </w:r>
      <w:r w:rsidR="00290499">
        <w:t xml:space="preserve"> mismatch</w:t>
      </w:r>
      <w:r>
        <w:t xml:space="preserve">, whereby a multinational group claims a tax deduction in two different jurisdictions for what is in substance one item of expenditure. This is most commonly achieved through the use of a hybrid entity – an entity that is </w:t>
      </w:r>
      <w:r w:rsidRPr="009D7898">
        <w:t>treated</w:t>
      </w:r>
      <w:r>
        <w:t xml:space="preserve"> for tax purposes</w:t>
      </w:r>
      <w:r w:rsidRPr="009D7898">
        <w:t xml:space="preserve"> as transparent</w:t>
      </w:r>
      <w:r>
        <w:t xml:space="preserve"> (its income and expenditure is attributed to its owners)</w:t>
      </w:r>
      <w:r w:rsidRPr="009D7898">
        <w:t xml:space="preserve"> in </w:t>
      </w:r>
      <w:r w:rsidR="005A09FD">
        <w:t>the</w:t>
      </w:r>
      <w:r>
        <w:t xml:space="preserve"> jurisdiction</w:t>
      </w:r>
      <w:r w:rsidR="005A09FD">
        <w:t xml:space="preserve"> of its </w:t>
      </w:r>
      <w:r w:rsidR="00F567DC">
        <w:t>parent</w:t>
      </w:r>
      <w:r>
        <w:t xml:space="preserve"> and opaque</w:t>
      </w:r>
      <w:r w:rsidR="00CC433C">
        <w:t xml:space="preserve"> (it is taxed as a separate entity on its income and expenditure)</w:t>
      </w:r>
      <w:r>
        <w:t xml:space="preserve"> in the jurisdiction</w:t>
      </w:r>
      <w:r w:rsidR="005A09FD">
        <w:t xml:space="preserve"> it was established in</w:t>
      </w:r>
      <w:r>
        <w:t xml:space="preserve">. </w:t>
      </w:r>
      <w:r w:rsidR="005A09FD">
        <w:t>If t</w:t>
      </w:r>
      <w:r>
        <w:t>hat</w:t>
      </w:r>
      <w:r w:rsidR="005A09FD">
        <w:t xml:space="preserve"> hybrid</w:t>
      </w:r>
      <w:r>
        <w:t xml:space="preserve"> entity make</w:t>
      </w:r>
      <w:r w:rsidR="005A09FD">
        <w:t>s</w:t>
      </w:r>
      <w:r>
        <w:t xml:space="preserve"> a loss </w:t>
      </w:r>
      <w:r w:rsidR="005A09FD">
        <w:t xml:space="preserve">it can be grouped against the profits of a related party in </w:t>
      </w:r>
      <w:r w:rsidR="005C2719">
        <w:t>its establishment</w:t>
      </w:r>
      <w:r w:rsidR="005A09FD">
        <w:t xml:space="preserve"> jurisdiction.</w:t>
      </w:r>
      <w:r w:rsidR="005C2719">
        <w:t xml:space="preserve"> Additionally,</w:t>
      </w:r>
      <w:r w:rsidR="005A09FD">
        <w:t xml:space="preserve"> the hybrid entity’s </w:t>
      </w:r>
      <w:r w:rsidR="00F567DC">
        <w:t>parent</w:t>
      </w:r>
      <w:r w:rsidR="005A09FD">
        <w:t xml:space="preserve"> is attributed the losses of the hybrid entity</w:t>
      </w:r>
      <w:r w:rsidR="005C2719">
        <w:t xml:space="preserve"> under the parent jurisdiction’s laws</w:t>
      </w:r>
      <w:r w:rsidR="005A09FD">
        <w:t xml:space="preserve"> which can</w:t>
      </w:r>
      <w:r w:rsidR="005C2719">
        <w:t xml:space="preserve"> then be</w:t>
      </w:r>
      <w:r w:rsidR="00565B2B">
        <w:t xml:space="preserve"> offset against its own profits. </w:t>
      </w:r>
      <w:r w:rsidR="00C2449D">
        <w:t>Each</w:t>
      </w:r>
      <w:r w:rsidR="00565B2B">
        <w:t xml:space="preserve"> of these entity characterisations </w:t>
      </w:r>
      <w:r w:rsidR="00C2449D">
        <w:t>is</w:t>
      </w:r>
      <w:r w:rsidR="00565B2B">
        <w:t xml:space="preserve"> valid when viewed in isolation, but in combination the hybrid entity </w:t>
      </w:r>
      <w:r w:rsidR="005A09FD">
        <w:t>allow</w:t>
      </w:r>
      <w:r w:rsidR="00565B2B">
        <w:t xml:space="preserve">s </w:t>
      </w:r>
      <w:r w:rsidR="005A09FD">
        <w:t xml:space="preserve">the group to reduce its taxable income in two countries </w:t>
      </w:r>
      <w:r w:rsidR="00565B2B">
        <w:t>where there is only one economic loss</w:t>
      </w:r>
      <w:r w:rsidR="005A09FD">
        <w:t>.</w:t>
      </w:r>
    </w:p>
    <w:p w:rsidR="009D7898" w:rsidRDefault="009D7898" w:rsidP="0083182F">
      <w:pPr>
        <w:pStyle w:val="Numberparagraph"/>
        <w:numPr>
          <w:ilvl w:val="0"/>
          <w:numId w:val="0"/>
        </w:numPr>
      </w:pPr>
      <w:r>
        <w:t xml:space="preserve"> </w:t>
      </w:r>
    </w:p>
    <w:p w:rsidR="007D51A8" w:rsidRPr="0045712E" w:rsidRDefault="007D51A8" w:rsidP="007D51A8">
      <w:pPr>
        <w:pStyle w:val="Numberparagraph"/>
        <w:ind w:left="0" w:firstLine="0"/>
      </w:pPr>
      <w:r w:rsidRPr="0045712E">
        <w:t xml:space="preserve">This double deduction effect can be achieved through the use of an Australian Limited Partnership (ALP), which is a type of hybrid entity that can be established in Australia with a New Zealand company as the 99% parent/limited partner. The diagram below sets out this structure and assumes that the ALP borrows money from a third party bank (and pays interest on that loan) to help fund the wider group.  </w:t>
      </w:r>
    </w:p>
    <w:p w:rsidR="007D51A8" w:rsidRPr="0045712E" w:rsidRDefault="007D51A8" w:rsidP="007D51A8">
      <w:pPr>
        <w:pStyle w:val="ListParagraph"/>
      </w:pPr>
    </w:p>
    <w:p w:rsidR="00740439" w:rsidRDefault="00740439" w:rsidP="0083182F">
      <w:pPr>
        <w:tabs>
          <w:tab w:val="left" w:pos="567"/>
        </w:tabs>
        <w:rPr>
          <w:rFonts w:eastAsia="Arial"/>
          <w:i/>
          <w:szCs w:val="24"/>
        </w:rPr>
      </w:pPr>
      <w:r w:rsidRPr="00740439">
        <w:rPr>
          <w:rFonts w:eastAsia="Arial"/>
          <w:i/>
          <w:szCs w:val="24"/>
        </w:rPr>
        <w:t>Figure 1</w:t>
      </w:r>
      <w:r w:rsidR="003F127F">
        <w:rPr>
          <w:rFonts w:eastAsia="Arial"/>
          <w:i/>
          <w:szCs w:val="24"/>
        </w:rPr>
        <w:t xml:space="preserve"> – ALP double deductions structure</w:t>
      </w:r>
    </w:p>
    <w:p w:rsidR="00AF0513" w:rsidRPr="00AF0513" w:rsidRDefault="00200DDD" w:rsidP="00AF0513">
      <w:pPr>
        <w:rPr>
          <w:rFonts w:ascii="Arial" w:eastAsia="Arial" w:hAnsi="Arial" w:cs="Arial"/>
          <w:sz w:val="20"/>
        </w:rPr>
      </w:pPr>
      <w:r>
        <w:rPr>
          <w:rFonts w:ascii="Arial" w:eastAsia="Arial" w:hAnsi="Arial" w:cs="Arial"/>
          <w:noProof/>
          <w:sz w:val="20"/>
          <w:lang w:eastAsia="en-NZ"/>
        </w:rPr>
        <mc:AlternateContent>
          <mc:Choice Requires="wpg">
            <w:drawing>
              <wp:anchor distT="0" distB="0" distL="114300" distR="114300" simplePos="0" relativeHeight="251687936" behindDoc="0" locked="0" layoutInCell="1" allowOverlap="1" wp14:anchorId="3F303522" wp14:editId="377329AD">
                <wp:simplePos x="0" y="0"/>
                <wp:positionH relativeFrom="column">
                  <wp:posOffset>80645</wp:posOffset>
                </wp:positionH>
                <wp:positionV relativeFrom="paragraph">
                  <wp:posOffset>100965</wp:posOffset>
                </wp:positionV>
                <wp:extent cx="5353050" cy="3678171"/>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5353050" cy="3678171"/>
                          <a:chOff x="0" y="0"/>
                          <a:chExt cx="5749290" cy="3981450"/>
                        </a:xfrm>
                      </wpg:grpSpPr>
                      <wps:wsp>
                        <wps:cNvPr id="300" name="Straight Arrow Connector 300"/>
                        <wps:cNvCnPr/>
                        <wps:spPr>
                          <a:xfrm>
                            <a:off x="4162425" y="1952625"/>
                            <a:ext cx="134620" cy="62865"/>
                          </a:xfrm>
                          <a:prstGeom prst="straightConnector1">
                            <a:avLst/>
                          </a:prstGeom>
                          <a:noFill/>
                          <a:ln w="19050" cap="flat" cmpd="sng" algn="ctr">
                            <a:solidFill>
                              <a:sysClr val="windowText" lastClr="000000"/>
                            </a:solidFill>
                            <a:prstDash val="solid"/>
                            <a:tailEnd type="arrow"/>
                          </a:ln>
                          <a:effectLst/>
                        </wps:spPr>
                        <wps:bodyPr/>
                      </wps:wsp>
                      <wpg:grpSp>
                        <wpg:cNvPr id="17" name="Group 17"/>
                        <wpg:cNvGrpSpPr/>
                        <wpg:grpSpPr>
                          <a:xfrm>
                            <a:off x="0" y="0"/>
                            <a:ext cx="5749290" cy="3981450"/>
                            <a:chOff x="0" y="0"/>
                            <a:chExt cx="5749290" cy="3981450"/>
                          </a:xfrm>
                        </wpg:grpSpPr>
                        <wpg:grpSp>
                          <wpg:cNvPr id="16" name="Group 16"/>
                          <wpg:cNvGrpSpPr/>
                          <wpg:grpSpPr>
                            <a:xfrm>
                              <a:off x="1152525" y="0"/>
                              <a:ext cx="3315334" cy="707390"/>
                              <a:chOff x="0" y="0"/>
                              <a:chExt cx="3315334" cy="707390"/>
                            </a:xfrm>
                          </wpg:grpSpPr>
                          <wps:wsp>
                            <wps:cNvPr id="288" name="Rectangle 288"/>
                            <wps:cNvSpPr/>
                            <wps:spPr>
                              <a:xfrm>
                                <a:off x="0" y="0"/>
                                <a:ext cx="1463040" cy="707390"/>
                              </a:xfrm>
                              <a:prstGeom prst="rect">
                                <a:avLst/>
                              </a:prstGeom>
                              <a:solidFill>
                                <a:sysClr val="window" lastClr="FFFFFF">
                                  <a:lumMod val="85000"/>
                                </a:sysClr>
                              </a:solidFill>
                              <a:ln w="25400" cap="flat" cmpd="sng" algn="ctr">
                                <a:solidFill>
                                  <a:sysClr val="windowText" lastClr="000000"/>
                                </a:solidFill>
                                <a:prstDash val="solid"/>
                              </a:ln>
                              <a:effectLst/>
                            </wps:spPr>
                            <wps:txbx>
                              <w:txbxContent>
                                <w:p w:rsidR="00DA6255" w:rsidRDefault="00AF0513" w:rsidP="00AF0513">
                                  <w:pPr>
                                    <w:jc w:val="center"/>
                                    <w:rPr>
                                      <w:b/>
                                      <w:color w:val="000000" w:themeColor="text1"/>
                                    </w:rPr>
                                  </w:pPr>
                                  <w:r w:rsidRPr="00AF0513">
                                    <w:rPr>
                                      <w:b/>
                                      <w:color w:val="000000" w:themeColor="text1"/>
                                    </w:rPr>
                                    <w:t>NZ Co</w:t>
                                  </w:r>
                                  <w:r w:rsidR="00DA6255">
                                    <w:rPr>
                                      <w:b/>
                                      <w:color w:val="000000" w:themeColor="text1"/>
                                    </w:rPr>
                                    <w:t xml:space="preserve"> </w:t>
                                  </w:r>
                                </w:p>
                                <w:p w:rsidR="00AF0513" w:rsidRPr="00AF0513" w:rsidRDefault="005C2719" w:rsidP="00AF0513">
                                  <w:pPr>
                                    <w:jc w:val="center"/>
                                    <w:rPr>
                                      <w:b/>
                                      <w:color w:val="000000" w:themeColor="text1"/>
                                    </w:rPr>
                                  </w:pPr>
                                  <w:r>
                                    <w:rPr>
                                      <w:b/>
                                      <w:color w:val="000000" w:themeColor="text1"/>
                                    </w:rPr>
                                    <w:t>(</w:t>
                                  </w:r>
                                  <w:proofErr w:type="gramStart"/>
                                  <w:r>
                                    <w:rPr>
                                      <w:b/>
                                      <w:color w:val="000000" w:themeColor="text1"/>
                                    </w:rPr>
                                    <w:t>the</w:t>
                                  </w:r>
                                  <w:proofErr w:type="gramEnd"/>
                                  <w:r>
                                    <w:rPr>
                                      <w:b/>
                                      <w:color w:val="000000" w:themeColor="text1"/>
                                    </w:rPr>
                                    <w:t xml:space="preserve"> l</w:t>
                                  </w:r>
                                  <w:r w:rsidR="00DA6255">
                                    <w:rPr>
                                      <w:b/>
                                      <w:color w:val="000000" w:themeColor="text1"/>
                                    </w:rPr>
                                    <w:t>imited</w:t>
                                  </w:r>
                                  <w:r>
                                    <w:rPr>
                                      <w:b/>
                                      <w:color w:val="000000" w:themeColor="text1"/>
                                    </w:rPr>
                                    <w:t xml:space="preserve"> p</w:t>
                                  </w:r>
                                  <w:r w:rsidR="00AF0513" w:rsidRPr="00AF0513">
                                    <w:rPr>
                                      <w:b/>
                                      <w:color w:val="000000" w:themeColor="text1"/>
                                    </w:rPr>
                                    <w:t>artner</w:t>
                                  </w:r>
                                  <w:r w:rsidR="00DA6255">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ight Arrow 290"/>
                            <wps:cNvSpPr/>
                            <wps:spPr>
                              <a:xfrm rot="10800000">
                                <a:off x="1800225" y="161925"/>
                                <a:ext cx="504825" cy="323850"/>
                              </a:xfrm>
                              <a:prstGeom prst="rightArrow">
                                <a:avLst/>
                              </a:prstGeom>
                              <a:solidFill>
                                <a:sysClr val="window" lastClr="FFFFFF">
                                  <a:lumMod val="6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Text Box 2"/>
                            <wps:cNvSpPr txBox="1">
                              <a:spLocks noChangeArrowheads="1"/>
                            </wps:cNvSpPr>
                            <wps:spPr bwMode="auto">
                              <a:xfrm>
                                <a:off x="2324100" y="114300"/>
                                <a:ext cx="991234" cy="518037"/>
                              </a:xfrm>
                              <a:prstGeom prst="rect">
                                <a:avLst/>
                              </a:prstGeom>
                              <a:noFill/>
                              <a:ln w="9525">
                                <a:noFill/>
                                <a:miter lim="800000"/>
                                <a:headEnd/>
                                <a:tailEnd/>
                              </a:ln>
                            </wps:spPr>
                            <wps:txbx>
                              <w:txbxContent>
                                <w:p w:rsidR="00AF0513" w:rsidRPr="00904112" w:rsidRDefault="00AF0513" w:rsidP="00AF0513">
                                  <w:pPr>
                                    <w:rPr>
                                      <w:b/>
                                    </w:rPr>
                                  </w:pPr>
                                  <w:r>
                                    <w:rPr>
                                      <w:b/>
                                    </w:rPr>
                                    <w:t>Operating income</w:t>
                                  </w:r>
                                </w:p>
                              </w:txbxContent>
                            </wps:txbx>
                            <wps:bodyPr rot="0" vert="horz" wrap="square" lIns="91440" tIns="45720" rIns="91440" bIns="45720" anchor="t" anchorCtr="0">
                              <a:noAutofit/>
                            </wps:bodyPr>
                          </wps:wsp>
                        </wpg:grpSp>
                        <wpg:grpSp>
                          <wpg:cNvPr id="15" name="Group 15"/>
                          <wpg:cNvGrpSpPr/>
                          <wpg:grpSpPr>
                            <a:xfrm>
                              <a:off x="742950" y="714325"/>
                              <a:ext cx="3917950" cy="874445"/>
                              <a:chOff x="0" y="-50"/>
                              <a:chExt cx="3917950" cy="874445"/>
                            </a:xfrm>
                          </wpg:grpSpPr>
                          <wps:wsp>
                            <wps:cNvPr id="291" name="Straight Connector 291"/>
                            <wps:cNvCnPr/>
                            <wps:spPr>
                              <a:xfrm>
                                <a:off x="1114425" y="0"/>
                                <a:ext cx="7620" cy="874395"/>
                              </a:xfrm>
                              <a:prstGeom prst="line">
                                <a:avLst/>
                              </a:prstGeom>
                              <a:noFill/>
                              <a:ln w="25400" cap="flat" cmpd="sng" algn="ctr">
                                <a:solidFill>
                                  <a:sysClr val="windowText" lastClr="000000"/>
                                </a:solidFill>
                                <a:prstDash val="solid"/>
                              </a:ln>
                              <a:effectLst/>
                            </wps:spPr>
                            <wps:bodyPr/>
                          </wps:wsp>
                          <wps:wsp>
                            <wps:cNvPr id="292" name="Freeform 292"/>
                            <wps:cNvSpPr/>
                            <wps:spPr>
                              <a:xfrm>
                                <a:off x="0" y="228600"/>
                                <a:ext cx="3917950" cy="241300"/>
                              </a:xfrm>
                              <a:custGeom>
                                <a:avLst/>
                                <a:gdLst>
                                  <a:gd name="connsiteX0" fmla="*/ 0 w 3918214"/>
                                  <a:gd name="connsiteY0" fmla="*/ 241402 h 241402"/>
                                  <a:gd name="connsiteX1" fmla="*/ 212140 w 3918214"/>
                                  <a:gd name="connsiteY1" fmla="*/ 21946 h 241402"/>
                                  <a:gd name="connsiteX2" fmla="*/ 438912 w 3918214"/>
                                  <a:gd name="connsiteY2" fmla="*/ 234087 h 241402"/>
                                  <a:gd name="connsiteX3" fmla="*/ 658368 w 3918214"/>
                                  <a:gd name="connsiteY3" fmla="*/ 7315 h 241402"/>
                                  <a:gd name="connsiteX4" fmla="*/ 877824 w 3918214"/>
                                  <a:gd name="connsiteY4" fmla="*/ 219456 h 241402"/>
                                  <a:gd name="connsiteX5" fmla="*/ 1104595 w 3918214"/>
                                  <a:gd name="connsiteY5" fmla="*/ 14631 h 241402"/>
                                  <a:gd name="connsiteX6" fmla="*/ 1324051 w 3918214"/>
                                  <a:gd name="connsiteY6" fmla="*/ 219456 h 241402"/>
                                  <a:gd name="connsiteX7" fmla="*/ 1565452 w 3918214"/>
                                  <a:gd name="connsiteY7" fmla="*/ 43891 h 241402"/>
                                  <a:gd name="connsiteX8" fmla="*/ 1777593 w 3918214"/>
                                  <a:gd name="connsiteY8" fmla="*/ 219456 h 241402"/>
                                  <a:gd name="connsiteX9" fmla="*/ 2062886 w 3918214"/>
                                  <a:gd name="connsiteY9" fmla="*/ 21946 h 241402"/>
                                  <a:gd name="connsiteX10" fmla="*/ 2267712 w 3918214"/>
                                  <a:gd name="connsiteY10" fmla="*/ 212141 h 241402"/>
                                  <a:gd name="connsiteX11" fmla="*/ 2545689 w 3918214"/>
                                  <a:gd name="connsiteY11" fmla="*/ 21946 h 241402"/>
                                  <a:gd name="connsiteX12" fmla="*/ 2801721 w 3918214"/>
                                  <a:gd name="connsiteY12" fmla="*/ 204826 h 241402"/>
                                  <a:gd name="connsiteX13" fmla="*/ 3108960 w 3918214"/>
                                  <a:gd name="connsiteY13" fmla="*/ 36576 h 241402"/>
                                  <a:gd name="connsiteX14" fmla="*/ 3357676 w 3918214"/>
                                  <a:gd name="connsiteY14" fmla="*/ 182880 h 241402"/>
                                  <a:gd name="connsiteX15" fmla="*/ 3672230 w 3918214"/>
                                  <a:gd name="connsiteY15" fmla="*/ 0 h 241402"/>
                                  <a:gd name="connsiteX16" fmla="*/ 3891686 w 3918214"/>
                                  <a:gd name="connsiteY16" fmla="*/ 182880 h 241402"/>
                                  <a:gd name="connsiteX17" fmla="*/ 3906316 w 3918214"/>
                                  <a:gd name="connsiteY17" fmla="*/ 197511 h 2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918214" h="241402">
                                    <a:moveTo>
                                      <a:pt x="0" y="241402"/>
                                    </a:moveTo>
                                    <a:cubicBezTo>
                                      <a:pt x="69494" y="132283"/>
                                      <a:pt x="138988" y="23165"/>
                                      <a:pt x="212140" y="21946"/>
                                    </a:cubicBezTo>
                                    <a:cubicBezTo>
                                      <a:pt x="285292" y="20727"/>
                                      <a:pt x="364541" y="236525"/>
                                      <a:pt x="438912" y="234087"/>
                                    </a:cubicBezTo>
                                    <a:cubicBezTo>
                                      <a:pt x="513283" y="231648"/>
                                      <a:pt x="585216" y="9753"/>
                                      <a:pt x="658368" y="7315"/>
                                    </a:cubicBezTo>
                                    <a:cubicBezTo>
                                      <a:pt x="731520" y="4876"/>
                                      <a:pt x="803453" y="218237"/>
                                      <a:pt x="877824" y="219456"/>
                                    </a:cubicBezTo>
                                    <a:cubicBezTo>
                                      <a:pt x="952195" y="220675"/>
                                      <a:pt x="1030224" y="14631"/>
                                      <a:pt x="1104595" y="14631"/>
                                    </a:cubicBezTo>
                                    <a:cubicBezTo>
                                      <a:pt x="1178966" y="14631"/>
                                      <a:pt x="1247242" y="214579"/>
                                      <a:pt x="1324051" y="219456"/>
                                    </a:cubicBezTo>
                                    <a:cubicBezTo>
                                      <a:pt x="1400860" y="224333"/>
                                      <a:pt x="1489862" y="43891"/>
                                      <a:pt x="1565452" y="43891"/>
                                    </a:cubicBezTo>
                                    <a:cubicBezTo>
                                      <a:pt x="1641042" y="43891"/>
                                      <a:pt x="1694687" y="223113"/>
                                      <a:pt x="1777593" y="219456"/>
                                    </a:cubicBezTo>
                                    <a:cubicBezTo>
                                      <a:pt x="1860499" y="215799"/>
                                      <a:pt x="1981200" y="23165"/>
                                      <a:pt x="2062886" y="21946"/>
                                    </a:cubicBezTo>
                                    <a:cubicBezTo>
                                      <a:pt x="2144572" y="20727"/>
                                      <a:pt x="2187245" y="212141"/>
                                      <a:pt x="2267712" y="212141"/>
                                    </a:cubicBezTo>
                                    <a:cubicBezTo>
                                      <a:pt x="2348179" y="212141"/>
                                      <a:pt x="2456688" y="23165"/>
                                      <a:pt x="2545689" y="21946"/>
                                    </a:cubicBezTo>
                                    <a:cubicBezTo>
                                      <a:pt x="2634690" y="20727"/>
                                      <a:pt x="2707843" y="202388"/>
                                      <a:pt x="2801721" y="204826"/>
                                    </a:cubicBezTo>
                                    <a:cubicBezTo>
                                      <a:pt x="2895599" y="207264"/>
                                      <a:pt x="3016301" y="40234"/>
                                      <a:pt x="3108960" y="36576"/>
                                    </a:cubicBezTo>
                                    <a:cubicBezTo>
                                      <a:pt x="3201619" y="32918"/>
                                      <a:pt x="3263798" y="188976"/>
                                      <a:pt x="3357676" y="182880"/>
                                    </a:cubicBezTo>
                                    <a:cubicBezTo>
                                      <a:pt x="3451554" y="176784"/>
                                      <a:pt x="3583228" y="0"/>
                                      <a:pt x="3672230" y="0"/>
                                    </a:cubicBezTo>
                                    <a:cubicBezTo>
                                      <a:pt x="3761232" y="0"/>
                                      <a:pt x="3852672" y="149962"/>
                                      <a:pt x="3891686" y="182880"/>
                                    </a:cubicBezTo>
                                    <a:cubicBezTo>
                                      <a:pt x="3930700" y="215798"/>
                                      <a:pt x="3918508" y="206654"/>
                                      <a:pt x="3906316" y="197511"/>
                                    </a:cubicBezTo>
                                  </a:path>
                                </a:pathLst>
                              </a:cu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076325" y="-50"/>
                                <a:ext cx="493472" cy="306400"/>
                              </a:xfrm>
                              <a:prstGeom prst="rect">
                                <a:avLst/>
                              </a:prstGeom>
                              <a:noFill/>
                              <a:ln w="9525">
                                <a:noFill/>
                                <a:miter lim="800000"/>
                                <a:headEnd/>
                                <a:tailEnd/>
                              </a:ln>
                            </wps:spPr>
                            <wps:txbx>
                              <w:txbxContent>
                                <w:p w:rsidR="00AF0513" w:rsidRPr="00AF0513" w:rsidRDefault="00AF0513">
                                  <w:pPr>
                                    <w:rPr>
                                      <w:b/>
                                      <w:sz w:val="20"/>
                                    </w:rPr>
                                  </w:pPr>
                                  <w:r w:rsidRPr="00AF0513">
                                    <w:rPr>
                                      <w:b/>
                                      <w:sz w:val="20"/>
                                    </w:rPr>
                                    <w:t>99%</w:t>
                                  </w:r>
                                </w:p>
                              </w:txbxContent>
                            </wps:txbx>
                            <wps:bodyPr rot="0" vert="horz" wrap="square" lIns="91440" tIns="45720" rIns="91440" bIns="45720" anchor="t" anchorCtr="0">
                              <a:noAutofit/>
                            </wps:bodyPr>
                          </wps:wsp>
                        </wpg:grpSp>
                        <wpg:grpSp>
                          <wpg:cNvPr id="13" name="Group 13"/>
                          <wpg:cNvGrpSpPr/>
                          <wpg:grpSpPr>
                            <a:xfrm>
                              <a:off x="0" y="1409700"/>
                              <a:ext cx="5749290" cy="2571750"/>
                              <a:chOff x="0" y="0"/>
                              <a:chExt cx="5749290" cy="2571750"/>
                            </a:xfrm>
                          </wpg:grpSpPr>
                          <wpg:grpSp>
                            <wpg:cNvPr id="12" name="Group 12"/>
                            <wpg:cNvGrpSpPr/>
                            <wpg:grpSpPr>
                              <a:xfrm>
                                <a:off x="3095625" y="1895475"/>
                                <a:ext cx="1515109" cy="451484"/>
                                <a:chOff x="0" y="0"/>
                                <a:chExt cx="1515109" cy="451484"/>
                              </a:xfrm>
                            </wpg:grpSpPr>
                            <wps:wsp>
                              <wps:cNvPr id="316" name="Right Arrow 316"/>
                              <wps:cNvSpPr/>
                              <wps:spPr>
                                <a:xfrm rot="10800000">
                                  <a:off x="0" y="47625"/>
                                  <a:ext cx="504825" cy="323850"/>
                                </a:xfrm>
                                <a:prstGeom prst="rightArrow">
                                  <a:avLst/>
                                </a:prstGeom>
                                <a:solidFill>
                                  <a:sysClr val="window" lastClr="FFFFFF">
                                    <a:lumMod val="6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Text Box 2"/>
                              <wps:cNvSpPr txBox="1">
                                <a:spLocks noChangeArrowheads="1"/>
                              </wps:cNvSpPr>
                              <wps:spPr bwMode="auto">
                                <a:xfrm>
                                  <a:off x="523875" y="0"/>
                                  <a:ext cx="991234" cy="451484"/>
                                </a:xfrm>
                                <a:prstGeom prst="rect">
                                  <a:avLst/>
                                </a:prstGeom>
                                <a:noFill/>
                                <a:ln w="9525">
                                  <a:noFill/>
                                  <a:miter lim="800000"/>
                                  <a:headEnd/>
                                  <a:tailEnd/>
                                </a:ln>
                              </wps:spPr>
                              <wps:txbx>
                                <w:txbxContent>
                                  <w:p w:rsidR="00AF0513" w:rsidRPr="00904112" w:rsidRDefault="00AF0513" w:rsidP="00AF0513">
                                    <w:pPr>
                                      <w:rPr>
                                        <w:b/>
                                      </w:rPr>
                                    </w:pPr>
                                    <w:r>
                                      <w:rPr>
                                        <w:b/>
                                      </w:rPr>
                                      <w:t>Operating income</w:t>
                                    </w:r>
                                  </w:p>
                                </w:txbxContent>
                              </wps:txbx>
                              <wps:bodyPr rot="0" vert="horz" wrap="square" lIns="91440" tIns="45720" rIns="91440" bIns="45720" anchor="t" anchorCtr="0">
                                <a:noAutofit/>
                              </wps:bodyPr>
                            </wps:wsp>
                          </wpg:grpSp>
                          <wpg:grpSp>
                            <wpg:cNvPr id="11" name="Group 11"/>
                            <wpg:cNvGrpSpPr/>
                            <wpg:grpSpPr>
                              <a:xfrm>
                                <a:off x="0" y="0"/>
                                <a:ext cx="5749290" cy="2571750"/>
                                <a:chOff x="0" y="0"/>
                                <a:chExt cx="5749290" cy="2571750"/>
                              </a:xfrm>
                            </wpg:grpSpPr>
                            <wps:wsp>
                              <wps:cNvPr id="294" name="Rectangle 294"/>
                              <wps:cNvSpPr/>
                              <wps:spPr>
                                <a:xfrm>
                                  <a:off x="4286250" y="180975"/>
                                  <a:ext cx="1463040" cy="707390"/>
                                </a:xfrm>
                                <a:prstGeom prst="rect">
                                  <a:avLst/>
                                </a:prstGeom>
                                <a:solidFill>
                                  <a:sysClr val="window" lastClr="FFFFFF"/>
                                </a:solidFill>
                                <a:ln w="25400" cap="flat" cmpd="sng" algn="ctr">
                                  <a:solidFill>
                                    <a:sysClr val="windowText" lastClr="000000"/>
                                  </a:solidFill>
                                  <a:prstDash val="solid"/>
                                </a:ln>
                                <a:effectLst/>
                              </wps:spPr>
                              <wps:txbx>
                                <w:txbxContent>
                                  <w:p w:rsidR="00AF0513" w:rsidRPr="001616F5" w:rsidRDefault="00AF0513" w:rsidP="00AF0513">
                                    <w:pPr>
                                      <w:jc w:val="center"/>
                                      <w:rPr>
                                        <w:b/>
                                        <w:color w:val="000000" w:themeColor="text1"/>
                                      </w:rPr>
                                    </w:pPr>
                                    <w:r>
                                      <w:rPr>
                                        <w:b/>
                                        <w:color w:val="000000" w:themeColor="text1"/>
                                      </w:rPr>
                                      <w:t>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2628900" y="0"/>
                                  <a:ext cx="1549730" cy="548143"/>
                                  <a:chOff x="0" y="0"/>
                                  <a:chExt cx="1549730" cy="548143"/>
                                </a:xfrm>
                              </wpg:grpSpPr>
                              <wps:wsp>
                                <wps:cNvPr id="297" name="Freeform 297"/>
                                <wps:cNvSpPr/>
                                <wps:spPr>
                                  <a:xfrm>
                                    <a:off x="0" y="285750"/>
                                    <a:ext cx="1549730" cy="262393"/>
                                  </a:xfrm>
                                  <a:custGeom>
                                    <a:avLst/>
                                    <a:gdLst>
                                      <a:gd name="connsiteX0" fmla="*/ 0 w 2059388"/>
                                      <a:gd name="connsiteY0" fmla="*/ 262393 h 262393"/>
                                      <a:gd name="connsiteX1" fmla="*/ 1049572 w 2059388"/>
                                      <a:gd name="connsiteY1" fmla="*/ 0 h 262393"/>
                                      <a:gd name="connsiteX2" fmla="*/ 2059388 w 2059388"/>
                                      <a:gd name="connsiteY2" fmla="*/ 262393 h 262393"/>
                                      <a:gd name="connsiteX3" fmla="*/ 2059388 w 2059388"/>
                                      <a:gd name="connsiteY3" fmla="*/ 262393 h 262393"/>
                                      <a:gd name="connsiteX4" fmla="*/ 2059388 w 2059388"/>
                                      <a:gd name="connsiteY4" fmla="*/ 262393 h 2623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59388" h="262393">
                                        <a:moveTo>
                                          <a:pt x="0" y="262393"/>
                                        </a:moveTo>
                                        <a:cubicBezTo>
                                          <a:pt x="353170" y="131196"/>
                                          <a:pt x="706341" y="0"/>
                                          <a:pt x="1049572" y="0"/>
                                        </a:cubicBezTo>
                                        <a:cubicBezTo>
                                          <a:pt x="1392803" y="0"/>
                                          <a:pt x="2059388" y="262393"/>
                                          <a:pt x="2059388" y="262393"/>
                                        </a:cubicBezTo>
                                        <a:lnTo>
                                          <a:pt x="2059388" y="262393"/>
                                        </a:lnTo>
                                        <a:lnTo>
                                          <a:pt x="2059388" y="262393"/>
                                        </a:lnTo>
                                      </a:path>
                                    </a:pathLst>
                                  </a:cu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
                                <wps:cNvSpPr txBox="1">
                                  <a:spLocks noChangeArrowheads="1"/>
                                </wps:cNvSpPr>
                                <wps:spPr bwMode="auto">
                                  <a:xfrm>
                                    <a:off x="380919" y="0"/>
                                    <a:ext cx="1104899" cy="276224"/>
                                  </a:xfrm>
                                  <a:prstGeom prst="rect">
                                    <a:avLst/>
                                  </a:prstGeom>
                                  <a:noFill/>
                                  <a:ln w="9525">
                                    <a:noFill/>
                                    <a:miter lim="800000"/>
                                    <a:headEnd/>
                                    <a:tailEnd/>
                                  </a:ln>
                                </wps:spPr>
                                <wps:txbx>
                                  <w:txbxContent>
                                    <w:p w:rsidR="00AF0513" w:rsidRPr="00904112" w:rsidRDefault="00AF0513" w:rsidP="00AF0513">
                                      <w:pPr>
                                        <w:rPr>
                                          <w:b/>
                                        </w:rPr>
                                      </w:pPr>
                                      <w:r>
                                        <w:rPr>
                                          <w:b/>
                                        </w:rPr>
                                        <w:t>Interest</w:t>
                                      </w:r>
                                    </w:p>
                                  </w:txbxContent>
                                </wps:txbx>
                                <wps:bodyPr rot="0" vert="horz" wrap="square" lIns="91440" tIns="45720" rIns="91440" bIns="45720" anchor="t" anchorCtr="0">
                                  <a:noAutofit/>
                                </wps:bodyPr>
                              </wps:wsp>
                            </wpg:grpSp>
                            <wpg:grpSp>
                              <wpg:cNvPr id="6" name="Group 6"/>
                              <wpg:cNvGrpSpPr/>
                              <wpg:grpSpPr>
                                <a:xfrm>
                                  <a:off x="2085975" y="904875"/>
                                  <a:ext cx="3065145" cy="572135"/>
                                  <a:chOff x="0" y="0"/>
                                  <a:chExt cx="3065145" cy="572135"/>
                                </a:xfrm>
                              </wpg:grpSpPr>
                              <wpg:grpSp>
                                <wpg:cNvPr id="355" name="Group 355"/>
                                <wpg:cNvGrpSpPr/>
                                <wpg:grpSpPr>
                                  <a:xfrm>
                                    <a:off x="0" y="152400"/>
                                    <a:ext cx="226772" cy="175455"/>
                                    <a:chOff x="0" y="0"/>
                                    <a:chExt cx="226772" cy="175565"/>
                                  </a:xfrm>
                                </wpg:grpSpPr>
                                <wps:wsp>
                                  <wps:cNvPr id="309" name="Oval 309"/>
                                  <wps:cNvSpPr/>
                                  <wps:spPr>
                                    <a:xfrm>
                                      <a:off x="0" y="0"/>
                                      <a:ext cx="226772" cy="175565"/>
                                    </a:xfrm>
                                    <a:prstGeom prst="ellipse">
                                      <a:avLst/>
                                    </a:prstGeom>
                                    <a:solidFill>
                                      <a:sysClr val="window" lastClr="FFFFFF"/>
                                    </a:solidFill>
                                    <a:ln w="25400" cap="flat" cmpd="sng" algn="ctr">
                                      <a:solidFill>
                                        <a:sysClr val="windowText" lastClr="000000"/>
                                      </a:solidFill>
                                      <a:prstDash val="solid"/>
                                    </a:ln>
                                    <a:effectLst/>
                                  </wps:spPr>
                                  <wps:txbx>
                                    <w:txbxContent>
                                      <w:p w:rsidR="00AF0513" w:rsidRDefault="00AF0513" w:rsidP="00AF051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2" name="Straight Connector 312"/>
                                  <wps:cNvCnPr/>
                                  <wps:spPr>
                                    <a:xfrm>
                                      <a:off x="66675" y="85725"/>
                                      <a:ext cx="94615" cy="0"/>
                                    </a:xfrm>
                                    <a:prstGeom prst="line">
                                      <a:avLst/>
                                    </a:prstGeom>
                                    <a:noFill/>
                                    <a:ln w="19050" cap="flat" cmpd="sng" algn="ctr">
                                      <a:solidFill>
                                        <a:sysClr val="windowText" lastClr="000000"/>
                                      </a:solidFill>
                                      <a:prstDash val="solid"/>
                                    </a:ln>
                                    <a:effectLst/>
                                  </wps:spPr>
                                  <wps:bodyPr/>
                                </wps:wsp>
                              </wpg:grpSp>
                              <wpg:grpSp>
                                <wpg:cNvPr id="354" name="Group 354"/>
                                <wpg:cNvGrpSpPr/>
                                <wpg:grpSpPr>
                                  <a:xfrm>
                                    <a:off x="2838450" y="123658"/>
                                    <a:ext cx="226695" cy="204016"/>
                                    <a:chOff x="0" y="-167"/>
                                    <a:chExt cx="226695" cy="204144"/>
                                  </a:xfrm>
                                </wpg:grpSpPr>
                                <wps:wsp>
                                  <wps:cNvPr id="308" name="Oval 308"/>
                                  <wps:cNvSpPr/>
                                  <wps:spPr>
                                    <a:xfrm>
                                      <a:off x="0" y="-167"/>
                                      <a:ext cx="226695" cy="204144"/>
                                    </a:xfrm>
                                    <a:prstGeom prst="ellipse">
                                      <a:avLst/>
                                    </a:prstGeom>
                                    <a:solidFill>
                                      <a:sysClr val="window" lastClr="FFFFFF"/>
                                    </a:solidFill>
                                    <a:ln w="25400" cap="flat" cmpd="sng" algn="ctr">
                                      <a:solidFill>
                                        <a:sysClr val="windowText" lastClr="000000"/>
                                      </a:solidFill>
                                      <a:prstDash val="solid"/>
                                    </a:ln>
                                    <a:effectLst/>
                                  </wps:spPr>
                                  <wps:txbx>
                                    <w:txbxContent>
                                      <w:p w:rsidR="00AF0513" w:rsidRDefault="00AF0513" w:rsidP="00AF051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6" name="Straight Connector 306"/>
                                  <wps:cNvCnPr/>
                                  <wps:spPr>
                                    <a:xfrm>
                                      <a:off x="57150" y="85725"/>
                                      <a:ext cx="94615" cy="0"/>
                                    </a:xfrm>
                                    <a:prstGeom prst="line">
                                      <a:avLst/>
                                    </a:prstGeom>
                                    <a:noFill/>
                                    <a:ln w="19050" cap="flat" cmpd="sng" algn="ctr">
                                      <a:solidFill>
                                        <a:sysClr val="windowText" lastClr="000000"/>
                                      </a:solidFill>
                                      <a:prstDash val="solid"/>
                                    </a:ln>
                                    <a:effectLst/>
                                  </wps:spPr>
                                  <wps:bodyPr/>
                                </wps:wsp>
                                <wps:wsp>
                                  <wps:cNvPr id="305" name="Straight Connector 305"/>
                                  <wps:cNvCnPr/>
                                  <wps:spPr>
                                    <a:xfrm>
                                      <a:off x="104775" y="28575"/>
                                      <a:ext cx="0" cy="123825"/>
                                    </a:xfrm>
                                    <a:prstGeom prst="line">
                                      <a:avLst/>
                                    </a:prstGeom>
                                    <a:noFill/>
                                    <a:ln w="19050" cap="flat" cmpd="sng" algn="ctr">
                                      <a:solidFill>
                                        <a:sysClr val="windowText" lastClr="000000"/>
                                      </a:solidFill>
                                      <a:prstDash val="solid"/>
                                    </a:ln>
                                    <a:effectLst/>
                                  </wps:spPr>
                                  <wps:bodyPr/>
                                </wps:wsp>
                              </wpg:grpSp>
                              <wps:wsp>
                                <wps:cNvPr id="311" name="Text Box 2"/>
                                <wps:cNvSpPr txBox="1">
                                  <a:spLocks noChangeArrowheads="1"/>
                                </wps:cNvSpPr>
                                <wps:spPr bwMode="auto">
                                  <a:xfrm>
                                    <a:off x="1066800" y="276225"/>
                                    <a:ext cx="1105534" cy="276224"/>
                                  </a:xfrm>
                                  <a:prstGeom prst="rect">
                                    <a:avLst/>
                                  </a:prstGeom>
                                  <a:noFill/>
                                  <a:ln w="9525">
                                    <a:noFill/>
                                    <a:miter lim="800000"/>
                                    <a:headEnd/>
                                    <a:tailEnd/>
                                  </a:ln>
                                </wps:spPr>
                                <wps:txbx>
                                  <w:txbxContent>
                                    <w:p w:rsidR="00AF0513" w:rsidRPr="00904112" w:rsidRDefault="00AF0513" w:rsidP="00AF0513">
                                      <w:pPr>
                                        <w:rPr>
                                          <w:b/>
                                        </w:rPr>
                                      </w:pPr>
                                      <w:r>
                                        <w:rPr>
                                          <w:b/>
                                        </w:rPr>
                                        <w:t>Loan</w:t>
                                      </w:r>
                                    </w:p>
                                  </w:txbxContent>
                                </wps:txbx>
                                <wps:bodyPr rot="0" vert="horz" wrap="square" lIns="91440" tIns="45720" rIns="91440" bIns="45720" anchor="t" anchorCtr="0">
                                  <a:noAutofit/>
                                </wps:bodyPr>
                              </wps:wsp>
                              <wps:wsp>
                                <wps:cNvPr id="302" name="Straight Connector 302"/>
                                <wps:cNvCnPr/>
                                <wps:spPr>
                                  <a:xfrm>
                                    <a:off x="314325" y="0"/>
                                    <a:ext cx="0" cy="572135"/>
                                  </a:xfrm>
                                  <a:prstGeom prst="line">
                                    <a:avLst/>
                                  </a:prstGeom>
                                  <a:noFill/>
                                  <a:ln w="19050" cap="flat" cmpd="sng" algn="ctr">
                                    <a:solidFill>
                                      <a:sysClr val="windowText" lastClr="000000"/>
                                    </a:solidFill>
                                    <a:prstDash val="solid"/>
                                  </a:ln>
                                  <a:effectLst/>
                                </wps:spPr>
                                <wps:bodyPr/>
                              </wps:wsp>
                              <wps:wsp>
                                <wps:cNvPr id="301" name="Straight Connector 301"/>
                                <wps:cNvCnPr/>
                                <wps:spPr>
                                  <a:xfrm>
                                    <a:off x="2714625" y="0"/>
                                    <a:ext cx="0" cy="572135"/>
                                  </a:xfrm>
                                  <a:prstGeom prst="line">
                                    <a:avLst/>
                                  </a:prstGeom>
                                  <a:noFill/>
                                  <a:ln w="19050" cap="flat" cmpd="sng" algn="ctr">
                                    <a:solidFill>
                                      <a:sysClr val="windowText" lastClr="000000"/>
                                    </a:solidFill>
                                    <a:prstDash val="solid"/>
                                  </a:ln>
                                  <a:effectLst/>
                                </wps:spPr>
                                <wps:bodyPr/>
                              </wps:wsp>
                              <wps:wsp>
                                <wps:cNvPr id="313" name="Straight Connector 313"/>
                                <wps:cNvCnPr/>
                                <wps:spPr>
                                  <a:xfrm>
                                    <a:off x="314325" y="571500"/>
                                    <a:ext cx="2401184" cy="0"/>
                                  </a:xfrm>
                                  <a:prstGeom prst="line">
                                    <a:avLst/>
                                  </a:prstGeom>
                                  <a:noFill/>
                                  <a:ln w="19050" cap="flat" cmpd="sng" algn="ctr">
                                    <a:solidFill>
                                      <a:sysClr val="windowText" lastClr="000000"/>
                                    </a:solidFill>
                                    <a:prstDash val="solid"/>
                                  </a:ln>
                                  <a:effectLst/>
                                </wps:spPr>
                                <wps:bodyPr/>
                              </wps:wsp>
                            </wpg:grpSp>
                            <wpg:grpSp>
                              <wpg:cNvPr id="10" name="Group 10"/>
                              <wpg:cNvGrpSpPr/>
                              <wpg:grpSpPr>
                                <a:xfrm>
                                  <a:off x="0" y="200025"/>
                                  <a:ext cx="1143000" cy="497840"/>
                                  <a:chOff x="0" y="0"/>
                                  <a:chExt cx="1143000" cy="497840"/>
                                </a:xfrm>
                              </wpg:grpSpPr>
                              <wps:wsp>
                                <wps:cNvPr id="36" name="Rectangle 36"/>
                                <wps:cNvSpPr/>
                                <wps:spPr>
                                  <a:xfrm>
                                    <a:off x="0" y="0"/>
                                    <a:ext cx="742950" cy="497840"/>
                                  </a:xfrm>
                                  <a:prstGeom prst="rect">
                                    <a:avLst/>
                                  </a:prstGeom>
                                  <a:solidFill>
                                    <a:schemeClr val="bg1"/>
                                  </a:solidFill>
                                  <a:ln w="25400" cap="flat" cmpd="sng" algn="ctr">
                                    <a:solidFill>
                                      <a:sysClr val="windowText" lastClr="000000"/>
                                    </a:solidFill>
                                    <a:prstDash val="solid"/>
                                  </a:ln>
                                  <a:effectLst/>
                                </wps:spPr>
                                <wps:txbx>
                                  <w:txbxContent>
                                    <w:p w:rsidR="00AF0513" w:rsidRPr="00AF0513" w:rsidRDefault="00AF0513" w:rsidP="00AF0513">
                                      <w:pPr>
                                        <w:jc w:val="center"/>
                                        <w:rPr>
                                          <w:color w:val="000000" w:themeColor="text1"/>
                                          <w:sz w:val="20"/>
                                        </w:rPr>
                                      </w:pPr>
                                      <w:r w:rsidRPr="00AF0513">
                                        <w:rPr>
                                          <w:color w:val="000000" w:themeColor="text1"/>
                                          <w:sz w:val="20"/>
                                        </w:rPr>
                                        <w:t xml:space="preserve">General </w:t>
                                      </w:r>
                                      <w:r w:rsidR="005C2719">
                                        <w:rPr>
                                          <w:color w:val="000000" w:themeColor="text1"/>
                                          <w:sz w:val="20"/>
                                        </w:rPr>
                                        <w:t>p</w:t>
                                      </w:r>
                                      <w:r w:rsidRPr="00AF0513">
                                        <w:rPr>
                                          <w:color w:val="000000" w:themeColor="text1"/>
                                          <w:sz w:val="20"/>
                                        </w:rPr>
                                        <w:t>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Connector 37"/>
                                <wps:cNvCnPr/>
                                <wps:spPr>
                                  <a:xfrm>
                                    <a:off x="742950" y="238125"/>
                                    <a:ext cx="400050" cy="94615"/>
                                  </a:xfrm>
                                  <a:prstGeom prst="line">
                                    <a:avLst/>
                                  </a:prstGeom>
                                  <a:noFill/>
                                  <a:ln w="25400" cap="flat" cmpd="sng" algn="ctr">
                                    <a:solidFill>
                                      <a:sysClr val="windowText" lastClr="000000"/>
                                    </a:solidFill>
                                    <a:prstDash val="solid"/>
                                  </a:ln>
                                  <a:effectLst/>
                                </wps:spPr>
                                <wps:bodyPr/>
                              </wps:wsp>
                              <wps:wsp>
                                <wps:cNvPr id="2" name="Text Box 2"/>
                                <wps:cNvSpPr txBox="1">
                                  <a:spLocks noChangeArrowheads="1"/>
                                </wps:cNvSpPr>
                                <wps:spPr bwMode="auto">
                                  <a:xfrm>
                                    <a:off x="685800" y="9525"/>
                                    <a:ext cx="457200" cy="247650"/>
                                  </a:xfrm>
                                  <a:prstGeom prst="rect">
                                    <a:avLst/>
                                  </a:prstGeom>
                                  <a:noFill/>
                                  <a:ln w="9525">
                                    <a:noFill/>
                                    <a:miter lim="800000"/>
                                    <a:headEnd/>
                                    <a:tailEnd/>
                                  </a:ln>
                                </wps:spPr>
                                <wps:txbx>
                                  <w:txbxContent>
                                    <w:p w:rsidR="00AF0513" w:rsidRPr="00AF0513" w:rsidRDefault="00AF0513" w:rsidP="00AF0513">
                                      <w:pPr>
                                        <w:rPr>
                                          <w:b/>
                                          <w:sz w:val="20"/>
                                        </w:rPr>
                                      </w:pPr>
                                      <w:r>
                                        <w:rPr>
                                          <w:b/>
                                          <w:sz w:val="20"/>
                                        </w:rPr>
                                        <w:t>1</w:t>
                                      </w:r>
                                      <w:r w:rsidRPr="00AF0513">
                                        <w:rPr>
                                          <w:b/>
                                          <w:sz w:val="20"/>
                                        </w:rPr>
                                        <w:t>%</w:t>
                                      </w:r>
                                    </w:p>
                                  </w:txbxContent>
                                </wps:txbx>
                                <wps:bodyPr rot="0" vert="horz" wrap="square" lIns="91440" tIns="45720" rIns="91440" bIns="45720" anchor="t" anchorCtr="0">
                                  <a:noAutofit/>
                                </wps:bodyPr>
                              </wps:wsp>
                            </wpg:grpSp>
                            <wpg:grpSp>
                              <wpg:cNvPr id="9" name="Group 9"/>
                              <wpg:cNvGrpSpPr/>
                              <wpg:grpSpPr>
                                <a:xfrm>
                                  <a:off x="1076325" y="76200"/>
                                  <a:ext cx="1647825" cy="2495550"/>
                                  <a:chOff x="0" y="0"/>
                                  <a:chExt cx="1647825" cy="2495550"/>
                                </a:xfrm>
                              </wpg:grpSpPr>
                              <wps:wsp>
                                <wps:cNvPr id="317" name="Rectangle 317"/>
                                <wps:cNvSpPr/>
                                <wps:spPr>
                                  <a:xfrm>
                                    <a:off x="76200" y="1704975"/>
                                    <a:ext cx="1463040" cy="707390"/>
                                  </a:xfrm>
                                  <a:prstGeom prst="rect">
                                    <a:avLst/>
                                  </a:prstGeom>
                                  <a:solidFill>
                                    <a:sysClr val="window" lastClr="FFFFFF"/>
                                  </a:solidFill>
                                  <a:ln w="25400" cap="flat" cmpd="sng" algn="ctr">
                                    <a:solidFill>
                                      <a:sysClr val="windowText" lastClr="000000"/>
                                    </a:solidFill>
                                    <a:prstDash val="solid"/>
                                  </a:ln>
                                  <a:effectLst/>
                                </wps:spPr>
                                <wps:txbx>
                                  <w:txbxContent>
                                    <w:p w:rsidR="00AF0513" w:rsidRPr="001616F5" w:rsidRDefault="00AF0513" w:rsidP="00AF0513">
                                      <w:pPr>
                                        <w:jc w:val="center"/>
                                        <w:rPr>
                                          <w:b/>
                                          <w:color w:val="000000" w:themeColor="text1"/>
                                        </w:rPr>
                                      </w:pPr>
                                      <w:proofErr w:type="spellStart"/>
                                      <w:r>
                                        <w:rPr>
                                          <w:b/>
                                          <w:color w:val="000000" w:themeColor="text1"/>
                                        </w:rPr>
                                        <w:t>Aus</w:t>
                                      </w:r>
                                      <w:proofErr w:type="spellEnd"/>
                                      <w:r>
                                        <w:rPr>
                                          <w:b/>
                                          <w:color w:val="000000" w:themeColor="text1"/>
                                        </w:rPr>
                                        <w:t xml:space="preserve"> 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Connector 303"/>
                                <wps:cNvCnPr/>
                                <wps:spPr>
                                  <a:xfrm>
                                    <a:off x="781050" y="828675"/>
                                    <a:ext cx="7620" cy="874395"/>
                                  </a:xfrm>
                                  <a:prstGeom prst="line">
                                    <a:avLst/>
                                  </a:prstGeom>
                                  <a:noFill/>
                                  <a:ln w="25400" cap="flat" cmpd="sng" algn="ctr">
                                    <a:solidFill>
                                      <a:sysClr val="windowText" lastClr="000000"/>
                                    </a:solidFill>
                                    <a:prstDash val="solid"/>
                                  </a:ln>
                                  <a:effectLst/>
                                </wps:spPr>
                                <wps:bodyPr/>
                              </wps:wsp>
                              <wpg:grpSp>
                                <wpg:cNvPr id="8" name="Group 8"/>
                                <wpg:cNvGrpSpPr/>
                                <wpg:grpSpPr>
                                  <a:xfrm>
                                    <a:off x="66675" y="104775"/>
                                    <a:ext cx="1463040" cy="716915"/>
                                    <a:chOff x="0" y="0"/>
                                    <a:chExt cx="1463040" cy="716915"/>
                                  </a:xfrm>
                                </wpg:grpSpPr>
                                <wps:wsp>
                                  <wps:cNvPr id="295" name="Rectangle 295"/>
                                  <wps:cNvSpPr/>
                                  <wps:spPr>
                                    <a:xfrm>
                                      <a:off x="0" y="0"/>
                                      <a:ext cx="1463040" cy="707390"/>
                                    </a:xfrm>
                                    <a:prstGeom prst="rect">
                                      <a:avLst/>
                                    </a:prstGeom>
                                    <a:solidFill>
                                      <a:sysClr val="window" lastClr="FFFFFF"/>
                                    </a:solidFill>
                                    <a:ln w="25400" cap="flat" cmpd="sng" algn="ctr">
                                      <a:solidFill>
                                        <a:sysClr val="windowText" lastClr="000000"/>
                                      </a:solidFill>
                                      <a:prstDash val="solid"/>
                                    </a:ln>
                                    <a:effectLst/>
                                  </wps:spPr>
                                  <wps:txbx>
                                    <w:txbxContent>
                                      <w:p w:rsidR="00AF0513" w:rsidRPr="001616F5" w:rsidRDefault="00AF0513" w:rsidP="00AF0513">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Isosceles Triangle 1"/>
                                  <wps:cNvSpPr/>
                                  <wps:spPr>
                                    <a:xfrm>
                                      <a:off x="0" y="0"/>
                                      <a:ext cx="1453515" cy="716915"/>
                                    </a:xfrm>
                                    <a:prstGeom prst="triangle">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0513" w:rsidRPr="00AF0513" w:rsidRDefault="00AF0513" w:rsidP="00AF0513">
                                        <w:pPr>
                                          <w:jc w:val="center"/>
                                          <w:rPr>
                                            <w:b/>
                                            <w:color w:val="000000" w:themeColor="text1"/>
                                          </w:rPr>
                                        </w:pPr>
                                        <w:r w:rsidRPr="00AF0513">
                                          <w:rPr>
                                            <w:b/>
                                            <w:color w:val="000000" w:themeColor="text1"/>
                                          </w:rPr>
                                          <w:t>ALP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Rectangle 5"/>
                                <wps:cNvSpPr/>
                                <wps:spPr>
                                  <a:xfrm>
                                    <a:off x="0" y="0"/>
                                    <a:ext cx="1647825" cy="249555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id="Group 18" o:spid="_x0000_s1026" style="position:absolute;margin-left:6.35pt;margin-top:7.95pt;width:421.5pt;height:289.6pt;z-index:251687936;mso-width-relative:margin;mso-height-relative:margin" coordsize="57492,3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">
                <v:shapetype id="_x0000_t32" coordsize="21600,21600" o:spt="32" o:oned="t" path="m,l21600,21600e" filled="f">
                  <v:path arrowok="t" fillok="f" o:connecttype="none"/>
                  <o:lock v:ext="edit" shapetype="t"/>
                </v:shapetype>
                <v:shape id="Straight Arrow Connector 300" o:spid="_x0000_s1027" type="#_x0000_t32" style="position:absolute;left:41624;top:19526;width:1346;height:6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AdtsUAAADcAAAADwAAAGRycy9kb3ducmV2LnhtbERPTWvCQBC9C/6HZQQvUje1UCV1E6yQ&#10;WmoPVj30OGTHJJqdjdmtpv313YPg8fG+52lnanGh1lWWFTyOIxDEudUVFwr2u+xhBsJ5ZI21ZVLw&#10;Sw7SpN+bY6ztlb/osvWFCCHsYlRQet/EUrq8JINubBviwB1sa9AH2BZSt3gN4aaWkyh6lgYrDg0l&#10;NrQsKT9tf4yC1+xjtP6eruT5c32c7TP397ba7JQaDrrFCwhPnb+Lb+53reApCvPDmXAEZ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AdtsUAAADcAAAADwAAAAAAAAAA&#10;AAAAAAChAgAAZHJzL2Rvd25yZXYueG1sUEsFBgAAAAAEAAQA+QAAAJMDAAAAAA==&#10;" strokecolor="windowText" strokeweight="1.5pt">
                  <v:stroke endarrow="open"/>
                </v:shape>
                <v:group id="Group 17" o:spid="_x0000_s1028" style="position:absolute;width:57492;height:39814" coordsize="57492,398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16" o:spid="_x0000_s1029" style="position:absolute;left:11525;width:33153;height:7073" coordsize="33153,7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288" o:spid="_x0000_s1030" style="position:absolute;width:14630;height:7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Cw8EA&#10;AADcAAAADwAAAGRycy9kb3ducmV2LnhtbERPTYvCMBC9C/6HMII3TRXRbtcoKgiye7IWz7PNbFts&#10;JqWJtu6vN4cFj4/3vd72phYPal1lWcFsGoEgzq2uuFCQXY6TGITzyBpry6TgSQ62m+FgjYm2HZ/p&#10;kfpChBB2CSoovW8SKV1ekkE3tQ1x4H5ta9AH2BZSt9iFcFPLeRQtpcGKQ0OJDR1Kym/p3Sj4Shcf&#10;2WrRyFlF1+xv//yJVt23UuNRv/sE4an3b/G/+6QVzOOwNpwJR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nwsPBAAAA3AAAAA8AAAAAAAAAAAAAAAAAmAIAAGRycy9kb3du&#10;cmV2LnhtbFBLBQYAAAAABAAEAPUAAACGAwAAAAA=&#10;" fillcolor="#d9d9d9" strokecolor="windowText" strokeweight="2pt">
                      <v:textbox>
                        <w:txbxContent>
                          <w:p w:rsidR="00DA6255" w:rsidRDefault="00AF0513" w:rsidP="00AF0513">
                            <w:pPr>
                              <w:jc w:val="center"/>
                              <w:rPr>
                                <w:b/>
                                <w:color w:val="000000" w:themeColor="text1"/>
                              </w:rPr>
                            </w:pPr>
                            <w:r w:rsidRPr="00AF0513">
                              <w:rPr>
                                <w:b/>
                                <w:color w:val="000000" w:themeColor="text1"/>
                              </w:rPr>
                              <w:t>NZ Co</w:t>
                            </w:r>
                            <w:r w:rsidR="00DA6255">
                              <w:rPr>
                                <w:b/>
                                <w:color w:val="000000" w:themeColor="text1"/>
                              </w:rPr>
                              <w:t xml:space="preserve"> </w:t>
                            </w:r>
                          </w:p>
                          <w:p w:rsidR="00AF0513" w:rsidRPr="00AF0513" w:rsidRDefault="005C2719" w:rsidP="00AF0513">
                            <w:pPr>
                              <w:jc w:val="center"/>
                              <w:rPr>
                                <w:b/>
                                <w:color w:val="000000" w:themeColor="text1"/>
                              </w:rPr>
                            </w:pPr>
                            <w:r>
                              <w:rPr>
                                <w:b/>
                                <w:color w:val="000000" w:themeColor="text1"/>
                              </w:rPr>
                              <w:t>(</w:t>
                            </w:r>
                            <w:proofErr w:type="gramStart"/>
                            <w:r>
                              <w:rPr>
                                <w:b/>
                                <w:color w:val="000000" w:themeColor="text1"/>
                              </w:rPr>
                              <w:t>the</w:t>
                            </w:r>
                            <w:proofErr w:type="gramEnd"/>
                            <w:r>
                              <w:rPr>
                                <w:b/>
                                <w:color w:val="000000" w:themeColor="text1"/>
                              </w:rPr>
                              <w:t xml:space="preserve"> l</w:t>
                            </w:r>
                            <w:r w:rsidR="00DA6255">
                              <w:rPr>
                                <w:b/>
                                <w:color w:val="000000" w:themeColor="text1"/>
                              </w:rPr>
                              <w:t>imited</w:t>
                            </w:r>
                            <w:r>
                              <w:rPr>
                                <w:b/>
                                <w:color w:val="000000" w:themeColor="text1"/>
                              </w:rPr>
                              <w:t xml:space="preserve"> p</w:t>
                            </w:r>
                            <w:r w:rsidR="00AF0513" w:rsidRPr="00AF0513">
                              <w:rPr>
                                <w:b/>
                                <w:color w:val="000000" w:themeColor="text1"/>
                              </w:rPr>
                              <w:t>artner</w:t>
                            </w:r>
                            <w:r w:rsidR="00DA6255">
                              <w:rPr>
                                <w:b/>
                                <w:color w:val="000000" w:themeColor="text1"/>
                              </w:rP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0" o:spid="_x0000_s1031" type="#_x0000_t13" style="position:absolute;left:18002;top:1619;width:5048;height:323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T8IA&#10;AADcAAAADwAAAGRycy9kb3ducmV2LnhtbERPy4rCMBTdC/MP4Q7MTlNlGLRjFB8IoihYXczy2lzb&#10;0uamNlE7f28WgsvDeY+nranEnRpXWFbQ70UgiFOrC84UnI6r7hCE88gaK8uk4J8cTCcfnTHG2j74&#10;QPfEZyKEsItRQe59HUvp0pwMup6tiQN3sY1BH2CTSd3gI4SbSg6i6EcaLDg05FjTIqe0TG5GwZ+5&#10;fuvN5lRe96WblfP+eal3W6W+PtvZLwhPrX+LX+61VjAYhfnhTDgCcvI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0zxPwgAAANwAAAAPAAAAAAAAAAAAAAAAAJgCAABkcnMvZG93&#10;bnJldi54bWxQSwUGAAAAAAQABAD1AAAAhwMAAAAA&#10;" adj="14672" fillcolor="#a6a6a6" strokecolor="#7f7f7f" strokeweight="2pt"/>
                    <v:shapetype id="_x0000_t202" coordsize="21600,21600" o:spt="202" path="m,l,21600r21600,l21600,xe">
                      <v:stroke joinstyle="miter"/>
                      <v:path gradientshapeok="t" o:connecttype="rect"/>
                    </v:shapetype>
                    <v:shape id="Text Box 2" o:spid="_x0000_s1032" type="#_x0000_t202" style="position:absolute;left:23241;top:1143;width:9912;height:5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zUW8MA&#10;AADcAAAADwAAAGRycy9kb3ducmV2LnhtbESPQYvCMBSE7wv+h/AEb2uiuItWo4gieFpZVwVvj+bZ&#10;FpuX0kRb/70RhD0OM/MNM1u0thR3qn3hWMOgr0AQp84UnGk4/G0+xyB8QDZYOiYND/KwmHc+ZpgY&#10;1/Av3fchExHCPkENeQhVIqVPc7Lo+64ijt7F1RZDlHUmTY1NhNtSDpX6lhYLjgs5VrTKKb3ub1bD&#10;8edyPo3ULlvbr6pxrZJsJ1LrXrddTkEEasN/+N3eGg3D8QR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zUW8MAAADcAAAADwAAAAAAAAAAAAAAAACYAgAAZHJzL2Rv&#10;d25yZXYueG1sUEsFBgAAAAAEAAQA9QAAAIgDAAAAAA==&#10;" filled="f" stroked="f">
                      <v:textbox>
                        <w:txbxContent>
                          <w:p w:rsidR="00AF0513" w:rsidRPr="00904112" w:rsidRDefault="00AF0513" w:rsidP="00AF0513">
                            <w:pPr>
                              <w:rPr>
                                <w:b/>
                              </w:rPr>
                            </w:pPr>
                            <w:r>
                              <w:rPr>
                                <w:b/>
                              </w:rPr>
                              <w:t>Operating income</w:t>
                            </w:r>
                          </w:p>
                        </w:txbxContent>
                      </v:textbox>
                    </v:shape>
                  </v:group>
                  <v:group id="Group 15" o:spid="_x0000_s1033" style="position:absolute;left:7429;top:7143;width:39180;height:8744" coordorigin="" coordsize="39179,8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291" o:spid="_x0000_s1034" style="position:absolute;visibility:visible;mso-wrap-style:square" from="11144,0" to="11220,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RKyMQAAADcAAAADwAAAGRycy9kb3ducmV2LnhtbESPS2/CMBCE75X4D9YicQMHDhQCBvGq&#10;yrGEhziu4iWJiNdR7JLw73ElpB5HM/ONZr5sTSkeVLvCsoLhIAJBnFpdcKbgdPzqT0A4j6yxtEwK&#10;nuRgueh8zDHWtuEDPRKfiQBhF6OC3PsqltKlORl0A1sRB+9ma4M+yDqTusYmwE0pR1E0lgYLDgs5&#10;VrTJKb0nv0aBXl/Pstg9vydjfb5c3efqR24bpXrddjUD4an1/+F3e68VjKZD+DsTjo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xErIxAAAANwAAAAPAAAAAAAAAAAA&#10;AAAAAKECAABkcnMvZG93bnJldi54bWxQSwUGAAAAAAQABAD5AAAAkgMAAAAA&#10;" strokecolor="windowText" strokeweight="2pt"/>
                    <v:shape id="Freeform 292" o:spid="_x0000_s1035" style="position:absolute;top:2286;width:39179;height:2413;visibility:visible;mso-wrap-style:square;v-text-anchor:middle" coordsize="3918214,24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xcQA&#10;AADcAAAADwAAAGRycy9kb3ducmV2LnhtbESPQWvCQBSE7wX/w/KE3urGiEWjq0ip0Fo8VMXzI/tM&#10;gtm3IfuM6b93C4Ueh5n5hlmue1erjtpQeTYwHiWgiHNvKy4MnI7blxmoIMgWa89k4IcCrFeDpyVm&#10;1t/5m7qDFCpCOGRooBRpMq1DXpLDMPINcfQuvnUoUbaFti3eI9zVOk2SV+2w4rhQYkNvJeXXw80Z&#10;sO8b2U/Os6/p7nOfUGdtN72JMc/DfrMAJdTLf/iv/WENpPMUfs/EI6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b/sXEAAAA3AAAAA8AAAAAAAAAAAAAAAAAmAIAAGRycy9k&#10;b3ducmV2LnhtbFBLBQYAAAAABAAEAPUAAACJAwAAAAA=&#10;" path="m,241402c69494,132283,138988,23165,212140,21946v73152,-1219,152401,214579,226772,212141c513283,231648,585216,9753,658368,7315,731520,4876,803453,218237,877824,219456v74371,1219,152400,-204825,226771,-204825c1178966,14631,1247242,214579,1324051,219456v76809,4877,165811,-175565,241401,-175565c1641042,43891,1694687,223113,1777593,219456v82906,-3657,203607,-196291,285293,-197510c2144572,20727,2187245,212141,2267712,212141v80467,,188976,-188976,277977,-190195c2634690,20727,2707843,202388,2801721,204826v93878,2438,214580,-164592,307239,-168250c3201619,32918,3263798,188976,3357676,182880,3451554,176784,3583228,,3672230,v89002,,180442,149962,219456,182880c3930700,215798,3918508,206654,3906316,197511e" filled="f" strokecolor="windowText" strokeweight="2pt">
                      <v:path arrowok="t" o:connecttype="custom" o:connectlocs="0,241300;212126,21937;438882,233988;658324,7312;877765,219363;1104521,14625;1323962,219363;1565347,43872;1777473,219363;2062747,21937;2267559,212051;2545517,21937;2801532,204739;3108751,36561;3357450,182803;3671983,0;3891424,182803;3906053,197428" o:connectangles="0,0,0,0,0,0,0,0,0,0,0,0,0,0,0,0,0,0"/>
                    </v:shape>
                    <v:shape id="Text Box 2" o:spid="_x0000_s1036" type="#_x0000_t202" style="position:absolute;left:10763;width:4934;height:3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AF0513" w:rsidRPr="00AF0513" w:rsidRDefault="00AF0513">
                            <w:pPr>
                              <w:rPr>
                                <w:b/>
                                <w:sz w:val="20"/>
                              </w:rPr>
                            </w:pPr>
                            <w:r w:rsidRPr="00AF0513">
                              <w:rPr>
                                <w:b/>
                                <w:sz w:val="20"/>
                              </w:rPr>
                              <w:t>99%</w:t>
                            </w:r>
                          </w:p>
                        </w:txbxContent>
                      </v:textbox>
                    </v:shape>
                  </v:group>
                  <v:group id="Group 13" o:spid="_x0000_s1037" style="position:absolute;top:14097;width:57492;height:25717" coordsize="57492,25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2" o:spid="_x0000_s1038" style="position:absolute;left:30956;top:18954;width:15151;height:4515" coordsize="15151,4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Right Arrow 316" o:spid="_x0000_s1039" type="#_x0000_t13" style="position:absolute;top:476;width:5048;height:323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NZ8YA&#10;AADcAAAADwAAAGRycy9kb3ducmV2LnhtbESPT2vCQBTE7wW/w/KE3nSTtojEbERbCsWi4J+Dx2f2&#10;mYRk38bsVtNv3xWEHoeZ+Q2TznvTiCt1rrKsIB5HIIhzqysuFBz2n6MpCOeRNTaWScEvOZhng6cU&#10;E21vvKXrzhciQNglqKD0vk2kdHlJBt3YtsTBO9vOoA+yK6Tu8BbgppEvUTSRBisOCyW29F5SXu9+&#10;jIKjubzp1epQXza1W9TL+PSh199KPQ/7xQyEp97/hx/tL63gNZ7A/U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QNZ8YAAADcAAAADwAAAAAAAAAAAAAAAACYAgAAZHJz&#10;L2Rvd25yZXYueG1sUEsFBgAAAAAEAAQA9QAAAIsDAAAAAA==&#10;" adj="14672" fillcolor="#a6a6a6" strokecolor="#7f7f7f" strokeweight="2pt"/>
                      <v:shape id="Text Box 2" o:spid="_x0000_s1040" type="#_x0000_t202" style="position:absolute;left:5238;width:9913;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AF0513" w:rsidRPr="00904112" w:rsidRDefault="00AF0513" w:rsidP="00AF0513">
                              <w:pPr>
                                <w:rPr>
                                  <w:b/>
                                </w:rPr>
                              </w:pPr>
                              <w:r>
                                <w:rPr>
                                  <w:b/>
                                </w:rPr>
                                <w:t>Operating income</w:t>
                              </w:r>
                            </w:p>
                          </w:txbxContent>
                        </v:textbox>
                      </v:shape>
                    </v:group>
                    <v:group id="Group 11" o:spid="_x0000_s1041" style="position:absolute;width:57492;height:25717" coordsize="57492,25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294" o:spid="_x0000_s1042" style="position:absolute;left:42862;top:1809;width:14630;height:7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1/cMA&#10;AADcAAAADwAAAGRycy9kb3ducmV2LnhtbESPQYvCMBCF7wv+hzALXmRNFVm0axQRBBEvVi/ehmY2&#10;LTaT0sS2/nsjCB4fb9735i3Xva1ES40vHSuYjBMQxLnTJRsFl/PuZw7CB2SNlWNS8CAP69Xga4mp&#10;dh2fqM2CERHCPkUFRQh1KqXPC7Lox64mjt6/ayyGKBsjdYNdhNtKTpPkV1osOTYUWNO2oPyW3W18&#10;YyQv+0ebyYO54aI+tt1hdDVKDb/7zR+IQH34HL/Te61gupjBa0wk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W1/cMAAADcAAAADwAAAAAAAAAAAAAAAACYAgAAZHJzL2Rv&#10;d25yZXYueG1sUEsFBgAAAAAEAAQA9QAAAIgDAAAAAA==&#10;" fillcolor="window" strokecolor="windowText" strokeweight="2pt">
                        <v:textbox>
                          <w:txbxContent>
                            <w:p w:rsidR="00AF0513" w:rsidRPr="001616F5" w:rsidRDefault="00AF0513" w:rsidP="00AF0513">
                              <w:pPr>
                                <w:jc w:val="center"/>
                                <w:rPr>
                                  <w:b/>
                                  <w:color w:val="000000" w:themeColor="text1"/>
                                </w:rPr>
                              </w:pPr>
                              <w:r>
                                <w:rPr>
                                  <w:b/>
                                  <w:color w:val="000000" w:themeColor="text1"/>
                                </w:rPr>
                                <w:t>Bank</w:t>
                              </w:r>
                            </w:p>
                          </w:txbxContent>
                        </v:textbox>
                      </v:rect>
                      <v:group id="Group 7" o:spid="_x0000_s1043" style="position:absolute;left:26289;width:15497;height:5481" coordsize="15497,5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97" o:spid="_x0000_s1044" style="position:absolute;top:2857;width:15497;height:2624;visibility:visible;mso-wrap-style:square;v-text-anchor:middle" coordsize="2059388,262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C9cUA&#10;AADcAAAADwAAAGRycy9kb3ducmV2LnhtbESP0WrCQBRE34X+w3ILfZG6MRC1qasE24J9EmM/4JK9&#10;TUKzd2N2TdJ+vVsQfBxm5gyz3o6mET11rrasYD6LQBAXVtdcKvg6fTyvQDiPrLGxTAp+ycF28zBZ&#10;Y6rtwEfqc1+KAGGXooLK+zaV0hUVGXQz2xIH79t2Bn2QXSl1h0OAm0bGUbSQBmsOCxW2tKuo+Mkv&#10;RsGUk7fP/i97P5jlaYq+aPMzJUo9PY7ZKwhPo7+Hb+29VhC/LOH/TDg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gL1xQAAANwAAAAPAAAAAAAAAAAAAAAAAJgCAABkcnMv&#10;ZG93bnJldi54bWxQSwUGAAAAAAQABAD1AAAAigMAAAAA&#10;" path="m,262393c353170,131196,706341,,1049572,v343231,,1009816,262393,1009816,262393l2059388,262393r,e" filled="f" strokecolor="windowText" strokeweight="2pt">
                          <v:path arrowok="t" o:connecttype="custom" o:connectlocs="0,262393;789824,0;1549730,262393;1549730,262393;1549730,262393" o:connectangles="0,0,0,0,0"/>
                        </v:shape>
                        <v:shape id="Text Box 2" o:spid="_x0000_s1045" type="#_x0000_t202" style="position:absolute;left:3809;width:1104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AF0513" w:rsidRPr="00904112" w:rsidRDefault="00AF0513" w:rsidP="00AF0513">
                                <w:pPr>
                                  <w:rPr>
                                    <w:b/>
                                  </w:rPr>
                                </w:pPr>
                                <w:r>
                                  <w:rPr>
                                    <w:b/>
                                  </w:rPr>
                                  <w:t>Interest</w:t>
                                </w:r>
                              </w:p>
                            </w:txbxContent>
                          </v:textbox>
                        </v:shape>
                      </v:group>
                      <v:group id="Group 6" o:spid="_x0000_s1046" style="position:absolute;left:20859;top:9048;width:30652;height:5722" coordsize="30651,5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355" o:spid="_x0000_s1047" style="position:absolute;top:1524;width:2267;height:1754" coordsize="226772,175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oval id="Oval 309" o:spid="_x0000_s1048" style="position:absolute;width:226772;height:175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v/cYA&#10;AADcAAAADwAAAGRycy9kb3ducmV2LnhtbESPQWvCQBSE7wX/w/IEL0U3Uag2dZVWKQg9Nebg8ZF9&#10;TUKzb2N2dVN/vVso9DjMzDfMejuYVlypd41lBeksAUFcWt1wpaA4vk9XIJxH1thaJgU/5GC7GT2s&#10;MdM28Cddc1+JCGGXoYLa+y6T0pU1GXQz2xFH78v2Bn2UfSV1jyHCTSvnSfIkDTYcF2rsaFdT+Z1f&#10;jILG5yEs7fnttEyLNDye9/Pi46bUZDy8voDwNPj/8F/7oBUskmf4PROPgN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Gv/cYAAADcAAAADwAAAAAAAAAAAAAAAACYAgAAZHJz&#10;L2Rvd25yZXYueG1sUEsFBgAAAAAEAAQA9QAAAIsDAAAAAA==&#10;" fillcolor="window" strokecolor="windowText" strokeweight="2pt">
                            <v:textbox inset="0,0,0,0">
                              <w:txbxContent>
                                <w:p w:rsidR="00AF0513" w:rsidRDefault="00AF0513" w:rsidP="00AF0513">
                                  <w:pPr>
                                    <w:jc w:val="center"/>
                                  </w:pPr>
                                </w:p>
                              </w:txbxContent>
                            </v:textbox>
                          </v:oval>
                          <v:line id="Straight Connector 312" o:spid="_x0000_s1049" style="position:absolute;visibility:visible;mso-wrap-style:square" from="66675,85725" to="161290,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6e5sQAAADcAAAADwAAAGRycy9kb3ducmV2LnhtbESPQWvCQBSE70L/w/IK3nQTRWNTV0mL&#10;iiAUqqXnR/Y1Cc2+DdnVxH/vCoLHYWa+YZbr3tTiQq2rLCuIxxEI4tzqigsFP6ftaAHCeWSNtWVS&#10;cCUH69XLYImpth1/0+XoCxEg7FJUUHrfpFK6vCSDbmwb4uD92dagD7ItpG6xC3BTy0kUzaXBisNC&#10;iQ19lpT/H89Gwcx8JIfutHubZ5vEkP+NF1/ZVqnha5+9g/DU+2f40d5rBdN4Avcz4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p7mxAAAANwAAAAPAAAAAAAAAAAA&#10;AAAAAKECAABkcnMvZG93bnJldi54bWxQSwUGAAAAAAQABAD5AAAAkgMAAAAA&#10;" strokecolor="windowText" strokeweight="1.5pt"/>
                        </v:group>
                        <v:group id="Group 354" o:spid="_x0000_s1050" style="position:absolute;left:28384;top:1236;width:2267;height:2040" coordorigin=",-167" coordsize="226695,20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oval id="Oval 308" o:spid="_x0000_s1051" style="position:absolute;top:-167;width:226695;height:204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0KZsMA&#10;AADcAAAADwAAAGRycy9kb3ducmV2LnhtbERPy2rCQBTdF/yH4RbcFJ3EQpXUUXwgFLpqzMLlJXOb&#10;hGbuxMzoRL++sxBcHs57uR5MK67Uu8aygnSagCAurW64UlAcD5MFCOeRNbaWScGNHKxXo5clZtoG&#10;/qFr7isRQ9hlqKD2vsukdGVNBt3UdsSR+7W9QR9hX0ndY4jhppWzJPmQBhuODTV2tKup/MsvRkHj&#10;8xDm9rw9zdMiDW/n/az4vis1fh02nyA8Df4pfri/tIL3JK6N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0KZsMAAADcAAAADwAAAAAAAAAAAAAAAACYAgAAZHJzL2Rv&#10;d25yZXYueG1sUEsFBgAAAAAEAAQA9QAAAIgDAAAAAA==&#10;" fillcolor="window" strokecolor="windowText" strokeweight="2pt">
                            <v:textbox inset="0,0,0,0">
                              <w:txbxContent>
                                <w:p w:rsidR="00AF0513" w:rsidRDefault="00AF0513" w:rsidP="00AF0513">
                                  <w:pPr>
                                    <w:jc w:val="center"/>
                                  </w:pPr>
                                </w:p>
                              </w:txbxContent>
                            </v:textbox>
                          </v:oval>
                          <v:line id="Straight Connector 306" o:spid="_x0000_s1052" style="position:absolute;visibility:visible;mso-wrap-style:square" from="57150,85725" to="151765,8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wOOMUAAADcAAAADwAAAGRycy9kb3ducmV2LnhtbESP3WrCQBSE7wu+w3IKvdONliYaXSUt&#10;KgVB8AevD9ljEpo9G7KrSd/eLQi9HGbmG2ax6k0t7tS6yrKC8SgCQZxbXXGh4HzaDKcgnEfWWFsm&#10;Bb/kYLUcvCww1bbjA92PvhABwi5FBaX3TSqly0sy6Ea2IQ7e1bYGfZBtIXWLXYCbWk6iKJYGKw4L&#10;JTb0VVL+c7wZBR/mM9l1p+0sztaJIX8ZT/fZRqm31z6bg/DU+//ws/2tFbxHMfydCU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wOOMUAAADcAAAADwAAAAAAAAAA&#10;AAAAAAChAgAAZHJzL2Rvd25yZXYueG1sUEsFBgAAAAAEAAQA+QAAAJMDAAAAAA==&#10;" strokecolor="windowText" strokeweight="1.5pt"/>
                          <v:line id="Straight Connector 305" o:spid="_x0000_s1053" style="position:absolute;visibility:visible;mso-wrap-style:square" from="104775,28575" to="104775,15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6QT8QAAADcAAAADwAAAGRycy9kb3ducmV2LnhtbESPW4vCMBSE3xf8D+EIvq2pirdqlCqr&#10;LAiCF3w+NMe22JyUJtruvzcLC/s4zMw3zHLdmlK8qHaFZQWDfgSCOLW64EzB9bL7nIFwHlljaZkU&#10;/JCD9arzscRY24ZP9Dr7TAQIuxgV5N5XsZQuzcmg69uKOHh3Wxv0QdaZ1DU2AW5KOYyiiTRYcFjI&#10;saJtTunj/DQKxmYzPTSX/XySfE0N+dtgdkx2SvW6bbIA4an1/+G/9rdWMIrG8HsmHAG5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XpBPxAAAANwAAAAPAAAAAAAAAAAA&#10;AAAAAKECAABkcnMvZG93bnJldi54bWxQSwUGAAAAAAQABAD5AAAAkgMAAAAA&#10;" strokecolor="windowText" strokeweight="1.5pt"/>
                        </v:group>
                        <v:shape id="Text Box 2" o:spid="_x0000_s1054" type="#_x0000_t202" style="position:absolute;left:10668;top:2762;width:11055;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AF0513" w:rsidRPr="00904112" w:rsidRDefault="00AF0513" w:rsidP="00AF0513">
                                <w:pPr>
                                  <w:rPr>
                                    <w:b/>
                                  </w:rPr>
                                </w:pPr>
                                <w:r>
                                  <w:rPr>
                                    <w:b/>
                                  </w:rPr>
                                  <w:t>Loan</w:t>
                                </w:r>
                              </w:p>
                            </w:txbxContent>
                          </v:textbox>
                        </v:shape>
                        <v:line id="Straight Connector 302" o:spid="_x0000_s1055" style="position:absolute;visibility:visible;mso-wrap-style:square" from="3143,0" to="314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cIO8QAAADcAAAADwAAAGRycy9kb3ducmV2LnhtbESPW4vCMBSE3wX/QziCb2uqsl6qUaqs&#10;siAIXvD50BzbYnNSmqzt/nuzsODjMDPfMMt1a0rxpNoVlhUMBxEI4tTqgjMF18vuYwbCeWSNpWVS&#10;8EsO1qtuZ4mxtg2f6Hn2mQgQdjEqyL2vYildmpNBN7AVcfDutjbog6wzqWtsAtyUchRFE2mw4LCQ&#10;Y0XbnNLH+cco+DSb6aG57OeT5GtqyN+Gs2OyU6rfa5MFCE+tf4f/299awTgawd+ZcATk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twg7xAAAANwAAAAPAAAAAAAAAAAA&#10;AAAAAKECAABkcnMvZG93bnJldi54bWxQSwUGAAAAAAQABAD5AAAAkgMAAAAA&#10;" strokecolor="windowText" strokeweight="1.5pt"/>
                        <v:line id="Straight Connector 301" o:spid="_x0000_s1056" style="position:absolute;visibility:visible;mso-wrap-style:square" from="27146,0" to="27146,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TMUAAADcAAAADwAAAGRycy9kb3ducmV2LnhtbESP3WrCQBSE7wu+w3IKvTObWOpPdJW0&#10;qBQKBY14fcgek9Ds2ZBdTfr2bkHo5TAz3zCrzWAacaPO1ZYVJFEMgriwuuZSwSnfjecgnEfW2Fgm&#10;Bb/kYLMePa0w1bbnA92OvhQBwi5FBZX3bSqlKyoy6CLbEgfvYjuDPsiulLrDPsBNIydxPJUGaw4L&#10;Fbb0UVHxc7waBW/mffbV5/vFNNvODPlzMv/Odkq9PA/ZEoSnwf+HH+1PreA1TuDvTDgCc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WTMUAAADcAAAADwAAAAAAAAAA&#10;AAAAAAChAgAAZHJzL2Rvd25yZXYueG1sUEsFBgAAAAAEAAQA+QAAAJMDAAAAAA==&#10;" strokecolor="windowText" strokeweight="1.5pt"/>
                        <v:line id="Straight Connector 313" o:spid="_x0000_s1057" style="position:absolute;visibility:visible;mso-wrap-style:square" from="3143,5715" to="2715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I7fcUAAADcAAAADwAAAGRycy9kb3ducmV2LnhtbESP3WrCQBSE7wt9h+UUvNNNKvUnZiOp&#10;qBSEQlW8PmRPk9Ds2ZBdTfr2bkHo5TAz3zDpejCNuFHnassK4kkEgriwuuZSwfm0Gy9AOI+ssbFM&#10;Cn7JwTp7fkox0bbnL7odfSkChF2CCirv20RKV1Rk0E1sSxy8b9sZ9EF2pdQd9gFuGvkaRTNpsOaw&#10;UGFLm4qKn+PVKHgz7/NDf9ovZ/l2bshf4sVnvlNq9DLkKxCeBv8ffrQ/tIJpPIW/M+EIy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I7fcUAAADcAAAADwAAAAAAAAAA&#10;AAAAAAChAgAAZHJzL2Rvd25yZXYueG1sUEsFBgAAAAAEAAQA+QAAAJMDAAAAAA==&#10;" strokecolor="windowText" strokeweight="1.5pt"/>
                      </v:group>
                      <v:group id="Group 10" o:spid="_x0000_s1058" style="position:absolute;top:2000;width:11430;height:4978" coordsize="11430,4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36" o:spid="_x0000_s1059" style="position:absolute;width:7429;height:49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VoMMA&#10;AADbAAAADwAAAGRycy9kb3ducmV2LnhtbESPUWvCMBSF3wf+h3AF32Y6hTI6o4yxoQgTrdv7Nblr&#10;y5qbksTa/XsjDHw8nHO+w1msBtuKnnxoHCt4mmYgiLUzDVcKvo4fj88gQkQ22DomBX8UYLUcPSyw&#10;MO7CB+rLWIkE4VCggjrGrpAy6JoshqnriJP347zFmKSvpPF4SXDbylmW5dJiw2mhxo7eatK/5dkq&#10;0N/5aTect60ud5/9fr/2+E4npSbj4fUFRKQh3sP/7Y1RMM/h9iX9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BVoMMAAADbAAAADwAAAAAAAAAAAAAAAACYAgAAZHJzL2Rv&#10;d25yZXYueG1sUEsFBgAAAAAEAAQA9QAAAIgDAAAAAA==&#10;" fillcolor="white [3212]" strokecolor="windowText" strokeweight="2pt">
                          <v:textbox>
                            <w:txbxContent>
                              <w:p w:rsidR="00AF0513" w:rsidRPr="00AF0513" w:rsidRDefault="00AF0513" w:rsidP="00AF0513">
                                <w:pPr>
                                  <w:jc w:val="center"/>
                                  <w:rPr>
                                    <w:color w:val="000000" w:themeColor="text1"/>
                                    <w:sz w:val="20"/>
                                  </w:rPr>
                                </w:pPr>
                                <w:r w:rsidRPr="00AF0513">
                                  <w:rPr>
                                    <w:color w:val="000000" w:themeColor="text1"/>
                                    <w:sz w:val="20"/>
                                  </w:rPr>
                                  <w:t xml:space="preserve">General </w:t>
                                </w:r>
                                <w:r w:rsidR="005C2719">
                                  <w:rPr>
                                    <w:color w:val="000000" w:themeColor="text1"/>
                                    <w:sz w:val="20"/>
                                  </w:rPr>
                                  <w:t>p</w:t>
                                </w:r>
                                <w:r w:rsidRPr="00AF0513">
                                  <w:rPr>
                                    <w:color w:val="000000" w:themeColor="text1"/>
                                    <w:sz w:val="20"/>
                                  </w:rPr>
                                  <w:t>artner</w:t>
                                </w:r>
                              </w:p>
                            </w:txbxContent>
                          </v:textbox>
                        </v:rect>
                        <v:line id="Straight Connector 37" o:spid="_x0000_s1060" style="position:absolute;visibility:visible;mso-wrap-style:square" from="7429,2381" to="11430,3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QW8MAAADbAAAADwAAAGRycy9kb3ducmV2LnhtbESPT4vCMBTE78J+h/CEvWmqCyrVKK5/&#10;0KN2V/H4aN62ZZuX0kRbv70RBI/DzPyGmS1aU4ob1a6wrGDQj0AQp1YXnCn4/dn2JiCcR9ZYWiYF&#10;d3KwmH90Zhhr2/CRbonPRICwi1FB7n0VS+nSnAy6vq2Ig/dna4M+yDqTusYmwE0ph1E0kgYLDgs5&#10;VrTKKf1PrkaB/r6cZLG57yYjfTpf3Hh5kOtGqc9uu5yC8NT6d/jV3msFX2N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0FvDAAAA2wAAAA8AAAAAAAAAAAAA&#10;AAAAoQIAAGRycy9kb3ducmV2LnhtbFBLBQYAAAAABAAEAPkAAACRAwAAAAA=&#10;" strokecolor="windowText" strokeweight="2pt"/>
                        <v:shape id="Text Box 2" o:spid="_x0000_s1061" type="#_x0000_t202" style="position:absolute;left:6858;top:95;width:4572;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AF0513" w:rsidRPr="00AF0513" w:rsidRDefault="00AF0513" w:rsidP="00AF0513">
                                <w:pPr>
                                  <w:rPr>
                                    <w:b/>
                                    <w:sz w:val="20"/>
                                  </w:rPr>
                                </w:pPr>
                                <w:r>
                                  <w:rPr>
                                    <w:b/>
                                    <w:sz w:val="20"/>
                                  </w:rPr>
                                  <w:t>1</w:t>
                                </w:r>
                                <w:r w:rsidRPr="00AF0513">
                                  <w:rPr>
                                    <w:b/>
                                    <w:sz w:val="20"/>
                                  </w:rPr>
                                  <w:t>%</w:t>
                                </w:r>
                              </w:p>
                            </w:txbxContent>
                          </v:textbox>
                        </v:shape>
                      </v:group>
                      <v:group id="Group 9" o:spid="_x0000_s1062" style="position:absolute;left:10763;top:762;width:16478;height:24955" coordsize="16478,24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317" o:spid="_x0000_s1063" style="position:absolute;left:762;top:17049;width:14630;height:7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nTcQA&#10;AADcAAAADwAAAGRycy9kb3ducmV2LnhtbESPQYvCMBCF7wv+hzALXkRTFVa3axQRBBEvW714G5rZ&#10;tNhMShPb+u+NIOzx8eZ9b95q09tKtNT40rGC6SQBQZw7XbJRcDnvx0sQPiBrrByTggd52KwHHytM&#10;tev4l9osGBEh7FNUUIRQp1L6vCCLfuJq4uj9ucZiiLIxUjfYRbit5CxJvqTFkmNDgTXtCspv2d3G&#10;N0bycni0mTyaG37Xp7Y7jq5GqeFnv/0BEagP/8fv9EErmE8X8BoTCS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lJ03EAAAA3AAAAA8AAAAAAAAAAAAAAAAAmAIAAGRycy9k&#10;b3ducmV2LnhtbFBLBQYAAAAABAAEAPUAAACJAwAAAAA=&#10;" fillcolor="window" strokecolor="windowText" strokeweight="2pt">
                          <v:textbox>
                            <w:txbxContent>
                              <w:p w:rsidR="00AF0513" w:rsidRPr="001616F5" w:rsidRDefault="00AF0513" w:rsidP="00AF0513">
                                <w:pPr>
                                  <w:jc w:val="center"/>
                                  <w:rPr>
                                    <w:b/>
                                    <w:color w:val="000000" w:themeColor="text1"/>
                                  </w:rPr>
                                </w:pPr>
                                <w:proofErr w:type="spellStart"/>
                                <w:r>
                                  <w:rPr>
                                    <w:b/>
                                    <w:color w:val="000000" w:themeColor="text1"/>
                                  </w:rPr>
                                  <w:t>Aus</w:t>
                                </w:r>
                                <w:proofErr w:type="spellEnd"/>
                                <w:r>
                                  <w:rPr>
                                    <w:b/>
                                    <w:color w:val="000000" w:themeColor="text1"/>
                                  </w:rPr>
                                  <w:t xml:space="preserve"> Co</w:t>
                                </w:r>
                              </w:p>
                            </w:txbxContent>
                          </v:textbox>
                        </v:rect>
                        <v:line id="Straight Connector 303" o:spid="_x0000_s1064" style="position:absolute;visibility:visible;mso-wrap-style:square" from="7810,8286" to="7886,17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HrPsIAAADcAAAADwAAAGRycy9kb3ducmV2LnhtbESPT4vCMBTE7wt+h/AEb2vqCirVKLoq&#10;7tH/eHw0z7bYvJQm2vrtN4LgcZiZ3zCTWWMK8aDK5ZYV9LoRCOLE6pxTBcfD+nsEwnlkjYVlUvAk&#10;B7Np62uCsbY17+ix96kIEHYxKsi8L2MpXZKRQde1JXHwrrYy6IOsUqkrrAPcFPInigbSYM5hIcOS&#10;fjNKbvu7UaAXl5PMV8/NaKBP54sbzrdyWSvVaTfzMQhPjf+E3+0/raAf9eF1JhwB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HrPsIAAADcAAAADwAAAAAAAAAAAAAA&#10;AAChAgAAZHJzL2Rvd25yZXYueG1sUEsFBgAAAAAEAAQA+QAAAJADAAAAAA==&#10;" strokecolor="windowText" strokeweight="2pt"/>
                        <v:group id="Group 8" o:spid="_x0000_s1065" style="position:absolute;left:666;top:1047;width:14631;height:7169" coordsize="14630,7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95" o:spid="_x0000_s1066" style="position:absolute;width:14630;height:7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QZsMA&#10;AADcAAAADwAAAGRycy9kb3ducmV2LnhtbESPQYvCMBCF7wv+hzALXmRNFVy0axQRBBEvVi/ehmY2&#10;LTaT0sS2/nsjCB4fb9735i3Xva1ES40vHSuYjBMQxLnTJRsFl/PuZw7CB2SNlWNS8CAP69Xga4mp&#10;dh2fqM2CERHCPkUFRQh1KqXPC7Lox64mjt6/ayyGKBsjdYNdhNtKTpPkV1osOTYUWNO2oPyW3W18&#10;YyQv+0ebyYO54aI+tt1hdDVKDb/7zR+IQH34HL/Te61gupjBa0wk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kQZsMAAADcAAAADwAAAAAAAAAAAAAAAACYAgAAZHJzL2Rv&#10;d25yZXYueG1sUEsFBgAAAAAEAAQA9QAAAIgDAAAAAA==&#10;" fillcolor="window" strokecolor="windowText" strokeweight="2pt">
                            <v:textbox>
                              <w:txbxContent>
                                <w:p w:rsidR="00AF0513" w:rsidRPr="001616F5" w:rsidRDefault="00AF0513" w:rsidP="00AF0513">
                                  <w:pPr>
                                    <w:jc w:val="center"/>
                                    <w:rPr>
                                      <w:b/>
                                      <w:color w:val="000000" w:themeColor="text1"/>
                                    </w:rP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67" type="#_x0000_t5" style="position:absolute;width:14535;height:7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080cEA&#10;AADaAAAADwAAAGRycy9kb3ducmV2LnhtbERPTWvCQBC9C/0PyxR6MxsL1Ta6ihQKBS9WC71OsuMm&#10;bXY2ZDcm+fduoOBpeLzP2ewGW4srtb5yrGCRpCCIC6crNgq+zx/zVxA+IGusHZOCkTzstg+zDWba&#10;9fxF11MwIoawz1BBGUKTSemLkiz6xDXEkbu41mKIsDVSt9jHcFvL5zRdSosVx4YSG3ovqfg7dVZB&#10;n3c/x/D75ld789IsOnPo5Zgr9fQ47NcgAg3hLv53f+o4H6ZXpiu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tPNHBAAAA2gAAAA8AAAAAAAAAAAAAAAAAmAIAAGRycy9kb3du&#10;cmV2LnhtbFBLBQYAAAAABAAEAPUAAACGAwAAAAA=&#10;" fillcolor="#d8d8d8 [2732]" strokecolor="black [3213]" strokeweight="2pt">
                            <v:textbox>
                              <w:txbxContent>
                                <w:p w:rsidR="00AF0513" w:rsidRPr="00AF0513" w:rsidRDefault="00AF0513" w:rsidP="00AF0513">
                                  <w:pPr>
                                    <w:jc w:val="center"/>
                                    <w:rPr>
                                      <w:b/>
                                      <w:color w:val="000000" w:themeColor="text1"/>
                                    </w:rPr>
                                  </w:pPr>
                                  <w:r w:rsidRPr="00AF0513">
                                    <w:rPr>
                                      <w:b/>
                                      <w:color w:val="000000" w:themeColor="text1"/>
                                    </w:rPr>
                                    <w:t>ALP</w:t>
                                  </w:r>
                                </w:p>
                              </w:txbxContent>
                            </v:textbox>
                          </v:shape>
                        </v:group>
                        <v:rect id="Rectangle 5" o:spid="_x0000_s1068" style="position:absolute;width:16478;height:24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o5H8IA&#10;AADaAAAADwAAAGRycy9kb3ducmV2LnhtbESPQYvCMBSE7wv+h/AEb2uqokg1ihQWPOhBV8Tjs3m2&#10;xeYlJFmt/94sLOxxmJlvmOW6M614kA+NZQWjYQaCuLS64UrB6fvrcw4iRGSNrWVS8KIA61XvY4m5&#10;tk8+0OMYK5EgHHJUUMfocilDWZPBMLSOOHk36w3GJH0ltcdngptWjrNsJg02nBZqdFTUVN6PP0bB&#10;YXYaO723k92muF78bn92RXFWatDvNgsQkbr4H/5rb7WCKfxeSTd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jkfwgAAANoAAAAPAAAAAAAAAAAAAAAAAJgCAABkcnMvZG93&#10;bnJldi54bWxQSwUGAAAAAAQABAD1AAAAhwMAAAAA&#10;" filled="f" strokecolor="black [3213]" strokeweight="2pt">
                          <v:stroke dashstyle="longDash"/>
                        </v:rect>
                      </v:group>
                    </v:group>
                  </v:group>
                </v:group>
              </v:group>
            </w:pict>
          </mc:Fallback>
        </mc:AlternateContent>
      </w: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rPr>
          <w:rFonts w:ascii="Arial" w:eastAsia="Arial" w:hAnsi="Arial" w:cs="Arial"/>
          <w:sz w:val="20"/>
        </w:rPr>
      </w:pPr>
    </w:p>
    <w:p w:rsidR="00AF0513" w:rsidRPr="00AF0513" w:rsidRDefault="00AF0513" w:rsidP="00AF0513">
      <w:pPr>
        <w:spacing w:before="240" w:after="120"/>
        <w:outlineLvl w:val="1"/>
        <w:rPr>
          <w:rFonts w:ascii="Arial" w:hAnsi="Arial" w:cs="Arial"/>
          <w:b/>
          <w:bCs/>
          <w:sz w:val="22"/>
          <w:szCs w:val="26"/>
          <w:highlight w:val="yellow"/>
        </w:rPr>
      </w:pPr>
    </w:p>
    <w:p w:rsidR="00AF0513" w:rsidRDefault="00AF0513" w:rsidP="00AF0513">
      <w:pPr>
        <w:spacing w:before="240" w:after="120"/>
        <w:outlineLvl w:val="1"/>
        <w:rPr>
          <w:rFonts w:ascii="Arial" w:hAnsi="Arial" w:cs="Arial"/>
          <w:b/>
          <w:bCs/>
          <w:sz w:val="22"/>
          <w:szCs w:val="26"/>
          <w:highlight w:val="yellow"/>
        </w:rPr>
      </w:pPr>
    </w:p>
    <w:p w:rsidR="007D51A8" w:rsidRDefault="007D51A8" w:rsidP="00AF0513">
      <w:pPr>
        <w:spacing w:before="240" w:after="120"/>
        <w:outlineLvl w:val="1"/>
        <w:rPr>
          <w:rFonts w:ascii="Arial" w:hAnsi="Arial" w:cs="Arial"/>
          <w:b/>
          <w:bCs/>
          <w:sz w:val="22"/>
          <w:szCs w:val="26"/>
          <w:highlight w:val="yellow"/>
        </w:rPr>
      </w:pPr>
    </w:p>
    <w:p w:rsidR="007D51A8" w:rsidRDefault="00C2449D" w:rsidP="00C2449D">
      <w:pPr>
        <w:pStyle w:val="Numberparagraph"/>
        <w:ind w:left="0" w:firstLine="0"/>
      </w:pPr>
      <w:r w:rsidRPr="0045712E">
        <w:t xml:space="preserve">The ALP is treated akin to a company in Australia, such that its </w:t>
      </w:r>
      <w:r w:rsidR="005558B8">
        <w:t>deductions</w:t>
      </w:r>
      <w:r w:rsidR="005558B8" w:rsidRPr="0045712E">
        <w:t xml:space="preserve"> </w:t>
      </w:r>
      <w:r w:rsidRPr="0045712E">
        <w:t xml:space="preserve">resulting from its interest payments can be </w:t>
      </w:r>
      <w:r w:rsidR="0093574E">
        <w:t>grouped with</w:t>
      </w:r>
      <w:r w:rsidRPr="0045712E">
        <w:t xml:space="preserve"> the operating income of </w:t>
      </w:r>
      <w:proofErr w:type="spellStart"/>
      <w:r w:rsidRPr="0045712E">
        <w:t>Aus</w:t>
      </w:r>
      <w:proofErr w:type="spellEnd"/>
      <w:r w:rsidRPr="0045712E">
        <w:t xml:space="preserve"> Co to reduce tax payable in Australia. However, the ALP is treated as a partnership in New Zealand, so (99% of) its </w:t>
      </w:r>
      <w:r w:rsidR="005558B8">
        <w:t>deductions</w:t>
      </w:r>
      <w:r w:rsidR="005558B8" w:rsidRPr="0045712E">
        <w:t xml:space="preserve"> </w:t>
      </w:r>
      <w:r w:rsidRPr="0045712E">
        <w:t xml:space="preserve">are attributed to NZ Co (the limited partner) and can be offset against New Zealand operating income. In this example, the expenditure of the ALP, and its ability to claim deductions, is uncontentious – it is interest payable at an arm’s length rate to a bank.  Nevertheless, the tax revenue collected on two sources of operating income in two countries </w:t>
      </w:r>
      <w:r>
        <w:t>is reduced by using the</w:t>
      </w:r>
      <w:r w:rsidRPr="0045712E">
        <w:t xml:space="preserve"> ALP </w:t>
      </w:r>
      <w:r>
        <w:t>as the paying entity</w:t>
      </w:r>
      <w:r w:rsidRPr="0045712E">
        <w:t>.</w:t>
      </w:r>
    </w:p>
    <w:p w:rsidR="00C2449D" w:rsidRPr="00C2449D" w:rsidRDefault="00C2449D" w:rsidP="00C2449D">
      <w:pPr>
        <w:pStyle w:val="Numberparagraph"/>
        <w:numPr>
          <w:ilvl w:val="0"/>
          <w:numId w:val="0"/>
        </w:numPr>
      </w:pPr>
    </w:p>
    <w:p w:rsidR="00586240" w:rsidRPr="008D7977" w:rsidRDefault="00740439" w:rsidP="00D37893">
      <w:pPr>
        <w:pStyle w:val="Numberparagraph"/>
        <w:ind w:left="0" w:firstLine="0"/>
      </w:pPr>
      <w:r w:rsidRPr="008D7977">
        <w:t xml:space="preserve">This paper seeks Cabinet agreement to introduce tax law changes to </w:t>
      </w:r>
      <w:r w:rsidR="00093401" w:rsidRPr="008D7977">
        <w:t xml:space="preserve">restrict the ability of a New Zealand business to use </w:t>
      </w:r>
      <w:r w:rsidR="005558B8">
        <w:t>double deductions</w:t>
      </w:r>
      <w:r w:rsidR="004D11D8">
        <w:t xml:space="preserve"> of foreign hybrid entities, such as ALPs,</w:t>
      </w:r>
      <w:r w:rsidR="00093401" w:rsidRPr="008D7977">
        <w:t xml:space="preserve"> to reduce </w:t>
      </w:r>
      <w:r w:rsidR="0036460D" w:rsidRPr="008D7977">
        <w:t>its</w:t>
      </w:r>
      <w:r w:rsidR="00093401" w:rsidRPr="008D7977">
        <w:t xml:space="preserve"> New Zealand tax liability</w:t>
      </w:r>
      <w:r w:rsidR="00EB616D">
        <w:t>.</w:t>
      </w:r>
      <w:r w:rsidR="0036460D" w:rsidRPr="008D7977">
        <w:t xml:space="preserve"> This restriction may be limited, so it applies only</w:t>
      </w:r>
      <w:r w:rsidR="00093401" w:rsidRPr="008D7977">
        <w:t xml:space="preserve"> to the extent that </w:t>
      </w:r>
      <w:r w:rsidR="005558B8">
        <w:t>the double deductions</w:t>
      </w:r>
      <w:r w:rsidR="00093401" w:rsidRPr="008D7977">
        <w:t xml:space="preserve"> </w:t>
      </w:r>
      <w:r w:rsidR="005558B8">
        <w:t>are</w:t>
      </w:r>
      <w:r w:rsidR="00093401" w:rsidRPr="008D7977">
        <w:t xml:space="preserve"> used to reduce the foreign tax liability of a related party</w:t>
      </w:r>
      <w:r w:rsidR="00093401" w:rsidRPr="008D7977">
        <w:rPr>
          <w:i/>
        </w:rPr>
        <w:t>.</w:t>
      </w:r>
    </w:p>
    <w:p w:rsidR="00F567DC" w:rsidRDefault="00F567DC" w:rsidP="00D37893">
      <w:pPr>
        <w:pStyle w:val="Numberparagraph"/>
        <w:numPr>
          <w:ilvl w:val="0"/>
          <w:numId w:val="0"/>
        </w:numPr>
      </w:pPr>
    </w:p>
    <w:p w:rsidR="00F567DC" w:rsidRDefault="00AE3646" w:rsidP="00D37893">
      <w:pPr>
        <w:pStyle w:val="Numberparagraph"/>
        <w:ind w:left="0" w:firstLine="0"/>
      </w:pPr>
      <w:r>
        <w:t>Alongside rules to achieve this effect, a</w:t>
      </w:r>
      <w:r w:rsidR="00ED1A18">
        <w:t xml:space="preserve">n option being considered to </w:t>
      </w:r>
      <w:r>
        <w:t>reduce compliance costs is to develop</w:t>
      </w:r>
      <w:r w:rsidR="00ED1A18">
        <w:t xml:space="preserve"> an elective regime whereby the New Zealand parent of a foreign hybrid entity could elect to treat that entity as opaque in order to match the foreign jurisdiction treatment. </w:t>
      </w:r>
      <w:r w:rsidR="0036460D">
        <w:t xml:space="preserve">This </w:t>
      </w:r>
      <w:r w:rsidR="004D11D8">
        <w:t>may</w:t>
      </w:r>
      <w:r w:rsidR="0036460D">
        <w:t xml:space="preserve"> achieve a slightly harsher outcome to the hybrid rule proposal, with reduced compliance costs. </w:t>
      </w:r>
      <w:r w:rsidR="00ED1A18" w:rsidRPr="00ED1A18">
        <w:t>The purpose of such a rule would be to</w:t>
      </w:r>
      <w:r w:rsidR="00ED1A18">
        <w:t xml:space="preserve"> allow taxpayer</w:t>
      </w:r>
      <w:r w:rsidR="00A77265">
        <w:t>s</w:t>
      </w:r>
      <w:r w:rsidR="00ED1A18">
        <w:t xml:space="preserve"> a path to</w:t>
      </w:r>
      <w:r w:rsidR="00ED1A18" w:rsidRPr="00ED1A18">
        <w:t xml:space="preserve"> </w:t>
      </w:r>
      <w:r w:rsidR="00ED1A18">
        <w:t>removing</w:t>
      </w:r>
      <w:r w:rsidR="00ED1A18" w:rsidRPr="00ED1A18">
        <w:t xml:space="preserve"> the </w:t>
      </w:r>
      <w:r w:rsidR="00ED1A18">
        <w:t>tax advantage of the</w:t>
      </w:r>
      <w:r w:rsidR="00A77265">
        <w:t>ir foreign hybrid entities</w:t>
      </w:r>
      <w:r w:rsidR="00ED1A18">
        <w:t xml:space="preserve"> </w:t>
      </w:r>
      <w:r w:rsidR="00B51CA3">
        <w:t>while avoiding the scope of the proposed hybrid mismatch rules which carry a higher degree of complexity.</w:t>
      </w:r>
      <w:r w:rsidR="00ED1A18">
        <w:t xml:space="preserve"> </w:t>
      </w:r>
    </w:p>
    <w:p w:rsidR="00586240" w:rsidRDefault="00586240" w:rsidP="00D37893">
      <w:pPr>
        <w:pStyle w:val="ListParagraph"/>
        <w:tabs>
          <w:tab w:val="left" w:pos="567"/>
        </w:tabs>
        <w:ind w:left="0"/>
      </w:pPr>
    </w:p>
    <w:p w:rsidR="00B17F32" w:rsidRDefault="00CF55FC" w:rsidP="00D37893">
      <w:pPr>
        <w:pStyle w:val="Numberparagraph"/>
        <w:ind w:left="0" w:firstLine="0"/>
      </w:pPr>
      <w:r>
        <w:t>Final policy</w:t>
      </w:r>
      <w:r w:rsidR="00BE03C3">
        <w:t xml:space="preserve"> and design</w:t>
      </w:r>
      <w:r>
        <w:t xml:space="preserve"> </w:t>
      </w:r>
      <w:r w:rsidR="00BE03C3">
        <w:t xml:space="preserve">proposals </w:t>
      </w:r>
      <w:r>
        <w:t xml:space="preserve">on </w:t>
      </w:r>
      <w:r w:rsidR="00B17F32">
        <w:t>how the rule countering double</w:t>
      </w:r>
      <w:r w:rsidR="008D7977">
        <w:t xml:space="preserve"> </w:t>
      </w:r>
      <w:r w:rsidR="00B17F32">
        <w:t xml:space="preserve">deductions would be given effect, along with </w:t>
      </w:r>
      <w:r>
        <w:t>the remaining parts of the</w:t>
      </w:r>
      <w:r w:rsidR="00BE03C3">
        <w:t xml:space="preserve"> hybrid mismatch arrangements</w:t>
      </w:r>
      <w:r>
        <w:t xml:space="preserve"> project</w:t>
      </w:r>
      <w:r w:rsidR="00B17F32">
        <w:t>,</w:t>
      </w:r>
      <w:r>
        <w:t xml:space="preserve"> will be considered by Cabinet later this year</w:t>
      </w:r>
      <w:r w:rsidR="00EB616D">
        <w:t xml:space="preserve">. </w:t>
      </w:r>
      <w:r w:rsidR="00B17F32">
        <w:t xml:space="preserve">We currently anticipate this paper will be contemporaneous with a paper detailing the response to the </w:t>
      </w:r>
      <w:r>
        <w:t xml:space="preserve">other BEPS proposals </w:t>
      </w:r>
      <w:r w:rsidR="00B17F32">
        <w:t>mentioned below.</w:t>
      </w:r>
    </w:p>
    <w:p w:rsidR="00B17F32" w:rsidRDefault="00B17F32" w:rsidP="0060478A"/>
    <w:p w:rsidR="0060478A" w:rsidRDefault="0060478A" w:rsidP="0060478A"/>
    <w:p w:rsidR="00B17F32" w:rsidRPr="00DD23B8" w:rsidRDefault="00B17F32" w:rsidP="0083182F">
      <w:pPr>
        <w:tabs>
          <w:tab w:val="left" w:pos="567"/>
        </w:tabs>
        <w:jc w:val="both"/>
        <w:rPr>
          <w:szCs w:val="24"/>
          <w:lang w:eastAsia="en-AU"/>
        </w:rPr>
      </w:pPr>
      <w:r>
        <w:rPr>
          <w:b/>
          <w:bCs/>
          <w:szCs w:val="24"/>
          <w:lang w:eastAsia="en-AU"/>
        </w:rPr>
        <w:t>Other BEPS initiatives</w:t>
      </w:r>
    </w:p>
    <w:p w:rsidR="00B17F32" w:rsidRDefault="00B17F32" w:rsidP="008D7977">
      <w:pPr>
        <w:pStyle w:val="Numberparagraph"/>
        <w:numPr>
          <w:ilvl w:val="0"/>
          <w:numId w:val="0"/>
        </w:numPr>
      </w:pPr>
    </w:p>
    <w:p w:rsidR="00501C5D" w:rsidRDefault="00501C5D" w:rsidP="00501C5D">
      <w:pPr>
        <w:pStyle w:val="Numberparagraph"/>
        <w:ind w:left="0" w:firstLine="0"/>
      </w:pPr>
      <w:r>
        <w:t xml:space="preserve">The </w:t>
      </w:r>
      <w:r w:rsidRPr="00225901">
        <w:rPr>
          <w:i/>
        </w:rPr>
        <w:t>BEPS – transfer pricing and permanent establishment avoidance</w:t>
      </w:r>
      <w:r>
        <w:t xml:space="preserve"> discussion document </w:t>
      </w:r>
      <w:r w:rsidR="00966B4A" w:rsidRPr="000E59E0">
        <w:t>consults</w:t>
      </w:r>
      <w:r w:rsidR="000E59E0" w:rsidRPr="000E59E0">
        <w:t xml:space="preserve"> on proposals to</w:t>
      </w:r>
      <w:r w:rsidR="00966B4A" w:rsidRPr="000E59E0">
        <w:t xml:space="preserve"> counter permanent establishment avoidance, strengthen our transfer pricing rules, and help Inland Revenue deal with uncooperative multinationals.</w:t>
      </w:r>
      <w:r w:rsidR="000E59E0" w:rsidRPr="000E59E0">
        <w:t xml:space="preserve"> These proposals are aimed at large multinationals that are able to report low taxable profits in New Zealand despite significant economic activity here</w:t>
      </w:r>
      <w:r>
        <w:t xml:space="preserve">. The main </w:t>
      </w:r>
      <w:r w:rsidR="000E59E0">
        <w:t>proposals</w:t>
      </w:r>
      <w:r>
        <w:t xml:space="preserve"> are:</w:t>
      </w:r>
    </w:p>
    <w:p w:rsidR="00501C5D" w:rsidRDefault="00501C5D" w:rsidP="00501C5D">
      <w:pPr>
        <w:pStyle w:val="ListParagraph"/>
      </w:pPr>
    </w:p>
    <w:p w:rsidR="00501C5D" w:rsidRPr="003501CE" w:rsidRDefault="00501C5D" w:rsidP="0004580F">
      <w:pPr>
        <w:pStyle w:val="ListParagraph"/>
        <w:numPr>
          <w:ilvl w:val="0"/>
          <w:numId w:val="16"/>
        </w:numPr>
        <w:ind w:left="1134" w:hanging="567"/>
        <w:rPr>
          <w:rFonts w:eastAsiaTheme="minorEastAsia"/>
        </w:rPr>
      </w:pPr>
      <w:r w:rsidRPr="003501CE">
        <w:rPr>
          <w:rFonts w:eastAsiaTheme="minorEastAsia"/>
        </w:rPr>
        <w:t>An anti-avoidance rule that will prevent multinationals from structuring their operations to avoid having a permanent establishment (a taxable presence) in New Zealand where one exists in substance.</w:t>
      </w:r>
    </w:p>
    <w:p w:rsidR="00501C5D" w:rsidRPr="003501CE" w:rsidRDefault="00501C5D" w:rsidP="0004580F">
      <w:pPr>
        <w:pStyle w:val="ListParagraph"/>
        <w:ind w:left="1134" w:hanging="567"/>
        <w:rPr>
          <w:rFonts w:eastAsiaTheme="minorEastAsia"/>
        </w:rPr>
      </w:pPr>
    </w:p>
    <w:p w:rsidR="00501C5D" w:rsidRPr="003501CE" w:rsidRDefault="00501C5D" w:rsidP="0004580F">
      <w:pPr>
        <w:pStyle w:val="ListParagraph"/>
        <w:numPr>
          <w:ilvl w:val="0"/>
          <w:numId w:val="16"/>
        </w:numPr>
        <w:ind w:left="1134" w:hanging="567"/>
        <w:rPr>
          <w:rFonts w:eastAsiaTheme="minorEastAsia"/>
        </w:rPr>
      </w:pPr>
      <w:r w:rsidRPr="003501CE">
        <w:rPr>
          <w:rFonts w:eastAsiaTheme="minorEastAsia"/>
        </w:rPr>
        <w:t>Stronger “source rules” so New Zealand has a greater ability to tax New Zealand-sourced income.</w:t>
      </w:r>
    </w:p>
    <w:p w:rsidR="00501C5D" w:rsidRPr="003501CE" w:rsidRDefault="00501C5D" w:rsidP="0004580F">
      <w:pPr>
        <w:pStyle w:val="ListParagraph"/>
        <w:ind w:left="1134" w:hanging="567"/>
        <w:rPr>
          <w:rFonts w:eastAsiaTheme="minorEastAsia"/>
        </w:rPr>
      </w:pPr>
    </w:p>
    <w:p w:rsidR="00501C5D" w:rsidRPr="003501CE" w:rsidRDefault="00501C5D" w:rsidP="0004580F">
      <w:pPr>
        <w:pStyle w:val="ListParagraph"/>
        <w:numPr>
          <w:ilvl w:val="0"/>
          <w:numId w:val="16"/>
        </w:numPr>
        <w:ind w:left="1134" w:hanging="567"/>
        <w:rPr>
          <w:rFonts w:eastAsiaTheme="minorEastAsia"/>
        </w:rPr>
      </w:pPr>
      <w:r w:rsidRPr="003501CE">
        <w:rPr>
          <w:rFonts w:eastAsiaTheme="minorEastAsia"/>
        </w:rPr>
        <w:t xml:space="preserve">Stronger transfer pricing rules which will adjust related party transactions if they don’t align with the actual substance of the multinational’s economic activities and shift the burden of proof onto the taxpayer (rather than Inland Revenue) for proving that their related party dealings are consistent with those that would be agreed by third parties operating at arms-length. </w:t>
      </w:r>
    </w:p>
    <w:p w:rsidR="00501C5D" w:rsidRPr="003501CE" w:rsidRDefault="00501C5D" w:rsidP="0004580F">
      <w:pPr>
        <w:pStyle w:val="ListParagraph"/>
        <w:ind w:left="1134" w:hanging="567"/>
        <w:rPr>
          <w:rFonts w:eastAsiaTheme="minorEastAsia"/>
        </w:rPr>
      </w:pPr>
    </w:p>
    <w:p w:rsidR="00501C5D" w:rsidRPr="003501CE" w:rsidRDefault="00501C5D" w:rsidP="0004580F">
      <w:pPr>
        <w:pStyle w:val="ListParagraph"/>
        <w:numPr>
          <w:ilvl w:val="0"/>
          <w:numId w:val="16"/>
        </w:numPr>
        <w:ind w:left="1134" w:hanging="567"/>
        <w:rPr>
          <w:rFonts w:eastAsiaTheme="minorEastAsia"/>
        </w:rPr>
      </w:pPr>
      <w:r w:rsidRPr="003501CE">
        <w:rPr>
          <w:rFonts w:eastAsiaTheme="minorEastAsia"/>
        </w:rPr>
        <w:t>A range of administrative measures that will strengthen Inland Revenue’s powers to deal with large multinationals (with at least EUR €750m of global revenues) that do not co-operate with a tax investigation.</w:t>
      </w:r>
    </w:p>
    <w:p w:rsidR="00501C5D" w:rsidRDefault="00501C5D" w:rsidP="00501C5D">
      <w:pPr>
        <w:pStyle w:val="ListParagraph"/>
      </w:pPr>
    </w:p>
    <w:p w:rsidR="00501C5D" w:rsidRDefault="00501C5D" w:rsidP="00501C5D">
      <w:pPr>
        <w:pStyle w:val="Numberparagraph"/>
        <w:ind w:left="0" w:firstLine="0"/>
      </w:pPr>
      <w:r>
        <w:t xml:space="preserve">Many of these proposals are based on similar tax reforms that Australia has introduced in recent years. </w:t>
      </w:r>
    </w:p>
    <w:p w:rsidR="00501C5D" w:rsidRDefault="00501C5D" w:rsidP="00501C5D">
      <w:pPr>
        <w:pStyle w:val="Numberparagraph"/>
        <w:numPr>
          <w:ilvl w:val="0"/>
          <w:numId w:val="0"/>
        </w:numPr>
      </w:pPr>
    </w:p>
    <w:p w:rsidR="00501C5D" w:rsidRDefault="00501C5D" w:rsidP="00501C5D">
      <w:pPr>
        <w:pStyle w:val="Numberparagraph"/>
        <w:ind w:left="0" w:firstLine="0"/>
      </w:pPr>
      <w:r>
        <w:t xml:space="preserve">The </w:t>
      </w:r>
      <w:r w:rsidRPr="00225901">
        <w:rPr>
          <w:i/>
        </w:rPr>
        <w:t xml:space="preserve">BEPS – </w:t>
      </w:r>
      <w:r w:rsidR="00A623B0">
        <w:rPr>
          <w:i/>
        </w:rPr>
        <w:t xml:space="preserve">strengthening our </w:t>
      </w:r>
      <w:r>
        <w:rPr>
          <w:i/>
        </w:rPr>
        <w:t>interest limitation</w:t>
      </w:r>
      <w:r w:rsidR="00A623B0">
        <w:rPr>
          <w:i/>
        </w:rPr>
        <w:t xml:space="preserve"> rules</w:t>
      </w:r>
      <w:r>
        <w:rPr>
          <w:i/>
        </w:rPr>
        <w:t xml:space="preserve"> </w:t>
      </w:r>
      <w:r>
        <w:t xml:space="preserve">discussion document </w:t>
      </w:r>
      <w:r w:rsidR="000E59E0">
        <w:t>consults on</w:t>
      </w:r>
      <w:r>
        <w:t xml:space="preserve"> proposed law changes that will limit the ability of multinationals to use interest payments to shift their New Zealand profits offshore. The main proposals are:</w:t>
      </w:r>
    </w:p>
    <w:p w:rsidR="00501C5D" w:rsidRDefault="00501C5D" w:rsidP="00501C5D">
      <w:pPr>
        <w:pStyle w:val="ListParagraph"/>
      </w:pPr>
    </w:p>
    <w:p w:rsidR="00501C5D" w:rsidRPr="003501CE" w:rsidRDefault="00501C5D" w:rsidP="0004580F">
      <w:pPr>
        <w:pStyle w:val="ListParagraph"/>
        <w:numPr>
          <w:ilvl w:val="0"/>
          <w:numId w:val="16"/>
        </w:numPr>
        <w:ind w:left="1276" w:hanging="709"/>
        <w:rPr>
          <w:rFonts w:eastAsiaTheme="minorEastAsia"/>
        </w:rPr>
      </w:pPr>
      <w:r w:rsidRPr="003501CE">
        <w:rPr>
          <w:rFonts w:eastAsiaTheme="minorEastAsia"/>
        </w:rPr>
        <w:t xml:space="preserve">A proposal to limit high-priced related party debt by introducing an </w:t>
      </w:r>
      <w:r>
        <w:rPr>
          <w:rFonts w:eastAsiaTheme="minorEastAsia"/>
        </w:rPr>
        <w:t>interest rate cap. The proposed cap would</w:t>
      </w:r>
      <w:r w:rsidRPr="002059C7">
        <w:rPr>
          <w:rFonts w:eastAsiaTheme="minorEastAsia"/>
        </w:rPr>
        <w:t xml:space="preserve"> base the allowable interest rate on </w:t>
      </w:r>
      <w:r>
        <w:rPr>
          <w:rFonts w:eastAsiaTheme="minorEastAsia"/>
        </w:rPr>
        <w:t xml:space="preserve">the market </w:t>
      </w:r>
      <w:r w:rsidRPr="002059C7">
        <w:rPr>
          <w:rFonts w:eastAsiaTheme="minorEastAsia"/>
        </w:rPr>
        <w:t>interest rates that the particular multinational</w:t>
      </w:r>
      <w:r>
        <w:rPr>
          <w:rFonts w:eastAsiaTheme="minorEastAsia"/>
        </w:rPr>
        <w:t xml:space="preserve"> group</w:t>
      </w:r>
      <w:r w:rsidRPr="002059C7">
        <w:rPr>
          <w:rFonts w:eastAsiaTheme="minorEastAsia"/>
        </w:rPr>
        <w:t xml:space="preserve"> would actually use when borrowing from a third party such as a bank.</w:t>
      </w:r>
      <w:r w:rsidRPr="001A193D">
        <w:t xml:space="preserve"> </w:t>
      </w:r>
      <w:r>
        <w:t xml:space="preserve">The cap would be based on the credit rating of the multinational group as a whole, rather than their New Zealand subsidiary. </w:t>
      </w:r>
    </w:p>
    <w:p w:rsidR="00501C5D" w:rsidRPr="003501CE" w:rsidRDefault="00501C5D" w:rsidP="0004580F">
      <w:pPr>
        <w:pStyle w:val="Numberparagraph"/>
        <w:numPr>
          <w:ilvl w:val="0"/>
          <w:numId w:val="0"/>
        </w:numPr>
        <w:ind w:left="1276" w:hanging="709"/>
      </w:pPr>
    </w:p>
    <w:p w:rsidR="00501C5D" w:rsidRDefault="00501C5D" w:rsidP="0004580F">
      <w:pPr>
        <w:pStyle w:val="ListParagraph"/>
        <w:numPr>
          <w:ilvl w:val="0"/>
          <w:numId w:val="16"/>
        </w:numPr>
        <w:ind w:left="1276" w:hanging="709"/>
        <w:rPr>
          <w:rFonts w:eastAsiaTheme="minorEastAsia"/>
        </w:rPr>
      </w:pPr>
      <w:r>
        <w:rPr>
          <w:rFonts w:eastAsiaTheme="minorEastAsia"/>
        </w:rPr>
        <w:t>A</w:t>
      </w:r>
      <w:r w:rsidRPr="002931BD">
        <w:rPr>
          <w:rFonts w:eastAsiaTheme="minorEastAsia"/>
        </w:rPr>
        <w:t xml:space="preserve"> proposal to </w:t>
      </w:r>
      <w:r>
        <w:rPr>
          <w:rFonts w:eastAsiaTheme="minorEastAsia"/>
        </w:rPr>
        <w:t>tighten our existing thin capitalisation rules which limit debt as a percentage of total assets. The proposed rule would</w:t>
      </w:r>
      <w:r w:rsidRPr="002931BD">
        <w:rPr>
          <w:rFonts w:eastAsiaTheme="minorEastAsia"/>
        </w:rPr>
        <w:t xml:space="preserve"> </w:t>
      </w:r>
      <w:r>
        <w:rPr>
          <w:rFonts w:eastAsiaTheme="minorEastAsia"/>
        </w:rPr>
        <w:t>remove</w:t>
      </w:r>
      <w:r w:rsidR="00734380">
        <w:rPr>
          <w:rFonts w:eastAsiaTheme="minorEastAsia"/>
        </w:rPr>
        <w:t xml:space="preserve"> assets funded by</w:t>
      </w:r>
      <w:r w:rsidRPr="002931BD">
        <w:rPr>
          <w:rFonts w:eastAsiaTheme="minorEastAsia"/>
        </w:rPr>
        <w:t xml:space="preserve"> non-debt liabilities</w:t>
      </w:r>
      <w:r>
        <w:rPr>
          <w:rFonts w:eastAsiaTheme="minorEastAsia"/>
        </w:rPr>
        <w:t xml:space="preserve"> from the measure of a</w:t>
      </w:r>
      <w:r w:rsidRPr="002931BD">
        <w:rPr>
          <w:rFonts w:eastAsiaTheme="minorEastAsia"/>
        </w:rPr>
        <w:t xml:space="preserve"> firm’s </w:t>
      </w:r>
      <w:r>
        <w:rPr>
          <w:rFonts w:eastAsiaTheme="minorEastAsia"/>
        </w:rPr>
        <w:t>total assets</w:t>
      </w:r>
      <w:r w:rsidRPr="002931BD">
        <w:rPr>
          <w:rFonts w:eastAsiaTheme="minorEastAsia"/>
        </w:rPr>
        <w:t>. Examples of non-debt liabilities are trade credits, provisions and out-of-the-money derivatives. Th</w:t>
      </w:r>
      <w:r>
        <w:rPr>
          <w:rFonts w:eastAsiaTheme="minorEastAsia"/>
        </w:rPr>
        <w:t>is</w:t>
      </w:r>
      <w:r w:rsidRPr="002931BD">
        <w:rPr>
          <w:rFonts w:eastAsiaTheme="minorEastAsia"/>
        </w:rPr>
        <w:t xml:space="preserve"> </w:t>
      </w:r>
      <w:r>
        <w:rPr>
          <w:rFonts w:eastAsiaTheme="minorEastAsia"/>
        </w:rPr>
        <w:t>c</w:t>
      </w:r>
      <w:r w:rsidRPr="002931BD">
        <w:rPr>
          <w:rFonts w:eastAsiaTheme="minorEastAsia"/>
        </w:rPr>
        <w:t xml:space="preserve">hange would bring New Zealand’s rules </w:t>
      </w:r>
      <w:r w:rsidR="0093574E">
        <w:rPr>
          <w:rFonts w:eastAsiaTheme="minorEastAsia"/>
        </w:rPr>
        <w:t>more in</w:t>
      </w:r>
      <w:r w:rsidRPr="002931BD">
        <w:rPr>
          <w:rFonts w:eastAsiaTheme="minorEastAsia"/>
        </w:rPr>
        <w:t xml:space="preserve"> line with other countries with thin capitalisation rules, including Australia.</w:t>
      </w:r>
    </w:p>
    <w:p w:rsidR="006808E1" w:rsidRDefault="006808E1" w:rsidP="0083182F">
      <w:pPr>
        <w:tabs>
          <w:tab w:val="left" w:pos="567"/>
        </w:tabs>
        <w:jc w:val="center"/>
        <w:rPr>
          <w:szCs w:val="24"/>
          <w:lang w:eastAsia="en-AU"/>
        </w:rPr>
      </w:pPr>
    </w:p>
    <w:p w:rsidR="00763BDD" w:rsidRPr="00DD23B8" w:rsidRDefault="00763BDD" w:rsidP="0083182F">
      <w:pPr>
        <w:tabs>
          <w:tab w:val="left" w:pos="567"/>
        </w:tabs>
        <w:jc w:val="both"/>
        <w:rPr>
          <w:szCs w:val="24"/>
          <w:lang w:eastAsia="en-AU"/>
        </w:rPr>
      </w:pPr>
    </w:p>
    <w:p w:rsidR="007E2640" w:rsidRPr="00DD23B8" w:rsidRDefault="004F6ED4" w:rsidP="0083182F">
      <w:pPr>
        <w:tabs>
          <w:tab w:val="left" w:pos="567"/>
        </w:tabs>
        <w:jc w:val="both"/>
        <w:rPr>
          <w:szCs w:val="24"/>
          <w:lang w:eastAsia="en-AU"/>
        </w:rPr>
      </w:pPr>
      <w:r w:rsidRPr="00DD23B8">
        <w:rPr>
          <w:b/>
          <w:bCs/>
          <w:szCs w:val="24"/>
          <w:lang w:eastAsia="en-AU"/>
        </w:rPr>
        <w:t>Consultation</w:t>
      </w:r>
    </w:p>
    <w:p w:rsidR="00763BDD" w:rsidRDefault="00763BDD" w:rsidP="0083182F">
      <w:pPr>
        <w:tabs>
          <w:tab w:val="left" w:pos="567"/>
        </w:tabs>
        <w:jc w:val="both"/>
        <w:rPr>
          <w:szCs w:val="24"/>
          <w:lang w:eastAsia="en-AU"/>
        </w:rPr>
      </w:pPr>
    </w:p>
    <w:p w:rsidR="00072C4A" w:rsidRDefault="00CE1FB5" w:rsidP="0083182F">
      <w:pPr>
        <w:pStyle w:val="Numberparagraph"/>
        <w:ind w:left="0" w:firstLine="0"/>
      </w:pPr>
      <w:r>
        <w:t xml:space="preserve">Inland Revenue and Treasury officials </w:t>
      </w:r>
      <w:r w:rsidR="0037119B">
        <w:t>have discussed the foreign hybrid entity double deductions issue</w:t>
      </w:r>
      <w:r w:rsidR="00B43777">
        <w:t xml:space="preserve"> </w:t>
      </w:r>
      <w:r w:rsidR="0037119B">
        <w:t>with</w:t>
      </w:r>
      <w:r w:rsidR="00B43777">
        <w:t xml:space="preserve"> interested</w:t>
      </w:r>
      <w:r w:rsidR="0037119B">
        <w:t xml:space="preserve"> private sector</w:t>
      </w:r>
      <w:r w:rsidR="00B43777">
        <w:t xml:space="preserve"> groups as part of ongoing consultation workshops on the wider hybrids project. Officials have also been in contact with</w:t>
      </w:r>
      <w:r w:rsidR="0037119B">
        <w:t xml:space="preserve"> </w:t>
      </w:r>
      <w:r w:rsidR="0037119B" w:rsidRPr="0037119B">
        <w:t>the Australian Tax Office, the Australian Treasury</w:t>
      </w:r>
      <w:r w:rsidR="0037119B">
        <w:t>,</w:t>
      </w:r>
      <w:r w:rsidR="0037119B" w:rsidRPr="0037119B">
        <w:t xml:space="preserve"> and the OECD secretariat</w:t>
      </w:r>
      <w:r w:rsidR="00B43777">
        <w:t xml:space="preserve"> in relation to </w:t>
      </w:r>
      <w:r w:rsidR="004D11D8">
        <w:t>this particular issue</w:t>
      </w:r>
      <w:r w:rsidR="00B43777">
        <w:t xml:space="preserve"> and the wider project.</w:t>
      </w:r>
      <w:r w:rsidR="00734380">
        <w:t xml:space="preserve">  </w:t>
      </w:r>
    </w:p>
    <w:p w:rsidR="00072C4A" w:rsidRDefault="00072C4A" w:rsidP="00072C4A">
      <w:pPr>
        <w:pStyle w:val="Numberparagraph"/>
        <w:numPr>
          <w:ilvl w:val="0"/>
          <w:numId w:val="0"/>
        </w:numPr>
      </w:pPr>
    </w:p>
    <w:p w:rsidR="00CE1FB5" w:rsidRPr="00E4232F" w:rsidRDefault="00734380" w:rsidP="0083182F">
      <w:pPr>
        <w:pStyle w:val="Numberparagraph"/>
        <w:ind w:left="0" w:firstLine="0"/>
      </w:pPr>
      <w:r>
        <w:t>In relation to the</w:t>
      </w:r>
      <w:r w:rsidR="00072C4A">
        <w:t xml:space="preserve"> two</w:t>
      </w:r>
      <w:r>
        <w:t xml:space="preserve"> March discussions documents</w:t>
      </w:r>
      <w:r w:rsidR="004D11D8">
        <w:t>,</w:t>
      </w:r>
      <w:r>
        <w:t xml:space="preserve"> Inland Revenue has also consulted with the Treasury, the Ministry of Foreign Affairs and Trade and the Ministry of Business, Innovation and Employment. Officials have also been in contact the Australian Treasury and the Australian Taxation Office.</w:t>
      </w:r>
      <w:r w:rsidR="00072C4A">
        <w:t xml:space="preserve"> Officials have started to meet with key stakeholders to discuss these proposals but submissions are not due until 18 April.</w:t>
      </w:r>
    </w:p>
    <w:p w:rsidR="00D23100" w:rsidRPr="00DD23B8" w:rsidRDefault="00D23100" w:rsidP="0083182F">
      <w:pPr>
        <w:tabs>
          <w:tab w:val="left" w:pos="567"/>
        </w:tabs>
        <w:jc w:val="both"/>
        <w:rPr>
          <w:b/>
          <w:bCs/>
          <w:szCs w:val="24"/>
          <w:lang w:eastAsia="en-AU"/>
        </w:rPr>
      </w:pPr>
    </w:p>
    <w:p w:rsidR="00D23100" w:rsidRPr="00DD23B8" w:rsidRDefault="00D23100" w:rsidP="0083182F">
      <w:pPr>
        <w:tabs>
          <w:tab w:val="left" w:pos="567"/>
        </w:tabs>
        <w:jc w:val="both"/>
        <w:rPr>
          <w:b/>
          <w:bCs/>
          <w:szCs w:val="24"/>
          <w:lang w:eastAsia="en-AU"/>
        </w:rPr>
      </w:pPr>
    </w:p>
    <w:p w:rsidR="007E2640" w:rsidRPr="00DD23B8" w:rsidRDefault="004F6ED4" w:rsidP="0083182F">
      <w:pPr>
        <w:tabs>
          <w:tab w:val="left" w:pos="567"/>
        </w:tabs>
        <w:jc w:val="both"/>
        <w:rPr>
          <w:szCs w:val="24"/>
          <w:lang w:eastAsia="en-AU"/>
        </w:rPr>
      </w:pPr>
      <w:r w:rsidRPr="00DD23B8">
        <w:rPr>
          <w:b/>
          <w:bCs/>
          <w:szCs w:val="24"/>
          <w:lang w:eastAsia="en-AU"/>
        </w:rPr>
        <w:t>Financial implications</w:t>
      </w:r>
    </w:p>
    <w:p w:rsidR="00FD2CED" w:rsidRPr="00DD23B8" w:rsidRDefault="00FD2CED" w:rsidP="0083182F">
      <w:pPr>
        <w:tabs>
          <w:tab w:val="left" w:pos="567"/>
        </w:tabs>
        <w:jc w:val="both"/>
        <w:rPr>
          <w:szCs w:val="24"/>
          <w:lang w:eastAsia="en-AU"/>
        </w:rPr>
      </w:pPr>
    </w:p>
    <w:p w:rsidR="00DB79EA" w:rsidRPr="009051F4" w:rsidRDefault="00DB79EA" w:rsidP="0083182F">
      <w:pPr>
        <w:pStyle w:val="Numberparagraph"/>
        <w:ind w:left="0" w:firstLine="0"/>
      </w:pPr>
      <w:r w:rsidRPr="007235C9">
        <w:t xml:space="preserve">The proposed </w:t>
      </w:r>
      <w:r w:rsidR="006C34A7">
        <w:t>rule</w:t>
      </w:r>
      <w:r w:rsidR="00FD2CED">
        <w:t xml:space="preserve"> on foreign hybrid entity losses derived from the </w:t>
      </w:r>
      <w:r w:rsidR="00FD2CED">
        <w:rPr>
          <w:i/>
        </w:rPr>
        <w:t>Addressing hybrid mismatch arrangements discussion document</w:t>
      </w:r>
      <w:r w:rsidRPr="007235C9">
        <w:t xml:space="preserve"> </w:t>
      </w:r>
      <w:r w:rsidR="006C34A7">
        <w:t xml:space="preserve">is </w:t>
      </w:r>
      <w:r w:rsidRPr="007235C9">
        <w:t xml:space="preserve">estimated to increase tax revenue by $50 million </w:t>
      </w:r>
      <w:r w:rsidRPr="009051F4">
        <w:t>per annum</w:t>
      </w:r>
      <w:r w:rsidR="0036460D" w:rsidRPr="009051F4">
        <w:t xml:space="preserve"> once fully implemented</w:t>
      </w:r>
      <w:r w:rsidRPr="009051F4">
        <w:t>.</w:t>
      </w:r>
      <w:r w:rsidR="006C34A7" w:rsidRPr="009051F4">
        <w:t xml:space="preserve"> </w:t>
      </w:r>
      <w:r w:rsidR="0036460D" w:rsidRPr="009051F4">
        <w:t>I</w:t>
      </w:r>
      <w:r w:rsidR="007235C9" w:rsidRPr="009051F4">
        <w:t xml:space="preserve">n the first year of </w:t>
      </w:r>
      <w:r w:rsidR="006C34A7" w:rsidRPr="009051F4">
        <w:t>application</w:t>
      </w:r>
      <w:r w:rsidR="007235C9" w:rsidRPr="009051F4">
        <w:t xml:space="preserve"> 2018/19, </w:t>
      </w:r>
      <w:r w:rsidR="006C34A7" w:rsidRPr="009051F4">
        <w:t>approximately</w:t>
      </w:r>
      <w:r w:rsidR="007235C9" w:rsidRPr="009051F4">
        <w:t xml:space="preserve"> half</w:t>
      </w:r>
      <w:r w:rsidR="006C34A7" w:rsidRPr="009051F4">
        <w:t xml:space="preserve"> ($25 million)</w:t>
      </w:r>
      <w:r w:rsidR="007235C9" w:rsidRPr="009051F4">
        <w:t xml:space="preserve"> of that estimated revenue will be captured.</w:t>
      </w:r>
    </w:p>
    <w:p w:rsidR="007C6E29" w:rsidRPr="009051F4" w:rsidRDefault="007C6E29" w:rsidP="0083182F">
      <w:pPr>
        <w:pStyle w:val="ListParagraph"/>
        <w:tabs>
          <w:tab w:val="left" w:pos="567"/>
        </w:tabs>
        <w:ind w:left="0"/>
      </w:pPr>
    </w:p>
    <w:p w:rsidR="007C6E29" w:rsidRPr="009051F4" w:rsidRDefault="00072C4A" w:rsidP="0083182F">
      <w:pPr>
        <w:pStyle w:val="Numberparagraph"/>
        <w:ind w:left="0" w:firstLine="0"/>
      </w:pPr>
      <w:r w:rsidRPr="009051F4">
        <w:t>That</w:t>
      </w:r>
      <w:r w:rsidR="007235C9" w:rsidRPr="009051F4">
        <w:t xml:space="preserve"> rule may influence taxpayers to restructure their arrangements so that they fall out of the scope of the rule. </w:t>
      </w:r>
      <w:r w:rsidR="0036460D" w:rsidRPr="009051F4">
        <w:t>T</w:t>
      </w:r>
      <w:r w:rsidR="007235C9" w:rsidRPr="009051F4">
        <w:t xml:space="preserve">his </w:t>
      </w:r>
      <w:r w:rsidR="0013493F" w:rsidRPr="009051F4">
        <w:t xml:space="preserve">should </w:t>
      </w:r>
      <w:r w:rsidR="009D7898" w:rsidRPr="009051F4">
        <w:t>not alter the estimated re</w:t>
      </w:r>
      <w:r w:rsidR="007235C9" w:rsidRPr="009051F4">
        <w:t xml:space="preserve">venue effect. </w:t>
      </w:r>
      <w:r w:rsidR="00EB616D" w:rsidRPr="009051F4">
        <w:t>Further, s</w:t>
      </w:r>
      <w:r w:rsidR="009D7898" w:rsidRPr="009051F4">
        <w:t xml:space="preserve">pecific design issues relating to the proposed rule (such as the opaque election to ease compliance costs) </w:t>
      </w:r>
      <w:r w:rsidR="00EB616D" w:rsidRPr="009051F4">
        <w:t>should</w:t>
      </w:r>
      <w:r w:rsidR="009D7898" w:rsidRPr="009051F4">
        <w:t xml:space="preserve"> not affect the estimated revenue.</w:t>
      </w:r>
    </w:p>
    <w:p w:rsidR="00E4232F" w:rsidRPr="009051F4" w:rsidRDefault="00E4232F" w:rsidP="00072C4A">
      <w:pPr>
        <w:pStyle w:val="Numberparagraph"/>
        <w:numPr>
          <w:ilvl w:val="0"/>
          <w:numId w:val="0"/>
        </w:numPr>
      </w:pPr>
    </w:p>
    <w:p w:rsidR="00B17F32" w:rsidRPr="009051F4" w:rsidRDefault="00B17F32" w:rsidP="00982FB4">
      <w:pPr>
        <w:pStyle w:val="Numberparagraph"/>
        <w:ind w:left="0" w:firstLine="0"/>
      </w:pPr>
      <w:r w:rsidRPr="009051F4">
        <w:t xml:space="preserve">A total of $140 million in additional BEPS revenues was estimated at the time the </w:t>
      </w:r>
      <w:r w:rsidR="00FD2CED" w:rsidRPr="009051F4">
        <w:t>March discussion documents</w:t>
      </w:r>
      <w:r w:rsidRPr="009051F4">
        <w:t xml:space="preserve"> were released - assuming all of the proposals are implemented.  </w:t>
      </w:r>
    </w:p>
    <w:p w:rsidR="00B17F32" w:rsidRPr="009051F4" w:rsidRDefault="00B17F32" w:rsidP="00982FB4">
      <w:pPr>
        <w:pStyle w:val="Numberparagraph"/>
        <w:numPr>
          <w:ilvl w:val="0"/>
          <w:numId w:val="0"/>
        </w:numPr>
      </w:pPr>
    </w:p>
    <w:p w:rsidR="00B17F32" w:rsidRPr="009051F4" w:rsidRDefault="0056734B" w:rsidP="00982FB4">
      <w:pPr>
        <w:pStyle w:val="Numberparagraph"/>
        <w:ind w:left="0" w:firstLine="0"/>
      </w:pPr>
      <w:r w:rsidRPr="009051F4">
        <w:t>We seek Cabinet’s approval for the</w:t>
      </w:r>
      <w:r w:rsidR="00B17F32" w:rsidRPr="009051F4">
        <w:t xml:space="preserve"> BEPS reforms </w:t>
      </w:r>
      <w:r w:rsidRPr="009051F4">
        <w:t>to</w:t>
      </w:r>
      <w:r w:rsidR="00B17F32" w:rsidRPr="009051F4">
        <w:t xml:space="preserve"> be progressed, </w:t>
      </w:r>
      <w:r w:rsidRPr="009051F4">
        <w:t>subject to modification in consultation, for im</w:t>
      </w:r>
      <w:r w:rsidR="00EB616D" w:rsidRPr="009051F4">
        <w:t>plementation from 1 July 2018. When combined with the decision on foreign hybrid entity double deductions, t</w:t>
      </w:r>
      <w:r w:rsidR="0093574E" w:rsidRPr="009051F4">
        <w:t>his will result in an adjustment to the revenue forecasts of</w:t>
      </w:r>
      <w:r w:rsidRPr="009051F4">
        <w:t xml:space="preserve"> </w:t>
      </w:r>
      <w:r w:rsidR="00B17F32" w:rsidRPr="009051F4">
        <w:t>$</w:t>
      </w:r>
      <w:r w:rsidR="00FD2CED" w:rsidRPr="009051F4">
        <w:t xml:space="preserve">100 </w:t>
      </w:r>
      <w:r w:rsidR="00B17F32" w:rsidRPr="009051F4">
        <w:t>million per year from 2019/20 (with $</w:t>
      </w:r>
      <w:r w:rsidR="00FD2CED" w:rsidRPr="009051F4">
        <w:t xml:space="preserve">50 </w:t>
      </w:r>
      <w:r w:rsidR="00B17F32" w:rsidRPr="009051F4">
        <w:t>million forecast in the preceding year)</w:t>
      </w:r>
      <w:r w:rsidRPr="009051F4">
        <w:t>.</w:t>
      </w:r>
      <w:r w:rsidR="00EB616D" w:rsidRPr="009051F4">
        <w:t xml:space="preserve"> </w:t>
      </w:r>
      <w:r w:rsidRPr="009051F4">
        <w:t xml:space="preserve">Given this is a conservative estimate, we note there is an accompanying </w:t>
      </w:r>
      <w:r w:rsidR="00B17F32" w:rsidRPr="009051F4">
        <w:t>positive fiscal risk that the revenue may be higher than estimated.</w:t>
      </w:r>
    </w:p>
    <w:p w:rsidR="00FD2CED" w:rsidRPr="009051F4" w:rsidRDefault="00FD2CED" w:rsidP="00072C4A">
      <w:pPr>
        <w:pStyle w:val="Numberparagraph"/>
        <w:numPr>
          <w:ilvl w:val="0"/>
          <w:numId w:val="0"/>
        </w:numPr>
      </w:pPr>
    </w:p>
    <w:p w:rsidR="00FD2CED" w:rsidRDefault="00FD2CED" w:rsidP="00072C4A">
      <w:pPr>
        <w:pStyle w:val="Numberparagraph"/>
        <w:ind w:left="0" w:firstLine="0"/>
      </w:pPr>
      <w:r w:rsidRPr="009051F4">
        <w:t>These estimates assume that t</w:t>
      </w:r>
      <w:r w:rsidR="00072C4A" w:rsidRPr="009051F4">
        <w:t xml:space="preserve">he Government will introduce a BEPS </w:t>
      </w:r>
      <w:r w:rsidRPr="009051F4">
        <w:t>taxation bill following the general</w:t>
      </w:r>
      <w:r>
        <w:t xml:space="preserve"> election which includes the proposed foreign hybrid entity rule and</w:t>
      </w:r>
      <w:r w:rsidR="00072C4A">
        <w:t xml:space="preserve"> other proposed BEPS measures and</w:t>
      </w:r>
      <w:r>
        <w:t xml:space="preserve"> that the bill is enacted as l</w:t>
      </w:r>
      <w:r w:rsidR="00DC2095">
        <w:t>egislation and is in force by 1 </w:t>
      </w:r>
      <w:r>
        <w:t>July 2018.</w:t>
      </w:r>
    </w:p>
    <w:p w:rsidR="00FD2CED" w:rsidRDefault="00FD2CED" w:rsidP="00FD2CED">
      <w:pPr>
        <w:pStyle w:val="Numberparagraph"/>
        <w:numPr>
          <w:ilvl w:val="0"/>
          <w:numId w:val="0"/>
        </w:numPr>
      </w:pPr>
    </w:p>
    <w:tbl>
      <w:tblPr>
        <w:tblW w:w="0" w:type="auto"/>
        <w:tblCellMar>
          <w:left w:w="0" w:type="dxa"/>
          <w:right w:w="0" w:type="dxa"/>
        </w:tblCellMar>
        <w:tblLook w:val="04A0" w:firstRow="1" w:lastRow="0" w:firstColumn="1" w:lastColumn="0" w:noHBand="0" w:noVBand="1"/>
      </w:tblPr>
      <w:tblGrid>
        <w:gridCol w:w="1537"/>
        <w:gridCol w:w="1063"/>
        <w:gridCol w:w="1063"/>
        <w:gridCol w:w="1063"/>
        <w:gridCol w:w="1064"/>
        <w:gridCol w:w="1064"/>
        <w:gridCol w:w="1064"/>
        <w:gridCol w:w="1198"/>
      </w:tblGrid>
      <w:tr w:rsidR="00FD2CED" w:rsidRPr="000E25EC" w:rsidTr="00560A13">
        <w:tc>
          <w:tcPr>
            <w:tcW w:w="911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center"/>
              <w:rPr>
                <w:rFonts w:eastAsia="Calibri"/>
                <w:szCs w:val="24"/>
                <w:lang w:eastAsia="en-NZ"/>
              </w:rPr>
            </w:pPr>
            <w:r w:rsidRPr="0060478A">
              <w:rPr>
                <w:szCs w:val="24"/>
                <w:lang w:eastAsia="en-NZ"/>
              </w:rPr>
              <w:t>$ million – increase / (decrease)</w:t>
            </w:r>
          </w:p>
        </w:tc>
      </w:tr>
      <w:tr w:rsidR="00FD2CED" w:rsidRPr="000E25EC" w:rsidTr="00560A13">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rPr>
                <w:rFonts w:eastAsia="Calibri"/>
                <w:b/>
                <w:bCs/>
                <w:szCs w:val="24"/>
                <w:lang w:eastAsia="en-NZ"/>
              </w:rPr>
            </w:pPr>
            <w:r w:rsidRPr="0060478A">
              <w:rPr>
                <w:b/>
                <w:bCs/>
                <w:szCs w:val="24"/>
                <w:lang w:eastAsia="en-NZ"/>
              </w:rPr>
              <w:t>Vote Revenue</w:t>
            </w:r>
          </w:p>
        </w:tc>
        <w:tc>
          <w:tcPr>
            <w:tcW w:w="1063"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2016</w:t>
            </w:r>
          </w:p>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/17</w:t>
            </w:r>
          </w:p>
        </w:tc>
        <w:tc>
          <w:tcPr>
            <w:tcW w:w="1063"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2017</w:t>
            </w:r>
          </w:p>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/18</w:t>
            </w:r>
          </w:p>
        </w:tc>
        <w:tc>
          <w:tcPr>
            <w:tcW w:w="1063"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2018</w:t>
            </w:r>
          </w:p>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/19</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2019</w:t>
            </w:r>
          </w:p>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2020</w:t>
            </w:r>
          </w:p>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/21</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2021</w:t>
            </w:r>
          </w:p>
          <w:p w:rsidR="00FD2CED" w:rsidRPr="0060478A" w:rsidRDefault="00FD2CED" w:rsidP="00560A13">
            <w:pPr>
              <w:autoSpaceDE w:val="0"/>
              <w:autoSpaceDN w:val="0"/>
              <w:jc w:val="right"/>
              <w:rPr>
                <w:rFonts w:eastAsia="Calibri"/>
                <w:b/>
                <w:bCs/>
                <w:szCs w:val="24"/>
                <w:lang w:eastAsia="en-NZ"/>
              </w:rPr>
            </w:pPr>
            <w:r w:rsidRPr="0060478A">
              <w:rPr>
                <w:b/>
                <w:bCs/>
                <w:szCs w:val="24"/>
                <w:lang w:eastAsia="en-NZ"/>
              </w:rPr>
              <w:t>/22</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b/>
                <w:bCs/>
                <w:szCs w:val="24"/>
                <w:lang w:eastAsia="en-NZ"/>
              </w:rPr>
              <w:t>2022/23 and out years</w:t>
            </w:r>
          </w:p>
        </w:tc>
      </w:tr>
      <w:tr w:rsidR="00FD2CED" w:rsidRPr="000E25EC" w:rsidTr="00072C4A">
        <w:tc>
          <w:tcPr>
            <w:tcW w:w="153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D2CED" w:rsidRPr="0060478A" w:rsidRDefault="00FD2CED" w:rsidP="005558B8">
            <w:pPr>
              <w:rPr>
                <w:rFonts w:eastAsia="Calibri"/>
                <w:szCs w:val="24"/>
              </w:rPr>
            </w:pPr>
            <w:r w:rsidRPr="0060478A">
              <w:rPr>
                <w:szCs w:val="24"/>
              </w:rPr>
              <w:t>Foreign hybrid entit</w:t>
            </w:r>
            <w:r w:rsidR="00072C4A" w:rsidRPr="0060478A">
              <w:rPr>
                <w:szCs w:val="24"/>
              </w:rPr>
              <w:t xml:space="preserve">y </w:t>
            </w:r>
            <w:r w:rsidR="005558B8">
              <w:rPr>
                <w:szCs w:val="24"/>
              </w:rPr>
              <w:t>double deductions</w:t>
            </w:r>
          </w:p>
        </w:tc>
        <w:tc>
          <w:tcPr>
            <w:tcW w:w="1063"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szCs w:val="24"/>
                <w:lang w:eastAsia="en-NZ"/>
              </w:rPr>
              <w:t>0</w:t>
            </w:r>
          </w:p>
        </w:tc>
        <w:tc>
          <w:tcPr>
            <w:tcW w:w="1063"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szCs w:val="24"/>
                <w:lang w:eastAsia="en-NZ"/>
              </w:rPr>
              <w:t>0</w:t>
            </w:r>
          </w:p>
        </w:tc>
        <w:tc>
          <w:tcPr>
            <w:tcW w:w="1063"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rFonts w:eastAsia="Calibri"/>
                <w:szCs w:val="24"/>
                <w:lang w:eastAsia="en-NZ"/>
              </w:rPr>
              <w:t>25</w:t>
            </w:r>
          </w:p>
        </w:tc>
        <w:tc>
          <w:tcPr>
            <w:tcW w:w="1064"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rFonts w:eastAsia="Calibri"/>
                <w:szCs w:val="24"/>
                <w:lang w:eastAsia="en-NZ"/>
              </w:rPr>
              <w:t>50</w:t>
            </w:r>
          </w:p>
        </w:tc>
        <w:tc>
          <w:tcPr>
            <w:tcW w:w="1064"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szCs w:val="24"/>
                <w:lang w:eastAsia="en-NZ"/>
              </w:rPr>
              <w:t>50</w:t>
            </w:r>
          </w:p>
        </w:tc>
        <w:tc>
          <w:tcPr>
            <w:tcW w:w="1064"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lang w:eastAsia="en-NZ"/>
              </w:rPr>
            </w:pPr>
            <w:r w:rsidRPr="0060478A">
              <w:rPr>
                <w:szCs w:val="24"/>
                <w:lang w:eastAsia="en-NZ"/>
              </w:rPr>
              <w:t>50</w:t>
            </w:r>
          </w:p>
        </w:tc>
        <w:tc>
          <w:tcPr>
            <w:tcW w:w="1198" w:type="dxa"/>
            <w:tcBorders>
              <w:top w:val="nil"/>
              <w:left w:val="nil"/>
              <w:bottom w:val="single" w:sz="4" w:space="0" w:color="auto"/>
              <w:right w:val="single" w:sz="8" w:space="0" w:color="auto"/>
            </w:tcBorders>
            <w:tcMar>
              <w:top w:w="0" w:type="dxa"/>
              <w:left w:w="108" w:type="dxa"/>
              <w:bottom w:w="0" w:type="dxa"/>
              <w:right w:w="108" w:type="dxa"/>
            </w:tcMar>
            <w:hideMark/>
          </w:tcPr>
          <w:p w:rsidR="00FD2CED" w:rsidRPr="0060478A" w:rsidRDefault="00FD2CED" w:rsidP="00560A13">
            <w:pPr>
              <w:autoSpaceDE w:val="0"/>
              <w:autoSpaceDN w:val="0"/>
              <w:jc w:val="right"/>
              <w:rPr>
                <w:rFonts w:eastAsia="Calibri"/>
                <w:szCs w:val="24"/>
                <w:highlight w:val="yellow"/>
                <w:lang w:eastAsia="en-NZ"/>
              </w:rPr>
            </w:pPr>
            <w:r w:rsidRPr="0060478A">
              <w:rPr>
                <w:szCs w:val="24"/>
                <w:lang w:eastAsia="en-NZ"/>
              </w:rPr>
              <w:t>50</w:t>
            </w:r>
          </w:p>
        </w:tc>
      </w:tr>
      <w:tr w:rsidR="00FD2CED" w:rsidRPr="000E25EC" w:rsidTr="00072C4A">
        <w:tc>
          <w:tcPr>
            <w:tcW w:w="153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D2CED" w:rsidRPr="0060478A" w:rsidDel="00FD2CED" w:rsidRDefault="00FD2CED" w:rsidP="00560A13">
            <w:pPr>
              <w:rPr>
                <w:szCs w:val="24"/>
              </w:rPr>
            </w:pPr>
            <w:r w:rsidRPr="0060478A">
              <w:rPr>
                <w:szCs w:val="24"/>
              </w:rPr>
              <w:t>Other BEPS measures</w:t>
            </w:r>
          </w:p>
        </w:tc>
        <w:tc>
          <w:tcPr>
            <w:tcW w:w="10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rFonts w:eastAsia="Calibri"/>
                <w:szCs w:val="24"/>
                <w:lang w:eastAsia="en-NZ"/>
              </w:rPr>
            </w:pPr>
            <w:r w:rsidRPr="0060478A">
              <w:rPr>
                <w:rFonts w:eastAsia="Calibri"/>
                <w:szCs w:val="24"/>
                <w:lang w:eastAsia="en-NZ"/>
              </w:rPr>
              <w:t>25</w:t>
            </w: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rFonts w:eastAsia="Calibri"/>
                <w:szCs w:val="24"/>
                <w:lang w:eastAsia="en-NZ"/>
              </w:rPr>
            </w:pPr>
            <w:r w:rsidRPr="0060478A">
              <w:rPr>
                <w:rFonts w:eastAsia="Calibri"/>
                <w:szCs w:val="24"/>
                <w:lang w:eastAsia="en-NZ"/>
              </w:rPr>
              <w:t>50</w:t>
            </w: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50</w:t>
            </w: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50</w:t>
            </w:r>
          </w:p>
        </w:tc>
        <w:tc>
          <w:tcPr>
            <w:tcW w:w="119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50</w:t>
            </w:r>
          </w:p>
        </w:tc>
      </w:tr>
      <w:tr w:rsidR="00FD2CED" w:rsidRPr="000E25EC" w:rsidTr="00FD2CED">
        <w:tc>
          <w:tcPr>
            <w:tcW w:w="15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D2CED" w:rsidRPr="0060478A" w:rsidRDefault="00FD2CED" w:rsidP="00560A13">
            <w:pPr>
              <w:rPr>
                <w:b/>
                <w:szCs w:val="24"/>
              </w:rPr>
            </w:pPr>
            <w:r w:rsidRPr="0060478A">
              <w:rPr>
                <w:b/>
                <w:szCs w:val="24"/>
              </w:rPr>
              <w:t>Total revenue effect</w:t>
            </w:r>
          </w:p>
        </w:tc>
        <w:tc>
          <w:tcPr>
            <w:tcW w:w="10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rFonts w:eastAsia="Calibri"/>
                <w:szCs w:val="24"/>
                <w:lang w:eastAsia="en-NZ"/>
              </w:rPr>
            </w:pPr>
            <w:r w:rsidRPr="0060478A">
              <w:rPr>
                <w:rFonts w:eastAsia="Calibri"/>
                <w:szCs w:val="24"/>
                <w:lang w:eastAsia="en-NZ"/>
              </w:rPr>
              <w:t>50</w:t>
            </w:r>
          </w:p>
        </w:tc>
        <w:tc>
          <w:tcPr>
            <w:tcW w:w="10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rFonts w:eastAsia="Calibri"/>
                <w:szCs w:val="24"/>
                <w:lang w:eastAsia="en-NZ"/>
              </w:rPr>
            </w:pPr>
            <w:r w:rsidRPr="0060478A">
              <w:rPr>
                <w:rFonts w:eastAsia="Calibri"/>
                <w:szCs w:val="24"/>
                <w:lang w:eastAsia="en-NZ"/>
              </w:rPr>
              <w:t>100</w:t>
            </w:r>
          </w:p>
        </w:tc>
        <w:tc>
          <w:tcPr>
            <w:tcW w:w="10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100</w:t>
            </w:r>
          </w:p>
        </w:tc>
        <w:tc>
          <w:tcPr>
            <w:tcW w:w="10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100</w:t>
            </w:r>
          </w:p>
        </w:tc>
        <w:tc>
          <w:tcPr>
            <w:tcW w:w="119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D2CED" w:rsidRPr="0060478A" w:rsidRDefault="00FD2CED" w:rsidP="00560A13">
            <w:pPr>
              <w:autoSpaceDE w:val="0"/>
              <w:autoSpaceDN w:val="0"/>
              <w:jc w:val="right"/>
              <w:rPr>
                <w:szCs w:val="24"/>
                <w:lang w:eastAsia="en-NZ"/>
              </w:rPr>
            </w:pPr>
            <w:r w:rsidRPr="0060478A">
              <w:rPr>
                <w:szCs w:val="24"/>
                <w:lang w:eastAsia="en-NZ"/>
              </w:rPr>
              <w:t>100</w:t>
            </w:r>
          </w:p>
        </w:tc>
      </w:tr>
    </w:tbl>
    <w:p w:rsidR="00FD2CED" w:rsidRDefault="00FD2CED" w:rsidP="00FD2CED">
      <w:pPr>
        <w:pStyle w:val="Numberparagraph"/>
        <w:numPr>
          <w:ilvl w:val="0"/>
          <w:numId w:val="0"/>
        </w:numPr>
        <w:ind w:left="720" w:hanging="360"/>
      </w:pPr>
    </w:p>
    <w:p w:rsidR="00763BDD" w:rsidRPr="00DD23B8" w:rsidRDefault="00763BDD" w:rsidP="0083182F">
      <w:pPr>
        <w:tabs>
          <w:tab w:val="left" w:pos="567"/>
        </w:tabs>
        <w:jc w:val="both"/>
        <w:rPr>
          <w:szCs w:val="24"/>
          <w:lang w:eastAsia="en-AU"/>
        </w:rPr>
      </w:pPr>
    </w:p>
    <w:p w:rsidR="007E2640" w:rsidRPr="00DD23B8" w:rsidRDefault="004F6ED4" w:rsidP="0083182F">
      <w:pPr>
        <w:tabs>
          <w:tab w:val="left" w:pos="567"/>
        </w:tabs>
        <w:jc w:val="both"/>
        <w:rPr>
          <w:b/>
          <w:szCs w:val="24"/>
          <w:lang w:eastAsia="en-AU"/>
        </w:rPr>
      </w:pPr>
      <w:r w:rsidRPr="00DD23B8">
        <w:rPr>
          <w:b/>
          <w:szCs w:val="24"/>
          <w:lang w:eastAsia="en-AU"/>
        </w:rPr>
        <w:t>H</w:t>
      </w:r>
      <w:r w:rsidR="00763BDD">
        <w:rPr>
          <w:b/>
          <w:bCs/>
          <w:szCs w:val="24"/>
          <w:lang w:eastAsia="en-AU"/>
        </w:rPr>
        <w:t>uman rights</w:t>
      </w:r>
    </w:p>
    <w:p w:rsidR="00763BDD" w:rsidRDefault="00763BDD" w:rsidP="0083182F">
      <w:pPr>
        <w:tabs>
          <w:tab w:val="left" w:pos="567"/>
        </w:tabs>
        <w:jc w:val="both"/>
        <w:rPr>
          <w:szCs w:val="24"/>
          <w:lang w:eastAsia="en-AU"/>
        </w:rPr>
      </w:pPr>
    </w:p>
    <w:p w:rsidR="00E4232F" w:rsidRPr="00E4232F" w:rsidRDefault="007C6E29" w:rsidP="0083182F">
      <w:pPr>
        <w:pStyle w:val="Numberparagraph"/>
        <w:ind w:left="0" w:firstLine="0"/>
      </w:pPr>
      <w:r w:rsidRPr="007C6E29">
        <w:t>The proposals in this paper are consistent with the New Zealand Bill of Rights Act 1990 and the Human Rights Act 1993.</w:t>
      </w:r>
    </w:p>
    <w:p w:rsidR="00D23100" w:rsidRDefault="00D23100" w:rsidP="0083182F">
      <w:pPr>
        <w:tabs>
          <w:tab w:val="left" w:pos="567"/>
        </w:tabs>
        <w:jc w:val="both"/>
        <w:rPr>
          <w:szCs w:val="24"/>
          <w:lang w:eastAsia="en-AU"/>
        </w:rPr>
      </w:pPr>
    </w:p>
    <w:p w:rsidR="00763BDD" w:rsidRPr="00DD23B8" w:rsidRDefault="00763BDD" w:rsidP="0083182F">
      <w:pPr>
        <w:tabs>
          <w:tab w:val="left" w:pos="567"/>
        </w:tabs>
        <w:jc w:val="both"/>
        <w:rPr>
          <w:szCs w:val="24"/>
          <w:lang w:eastAsia="en-AU"/>
        </w:rPr>
      </w:pPr>
    </w:p>
    <w:p w:rsidR="007E2640" w:rsidRPr="00DD23B8" w:rsidRDefault="004F6ED4" w:rsidP="0083182F">
      <w:pPr>
        <w:tabs>
          <w:tab w:val="left" w:pos="567"/>
        </w:tabs>
        <w:jc w:val="both"/>
        <w:rPr>
          <w:b/>
          <w:szCs w:val="24"/>
          <w:lang w:eastAsia="en-AU"/>
        </w:rPr>
      </w:pPr>
      <w:r w:rsidRPr="00DD23B8">
        <w:rPr>
          <w:b/>
          <w:szCs w:val="24"/>
          <w:lang w:eastAsia="en-AU"/>
        </w:rPr>
        <w:t>L</w:t>
      </w:r>
      <w:r w:rsidRPr="00DD23B8">
        <w:rPr>
          <w:b/>
          <w:bCs/>
          <w:szCs w:val="24"/>
          <w:lang w:eastAsia="en-AU"/>
        </w:rPr>
        <w:t>egislative implications</w:t>
      </w:r>
    </w:p>
    <w:p w:rsidR="00D23100" w:rsidRPr="00DD23B8" w:rsidRDefault="00D23100" w:rsidP="0083182F">
      <w:pPr>
        <w:tabs>
          <w:tab w:val="left" w:pos="567"/>
        </w:tabs>
        <w:jc w:val="both"/>
        <w:rPr>
          <w:szCs w:val="24"/>
          <w:lang w:eastAsia="en-AU"/>
        </w:rPr>
      </w:pPr>
    </w:p>
    <w:p w:rsidR="00E4232F" w:rsidRPr="00E4232F" w:rsidRDefault="007C6E29" w:rsidP="0083182F">
      <w:pPr>
        <w:pStyle w:val="Numberparagraph"/>
        <w:ind w:left="0" w:firstLine="0"/>
      </w:pPr>
      <w:r>
        <w:t>P</w:t>
      </w:r>
      <w:r w:rsidRPr="007C6E29">
        <w:t>rimary legislation would be required</w:t>
      </w:r>
      <w:r>
        <w:t xml:space="preserve"> to implement the proposal</w:t>
      </w:r>
      <w:r w:rsidR="009114F1">
        <w:t>s</w:t>
      </w:r>
      <w:r>
        <w:t xml:space="preserve"> </w:t>
      </w:r>
      <w:r w:rsidR="009114F1">
        <w:t>in</w:t>
      </w:r>
      <w:r>
        <w:t xml:space="preserve"> this paper</w:t>
      </w:r>
      <w:r w:rsidRPr="007C6E29">
        <w:t>. At this stage, it is feasible for legislation to be introduced</w:t>
      </w:r>
      <w:r>
        <w:t xml:space="preserve"> to Parliament</w:t>
      </w:r>
      <w:r w:rsidRPr="007C6E29">
        <w:t xml:space="preserve"> </w:t>
      </w:r>
      <w:r w:rsidR="0056734B">
        <w:t xml:space="preserve">that will encompass all the BEPS measures (including the </w:t>
      </w:r>
      <w:r>
        <w:t>hybrids mismatch arrangements project</w:t>
      </w:r>
      <w:r w:rsidR="0056734B">
        <w:t>)</w:t>
      </w:r>
      <w:r>
        <w:t xml:space="preserve"> </w:t>
      </w:r>
      <w:r w:rsidRPr="007C6E29">
        <w:t>in an omnibus taxation bill</w:t>
      </w:r>
      <w:r>
        <w:t xml:space="preserve"> following the September general election</w:t>
      </w:r>
      <w:r w:rsidRPr="007C6E29">
        <w:t>.</w:t>
      </w:r>
    </w:p>
    <w:p w:rsidR="00D23100" w:rsidRDefault="00D23100" w:rsidP="0083182F">
      <w:pPr>
        <w:tabs>
          <w:tab w:val="left" w:pos="567"/>
        </w:tabs>
        <w:jc w:val="both"/>
        <w:rPr>
          <w:szCs w:val="24"/>
          <w:lang w:eastAsia="en-AU"/>
        </w:rPr>
      </w:pPr>
    </w:p>
    <w:p w:rsidR="00763BDD" w:rsidRPr="00DD23B8" w:rsidRDefault="00763BDD" w:rsidP="0083182F">
      <w:pPr>
        <w:tabs>
          <w:tab w:val="left" w:pos="567"/>
        </w:tabs>
        <w:jc w:val="both"/>
        <w:rPr>
          <w:szCs w:val="24"/>
          <w:lang w:eastAsia="en-AU"/>
        </w:rPr>
      </w:pPr>
    </w:p>
    <w:p w:rsidR="007E2640" w:rsidRPr="00DD23B8" w:rsidRDefault="004F6ED4" w:rsidP="0083182F">
      <w:pPr>
        <w:tabs>
          <w:tab w:val="left" w:pos="567"/>
        </w:tabs>
        <w:jc w:val="both"/>
        <w:rPr>
          <w:b/>
          <w:szCs w:val="24"/>
          <w:lang w:eastAsia="en-AU"/>
        </w:rPr>
      </w:pPr>
      <w:r w:rsidRPr="00DD23B8">
        <w:rPr>
          <w:b/>
          <w:szCs w:val="24"/>
          <w:lang w:eastAsia="en-AU"/>
        </w:rPr>
        <w:t>R</w:t>
      </w:r>
      <w:r w:rsidRPr="00DD23B8">
        <w:rPr>
          <w:b/>
          <w:bCs/>
          <w:szCs w:val="24"/>
          <w:lang w:eastAsia="en-AU"/>
        </w:rPr>
        <w:t>egulatory impact analysis</w:t>
      </w:r>
    </w:p>
    <w:p w:rsidR="00763BDD" w:rsidRDefault="00763BDD" w:rsidP="0083182F">
      <w:pPr>
        <w:tabs>
          <w:tab w:val="left" w:pos="567"/>
        </w:tabs>
        <w:jc w:val="both"/>
        <w:rPr>
          <w:szCs w:val="24"/>
          <w:lang w:eastAsia="en-AU"/>
        </w:rPr>
      </w:pPr>
    </w:p>
    <w:p w:rsidR="00A0224A" w:rsidRPr="00A058B1" w:rsidRDefault="00A058B1" w:rsidP="0083182F">
      <w:pPr>
        <w:pStyle w:val="Numberparagraph"/>
        <w:ind w:left="0" w:firstLine="0"/>
      </w:pPr>
      <w:r w:rsidRPr="00A058B1">
        <w:t>The Regulatory Impact Analysis Team at Treasury has advised that Inland Revenue is not required to prepare a Regulatory Impact Statement (RIS) at thi</w:t>
      </w:r>
      <w:r w:rsidR="00EB616D">
        <w:t xml:space="preserve">s stage of the policy process. </w:t>
      </w:r>
      <w:r w:rsidRPr="00A058B1">
        <w:t>The merits of the “in  principle” decisions being taken at this stage can be made based on analysis already provided in the public consultation paper</w:t>
      </w:r>
      <w:r w:rsidR="00372B5B">
        <w:t>s</w:t>
      </w:r>
      <w:r w:rsidRPr="00A058B1">
        <w:t xml:space="preserve"> released last year</w:t>
      </w:r>
      <w:r w:rsidR="0056734B">
        <w:t xml:space="preserve"> (on hybrids) and in March (for the balance of the BEPS proposals)</w:t>
      </w:r>
      <w:r w:rsidR="00EB616D">
        <w:t>.</w:t>
      </w:r>
      <w:r w:rsidRPr="00A058B1">
        <w:t xml:space="preserve"> A RIS will be </w:t>
      </w:r>
      <w:r w:rsidR="00740439">
        <w:t>provided</w:t>
      </w:r>
      <w:r w:rsidRPr="00A058B1">
        <w:t xml:space="preserve"> when Cabinet is asked to make final policy decisions </w:t>
      </w:r>
      <w:r w:rsidR="0056734B">
        <w:t>on these measures</w:t>
      </w:r>
      <w:r w:rsidRPr="00A058B1">
        <w:t>.</w:t>
      </w:r>
    </w:p>
    <w:p w:rsidR="00D23100" w:rsidRPr="00DD23B8" w:rsidRDefault="00D23100" w:rsidP="0083182F">
      <w:pPr>
        <w:tabs>
          <w:tab w:val="left" w:pos="567"/>
        </w:tabs>
        <w:jc w:val="both"/>
        <w:rPr>
          <w:szCs w:val="24"/>
          <w:lang w:eastAsia="en-AU"/>
        </w:rPr>
      </w:pPr>
    </w:p>
    <w:p w:rsidR="00D23100" w:rsidRDefault="00D23100" w:rsidP="0083182F">
      <w:pPr>
        <w:tabs>
          <w:tab w:val="left" w:pos="567"/>
        </w:tabs>
        <w:jc w:val="both"/>
        <w:rPr>
          <w:szCs w:val="24"/>
          <w:lang w:eastAsia="en-AU"/>
        </w:rPr>
      </w:pPr>
    </w:p>
    <w:p w:rsidR="009051F4" w:rsidRPr="00DD23B8" w:rsidRDefault="009051F4" w:rsidP="0083182F">
      <w:pPr>
        <w:tabs>
          <w:tab w:val="left" w:pos="567"/>
        </w:tabs>
        <w:jc w:val="both"/>
        <w:rPr>
          <w:szCs w:val="24"/>
          <w:lang w:eastAsia="en-AU"/>
        </w:rPr>
      </w:pPr>
    </w:p>
    <w:p w:rsidR="007E2640" w:rsidRPr="00DD23B8" w:rsidRDefault="004F6ED4" w:rsidP="0083182F">
      <w:pPr>
        <w:tabs>
          <w:tab w:val="left" w:pos="567"/>
        </w:tabs>
        <w:jc w:val="both"/>
        <w:rPr>
          <w:szCs w:val="24"/>
          <w:lang w:eastAsia="en-AU"/>
        </w:rPr>
      </w:pPr>
      <w:r w:rsidRPr="00DD23B8">
        <w:rPr>
          <w:b/>
          <w:bCs/>
          <w:szCs w:val="24"/>
          <w:lang w:eastAsia="en-AU"/>
        </w:rPr>
        <w:t>Publicity</w:t>
      </w:r>
    </w:p>
    <w:p w:rsidR="00D23100" w:rsidRPr="00DD23B8" w:rsidRDefault="00D23100" w:rsidP="0083182F">
      <w:pPr>
        <w:tabs>
          <w:tab w:val="left" w:pos="567"/>
        </w:tabs>
        <w:jc w:val="both"/>
        <w:rPr>
          <w:szCs w:val="24"/>
          <w:lang w:eastAsia="en-AU"/>
        </w:rPr>
      </w:pPr>
    </w:p>
    <w:p w:rsidR="00D23100" w:rsidRDefault="00DA6255" w:rsidP="0083182F">
      <w:pPr>
        <w:pStyle w:val="Numberparagraph"/>
        <w:ind w:left="0" w:firstLine="0"/>
      </w:pPr>
      <w:r>
        <w:t>The office</w:t>
      </w:r>
      <w:r w:rsidR="002536AC">
        <w:t>s</w:t>
      </w:r>
      <w:r>
        <w:t xml:space="preserve"> of the Minister of Finance</w:t>
      </w:r>
      <w:r w:rsidR="002536AC">
        <w:t xml:space="preserve"> and the Minister of Revenue</w:t>
      </w:r>
      <w:r>
        <w:t xml:space="preserve"> will arrange for the announcement of this decision if necessary, whether</w:t>
      </w:r>
      <w:r w:rsidR="002536AC">
        <w:t xml:space="preserve"> as</w:t>
      </w:r>
      <w:r>
        <w:t xml:space="preserve"> part of Budget 2017 or otherwise.</w:t>
      </w:r>
    </w:p>
    <w:p w:rsidR="00DC2095" w:rsidRDefault="00DC2095" w:rsidP="00DC2095">
      <w:pPr>
        <w:pStyle w:val="Numberparagraph"/>
        <w:numPr>
          <w:ilvl w:val="0"/>
          <w:numId w:val="0"/>
        </w:numPr>
      </w:pPr>
    </w:p>
    <w:p w:rsidR="00874B4E" w:rsidRPr="00874B4E" w:rsidRDefault="00874B4E" w:rsidP="00DC2095">
      <w:pPr>
        <w:pStyle w:val="Numberparagraph"/>
        <w:numPr>
          <w:ilvl w:val="0"/>
          <w:numId w:val="0"/>
        </w:numPr>
        <w:rPr>
          <w:b/>
        </w:rPr>
      </w:pPr>
      <w:r>
        <w:rPr>
          <w:b/>
        </w:rPr>
        <w:t>Risks</w:t>
      </w:r>
    </w:p>
    <w:p w:rsidR="00874B4E" w:rsidRDefault="00874B4E" w:rsidP="00DC2095">
      <w:pPr>
        <w:pStyle w:val="Numberparagraph"/>
        <w:numPr>
          <w:ilvl w:val="0"/>
          <w:numId w:val="0"/>
        </w:numPr>
      </w:pPr>
    </w:p>
    <w:p w:rsidR="00A25D68" w:rsidRDefault="00DC2095" w:rsidP="0083182F">
      <w:pPr>
        <w:pStyle w:val="Numberparagraph"/>
        <w:ind w:left="0" w:firstLine="0"/>
      </w:pPr>
      <w:r>
        <w:t>There are risks associated with including the revenue from these changes in the Bu</w:t>
      </w:r>
      <w:r w:rsidR="00EB616D">
        <w:t>dget documents.</w:t>
      </w:r>
      <w:r>
        <w:t xml:space="preserve"> Particularly in respect of the issues covered by the March discussion documents, the Government could be accused of making decisions before the consultation period has closed, effectively circumventing t</w:t>
      </w:r>
      <w:r w:rsidR="00EB616D">
        <w:t xml:space="preserve">he generic tax policy process. </w:t>
      </w:r>
      <w:r>
        <w:t xml:space="preserve">Equally, the private sector may see the relatively conservative estimate of $50m for these changes as an indication that the Government does not intend to implement the full suite of changes being consulted on.  </w:t>
      </w:r>
    </w:p>
    <w:p w:rsidR="00A25D68" w:rsidRDefault="00A25D68" w:rsidP="009051F4"/>
    <w:p w:rsidR="00DC2095" w:rsidRPr="00DD23B8" w:rsidRDefault="00A25D68" w:rsidP="0083182F">
      <w:pPr>
        <w:pStyle w:val="Numberparagraph"/>
        <w:ind w:left="0" w:firstLine="0"/>
      </w:pPr>
      <w:r>
        <w:t>In any event, w</w:t>
      </w:r>
      <w:r w:rsidR="00DC2095">
        <w:t>e consider risks can be mitigated through clear communication of the process by which the estimates are included in the Budget process.</w:t>
      </w:r>
    </w:p>
    <w:p w:rsidR="00C2449D" w:rsidRDefault="00C2449D">
      <w:pPr>
        <w:rPr>
          <w:b/>
          <w:bCs/>
          <w:szCs w:val="24"/>
          <w:lang w:eastAsia="en-AU"/>
        </w:rPr>
      </w:pPr>
      <w:r>
        <w:rPr>
          <w:b/>
          <w:bCs/>
          <w:szCs w:val="24"/>
          <w:lang w:eastAsia="en-AU"/>
        </w:rPr>
        <w:br w:type="page"/>
      </w:r>
    </w:p>
    <w:p w:rsidR="007E2640" w:rsidRDefault="004F6ED4" w:rsidP="0083182F">
      <w:pPr>
        <w:tabs>
          <w:tab w:val="left" w:pos="567"/>
        </w:tabs>
        <w:jc w:val="both"/>
        <w:rPr>
          <w:b/>
          <w:bCs/>
          <w:szCs w:val="24"/>
          <w:lang w:eastAsia="en-AU"/>
        </w:rPr>
      </w:pPr>
      <w:r w:rsidRPr="00DD23B8">
        <w:rPr>
          <w:b/>
          <w:bCs/>
          <w:szCs w:val="24"/>
          <w:lang w:eastAsia="en-AU"/>
        </w:rPr>
        <w:t>Recommendations</w:t>
      </w:r>
    </w:p>
    <w:p w:rsidR="00763BDD" w:rsidRPr="00DD23B8" w:rsidRDefault="00763BDD" w:rsidP="0083182F">
      <w:pPr>
        <w:tabs>
          <w:tab w:val="left" w:pos="567"/>
        </w:tabs>
        <w:jc w:val="both"/>
        <w:rPr>
          <w:szCs w:val="24"/>
          <w:lang w:eastAsia="en-AU"/>
        </w:rPr>
      </w:pPr>
    </w:p>
    <w:p w:rsidR="007C6E29" w:rsidRPr="007C6E29" w:rsidRDefault="001A70AB" w:rsidP="0083182F">
      <w:pPr>
        <w:pStyle w:val="Numberparagraph"/>
        <w:ind w:left="0" w:firstLine="0"/>
      </w:pPr>
      <w:r>
        <w:t>We recommend that you:</w:t>
      </w:r>
    </w:p>
    <w:p w:rsidR="007C6E29" w:rsidRPr="007C6E29" w:rsidRDefault="007C6E29" w:rsidP="007C6E29">
      <w:pPr>
        <w:pStyle w:val="Recommendationfirstlevel"/>
        <w:numPr>
          <w:ilvl w:val="0"/>
          <w:numId w:val="0"/>
        </w:numPr>
        <w:ind w:left="1134"/>
      </w:pPr>
    </w:p>
    <w:p w:rsidR="00415C5B" w:rsidRDefault="00072C4A" w:rsidP="00415C5B">
      <w:pPr>
        <w:pStyle w:val="Recommendationfirstlevel"/>
      </w:pPr>
      <w:r>
        <w:rPr>
          <w:b/>
        </w:rPr>
        <w:t>Agree</w:t>
      </w:r>
      <w:r>
        <w:t xml:space="preserve"> to restrict</w:t>
      </w:r>
      <w:r w:rsidR="001A70AB">
        <w:t xml:space="preserve"> the</w:t>
      </w:r>
      <w:r w:rsidR="00093401" w:rsidRPr="00372B5B">
        <w:t xml:space="preserve"> ability</w:t>
      </w:r>
      <w:r w:rsidR="00093401">
        <w:t xml:space="preserve"> of New Zealand business</w:t>
      </w:r>
      <w:r>
        <w:t xml:space="preserve">es to use </w:t>
      </w:r>
      <w:r w:rsidR="00EB616D">
        <w:t>double deductions</w:t>
      </w:r>
      <w:r>
        <w:t xml:space="preserve"> of foreign h</w:t>
      </w:r>
      <w:r w:rsidR="00093401">
        <w:t>ybrid entit</w:t>
      </w:r>
      <w:r>
        <w:t>ies, particularly Australian Limited Partnerships (ALPs),</w:t>
      </w:r>
      <w:r w:rsidR="00093401">
        <w:t xml:space="preserve"> to reduce </w:t>
      </w:r>
      <w:r>
        <w:t>their</w:t>
      </w:r>
      <w:r w:rsidR="00093401">
        <w:t xml:space="preserve"> tax liabilit</w:t>
      </w:r>
      <w:r>
        <w:t>ies in New Zealand</w:t>
      </w:r>
      <w:r w:rsidR="00FD2CED">
        <w:t>;</w:t>
      </w:r>
    </w:p>
    <w:p w:rsidR="000E59E0" w:rsidRDefault="000E59E0" w:rsidP="000E59E0">
      <w:pPr>
        <w:pStyle w:val="Recommendationfirstlevel"/>
        <w:numPr>
          <w:ilvl w:val="0"/>
          <w:numId w:val="0"/>
        </w:numPr>
        <w:ind w:left="1134"/>
      </w:pPr>
    </w:p>
    <w:p w:rsidR="0056734B" w:rsidRPr="00072C4A" w:rsidRDefault="0056734B" w:rsidP="000E59E0">
      <w:pPr>
        <w:pStyle w:val="Recommendationfirstlevel"/>
      </w:pPr>
      <w:r w:rsidRPr="000E59E0">
        <w:rPr>
          <w:b/>
        </w:rPr>
        <w:t>Note</w:t>
      </w:r>
      <w:r w:rsidRPr="0056734B">
        <w:t xml:space="preserve"> </w:t>
      </w:r>
      <w:r w:rsidR="004C5E4A">
        <w:t xml:space="preserve">that </w:t>
      </w:r>
      <w:r w:rsidRPr="0056734B">
        <w:t xml:space="preserve">the reforms proposed </w:t>
      </w:r>
      <w:r w:rsidR="000E59E0">
        <w:t>in the three BEPS discussion documents</w:t>
      </w:r>
      <w:r w:rsidR="000E59E0" w:rsidRPr="00F567DC">
        <w:t xml:space="preserve"> </w:t>
      </w:r>
      <w:r w:rsidR="000E59E0" w:rsidRPr="000E59E0">
        <w:rPr>
          <w:i/>
        </w:rPr>
        <w:t xml:space="preserve">Addressing Hybrid </w:t>
      </w:r>
      <w:r w:rsidR="000E59E0" w:rsidRPr="00072C4A">
        <w:rPr>
          <w:i/>
        </w:rPr>
        <w:t xml:space="preserve">Mismatch Arrangements, </w:t>
      </w:r>
      <w:r w:rsidR="00501C5D" w:rsidRPr="00072C4A">
        <w:rPr>
          <w:i/>
        </w:rPr>
        <w:t xml:space="preserve">BEPS – transfer pricing and permanent establishment avoidance </w:t>
      </w:r>
      <w:r w:rsidR="000E59E0" w:rsidRPr="00072C4A">
        <w:t>and</w:t>
      </w:r>
      <w:r w:rsidR="000E59E0" w:rsidRPr="00072C4A">
        <w:rPr>
          <w:i/>
        </w:rPr>
        <w:t xml:space="preserve"> BEPS – strengthening our interest limitation rules </w:t>
      </w:r>
      <w:r w:rsidRPr="00072C4A">
        <w:t>will be progressed, subject to modification in consultation, for implementation from 1 July 2018;</w:t>
      </w:r>
    </w:p>
    <w:p w:rsidR="0056734B" w:rsidRPr="00072C4A" w:rsidRDefault="0056734B" w:rsidP="00372B5B">
      <w:pPr>
        <w:pStyle w:val="ListParagraph"/>
      </w:pPr>
    </w:p>
    <w:p w:rsidR="0056734B" w:rsidRDefault="0056734B" w:rsidP="0056734B">
      <w:pPr>
        <w:pStyle w:val="Recommendationfirstlevel"/>
      </w:pPr>
      <w:r w:rsidRPr="00072C4A">
        <w:rPr>
          <w:b/>
        </w:rPr>
        <w:t>Note</w:t>
      </w:r>
      <w:r w:rsidRPr="00072C4A">
        <w:t xml:space="preserve"> </w:t>
      </w:r>
      <w:r w:rsidR="004C5E4A">
        <w:t xml:space="preserve">that </w:t>
      </w:r>
      <w:r w:rsidRPr="00072C4A">
        <w:t>as a result of</w:t>
      </w:r>
      <w:r w:rsidR="00072C4A" w:rsidRPr="00072C4A">
        <w:t xml:space="preserve"> agreeing to the foreign hybrid entity </w:t>
      </w:r>
      <w:r w:rsidR="005558B8">
        <w:t>double deductions</w:t>
      </w:r>
      <w:r w:rsidR="005558B8" w:rsidRPr="00072C4A">
        <w:t xml:space="preserve"> </w:t>
      </w:r>
      <w:r w:rsidR="00072C4A" w:rsidRPr="00072C4A">
        <w:t>measure and</w:t>
      </w:r>
      <w:r w:rsidRPr="00072C4A">
        <w:t xml:space="preserve"> progressing the </w:t>
      </w:r>
      <w:r w:rsidR="004C5E4A">
        <w:t>hybrid mismatch arrangements</w:t>
      </w:r>
      <w:r w:rsidR="00D76F6A" w:rsidRPr="00072C4A">
        <w:t xml:space="preserve"> </w:t>
      </w:r>
      <w:r w:rsidR="00072C4A" w:rsidRPr="00072C4A">
        <w:t>project</w:t>
      </w:r>
      <w:r w:rsidR="00D76F6A" w:rsidRPr="00072C4A">
        <w:t xml:space="preserve"> and the other</w:t>
      </w:r>
      <w:r w:rsidRPr="00072C4A">
        <w:t xml:space="preserve"> BEPS proposals, </w:t>
      </w:r>
      <w:r w:rsidR="00D76F6A" w:rsidRPr="00072C4A">
        <w:t>the</w:t>
      </w:r>
      <w:r w:rsidRPr="00072C4A">
        <w:t xml:space="preserve"> </w:t>
      </w:r>
      <w:r w:rsidR="004C5E4A">
        <w:t xml:space="preserve">Budget 2017 </w:t>
      </w:r>
      <w:r w:rsidRPr="00072C4A">
        <w:t xml:space="preserve">revenue forecasts </w:t>
      </w:r>
      <w:r w:rsidR="00072C4A" w:rsidRPr="00072C4A">
        <w:t>will</w:t>
      </w:r>
      <w:r w:rsidRPr="00072C4A">
        <w:t xml:space="preserve"> adjusted </w:t>
      </w:r>
      <w:r w:rsidR="00DC2095">
        <w:t>as follows:</w:t>
      </w:r>
    </w:p>
    <w:p w:rsidR="00DC2095" w:rsidRDefault="00DC2095" w:rsidP="00DC2095">
      <w:pPr>
        <w:pStyle w:val="ListParagraph"/>
      </w:pPr>
    </w:p>
    <w:tbl>
      <w:tblPr>
        <w:tblW w:w="0" w:type="auto"/>
        <w:tblCellMar>
          <w:left w:w="0" w:type="dxa"/>
          <w:right w:w="0" w:type="dxa"/>
        </w:tblCellMar>
        <w:tblLook w:val="04A0" w:firstRow="1" w:lastRow="0" w:firstColumn="1" w:lastColumn="0" w:noHBand="0" w:noVBand="1"/>
      </w:tblPr>
      <w:tblGrid>
        <w:gridCol w:w="1537"/>
        <w:gridCol w:w="1063"/>
        <w:gridCol w:w="1063"/>
        <w:gridCol w:w="1063"/>
        <w:gridCol w:w="1064"/>
        <w:gridCol w:w="1064"/>
        <w:gridCol w:w="1064"/>
        <w:gridCol w:w="1198"/>
      </w:tblGrid>
      <w:tr w:rsidR="00DC2095" w:rsidRPr="000E25EC" w:rsidTr="00F950A8">
        <w:tc>
          <w:tcPr>
            <w:tcW w:w="9116"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center"/>
              <w:rPr>
                <w:rFonts w:eastAsia="Calibri"/>
                <w:szCs w:val="24"/>
                <w:lang w:eastAsia="en-NZ"/>
              </w:rPr>
            </w:pPr>
            <w:r w:rsidRPr="0060478A">
              <w:rPr>
                <w:szCs w:val="24"/>
                <w:lang w:eastAsia="en-NZ"/>
              </w:rPr>
              <w:t>$ million – increase / (decrease)</w:t>
            </w:r>
          </w:p>
        </w:tc>
      </w:tr>
      <w:tr w:rsidR="00DC2095" w:rsidRPr="000E25EC" w:rsidTr="00F950A8">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rPr>
                <w:rFonts w:eastAsia="Calibri"/>
                <w:b/>
                <w:bCs/>
                <w:szCs w:val="24"/>
                <w:lang w:eastAsia="en-NZ"/>
              </w:rPr>
            </w:pPr>
            <w:r w:rsidRPr="0060478A">
              <w:rPr>
                <w:b/>
                <w:bCs/>
                <w:szCs w:val="24"/>
                <w:lang w:eastAsia="en-NZ"/>
              </w:rPr>
              <w:t>Vote Revenue</w:t>
            </w:r>
          </w:p>
        </w:tc>
        <w:tc>
          <w:tcPr>
            <w:tcW w:w="1063"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2016</w:t>
            </w:r>
          </w:p>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/17</w:t>
            </w:r>
          </w:p>
        </w:tc>
        <w:tc>
          <w:tcPr>
            <w:tcW w:w="1063"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2017</w:t>
            </w:r>
          </w:p>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/18</w:t>
            </w:r>
          </w:p>
        </w:tc>
        <w:tc>
          <w:tcPr>
            <w:tcW w:w="1063"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2018</w:t>
            </w:r>
          </w:p>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/19</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2019</w:t>
            </w:r>
          </w:p>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2020</w:t>
            </w:r>
          </w:p>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/21</w:t>
            </w:r>
          </w:p>
        </w:tc>
        <w:tc>
          <w:tcPr>
            <w:tcW w:w="1064"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2021</w:t>
            </w:r>
          </w:p>
          <w:p w:rsidR="00DC2095" w:rsidRPr="0060478A" w:rsidRDefault="00DC2095" w:rsidP="00F950A8">
            <w:pPr>
              <w:autoSpaceDE w:val="0"/>
              <w:autoSpaceDN w:val="0"/>
              <w:jc w:val="right"/>
              <w:rPr>
                <w:rFonts w:eastAsia="Calibri"/>
                <w:b/>
                <w:bCs/>
                <w:szCs w:val="24"/>
                <w:lang w:eastAsia="en-NZ"/>
              </w:rPr>
            </w:pPr>
            <w:r w:rsidRPr="0060478A">
              <w:rPr>
                <w:b/>
                <w:bCs/>
                <w:szCs w:val="24"/>
                <w:lang w:eastAsia="en-NZ"/>
              </w:rPr>
              <w:t>/22</w:t>
            </w: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b/>
                <w:bCs/>
                <w:szCs w:val="24"/>
                <w:lang w:eastAsia="en-NZ"/>
              </w:rPr>
              <w:t>2022/23 and out years</w:t>
            </w:r>
          </w:p>
        </w:tc>
      </w:tr>
      <w:tr w:rsidR="00DC2095" w:rsidRPr="000E25EC" w:rsidTr="00F950A8">
        <w:tc>
          <w:tcPr>
            <w:tcW w:w="153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C2095" w:rsidRPr="0060478A" w:rsidRDefault="00DC2095" w:rsidP="005558B8">
            <w:pPr>
              <w:rPr>
                <w:rFonts w:eastAsia="Calibri"/>
                <w:szCs w:val="24"/>
              </w:rPr>
            </w:pPr>
            <w:r w:rsidRPr="0060478A">
              <w:rPr>
                <w:szCs w:val="24"/>
              </w:rPr>
              <w:t xml:space="preserve">Foreign hybrid entity </w:t>
            </w:r>
            <w:r w:rsidR="005558B8">
              <w:rPr>
                <w:szCs w:val="24"/>
              </w:rPr>
              <w:t>double deductions</w:t>
            </w:r>
          </w:p>
        </w:tc>
        <w:tc>
          <w:tcPr>
            <w:tcW w:w="1063"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szCs w:val="24"/>
                <w:lang w:eastAsia="en-NZ"/>
              </w:rPr>
              <w:t>0</w:t>
            </w:r>
          </w:p>
        </w:tc>
        <w:tc>
          <w:tcPr>
            <w:tcW w:w="1063"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szCs w:val="24"/>
                <w:lang w:eastAsia="en-NZ"/>
              </w:rPr>
              <w:t>0</w:t>
            </w:r>
          </w:p>
        </w:tc>
        <w:tc>
          <w:tcPr>
            <w:tcW w:w="1063"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rFonts w:eastAsia="Calibri"/>
                <w:szCs w:val="24"/>
                <w:lang w:eastAsia="en-NZ"/>
              </w:rPr>
              <w:t>25</w:t>
            </w:r>
          </w:p>
        </w:tc>
        <w:tc>
          <w:tcPr>
            <w:tcW w:w="1064"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rFonts w:eastAsia="Calibri"/>
                <w:szCs w:val="24"/>
                <w:lang w:eastAsia="en-NZ"/>
              </w:rPr>
              <w:t>50</w:t>
            </w:r>
          </w:p>
        </w:tc>
        <w:tc>
          <w:tcPr>
            <w:tcW w:w="1064"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szCs w:val="24"/>
                <w:lang w:eastAsia="en-NZ"/>
              </w:rPr>
              <w:t>50</w:t>
            </w:r>
          </w:p>
        </w:tc>
        <w:tc>
          <w:tcPr>
            <w:tcW w:w="1064"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lang w:eastAsia="en-NZ"/>
              </w:rPr>
            </w:pPr>
            <w:r w:rsidRPr="0060478A">
              <w:rPr>
                <w:szCs w:val="24"/>
                <w:lang w:eastAsia="en-NZ"/>
              </w:rPr>
              <w:t>50</w:t>
            </w:r>
          </w:p>
        </w:tc>
        <w:tc>
          <w:tcPr>
            <w:tcW w:w="1198" w:type="dxa"/>
            <w:tcBorders>
              <w:top w:val="nil"/>
              <w:left w:val="nil"/>
              <w:bottom w:val="single" w:sz="4" w:space="0" w:color="auto"/>
              <w:right w:val="single" w:sz="8" w:space="0" w:color="auto"/>
            </w:tcBorders>
            <w:tcMar>
              <w:top w:w="0" w:type="dxa"/>
              <w:left w:w="108" w:type="dxa"/>
              <w:bottom w:w="0" w:type="dxa"/>
              <w:right w:w="108" w:type="dxa"/>
            </w:tcMar>
            <w:hideMark/>
          </w:tcPr>
          <w:p w:rsidR="00DC2095" w:rsidRPr="0060478A" w:rsidRDefault="00DC2095" w:rsidP="00F950A8">
            <w:pPr>
              <w:autoSpaceDE w:val="0"/>
              <w:autoSpaceDN w:val="0"/>
              <w:jc w:val="right"/>
              <w:rPr>
                <w:rFonts w:eastAsia="Calibri"/>
                <w:szCs w:val="24"/>
                <w:highlight w:val="yellow"/>
                <w:lang w:eastAsia="en-NZ"/>
              </w:rPr>
            </w:pPr>
            <w:r w:rsidRPr="0060478A">
              <w:rPr>
                <w:szCs w:val="24"/>
                <w:lang w:eastAsia="en-NZ"/>
              </w:rPr>
              <w:t>50</w:t>
            </w:r>
          </w:p>
        </w:tc>
      </w:tr>
      <w:tr w:rsidR="00DC2095" w:rsidRPr="000E25EC" w:rsidTr="00F950A8">
        <w:tc>
          <w:tcPr>
            <w:tcW w:w="153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C2095" w:rsidRPr="0060478A" w:rsidDel="00FD2CED" w:rsidRDefault="00DC2095" w:rsidP="00F950A8">
            <w:pPr>
              <w:rPr>
                <w:szCs w:val="24"/>
              </w:rPr>
            </w:pPr>
            <w:r w:rsidRPr="0060478A">
              <w:rPr>
                <w:szCs w:val="24"/>
              </w:rPr>
              <w:t>Other BEPS measures</w:t>
            </w:r>
          </w:p>
        </w:tc>
        <w:tc>
          <w:tcPr>
            <w:tcW w:w="10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rFonts w:eastAsia="Calibri"/>
                <w:szCs w:val="24"/>
                <w:lang w:eastAsia="en-NZ"/>
              </w:rPr>
            </w:pPr>
            <w:r w:rsidRPr="0060478A">
              <w:rPr>
                <w:rFonts w:eastAsia="Calibri"/>
                <w:szCs w:val="24"/>
                <w:lang w:eastAsia="en-NZ"/>
              </w:rPr>
              <w:t>25</w:t>
            </w: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rFonts w:eastAsia="Calibri"/>
                <w:szCs w:val="24"/>
                <w:lang w:eastAsia="en-NZ"/>
              </w:rPr>
            </w:pPr>
            <w:r w:rsidRPr="0060478A">
              <w:rPr>
                <w:rFonts w:eastAsia="Calibri"/>
                <w:szCs w:val="24"/>
                <w:lang w:eastAsia="en-NZ"/>
              </w:rPr>
              <w:t>50</w:t>
            </w: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50</w:t>
            </w:r>
          </w:p>
        </w:tc>
        <w:tc>
          <w:tcPr>
            <w:tcW w:w="10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50</w:t>
            </w:r>
          </w:p>
        </w:tc>
        <w:tc>
          <w:tcPr>
            <w:tcW w:w="119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50</w:t>
            </w:r>
          </w:p>
        </w:tc>
      </w:tr>
      <w:tr w:rsidR="00DC2095" w:rsidRPr="000E25EC" w:rsidTr="00F950A8">
        <w:tc>
          <w:tcPr>
            <w:tcW w:w="15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C2095" w:rsidRPr="0060478A" w:rsidRDefault="00DC2095" w:rsidP="00F950A8">
            <w:pPr>
              <w:rPr>
                <w:b/>
                <w:szCs w:val="24"/>
              </w:rPr>
            </w:pPr>
            <w:r w:rsidRPr="0060478A">
              <w:rPr>
                <w:b/>
                <w:szCs w:val="24"/>
              </w:rPr>
              <w:t>Total revenue effect</w:t>
            </w:r>
          </w:p>
        </w:tc>
        <w:tc>
          <w:tcPr>
            <w:tcW w:w="10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0</w:t>
            </w:r>
          </w:p>
        </w:tc>
        <w:tc>
          <w:tcPr>
            <w:tcW w:w="10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rFonts w:eastAsia="Calibri"/>
                <w:szCs w:val="24"/>
                <w:lang w:eastAsia="en-NZ"/>
              </w:rPr>
            </w:pPr>
            <w:r w:rsidRPr="0060478A">
              <w:rPr>
                <w:rFonts w:eastAsia="Calibri"/>
                <w:szCs w:val="24"/>
                <w:lang w:eastAsia="en-NZ"/>
              </w:rPr>
              <w:t>50</w:t>
            </w:r>
          </w:p>
        </w:tc>
        <w:tc>
          <w:tcPr>
            <w:tcW w:w="10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rFonts w:eastAsia="Calibri"/>
                <w:szCs w:val="24"/>
                <w:lang w:eastAsia="en-NZ"/>
              </w:rPr>
            </w:pPr>
            <w:r w:rsidRPr="0060478A">
              <w:rPr>
                <w:rFonts w:eastAsia="Calibri"/>
                <w:szCs w:val="24"/>
                <w:lang w:eastAsia="en-NZ"/>
              </w:rPr>
              <w:t>100</w:t>
            </w:r>
          </w:p>
        </w:tc>
        <w:tc>
          <w:tcPr>
            <w:tcW w:w="10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100</w:t>
            </w:r>
          </w:p>
        </w:tc>
        <w:tc>
          <w:tcPr>
            <w:tcW w:w="106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100</w:t>
            </w:r>
          </w:p>
        </w:tc>
        <w:tc>
          <w:tcPr>
            <w:tcW w:w="119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C2095" w:rsidRPr="0060478A" w:rsidRDefault="00DC2095" w:rsidP="00F950A8">
            <w:pPr>
              <w:autoSpaceDE w:val="0"/>
              <w:autoSpaceDN w:val="0"/>
              <w:jc w:val="right"/>
              <w:rPr>
                <w:szCs w:val="24"/>
                <w:lang w:eastAsia="en-NZ"/>
              </w:rPr>
            </w:pPr>
            <w:r w:rsidRPr="0060478A">
              <w:rPr>
                <w:szCs w:val="24"/>
                <w:lang w:eastAsia="en-NZ"/>
              </w:rPr>
              <w:t>100</w:t>
            </w:r>
          </w:p>
        </w:tc>
      </w:tr>
    </w:tbl>
    <w:p w:rsidR="00DC2095" w:rsidRPr="00072C4A" w:rsidRDefault="00DC2095" w:rsidP="00DC2095">
      <w:pPr>
        <w:pStyle w:val="Recommendationfirstlevel"/>
        <w:numPr>
          <w:ilvl w:val="0"/>
          <w:numId w:val="0"/>
        </w:numPr>
        <w:ind w:left="1134" w:hanging="567"/>
      </w:pPr>
    </w:p>
    <w:p w:rsidR="007C6E29" w:rsidRPr="00072C4A" w:rsidRDefault="007C6E29" w:rsidP="0083182F">
      <w:pPr>
        <w:pStyle w:val="Recommendationfirstlevel"/>
        <w:numPr>
          <w:ilvl w:val="0"/>
          <w:numId w:val="0"/>
        </w:numPr>
        <w:ind w:left="1134"/>
      </w:pPr>
    </w:p>
    <w:p w:rsidR="007C6E29" w:rsidRDefault="007C6E29" w:rsidP="00415C5B">
      <w:pPr>
        <w:pStyle w:val="Recommendationfirstlevel"/>
      </w:pPr>
      <w:r w:rsidRPr="00072C4A">
        <w:rPr>
          <w:b/>
        </w:rPr>
        <w:t>Note</w:t>
      </w:r>
      <w:r w:rsidRPr="00072C4A">
        <w:t xml:space="preserve"> that officials are continuing to develop and consult on </w:t>
      </w:r>
      <w:r w:rsidR="00D76F6A" w:rsidRPr="00072C4A">
        <w:t>all aspects</w:t>
      </w:r>
      <w:r w:rsidR="00D76F6A">
        <w:t xml:space="preserve"> of the BEPS </w:t>
      </w:r>
      <w:r>
        <w:t xml:space="preserve">project and that Cabinet approval will be sought for </w:t>
      </w:r>
      <w:r w:rsidR="00D76F6A">
        <w:t>final policy decisions</w:t>
      </w:r>
      <w:r>
        <w:t xml:space="preserve"> later this year.</w:t>
      </w:r>
    </w:p>
    <w:p w:rsidR="00415C5B" w:rsidRDefault="00415C5B" w:rsidP="007C6E29">
      <w:pPr>
        <w:pStyle w:val="Recommendationfirstlevel"/>
        <w:numPr>
          <w:ilvl w:val="0"/>
          <w:numId w:val="0"/>
        </w:numPr>
      </w:pPr>
    </w:p>
    <w:p w:rsidR="00017290" w:rsidRDefault="00017290" w:rsidP="006808E1">
      <w:pPr>
        <w:tabs>
          <w:tab w:val="left" w:pos="567"/>
        </w:tabs>
        <w:ind w:left="1125" w:hanging="1125"/>
        <w:jc w:val="both"/>
        <w:rPr>
          <w:szCs w:val="24"/>
          <w:lang w:eastAsia="en-AU"/>
        </w:rPr>
      </w:pPr>
    </w:p>
    <w:p w:rsidR="001A79AA" w:rsidRDefault="001A79AA" w:rsidP="006808E1">
      <w:pPr>
        <w:tabs>
          <w:tab w:val="left" w:pos="567"/>
        </w:tabs>
        <w:ind w:left="1125" w:hanging="1125"/>
        <w:jc w:val="both"/>
        <w:rPr>
          <w:szCs w:val="24"/>
          <w:lang w:eastAsia="en-AU"/>
        </w:rPr>
      </w:pPr>
    </w:p>
    <w:p w:rsidR="00C2449D" w:rsidRDefault="00C2449D" w:rsidP="006808E1">
      <w:pPr>
        <w:tabs>
          <w:tab w:val="left" w:pos="567"/>
        </w:tabs>
        <w:ind w:left="1125" w:hanging="1125"/>
        <w:jc w:val="both"/>
        <w:rPr>
          <w:szCs w:val="24"/>
          <w:lang w:eastAsia="en-AU"/>
        </w:rPr>
      </w:pPr>
    </w:p>
    <w:p w:rsidR="001A79AA" w:rsidRPr="00DD23B8" w:rsidRDefault="001A79AA" w:rsidP="006808E1">
      <w:pPr>
        <w:tabs>
          <w:tab w:val="left" w:pos="567"/>
        </w:tabs>
        <w:ind w:left="1125" w:hanging="1125"/>
        <w:jc w:val="both"/>
        <w:rPr>
          <w:szCs w:val="24"/>
          <w:lang w:eastAsia="en-AU"/>
        </w:rPr>
      </w:pPr>
    </w:p>
    <w:p w:rsidR="00E4232F" w:rsidRDefault="00055563" w:rsidP="00E4232F">
      <w:pPr>
        <w:tabs>
          <w:tab w:val="left" w:pos="567"/>
          <w:tab w:val="left" w:pos="1125"/>
        </w:tabs>
        <w:jc w:val="both"/>
        <w:rPr>
          <w:szCs w:val="24"/>
          <w:lang w:eastAsia="en-AU"/>
        </w:rPr>
      </w:pPr>
      <w:r>
        <w:rPr>
          <w:szCs w:val="24"/>
          <w:lang w:eastAsia="en-AU"/>
        </w:rPr>
        <w:t xml:space="preserve">Authorised for lodgement </w:t>
      </w:r>
    </w:p>
    <w:p w:rsidR="00E4232F" w:rsidRPr="00DD23B8" w:rsidRDefault="00E4232F" w:rsidP="00E4232F">
      <w:pPr>
        <w:tabs>
          <w:tab w:val="left" w:pos="567"/>
          <w:tab w:val="left" w:pos="1125"/>
        </w:tabs>
        <w:jc w:val="both"/>
        <w:rPr>
          <w:szCs w:val="24"/>
          <w:lang w:eastAsia="en-AU"/>
        </w:rPr>
      </w:pPr>
    </w:p>
    <w:p w:rsidR="006808E1" w:rsidRPr="00DD23B8" w:rsidRDefault="006808E1" w:rsidP="007E2640">
      <w:pPr>
        <w:tabs>
          <w:tab w:val="left" w:pos="567"/>
        </w:tabs>
        <w:jc w:val="both"/>
        <w:rPr>
          <w:szCs w:val="24"/>
          <w:lang w:eastAsia="en-AU"/>
        </w:rPr>
      </w:pPr>
    </w:p>
    <w:p w:rsidR="007C6E29" w:rsidRPr="00042181" w:rsidRDefault="007C6E29" w:rsidP="007C6E29">
      <w:pPr>
        <w:tabs>
          <w:tab w:val="left" w:pos="567"/>
          <w:tab w:val="left" w:pos="4536"/>
        </w:tabs>
        <w:jc w:val="both"/>
        <w:rPr>
          <w:b/>
          <w:szCs w:val="24"/>
          <w:lang w:eastAsia="en-AU"/>
        </w:rPr>
      </w:pPr>
      <w:r w:rsidRPr="00EF1CFA">
        <w:rPr>
          <w:b/>
          <w:szCs w:val="24"/>
          <w:lang w:eastAsia="en-AU"/>
        </w:rPr>
        <w:t>Hon</w:t>
      </w:r>
      <w:r w:rsidRPr="00042181">
        <w:rPr>
          <w:b/>
          <w:szCs w:val="24"/>
          <w:lang w:eastAsia="en-AU"/>
        </w:rPr>
        <w:t xml:space="preserve"> </w:t>
      </w:r>
      <w:r>
        <w:rPr>
          <w:b/>
          <w:szCs w:val="24"/>
          <w:lang w:eastAsia="en-AU"/>
        </w:rPr>
        <w:t>Steven Joyce</w:t>
      </w:r>
      <w:r>
        <w:rPr>
          <w:b/>
          <w:szCs w:val="24"/>
          <w:lang w:eastAsia="en-AU"/>
        </w:rPr>
        <w:tab/>
      </w:r>
      <w:r w:rsidRPr="006E5319">
        <w:rPr>
          <w:b/>
          <w:szCs w:val="24"/>
          <w:lang w:eastAsia="en-AU"/>
        </w:rPr>
        <w:t xml:space="preserve">Hon </w:t>
      </w:r>
      <w:r>
        <w:rPr>
          <w:b/>
          <w:szCs w:val="24"/>
          <w:lang w:eastAsia="en-AU"/>
        </w:rPr>
        <w:t>Judith Collins</w:t>
      </w:r>
    </w:p>
    <w:p w:rsidR="007C6E29" w:rsidRPr="00042181" w:rsidRDefault="007C6E29" w:rsidP="007C6E29">
      <w:pPr>
        <w:tabs>
          <w:tab w:val="left" w:pos="567"/>
          <w:tab w:val="left" w:pos="4536"/>
        </w:tabs>
        <w:jc w:val="both"/>
        <w:rPr>
          <w:szCs w:val="24"/>
          <w:lang w:eastAsia="en-AU"/>
        </w:rPr>
      </w:pPr>
      <w:r w:rsidRPr="00042181">
        <w:rPr>
          <w:szCs w:val="24"/>
          <w:lang w:eastAsia="en-AU"/>
        </w:rPr>
        <w:t>Minister of Finance</w:t>
      </w:r>
      <w:r>
        <w:rPr>
          <w:szCs w:val="24"/>
          <w:lang w:eastAsia="en-AU"/>
        </w:rPr>
        <w:tab/>
      </w:r>
      <w:r w:rsidRPr="006E5319">
        <w:rPr>
          <w:szCs w:val="24"/>
          <w:lang w:eastAsia="en-AU"/>
        </w:rPr>
        <w:t>Minister of Revenue</w:t>
      </w:r>
    </w:p>
    <w:p w:rsidR="007C6E29" w:rsidRDefault="007C6E29" w:rsidP="007C6E29">
      <w:pPr>
        <w:tabs>
          <w:tab w:val="left" w:leader="underscore" w:pos="567"/>
          <w:tab w:val="left" w:leader="underscore" w:pos="1134"/>
          <w:tab w:val="left" w:leader="underscore" w:pos="1701"/>
          <w:tab w:val="left" w:pos="5103"/>
          <w:tab w:val="left" w:leader="underscore" w:pos="5670"/>
          <w:tab w:val="left" w:leader="underscore" w:pos="6237"/>
          <w:tab w:val="left" w:leader="underscore" w:pos="6804"/>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7C6E29" w:rsidTr="00EB4315">
        <w:tc>
          <w:tcPr>
            <w:tcW w:w="4644" w:type="dxa"/>
          </w:tcPr>
          <w:p w:rsidR="007C6E29" w:rsidRDefault="007C6E29" w:rsidP="00EB4315">
            <w:pPr>
              <w:tabs>
                <w:tab w:val="left" w:leader="underscore" w:pos="567"/>
                <w:tab w:val="left" w:leader="underscore" w:pos="1134"/>
                <w:tab w:val="left" w:leader="underscore" w:pos="1701"/>
                <w:tab w:val="left" w:pos="5103"/>
                <w:tab w:val="left" w:leader="underscore" w:pos="5670"/>
                <w:tab w:val="left" w:leader="underscore" w:pos="6237"/>
                <w:tab w:val="left" w:leader="underscore" w:pos="6804"/>
              </w:tabs>
              <w:spacing w:after="0"/>
              <w:rPr>
                <w:sz w:val="22"/>
                <w:szCs w:val="22"/>
              </w:rPr>
            </w:pPr>
          </w:p>
        </w:tc>
        <w:tc>
          <w:tcPr>
            <w:tcW w:w="4644" w:type="dxa"/>
          </w:tcPr>
          <w:p w:rsidR="007C6E29" w:rsidRDefault="007C6E29" w:rsidP="00EB4315">
            <w:pPr>
              <w:tabs>
                <w:tab w:val="left" w:leader="underscore" w:pos="567"/>
                <w:tab w:val="left" w:leader="underscore" w:pos="1134"/>
                <w:tab w:val="left" w:leader="underscore" w:pos="1701"/>
                <w:tab w:val="left" w:pos="5103"/>
                <w:tab w:val="left" w:leader="underscore" w:pos="5670"/>
                <w:tab w:val="left" w:leader="underscore" w:pos="6237"/>
                <w:tab w:val="left" w:leader="underscore" w:pos="6804"/>
              </w:tabs>
              <w:spacing w:after="0"/>
              <w:rPr>
                <w:sz w:val="22"/>
                <w:szCs w:val="22"/>
              </w:rPr>
            </w:pPr>
          </w:p>
        </w:tc>
      </w:tr>
    </w:tbl>
    <w:p w:rsidR="00D8134D" w:rsidRPr="007008D1" w:rsidRDefault="00D8134D" w:rsidP="007C6E29">
      <w:pPr>
        <w:tabs>
          <w:tab w:val="left" w:pos="567"/>
          <w:tab w:val="left" w:pos="5100"/>
        </w:tabs>
        <w:jc w:val="both"/>
        <w:rPr>
          <w:sz w:val="22"/>
          <w:szCs w:val="22"/>
        </w:rPr>
      </w:pPr>
    </w:p>
    <w:sectPr w:rsidR="00D8134D" w:rsidRPr="007008D1" w:rsidSect="007008D1">
      <w:headerReference w:type="default" r:id="rId8"/>
      <w:pgSz w:w="11907" w:h="16840" w:code="9"/>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D6" w:rsidRDefault="00F273D6">
      <w:r>
        <w:separator/>
      </w:r>
    </w:p>
  </w:endnote>
  <w:endnote w:type="continuationSeparator" w:id="0">
    <w:p w:rsidR="00F273D6" w:rsidRDefault="00F2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D6" w:rsidRDefault="00F273D6">
      <w:r>
        <w:separator/>
      </w:r>
    </w:p>
  </w:footnote>
  <w:footnote w:type="continuationSeparator" w:id="0">
    <w:p w:rsidR="00F273D6" w:rsidRDefault="00F27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2F" w:rsidRPr="006808E1" w:rsidRDefault="0016102F" w:rsidP="006808E1">
    <w:pPr>
      <w:pStyle w:val="Header"/>
      <w:jc w:val="center"/>
      <w:rPr>
        <w:sz w:val="22"/>
        <w:szCs w:val="22"/>
      </w:rPr>
    </w:pPr>
    <w:r w:rsidRPr="006808E1">
      <w:rPr>
        <w:rStyle w:val="PageNumber"/>
        <w:sz w:val="22"/>
        <w:szCs w:val="22"/>
      </w:rPr>
      <w:fldChar w:fldCharType="begin"/>
    </w:r>
    <w:r w:rsidRPr="006808E1">
      <w:rPr>
        <w:rStyle w:val="PageNumber"/>
        <w:sz w:val="22"/>
        <w:szCs w:val="22"/>
      </w:rPr>
      <w:instrText xml:space="preserve"> PAGE </w:instrText>
    </w:r>
    <w:r w:rsidRPr="006808E1">
      <w:rPr>
        <w:rStyle w:val="PageNumber"/>
        <w:sz w:val="22"/>
        <w:szCs w:val="22"/>
      </w:rPr>
      <w:fldChar w:fldCharType="separate"/>
    </w:r>
    <w:r w:rsidR="001852EF">
      <w:rPr>
        <w:rStyle w:val="PageNumber"/>
        <w:noProof/>
        <w:sz w:val="22"/>
        <w:szCs w:val="22"/>
      </w:rPr>
      <w:t>2</w:t>
    </w:r>
    <w:r w:rsidRPr="006808E1">
      <w:rPr>
        <w:rStyle w:val="PageNumbe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846B94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33F431D"/>
    <w:multiLevelType w:val="hybridMultilevel"/>
    <w:tmpl w:val="D62267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AC01E08"/>
    <w:multiLevelType w:val="multilevel"/>
    <w:tmpl w:val="B81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020BC7"/>
    <w:multiLevelType w:val="hybridMultilevel"/>
    <w:tmpl w:val="2166AC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66D7C7E"/>
    <w:multiLevelType w:val="multilevel"/>
    <w:tmpl w:val="F4668442"/>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Calibri" w:hAnsi="Calibri" w:hint="default"/>
      </w:rPr>
    </w:lvl>
    <w:lvl w:ilvl="2">
      <w:start w:val="1"/>
      <w:numFmt w:val="bullet"/>
      <w:lvlText w:val="–"/>
      <w:lvlJc w:val="left"/>
      <w:pPr>
        <w:tabs>
          <w:tab w:val="num" w:pos="1135"/>
        </w:tabs>
        <w:ind w:left="1135" w:hanging="284"/>
      </w:pPr>
      <w:rPr>
        <w:rFonts w:ascii="Times New Roman" w:hAnsi="Times New Roman" w:cs="Times New Roman" w:hint="default"/>
      </w:rPr>
    </w:lvl>
    <w:lvl w:ilvl="3">
      <w:start w:val="1"/>
      <w:numFmt w:val="decimal"/>
      <w:lvlText w:val="%4."/>
      <w:lvlJc w:val="left"/>
      <w:pPr>
        <w:tabs>
          <w:tab w:val="num" w:pos="1419"/>
        </w:tabs>
        <w:ind w:left="1419" w:hanging="567"/>
      </w:pPr>
      <w:rPr>
        <w:rFonts w:hint="default"/>
      </w:rPr>
    </w:lvl>
    <w:lvl w:ilvl="4">
      <w:start w:val="1"/>
      <w:numFmt w:val="lowerLetter"/>
      <w:lvlText w:val="%5."/>
      <w:lvlJc w:val="left"/>
      <w:pPr>
        <w:tabs>
          <w:tab w:val="num" w:pos="1703"/>
        </w:tabs>
        <w:ind w:left="1703" w:hanging="567"/>
      </w:pPr>
      <w:rPr>
        <w:rFonts w:hint="default"/>
      </w:rPr>
    </w:lvl>
    <w:lvl w:ilvl="5">
      <w:start w:val="1"/>
      <w:numFmt w:val="lowerRoman"/>
      <w:lvlText w:val="%6."/>
      <w:lvlJc w:val="right"/>
      <w:pPr>
        <w:tabs>
          <w:tab w:val="num" w:pos="1987"/>
        </w:tabs>
        <w:ind w:left="1987" w:hanging="567"/>
      </w:pPr>
      <w:rPr>
        <w:rFonts w:hint="default"/>
      </w:rPr>
    </w:lvl>
    <w:lvl w:ilvl="6">
      <w:start w:val="1"/>
      <w:numFmt w:val="decimal"/>
      <w:lvlText w:val="%7."/>
      <w:lvlJc w:val="left"/>
      <w:pPr>
        <w:tabs>
          <w:tab w:val="num" w:pos="2271"/>
        </w:tabs>
        <w:ind w:left="2271" w:hanging="567"/>
      </w:pPr>
      <w:rPr>
        <w:rFonts w:hint="default"/>
      </w:rPr>
    </w:lvl>
    <w:lvl w:ilvl="7">
      <w:start w:val="1"/>
      <w:numFmt w:val="lowerLetter"/>
      <w:lvlText w:val="%8."/>
      <w:lvlJc w:val="left"/>
      <w:pPr>
        <w:tabs>
          <w:tab w:val="num" w:pos="2555"/>
        </w:tabs>
        <w:ind w:left="2555" w:hanging="567"/>
      </w:pPr>
      <w:rPr>
        <w:rFonts w:hint="default"/>
      </w:rPr>
    </w:lvl>
    <w:lvl w:ilvl="8">
      <w:start w:val="1"/>
      <w:numFmt w:val="lowerRoman"/>
      <w:lvlText w:val="%9."/>
      <w:lvlJc w:val="right"/>
      <w:pPr>
        <w:tabs>
          <w:tab w:val="num" w:pos="2839"/>
        </w:tabs>
        <w:ind w:left="2839" w:hanging="567"/>
      </w:pPr>
      <w:rPr>
        <w:rFonts w:hint="default"/>
      </w:rPr>
    </w:lvl>
  </w:abstractNum>
  <w:abstractNum w:abstractNumId="5">
    <w:nsid w:val="335F0215"/>
    <w:multiLevelType w:val="hybridMultilevel"/>
    <w:tmpl w:val="51F81936"/>
    <w:lvl w:ilvl="0" w:tplc="A89AB082">
      <w:start w:val="1"/>
      <w:numFmt w:val="decimal"/>
      <w:pStyle w:val="Numberparagraph"/>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5012441"/>
    <w:multiLevelType w:val="hybridMultilevel"/>
    <w:tmpl w:val="066A70E4"/>
    <w:lvl w:ilvl="0" w:tplc="AFCC9D78">
      <w:start w:val="1"/>
      <w:numFmt w:val="decimal"/>
      <w:pStyle w:val="List2"/>
      <w:lvlText w:val="%1."/>
      <w:lvlJc w:val="right"/>
      <w:pPr>
        <w:ind w:left="1003" w:hanging="360"/>
      </w:pPr>
      <w:rPr>
        <w:rFonts w:hint="default"/>
      </w:rPr>
    </w:lvl>
    <w:lvl w:ilvl="1" w:tplc="14090019" w:tentative="1">
      <w:start w:val="1"/>
      <w:numFmt w:val="lowerLetter"/>
      <w:lvlText w:val="%2."/>
      <w:lvlJc w:val="left"/>
      <w:pPr>
        <w:ind w:left="1723" w:hanging="360"/>
      </w:pPr>
    </w:lvl>
    <w:lvl w:ilvl="2" w:tplc="1409001B" w:tentative="1">
      <w:start w:val="1"/>
      <w:numFmt w:val="lowerRoman"/>
      <w:lvlText w:val="%3."/>
      <w:lvlJc w:val="right"/>
      <w:pPr>
        <w:ind w:left="2443" w:hanging="180"/>
      </w:pPr>
    </w:lvl>
    <w:lvl w:ilvl="3" w:tplc="1409000F" w:tentative="1">
      <w:start w:val="1"/>
      <w:numFmt w:val="decimal"/>
      <w:lvlText w:val="%4."/>
      <w:lvlJc w:val="left"/>
      <w:pPr>
        <w:ind w:left="3163" w:hanging="360"/>
      </w:pPr>
    </w:lvl>
    <w:lvl w:ilvl="4" w:tplc="14090019" w:tentative="1">
      <w:start w:val="1"/>
      <w:numFmt w:val="lowerLetter"/>
      <w:lvlText w:val="%5."/>
      <w:lvlJc w:val="left"/>
      <w:pPr>
        <w:ind w:left="3883" w:hanging="360"/>
      </w:pPr>
    </w:lvl>
    <w:lvl w:ilvl="5" w:tplc="1409001B" w:tentative="1">
      <w:start w:val="1"/>
      <w:numFmt w:val="lowerRoman"/>
      <w:lvlText w:val="%6."/>
      <w:lvlJc w:val="right"/>
      <w:pPr>
        <w:ind w:left="4603" w:hanging="180"/>
      </w:pPr>
    </w:lvl>
    <w:lvl w:ilvl="6" w:tplc="1409000F" w:tentative="1">
      <w:start w:val="1"/>
      <w:numFmt w:val="decimal"/>
      <w:lvlText w:val="%7."/>
      <w:lvlJc w:val="left"/>
      <w:pPr>
        <w:ind w:left="5323" w:hanging="360"/>
      </w:pPr>
    </w:lvl>
    <w:lvl w:ilvl="7" w:tplc="14090019" w:tentative="1">
      <w:start w:val="1"/>
      <w:numFmt w:val="lowerLetter"/>
      <w:lvlText w:val="%8."/>
      <w:lvlJc w:val="left"/>
      <w:pPr>
        <w:ind w:left="6043" w:hanging="360"/>
      </w:pPr>
    </w:lvl>
    <w:lvl w:ilvl="8" w:tplc="1409001B" w:tentative="1">
      <w:start w:val="1"/>
      <w:numFmt w:val="lowerRoman"/>
      <w:lvlText w:val="%9."/>
      <w:lvlJc w:val="right"/>
      <w:pPr>
        <w:ind w:left="6763" w:hanging="180"/>
      </w:pPr>
    </w:lvl>
  </w:abstractNum>
  <w:abstractNum w:abstractNumId="7">
    <w:nsid w:val="35FC50F8"/>
    <w:multiLevelType w:val="hybridMultilevel"/>
    <w:tmpl w:val="2382744E"/>
    <w:lvl w:ilvl="0" w:tplc="B53898E8">
      <w:start w:val="1"/>
      <w:numFmt w:val="decimal"/>
      <w:pStyle w:val="Recommendationlevel21"/>
      <w:lvlText w:val="2.%1"/>
      <w:lvlJc w:val="right"/>
      <w:pPr>
        <w:ind w:left="185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8">
    <w:nsid w:val="39B33692"/>
    <w:multiLevelType w:val="hybridMultilevel"/>
    <w:tmpl w:val="07A46CF8"/>
    <w:lvl w:ilvl="0" w:tplc="6BA05F6C">
      <w:start w:val="1"/>
      <w:numFmt w:val="decimal"/>
      <w:lvlText w:val="%1."/>
      <w:lvlJc w:val="righ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3A545EB1"/>
    <w:multiLevelType w:val="hybridMultilevel"/>
    <w:tmpl w:val="0D2CBD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47E012F8"/>
    <w:multiLevelType w:val="hybridMultilevel"/>
    <w:tmpl w:val="D5AA8772"/>
    <w:lvl w:ilvl="0" w:tplc="791CB6D0">
      <w:start w:val="1"/>
      <w:numFmt w:val="decimal"/>
      <w:pStyle w:val="Recommendation11"/>
      <w:lvlText w:val="2.%1"/>
      <w:lvlJc w:val="center"/>
      <w:pPr>
        <w:ind w:left="1494" w:hanging="360"/>
      </w:pPr>
      <w:rPr>
        <w:rFonts w:hint="default"/>
      </w:r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1">
    <w:nsid w:val="4DA2087D"/>
    <w:multiLevelType w:val="multilevel"/>
    <w:tmpl w:val="8DA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8E47136"/>
    <w:multiLevelType w:val="multilevel"/>
    <w:tmpl w:val="E89E7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0B3675"/>
    <w:multiLevelType w:val="hybridMultilevel"/>
    <w:tmpl w:val="F20ECA2C"/>
    <w:lvl w:ilvl="0" w:tplc="7C542F12">
      <w:start w:val="1"/>
      <w:numFmt w:val="decimal"/>
      <w:pStyle w:val="Recommendationfirstlevel"/>
      <w:lvlText w:val="%1."/>
      <w:lvlJc w:val="left"/>
      <w:pPr>
        <w:ind w:left="720" w:hanging="360"/>
      </w:pPr>
      <w:rPr>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9"/>
  </w:num>
  <w:num w:numId="5">
    <w:abstractNumId w:val="8"/>
  </w:num>
  <w:num w:numId="6">
    <w:abstractNumId w:val="5"/>
  </w:num>
  <w:num w:numId="7">
    <w:abstractNumId w:val="13"/>
  </w:num>
  <w:num w:numId="8">
    <w:abstractNumId w:val="6"/>
  </w:num>
  <w:num w:numId="9">
    <w:abstractNumId w:val="10"/>
  </w:num>
  <w:num w:numId="10">
    <w:abstractNumId w:val="7"/>
  </w:num>
  <w:num w:numId="11">
    <w:abstractNumId w:val="0"/>
  </w:num>
  <w:num w:numId="12">
    <w:abstractNumId w:val="4"/>
  </w:num>
  <w:num w:numId="13">
    <w:abstractNumId w:val="5"/>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AU"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75"/>
  <w:drawingGridVerticalSpacing w:val="20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C1"/>
    <w:rsid w:val="000045F4"/>
    <w:rsid w:val="000126A2"/>
    <w:rsid w:val="00017290"/>
    <w:rsid w:val="00024DBB"/>
    <w:rsid w:val="000421D3"/>
    <w:rsid w:val="0004580F"/>
    <w:rsid w:val="00051A31"/>
    <w:rsid w:val="00055563"/>
    <w:rsid w:val="0005688A"/>
    <w:rsid w:val="000671F7"/>
    <w:rsid w:val="0007086E"/>
    <w:rsid w:val="00072C4A"/>
    <w:rsid w:val="00082A37"/>
    <w:rsid w:val="00086F1D"/>
    <w:rsid w:val="00093401"/>
    <w:rsid w:val="00094E89"/>
    <w:rsid w:val="000B27C5"/>
    <w:rsid w:val="000C6DD8"/>
    <w:rsid w:val="000E08DC"/>
    <w:rsid w:val="000E3622"/>
    <w:rsid w:val="000E3A99"/>
    <w:rsid w:val="000E59E0"/>
    <w:rsid w:val="000F04E8"/>
    <w:rsid w:val="00101FC1"/>
    <w:rsid w:val="00106574"/>
    <w:rsid w:val="00110EEB"/>
    <w:rsid w:val="00114CA4"/>
    <w:rsid w:val="00116B51"/>
    <w:rsid w:val="00126600"/>
    <w:rsid w:val="001313AF"/>
    <w:rsid w:val="00132105"/>
    <w:rsid w:val="0013493F"/>
    <w:rsid w:val="001548CC"/>
    <w:rsid w:val="00160616"/>
    <w:rsid w:val="0016102F"/>
    <w:rsid w:val="00163753"/>
    <w:rsid w:val="001664F2"/>
    <w:rsid w:val="00173CFC"/>
    <w:rsid w:val="001852EF"/>
    <w:rsid w:val="001A70AB"/>
    <w:rsid w:val="001A79AA"/>
    <w:rsid w:val="001B18B2"/>
    <w:rsid w:val="001C21F1"/>
    <w:rsid w:val="001C5A81"/>
    <w:rsid w:val="001D307B"/>
    <w:rsid w:val="001D53EC"/>
    <w:rsid w:val="00200DDD"/>
    <w:rsid w:val="002033C6"/>
    <w:rsid w:val="002057DE"/>
    <w:rsid w:val="00205B90"/>
    <w:rsid w:val="00231A8B"/>
    <w:rsid w:val="002536AC"/>
    <w:rsid w:val="00254CD4"/>
    <w:rsid w:val="00263719"/>
    <w:rsid w:val="00271177"/>
    <w:rsid w:val="00273345"/>
    <w:rsid w:val="00277CDB"/>
    <w:rsid w:val="00280674"/>
    <w:rsid w:val="00281BDB"/>
    <w:rsid w:val="00290499"/>
    <w:rsid w:val="002916FB"/>
    <w:rsid w:val="00296818"/>
    <w:rsid w:val="002A210D"/>
    <w:rsid w:val="002B20CE"/>
    <w:rsid w:val="002F04F3"/>
    <w:rsid w:val="002F1059"/>
    <w:rsid w:val="003126C2"/>
    <w:rsid w:val="0031285E"/>
    <w:rsid w:val="00317236"/>
    <w:rsid w:val="00323119"/>
    <w:rsid w:val="00323148"/>
    <w:rsid w:val="00327006"/>
    <w:rsid w:val="003358A8"/>
    <w:rsid w:val="003552C2"/>
    <w:rsid w:val="00361E3B"/>
    <w:rsid w:val="003625A3"/>
    <w:rsid w:val="0036460D"/>
    <w:rsid w:val="0037119B"/>
    <w:rsid w:val="00372B5B"/>
    <w:rsid w:val="00380443"/>
    <w:rsid w:val="00386663"/>
    <w:rsid w:val="003A7049"/>
    <w:rsid w:val="003B59D5"/>
    <w:rsid w:val="003C5117"/>
    <w:rsid w:val="003C7111"/>
    <w:rsid w:val="003C7570"/>
    <w:rsid w:val="003D5F22"/>
    <w:rsid w:val="003F127F"/>
    <w:rsid w:val="003F19D1"/>
    <w:rsid w:val="003F3B34"/>
    <w:rsid w:val="00400713"/>
    <w:rsid w:val="00400A68"/>
    <w:rsid w:val="0040146E"/>
    <w:rsid w:val="00404833"/>
    <w:rsid w:val="00415C5B"/>
    <w:rsid w:val="00415E35"/>
    <w:rsid w:val="00421BA6"/>
    <w:rsid w:val="0043008E"/>
    <w:rsid w:val="00455D40"/>
    <w:rsid w:val="00462B7A"/>
    <w:rsid w:val="00473A17"/>
    <w:rsid w:val="00474EB8"/>
    <w:rsid w:val="0047697B"/>
    <w:rsid w:val="0049067B"/>
    <w:rsid w:val="00490E7A"/>
    <w:rsid w:val="004A740E"/>
    <w:rsid w:val="004B1DB5"/>
    <w:rsid w:val="004C19B7"/>
    <w:rsid w:val="004C5E4A"/>
    <w:rsid w:val="004D11D8"/>
    <w:rsid w:val="004E4136"/>
    <w:rsid w:val="004E551B"/>
    <w:rsid w:val="004F6ED4"/>
    <w:rsid w:val="00501C5D"/>
    <w:rsid w:val="00512BD8"/>
    <w:rsid w:val="00521B79"/>
    <w:rsid w:val="00523772"/>
    <w:rsid w:val="0054616C"/>
    <w:rsid w:val="005461E1"/>
    <w:rsid w:val="00547522"/>
    <w:rsid w:val="00550856"/>
    <w:rsid w:val="005530BD"/>
    <w:rsid w:val="0055457F"/>
    <w:rsid w:val="005558B8"/>
    <w:rsid w:val="005608B3"/>
    <w:rsid w:val="005643C7"/>
    <w:rsid w:val="005658BD"/>
    <w:rsid w:val="00565B2B"/>
    <w:rsid w:val="0056734B"/>
    <w:rsid w:val="005742D9"/>
    <w:rsid w:val="00585502"/>
    <w:rsid w:val="00586240"/>
    <w:rsid w:val="00594F7C"/>
    <w:rsid w:val="005A09FD"/>
    <w:rsid w:val="005A2A86"/>
    <w:rsid w:val="005A38C8"/>
    <w:rsid w:val="005A5973"/>
    <w:rsid w:val="005A7CDF"/>
    <w:rsid w:val="005C12F0"/>
    <w:rsid w:val="005C2719"/>
    <w:rsid w:val="005D5722"/>
    <w:rsid w:val="005E78FA"/>
    <w:rsid w:val="005F2E81"/>
    <w:rsid w:val="005F4935"/>
    <w:rsid w:val="0060478A"/>
    <w:rsid w:val="00606973"/>
    <w:rsid w:val="00622B40"/>
    <w:rsid w:val="00624563"/>
    <w:rsid w:val="00644B60"/>
    <w:rsid w:val="0066134D"/>
    <w:rsid w:val="006808E1"/>
    <w:rsid w:val="00684EB9"/>
    <w:rsid w:val="00693D26"/>
    <w:rsid w:val="00693EA1"/>
    <w:rsid w:val="00694060"/>
    <w:rsid w:val="006951E7"/>
    <w:rsid w:val="006A14EB"/>
    <w:rsid w:val="006A39FB"/>
    <w:rsid w:val="006A5A77"/>
    <w:rsid w:val="006B301C"/>
    <w:rsid w:val="006B548C"/>
    <w:rsid w:val="006B5490"/>
    <w:rsid w:val="006C1552"/>
    <w:rsid w:val="006C34A7"/>
    <w:rsid w:val="006E11C1"/>
    <w:rsid w:val="006E29A6"/>
    <w:rsid w:val="006E399D"/>
    <w:rsid w:val="006F2E02"/>
    <w:rsid w:val="007008D1"/>
    <w:rsid w:val="007022B6"/>
    <w:rsid w:val="00707F47"/>
    <w:rsid w:val="007235C9"/>
    <w:rsid w:val="00726754"/>
    <w:rsid w:val="00727335"/>
    <w:rsid w:val="00734380"/>
    <w:rsid w:val="00740439"/>
    <w:rsid w:val="00744423"/>
    <w:rsid w:val="0075704C"/>
    <w:rsid w:val="00760BB3"/>
    <w:rsid w:val="00763BDD"/>
    <w:rsid w:val="0076554C"/>
    <w:rsid w:val="007852BA"/>
    <w:rsid w:val="007A0484"/>
    <w:rsid w:val="007A37A0"/>
    <w:rsid w:val="007A3C22"/>
    <w:rsid w:val="007A58EB"/>
    <w:rsid w:val="007A7703"/>
    <w:rsid w:val="007B0C15"/>
    <w:rsid w:val="007C6E29"/>
    <w:rsid w:val="007D51A8"/>
    <w:rsid w:val="007D602A"/>
    <w:rsid w:val="007E2640"/>
    <w:rsid w:val="007E787A"/>
    <w:rsid w:val="007F0705"/>
    <w:rsid w:val="00801E57"/>
    <w:rsid w:val="00813502"/>
    <w:rsid w:val="0083182F"/>
    <w:rsid w:val="008352D5"/>
    <w:rsid w:val="00835EC1"/>
    <w:rsid w:val="008440CC"/>
    <w:rsid w:val="00851C07"/>
    <w:rsid w:val="00856F8E"/>
    <w:rsid w:val="008571D2"/>
    <w:rsid w:val="00857B49"/>
    <w:rsid w:val="00874B4E"/>
    <w:rsid w:val="00875734"/>
    <w:rsid w:val="00890007"/>
    <w:rsid w:val="008B5D54"/>
    <w:rsid w:val="008C1A1B"/>
    <w:rsid w:val="008C22E5"/>
    <w:rsid w:val="008C2FA3"/>
    <w:rsid w:val="008C3EE0"/>
    <w:rsid w:val="008C6C7C"/>
    <w:rsid w:val="008D1C90"/>
    <w:rsid w:val="008D7977"/>
    <w:rsid w:val="008E0F80"/>
    <w:rsid w:val="008E7B8D"/>
    <w:rsid w:val="008F1C75"/>
    <w:rsid w:val="009051F4"/>
    <w:rsid w:val="0091000A"/>
    <w:rsid w:val="009114F1"/>
    <w:rsid w:val="00917C58"/>
    <w:rsid w:val="00921189"/>
    <w:rsid w:val="0093574E"/>
    <w:rsid w:val="009404CE"/>
    <w:rsid w:val="009423E6"/>
    <w:rsid w:val="00947E24"/>
    <w:rsid w:val="00963FB4"/>
    <w:rsid w:val="00966B4A"/>
    <w:rsid w:val="00967859"/>
    <w:rsid w:val="009701CD"/>
    <w:rsid w:val="00971BD7"/>
    <w:rsid w:val="00975A06"/>
    <w:rsid w:val="00982FB4"/>
    <w:rsid w:val="00983939"/>
    <w:rsid w:val="00983BA0"/>
    <w:rsid w:val="00995E39"/>
    <w:rsid w:val="009A205F"/>
    <w:rsid w:val="009B1E5C"/>
    <w:rsid w:val="009B2C2C"/>
    <w:rsid w:val="009B2C6C"/>
    <w:rsid w:val="009B310D"/>
    <w:rsid w:val="009C73F9"/>
    <w:rsid w:val="009D2758"/>
    <w:rsid w:val="009D3B83"/>
    <w:rsid w:val="009D4F7B"/>
    <w:rsid w:val="009D5FCD"/>
    <w:rsid w:val="009D6598"/>
    <w:rsid w:val="009D7898"/>
    <w:rsid w:val="009E068F"/>
    <w:rsid w:val="009E0CC8"/>
    <w:rsid w:val="009F1752"/>
    <w:rsid w:val="009F4AC3"/>
    <w:rsid w:val="00A008DD"/>
    <w:rsid w:val="00A014A9"/>
    <w:rsid w:val="00A0224A"/>
    <w:rsid w:val="00A058B1"/>
    <w:rsid w:val="00A15BB1"/>
    <w:rsid w:val="00A25D68"/>
    <w:rsid w:val="00A268BF"/>
    <w:rsid w:val="00A30795"/>
    <w:rsid w:val="00A51793"/>
    <w:rsid w:val="00A51836"/>
    <w:rsid w:val="00A520B5"/>
    <w:rsid w:val="00A623B0"/>
    <w:rsid w:val="00A64634"/>
    <w:rsid w:val="00A77265"/>
    <w:rsid w:val="00AA633E"/>
    <w:rsid w:val="00AA69B2"/>
    <w:rsid w:val="00AB1974"/>
    <w:rsid w:val="00AB3218"/>
    <w:rsid w:val="00AB791B"/>
    <w:rsid w:val="00AC1298"/>
    <w:rsid w:val="00AC2310"/>
    <w:rsid w:val="00AE00CD"/>
    <w:rsid w:val="00AE2251"/>
    <w:rsid w:val="00AE3646"/>
    <w:rsid w:val="00AE42BA"/>
    <w:rsid w:val="00AE6AB9"/>
    <w:rsid w:val="00AF0513"/>
    <w:rsid w:val="00B00B76"/>
    <w:rsid w:val="00B17F32"/>
    <w:rsid w:val="00B317F9"/>
    <w:rsid w:val="00B330F5"/>
    <w:rsid w:val="00B43777"/>
    <w:rsid w:val="00B51CA3"/>
    <w:rsid w:val="00B57DE8"/>
    <w:rsid w:val="00B664A5"/>
    <w:rsid w:val="00B718D9"/>
    <w:rsid w:val="00B71EE3"/>
    <w:rsid w:val="00B74AC8"/>
    <w:rsid w:val="00B94810"/>
    <w:rsid w:val="00BA5A9A"/>
    <w:rsid w:val="00BB1CEF"/>
    <w:rsid w:val="00BB67E5"/>
    <w:rsid w:val="00BD1737"/>
    <w:rsid w:val="00BE03C3"/>
    <w:rsid w:val="00BE0872"/>
    <w:rsid w:val="00BF69F0"/>
    <w:rsid w:val="00C05D01"/>
    <w:rsid w:val="00C15C3B"/>
    <w:rsid w:val="00C16F3D"/>
    <w:rsid w:val="00C2449D"/>
    <w:rsid w:val="00C303CC"/>
    <w:rsid w:val="00C50221"/>
    <w:rsid w:val="00C60D32"/>
    <w:rsid w:val="00C66750"/>
    <w:rsid w:val="00C71015"/>
    <w:rsid w:val="00C9347E"/>
    <w:rsid w:val="00CB0112"/>
    <w:rsid w:val="00CB467E"/>
    <w:rsid w:val="00CC394D"/>
    <w:rsid w:val="00CC433C"/>
    <w:rsid w:val="00CD5A5B"/>
    <w:rsid w:val="00CE1FB5"/>
    <w:rsid w:val="00CE4177"/>
    <w:rsid w:val="00CE6629"/>
    <w:rsid w:val="00CF55FC"/>
    <w:rsid w:val="00CF6414"/>
    <w:rsid w:val="00D16223"/>
    <w:rsid w:val="00D23100"/>
    <w:rsid w:val="00D25C3A"/>
    <w:rsid w:val="00D3403A"/>
    <w:rsid w:val="00D370FC"/>
    <w:rsid w:val="00D37893"/>
    <w:rsid w:val="00D53E6D"/>
    <w:rsid w:val="00D76F6A"/>
    <w:rsid w:val="00D8134D"/>
    <w:rsid w:val="00D84A92"/>
    <w:rsid w:val="00D9206E"/>
    <w:rsid w:val="00DA6255"/>
    <w:rsid w:val="00DB79EA"/>
    <w:rsid w:val="00DC2095"/>
    <w:rsid w:val="00DC26C8"/>
    <w:rsid w:val="00DD23B8"/>
    <w:rsid w:val="00DD2F06"/>
    <w:rsid w:val="00DE1099"/>
    <w:rsid w:val="00DE111B"/>
    <w:rsid w:val="00DE4FCB"/>
    <w:rsid w:val="00DF159B"/>
    <w:rsid w:val="00E0270D"/>
    <w:rsid w:val="00E12DB3"/>
    <w:rsid w:val="00E207D7"/>
    <w:rsid w:val="00E21EA8"/>
    <w:rsid w:val="00E23B55"/>
    <w:rsid w:val="00E2621E"/>
    <w:rsid w:val="00E26E65"/>
    <w:rsid w:val="00E3238E"/>
    <w:rsid w:val="00E3703E"/>
    <w:rsid w:val="00E4232F"/>
    <w:rsid w:val="00E439B9"/>
    <w:rsid w:val="00E510E3"/>
    <w:rsid w:val="00E51244"/>
    <w:rsid w:val="00E51D61"/>
    <w:rsid w:val="00E54E8F"/>
    <w:rsid w:val="00E6359F"/>
    <w:rsid w:val="00E82392"/>
    <w:rsid w:val="00E92C07"/>
    <w:rsid w:val="00EA1634"/>
    <w:rsid w:val="00EA1ADF"/>
    <w:rsid w:val="00EA5271"/>
    <w:rsid w:val="00EB0DDB"/>
    <w:rsid w:val="00EB52AD"/>
    <w:rsid w:val="00EB616D"/>
    <w:rsid w:val="00EB695F"/>
    <w:rsid w:val="00ED1A18"/>
    <w:rsid w:val="00ED231F"/>
    <w:rsid w:val="00ED4E1B"/>
    <w:rsid w:val="00ED6CE3"/>
    <w:rsid w:val="00EE109F"/>
    <w:rsid w:val="00EF0530"/>
    <w:rsid w:val="00EF1CFA"/>
    <w:rsid w:val="00EF7493"/>
    <w:rsid w:val="00F10A14"/>
    <w:rsid w:val="00F13D33"/>
    <w:rsid w:val="00F16AEC"/>
    <w:rsid w:val="00F22E3E"/>
    <w:rsid w:val="00F2676E"/>
    <w:rsid w:val="00F273D6"/>
    <w:rsid w:val="00F33C3B"/>
    <w:rsid w:val="00F541AB"/>
    <w:rsid w:val="00F567DC"/>
    <w:rsid w:val="00F746AA"/>
    <w:rsid w:val="00F81F8E"/>
    <w:rsid w:val="00F90259"/>
    <w:rsid w:val="00F90D70"/>
    <w:rsid w:val="00F954E6"/>
    <w:rsid w:val="00FA0253"/>
    <w:rsid w:val="00FA1E52"/>
    <w:rsid w:val="00FB1AD2"/>
    <w:rsid w:val="00FB57EA"/>
    <w:rsid w:val="00FD2C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2" w:qFormat="1"/>
    <w:lsdException w:name="List Bullet 2" w:uiPriority="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6"/>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7"/>
      </w:numPr>
      <w:tabs>
        <w:tab w:val="left" w:pos="567"/>
      </w:tabs>
      <w:ind w:left="1134" w:hanging="567"/>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character" w:styleId="CommentReference">
    <w:name w:val="annotation reference"/>
    <w:basedOn w:val="DefaultParagraphFont"/>
    <w:uiPriority w:val="99"/>
    <w:semiHidden/>
    <w:unhideWhenUsed/>
    <w:rsid w:val="00835EC1"/>
    <w:rPr>
      <w:sz w:val="16"/>
      <w:szCs w:val="16"/>
    </w:rPr>
  </w:style>
  <w:style w:type="paragraph" w:styleId="CommentText">
    <w:name w:val="annotation text"/>
    <w:basedOn w:val="Normal"/>
    <w:link w:val="CommentTextChar"/>
    <w:uiPriority w:val="99"/>
    <w:semiHidden/>
    <w:unhideWhenUsed/>
    <w:rsid w:val="00835EC1"/>
    <w:rPr>
      <w:sz w:val="20"/>
    </w:rPr>
  </w:style>
  <w:style w:type="character" w:customStyle="1" w:styleId="CommentTextChar">
    <w:name w:val="Comment Text Char"/>
    <w:basedOn w:val="DefaultParagraphFont"/>
    <w:link w:val="CommentText"/>
    <w:uiPriority w:val="99"/>
    <w:semiHidden/>
    <w:rsid w:val="00835EC1"/>
    <w:rPr>
      <w:lang w:eastAsia="en-US"/>
    </w:rPr>
  </w:style>
  <w:style w:type="paragraph" w:styleId="CommentSubject">
    <w:name w:val="annotation subject"/>
    <w:basedOn w:val="CommentText"/>
    <w:next w:val="CommentText"/>
    <w:link w:val="CommentSubjectChar"/>
    <w:uiPriority w:val="99"/>
    <w:semiHidden/>
    <w:unhideWhenUsed/>
    <w:rsid w:val="00835EC1"/>
    <w:rPr>
      <w:b/>
      <w:bCs/>
    </w:rPr>
  </w:style>
  <w:style w:type="character" w:customStyle="1" w:styleId="CommentSubjectChar">
    <w:name w:val="Comment Subject Char"/>
    <w:basedOn w:val="CommentTextChar"/>
    <w:link w:val="CommentSubject"/>
    <w:uiPriority w:val="99"/>
    <w:semiHidden/>
    <w:rsid w:val="00835EC1"/>
    <w:rPr>
      <w:b/>
      <w:bCs/>
      <w:lang w:eastAsia="en-US"/>
    </w:rPr>
  </w:style>
  <w:style w:type="paragraph" w:styleId="BalloonText">
    <w:name w:val="Balloon Text"/>
    <w:basedOn w:val="Normal"/>
    <w:link w:val="BalloonTextChar"/>
    <w:uiPriority w:val="99"/>
    <w:semiHidden/>
    <w:unhideWhenUsed/>
    <w:rsid w:val="00835EC1"/>
    <w:rPr>
      <w:rFonts w:ascii="Tahoma" w:hAnsi="Tahoma" w:cs="Tahoma"/>
      <w:sz w:val="16"/>
      <w:szCs w:val="16"/>
    </w:rPr>
  </w:style>
  <w:style w:type="character" w:customStyle="1" w:styleId="BalloonTextChar">
    <w:name w:val="Balloon Text Char"/>
    <w:basedOn w:val="DefaultParagraphFont"/>
    <w:link w:val="BalloonText"/>
    <w:uiPriority w:val="99"/>
    <w:semiHidden/>
    <w:rsid w:val="00835EC1"/>
    <w:rPr>
      <w:rFonts w:ascii="Tahoma" w:hAnsi="Tahoma" w:cs="Tahoma"/>
      <w:sz w:val="16"/>
      <w:szCs w:val="16"/>
      <w:lang w:eastAsia="en-US"/>
    </w:rPr>
  </w:style>
  <w:style w:type="paragraph" w:styleId="ListBullet">
    <w:name w:val="List Bullet"/>
    <w:basedOn w:val="Normal"/>
    <w:qFormat/>
    <w:rsid w:val="00290499"/>
    <w:pPr>
      <w:tabs>
        <w:tab w:val="num" w:pos="851"/>
      </w:tabs>
      <w:spacing w:after="60"/>
      <w:ind w:left="851" w:hanging="284"/>
    </w:pPr>
    <w:rPr>
      <w:rFonts w:ascii="Verdana" w:hAnsi="Verdana" w:cs="Arial"/>
      <w:sz w:val="20"/>
      <w:lang w:eastAsia="en-AU"/>
    </w:rPr>
  </w:style>
  <w:style w:type="paragraph" w:styleId="ListBullet2">
    <w:name w:val="List Bullet 2"/>
    <w:basedOn w:val="Normal"/>
    <w:qFormat/>
    <w:rsid w:val="00290499"/>
    <w:pPr>
      <w:tabs>
        <w:tab w:val="num" w:pos="1135"/>
        <w:tab w:val="left" w:pos="1418"/>
      </w:tabs>
      <w:spacing w:after="60"/>
      <w:ind w:left="1135" w:hanging="284"/>
    </w:pPr>
    <w:rPr>
      <w:rFonts w:ascii="Verdana" w:hAnsi="Verdana" w:cs="Arial"/>
      <w:sz w:val="20"/>
      <w:lang w:eastAsia="en-AU"/>
    </w:rPr>
  </w:style>
  <w:style w:type="paragraph" w:styleId="ListBullet3">
    <w:name w:val="List Bullet 3"/>
    <w:basedOn w:val="Normal"/>
    <w:rsid w:val="00290499"/>
    <w:pPr>
      <w:numPr>
        <w:numId w:val="11"/>
      </w:numPr>
      <w:contextualSpacing/>
    </w:pPr>
    <w:rPr>
      <w:rFonts w:ascii="Verdana" w:hAnsi="Verdana" w:cs="Arial"/>
      <w:sz w:val="20"/>
      <w:lang w:eastAsia="en-AU"/>
    </w:rPr>
  </w:style>
  <w:style w:type="paragraph" w:styleId="Revision">
    <w:name w:val="Revision"/>
    <w:hidden/>
    <w:uiPriority w:val="99"/>
    <w:semiHidden/>
    <w:rsid w:val="008D797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2" w:qFormat="1"/>
    <w:lsdException w:name="List Bullet 2" w:uiPriority="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D"/>
    <w:rPr>
      <w:sz w:val="24"/>
      <w:lang w:eastAsia="en-US"/>
    </w:rPr>
  </w:style>
  <w:style w:type="paragraph" w:styleId="Heading1">
    <w:name w:val="heading 1"/>
    <w:basedOn w:val="Normal"/>
    <w:next w:val="Normal"/>
    <w:qFormat/>
    <w:rsid w:val="00263719"/>
    <w:pPr>
      <w:keepNext/>
      <w:spacing w:before="240" w:after="60"/>
      <w:outlineLvl w:val="0"/>
    </w:pPr>
    <w:rPr>
      <w:rFonts w:ascii="Arial" w:hAnsi="Arial" w:cs="Arial"/>
      <w:b/>
      <w:bCs/>
      <w:kern w:val="32"/>
      <w:sz w:val="32"/>
      <w:szCs w:val="32"/>
    </w:rPr>
  </w:style>
  <w:style w:type="paragraph" w:styleId="Heading2">
    <w:name w:val="heading 2"/>
    <w:basedOn w:val="Heading1"/>
    <w:next w:val="Normal"/>
    <w:qFormat/>
    <w:rsid w:val="00263719"/>
    <w:pPr>
      <w:spacing w:before="0" w:after="113" w:line="440" w:lineRule="exact"/>
      <w:outlineLvl w:val="1"/>
    </w:pPr>
    <w:rPr>
      <w:rFonts w:ascii="Times New Roman" w:hAnsi="Times New Roman"/>
      <w:b w:val="0"/>
      <w:bCs w:val="0"/>
      <w:iCs/>
      <w:color w:val="87212E"/>
      <w:sz w:val="30"/>
      <w:szCs w:val="30"/>
      <w:lang w:eastAsia="en-AU"/>
    </w:rPr>
  </w:style>
  <w:style w:type="paragraph" w:styleId="Heading3">
    <w:name w:val="heading 3"/>
    <w:basedOn w:val="Heading2"/>
    <w:next w:val="Normal"/>
    <w:qFormat/>
    <w:rsid w:val="00263719"/>
    <w:pPr>
      <w:spacing w:before="227" w:after="57" w:line="340" w:lineRule="exact"/>
      <w:outlineLvl w:val="2"/>
    </w:pPr>
    <w:rPr>
      <w:bCs/>
      <w:i/>
      <w:sz w:val="24"/>
      <w:szCs w:val="24"/>
    </w:rPr>
  </w:style>
  <w:style w:type="paragraph" w:styleId="Heading5">
    <w:name w:val="heading 5"/>
    <w:basedOn w:val="Normal"/>
    <w:next w:val="Normal"/>
    <w:qFormat/>
    <w:rsid w:val="00D8134D"/>
    <w:pPr>
      <w:keepNext/>
      <w:spacing w:before="120" w:after="144"/>
      <w:outlineLvl w:val="4"/>
    </w:pPr>
    <w:rPr>
      <w:rFonts w:ascii="Arial Bold" w:hAnsi="Arial Bold"/>
      <w:b/>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0">
    <w:name w:val="Heading1"/>
    <w:basedOn w:val="DefaultParagraphFont"/>
    <w:rsid w:val="00BD1737"/>
    <w:rPr>
      <w:rFonts w:ascii="Arial" w:hAnsi="Arial"/>
      <w:b/>
      <w:bCs/>
      <w:sz w:val="36"/>
    </w:rPr>
  </w:style>
  <w:style w:type="paragraph" w:customStyle="1" w:styleId="Heading20">
    <w:name w:val="Heading2"/>
    <w:basedOn w:val="NormalWeb"/>
    <w:rsid w:val="00BD1737"/>
    <w:pPr>
      <w:spacing w:before="100" w:beforeAutospacing="1" w:after="100" w:afterAutospacing="1" w:line="360" w:lineRule="auto"/>
    </w:pPr>
    <w:rPr>
      <w:rFonts w:ascii="Arial" w:hAnsi="Arial"/>
      <w:b/>
      <w:bCs/>
      <w:color w:val="000000"/>
      <w:sz w:val="28"/>
      <w:szCs w:val="20"/>
      <w:lang w:val="en-AU"/>
    </w:rPr>
  </w:style>
  <w:style w:type="paragraph" w:styleId="NormalWeb">
    <w:name w:val="Normal (Web)"/>
    <w:basedOn w:val="Normal"/>
    <w:rsid w:val="00BD1737"/>
    <w:rPr>
      <w:szCs w:val="24"/>
    </w:rPr>
  </w:style>
  <w:style w:type="character" w:styleId="Hyperlink">
    <w:name w:val="Hyperlink"/>
    <w:basedOn w:val="DefaultParagraphFont"/>
    <w:rsid w:val="007E2640"/>
    <w:rPr>
      <w:color w:val="0000FF"/>
      <w:u w:val="single"/>
    </w:rPr>
  </w:style>
  <w:style w:type="character" w:styleId="Emphasis">
    <w:name w:val="Emphasis"/>
    <w:basedOn w:val="DefaultParagraphFont"/>
    <w:qFormat/>
    <w:rsid w:val="007E2640"/>
    <w:rPr>
      <w:i/>
      <w:iCs/>
    </w:rPr>
  </w:style>
  <w:style w:type="paragraph" w:styleId="Header">
    <w:name w:val="header"/>
    <w:basedOn w:val="Normal"/>
    <w:rsid w:val="006808E1"/>
    <w:pPr>
      <w:tabs>
        <w:tab w:val="center" w:pos="4153"/>
        <w:tab w:val="right" w:pos="8306"/>
      </w:tabs>
    </w:pPr>
  </w:style>
  <w:style w:type="paragraph" w:styleId="Footer">
    <w:name w:val="footer"/>
    <w:basedOn w:val="Normal"/>
    <w:rsid w:val="006808E1"/>
    <w:pPr>
      <w:tabs>
        <w:tab w:val="center" w:pos="4153"/>
        <w:tab w:val="right" w:pos="8306"/>
      </w:tabs>
    </w:pPr>
  </w:style>
  <w:style w:type="character" w:styleId="PageNumber">
    <w:name w:val="page number"/>
    <w:basedOn w:val="DefaultParagraphFont"/>
    <w:rsid w:val="006808E1"/>
  </w:style>
  <w:style w:type="table" w:styleId="TableGrid">
    <w:name w:val="Table Grid"/>
    <w:basedOn w:val="TableNormal"/>
    <w:rsid w:val="00263719"/>
    <w:pPr>
      <w:spacing w:after="120" w:line="3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8134D"/>
    <w:pPr>
      <w:jc w:val="center"/>
    </w:pPr>
    <w:rPr>
      <w:sz w:val="23"/>
      <w:lang w:val="en-US" w:eastAsia="en-NZ"/>
    </w:rPr>
  </w:style>
  <w:style w:type="paragraph" w:customStyle="1" w:styleId="Numberparagraph">
    <w:name w:val="Number paragraph"/>
    <w:basedOn w:val="Normal"/>
    <w:qFormat/>
    <w:rsid w:val="00E4232F"/>
    <w:pPr>
      <w:numPr>
        <w:numId w:val="6"/>
      </w:numPr>
      <w:tabs>
        <w:tab w:val="left" w:pos="567"/>
      </w:tabs>
      <w:jc w:val="both"/>
    </w:pPr>
    <w:rPr>
      <w:szCs w:val="24"/>
      <w:lang w:eastAsia="en-AU"/>
    </w:rPr>
  </w:style>
  <w:style w:type="paragraph" w:customStyle="1" w:styleId="Recommendationfirstlevel">
    <w:name w:val="Recommendation first level"/>
    <w:basedOn w:val="Normal"/>
    <w:qFormat/>
    <w:rsid w:val="00AE00CD"/>
    <w:pPr>
      <w:numPr>
        <w:numId w:val="7"/>
      </w:numPr>
      <w:tabs>
        <w:tab w:val="left" w:pos="567"/>
      </w:tabs>
      <w:ind w:left="1134" w:hanging="567"/>
      <w:jc w:val="both"/>
    </w:pPr>
    <w:rPr>
      <w:szCs w:val="24"/>
      <w:lang w:eastAsia="en-AU"/>
    </w:rPr>
  </w:style>
  <w:style w:type="paragraph" w:styleId="ListParagraph">
    <w:name w:val="List Paragraph"/>
    <w:basedOn w:val="Normal"/>
    <w:uiPriority w:val="34"/>
    <w:qFormat/>
    <w:rsid w:val="00AE00CD"/>
    <w:pPr>
      <w:ind w:left="720"/>
      <w:contextualSpacing/>
    </w:pPr>
  </w:style>
  <w:style w:type="paragraph" w:styleId="List2">
    <w:name w:val="List 2"/>
    <w:basedOn w:val="Normal"/>
    <w:autoRedefine/>
    <w:uiPriority w:val="99"/>
    <w:semiHidden/>
    <w:unhideWhenUsed/>
    <w:qFormat/>
    <w:rsid w:val="00AE00CD"/>
    <w:pPr>
      <w:numPr>
        <w:numId w:val="8"/>
      </w:numPr>
      <w:contextualSpacing/>
    </w:pPr>
  </w:style>
  <w:style w:type="paragraph" w:customStyle="1" w:styleId="Recommendation11">
    <w:name w:val="Recommendation 1.1"/>
    <w:basedOn w:val="Recommendationfirstlevel"/>
    <w:qFormat/>
    <w:rsid w:val="0016102F"/>
    <w:pPr>
      <w:numPr>
        <w:numId w:val="9"/>
      </w:numPr>
      <w:tabs>
        <w:tab w:val="clear" w:pos="567"/>
      </w:tabs>
      <w:ind w:left="1134" w:firstLine="0"/>
    </w:pPr>
  </w:style>
  <w:style w:type="paragraph" w:customStyle="1" w:styleId="Recommendationlevel21">
    <w:name w:val="Recommendation level 2.1"/>
    <w:basedOn w:val="Recommendationfirstlevel"/>
    <w:qFormat/>
    <w:rsid w:val="00415C5B"/>
    <w:pPr>
      <w:numPr>
        <w:numId w:val="10"/>
      </w:numPr>
    </w:pPr>
  </w:style>
  <w:style w:type="paragraph" w:styleId="NoSpacing">
    <w:name w:val="No Spacing"/>
    <w:uiPriority w:val="1"/>
    <w:qFormat/>
    <w:rsid w:val="007008D1"/>
    <w:rPr>
      <w:sz w:val="24"/>
      <w:lang w:eastAsia="en-US"/>
    </w:rPr>
  </w:style>
  <w:style w:type="character" w:styleId="CommentReference">
    <w:name w:val="annotation reference"/>
    <w:basedOn w:val="DefaultParagraphFont"/>
    <w:uiPriority w:val="99"/>
    <w:semiHidden/>
    <w:unhideWhenUsed/>
    <w:rsid w:val="00835EC1"/>
    <w:rPr>
      <w:sz w:val="16"/>
      <w:szCs w:val="16"/>
    </w:rPr>
  </w:style>
  <w:style w:type="paragraph" w:styleId="CommentText">
    <w:name w:val="annotation text"/>
    <w:basedOn w:val="Normal"/>
    <w:link w:val="CommentTextChar"/>
    <w:uiPriority w:val="99"/>
    <w:semiHidden/>
    <w:unhideWhenUsed/>
    <w:rsid w:val="00835EC1"/>
    <w:rPr>
      <w:sz w:val="20"/>
    </w:rPr>
  </w:style>
  <w:style w:type="character" w:customStyle="1" w:styleId="CommentTextChar">
    <w:name w:val="Comment Text Char"/>
    <w:basedOn w:val="DefaultParagraphFont"/>
    <w:link w:val="CommentText"/>
    <w:uiPriority w:val="99"/>
    <w:semiHidden/>
    <w:rsid w:val="00835EC1"/>
    <w:rPr>
      <w:lang w:eastAsia="en-US"/>
    </w:rPr>
  </w:style>
  <w:style w:type="paragraph" w:styleId="CommentSubject">
    <w:name w:val="annotation subject"/>
    <w:basedOn w:val="CommentText"/>
    <w:next w:val="CommentText"/>
    <w:link w:val="CommentSubjectChar"/>
    <w:uiPriority w:val="99"/>
    <w:semiHidden/>
    <w:unhideWhenUsed/>
    <w:rsid w:val="00835EC1"/>
    <w:rPr>
      <w:b/>
      <w:bCs/>
    </w:rPr>
  </w:style>
  <w:style w:type="character" w:customStyle="1" w:styleId="CommentSubjectChar">
    <w:name w:val="Comment Subject Char"/>
    <w:basedOn w:val="CommentTextChar"/>
    <w:link w:val="CommentSubject"/>
    <w:uiPriority w:val="99"/>
    <w:semiHidden/>
    <w:rsid w:val="00835EC1"/>
    <w:rPr>
      <w:b/>
      <w:bCs/>
      <w:lang w:eastAsia="en-US"/>
    </w:rPr>
  </w:style>
  <w:style w:type="paragraph" w:styleId="BalloonText">
    <w:name w:val="Balloon Text"/>
    <w:basedOn w:val="Normal"/>
    <w:link w:val="BalloonTextChar"/>
    <w:uiPriority w:val="99"/>
    <w:semiHidden/>
    <w:unhideWhenUsed/>
    <w:rsid w:val="00835EC1"/>
    <w:rPr>
      <w:rFonts w:ascii="Tahoma" w:hAnsi="Tahoma" w:cs="Tahoma"/>
      <w:sz w:val="16"/>
      <w:szCs w:val="16"/>
    </w:rPr>
  </w:style>
  <w:style w:type="character" w:customStyle="1" w:styleId="BalloonTextChar">
    <w:name w:val="Balloon Text Char"/>
    <w:basedOn w:val="DefaultParagraphFont"/>
    <w:link w:val="BalloonText"/>
    <w:uiPriority w:val="99"/>
    <w:semiHidden/>
    <w:rsid w:val="00835EC1"/>
    <w:rPr>
      <w:rFonts w:ascii="Tahoma" w:hAnsi="Tahoma" w:cs="Tahoma"/>
      <w:sz w:val="16"/>
      <w:szCs w:val="16"/>
      <w:lang w:eastAsia="en-US"/>
    </w:rPr>
  </w:style>
  <w:style w:type="paragraph" w:styleId="ListBullet">
    <w:name w:val="List Bullet"/>
    <w:basedOn w:val="Normal"/>
    <w:qFormat/>
    <w:rsid w:val="00290499"/>
    <w:pPr>
      <w:tabs>
        <w:tab w:val="num" w:pos="851"/>
      </w:tabs>
      <w:spacing w:after="60"/>
      <w:ind w:left="851" w:hanging="284"/>
    </w:pPr>
    <w:rPr>
      <w:rFonts w:ascii="Verdana" w:hAnsi="Verdana" w:cs="Arial"/>
      <w:sz w:val="20"/>
      <w:lang w:eastAsia="en-AU"/>
    </w:rPr>
  </w:style>
  <w:style w:type="paragraph" w:styleId="ListBullet2">
    <w:name w:val="List Bullet 2"/>
    <w:basedOn w:val="Normal"/>
    <w:qFormat/>
    <w:rsid w:val="00290499"/>
    <w:pPr>
      <w:tabs>
        <w:tab w:val="num" w:pos="1135"/>
        <w:tab w:val="left" w:pos="1418"/>
      </w:tabs>
      <w:spacing w:after="60"/>
      <w:ind w:left="1135" w:hanging="284"/>
    </w:pPr>
    <w:rPr>
      <w:rFonts w:ascii="Verdana" w:hAnsi="Verdana" w:cs="Arial"/>
      <w:sz w:val="20"/>
      <w:lang w:eastAsia="en-AU"/>
    </w:rPr>
  </w:style>
  <w:style w:type="paragraph" w:styleId="ListBullet3">
    <w:name w:val="List Bullet 3"/>
    <w:basedOn w:val="Normal"/>
    <w:rsid w:val="00290499"/>
    <w:pPr>
      <w:numPr>
        <w:numId w:val="11"/>
      </w:numPr>
      <w:contextualSpacing/>
    </w:pPr>
    <w:rPr>
      <w:rFonts w:ascii="Verdana" w:hAnsi="Verdana" w:cs="Arial"/>
      <w:sz w:val="20"/>
      <w:lang w:eastAsia="en-AU"/>
    </w:rPr>
  </w:style>
  <w:style w:type="paragraph" w:styleId="Revision">
    <w:name w:val="Revision"/>
    <w:hidden/>
    <w:uiPriority w:val="99"/>
    <w:semiHidden/>
    <w:rsid w:val="008D79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08254">
      <w:bodyDiv w:val="1"/>
      <w:marLeft w:val="0"/>
      <w:marRight w:val="0"/>
      <w:marTop w:val="0"/>
      <w:marBottom w:val="0"/>
      <w:divBdr>
        <w:top w:val="none" w:sz="0" w:space="0" w:color="auto"/>
        <w:left w:val="none" w:sz="0" w:space="0" w:color="auto"/>
        <w:bottom w:val="none" w:sz="0" w:space="0" w:color="auto"/>
        <w:right w:val="none" w:sz="0" w:space="0" w:color="auto"/>
      </w:divBdr>
      <w:divsChild>
        <w:div w:id="1637106440">
          <w:marLeft w:val="0"/>
          <w:marRight w:val="0"/>
          <w:marTop w:val="0"/>
          <w:marBottom w:val="0"/>
          <w:divBdr>
            <w:top w:val="none" w:sz="0" w:space="0" w:color="auto"/>
            <w:left w:val="none" w:sz="0" w:space="0" w:color="auto"/>
            <w:bottom w:val="none" w:sz="0" w:space="0" w:color="auto"/>
            <w:right w:val="none" w:sz="0" w:space="0" w:color="auto"/>
          </w:divBdr>
          <w:divsChild>
            <w:div w:id="1218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2855</Words>
  <Characters>15461</Characters>
  <Application>Microsoft Office Word</Application>
  <DocSecurity>0</DocSecurity>
  <Lines>1546</Lines>
  <Paragraphs>963</Paragraphs>
  <ScaleCrop>false</ScaleCrop>
  <Company/>
  <LinksUpToDate>false</LinksUpToDate>
  <CharactersWithSpaces>17353</CharactersWithSpaces>
  <SharedDoc>false</SharedDoc>
  <HLinks>
    <vt:vector size="6" baseType="variant">
      <vt:variant>
        <vt:i4>327763</vt:i4>
      </vt:variant>
      <vt:variant>
        <vt:i4>92</vt:i4>
      </vt:variant>
      <vt:variant>
        <vt:i4>0</vt:i4>
      </vt:variant>
      <vt:variant>
        <vt:i4>5</vt:i4>
      </vt:variant>
      <vt:variant>
        <vt:lpwstr>http://www.cabguide.cabinetoffice.govt.nz/procedures/consultation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2017-07-31T23:52:00Z</dcterms:created>
  <dcterms:modified xsi:type="dcterms:W3CDTF">2017-07-31T23:52:00Z</dcterms:modified>
</cp:coreProperties>
</file>