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382E2E" w:rsidRDefault="001005B7" w:rsidP="001005B7">
      <w:pPr>
        <w:jc w:val="center"/>
        <w:rPr>
          <w:b/>
          <w:lang w:val="en-NZ"/>
        </w:rPr>
      </w:pPr>
      <w:bookmarkStart w:id="0" w:name="_GoBack"/>
      <w:bookmarkEnd w:id="0"/>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5A3BF8" w:rsidRDefault="006D5FC9" w:rsidP="005A3BF8">
      <w:pPr>
        <w:pBdr>
          <w:bottom w:val="single" w:sz="4" w:space="5" w:color="auto"/>
        </w:pBdr>
        <w:jc w:val="center"/>
        <w:rPr>
          <w:i/>
          <w:sz w:val="68"/>
          <w:szCs w:val="68"/>
          <w:lang w:val="en-NZ"/>
        </w:rPr>
      </w:pPr>
      <w:r>
        <w:rPr>
          <w:sz w:val="68"/>
          <w:szCs w:val="68"/>
          <w:lang w:val="en-NZ"/>
        </w:rPr>
        <w:t>Taxation of employee share schemes: start-up companies</w:t>
      </w:r>
    </w:p>
    <w:p w:rsidR="001005B7" w:rsidRPr="005A3BF8" w:rsidRDefault="001005B7" w:rsidP="005A3BF8">
      <w:pPr>
        <w:jc w:val="center"/>
        <w:rPr>
          <w:b/>
          <w:i/>
          <w:sz w:val="40"/>
          <w:szCs w:val="40"/>
          <w:lang w:val="en-NZ"/>
        </w:rPr>
      </w:pPr>
    </w:p>
    <w:p w:rsidR="001005B7" w:rsidRPr="005A3BF8" w:rsidRDefault="001005B7" w:rsidP="005A3BF8">
      <w:pPr>
        <w:jc w:val="center"/>
        <w:rPr>
          <w:i/>
          <w:sz w:val="28"/>
          <w:szCs w:val="28"/>
          <w:lang w:val="en-NZ"/>
        </w:rPr>
      </w:pPr>
      <w:r w:rsidRPr="005A3BF8">
        <w:rPr>
          <w:i/>
          <w:sz w:val="28"/>
          <w:szCs w:val="28"/>
          <w:lang w:val="en-NZ"/>
        </w:rPr>
        <w:t>An officials’ issues paper</w:t>
      </w:r>
      <w:r w:rsidR="00934888">
        <w:rPr>
          <w:i/>
          <w:sz w:val="28"/>
          <w:szCs w:val="28"/>
          <w:lang w:val="en-NZ"/>
        </w:rPr>
        <w:t xml:space="preserve"> on a deferral regime for start-up companies</w:t>
      </w:r>
    </w:p>
    <w:p w:rsidR="001005B7" w:rsidRPr="005A3BF8" w:rsidRDefault="001005B7" w:rsidP="005A3BF8">
      <w:pPr>
        <w:jc w:val="center"/>
        <w:rPr>
          <w:b/>
          <w:i/>
          <w:sz w:val="40"/>
          <w:szCs w:val="40"/>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Default="001005B7" w:rsidP="001005B7">
      <w:pPr>
        <w:rPr>
          <w:lang w:val="en-NZ"/>
        </w:rPr>
      </w:pPr>
    </w:p>
    <w:p w:rsidR="000412F4" w:rsidRDefault="000412F4" w:rsidP="001005B7">
      <w:pPr>
        <w:rPr>
          <w:lang w:val="en-NZ"/>
        </w:rPr>
      </w:pPr>
    </w:p>
    <w:p w:rsidR="000412F4" w:rsidRDefault="000412F4" w:rsidP="001005B7">
      <w:pPr>
        <w:rPr>
          <w:lang w:val="en-NZ"/>
        </w:rPr>
      </w:pPr>
    </w:p>
    <w:p w:rsidR="000412F4" w:rsidRDefault="000412F4" w:rsidP="001005B7">
      <w:pPr>
        <w:rPr>
          <w:lang w:val="en-NZ"/>
        </w:rPr>
      </w:pPr>
    </w:p>
    <w:p w:rsidR="000412F4" w:rsidRPr="00382E2E" w:rsidRDefault="000412F4"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Default="001005B7" w:rsidP="001005B7">
      <w:pPr>
        <w:rPr>
          <w:lang w:val="en-NZ"/>
        </w:rPr>
      </w:pPr>
    </w:p>
    <w:p w:rsidR="00EB6602" w:rsidRDefault="00EB6602" w:rsidP="001005B7">
      <w:pPr>
        <w:rPr>
          <w:lang w:val="en-NZ"/>
        </w:rPr>
      </w:pPr>
    </w:p>
    <w:p w:rsidR="00EB6602" w:rsidRPr="00382E2E" w:rsidRDefault="00EB6602"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F55FD9" w:rsidP="001005B7">
      <w:pPr>
        <w:tabs>
          <w:tab w:val="left" w:pos="6237"/>
        </w:tabs>
        <w:rPr>
          <w:sz w:val="28"/>
          <w:szCs w:val="28"/>
          <w:lang w:val="en-NZ"/>
        </w:rPr>
      </w:pPr>
      <w:r w:rsidRPr="00B13BB1">
        <w:rPr>
          <w:sz w:val="28"/>
          <w:szCs w:val="28"/>
          <w:lang w:val="en-NZ"/>
        </w:rPr>
        <w:t>May</w:t>
      </w:r>
      <w:r w:rsidR="00F41E01">
        <w:rPr>
          <w:sz w:val="28"/>
          <w:szCs w:val="28"/>
          <w:lang w:val="en-NZ"/>
        </w:rPr>
        <w:t xml:space="preserve"> 201</w:t>
      </w:r>
      <w:r w:rsidR="006D5FC9">
        <w:rPr>
          <w:sz w:val="28"/>
          <w:szCs w:val="28"/>
          <w:lang w:val="en-NZ"/>
        </w:rPr>
        <w:t>7</w:t>
      </w: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i/>
          <w:lang w:val="en-NZ"/>
        </w:rPr>
      </w:pPr>
      <w:r w:rsidRPr="00382E2E">
        <w:rPr>
          <w:i/>
          <w:lang w:val="en-NZ"/>
        </w:rPr>
        <w:t xml:space="preserve">Prepared by Policy </w:t>
      </w:r>
      <w:r w:rsidR="00B94457">
        <w:rPr>
          <w:i/>
          <w:lang w:val="en-NZ"/>
        </w:rPr>
        <w:t>and Strategy</w:t>
      </w:r>
      <w:r w:rsidR="00F41E01">
        <w:rPr>
          <w:i/>
          <w:lang w:val="en-NZ"/>
        </w:rPr>
        <w:t>,</w:t>
      </w:r>
      <w:r w:rsidR="00B94457">
        <w:rPr>
          <w:i/>
          <w:lang w:val="en-NZ"/>
        </w:rPr>
        <w:t xml:space="preserve"> </w:t>
      </w:r>
      <w:r w:rsidRPr="00382E2E">
        <w:rPr>
          <w:i/>
          <w:lang w:val="en-NZ"/>
        </w:rPr>
        <w:t>Inland Revenue</w:t>
      </w:r>
      <w:r w:rsidR="00F41E01">
        <w:rPr>
          <w:i/>
          <w:lang w:val="en-NZ"/>
        </w:rPr>
        <w:t>,</w:t>
      </w:r>
      <w:r w:rsidRPr="00382E2E">
        <w:rPr>
          <w:i/>
          <w:lang w:val="en-NZ"/>
        </w:rPr>
        <w:t xml:space="preserve"> </w:t>
      </w:r>
      <w:r w:rsidR="00B94457">
        <w:rPr>
          <w:i/>
          <w:lang w:val="en-NZ"/>
        </w:rPr>
        <w:t>a</w:t>
      </w:r>
      <w:r w:rsidRPr="00382E2E">
        <w:rPr>
          <w:i/>
          <w:lang w:val="en-NZ"/>
        </w:rPr>
        <w:t>nd the Treasury</w:t>
      </w:r>
    </w:p>
    <w:p w:rsidR="001005B7" w:rsidRPr="00382E2E" w:rsidRDefault="001005B7" w:rsidP="001005B7">
      <w:pPr>
        <w:rPr>
          <w:lang w:val="en-NZ"/>
        </w:rPr>
      </w:pPr>
      <w:r w:rsidRPr="00382E2E">
        <w:rPr>
          <w:lang w:val="en-NZ"/>
        </w:rPr>
        <w:br w:type="page"/>
      </w: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jc w:val="left"/>
        <w:rPr>
          <w:sz w:val="20"/>
          <w:lang w:val="en-NZ"/>
        </w:rPr>
      </w:pPr>
      <w:r w:rsidRPr="00382E2E">
        <w:rPr>
          <w:sz w:val="20"/>
          <w:lang w:val="en-NZ"/>
        </w:rPr>
        <w:t xml:space="preserve">First published in </w:t>
      </w:r>
      <w:r w:rsidR="00F55FD9" w:rsidRPr="00B13BB1">
        <w:rPr>
          <w:sz w:val="20"/>
          <w:lang w:val="en-NZ"/>
        </w:rPr>
        <w:t>May</w:t>
      </w:r>
      <w:r w:rsidR="001B1FAA">
        <w:rPr>
          <w:sz w:val="20"/>
          <w:lang w:val="en-NZ"/>
        </w:rPr>
        <w:t xml:space="preserve"> 201</w:t>
      </w:r>
      <w:r w:rsidR="006D5FC9">
        <w:rPr>
          <w:sz w:val="20"/>
          <w:lang w:val="en-NZ"/>
        </w:rPr>
        <w:t>7</w:t>
      </w:r>
      <w:r w:rsidRPr="00382E2E">
        <w:rPr>
          <w:sz w:val="20"/>
          <w:lang w:val="en-NZ"/>
        </w:rPr>
        <w:t xml:space="preserve"> by Policy </w:t>
      </w:r>
      <w:r w:rsidR="00B94457">
        <w:rPr>
          <w:sz w:val="20"/>
          <w:lang w:val="en-NZ"/>
        </w:rPr>
        <w:t>and Strategy</w:t>
      </w:r>
      <w:r w:rsidR="00F36FF2">
        <w:rPr>
          <w:sz w:val="20"/>
          <w:lang w:val="en-NZ"/>
        </w:rPr>
        <w:t>,</w:t>
      </w:r>
      <w:r w:rsidRPr="00382E2E">
        <w:rPr>
          <w:sz w:val="20"/>
          <w:lang w:val="en-NZ"/>
        </w:rPr>
        <w:t xml:space="preserve"> Inland Revenue, </w:t>
      </w:r>
    </w:p>
    <w:p w:rsidR="001005B7" w:rsidRPr="00382E2E" w:rsidRDefault="009368ED" w:rsidP="001005B7">
      <w:pPr>
        <w:jc w:val="left"/>
        <w:rPr>
          <w:sz w:val="20"/>
          <w:lang w:val="en-NZ"/>
        </w:rPr>
      </w:pPr>
      <w:r w:rsidRPr="00382E2E">
        <w:rPr>
          <w:sz w:val="20"/>
          <w:lang w:val="en-NZ"/>
        </w:rPr>
        <w:t>P</w:t>
      </w:r>
      <w:r w:rsidR="001005B7" w:rsidRPr="00382E2E">
        <w:rPr>
          <w:sz w:val="20"/>
          <w:lang w:val="en-NZ"/>
        </w:rPr>
        <w:t>O Box 2198, Wellington</w:t>
      </w:r>
      <w:r w:rsidR="001B1FAA">
        <w:rPr>
          <w:sz w:val="20"/>
          <w:lang w:val="en-NZ"/>
        </w:rPr>
        <w:t>, 6140</w:t>
      </w:r>
      <w:r w:rsidR="00F36FF2">
        <w:rPr>
          <w:sz w:val="20"/>
          <w:lang w:val="en-NZ"/>
        </w:rPr>
        <w:t>.</w:t>
      </w:r>
    </w:p>
    <w:p w:rsidR="001005B7" w:rsidRPr="00382E2E" w:rsidRDefault="001005B7" w:rsidP="001005B7">
      <w:pPr>
        <w:jc w:val="left"/>
        <w:rPr>
          <w:sz w:val="20"/>
          <w:lang w:val="en-NZ"/>
        </w:rPr>
      </w:pPr>
    </w:p>
    <w:p w:rsidR="001005B7" w:rsidRPr="00382E2E" w:rsidRDefault="00F55FD9" w:rsidP="001005B7">
      <w:pPr>
        <w:jc w:val="left"/>
        <w:rPr>
          <w:sz w:val="20"/>
          <w:lang w:val="en-NZ"/>
        </w:rPr>
      </w:pPr>
      <w:r w:rsidRPr="00490E59">
        <w:rPr>
          <w:sz w:val="20"/>
          <w:lang w:val="en-NZ"/>
        </w:rPr>
        <w:t>Taxation of employee share schemes:  start-up companies</w:t>
      </w:r>
      <w:r w:rsidR="001005B7" w:rsidRPr="00490E59">
        <w:rPr>
          <w:sz w:val="20"/>
          <w:lang w:val="en-NZ"/>
        </w:rPr>
        <w:t xml:space="preserve"> </w:t>
      </w:r>
      <w:r w:rsidR="001005B7" w:rsidRPr="00382E2E">
        <w:rPr>
          <w:sz w:val="20"/>
          <w:lang w:val="en-NZ"/>
        </w:rPr>
        <w:t>– an officials’ issues paper.</w:t>
      </w:r>
    </w:p>
    <w:p w:rsidR="001005B7" w:rsidRPr="00E37373" w:rsidRDefault="001005B7" w:rsidP="001005B7">
      <w:pPr>
        <w:rPr>
          <w:sz w:val="20"/>
          <w:lang w:val="en-NZ"/>
        </w:rPr>
      </w:pPr>
      <w:r w:rsidRPr="00382E2E">
        <w:rPr>
          <w:sz w:val="20"/>
          <w:lang w:val="en-NZ"/>
        </w:rPr>
        <w:t xml:space="preserve">ISBN </w:t>
      </w:r>
      <w:r w:rsidR="00E37373" w:rsidRPr="00E37373">
        <w:rPr>
          <w:sz w:val="20"/>
          <w:lang w:val="en-NZ"/>
        </w:rPr>
        <w:t>978-0-478-42448-5</w:t>
      </w:r>
    </w:p>
    <w:p w:rsidR="001005B7" w:rsidRPr="00382E2E" w:rsidRDefault="001005B7" w:rsidP="001005B7">
      <w:pPr>
        <w:jc w:val="center"/>
        <w:rPr>
          <w:b/>
          <w:sz w:val="28"/>
          <w:szCs w:val="28"/>
          <w:lang w:val="en-NZ"/>
        </w:rPr>
      </w:pPr>
      <w:r w:rsidRPr="00382E2E">
        <w:rPr>
          <w:lang w:val="en-NZ"/>
        </w:rPr>
        <w:br w:type="page"/>
      </w:r>
      <w:r w:rsidRPr="00382E2E">
        <w:rPr>
          <w:b/>
          <w:sz w:val="28"/>
          <w:szCs w:val="28"/>
          <w:lang w:val="en-NZ"/>
        </w:rPr>
        <w:lastRenderedPageBreak/>
        <w:t>CONTENTS</w:t>
      </w:r>
    </w:p>
    <w:p w:rsidR="00D10025" w:rsidRPr="00E37373" w:rsidRDefault="00D10025" w:rsidP="001005B7">
      <w:pPr>
        <w:jc w:val="center"/>
        <w:rPr>
          <w:sz w:val="20"/>
          <w:lang w:val="en-NZ"/>
        </w:rPr>
      </w:pPr>
    </w:p>
    <w:p w:rsidR="0033591A" w:rsidRDefault="005470ED">
      <w:pPr>
        <w:pStyle w:val="TOC1"/>
        <w:rPr>
          <w:rFonts w:asciiTheme="minorHAnsi" w:eastAsiaTheme="minorEastAsia" w:hAnsiTheme="minorHAnsi" w:cstheme="minorBidi"/>
          <w:b w:val="0"/>
          <w:sz w:val="22"/>
          <w:szCs w:val="22"/>
          <w:lang w:val="en-NZ" w:eastAsia="en-NZ"/>
        </w:rPr>
      </w:pPr>
      <w:r>
        <w:rPr>
          <w:b w:val="0"/>
          <w:lang w:val="en-NZ"/>
        </w:rPr>
        <w:fldChar w:fldCharType="begin"/>
      </w:r>
      <w:r>
        <w:rPr>
          <w:b w:val="0"/>
          <w:lang w:val="en-NZ"/>
        </w:rPr>
        <w:instrText xml:space="preserve"> TOC \h \z \t "Heading 1,2,Chapter heading,1" </w:instrText>
      </w:r>
      <w:r>
        <w:rPr>
          <w:b w:val="0"/>
          <w:lang w:val="en-NZ"/>
        </w:rPr>
        <w:fldChar w:fldCharType="separate"/>
      </w:r>
      <w:hyperlink w:anchor="_Toc483815924" w:history="1">
        <w:r w:rsidR="0033591A" w:rsidRPr="00C53630">
          <w:rPr>
            <w:rStyle w:val="Hyperlink"/>
            <w:lang w:val="en-NZ"/>
          </w:rPr>
          <w:t>CHAPTER 1</w:t>
        </w:r>
        <w:r w:rsidR="0033591A">
          <w:rPr>
            <w:webHidden/>
          </w:rPr>
          <w:tab/>
        </w:r>
      </w:hyperlink>
      <w:hyperlink w:anchor="_Toc483815925" w:history="1">
        <w:r w:rsidR="0033591A" w:rsidRPr="00C53630">
          <w:rPr>
            <w:rStyle w:val="Hyperlink"/>
          </w:rPr>
          <w:t>Background</w:t>
        </w:r>
        <w:r w:rsidR="0033591A">
          <w:rPr>
            <w:webHidden/>
          </w:rPr>
          <w:tab/>
        </w:r>
        <w:r w:rsidR="0033591A">
          <w:rPr>
            <w:webHidden/>
          </w:rPr>
          <w:fldChar w:fldCharType="begin"/>
        </w:r>
        <w:r w:rsidR="0033591A">
          <w:rPr>
            <w:webHidden/>
          </w:rPr>
          <w:instrText xml:space="preserve"> PAGEREF _Toc483815925 \h </w:instrText>
        </w:r>
        <w:r w:rsidR="0033591A">
          <w:rPr>
            <w:webHidden/>
          </w:rPr>
        </w:r>
        <w:r w:rsidR="0033591A">
          <w:rPr>
            <w:webHidden/>
          </w:rPr>
          <w:fldChar w:fldCharType="separate"/>
        </w:r>
        <w:r w:rsidR="0033591A">
          <w:rPr>
            <w:webHidden/>
          </w:rPr>
          <w:t>1</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26" w:history="1">
        <w:r w:rsidR="0033591A" w:rsidRPr="00C53630">
          <w:rPr>
            <w:rStyle w:val="Hyperlink"/>
          </w:rPr>
          <w:t>Taxation of employee share scheme income as proposed in the Bill</w:t>
        </w:r>
        <w:r w:rsidR="0033591A">
          <w:rPr>
            <w:webHidden/>
          </w:rPr>
          <w:tab/>
        </w:r>
        <w:r w:rsidR="0033591A">
          <w:rPr>
            <w:webHidden/>
          </w:rPr>
          <w:fldChar w:fldCharType="begin"/>
        </w:r>
        <w:r w:rsidR="0033591A">
          <w:rPr>
            <w:webHidden/>
          </w:rPr>
          <w:instrText xml:space="preserve"> PAGEREF _Toc483815926 \h </w:instrText>
        </w:r>
        <w:r w:rsidR="0033591A">
          <w:rPr>
            <w:webHidden/>
          </w:rPr>
        </w:r>
        <w:r w:rsidR="0033591A">
          <w:rPr>
            <w:webHidden/>
          </w:rPr>
          <w:fldChar w:fldCharType="separate"/>
        </w:r>
        <w:r w:rsidR="0033591A">
          <w:rPr>
            <w:webHidden/>
          </w:rPr>
          <w:t>1</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27" w:history="1">
        <w:r w:rsidR="0033591A" w:rsidRPr="00C53630">
          <w:rPr>
            <w:rStyle w:val="Hyperlink"/>
          </w:rPr>
          <w:t>Proposals</w:t>
        </w:r>
        <w:r w:rsidR="0033591A">
          <w:rPr>
            <w:webHidden/>
          </w:rPr>
          <w:tab/>
        </w:r>
        <w:r w:rsidR="0033591A">
          <w:rPr>
            <w:webHidden/>
          </w:rPr>
          <w:fldChar w:fldCharType="begin"/>
        </w:r>
        <w:r w:rsidR="0033591A">
          <w:rPr>
            <w:webHidden/>
          </w:rPr>
          <w:instrText xml:space="preserve"> PAGEREF _Toc483815927 \h </w:instrText>
        </w:r>
        <w:r w:rsidR="0033591A">
          <w:rPr>
            <w:webHidden/>
          </w:rPr>
        </w:r>
        <w:r w:rsidR="0033591A">
          <w:rPr>
            <w:webHidden/>
          </w:rPr>
          <w:fldChar w:fldCharType="separate"/>
        </w:r>
        <w:r w:rsidR="0033591A">
          <w:rPr>
            <w:webHidden/>
          </w:rPr>
          <w:t>2</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28" w:history="1">
        <w:r w:rsidR="0033591A" w:rsidRPr="00C53630">
          <w:rPr>
            <w:rStyle w:val="Hyperlink"/>
          </w:rPr>
          <w:t>How to make a submission</w:t>
        </w:r>
        <w:r w:rsidR="0033591A">
          <w:rPr>
            <w:webHidden/>
          </w:rPr>
          <w:tab/>
        </w:r>
        <w:r w:rsidR="0033591A">
          <w:rPr>
            <w:webHidden/>
          </w:rPr>
          <w:fldChar w:fldCharType="begin"/>
        </w:r>
        <w:r w:rsidR="0033591A">
          <w:rPr>
            <w:webHidden/>
          </w:rPr>
          <w:instrText xml:space="preserve"> PAGEREF _Toc483815928 \h </w:instrText>
        </w:r>
        <w:r w:rsidR="0033591A">
          <w:rPr>
            <w:webHidden/>
          </w:rPr>
        </w:r>
        <w:r w:rsidR="0033591A">
          <w:rPr>
            <w:webHidden/>
          </w:rPr>
          <w:fldChar w:fldCharType="separate"/>
        </w:r>
        <w:r w:rsidR="0033591A">
          <w:rPr>
            <w:webHidden/>
          </w:rPr>
          <w:t>3</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29" w:history="1">
        <w:r w:rsidR="0033591A" w:rsidRPr="00C53630">
          <w:rPr>
            <w:rStyle w:val="Hyperlink"/>
            <w:lang w:val="en-NZ"/>
          </w:rPr>
          <w:t>CHAPTER 2</w:t>
        </w:r>
        <w:r w:rsidR="0033591A">
          <w:rPr>
            <w:webHidden/>
          </w:rPr>
          <w:tab/>
        </w:r>
      </w:hyperlink>
      <w:hyperlink w:anchor="_Toc483815930" w:history="1">
        <w:r w:rsidR="0033591A" w:rsidRPr="00C53630">
          <w:rPr>
            <w:rStyle w:val="Hyperlink"/>
          </w:rPr>
          <w:t>Valuation and liquidity issues for start-up companies</w:t>
        </w:r>
        <w:r w:rsidR="0033591A">
          <w:rPr>
            <w:webHidden/>
          </w:rPr>
          <w:tab/>
        </w:r>
        <w:r w:rsidR="0033591A">
          <w:rPr>
            <w:webHidden/>
          </w:rPr>
          <w:fldChar w:fldCharType="begin"/>
        </w:r>
        <w:r w:rsidR="0033591A">
          <w:rPr>
            <w:webHidden/>
          </w:rPr>
          <w:instrText xml:space="preserve"> PAGEREF _Toc483815930 \h </w:instrText>
        </w:r>
        <w:r w:rsidR="0033591A">
          <w:rPr>
            <w:webHidden/>
          </w:rPr>
        </w:r>
        <w:r w:rsidR="0033591A">
          <w:rPr>
            <w:webHidden/>
          </w:rPr>
          <w:fldChar w:fldCharType="separate"/>
        </w:r>
        <w:r w:rsidR="0033591A">
          <w:rPr>
            <w:webHidden/>
          </w:rPr>
          <w:t>5</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31" w:history="1">
        <w:r w:rsidR="0033591A" w:rsidRPr="00C53630">
          <w:rPr>
            <w:rStyle w:val="Hyperlink"/>
          </w:rPr>
          <w:t>Valuation</w:t>
        </w:r>
        <w:r w:rsidR="0033591A">
          <w:rPr>
            <w:webHidden/>
          </w:rPr>
          <w:tab/>
        </w:r>
        <w:r w:rsidR="0033591A">
          <w:rPr>
            <w:webHidden/>
          </w:rPr>
          <w:fldChar w:fldCharType="begin"/>
        </w:r>
        <w:r w:rsidR="0033591A">
          <w:rPr>
            <w:webHidden/>
          </w:rPr>
          <w:instrText xml:space="preserve"> PAGEREF _Toc483815931 \h </w:instrText>
        </w:r>
        <w:r w:rsidR="0033591A">
          <w:rPr>
            <w:webHidden/>
          </w:rPr>
        </w:r>
        <w:r w:rsidR="0033591A">
          <w:rPr>
            <w:webHidden/>
          </w:rPr>
          <w:fldChar w:fldCharType="separate"/>
        </w:r>
        <w:r w:rsidR="0033591A">
          <w:rPr>
            <w:webHidden/>
          </w:rPr>
          <w:t>5</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32" w:history="1">
        <w:r w:rsidR="0033591A" w:rsidRPr="00C53630">
          <w:rPr>
            <w:rStyle w:val="Hyperlink"/>
          </w:rPr>
          <w:t>Liquidity</w:t>
        </w:r>
        <w:r w:rsidR="0033591A">
          <w:rPr>
            <w:webHidden/>
          </w:rPr>
          <w:tab/>
        </w:r>
        <w:r w:rsidR="0033591A">
          <w:rPr>
            <w:webHidden/>
          </w:rPr>
          <w:fldChar w:fldCharType="begin"/>
        </w:r>
        <w:r w:rsidR="0033591A">
          <w:rPr>
            <w:webHidden/>
          </w:rPr>
          <w:instrText xml:space="preserve"> PAGEREF _Toc483815932 \h </w:instrText>
        </w:r>
        <w:r w:rsidR="0033591A">
          <w:rPr>
            <w:webHidden/>
          </w:rPr>
        </w:r>
        <w:r w:rsidR="0033591A">
          <w:rPr>
            <w:webHidden/>
          </w:rPr>
          <w:fldChar w:fldCharType="separate"/>
        </w:r>
        <w:r w:rsidR="0033591A">
          <w:rPr>
            <w:webHidden/>
          </w:rPr>
          <w:t>5</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33" w:history="1">
        <w:r w:rsidR="0033591A" w:rsidRPr="00C53630">
          <w:rPr>
            <w:rStyle w:val="Hyperlink"/>
          </w:rPr>
          <w:t>Self-help solution – long-term options</w:t>
        </w:r>
        <w:r w:rsidR="0033591A">
          <w:rPr>
            <w:webHidden/>
          </w:rPr>
          <w:tab/>
        </w:r>
        <w:r w:rsidR="0033591A">
          <w:rPr>
            <w:webHidden/>
          </w:rPr>
          <w:fldChar w:fldCharType="begin"/>
        </w:r>
        <w:r w:rsidR="0033591A">
          <w:rPr>
            <w:webHidden/>
          </w:rPr>
          <w:instrText xml:space="preserve"> PAGEREF _Toc483815933 \h </w:instrText>
        </w:r>
        <w:r w:rsidR="0033591A">
          <w:rPr>
            <w:webHidden/>
          </w:rPr>
        </w:r>
        <w:r w:rsidR="0033591A">
          <w:rPr>
            <w:webHidden/>
          </w:rPr>
          <w:fldChar w:fldCharType="separate"/>
        </w:r>
        <w:r w:rsidR="0033591A">
          <w:rPr>
            <w:webHidden/>
          </w:rPr>
          <w:t>6</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34" w:history="1">
        <w:r w:rsidR="0033591A" w:rsidRPr="00C53630">
          <w:rPr>
            <w:rStyle w:val="Hyperlink"/>
            <w:lang w:val="en-NZ"/>
          </w:rPr>
          <w:t>CHAPTER 3</w:t>
        </w:r>
        <w:r w:rsidR="0033591A">
          <w:rPr>
            <w:webHidden/>
          </w:rPr>
          <w:tab/>
        </w:r>
      </w:hyperlink>
      <w:hyperlink w:anchor="_Toc483815935" w:history="1">
        <w:r w:rsidR="0033591A" w:rsidRPr="00C53630">
          <w:rPr>
            <w:rStyle w:val="Hyperlink"/>
          </w:rPr>
          <w:t>Deferral regime for start-up companies</w:t>
        </w:r>
        <w:r w:rsidR="0033591A">
          <w:rPr>
            <w:webHidden/>
          </w:rPr>
          <w:tab/>
        </w:r>
        <w:r w:rsidR="0033591A">
          <w:rPr>
            <w:webHidden/>
          </w:rPr>
          <w:fldChar w:fldCharType="begin"/>
        </w:r>
        <w:r w:rsidR="0033591A">
          <w:rPr>
            <w:webHidden/>
          </w:rPr>
          <w:instrText xml:space="preserve"> PAGEREF _Toc483815935 \h </w:instrText>
        </w:r>
        <w:r w:rsidR="0033591A">
          <w:rPr>
            <w:webHidden/>
          </w:rPr>
        </w:r>
        <w:r w:rsidR="0033591A">
          <w:rPr>
            <w:webHidden/>
          </w:rPr>
          <w:fldChar w:fldCharType="separate"/>
        </w:r>
        <w:r w:rsidR="0033591A">
          <w:rPr>
            <w:webHidden/>
          </w:rPr>
          <w:t>7</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36" w:history="1">
        <w:r w:rsidR="0033591A" w:rsidRPr="00C53630">
          <w:rPr>
            <w:rStyle w:val="Hyperlink"/>
          </w:rPr>
          <w:t>Forfeiture of tax losses for employers</w:t>
        </w:r>
        <w:r w:rsidR="0033591A">
          <w:rPr>
            <w:webHidden/>
          </w:rPr>
          <w:tab/>
        </w:r>
        <w:r w:rsidR="0033591A">
          <w:rPr>
            <w:webHidden/>
          </w:rPr>
          <w:fldChar w:fldCharType="begin"/>
        </w:r>
        <w:r w:rsidR="0033591A">
          <w:rPr>
            <w:webHidden/>
          </w:rPr>
          <w:instrText xml:space="preserve"> PAGEREF _Toc483815936 \h </w:instrText>
        </w:r>
        <w:r w:rsidR="0033591A">
          <w:rPr>
            <w:webHidden/>
          </w:rPr>
        </w:r>
        <w:r w:rsidR="0033591A">
          <w:rPr>
            <w:webHidden/>
          </w:rPr>
          <w:fldChar w:fldCharType="separate"/>
        </w:r>
        <w:r w:rsidR="0033591A">
          <w:rPr>
            <w:webHidden/>
          </w:rPr>
          <w:t>8</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37" w:history="1">
        <w:r w:rsidR="0033591A" w:rsidRPr="00C53630">
          <w:rPr>
            <w:rStyle w:val="Hyperlink"/>
          </w:rPr>
          <w:t>Other possibilities</w:t>
        </w:r>
        <w:r w:rsidR="0033591A">
          <w:rPr>
            <w:webHidden/>
          </w:rPr>
          <w:tab/>
        </w:r>
        <w:r w:rsidR="0033591A">
          <w:rPr>
            <w:webHidden/>
          </w:rPr>
          <w:fldChar w:fldCharType="begin"/>
        </w:r>
        <w:r w:rsidR="0033591A">
          <w:rPr>
            <w:webHidden/>
          </w:rPr>
          <w:instrText xml:space="preserve"> PAGEREF _Toc483815937 \h </w:instrText>
        </w:r>
        <w:r w:rsidR="0033591A">
          <w:rPr>
            <w:webHidden/>
          </w:rPr>
        </w:r>
        <w:r w:rsidR="0033591A">
          <w:rPr>
            <w:webHidden/>
          </w:rPr>
          <w:fldChar w:fldCharType="separate"/>
        </w:r>
        <w:r w:rsidR="0033591A">
          <w:rPr>
            <w:webHidden/>
          </w:rPr>
          <w:t>9</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38" w:history="1">
        <w:r w:rsidR="0033591A" w:rsidRPr="00C53630">
          <w:rPr>
            <w:rStyle w:val="Hyperlink"/>
            <w:lang w:val="en-NZ"/>
          </w:rPr>
          <w:t>CHAPTER 4</w:t>
        </w:r>
        <w:r w:rsidR="0033591A">
          <w:rPr>
            <w:webHidden/>
          </w:rPr>
          <w:tab/>
        </w:r>
      </w:hyperlink>
      <w:hyperlink w:anchor="_Toc483815939" w:history="1">
        <w:r w:rsidR="0033591A" w:rsidRPr="00C53630">
          <w:rPr>
            <w:rStyle w:val="Hyperlink"/>
          </w:rPr>
          <w:t>Scope of deferral measure</w:t>
        </w:r>
        <w:r w:rsidR="0033591A">
          <w:rPr>
            <w:webHidden/>
          </w:rPr>
          <w:tab/>
        </w:r>
        <w:r w:rsidR="0033591A">
          <w:rPr>
            <w:webHidden/>
          </w:rPr>
          <w:fldChar w:fldCharType="begin"/>
        </w:r>
        <w:r w:rsidR="0033591A">
          <w:rPr>
            <w:webHidden/>
          </w:rPr>
          <w:instrText xml:space="preserve"> PAGEREF _Toc483815939 \h </w:instrText>
        </w:r>
        <w:r w:rsidR="0033591A">
          <w:rPr>
            <w:webHidden/>
          </w:rPr>
        </w:r>
        <w:r w:rsidR="0033591A">
          <w:rPr>
            <w:webHidden/>
          </w:rPr>
          <w:fldChar w:fldCharType="separate"/>
        </w:r>
        <w:r w:rsidR="0033591A">
          <w:rPr>
            <w:webHidden/>
          </w:rPr>
          <w:t>11</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40" w:history="1">
        <w:r w:rsidR="0033591A" w:rsidRPr="00C53630">
          <w:rPr>
            <w:rStyle w:val="Hyperlink"/>
          </w:rPr>
          <w:t>Defining “start-up” companies</w:t>
        </w:r>
        <w:r w:rsidR="0033591A">
          <w:rPr>
            <w:webHidden/>
          </w:rPr>
          <w:tab/>
        </w:r>
        <w:r w:rsidR="0033591A">
          <w:rPr>
            <w:webHidden/>
          </w:rPr>
          <w:fldChar w:fldCharType="begin"/>
        </w:r>
        <w:r w:rsidR="0033591A">
          <w:rPr>
            <w:webHidden/>
          </w:rPr>
          <w:instrText xml:space="preserve"> PAGEREF _Toc483815940 \h </w:instrText>
        </w:r>
        <w:r w:rsidR="0033591A">
          <w:rPr>
            <w:webHidden/>
          </w:rPr>
        </w:r>
        <w:r w:rsidR="0033591A">
          <w:rPr>
            <w:webHidden/>
          </w:rPr>
          <w:fldChar w:fldCharType="separate"/>
        </w:r>
        <w:r w:rsidR="0033591A">
          <w:rPr>
            <w:webHidden/>
          </w:rPr>
          <w:t>11</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41" w:history="1">
        <w:r w:rsidR="0033591A" w:rsidRPr="00C53630">
          <w:rPr>
            <w:rStyle w:val="Hyperlink"/>
            <w:lang w:val="en-NZ"/>
          </w:rPr>
          <w:t>CHAPTER 5</w:t>
        </w:r>
        <w:r w:rsidR="0033591A">
          <w:rPr>
            <w:webHidden/>
          </w:rPr>
          <w:tab/>
        </w:r>
      </w:hyperlink>
      <w:hyperlink w:anchor="_Toc483815942" w:history="1">
        <w:r w:rsidR="0033591A" w:rsidRPr="00C53630">
          <w:rPr>
            <w:rStyle w:val="Hyperlink"/>
          </w:rPr>
          <w:t>Deferral measure – elections</w:t>
        </w:r>
        <w:r w:rsidR="0033591A">
          <w:rPr>
            <w:webHidden/>
          </w:rPr>
          <w:tab/>
        </w:r>
        <w:r w:rsidR="0033591A">
          <w:rPr>
            <w:webHidden/>
          </w:rPr>
          <w:fldChar w:fldCharType="begin"/>
        </w:r>
        <w:r w:rsidR="0033591A">
          <w:rPr>
            <w:webHidden/>
          </w:rPr>
          <w:instrText xml:space="preserve"> PAGEREF _Toc483815942 \h </w:instrText>
        </w:r>
        <w:r w:rsidR="0033591A">
          <w:rPr>
            <w:webHidden/>
          </w:rPr>
        </w:r>
        <w:r w:rsidR="0033591A">
          <w:rPr>
            <w:webHidden/>
          </w:rPr>
          <w:fldChar w:fldCharType="separate"/>
        </w:r>
        <w:r w:rsidR="0033591A">
          <w:rPr>
            <w:webHidden/>
          </w:rPr>
          <w:t>15</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43" w:history="1">
        <w:r w:rsidR="0033591A" w:rsidRPr="00C53630">
          <w:rPr>
            <w:rStyle w:val="Hyperlink"/>
          </w:rPr>
          <w:t>Compulsory versus elective</w:t>
        </w:r>
        <w:r w:rsidR="0033591A">
          <w:rPr>
            <w:webHidden/>
          </w:rPr>
          <w:tab/>
        </w:r>
        <w:r w:rsidR="0033591A">
          <w:rPr>
            <w:webHidden/>
          </w:rPr>
          <w:fldChar w:fldCharType="begin"/>
        </w:r>
        <w:r w:rsidR="0033591A">
          <w:rPr>
            <w:webHidden/>
          </w:rPr>
          <w:instrText xml:space="preserve"> PAGEREF _Toc483815943 \h </w:instrText>
        </w:r>
        <w:r w:rsidR="0033591A">
          <w:rPr>
            <w:webHidden/>
          </w:rPr>
        </w:r>
        <w:r w:rsidR="0033591A">
          <w:rPr>
            <w:webHidden/>
          </w:rPr>
          <w:fldChar w:fldCharType="separate"/>
        </w:r>
        <w:r w:rsidR="0033591A">
          <w:rPr>
            <w:webHidden/>
          </w:rPr>
          <w:t>15</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44" w:history="1">
        <w:r w:rsidR="0033591A" w:rsidRPr="00C53630">
          <w:rPr>
            <w:rStyle w:val="Hyperlink"/>
          </w:rPr>
          <w:t>Election by company versus employee</w:t>
        </w:r>
        <w:r w:rsidR="0033591A">
          <w:rPr>
            <w:webHidden/>
          </w:rPr>
          <w:tab/>
        </w:r>
        <w:r w:rsidR="0033591A">
          <w:rPr>
            <w:webHidden/>
          </w:rPr>
          <w:fldChar w:fldCharType="begin"/>
        </w:r>
        <w:r w:rsidR="0033591A">
          <w:rPr>
            <w:webHidden/>
          </w:rPr>
          <w:instrText xml:space="preserve"> PAGEREF _Toc483815944 \h </w:instrText>
        </w:r>
        <w:r w:rsidR="0033591A">
          <w:rPr>
            <w:webHidden/>
          </w:rPr>
        </w:r>
        <w:r w:rsidR="0033591A">
          <w:rPr>
            <w:webHidden/>
          </w:rPr>
          <w:fldChar w:fldCharType="separate"/>
        </w:r>
        <w:r w:rsidR="0033591A">
          <w:rPr>
            <w:webHidden/>
          </w:rPr>
          <w:t>15</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45" w:history="1">
        <w:r w:rsidR="0033591A" w:rsidRPr="00C53630">
          <w:rPr>
            <w:rStyle w:val="Hyperlink"/>
          </w:rPr>
          <w:t>Timing of election</w:t>
        </w:r>
        <w:r w:rsidR="0033591A">
          <w:rPr>
            <w:webHidden/>
          </w:rPr>
          <w:tab/>
        </w:r>
        <w:r w:rsidR="0033591A">
          <w:rPr>
            <w:webHidden/>
          </w:rPr>
          <w:fldChar w:fldCharType="begin"/>
        </w:r>
        <w:r w:rsidR="0033591A">
          <w:rPr>
            <w:webHidden/>
          </w:rPr>
          <w:instrText xml:space="preserve"> PAGEREF _Toc483815945 \h </w:instrText>
        </w:r>
        <w:r w:rsidR="0033591A">
          <w:rPr>
            <w:webHidden/>
          </w:rPr>
        </w:r>
        <w:r w:rsidR="0033591A">
          <w:rPr>
            <w:webHidden/>
          </w:rPr>
          <w:fldChar w:fldCharType="separate"/>
        </w:r>
        <w:r w:rsidR="0033591A">
          <w:rPr>
            <w:webHidden/>
          </w:rPr>
          <w:t>16</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46" w:history="1">
        <w:r w:rsidR="0033591A" w:rsidRPr="00C53630">
          <w:rPr>
            <w:rStyle w:val="Hyperlink"/>
          </w:rPr>
          <w:t>CHAPTER 6</w:t>
        </w:r>
        <w:r w:rsidR="0033591A">
          <w:rPr>
            <w:webHidden/>
          </w:rPr>
          <w:tab/>
        </w:r>
      </w:hyperlink>
      <w:hyperlink w:anchor="_Toc483815947" w:history="1">
        <w:r w:rsidR="0033591A" w:rsidRPr="00C53630">
          <w:rPr>
            <w:rStyle w:val="Hyperlink"/>
          </w:rPr>
          <w:t>Deferred taxing point</w:t>
        </w:r>
        <w:r w:rsidR="0033591A">
          <w:rPr>
            <w:webHidden/>
          </w:rPr>
          <w:tab/>
        </w:r>
        <w:r w:rsidR="0033591A">
          <w:rPr>
            <w:webHidden/>
          </w:rPr>
          <w:fldChar w:fldCharType="begin"/>
        </w:r>
        <w:r w:rsidR="0033591A">
          <w:rPr>
            <w:webHidden/>
          </w:rPr>
          <w:instrText xml:space="preserve"> PAGEREF _Toc483815947 \h </w:instrText>
        </w:r>
        <w:r w:rsidR="0033591A">
          <w:rPr>
            <w:webHidden/>
          </w:rPr>
        </w:r>
        <w:r w:rsidR="0033591A">
          <w:rPr>
            <w:webHidden/>
          </w:rPr>
          <w:fldChar w:fldCharType="separate"/>
        </w:r>
        <w:r w:rsidR="0033591A">
          <w:rPr>
            <w:webHidden/>
          </w:rPr>
          <w:t>17</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48" w:history="1">
        <w:r w:rsidR="0033591A" w:rsidRPr="00C53630">
          <w:rPr>
            <w:rStyle w:val="Hyperlink"/>
          </w:rPr>
          <w:t>Initial public offering</w:t>
        </w:r>
        <w:r w:rsidR="0033591A">
          <w:rPr>
            <w:webHidden/>
          </w:rPr>
          <w:tab/>
        </w:r>
        <w:r w:rsidR="0033591A">
          <w:rPr>
            <w:webHidden/>
          </w:rPr>
          <w:fldChar w:fldCharType="begin"/>
        </w:r>
        <w:r w:rsidR="0033591A">
          <w:rPr>
            <w:webHidden/>
          </w:rPr>
          <w:instrText xml:space="preserve"> PAGEREF _Toc483815948 \h </w:instrText>
        </w:r>
        <w:r w:rsidR="0033591A">
          <w:rPr>
            <w:webHidden/>
          </w:rPr>
        </w:r>
        <w:r w:rsidR="0033591A">
          <w:rPr>
            <w:webHidden/>
          </w:rPr>
          <w:fldChar w:fldCharType="separate"/>
        </w:r>
        <w:r w:rsidR="0033591A">
          <w:rPr>
            <w:webHidden/>
          </w:rPr>
          <w:t>17</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49" w:history="1">
        <w:r w:rsidR="0033591A" w:rsidRPr="00C53630">
          <w:rPr>
            <w:rStyle w:val="Hyperlink"/>
          </w:rPr>
          <w:t>Distribution of assets</w:t>
        </w:r>
        <w:r w:rsidR="0033591A">
          <w:rPr>
            <w:webHidden/>
          </w:rPr>
          <w:tab/>
        </w:r>
        <w:r w:rsidR="0033591A">
          <w:rPr>
            <w:webHidden/>
          </w:rPr>
          <w:fldChar w:fldCharType="begin"/>
        </w:r>
        <w:r w:rsidR="0033591A">
          <w:rPr>
            <w:webHidden/>
          </w:rPr>
          <w:instrText xml:space="preserve"> PAGEREF _Toc483815949 \h </w:instrText>
        </w:r>
        <w:r w:rsidR="0033591A">
          <w:rPr>
            <w:webHidden/>
          </w:rPr>
        </w:r>
        <w:r w:rsidR="0033591A">
          <w:rPr>
            <w:webHidden/>
          </w:rPr>
          <w:fldChar w:fldCharType="separate"/>
        </w:r>
        <w:r w:rsidR="0033591A">
          <w:rPr>
            <w:webHidden/>
          </w:rPr>
          <w:t>18</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50" w:history="1">
        <w:r w:rsidR="0033591A" w:rsidRPr="00C53630">
          <w:rPr>
            <w:rStyle w:val="Hyperlink"/>
          </w:rPr>
          <w:t>Cancellation of shares</w:t>
        </w:r>
        <w:r w:rsidR="0033591A">
          <w:rPr>
            <w:webHidden/>
          </w:rPr>
          <w:tab/>
        </w:r>
        <w:r w:rsidR="0033591A">
          <w:rPr>
            <w:webHidden/>
          </w:rPr>
          <w:fldChar w:fldCharType="begin"/>
        </w:r>
        <w:r w:rsidR="0033591A">
          <w:rPr>
            <w:webHidden/>
          </w:rPr>
          <w:instrText xml:space="preserve"> PAGEREF _Toc483815950 \h </w:instrText>
        </w:r>
        <w:r w:rsidR="0033591A">
          <w:rPr>
            <w:webHidden/>
          </w:rPr>
        </w:r>
        <w:r w:rsidR="0033591A">
          <w:rPr>
            <w:webHidden/>
          </w:rPr>
          <w:fldChar w:fldCharType="separate"/>
        </w:r>
        <w:r w:rsidR="0033591A">
          <w:rPr>
            <w:webHidden/>
          </w:rPr>
          <w:t>18</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51" w:history="1">
        <w:r w:rsidR="0033591A" w:rsidRPr="00C53630">
          <w:rPr>
            <w:rStyle w:val="Hyperlink"/>
          </w:rPr>
          <w:t>Ceasing to be a New Zealand tax resident</w:t>
        </w:r>
        <w:r w:rsidR="0033591A">
          <w:rPr>
            <w:webHidden/>
          </w:rPr>
          <w:tab/>
        </w:r>
        <w:r w:rsidR="0033591A">
          <w:rPr>
            <w:webHidden/>
          </w:rPr>
          <w:fldChar w:fldCharType="begin"/>
        </w:r>
        <w:r w:rsidR="0033591A">
          <w:rPr>
            <w:webHidden/>
          </w:rPr>
          <w:instrText xml:space="preserve"> PAGEREF _Toc483815951 \h </w:instrText>
        </w:r>
        <w:r w:rsidR="0033591A">
          <w:rPr>
            <w:webHidden/>
          </w:rPr>
        </w:r>
        <w:r w:rsidR="0033591A">
          <w:rPr>
            <w:webHidden/>
          </w:rPr>
          <w:fldChar w:fldCharType="separate"/>
        </w:r>
        <w:r w:rsidR="0033591A">
          <w:rPr>
            <w:webHidden/>
          </w:rPr>
          <w:t>18</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52" w:history="1">
        <w:r w:rsidR="0033591A" w:rsidRPr="00C53630">
          <w:rPr>
            <w:rStyle w:val="Hyperlink"/>
          </w:rPr>
          <w:t>Sunset period</w:t>
        </w:r>
        <w:r w:rsidR="0033591A">
          <w:rPr>
            <w:webHidden/>
          </w:rPr>
          <w:tab/>
        </w:r>
        <w:r w:rsidR="0033591A">
          <w:rPr>
            <w:webHidden/>
          </w:rPr>
          <w:fldChar w:fldCharType="begin"/>
        </w:r>
        <w:r w:rsidR="0033591A">
          <w:rPr>
            <w:webHidden/>
          </w:rPr>
          <w:instrText xml:space="preserve"> PAGEREF _Toc483815952 \h </w:instrText>
        </w:r>
        <w:r w:rsidR="0033591A">
          <w:rPr>
            <w:webHidden/>
          </w:rPr>
        </w:r>
        <w:r w:rsidR="0033591A">
          <w:rPr>
            <w:webHidden/>
          </w:rPr>
          <w:fldChar w:fldCharType="separate"/>
        </w:r>
        <w:r w:rsidR="0033591A">
          <w:rPr>
            <w:webHidden/>
          </w:rPr>
          <w:t>19</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53" w:history="1">
        <w:r w:rsidR="0033591A" w:rsidRPr="00C53630">
          <w:rPr>
            <w:rStyle w:val="Hyperlink"/>
          </w:rPr>
          <w:t>Takeovers and restructures</w:t>
        </w:r>
        <w:r w:rsidR="0033591A">
          <w:rPr>
            <w:webHidden/>
          </w:rPr>
          <w:tab/>
        </w:r>
        <w:r w:rsidR="0033591A">
          <w:rPr>
            <w:webHidden/>
          </w:rPr>
          <w:fldChar w:fldCharType="begin"/>
        </w:r>
        <w:r w:rsidR="0033591A">
          <w:rPr>
            <w:webHidden/>
          </w:rPr>
          <w:instrText xml:space="preserve"> PAGEREF _Toc483815953 \h </w:instrText>
        </w:r>
        <w:r w:rsidR="0033591A">
          <w:rPr>
            <w:webHidden/>
          </w:rPr>
        </w:r>
        <w:r w:rsidR="0033591A">
          <w:rPr>
            <w:webHidden/>
          </w:rPr>
          <w:fldChar w:fldCharType="separate"/>
        </w:r>
        <w:r w:rsidR="0033591A">
          <w:rPr>
            <w:webHidden/>
          </w:rPr>
          <w:t>19</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54" w:history="1">
        <w:r w:rsidR="0033591A" w:rsidRPr="00C53630">
          <w:rPr>
            <w:rStyle w:val="Hyperlink"/>
            <w:lang w:val="en-NZ"/>
          </w:rPr>
          <w:t>CHAPTER 7</w:t>
        </w:r>
        <w:r w:rsidR="0033591A">
          <w:rPr>
            <w:webHidden/>
          </w:rPr>
          <w:tab/>
        </w:r>
      </w:hyperlink>
      <w:hyperlink w:anchor="_Toc483815955" w:history="1">
        <w:r w:rsidR="0033591A" w:rsidRPr="00C53630">
          <w:rPr>
            <w:rStyle w:val="Hyperlink"/>
          </w:rPr>
          <w:t>Employer deductions</w:t>
        </w:r>
        <w:r w:rsidR="0033591A">
          <w:rPr>
            <w:webHidden/>
          </w:rPr>
          <w:tab/>
        </w:r>
        <w:r w:rsidR="0033591A">
          <w:rPr>
            <w:webHidden/>
          </w:rPr>
          <w:fldChar w:fldCharType="begin"/>
        </w:r>
        <w:r w:rsidR="0033591A">
          <w:rPr>
            <w:webHidden/>
          </w:rPr>
          <w:instrText xml:space="preserve"> PAGEREF _Toc483815955 \h </w:instrText>
        </w:r>
        <w:r w:rsidR="0033591A">
          <w:rPr>
            <w:webHidden/>
          </w:rPr>
        </w:r>
        <w:r w:rsidR="0033591A">
          <w:rPr>
            <w:webHidden/>
          </w:rPr>
          <w:fldChar w:fldCharType="separate"/>
        </w:r>
        <w:r w:rsidR="0033591A">
          <w:rPr>
            <w:webHidden/>
          </w:rPr>
          <w:t>21</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56" w:history="1">
        <w:r w:rsidR="0033591A" w:rsidRPr="00C53630">
          <w:rPr>
            <w:rStyle w:val="Hyperlink"/>
          </w:rPr>
          <w:t>Timing of deduction under a statutory deferral regime</w:t>
        </w:r>
        <w:r w:rsidR="0033591A">
          <w:rPr>
            <w:webHidden/>
          </w:rPr>
          <w:tab/>
        </w:r>
        <w:r w:rsidR="0033591A">
          <w:rPr>
            <w:webHidden/>
          </w:rPr>
          <w:fldChar w:fldCharType="begin"/>
        </w:r>
        <w:r w:rsidR="0033591A">
          <w:rPr>
            <w:webHidden/>
          </w:rPr>
          <w:instrText xml:space="preserve"> PAGEREF _Toc483815956 \h </w:instrText>
        </w:r>
        <w:r w:rsidR="0033591A">
          <w:rPr>
            <w:webHidden/>
          </w:rPr>
        </w:r>
        <w:r w:rsidR="0033591A">
          <w:rPr>
            <w:webHidden/>
          </w:rPr>
          <w:fldChar w:fldCharType="separate"/>
        </w:r>
        <w:r w:rsidR="0033591A">
          <w:rPr>
            <w:webHidden/>
          </w:rPr>
          <w:t>21</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57" w:history="1">
        <w:r w:rsidR="0033591A" w:rsidRPr="00C53630">
          <w:rPr>
            <w:rStyle w:val="Hyperlink"/>
            <w:lang w:val="en-NZ"/>
          </w:rPr>
          <w:t>CHAPTER 8</w:t>
        </w:r>
        <w:r w:rsidR="0033591A">
          <w:rPr>
            <w:webHidden/>
          </w:rPr>
          <w:tab/>
        </w:r>
      </w:hyperlink>
      <w:hyperlink w:anchor="_Toc483815958" w:history="1">
        <w:r w:rsidR="0033591A" w:rsidRPr="00C53630">
          <w:rPr>
            <w:rStyle w:val="Hyperlink"/>
          </w:rPr>
          <w:t>Administration and compliance</w:t>
        </w:r>
        <w:r w:rsidR="0033591A">
          <w:rPr>
            <w:webHidden/>
          </w:rPr>
          <w:tab/>
        </w:r>
        <w:r w:rsidR="0033591A">
          <w:rPr>
            <w:webHidden/>
          </w:rPr>
          <w:fldChar w:fldCharType="begin"/>
        </w:r>
        <w:r w:rsidR="0033591A">
          <w:rPr>
            <w:webHidden/>
          </w:rPr>
          <w:instrText xml:space="preserve"> PAGEREF _Toc483815958 \h </w:instrText>
        </w:r>
        <w:r w:rsidR="0033591A">
          <w:rPr>
            <w:webHidden/>
          </w:rPr>
        </w:r>
        <w:r w:rsidR="0033591A">
          <w:rPr>
            <w:webHidden/>
          </w:rPr>
          <w:fldChar w:fldCharType="separate"/>
        </w:r>
        <w:r w:rsidR="0033591A">
          <w:rPr>
            <w:webHidden/>
          </w:rPr>
          <w:t>23</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59" w:history="1">
        <w:r w:rsidR="0033591A" w:rsidRPr="00C53630">
          <w:rPr>
            <w:rStyle w:val="Hyperlink"/>
          </w:rPr>
          <w:t>Notification</w:t>
        </w:r>
        <w:r w:rsidR="0033591A">
          <w:rPr>
            <w:webHidden/>
          </w:rPr>
          <w:tab/>
        </w:r>
        <w:r w:rsidR="0033591A">
          <w:rPr>
            <w:webHidden/>
          </w:rPr>
          <w:fldChar w:fldCharType="begin"/>
        </w:r>
        <w:r w:rsidR="0033591A">
          <w:rPr>
            <w:webHidden/>
          </w:rPr>
          <w:instrText xml:space="preserve"> PAGEREF _Toc483815959 \h </w:instrText>
        </w:r>
        <w:r w:rsidR="0033591A">
          <w:rPr>
            <w:webHidden/>
          </w:rPr>
        </w:r>
        <w:r w:rsidR="0033591A">
          <w:rPr>
            <w:webHidden/>
          </w:rPr>
          <w:fldChar w:fldCharType="separate"/>
        </w:r>
        <w:r w:rsidR="0033591A">
          <w:rPr>
            <w:webHidden/>
          </w:rPr>
          <w:t>23</w:t>
        </w:r>
        <w:r w:rsidR="0033591A">
          <w:rPr>
            <w:webHidden/>
          </w:rPr>
          <w:fldChar w:fldCharType="end"/>
        </w:r>
      </w:hyperlink>
    </w:p>
    <w:p w:rsidR="0033591A" w:rsidRDefault="00C509C0">
      <w:pPr>
        <w:pStyle w:val="TOC1"/>
        <w:rPr>
          <w:rFonts w:asciiTheme="minorHAnsi" w:eastAsiaTheme="minorEastAsia" w:hAnsiTheme="minorHAnsi" w:cstheme="minorBidi"/>
          <w:b w:val="0"/>
          <w:sz w:val="22"/>
          <w:szCs w:val="22"/>
          <w:lang w:val="en-NZ" w:eastAsia="en-NZ"/>
        </w:rPr>
      </w:pPr>
      <w:hyperlink w:anchor="_Toc483815960" w:history="1">
        <w:r w:rsidR="0033591A" w:rsidRPr="00C53630">
          <w:rPr>
            <w:rStyle w:val="Hyperlink"/>
          </w:rPr>
          <w:t>CHAPTER 9</w:t>
        </w:r>
        <w:r w:rsidR="0033591A">
          <w:rPr>
            <w:webHidden/>
          </w:rPr>
          <w:tab/>
        </w:r>
      </w:hyperlink>
      <w:hyperlink w:anchor="_Toc483815961" w:history="1">
        <w:r w:rsidR="0033591A" w:rsidRPr="00C53630">
          <w:rPr>
            <w:rStyle w:val="Hyperlink"/>
          </w:rPr>
          <w:t>Research and development loss cash-out</w:t>
        </w:r>
        <w:r w:rsidR="0033591A">
          <w:rPr>
            <w:webHidden/>
          </w:rPr>
          <w:tab/>
        </w:r>
        <w:r w:rsidR="0033591A">
          <w:rPr>
            <w:webHidden/>
          </w:rPr>
          <w:fldChar w:fldCharType="begin"/>
        </w:r>
        <w:r w:rsidR="0033591A">
          <w:rPr>
            <w:webHidden/>
          </w:rPr>
          <w:instrText xml:space="preserve"> PAGEREF _Toc483815961 \h </w:instrText>
        </w:r>
        <w:r w:rsidR="0033591A">
          <w:rPr>
            <w:webHidden/>
          </w:rPr>
        </w:r>
        <w:r w:rsidR="0033591A">
          <w:rPr>
            <w:webHidden/>
          </w:rPr>
          <w:fldChar w:fldCharType="separate"/>
        </w:r>
        <w:r w:rsidR="0033591A">
          <w:rPr>
            <w:webHidden/>
          </w:rPr>
          <w:t>27</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62" w:history="1">
        <w:r w:rsidR="0033591A" w:rsidRPr="00C53630">
          <w:rPr>
            <w:rStyle w:val="Hyperlink"/>
          </w:rPr>
          <w:t>Wage intensity criteria</w:t>
        </w:r>
        <w:r w:rsidR="0033591A">
          <w:rPr>
            <w:webHidden/>
          </w:rPr>
          <w:tab/>
        </w:r>
        <w:r w:rsidR="0033591A">
          <w:rPr>
            <w:webHidden/>
          </w:rPr>
          <w:fldChar w:fldCharType="begin"/>
        </w:r>
        <w:r w:rsidR="0033591A">
          <w:rPr>
            <w:webHidden/>
          </w:rPr>
          <w:instrText xml:space="preserve"> PAGEREF _Toc483815962 \h </w:instrText>
        </w:r>
        <w:r w:rsidR="0033591A">
          <w:rPr>
            <w:webHidden/>
          </w:rPr>
        </w:r>
        <w:r w:rsidR="0033591A">
          <w:rPr>
            <w:webHidden/>
          </w:rPr>
          <w:fldChar w:fldCharType="separate"/>
        </w:r>
        <w:r w:rsidR="0033591A">
          <w:rPr>
            <w:webHidden/>
          </w:rPr>
          <w:t>28</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63" w:history="1">
        <w:r w:rsidR="0033591A" w:rsidRPr="00C53630">
          <w:rPr>
            <w:rStyle w:val="Hyperlink"/>
          </w:rPr>
          <w:t>R&amp;D loss tax credits</w:t>
        </w:r>
        <w:r w:rsidR="0033591A">
          <w:rPr>
            <w:webHidden/>
          </w:rPr>
          <w:tab/>
        </w:r>
        <w:r w:rsidR="0033591A">
          <w:rPr>
            <w:webHidden/>
          </w:rPr>
          <w:fldChar w:fldCharType="begin"/>
        </w:r>
        <w:r w:rsidR="0033591A">
          <w:rPr>
            <w:webHidden/>
          </w:rPr>
          <w:instrText xml:space="preserve"> PAGEREF _Toc483815963 \h </w:instrText>
        </w:r>
        <w:r w:rsidR="0033591A">
          <w:rPr>
            <w:webHidden/>
          </w:rPr>
        </w:r>
        <w:r w:rsidR="0033591A">
          <w:rPr>
            <w:webHidden/>
          </w:rPr>
          <w:fldChar w:fldCharType="separate"/>
        </w:r>
        <w:r w:rsidR="0033591A">
          <w:rPr>
            <w:webHidden/>
          </w:rPr>
          <w:t>28</w:t>
        </w:r>
        <w:r w:rsidR="0033591A">
          <w:rPr>
            <w:webHidden/>
          </w:rPr>
          <w:fldChar w:fldCharType="end"/>
        </w:r>
      </w:hyperlink>
    </w:p>
    <w:p w:rsidR="0033591A" w:rsidRDefault="00C509C0">
      <w:pPr>
        <w:pStyle w:val="TOC2"/>
        <w:rPr>
          <w:rFonts w:asciiTheme="minorHAnsi" w:eastAsiaTheme="minorEastAsia" w:hAnsiTheme="minorHAnsi" w:cstheme="minorBidi"/>
          <w:szCs w:val="22"/>
          <w:lang w:eastAsia="en-NZ"/>
        </w:rPr>
      </w:pPr>
      <w:hyperlink w:anchor="_Toc483815964" w:history="1">
        <w:r w:rsidR="0033591A" w:rsidRPr="00C53630">
          <w:rPr>
            <w:rStyle w:val="Hyperlink"/>
          </w:rPr>
          <w:t>Proposal</w:t>
        </w:r>
        <w:r w:rsidR="0033591A">
          <w:rPr>
            <w:webHidden/>
          </w:rPr>
          <w:tab/>
        </w:r>
        <w:r w:rsidR="0033591A">
          <w:rPr>
            <w:webHidden/>
          </w:rPr>
          <w:fldChar w:fldCharType="begin"/>
        </w:r>
        <w:r w:rsidR="0033591A">
          <w:rPr>
            <w:webHidden/>
          </w:rPr>
          <w:instrText xml:space="preserve"> PAGEREF _Toc483815964 \h </w:instrText>
        </w:r>
        <w:r w:rsidR="0033591A">
          <w:rPr>
            <w:webHidden/>
          </w:rPr>
        </w:r>
        <w:r w:rsidR="0033591A">
          <w:rPr>
            <w:webHidden/>
          </w:rPr>
          <w:fldChar w:fldCharType="separate"/>
        </w:r>
        <w:r w:rsidR="0033591A">
          <w:rPr>
            <w:webHidden/>
          </w:rPr>
          <w:t>29</w:t>
        </w:r>
        <w:r w:rsidR="0033591A">
          <w:rPr>
            <w:webHidden/>
          </w:rPr>
          <w:fldChar w:fldCharType="end"/>
        </w:r>
      </w:hyperlink>
    </w:p>
    <w:p w:rsidR="00047CC7" w:rsidRPr="00A90758" w:rsidRDefault="005470ED" w:rsidP="00E37373">
      <w:pPr>
        <w:tabs>
          <w:tab w:val="right" w:pos="8222"/>
        </w:tabs>
        <w:ind w:right="232"/>
        <w:rPr>
          <w:b/>
          <w:lang w:val="en-NZ"/>
        </w:rPr>
      </w:pPr>
      <w:r>
        <w:rPr>
          <w:b/>
          <w:lang w:val="en-NZ"/>
        </w:rPr>
        <w:fldChar w:fldCharType="end"/>
      </w:r>
    </w:p>
    <w:p w:rsidR="00EF3129" w:rsidRDefault="00EF3129">
      <w:pPr>
        <w:jc w:val="left"/>
        <w:rPr>
          <w:b/>
          <w:lang w:val="en-NZ"/>
        </w:rPr>
      </w:pPr>
      <w:r>
        <w:rPr>
          <w:b/>
          <w:lang w:val="en-NZ"/>
        </w:rPr>
        <w:br w:type="page"/>
      </w:r>
    </w:p>
    <w:p w:rsidR="004B37FB" w:rsidRPr="00382E2E" w:rsidRDefault="004B37FB" w:rsidP="00E253EA">
      <w:pPr>
        <w:jc w:val="center"/>
        <w:rPr>
          <w:b/>
          <w:lang w:val="en-NZ"/>
        </w:rPr>
      </w:pPr>
    </w:p>
    <w:p w:rsidR="00725975" w:rsidRPr="00382E2E" w:rsidRDefault="00725975" w:rsidP="00E253EA">
      <w:pPr>
        <w:jc w:val="center"/>
        <w:rPr>
          <w:b/>
          <w:lang w:val="en-NZ"/>
        </w:rPr>
        <w:sectPr w:rsidR="00725975" w:rsidRPr="00382E2E" w:rsidSect="008840A1">
          <w:footerReference w:type="even" r:id="rId9"/>
          <w:footerReference w:type="default" r:id="rId10"/>
          <w:pgSz w:w="11906" w:h="16838" w:code="9"/>
          <w:pgMar w:top="1134" w:right="1797" w:bottom="567" w:left="1797" w:header="709" w:footer="709" w:gutter="0"/>
          <w:cols w:space="708"/>
          <w:titlePg/>
          <w:docGrid w:linePitch="360"/>
        </w:sectPr>
      </w:pPr>
    </w:p>
    <w:p w:rsidR="007809E0" w:rsidRPr="00382E2E" w:rsidRDefault="00CD7C3C" w:rsidP="00D10025">
      <w:pPr>
        <w:pStyle w:val="Chapterheading"/>
        <w:rPr>
          <w:rStyle w:val="ChapterheadingCharCharChar"/>
          <w:lang w:val="en-NZ"/>
        </w:rPr>
      </w:pPr>
      <w:bookmarkStart w:id="1" w:name="_Toc147567992"/>
      <w:bookmarkStart w:id="2" w:name="_Toc477103267"/>
      <w:bookmarkStart w:id="3" w:name="_Toc477162764"/>
      <w:bookmarkStart w:id="4" w:name="_Toc478052500"/>
      <w:bookmarkStart w:id="5" w:name="_Toc480452345"/>
      <w:bookmarkStart w:id="6" w:name="_Toc480452456"/>
      <w:bookmarkStart w:id="7" w:name="_Toc481055648"/>
      <w:bookmarkStart w:id="8" w:name="_Toc481678549"/>
      <w:bookmarkStart w:id="9" w:name="_Toc483225338"/>
      <w:bookmarkStart w:id="10" w:name="_Toc483815924"/>
      <w:r w:rsidRPr="00382E2E">
        <w:rPr>
          <w:rStyle w:val="ChapterheadingCharCharChar"/>
          <w:lang w:val="en-NZ"/>
        </w:rPr>
        <w:lastRenderedPageBreak/>
        <w:t xml:space="preserve">CHAPTER </w:t>
      </w:r>
      <w:r w:rsidR="00C15285" w:rsidRPr="00382E2E">
        <w:rPr>
          <w:rStyle w:val="ChapterheadingCharCharChar"/>
          <w:lang w:val="en-NZ"/>
        </w:rPr>
        <w:t>1</w:t>
      </w:r>
      <w:bookmarkEnd w:id="1"/>
      <w:bookmarkEnd w:id="2"/>
      <w:bookmarkEnd w:id="3"/>
      <w:bookmarkEnd w:id="4"/>
      <w:bookmarkEnd w:id="5"/>
      <w:bookmarkEnd w:id="6"/>
      <w:bookmarkEnd w:id="7"/>
      <w:bookmarkEnd w:id="8"/>
      <w:bookmarkEnd w:id="9"/>
      <w:bookmarkEnd w:id="10"/>
    </w:p>
    <w:p w:rsidR="007809E0" w:rsidRPr="00382E2E" w:rsidRDefault="007809E0" w:rsidP="00D10025">
      <w:pPr>
        <w:pStyle w:val="Chapterheading"/>
        <w:rPr>
          <w:rStyle w:val="ChapterheadingCharCharChar"/>
          <w:lang w:val="en-NZ"/>
        </w:rPr>
      </w:pPr>
    </w:p>
    <w:p w:rsidR="00EA330F" w:rsidRPr="00A76AD1" w:rsidRDefault="00CA33EC" w:rsidP="00D10025">
      <w:pPr>
        <w:pStyle w:val="Chapterheading"/>
        <w:rPr>
          <w:rStyle w:val="ChapterheadingCharCharChar"/>
        </w:rPr>
      </w:pPr>
      <w:bookmarkStart w:id="11" w:name="_Toc477103268"/>
      <w:bookmarkStart w:id="12" w:name="_Toc480965196"/>
      <w:bookmarkStart w:id="13" w:name="_Toc483225339"/>
      <w:bookmarkStart w:id="14" w:name="_Toc483815925"/>
      <w:r w:rsidRPr="00A76AD1">
        <w:rPr>
          <w:rStyle w:val="ChapterheadingCharCharChar"/>
        </w:rPr>
        <w:t>Background</w:t>
      </w:r>
      <w:bookmarkEnd w:id="11"/>
      <w:bookmarkEnd w:id="12"/>
      <w:bookmarkEnd w:id="13"/>
      <w:bookmarkEnd w:id="14"/>
    </w:p>
    <w:p w:rsidR="00EA330F" w:rsidRPr="00382E2E" w:rsidRDefault="00EA330F" w:rsidP="00F36FF2">
      <w:pPr>
        <w:pStyle w:val="Chapter1"/>
        <w:numPr>
          <w:ilvl w:val="0"/>
          <w:numId w:val="0"/>
        </w:numPr>
      </w:pPr>
    </w:p>
    <w:p w:rsidR="002152CE" w:rsidRPr="00F36FF2" w:rsidRDefault="002152CE" w:rsidP="006002F3">
      <w:pPr>
        <w:pStyle w:val="Chapter1"/>
        <w:numPr>
          <w:ilvl w:val="0"/>
          <w:numId w:val="0"/>
        </w:numPr>
      </w:pPr>
    </w:p>
    <w:p w:rsidR="00713124" w:rsidRPr="00A90758" w:rsidRDefault="00713124" w:rsidP="00713124">
      <w:pPr>
        <w:pStyle w:val="Chapter1"/>
      </w:pPr>
      <w:r w:rsidRPr="00A90758">
        <w:t xml:space="preserve">This consultation document </w:t>
      </w:r>
      <w:r w:rsidR="00961562">
        <w:t>expands on a proposal raised in an officials</w:t>
      </w:r>
      <w:r w:rsidR="00CF6D33">
        <w:t>’</w:t>
      </w:r>
      <w:r w:rsidR="00961562">
        <w:t xml:space="preserve"> issues paper released for public feedback in May 2016.</w:t>
      </w:r>
      <w:r w:rsidR="00961562" w:rsidRPr="00980487">
        <w:rPr>
          <w:rStyle w:val="FootnoteReference"/>
          <w:sz w:val="24"/>
          <w:szCs w:val="24"/>
        </w:rPr>
        <w:footnoteReference w:id="1"/>
      </w:r>
      <w:r w:rsidR="00961562">
        <w:rPr>
          <w:szCs w:val="24"/>
        </w:rPr>
        <w:t xml:space="preserve">  It </w:t>
      </w:r>
      <w:r w:rsidRPr="00A90758">
        <w:t xml:space="preserve">examines </w:t>
      </w:r>
      <w:r w:rsidR="005A4D25" w:rsidRPr="00A90758">
        <w:t xml:space="preserve">in closer detail </w:t>
      </w:r>
      <w:r w:rsidRPr="00A90758">
        <w:t>a proposal for the taxation of employee share scheme</w:t>
      </w:r>
      <w:r w:rsidR="00E12060" w:rsidRPr="00A90758">
        <w:t>s</w:t>
      </w:r>
      <w:r w:rsidRPr="00A90758">
        <w:t xml:space="preserve"> (ESS) </w:t>
      </w:r>
      <w:r w:rsidR="00E12060" w:rsidRPr="00A90758">
        <w:t>offered by start-up companies</w:t>
      </w:r>
      <w:r w:rsidR="000412F4">
        <w:t>.  T</w:t>
      </w:r>
      <w:r w:rsidRPr="00A90758">
        <w:t xml:space="preserve">he proposal </w:t>
      </w:r>
      <w:r w:rsidR="00E12060" w:rsidRPr="00A90758">
        <w:t>would provide</w:t>
      </w:r>
      <w:r w:rsidR="00DF5C95" w:rsidRPr="00A90758">
        <w:t xml:space="preserve"> the ability to defer </w:t>
      </w:r>
      <w:r w:rsidRPr="00A90758">
        <w:t>the taxation point for employees of start-up companies</w:t>
      </w:r>
      <w:r w:rsidR="005A4D25" w:rsidRPr="00A90758">
        <w:t xml:space="preserve"> (with a corresponding deferral of the company’s deduction).</w:t>
      </w:r>
    </w:p>
    <w:p w:rsidR="00713124" w:rsidRDefault="00713124" w:rsidP="00A90758">
      <w:pPr>
        <w:pStyle w:val="Chapter1"/>
        <w:numPr>
          <w:ilvl w:val="0"/>
          <w:numId w:val="0"/>
        </w:numPr>
        <w:ind w:left="851"/>
      </w:pPr>
    </w:p>
    <w:p w:rsidR="006B6AF5" w:rsidRDefault="008E4632" w:rsidP="00BD20D2">
      <w:pPr>
        <w:pStyle w:val="Chapter1"/>
      </w:pPr>
      <w:r>
        <w:t xml:space="preserve">ESS </w:t>
      </w:r>
      <w:r w:rsidR="000F4904" w:rsidRPr="000F4904">
        <w:t xml:space="preserve">are an important </w:t>
      </w:r>
      <w:r w:rsidR="005A4D25" w:rsidRPr="00A90758">
        <w:t>way of</w:t>
      </w:r>
      <w:r w:rsidR="000F4904" w:rsidRPr="000F4904">
        <w:t xml:space="preserve"> </w:t>
      </w:r>
      <w:r w:rsidR="00B13BB1">
        <w:t xml:space="preserve">incentivising and </w:t>
      </w:r>
      <w:r w:rsidR="000F4904" w:rsidRPr="000F4904">
        <w:t>remunerat</w:t>
      </w:r>
      <w:r w:rsidR="00B13BB1">
        <w:t>ing employees</w:t>
      </w:r>
      <w:r w:rsidR="000F4904" w:rsidRPr="000F4904">
        <w:t xml:space="preserve"> in New Zealand and internationally.</w:t>
      </w:r>
      <w:r w:rsidR="000F4904">
        <w:t xml:space="preserve">  </w:t>
      </w:r>
      <w:r w:rsidR="00A56291">
        <w:t>It is important that their treatment under New Zealand tax law does not</w:t>
      </w:r>
      <w:r w:rsidR="008620F7">
        <w:t xml:space="preserve"> </w:t>
      </w:r>
      <w:r w:rsidR="005A4D25" w:rsidRPr="00A90758">
        <w:t>advantage or disadvantage</w:t>
      </w:r>
      <w:r w:rsidR="005A4D25">
        <w:t xml:space="preserve"> </w:t>
      </w:r>
      <w:r w:rsidR="008620F7">
        <w:t>their use</w:t>
      </w:r>
      <w:r w:rsidR="001F41B4">
        <w:t xml:space="preserve"> compared to other forms of remuneration</w:t>
      </w:r>
      <w:r w:rsidR="000412F4">
        <w:t xml:space="preserve">.  </w:t>
      </w:r>
      <w:r w:rsidR="006C06F7">
        <w:t xml:space="preserve">The thrust of the </w:t>
      </w:r>
      <w:r w:rsidR="00713124">
        <w:t>proposal</w:t>
      </w:r>
      <w:r w:rsidR="0079532D">
        <w:t>s</w:t>
      </w:r>
      <w:r w:rsidR="00713124">
        <w:t xml:space="preserve"> </w:t>
      </w:r>
      <w:r w:rsidR="00961562">
        <w:t xml:space="preserve">in the May 2016 issues paper </w:t>
      </w:r>
      <w:r w:rsidR="006C06F7">
        <w:t xml:space="preserve">was to ensure that the taxation of </w:t>
      </w:r>
      <w:r>
        <w:t>ESS</w:t>
      </w:r>
      <w:r w:rsidR="006C06F7">
        <w:t xml:space="preserve"> benefits is consistent with the taxation of cash remuneration.  </w:t>
      </w:r>
      <w:r w:rsidR="000F4904">
        <w:t>Officials released a further consultation document in September 2016</w:t>
      </w:r>
      <w:r w:rsidR="00DD6BBD" w:rsidRPr="00980487">
        <w:rPr>
          <w:rStyle w:val="FootnoteReference"/>
          <w:sz w:val="24"/>
          <w:szCs w:val="24"/>
        </w:rPr>
        <w:footnoteReference w:id="2"/>
      </w:r>
      <w:r w:rsidR="000F4904">
        <w:t xml:space="preserve"> s</w:t>
      </w:r>
      <w:r w:rsidR="00225A99">
        <w:t>eeking</w:t>
      </w:r>
      <w:r w:rsidR="000F4904">
        <w:t xml:space="preserve"> submissions on the updated proposal. </w:t>
      </w:r>
      <w:r w:rsidR="00A56291">
        <w:t xml:space="preserve"> The</w:t>
      </w:r>
      <w:r w:rsidR="00713124">
        <w:t xml:space="preserve"> policy recommendations resulting from this second round of consultation</w:t>
      </w:r>
      <w:r w:rsidR="00A56291">
        <w:t xml:space="preserve"> are </w:t>
      </w:r>
      <w:r w:rsidR="00EC4E54">
        <w:t>contained in the recently introduced Taxation (Annual Rates for 2017</w:t>
      </w:r>
      <w:r w:rsidR="002038AE">
        <w:t>–</w:t>
      </w:r>
      <w:r w:rsidR="00EC4E54">
        <w:t>18, Investment and Employment Income, and Remedial Matters) Bill</w:t>
      </w:r>
      <w:r w:rsidR="00A56291">
        <w:t>.</w:t>
      </w:r>
    </w:p>
    <w:p w:rsidR="006B6AF5" w:rsidRDefault="006B6AF5" w:rsidP="006B6AF5">
      <w:pPr>
        <w:pStyle w:val="Chapter1"/>
        <w:numPr>
          <w:ilvl w:val="0"/>
          <w:numId w:val="0"/>
        </w:numPr>
        <w:ind w:left="851"/>
      </w:pPr>
    </w:p>
    <w:p w:rsidR="00491FDF" w:rsidRDefault="00127A34" w:rsidP="00491FDF">
      <w:pPr>
        <w:pStyle w:val="Chapter1"/>
      </w:pPr>
      <w:r>
        <w:t>Chapter 6 of th</w:t>
      </w:r>
      <w:r w:rsidR="0079532D">
        <w:t>at</w:t>
      </w:r>
      <w:r>
        <w:t xml:space="preserve"> </w:t>
      </w:r>
      <w:r w:rsidR="00961562">
        <w:t>i</w:t>
      </w:r>
      <w:r w:rsidR="00713124">
        <w:t xml:space="preserve">ssues </w:t>
      </w:r>
      <w:r w:rsidR="00961562">
        <w:t>p</w:t>
      </w:r>
      <w:r w:rsidR="00713124">
        <w:t xml:space="preserve">aper </w:t>
      </w:r>
      <w:r>
        <w:t>discussed and sought submissions on the possibility of a deferral regime for sta</w:t>
      </w:r>
      <w:r w:rsidR="00DE5818">
        <w:t xml:space="preserve">rt-up companies.  </w:t>
      </w:r>
      <w:r w:rsidR="001A2750">
        <w:t>This deferral regime would delay the point that the employee was required to pay tax on the benefit from ESS</w:t>
      </w:r>
      <w:r w:rsidR="005A4D25">
        <w:t xml:space="preserve"> (with a corresponding deferral of the company’s deduction)</w:t>
      </w:r>
      <w:r w:rsidR="001A2750">
        <w:t xml:space="preserve">.  </w:t>
      </w:r>
      <w:r w:rsidR="00713124">
        <w:t>The proposal was also discussed with</w:t>
      </w:r>
      <w:r w:rsidR="00EC4E54">
        <w:t xml:space="preserve"> stakeholders </w:t>
      </w:r>
      <w:r w:rsidR="00713124">
        <w:t xml:space="preserve">who were open to the </w:t>
      </w:r>
      <w:r w:rsidR="00EC4E54">
        <w:t>possibility of an elective regime for start-up companies.</w:t>
      </w:r>
    </w:p>
    <w:p w:rsidR="00504B6B" w:rsidRDefault="00504B6B" w:rsidP="00D90610">
      <w:pPr>
        <w:pStyle w:val="Chapter1"/>
        <w:numPr>
          <w:ilvl w:val="0"/>
          <w:numId w:val="0"/>
        </w:numPr>
        <w:ind w:left="851"/>
      </w:pPr>
    </w:p>
    <w:p w:rsidR="00504B6B" w:rsidRDefault="002B1A4B" w:rsidP="001A2750">
      <w:pPr>
        <w:pStyle w:val="Chapter1"/>
      </w:pPr>
      <w:r>
        <w:t>The purpose of t</w:t>
      </w:r>
      <w:r w:rsidR="000F4904">
        <w:t>his paper is to</w:t>
      </w:r>
      <w:r w:rsidR="001A2750">
        <w:t xml:space="preserve"> </w:t>
      </w:r>
      <w:r w:rsidR="000F4904">
        <w:t xml:space="preserve">provide </w:t>
      </w:r>
      <w:r w:rsidR="00127A34">
        <w:t xml:space="preserve">more detail on a possible </w:t>
      </w:r>
      <w:r w:rsidR="003430D4">
        <w:t xml:space="preserve">deferral </w:t>
      </w:r>
      <w:r w:rsidR="00127A34">
        <w:t>regime, and</w:t>
      </w:r>
      <w:r w:rsidR="00987CB6">
        <w:t xml:space="preserve"> determine through consultation </w:t>
      </w:r>
      <w:r w:rsidR="00127A34">
        <w:t xml:space="preserve">whether a </w:t>
      </w:r>
      <w:r w:rsidR="0079532D">
        <w:t xml:space="preserve">fair </w:t>
      </w:r>
      <w:r w:rsidR="00527ED5">
        <w:t xml:space="preserve">deferral regime </w:t>
      </w:r>
      <w:r w:rsidR="00127A34">
        <w:t>can be developed</w:t>
      </w:r>
      <w:r w:rsidR="001A2750">
        <w:t>.</w:t>
      </w:r>
    </w:p>
    <w:p w:rsidR="00246DF2" w:rsidRDefault="00246DF2">
      <w:pPr>
        <w:pStyle w:val="Chapter1"/>
        <w:numPr>
          <w:ilvl w:val="0"/>
          <w:numId w:val="0"/>
        </w:numPr>
      </w:pPr>
    </w:p>
    <w:p w:rsidR="00246DF2" w:rsidRDefault="00246DF2" w:rsidP="00246DF2">
      <w:pPr>
        <w:pStyle w:val="Chapter1"/>
      </w:pPr>
      <w:r>
        <w:t xml:space="preserve">The approach taken in this paper is not intended to provide a tax concession.  The “cost” of deferring the taxing point is </w:t>
      </w:r>
      <w:r w:rsidR="005A4D25">
        <w:t xml:space="preserve">that employees </w:t>
      </w:r>
      <w:r>
        <w:t>will</w:t>
      </w:r>
      <w:r w:rsidR="00961562">
        <w:t>,</w:t>
      </w:r>
      <w:r>
        <w:t xml:space="preserve"> in effect</w:t>
      </w:r>
      <w:r w:rsidR="00961562">
        <w:t>,</w:t>
      </w:r>
      <w:r>
        <w:t xml:space="preserve"> be </w:t>
      </w:r>
      <w:r w:rsidR="001A2750">
        <w:t>taxable on any gains</w:t>
      </w:r>
      <w:r w:rsidR="005A4D25">
        <w:t xml:space="preserve"> on the shares</w:t>
      </w:r>
      <w:r>
        <w:t xml:space="preserve"> until the deferral taxing point occurs.  Of course, where the shares decline in value, this will result in less tax for the employee.</w:t>
      </w:r>
    </w:p>
    <w:p w:rsidR="00A76AD1" w:rsidRDefault="00A76AD1" w:rsidP="00BF2FC2">
      <w:pPr>
        <w:pStyle w:val="Chapter1"/>
        <w:numPr>
          <w:ilvl w:val="0"/>
          <w:numId w:val="0"/>
        </w:numPr>
      </w:pPr>
    </w:p>
    <w:p w:rsidR="00A90758" w:rsidRPr="00382E2E" w:rsidRDefault="00A90758" w:rsidP="00BF2FC2">
      <w:pPr>
        <w:pStyle w:val="Chapter1"/>
        <w:numPr>
          <w:ilvl w:val="0"/>
          <w:numId w:val="0"/>
        </w:numPr>
      </w:pPr>
    </w:p>
    <w:p w:rsidR="00430BB2" w:rsidRPr="00A76AD1" w:rsidRDefault="001F41B4" w:rsidP="00C87C38">
      <w:pPr>
        <w:pStyle w:val="Heading1"/>
      </w:pPr>
      <w:bookmarkStart w:id="15" w:name="_Toc483225340"/>
      <w:bookmarkStart w:id="16" w:name="_Toc483815926"/>
      <w:r>
        <w:t>T</w:t>
      </w:r>
      <w:r w:rsidR="006B6AF5" w:rsidRPr="00A76AD1">
        <w:t xml:space="preserve">axation of employee </w:t>
      </w:r>
      <w:r w:rsidR="006B6AF5" w:rsidRPr="00C87C38">
        <w:t>share</w:t>
      </w:r>
      <w:r w:rsidR="006B6AF5" w:rsidRPr="00A76AD1">
        <w:t xml:space="preserve"> scheme</w:t>
      </w:r>
      <w:r>
        <w:t xml:space="preserve"> </w:t>
      </w:r>
      <w:r w:rsidR="0058351D">
        <w:t xml:space="preserve">income </w:t>
      </w:r>
      <w:r>
        <w:t>as proposed in the Bill</w:t>
      </w:r>
      <w:bookmarkEnd w:id="15"/>
      <w:bookmarkEnd w:id="16"/>
    </w:p>
    <w:p w:rsidR="00430BB2" w:rsidRPr="00382E2E" w:rsidRDefault="00430BB2" w:rsidP="00430BB2">
      <w:pPr>
        <w:pStyle w:val="Chapter1"/>
        <w:numPr>
          <w:ilvl w:val="0"/>
          <w:numId w:val="0"/>
        </w:numPr>
      </w:pPr>
    </w:p>
    <w:p w:rsidR="00786BDC" w:rsidRDefault="001F41B4" w:rsidP="007B73D5">
      <w:pPr>
        <w:pStyle w:val="Chapter1"/>
      </w:pPr>
      <w:r>
        <w:t>The proposals in the Bill</w:t>
      </w:r>
      <w:r w:rsidR="00961562" w:rsidRPr="00CB7C32">
        <w:rPr>
          <w:rStyle w:val="FootnoteReference"/>
          <w:sz w:val="24"/>
          <w:szCs w:val="24"/>
        </w:rPr>
        <w:footnoteReference w:id="3"/>
      </w:r>
      <w:r>
        <w:t xml:space="preserve"> </w:t>
      </w:r>
      <w:r w:rsidR="00713124">
        <w:t>were designed to ensure</w:t>
      </w:r>
      <w:r w:rsidR="007B73D5">
        <w:t xml:space="preserve"> that employees </w:t>
      </w:r>
      <w:r w:rsidR="005A4D25" w:rsidRPr="00A90758">
        <w:t>will</w:t>
      </w:r>
      <w:r w:rsidR="005A4D25">
        <w:t xml:space="preserve"> </w:t>
      </w:r>
      <w:r w:rsidR="007B73D5">
        <w:t xml:space="preserve">be taxable </w:t>
      </w:r>
      <w:r w:rsidR="000F4904">
        <w:t xml:space="preserve">on </w:t>
      </w:r>
      <w:r w:rsidR="006B6AF5">
        <w:t xml:space="preserve">shares received in connection with an </w:t>
      </w:r>
      <w:r w:rsidR="008E4632">
        <w:t>ESS</w:t>
      </w:r>
      <w:r w:rsidR="00EC4E54">
        <w:t xml:space="preserve"> </w:t>
      </w:r>
      <w:r w:rsidR="00706F5E">
        <w:t>once</w:t>
      </w:r>
      <w:r w:rsidR="006B6AF5">
        <w:t xml:space="preserve"> </w:t>
      </w:r>
      <w:r w:rsidR="000F4904">
        <w:t>the shares are earned</w:t>
      </w:r>
      <w:r w:rsidR="002B1A4B">
        <w:t xml:space="preserve"> by the employee,</w:t>
      </w:r>
      <w:r w:rsidR="000F4904">
        <w:t xml:space="preserve"> and the</w:t>
      </w:r>
      <w:r w:rsidR="002B1A4B">
        <w:t>y become</w:t>
      </w:r>
      <w:r w:rsidR="000F4904">
        <w:t xml:space="preserve"> the “economic owner”</w:t>
      </w:r>
      <w:r w:rsidR="00DC29C1">
        <w:t xml:space="preserve"> of the shares</w:t>
      </w:r>
      <w:r w:rsidR="000F4904">
        <w:t xml:space="preserve">.  </w:t>
      </w:r>
      <w:r w:rsidR="007C365C">
        <w:t>Broadly speaking, a</w:t>
      </w:r>
      <w:r w:rsidR="002B1A4B">
        <w:t>n employee is the “economic owner” of the shares</w:t>
      </w:r>
      <w:r w:rsidR="000F4904">
        <w:t xml:space="preserve"> when </w:t>
      </w:r>
      <w:r w:rsidR="006B6AF5">
        <w:t xml:space="preserve">all conditions and contingencies relating to their ownership or </w:t>
      </w:r>
      <w:r w:rsidR="006B6AF5">
        <w:lastRenderedPageBreak/>
        <w:t xml:space="preserve">retention of the shares have fallen away, so that they hold them on substantially the same basis as non-employee shareholders.  </w:t>
      </w:r>
      <w:r>
        <w:t xml:space="preserve">This is defined in the Bill as the “share scheme taxing date”.  </w:t>
      </w:r>
      <w:r w:rsidR="00706F5E">
        <w:t xml:space="preserve">The amount of income is the value of the shares at the </w:t>
      </w:r>
      <w:r>
        <w:t>share scheme taxing date,</w:t>
      </w:r>
      <w:r w:rsidR="007C365C">
        <w:t xml:space="preserve"> less any amount the employee pays for the shares</w:t>
      </w:r>
      <w:r w:rsidR="00706F5E">
        <w:t>.</w:t>
      </w:r>
    </w:p>
    <w:p w:rsidR="000F4904" w:rsidRDefault="000F4904" w:rsidP="000F4904">
      <w:pPr>
        <w:pStyle w:val="Chapter1"/>
        <w:numPr>
          <w:ilvl w:val="0"/>
          <w:numId w:val="0"/>
        </w:numPr>
        <w:ind w:left="851" w:hanging="851"/>
      </w:pPr>
    </w:p>
    <w:p w:rsidR="00504B6B" w:rsidRDefault="006B6AF5" w:rsidP="000F4904">
      <w:pPr>
        <w:pStyle w:val="Chapter1"/>
      </w:pPr>
      <w:r>
        <w:t xml:space="preserve">Conditions and contingencies </w:t>
      </w:r>
      <w:r w:rsidR="00F55FD9">
        <w:t xml:space="preserve">can </w:t>
      </w:r>
      <w:r>
        <w:t>include</w:t>
      </w:r>
      <w:r w:rsidR="00504B6B">
        <w:t>:</w:t>
      </w:r>
    </w:p>
    <w:p w:rsidR="00987CB6" w:rsidRDefault="00987CB6" w:rsidP="00987CB6">
      <w:pPr>
        <w:pStyle w:val="Chapter1"/>
        <w:numPr>
          <w:ilvl w:val="0"/>
          <w:numId w:val="0"/>
        </w:numPr>
        <w:ind w:left="851" w:hanging="851"/>
      </w:pPr>
    </w:p>
    <w:p w:rsidR="00504B6B" w:rsidRDefault="0058351D" w:rsidP="00D90610">
      <w:pPr>
        <w:pStyle w:val="Bullets"/>
      </w:pPr>
      <w:r>
        <w:t>T</w:t>
      </w:r>
      <w:r w:rsidR="006B6AF5">
        <w:t>he possibility of loss of the shares if the person does not remain employed for a future period, or if the company’s performance does not meet certain benchmarks</w:t>
      </w:r>
      <w:r>
        <w:t>.</w:t>
      </w:r>
    </w:p>
    <w:p w:rsidR="006B6AF5" w:rsidRDefault="0058351D" w:rsidP="00D90610">
      <w:pPr>
        <w:pStyle w:val="Bullets"/>
        <w:spacing w:after="0"/>
      </w:pPr>
      <w:r>
        <w:t>W</w:t>
      </w:r>
      <w:r w:rsidR="006B6AF5">
        <w:t xml:space="preserve">here the employer sells </w:t>
      </w:r>
      <w:r w:rsidR="002B1A4B">
        <w:t>shares to the</w:t>
      </w:r>
      <w:r w:rsidR="006B6AF5">
        <w:t xml:space="preserve"> employee and provides a </w:t>
      </w:r>
      <w:r w:rsidR="00B13BB1">
        <w:t>limited</w:t>
      </w:r>
      <w:r w:rsidR="006B6AF5">
        <w:t>-recourse loan to finance the purchase price.</w:t>
      </w:r>
    </w:p>
    <w:p w:rsidR="001F41B4" w:rsidRDefault="001F41B4" w:rsidP="00F55FD9">
      <w:pPr>
        <w:pStyle w:val="Chapter1"/>
        <w:numPr>
          <w:ilvl w:val="0"/>
          <w:numId w:val="0"/>
        </w:numPr>
      </w:pPr>
    </w:p>
    <w:p w:rsidR="00E7495E" w:rsidRDefault="00E7495E" w:rsidP="00F55FD9">
      <w:pPr>
        <w:pStyle w:val="Chapter1"/>
        <w:numPr>
          <w:ilvl w:val="0"/>
          <w:numId w:val="0"/>
        </w:numPr>
      </w:pPr>
    </w:p>
    <w:p w:rsidR="00504B6B" w:rsidRDefault="001F41B4" w:rsidP="00F55FD9">
      <w:pPr>
        <w:pStyle w:val="Heading1"/>
      </w:pPr>
      <w:bookmarkStart w:id="17" w:name="_Toc483225341"/>
      <w:bookmarkStart w:id="18" w:name="_Toc483815927"/>
      <w:r>
        <w:t>Proposals</w:t>
      </w:r>
      <w:bookmarkEnd w:id="17"/>
      <w:bookmarkEnd w:id="18"/>
      <w:r>
        <w:t xml:space="preserve"> </w:t>
      </w:r>
    </w:p>
    <w:p w:rsidR="001F41B4" w:rsidRDefault="001F41B4" w:rsidP="00F55FD9">
      <w:pPr>
        <w:pStyle w:val="Chapter1"/>
        <w:numPr>
          <w:ilvl w:val="0"/>
          <w:numId w:val="0"/>
        </w:numPr>
        <w:ind w:left="851" w:hanging="851"/>
      </w:pPr>
    </w:p>
    <w:p w:rsidR="001F41B4" w:rsidRDefault="001F41B4" w:rsidP="00F55FD9">
      <w:pPr>
        <w:pStyle w:val="Heading2"/>
      </w:pPr>
      <w:bookmarkStart w:id="19" w:name="_Toc483225342"/>
      <w:r>
        <w:t>Tax deferral schemes for start-up companies</w:t>
      </w:r>
      <w:bookmarkEnd w:id="19"/>
    </w:p>
    <w:p w:rsidR="001F41B4" w:rsidRDefault="001F41B4" w:rsidP="006B6AF5">
      <w:pPr>
        <w:pStyle w:val="Chapter1"/>
        <w:numPr>
          <w:ilvl w:val="0"/>
          <w:numId w:val="0"/>
        </w:numPr>
        <w:ind w:left="851"/>
      </w:pPr>
    </w:p>
    <w:p w:rsidR="00713124" w:rsidRDefault="00713124" w:rsidP="00713124">
      <w:pPr>
        <w:pStyle w:val="Chapter1"/>
      </w:pPr>
      <w:r w:rsidRPr="00713124">
        <w:t>This issues paper considers the feedback received on the May 2016 issues paper in relation to start</w:t>
      </w:r>
      <w:r w:rsidR="00FF3DD8" w:rsidRPr="00A90758">
        <w:t>-</w:t>
      </w:r>
      <w:r w:rsidRPr="00713124">
        <w:t>ups</w:t>
      </w:r>
      <w:r w:rsidR="000412F4">
        <w:t>.  I</w:t>
      </w:r>
      <w:r w:rsidRPr="00713124">
        <w:t>t then uses those as a starting point for discussing revised proposals</w:t>
      </w:r>
      <w:r>
        <w:t>.</w:t>
      </w:r>
    </w:p>
    <w:p w:rsidR="00713124" w:rsidRDefault="00713124" w:rsidP="00A90758">
      <w:pPr>
        <w:pStyle w:val="Chapter1"/>
        <w:numPr>
          <w:ilvl w:val="0"/>
          <w:numId w:val="0"/>
        </w:numPr>
        <w:ind w:left="851"/>
      </w:pPr>
    </w:p>
    <w:p w:rsidR="006B6AF5" w:rsidRDefault="000F4904" w:rsidP="00713124">
      <w:pPr>
        <w:pStyle w:val="Chapter1"/>
      </w:pPr>
      <w:r>
        <w:t xml:space="preserve">For unconditional share schemes, </w:t>
      </w:r>
      <w:r w:rsidR="00FF3DD8">
        <w:t>that is,</w:t>
      </w:r>
      <w:r w:rsidR="001F41B4">
        <w:t xml:space="preserve"> </w:t>
      </w:r>
      <w:r>
        <w:t xml:space="preserve">where </w:t>
      </w:r>
      <w:r w:rsidR="001C04E6">
        <w:t xml:space="preserve">ordinary </w:t>
      </w:r>
      <w:r>
        <w:t xml:space="preserve">shares are provided to an employee with no conditions attached to them, the tax treatment will not change under </w:t>
      </w:r>
      <w:r w:rsidR="007C365C">
        <w:t xml:space="preserve">the </w:t>
      </w:r>
      <w:r>
        <w:t>proposal</w:t>
      </w:r>
      <w:r w:rsidR="007C365C">
        <w:t>s in the Bill</w:t>
      </w:r>
      <w:r>
        <w:t>.  These shares will give rise to employment income when the shares are acquired</w:t>
      </w:r>
      <w:r w:rsidR="000412F4">
        <w:t>.  I</w:t>
      </w:r>
      <w:r w:rsidR="005852B2" w:rsidRPr="005852B2">
        <w:t xml:space="preserve">n the case of employee share options, </w:t>
      </w:r>
      <w:r w:rsidR="00C31CDB">
        <w:t xml:space="preserve">employees are </w:t>
      </w:r>
      <w:r w:rsidR="00706F5E">
        <w:t xml:space="preserve">generally </w:t>
      </w:r>
      <w:r w:rsidR="00C31CDB">
        <w:t xml:space="preserve">taxed </w:t>
      </w:r>
      <w:r w:rsidR="005852B2" w:rsidRPr="005852B2">
        <w:t>when the options are exercised.</w:t>
      </w:r>
    </w:p>
    <w:p w:rsidR="00706F5E" w:rsidRDefault="00706F5E" w:rsidP="00D90610">
      <w:pPr>
        <w:pStyle w:val="Chapter1"/>
        <w:numPr>
          <w:ilvl w:val="0"/>
          <w:numId w:val="0"/>
        </w:numPr>
        <w:ind w:left="851"/>
      </w:pPr>
    </w:p>
    <w:p w:rsidR="00706F5E" w:rsidRDefault="00706F5E" w:rsidP="005852B2">
      <w:pPr>
        <w:pStyle w:val="Chapter1"/>
      </w:pPr>
      <w:r>
        <w:t>The proposal</w:t>
      </w:r>
      <w:r w:rsidR="007C365C">
        <w:t>s in the Bill</w:t>
      </w:r>
      <w:r>
        <w:t xml:space="preserve"> generally would have the effect of taxing </w:t>
      </w:r>
      <w:r w:rsidR="008E4632">
        <w:t>ESS</w:t>
      </w:r>
      <w:r w:rsidR="007C365C">
        <w:t xml:space="preserve"> </w:t>
      </w:r>
      <w:r>
        <w:t>benefits at the same time or later than they</w:t>
      </w:r>
      <w:r w:rsidR="00F55FD9">
        <w:t xml:space="preserve"> are</w:t>
      </w:r>
      <w:r>
        <w:t xml:space="preserve"> currently taxed.  Nevertheless, some submitters commented that taxing share benefits </w:t>
      </w:r>
      <w:r w:rsidR="001F41B4">
        <w:t xml:space="preserve">is </w:t>
      </w:r>
      <w:r>
        <w:t xml:space="preserve">problematic where the employee </w:t>
      </w:r>
      <w:r w:rsidR="001F41B4">
        <w:t>cannot</w:t>
      </w:r>
      <w:r>
        <w:t xml:space="preserve"> sell the shares at the taxing point.  This </w:t>
      </w:r>
      <w:r w:rsidR="001F41B4">
        <w:t xml:space="preserve">is </w:t>
      </w:r>
      <w:r>
        <w:t>for two reasons.  First, it might be difficult to find the cash to pay the tax.  Second, valuation might be problematic.  Both of these issues are likely to be at their most pressing for early stage or start-up companies.</w:t>
      </w:r>
      <w:r w:rsidR="001F41B4">
        <w:t xml:space="preserve">  That is the basis for the deferral proposal for start-up companies in this issues paper</w:t>
      </w:r>
      <w:r w:rsidR="00D60400">
        <w:t>, which is discussed in Chapters 2 to 8</w:t>
      </w:r>
      <w:r w:rsidR="00527ED5">
        <w:t>.</w:t>
      </w:r>
    </w:p>
    <w:p w:rsidR="00660BF1" w:rsidRDefault="00660BF1" w:rsidP="00D90610">
      <w:pPr>
        <w:pStyle w:val="Chapter1"/>
        <w:numPr>
          <w:ilvl w:val="0"/>
          <w:numId w:val="0"/>
        </w:numPr>
        <w:ind w:left="851"/>
      </w:pPr>
    </w:p>
    <w:p w:rsidR="00660BF1" w:rsidRDefault="00660BF1" w:rsidP="005852B2">
      <w:pPr>
        <w:pStyle w:val="Chapter1"/>
      </w:pPr>
      <w:r>
        <w:t>This paper seeks further submissions on details regarding the design of a deferral scheme.  This includes a discussi</w:t>
      </w:r>
      <w:r w:rsidR="00527ED5">
        <w:t>on on:</w:t>
      </w:r>
    </w:p>
    <w:p w:rsidR="00660BF1" w:rsidRDefault="00660BF1" w:rsidP="00D90610">
      <w:pPr>
        <w:pStyle w:val="Chapter1"/>
        <w:numPr>
          <w:ilvl w:val="0"/>
          <w:numId w:val="0"/>
        </w:numPr>
        <w:ind w:left="851"/>
      </w:pPr>
    </w:p>
    <w:p w:rsidR="00660BF1" w:rsidRDefault="00660BF1" w:rsidP="00D90610">
      <w:pPr>
        <w:pStyle w:val="Bullets"/>
      </w:pPr>
      <w:r>
        <w:t>the</w:t>
      </w:r>
      <w:r w:rsidR="00527ED5">
        <w:t xml:space="preserve"> scope of the deferral measure;</w:t>
      </w:r>
    </w:p>
    <w:p w:rsidR="00660BF1" w:rsidRDefault="00660BF1" w:rsidP="00D90610">
      <w:pPr>
        <w:pStyle w:val="Bullets"/>
      </w:pPr>
      <w:r>
        <w:t>the nature and timing of the election;</w:t>
      </w:r>
    </w:p>
    <w:p w:rsidR="00660BF1" w:rsidRDefault="00660BF1" w:rsidP="00D90610">
      <w:pPr>
        <w:pStyle w:val="Bullets"/>
      </w:pPr>
      <w:r>
        <w:t>when the tax impost should arise under the deferral scheme;</w:t>
      </w:r>
    </w:p>
    <w:p w:rsidR="00660BF1" w:rsidRDefault="00660BF1" w:rsidP="00D90610">
      <w:pPr>
        <w:pStyle w:val="Bullets"/>
      </w:pPr>
      <w:r>
        <w:t>timing of deductions for the employer; and</w:t>
      </w:r>
    </w:p>
    <w:p w:rsidR="00660BF1" w:rsidRDefault="00660BF1" w:rsidP="00D90610">
      <w:pPr>
        <w:pStyle w:val="Bullets"/>
        <w:spacing w:after="0"/>
      </w:pPr>
      <w:r>
        <w:t>matters of administration and compliance</w:t>
      </w:r>
      <w:r w:rsidR="00FF3DD8" w:rsidRPr="00A90758">
        <w:t>.</w:t>
      </w:r>
    </w:p>
    <w:p w:rsidR="001F41B4" w:rsidRDefault="001F41B4" w:rsidP="00F55FD9">
      <w:pPr>
        <w:pStyle w:val="Chapter1"/>
        <w:numPr>
          <w:ilvl w:val="0"/>
          <w:numId w:val="0"/>
        </w:numPr>
      </w:pPr>
    </w:p>
    <w:p w:rsidR="00B21801" w:rsidRPr="00F55FD9" w:rsidRDefault="00B21801" w:rsidP="00D90610">
      <w:pPr>
        <w:pStyle w:val="Heading2"/>
      </w:pPr>
      <w:bookmarkStart w:id="20" w:name="_Toc483225343"/>
      <w:r>
        <w:lastRenderedPageBreak/>
        <w:t>Ensuring the R&amp;D loss cash-out can apply to ESS benefits</w:t>
      </w:r>
      <w:bookmarkEnd w:id="20"/>
    </w:p>
    <w:p w:rsidR="00B21801" w:rsidRDefault="00B21801" w:rsidP="00B21801">
      <w:pPr>
        <w:pStyle w:val="Chapter1"/>
        <w:numPr>
          <w:ilvl w:val="0"/>
          <w:numId w:val="0"/>
        </w:numPr>
      </w:pPr>
    </w:p>
    <w:p w:rsidR="00B21801" w:rsidRDefault="00B21801" w:rsidP="00B21801">
      <w:pPr>
        <w:pStyle w:val="Chapter1"/>
      </w:pPr>
      <w:r>
        <w:t xml:space="preserve">In Chapter 9 we </w:t>
      </w:r>
      <w:r w:rsidR="00B13BB1">
        <w:t>discuss</w:t>
      </w:r>
      <w:r>
        <w:t xml:space="preserve"> the interaction of the ESS start-up proposals and the existing R&amp;D loss cash-out regime </w:t>
      </w:r>
      <w:r w:rsidR="00B13BB1">
        <w:t xml:space="preserve">and propose </w:t>
      </w:r>
      <w:r>
        <w:t>to ensure that ESS costs to the employer are appropriately</w:t>
      </w:r>
      <w:r w:rsidR="00B13BB1">
        <w:t xml:space="preserve"> dealt with under that regime</w:t>
      </w:r>
      <w:r>
        <w:t>.</w:t>
      </w:r>
    </w:p>
    <w:p w:rsidR="000F3CC8" w:rsidRDefault="000F3CC8" w:rsidP="000F3CC8">
      <w:pPr>
        <w:pStyle w:val="Chapter1"/>
        <w:numPr>
          <w:ilvl w:val="0"/>
          <w:numId w:val="0"/>
        </w:numPr>
        <w:ind w:left="851"/>
      </w:pPr>
    </w:p>
    <w:p w:rsidR="000F3CC8" w:rsidRDefault="000F3CC8" w:rsidP="00B21801">
      <w:pPr>
        <w:pStyle w:val="Chapter1"/>
      </w:pPr>
      <w:r>
        <w:t>Feedback on this issues paper will be used to help shape recommendations to Government for its consideration and inclusion in a future tax bill.</w:t>
      </w:r>
    </w:p>
    <w:p w:rsidR="00721833" w:rsidRDefault="00721833" w:rsidP="00B21801">
      <w:pPr>
        <w:pStyle w:val="Chapter1"/>
        <w:numPr>
          <w:ilvl w:val="0"/>
          <w:numId w:val="0"/>
        </w:numPr>
      </w:pPr>
    </w:p>
    <w:p w:rsidR="00D90610" w:rsidRDefault="00D90610" w:rsidP="00B21801">
      <w:pPr>
        <w:pStyle w:val="Chapter1"/>
        <w:numPr>
          <w:ilvl w:val="0"/>
          <w:numId w:val="0"/>
        </w:numPr>
      </w:pPr>
    </w:p>
    <w:p w:rsidR="00DD6BBD" w:rsidRPr="00DD6BBD" w:rsidRDefault="00DD6BBD" w:rsidP="00D90610">
      <w:pPr>
        <w:pStyle w:val="Heading1"/>
      </w:pPr>
      <w:bookmarkStart w:id="21" w:name="_Toc418756700"/>
      <w:bookmarkStart w:id="22" w:name="_Toc428197395"/>
      <w:bookmarkStart w:id="23" w:name="_Toc441693405"/>
      <w:bookmarkStart w:id="24" w:name="_Toc445910221"/>
      <w:bookmarkStart w:id="25" w:name="_Toc445971127"/>
      <w:bookmarkStart w:id="26" w:name="_Toc445971438"/>
      <w:bookmarkStart w:id="27" w:name="_Toc450740769"/>
      <w:bookmarkStart w:id="28" w:name="_Toc483225344"/>
      <w:bookmarkStart w:id="29" w:name="_Toc483815928"/>
      <w:r w:rsidRPr="00DD6BBD">
        <w:t>How to make a submission</w:t>
      </w:r>
      <w:bookmarkEnd w:id="21"/>
      <w:bookmarkEnd w:id="22"/>
      <w:bookmarkEnd w:id="23"/>
      <w:bookmarkEnd w:id="24"/>
      <w:bookmarkEnd w:id="25"/>
      <w:bookmarkEnd w:id="26"/>
      <w:bookmarkEnd w:id="27"/>
      <w:bookmarkEnd w:id="28"/>
      <w:bookmarkEnd w:id="29"/>
    </w:p>
    <w:p w:rsidR="00DD6BBD" w:rsidRPr="00DD6BBD" w:rsidRDefault="00DD6BBD" w:rsidP="00E955F5">
      <w:pPr>
        <w:pStyle w:val="Chapter1"/>
        <w:numPr>
          <w:ilvl w:val="0"/>
          <w:numId w:val="0"/>
        </w:numPr>
        <w:ind w:left="851"/>
        <w:rPr>
          <w:lang w:val="en-GB"/>
        </w:rPr>
      </w:pPr>
    </w:p>
    <w:p w:rsidR="00527ED5" w:rsidRPr="00DD6BBD" w:rsidRDefault="00DD6BBD" w:rsidP="00A2662C">
      <w:pPr>
        <w:pStyle w:val="Chapter1"/>
      </w:pPr>
      <w:r w:rsidRPr="00DD6BBD">
        <w:t>Officials invite submissions on the suggested changes and points raised in this issues paper.  S</w:t>
      </w:r>
      <w:r w:rsidR="00A2662C">
        <w:t>end submissions</w:t>
      </w:r>
      <w:r w:rsidRPr="00DD6BBD">
        <w:t xml:space="preserve"> to</w:t>
      </w:r>
      <w:r w:rsidR="00527ED5">
        <w:t xml:space="preserve"> </w:t>
      </w:r>
      <w:hyperlink r:id="rId11" w:history="1">
        <w:r w:rsidR="00527ED5" w:rsidRPr="001B18B5">
          <w:rPr>
            <w:rStyle w:val="Hyperlink"/>
          </w:rPr>
          <w:t>policy.webmaster@ird.govt.nz</w:t>
        </w:r>
      </w:hyperlink>
      <w:r w:rsidR="00527ED5">
        <w:t xml:space="preserve"> </w:t>
      </w:r>
      <w:r w:rsidRPr="00DD6BBD">
        <w:t>with “Taxation of employee share schemes</w:t>
      </w:r>
      <w:r w:rsidR="00FF3DD8" w:rsidRPr="00527ED5">
        <w:rPr>
          <w:lang w:val="en-GB"/>
        </w:rPr>
        <w:t>: start-up companies</w:t>
      </w:r>
      <w:r w:rsidRPr="00DD6BBD">
        <w:t>” in the subject line.</w:t>
      </w:r>
    </w:p>
    <w:p w:rsidR="00DD6BBD" w:rsidRPr="00DD6BBD" w:rsidRDefault="00DD6BBD" w:rsidP="00E955F5">
      <w:pPr>
        <w:pStyle w:val="Chapter1"/>
        <w:numPr>
          <w:ilvl w:val="0"/>
          <w:numId w:val="0"/>
        </w:numPr>
        <w:rPr>
          <w:lang w:val="en-GB"/>
        </w:rPr>
      </w:pPr>
    </w:p>
    <w:p w:rsidR="00DD6BBD" w:rsidRPr="00DD6BBD" w:rsidRDefault="00DD6BBD" w:rsidP="00DD6BBD">
      <w:pPr>
        <w:pStyle w:val="Chapter1"/>
        <w:tabs>
          <w:tab w:val="clear" w:pos="851"/>
        </w:tabs>
      </w:pPr>
      <w:r w:rsidRPr="00DD6BBD">
        <w:t>Alternatively, submissions can be addressed to:</w:t>
      </w:r>
    </w:p>
    <w:p w:rsidR="00DD6BBD" w:rsidRPr="00DD6BBD" w:rsidRDefault="00DD6BBD" w:rsidP="00E955F5">
      <w:pPr>
        <w:pStyle w:val="Chapter1"/>
        <w:numPr>
          <w:ilvl w:val="0"/>
          <w:numId w:val="0"/>
        </w:numPr>
        <w:ind w:left="851"/>
        <w:rPr>
          <w:lang w:val="en-GB"/>
        </w:rPr>
      </w:pPr>
    </w:p>
    <w:p w:rsidR="00DD6BBD" w:rsidRPr="00DD6BBD" w:rsidRDefault="00DD6BBD" w:rsidP="00E955F5">
      <w:pPr>
        <w:pStyle w:val="Chapter1"/>
        <w:numPr>
          <w:ilvl w:val="0"/>
          <w:numId w:val="0"/>
        </w:numPr>
        <w:ind w:left="851"/>
        <w:rPr>
          <w:lang w:val="en-GB"/>
        </w:rPr>
      </w:pPr>
      <w:r w:rsidRPr="00DD6BBD">
        <w:rPr>
          <w:lang w:val="en-GB"/>
        </w:rPr>
        <w:t>Taxation of employee share schemes</w:t>
      </w:r>
      <w:r w:rsidR="00FF3DD8">
        <w:rPr>
          <w:lang w:val="en-GB"/>
        </w:rPr>
        <w:t>: start-up companies</w:t>
      </w:r>
    </w:p>
    <w:p w:rsidR="00DD6BBD" w:rsidRPr="00DD6BBD" w:rsidRDefault="00DD6BBD" w:rsidP="00E955F5">
      <w:pPr>
        <w:pStyle w:val="Chapter1"/>
        <w:numPr>
          <w:ilvl w:val="0"/>
          <w:numId w:val="0"/>
        </w:numPr>
        <w:ind w:left="851"/>
        <w:rPr>
          <w:lang w:val="en-GB"/>
        </w:rPr>
      </w:pPr>
      <w:r w:rsidRPr="00DD6BBD">
        <w:rPr>
          <w:lang w:val="en-GB"/>
        </w:rPr>
        <w:t>C/- Deputy Commissioner, Policy and Strategy</w:t>
      </w:r>
    </w:p>
    <w:p w:rsidR="00DD6BBD" w:rsidRPr="00DD6BBD" w:rsidRDefault="00DD6BBD" w:rsidP="00E955F5">
      <w:pPr>
        <w:pStyle w:val="Chapter1"/>
        <w:numPr>
          <w:ilvl w:val="0"/>
          <w:numId w:val="0"/>
        </w:numPr>
        <w:ind w:left="851"/>
        <w:rPr>
          <w:lang w:val="en-GB"/>
        </w:rPr>
      </w:pPr>
      <w:r w:rsidRPr="00DD6BBD">
        <w:rPr>
          <w:lang w:val="en-GB"/>
        </w:rPr>
        <w:t>Inland Revenue Department</w:t>
      </w:r>
    </w:p>
    <w:p w:rsidR="00DD6BBD" w:rsidRPr="00DD6BBD" w:rsidRDefault="00DD6BBD" w:rsidP="00E955F5">
      <w:pPr>
        <w:pStyle w:val="Chapter1"/>
        <w:numPr>
          <w:ilvl w:val="0"/>
          <w:numId w:val="0"/>
        </w:numPr>
        <w:ind w:left="851"/>
        <w:rPr>
          <w:lang w:val="en-GB"/>
        </w:rPr>
      </w:pPr>
      <w:r w:rsidRPr="00DD6BBD">
        <w:rPr>
          <w:lang w:val="en-GB"/>
        </w:rPr>
        <w:t>PO Box 2198</w:t>
      </w:r>
    </w:p>
    <w:p w:rsidR="00DD6BBD" w:rsidRPr="00DD6BBD" w:rsidRDefault="00DD6BBD" w:rsidP="00E955F5">
      <w:pPr>
        <w:pStyle w:val="Chapter1"/>
        <w:numPr>
          <w:ilvl w:val="0"/>
          <w:numId w:val="0"/>
        </w:numPr>
        <w:ind w:left="851"/>
        <w:rPr>
          <w:lang w:val="en-GB"/>
        </w:rPr>
      </w:pPr>
      <w:r w:rsidRPr="00DD6BBD">
        <w:rPr>
          <w:lang w:val="en-GB"/>
        </w:rPr>
        <w:t>Wellington 6140</w:t>
      </w:r>
    </w:p>
    <w:p w:rsidR="00DD6BBD" w:rsidRPr="00DD6BBD" w:rsidRDefault="00DD6BBD" w:rsidP="00E955F5">
      <w:pPr>
        <w:pStyle w:val="Chapter1"/>
        <w:numPr>
          <w:ilvl w:val="0"/>
          <w:numId w:val="0"/>
        </w:numPr>
        <w:ind w:left="851"/>
        <w:rPr>
          <w:lang w:val="en-GB"/>
        </w:rPr>
      </w:pPr>
    </w:p>
    <w:p w:rsidR="00DD6BBD" w:rsidRPr="00DD6BBD" w:rsidRDefault="00DD6BBD" w:rsidP="00DD6BBD">
      <w:pPr>
        <w:pStyle w:val="Chapter1"/>
        <w:rPr>
          <w:lang w:val="en-GB"/>
        </w:rPr>
      </w:pPr>
      <w:r w:rsidRPr="00DD6BBD">
        <w:rPr>
          <w:lang w:val="en-GB"/>
        </w:rPr>
        <w:t xml:space="preserve">The closing date for submissions is </w:t>
      </w:r>
      <w:r w:rsidR="00E955F5">
        <w:rPr>
          <w:b/>
          <w:lang w:val="en-GB"/>
        </w:rPr>
        <w:t>1</w:t>
      </w:r>
      <w:r w:rsidRPr="00DD6BBD">
        <w:rPr>
          <w:b/>
          <w:lang w:val="en-GB"/>
        </w:rPr>
        <w:t>2 Ju</w:t>
      </w:r>
      <w:r w:rsidR="00E955F5">
        <w:rPr>
          <w:b/>
          <w:lang w:val="en-GB"/>
        </w:rPr>
        <w:t>ly</w:t>
      </w:r>
      <w:r w:rsidRPr="00DD6BBD">
        <w:rPr>
          <w:b/>
          <w:lang w:val="en-GB"/>
        </w:rPr>
        <w:t xml:space="preserve"> 201</w:t>
      </w:r>
      <w:r w:rsidR="00E955F5">
        <w:rPr>
          <w:b/>
          <w:lang w:val="en-GB"/>
        </w:rPr>
        <w:t>7</w:t>
      </w:r>
      <w:r w:rsidRPr="00DD6BBD">
        <w:t>.</w:t>
      </w:r>
    </w:p>
    <w:p w:rsidR="00DD6BBD" w:rsidRPr="00DD6BBD" w:rsidRDefault="00DD6BBD" w:rsidP="00E955F5">
      <w:pPr>
        <w:pStyle w:val="Chapter1"/>
        <w:numPr>
          <w:ilvl w:val="0"/>
          <w:numId w:val="0"/>
        </w:numPr>
        <w:ind w:left="851"/>
        <w:rPr>
          <w:lang w:val="en-GB"/>
        </w:rPr>
      </w:pPr>
    </w:p>
    <w:p w:rsidR="00DD6BBD" w:rsidRDefault="00DD6BBD" w:rsidP="00DD6BBD">
      <w:pPr>
        <w:pStyle w:val="Chapter1"/>
        <w:tabs>
          <w:tab w:val="clear" w:pos="851"/>
        </w:tabs>
      </w:pPr>
      <w:r w:rsidRPr="00DD6BBD">
        <w:t>Submissions should include a brief summary of major points and recommendations.  They should also indicate whether it would be acceptable for Inland Revenue and Treasury officials to contact those making the submission to discuss the points raised, if required.</w:t>
      </w:r>
    </w:p>
    <w:p w:rsidR="00D90610" w:rsidRDefault="00D90610" w:rsidP="00D90610">
      <w:pPr>
        <w:pStyle w:val="Chapter1"/>
        <w:numPr>
          <w:ilvl w:val="0"/>
          <w:numId w:val="0"/>
        </w:numPr>
        <w:ind w:left="851"/>
      </w:pPr>
    </w:p>
    <w:p w:rsidR="00DD6BBD" w:rsidRPr="00DD6BBD" w:rsidRDefault="00DD6BBD" w:rsidP="00DD6BBD">
      <w:pPr>
        <w:pStyle w:val="Chapter1"/>
        <w:tabs>
          <w:tab w:val="clear" w:pos="851"/>
        </w:tabs>
      </w:pPr>
      <w:r w:rsidRPr="00DD6BBD">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EF3129" w:rsidRDefault="00EF3129">
      <w:pPr>
        <w:jc w:val="left"/>
        <w:rPr>
          <w:rFonts w:ascii="Times New Roman Bold" w:hAnsi="Times New Roman Bold"/>
          <w:b/>
          <w:bCs/>
          <w:caps/>
          <w:sz w:val="28"/>
          <w:szCs w:val="28"/>
          <w:lang w:val="en-NZ"/>
        </w:rPr>
      </w:pPr>
      <w:r>
        <w:rPr>
          <w:lang w:val="en-NZ"/>
        </w:rPr>
        <w:br w:type="page"/>
      </w:r>
    </w:p>
    <w:p w:rsidR="00373F5D" w:rsidRPr="00382E2E" w:rsidRDefault="00373F5D" w:rsidP="00225A99">
      <w:pPr>
        <w:pStyle w:val="Chapterheading"/>
        <w:rPr>
          <w:lang w:val="en-NZ"/>
        </w:rPr>
      </w:pPr>
      <w:r w:rsidRPr="00382E2E">
        <w:rPr>
          <w:lang w:val="en-NZ"/>
        </w:rPr>
        <w:lastRenderedPageBreak/>
        <w:br w:type="page"/>
      </w:r>
      <w:bookmarkStart w:id="30" w:name="_Toc147567996"/>
      <w:bookmarkStart w:id="31" w:name="_Toc477103270"/>
      <w:bookmarkStart w:id="32" w:name="_Toc477162767"/>
      <w:bookmarkStart w:id="33" w:name="_Toc478052503"/>
      <w:bookmarkStart w:id="34" w:name="_Toc480452350"/>
      <w:bookmarkStart w:id="35" w:name="_Toc480452461"/>
      <w:bookmarkStart w:id="36" w:name="_Toc480965200"/>
      <w:bookmarkStart w:id="37" w:name="_Toc481055653"/>
      <w:bookmarkStart w:id="38" w:name="_Toc481678554"/>
      <w:bookmarkStart w:id="39" w:name="_Toc483225345"/>
      <w:bookmarkStart w:id="40" w:name="_Toc483815929"/>
      <w:r w:rsidR="001005B7" w:rsidRPr="00382E2E">
        <w:rPr>
          <w:lang w:val="en-NZ"/>
        </w:rPr>
        <w:lastRenderedPageBreak/>
        <w:t xml:space="preserve">CHAPTER </w:t>
      </w:r>
      <w:r w:rsidRPr="00382E2E">
        <w:rPr>
          <w:lang w:val="en-NZ"/>
        </w:rPr>
        <w:t>2</w:t>
      </w:r>
      <w:bookmarkEnd w:id="30"/>
      <w:bookmarkEnd w:id="31"/>
      <w:bookmarkEnd w:id="32"/>
      <w:bookmarkEnd w:id="33"/>
      <w:bookmarkEnd w:id="34"/>
      <w:bookmarkEnd w:id="35"/>
      <w:bookmarkEnd w:id="36"/>
      <w:bookmarkEnd w:id="37"/>
      <w:bookmarkEnd w:id="38"/>
      <w:bookmarkEnd w:id="39"/>
      <w:bookmarkEnd w:id="40"/>
    </w:p>
    <w:p w:rsidR="00373F5D" w:rsidRPr="00382E2E" w:rsidRDefault="00373F5D" w:rsidP="00D10025">
      <w:pPr>
        <w:pStyle w:val="Chapterheading"/>
        <w:rPr>
          <w:lang w:val="en-NZ"/>
        </w:rPr>
      </w:pPr>
    </w:p>
    <w:p w:rsidR="00373F5D" w:rsidRPr="00A76AD1" w:rsidRDefault="00042D68" w:rsidP="00D10025">
      <w:pPr>
        <w:pStyle w:val="Chapterheading"/>
        <w:rPr>
          <w:rStyle w:val="ChapterheadingCharCharChar"/>
        </w:rPr>
      </w:pPr>
      <w:bookmarkStart w:id="41" w:name="_Toc483225346"/>
      <w:bookmarkStart w:id="42" w:name="_Toc483815930"/>
      <w:r>
        <w:rPr>
          <w:rStyle w:val="ChapterheadingCharCharChar"/>
        </w:rPr>
        <w:t>V</w:t>
      </w:r>
      <w:r w:rsidR="003E33AF" w:rsidRPr="00A76AD1">
        <w:rPr>
          <w:rStyle w:val="ChapterheadingCharCharChar"/>
        </w:rPr>
        <w:t>aluation and liquidity issues</w:t>
      </w:r>
      <w:r>
        <w:rPr>
          <w:rStyle w:val="ChapterheadingCharCharChar"/>
        </w:rPr>
        <w:t xml:space="preserve"> for start-up companies</w:t>
      </w:r>
      <w:bookmarkEnd w:id="41"/>
      <w:bookmarkEnd w:id="42"/>
    </w:p>
    <w:p w:rsidR="00712E36" w:rsidRDefault="00712E36" w:rsidP="00D21C80">
      <w:pPr>
        <w:pStyle w:val="Chapter2"/>
        <w:numPr>
          <w:ilvl w:val="0"/>
          <w:numId w:val="0"/>
        </w:numPr>
      </w:pPr>
    </w:p>
    <w:p w:rsidR="00D21C80" w:rsidRDefault="00D21C80" w:rsidP="00712E36">
      <w:pPr>
        <w:pStyle w:val="Chapter2"/>
        <w:numPr>
          <w:ilvl w:val="0"/>
          <w:numId w:val="0"/>
        </w:numPr>
      </w:pPr>
    </w:p>
    <w:p w:rsidR="00DC29C1" w:rsidRDefault="00004C0E" w:rsidP="00A76AD1">
      <w:pPr>
        <w:pStyle w:val="Chapter2"/>
      </w:pPr>
      <w:r>
        <w:t xml:space="preserve">During the course of further consultation on the detail of the </w:t>
      </w:r>
      <w:r w:rsidR="007C365C">
        <w:t xml:space="preserve">proposals contained in the </w:t>
      </w:r>
      <w:r w:rsidR="00EF64C7">
        <w:t>May 2016 issues paper</w:t>
      </w:r>
      <w:r>
        <w:t xml:space="preserve">, </w:t>
      </w:r>
      <w:r w:rsidR="00257D30">
        <w:t>submitters raised concerns</w:t>
      </w:r>
      <w:r w:rsidR="007D6829" w:rsidRPr="007D6829">
        <w:rPr>
          <w:snapToGrid/>
        </w:rPr>
        <w:t xml:space="preserve"> </w:t>
      </w:r>
      <w:r w:rsidR="007D6829" w:rsidRPr="007D6829">
        <w:rPr>
          <w:lang w:val="en-GB"/>
        </w:rPr>
        <w:t>that the general proposals did not address the valuation and liquidity issues faced by start-up companies</w:t>
      </w:r>
      <w:r w:rsidR="000F3CC8">
        <w:rPr>
          <w:lang w:val="en-GB"/>
        </w:rPr>
        <w:t xml:space="preserve"> offering ESS benefits</w:t>
      </w:r>
      <w:r w:rsidR="007D6829" w:rsidRPr="007D6829">
        <w:rPr>
          <w:lang w:val="en-GB"/>
        </w:rPr>
        <w:t>.</w:t>
      </w:r>
    </w:p>
    <w:p w:rsidR="00DC29C1" w:rsidRDefault="00DC29C1" w:rsidP="00DC29C1">
      <w:pPr>
        <w:pStyle w:val="Chapter2"/>
        <w:numPr>
          <w:ilvl w:val="0"/>
          <w:numId w:val="0"/>
        </w:numPr>
        <w:ind w:left="851" w:hanging="851"/>
      </w:pPr>
    </w:p>
    <w:p w:rsidR="00DC29C1" w:rsidRDefault="00DC29C1" w:rsidP="00DC29C1">
      <w:pPr>
        <w:pStyle w:val="Chapter2"/>
      </w:pPr>
      <w:r w:rsidRPr="00DC29C1">
        <w:t xml:space="preserve">In particular, if the tax </w:t>
      </w:r>
      <w:r w:rsidR="000F3CC8">
        <w:t xml:space="preserve">from receiving an ESS benefit </w:t>
      </w:r>
      <w:r w:rsidRPr="00DC29C1">
        <w:t xml:space="preserve">arises without a sale or an active market for the shares, </w:t>
      </w:r>
      <w:r w:rsidR="00E7495E">
        <w:t xml:space="preserve">and where there may be little or no earnings history or realisable assets, </w:t>
      </w:r>
      <w:r w:rsidRPr="00DC29C1">
        <w:t xml:space="preserve">it is difficult to determine </w:t>
      </w:r>
      <w:r w:rsidR="00E7495E">
        <w:t>the shares’</w:t>
      </w:r>
      <w:r w:rsidR="00E7495E" w:rsidRPr="00DC29C1">
        <w:t xml:space="preserve"> </w:t>
      </w:r>
      <w:r w:rsidRPr="00DC29C1">
        <w:t xml:space="preserve">value so as to work out the tax liability. </w:t>
      </w:r>
      <w:r w:rsidR="007D6829">
        <w:t xml:space="preserve"> </w:t>
      </w:r>
      <w:r w:rsidRPr="00DC29C1">
        <w:t>Even if the shares can be valued, the employees are often unable to sell a portion of their shares to meet the tax liability and therefore have to fund the liability from other income or borrowings – thus making the scheme less attractive.</w:t>
      </w:r>
      <w:r w:rsidR="00E202CC">
        <w:t xml:space="preserve">  </w:t>
      </w:r>
      <w:r w:rsidR="00706F5E">
        <w:t>T</w:t>
      </w:r>
      <w:r w:rsidRPr="00DC29C1">
        <w:t>he employer could provide cash income to pay the tax</w:t>
      </w:r>
      <w:r w:rsidR="000412F4">
        <w:t>.  H</w:t>
      </w:r>
      <w:r w:rsidR="00C31CDB">
        <w:t>owever</w:t>
      </w:r>
      <w:r w:rsidRPr="00DC29C1">
        <w:t xml:space="preserve">, start-up companies typically experience cashflow </w:t>
      </w:r>
      <w:r w:rsidR="00F55FD9">
        <w:t xml:space="preserve">constraints </w:t>
      </w:r>
      <w:r w:rsidRPr="00DC29C1">
        <w:t>as well and therefore the problem is simply transferred to the employer.</w:t>
      </w:r>
    </w:p>
    <w:p w:rsidR="00F13AF5" w:rsidRDefault="00F13AF5" w:rsidP="00CD456C">
      <w:pPr>
        <w:pStyle w:val="Chapter2"/>
        <w:numPr>
          <w:ilvl w:val="0"/>
          <w:numId w:val="0"/>
        </w:numPr>
      </w:pPr>
    </w:p>
    <w:p w:rsidR="00A76AD1" w:rsidRDefault="00A76AD1" w:rsidP="00CD456C">
      <w:pPr>
        <w:pStyle w:val="Chapter2"/>
        <w:numPr>
          <w:ilvl w:val="0"/>
          <w:numId w:val="0"/>
        </w:numPr>
      </w:pPr>
    </w:p>
    <w:p w:rsidR="00CD456C" w:rsidRPr="006C44F9" w:rsidRDefault="00CD456C" w:rsidP="00C87C38">
      <w:pPr>
        <w:pStyle w:val="Heading1"/>
      </w:pPr>
      <w:bookmarkStart w:id="43" w:name="_Toc483225347"/>
      <w:bookmarkStart w:id="44" w:name="_Toc483815931"/>
      <w:r w:rsidRPr="00C87C38">
        <w:t>Valuation</w:t>
      </w:r>
      <w:bookmarkEnd w:id="43"/>
      <w:bookmarkEnd w:id="44"/>
    </w:p>
    <w:p w:rsidR="00CD456C" w:rsidRDefault="00CD456C" w:rsidP="00CD456C">
      <w:pPr>
        <w:pStyle w:val="Chapter2"/>
        <w:numPr>
          <w:ilvl w:val="0"/>
          <w:numId w:val="0"/>
        </w:numPr>
      </w:pPr>
    </w:p>
    <w:p w:rsidR="00031CD8" w:rsidRDefault="000B30C8" w:rsidP="000B30C8">
      <w:pPr>
        <w:pStyle w:val="Chapter2"/>
      </w:pPr>
      <w:r>
        <w:t xml:space="preserve">Under both the current law and the </w:t>
      </w:r>
      <w:r w:rsidR="00FF3DD8" w:rsidRPr="00A90758">
        <w:t>proposals in the Bill</w:t>
      </w:r>
      <w:r>
        <w:t>, calculating the tax payable by an employee</w:t>
      </w:r>
      <w:r w:rsidR="00B21801">
        <w:t xml:space="preserve"> often</w:t>
      </w:r>
      <w:r>
        <w:t xml:space="preserve"> requires a valuation of the shares</w:t>
      </w:r>
      <w:r w:rsidR="00E7495E">
        <w:t xml:space="preserve"> at the relevant taxing point.</w:t>
      </w:r>
    </w:p>
    <w:p w:rsidR="00031CD8" w:rsidRDefault="00031CD8" w:rsidP="00031CD8">
      <w:pPr>
        <w:pStyle w:val="Chapter2"/>
        <w:numPr>
          <w:ilvl w:val="0"/>
          <w:numId w:val="0"/>
        </w:numPr>
        <w:ind w:left="851"/>
      </w:pPr>
    </w:p>
    <w:p w:rsidR="006C3330" w:rsidRDefault="00D879A3" w:rsidP="006C3330">
      <w:pPr>
        <w:pStyle w:val="Chapter2"/>
      </w:pPr>
      <w:r>
        <w:t>If the shar</w:t>
      </w:r>
      <w:r w:rsidR="000B30C8">
        <w:t>es are in a listed company, the</w:t>
      </w:r>
      <w:r>
        <w:t xml:space="preserve"> value</w:t>
      </w:r>
      <w:r w:rsidR="000B30C8">
        <w:t xml:space="preserve"> of the shares at the</w:t>
      </w:r>
      <w:r w:rsidR="00D5165B">
        <w:t xml:space="preserve"> time tax is payable </w:t>
      </w:r>
      <w:r>
        <w:t xml:space="preserve">can be easily found.  It is more difficult to determine the value of the shares in an unlisted company, particularly if </w:t>
      </w:r>
      <w:r w:rsidR="00F55FD9">
        <w:t xml:space="preserve">it </w:t>
      </w:r>
      <w:r>
        <w:t>is an early stage or start-up company</w:t>
      </w:r>
      <w:r w:rsidR="006C06F7">
        <w:t>, with little or no operating history</w:t>
      </w:r>
      <w:r w:rsidR="000D06FA">
        <w:t>, no cashflows and very few tangible assets</w:t>
      </w:r>
      <w:r>
        <w:t>.  For example, the value of such a company may depend completely on its success</w:t>
      </w:r>
      <w:r w:rsidR="00C31CDB">
        <w:t xml:space="preserve"> in developing an untested idea,</w:t>
      </w:r>
      <w:r>
        <w:t xml:space="preserve"> and as such is extremely speculative.  In such a case, determining the value of the shares</w:t>
      </w:r>
      <w:r w:rsidR="001C22F2">
        <w:t xml:space="preserve"> </w:t>
      </w:r>
      <w:r>
        <w:t xml:space="preserve">is an uncertain and difficult exercise, as well as </w:t>
      </w:r>
      <w:r w:rsidR="00C31CDB">
        <w:t xml:space="preserve">a </w:t>
      </w:r>
      <w:r>
        <w:t>potentially ex</w:t>
      </w:r>
      <w:r w:rsidR="00527ED5">
        <w:t>pensive one.</w:t>
      </w:r>
    </w:p>
    <w:p w:rsidR="00513B0D" w:rsidRDefault="00513B0D" w:rsidP="00AC6D66">
      <w:pPr>
        <w:pStyle w:val="Chapter2"/>
        <w:numPr>
          <w:ilvl w:val="0"/>
          <w:numId w:val="0"/>
        </w:numPr>
        <w:ind w:left="851"/>
      </w:pPr>
    </w:p>
    <w:p w:rsidR="00513B0D" w:rsidRDefault="00513B0D" w:rsidP="006C3330">
      <w:pPr>
        <w:pStyle w:val="Chapter2"/>
      </w:pPr>
      <w:r>
        <w:t>Inland Revenue has recently introduced valuation guidelines for shares received by an employee under an ESS.</w:t>
      </w:r>
      <w:r w:rsidRPr="00602A84">
        <w:rPr>
          <w:rStyle w:val="FootnoteReference"/>
          <w:sz w:val="24"/>
          <w:szCs w:val="24"/>
        </w:rPr>
        <w:footnoteReference w:id="4"/>
      </w:r>
    </w:p>
    <w:p w:rsidR="00CD456C" w:rsidRDefault="00CD456C" w:rsidP="00CD456C">
      <w:pPr>
        <w:pStyle w:val="Chapter2"/>
        <w:numPr>
          <w:ilvl w:val="0"/>
          <w:numId w:val="0"/>
        </w:numPr>
      </w:pPr>
    </w:p>
    <w:p w:rsidR="00A76AD1" w:rsidRDefault="00A76AD1" w:rsidP="00CD456C">
      <w:pPr>
        <w:pStyle w:val="Chapter2"/>
        <w:numPr>
          <w:ilvl w:val="0"/>
          <w:numId w:val="0"/>
        </w:numPr>
      </w:pPr>
    </w:p>
    <w:p w:rsidR="00CD456C" w:rsidRPr="006C44F9" w:rsidRDefault="00CD456C" w:rsidP="00C87C38">
      <w:pPr>
        <w:pStyle w:val="Heading1"/>
      </w:pPr>
      <w:bookmarkStart w:id="45" w:name="_Toc483225348"/>
      <w:bookmarkStart w:id="46" w:name="_Toc483815932"/>
      <w:r w:rsidRPr="006C44F9">
        <w:t>Liquidity</w:t>
      </w:r>
      <w:bookmarkEnd w:id="45"/>
      <w:bookmarkEnd w:id="46"/>
    </w:p>
    <w:p w:rsidR="00CD456C" w:rsidRPr="006B6AF5" w:rsidRDefault="00CD456C" w:rsidP="00CD456C">
      <w:pPr>
        <w:pStyle w:val="Chapter2"/>
        <w:numPr>
          <w:ilvl w:val="0"/>
          <w:numId w:val="0"/>
        </w:numPr>
      </w:pPr>
    </w:p>
    <w:p w:rsidR="000D06FA" w:rsidRDefault="000D06FA" w:rsidP="000D06FA">
      <w:pPr>
        <w:pStyle w:val="Chapter2"/>
      </w:pPr>
      <w:r>
        <w:t xml:space="preserve">Start-up companies are also often cash constrained – all available cash is allocated to developing the business.  This is one reason they use employee share schemes to remunerate employees – because it reduces the amount of cash salary they have to pay.  Similarly, an employee who accepts part of their remuneration in shares </w:t>
      </w:r>
      <w:r w:rsidR="00E7495E">
        <w:t>may not</w:t>
      </w:r>
      <w:r>
        <w:t xml:space="preserve"> have a lot of extra cash.  They </w:t>
      </w:r>
      <w:r w:rsidR="00E7495E">
        <w:t xml:space="preserve">may </w:t>
      </w:r>
      <w:r>
        <w:lastRenderedPageBreak/>
        <w:t>receive a modest cash salary to cover living costs and the rest of the</w:t>
      </w:r>
      <w:r w:rsidR="00BC1CD5">
        <w:t>ir</w:t>
      </w:r>
      <w:r w:rsidR="00527ED5">
        <w:t xml:space="preserve"> remuneration in shares.</w:t>
      </w:r>
    </w:p>
    <w:p w:rsidR="000D06FA" w:rsidRDefault="000D06FA" w:rsidP="000D06FA">
      <w:pPr>
        <w:pStyle w:val="Chapter2"/>
        <w:numPr>
          <w:ilvl w:val="0"/>
          <w:numId w:val="0"/>
        </w:numPr>
        <w:ind w:left="851"/>
      </w:pPr>
    </w:p>
    <w:p w:rsidR="00E7495E" w:rsidRDefault="000D06FA" w:rsidP="00E7495E">
      <w:pPr>
        <w:pStyle w:val="Chapter2"/>
      </w:pPr>
      <w:r>
        <w:t>Compounding this issue is that in</w:t>
      </w:r>
      <w:r w:rsidDel="000D06FA">
        <w:t xml:space="preserve"> </w:t>
      </w:r>
      <w:r w:rsidR="00115643">
        <w:t>early-stage companies, and often in a broader set of unlisted companies, there is a very limited mar</w:t>
      </w:r>
      <w:r w:rsidR="007B73D5">
        <w:t>ket for the employee’s shares.</w:t>
      </w:r>
      <w:r w:rsidR="00115643">
        <w:t xml:space="preserve"> </w:t>
      </w:r>
      <w:r w:rsidR="002D4DCD">
        <w:t xml:space="preserve"> </w:t>
      </w:r>
      <w:r w:rsidR="00115643">
        <w:t xml:space="preserve">The employee will </w:t>
      </w:r>
      <w:r>
        <w:t xml:space="preserve">also </w:t>
      </w:r>
      <w:r w:rsidR="00115643">
        <w:t xml:space="preserve">often be prohibited from selling the shares other </w:t>
      </w:r>
      <w:r w:rsidR="00051C98">
        <w:t xml:space="preserve">than to existing shareholders </w:t>
      </w:r>
      <w:r w:rsidR="001C04E6">
        <w:t xml:space="preserve">(and in some cases, that also may be impermissible) </w:t>
      </w:r>
      <w:r w:rsidR="00051C98">
        <w:t xml:space="preserve">by the terms of the scheme.  </w:t>
      </w:r>
      <w:r w:rsidR="002C7328">
        <w:t>However, there will usually be no requirement for the existing shareholders to buy the shares.</w:t>
      </w:r>
      <w:r w:rsidR="00E7495E">
        <w:t xml:space="preserve"> </w:t>
      </w:r>
      <w:r w:rsidR="00241F87">
        <w:t xml:space="preserve"> This makes it very difficult for the</w:t>
      </w:r>
      <w:r w:rsidR="00527ED5">
        <w:t xml:space="preserve"> employee to sell their shares.</w:t>
      </w:r>
    </w:p>
    <w:p w:rsidR="00115643" w:rsidRDefault="00115643" w:rsidP="00B21801">
      <w:pPr>
        <w:pStyle w:val="Chapter2"/>
        <w:numPr>
          <w:ilvl w:val="0"/>
          <w:numId w:val="0"/>
        </w:numPr>
      </w:pPr>
    </w:p>
    <w:p w:rsidR="008F5247" w:rsidRDefault="00D21C80" w:rsidP="008F5247">
      <w:pPr>
        <w:pStyle w:val="Chapter2"/>
      </w:pPr>
      <w:r w:rsidRPr="006B6AF5">
        <w:t xml:space="preserve">Because the shares </w:t>
      </w:r>
      <w:r w:rsidR="00241F87">
        <w:t>may not</w:t>
      </w:r>
      <w:r w:rsidRPr="006B6AF5">
        <w:t xml:space="preserve"> be easily sold to generate cash, submitters have raised the imposition of tax </w:t>
      </w:r>
      <w:r w:rsidR="000F3CC8">
        <w:t xml:space="preserve">on the ESS benefit received </w:t>
      </w:r>
      <w:r w:rsidRPr="006B6AF5">
        <w:t xml:space="preserve">as a barrier to </w:t>
      </w:r>
      <w:r w:rsidR="00191698">
        <w:t xml:space="preserve">using </w:t>
      </w:r>
      <w:r w:rsidR="000F3CC8">
        <w:t>ESS</w:t>
      </w:r>
      <w:r w:rsidRPr="006B6AF5">
        <w:t xml:space="preserve">.  </w:t>
      </w:r>
      <w:r w:rsidR="000D06FA">
        <w:t>U</w:t>
      </w:r>
      <w:r w:rsidRPr="006B6AF5">
        <w:t>nder current law</w:t>
      </w:r>
      <w:r w:rsidR="00B21801">
        <w:t>,</w:t>
      </w:r>
      <w:r w:rsidRPr="006B6AF5">
        <w:t xml:space="preserve"> </w:t>
      </w:r>
      <w:r w:rsidR="00B21801">
        <w:t xml:space="preserve">subject to the potential application of </w:t>
      </w:r>
      <w:r w:rsidR="001A2750">
        <w:t>the general anti-avoidance rule</w:t>
      </w:r>
      <w:r w:rsidR="00B21801">
        <w:t xml:space="preserve">, </w:t>
      </w:r>
      <w:r w:rsidRPr="006B6AF5">
        <w:t xml:space="preserve">it </w:t>
      </w:r>
      <w:r w:rsidR="00B13BB1">
        <w:t>has been</w:t>
      </w:r>
      <w:r w:rsidR="00B21801">
        <w:t xml:space="preserve"> </w:t>
      </w:r>
      <w:r w:rsidRPr="006B6AF5">
        <w:t xml:space="preserve">possible to provide share benefits to employees without any income tax arising.  So in </w:t>
      </w:r>
      <w:r w:rsidR="00C31CDB">
        <w:t>many cases, this practical cash</w:t>
      </w:r>
      <w:r w:rsidRPr="006B6AF5">
        <w:t xml:space="preserve">flow issue </w:t>
      </w:r>
      <w:r w:rsidR="00B21801">
        <w:t xml:space="preserve">may </w:t>
      </w:r>
      <w:r w:rsidRPr="006B6AF5">
        <w:t xml:space="preserve">not </w:t>
      </w:r>
      <w:r w:rsidR="00B21801">
        <w:t xml:space="preserve">have </w:t>
      </w:r>
      <w:r w:rsidRPr="006B6AF5">
        <w:t xml:space="preserve">been relevant because there is simply no tax to pay.  </w:t>
      </w:r>
      <w:r w:rsidR="000D06FA">
        <w:t xml:space="preserve">The proposed measures in the Bill prevent the use of these structures to avoid tax.  </w:t>
      </w:r>
      <w:r w:rsidR="00832624">
        <w:t xml:space="preserve">While this is the correct economic outcome, officials recognise the </w:t>
      </w:r>
      <w:r w:rsidR="002C7328">
        <w:t>case for considering ways to reduce the difficulty</w:t>
      </w:r>
      <w:r w:rsidR="00832624">
        <w:t xml:space="preserve"> of meeting a tax cost from </w:t>
      </w:r>
      <w:r w:rsidR="00B13BB1">
        <w:t xml:space="preserve">receipt of </w:t>
      </w:r>
      <w:r w:rsidR="00832624">
        <w:t>illiquid shares.</w:t>
      </w:r>
    </w:p>
    <w:p w:rsidR="008F5247" w:rsidRDefault="008F5247" w:rsidP="00D90610">
      <w:pPr>
        <w:pStyle w:val="Chapter2"/>
        <w:numPr>
          <w:ilvl w:val="0"/>
          <w:numId w:val="0"/>
        </w:numPr>
        <w:ind w:left="851"/>
      </w:pPr>
    </w:p>
    <w:p w:rsidR="00A76AD1" w:rsidRDefault="00A76AD1" w:rsidP="00D90610">
      <w:pPr>
        <w:pStyle w:val="Chapter2"/>
        <w:numPr>
          <w:ilvl w:val="0"/>
          <w:numId w:val="0"/>
        </w:numPr>
        <w:ind w:left="851"/>
      </w:pPr>
    </w:p>
    <w:p w:rsidR="000A61E1" w:rsidRPr="00767394" w:rsidRDefault="00851618" w:rsidP="00C87C38">
      <w:pPr>
        <w:pStyle w:val="Heading1"/>
      </w:pPr>
      <w:bookmarkStart w:id="47" w:name="_Toc483225349"/>
      <w:bookmarkStart w:id="48" w:name="_Toc483815933"/>
      <w:r>
        <w:t xml:space="preserve">Self-help solution </w:t>
      </w:r>
      <w:r w:rsidR="002038AE">
        <w:rPr>
          <w:rFonts w:hint="eastAsia"/>
        </w:rPr>
        <w:t>–</w:t>
      </w:r>
      <w:r>
        <w:t xml:space="preserve"> l</w:t>
      </w:r>
      <w:r w:rsidR="000A61E1" w:rsidRPr="00767394">
        <w:t>ong-term options</w:t>
      </w:r>
      <w:bookmarkEnd w:id="47"/>
      <w:bookmarkEnd w:id="48"/>
    </w:p>
    <w:p w:rsidR="000A61E1" w:rsidRDefault="000A61E1" w:rsidP="000A61E1">
      <w:pPr>
        <w:pStyle w:val="Chapter2"/>
        <w:numPr>
          <w:ilvl w:val="0"/>
          <w:numId w:val="0"/>
        </w:numPr>
      </w:pPr>
    </w:p>
    <w:p w:rsidR="00A97CE9" w:rsidRDefault="000A61E1" w:rsidP="000A61E1">
      <w:pPr>
        <w:pStyle w:val="Chapter2"/>
      </w:pPr>
      <w:r>
        <w:t>Under current law, it is possible to</w:t>
      </w:r>
      <w:r w:rsidR="003F03C4">
        <w:t xml:space="preserve"> legitimately</w:t>
      </w:r>
      <w:r>
        <w:t xml:space="preserve"> structure an </w:t>
      </w:r>
      <w:r w:rsidR="000D06FA">
        <w:t xml:space="preserve">employee share scheme </w:t>
      </w:r>
      <w:r>
        <w:t>so that it has the practical effect of deferring the taxing point</w:t>
      </w:r>
      <w:r w:rsidR="003F03C4">
        <w:t xml:space="preserve"> – thus avoiding or minimising issues of liquidity and valuation</w:t>
      </w:r>
      <w:r>
        <w:t xml:space="preserve">.  This can be done by using </w:t>
      </w:r>
      <w:r w:rsidR="001A2750">
        <w:t xml:space="preserve">what is known as </w:t>
      </w:r>
      <w:r>
        <w:t xml:space="preserve">a </w:t>
      </w:r>
      <w:r w:rsidR="000D06FA">
        <w:t>long-</w:t>
      </w:r>
      <w:r>
        <w:t>dated option.</w:t>
      </w:r>
    </w:p>
    <w:p w:rsidR="00A97CE9" w:rsidRDefault="00A97CE9" w:rsidP="00BC1CD5">
      <w:pPr>
        <w:pStyle w:val="Chapter2"/>
        <w:numPr>
          <w:ilvl w:val="0"/>
          <w:numId w:val="0"/>
        </w:numPr>
        <w:ind w:left="851"/>
      </w:pPr>
    </w:p>
    <w:p w:rsidR="000A61E1" w:rsidRDefault="00F06E37" w:rsidP="000A61E1">
      <w:pPr>
        <w:pStyle w:val="Chapter2"/>
      </w:pPr>
      <w:r>
        <w:t xml:space="preserve">For example, if an employee is given an option which </w:t>
      </w:r>
      <w:r w:rsidR="00A97CE9">
        <w:t>expires in 20 years</w:t>
      </w:r>
      <w:r>
        <w:t xml:space="preserve">, the employee can defer the taxing point in relation to that option until the company has an </w:t>
      </w:r>
      <w:r w:rsidR="00F1544B">
        <w:t>initial public offering (</w:t>
      </w:r>
      <w:r>
        <w:t>IPO</w:t>
      </w:r>
      <w:r w:rsidR="00F1544B">
        <w:t>)</w:t>
      </w:r>
      <w:r>
        <w:t xml:space="preserve"> or the employee wishes to sell the shares.</w:t>
      </w:r>
      <w:r w:rsidR="00A97CE9">
        <w:t xml:space="preserve">  The employee can wait until that time to exercise the option.  The employee will then have income equal to the value of the shares at that time, less the option price. </w:t>
      </w:r>
      <w:r w:rsidR="00B21801">
        <w:t xml:space="preserve"> This avenue for avoiding cashflow and liquidity issues is not affected by the Bill.</w:t>
      </w:r>
    </w:p>
    <w:p w:rsidR="000A61E1" w:rsidRDefault="000A61E1" w:rsidP="000A61E1">
      <w:pPr>
        <w:pStyle w:val="Chapter2"/>
        <w:numPr>
          <w:ilvl w:val="0"/>
          <w:numId w:val="0"/>
        </w:numPr>
        <w:ind w:left="851"/>
      </w:pPr>
    </w:p>
    <w:p w:rsidR="000A61E1" w:rsidRDefault="000A61E1" w:rsidP="000A61E1">
      <w:pPr>
        <w:pStyle w:val="Chapter2"/>
      </w:pPr>
      <w:r>
        <w:t xml:space="preserve">However, submitters have said that option holders may not have the same sense of ownership as shareholders.  </w:t>
      </w:r>
      <w:r w:rsidR="00F06E37">
        <w:t>Option holders do not ordinarily have certain rights held by shareholders in a company</w:t>
      </w:r>
      <w:r w:rsidR="00721833">
        <w:t>, including the right to vote</w:t>
      </w:r>
      <w:r w:rsidR="000412F4">
        <w:t>.  S</w:t>
      </w:r>
      <w:r>
        <w:t>hare ownership is desirable as it aligns the employees’ motivations with the company’s.</w:t>
      </w:r>
    </w:p>
    <w:p w:rsidR="000D06FA" w:rsidRDefault="000D06FA" w:rsidP="00D90610">
      <w:pPr>
        <w:pStyle w:val="Chapter2"/>
        <w:numPr>
          <w:ilvl w:val="0"/>
          <w:numId w:val="0"/>
        </w:numPr>
        <w:ind w:left="851"/>
      </w:pPr>
    </w:p>
    <w:p w:rsidR="000D06FA" w:rsidRDefault="000D06FA" w:rsidP="000A61E1">
      <w:pPr>
        <w:pStyle w:val="Chapter2"/>
      </w:pPr>
      <w:r>
        <w:t xml:space="preserve">Submitters also explained that long-dated options </w:t>
      </w:r>
      <w:r w:rsidR="00B13BB1">
        <w:t xml:space="preserve">are undesirable from the perspective of other shareholders </w:t>
      </w:r>
      <w:r w:rsidR="001A2750">
        <w:t xml:space="preserve">and </w:t>
      </w:r>
      <w:r w:rsidR="00A97CE9">
        <w:t xml:space="preserve">may </w:t>
      </w:r>
      <w:r>
        <w:t xml:space="preserve">result in a significant accounting expense </w:t>
      </w:r>
      <w:r w:rsidR="00B13BB1">
        <w:t>for employers that have to comply with IFRS</w:t>
      </w:r>
      <w:r>
        <w:t>.</w:t>
      </w:r>
    </w:p>
    <w:p w:rsidR="000D06FA" w:rsidRDefault="000D06FA" w:rsidP="00D90610">
      <w:pPr>
        <w:pStyle w:val="Chapter2"/>
        <w:numPr>
          <w:ilvl w:val="0"/>
          <w:numId w:val="0"/>
        </w:numPr>
        <w:ind w:left="851"/>
      </w:pPr>
    </w:p>
    <w:p w:rsidR="000D06FA" w:rsidRDefault="000D06FA" w:rsidP="000A61E1">
      <w:pPr>
        <w:pStyle w:val="Chapter2"/>
      </w:pPr>
      <w:r>
        <w:t xml:space="preserve">Therefore submitters </w:t>
      </w:r>
      <w:r w:rsidR="001C04E6">
        <w:t>said</w:t>
      </w:r>
      <w:r>
        <w:t xml:space="preserve"> that, as a practical matter, many companies </w:t>
      </w:r>
      <w:r w:rsidR="00122583">
        <w:t xml:space="preserve">may </w:t>
      </w:r>
      <w:r>
        <w:t xml:space="preserve">not </w:t>
      </w:r>
      <w:r w:rsidR="00122583">
        <w:t xml:space="preserve">wish </w:t>
      </w:r>
      <w:r>
        <w:t xml:space="preserve">to take advantage of this self-help </w:t>
      </w:r>
      <w:r w:rsidR="00A97CE9">
        <w:t>solution</w:t>
      </w:r>
      <w:r>
        <w:t>.</w:t>
      </w:r>
    </w:p>
    <w:p w:rsidR="000A61E1" w:rsidRDefault="000A61E1">
      <w:pPr>
        <w:pStyle w:val="Chapter2"/>
        <w:numPr>
          <w:ilvl w:val="0"/>
          <w:numId w:val="0"/>
        </w:numPr>
      </w:pPr>
    </w:p>
    <w:p w:rsidR="00FE3495" w:rsidRDefault="00FE3495">
      <w:pPr>
        <w:jc w:val="left"/>
        <w:rPr>
          <w:b/>
          <w:snapToGrid w:val="0"/>
          <w:lang w:val="en-NZ" w:eastAsia="en-US"/>
        </w:rPr>
      </w:pPr>
      <w:r>
        <w:rPr>
          <w:b/>
        </w:rPr>
        <w:br w:type="page"/>
      </w:r>
    </w:p>
    <w:p w:rsidR="00FE3495" w:rsidRPr="00382E2E" w:rsidRDefault="00FE3495" w:rsidP="00FE3495">
      <w:pPr>
        <w:pStyle w:val="Chapterheading"/>
        <w:rPr>
          <w:lang w:val="en-NZ"/>
        </w:rPr>
      </w:pPr>
      <w:bookmarkStart w:id="49" w:name="_Toc477103272"/>
      <w:bookmarkStart w:id="50" w:name="_Toc477162773"/>
      <w:bookmarkStart w:id="51" w:name="_Toc478052509"/>
      <w:bookmarkStart w:id="52" w:name="_Toc480452355"/>
      <w:bookmarkStart w:id="53" w:name="_Toc480452466"/>
      <w:bookmarkStart w:id="54" w:name="_Toc480965205"/>
      <w:bookmarkStart w:id="55" w:name="_Toc481055658"/>
      <w:bookmarkStart w:id="56" w:name="_Toc481678559"/>
      <w:bookmarkStart w:id="57" w:name="_Toc483225350"/>
      <w:bookmarkStart w:id="58" w:name="_Toc483815934"/>
      <w:r w:rsidRPr="00382E2E">
        <w:rPr>
          <w:lang w:val="en-NZ"/>
        </w:rPr>
        <w:lastRenderedPageBreak/>
        <w:t xml:space="preserve">CHAPTER </w:t>
      </w:r>
      <w:r>
        <w:rPr>
          <w:lang w:val="en-NZ"/>
        </w:rPr>
        <w:t>3</w:t>
      </w:r>
      <w:bookmarkEnd w:id="49"/>
      <w:bookmarkEnd w:id="50"/>
      <w:bookmarkEnd w:id="51"/>
      <w:bookmarkEnd w:id="52"/>
      <w:bookmarkEnd w:id="53"/>
      <w:bookmarkEnd w:id="54"/>
      <w:bookmarkEnd w:id="55"/>
      <w:bookmarkEnd w:id="56"/>
      <w:bookmarkEnd w:id="57"/>
      <w:bookmarkEnd w:id="58"/>
    </w:p>
    <w:p w:rsidR="00FE3495" w:rsidRPr="00382E2E" w:rsidRDefault="00FE3495" w:rsidP="00FE3495">
      <w:pPr>
        <w:pStyle w:val="Chapterheading"/>
        <w:rPr>
          <w:lang w:val="en-NZ"/>
        </w:rPr>
      </w:pPr>
    </w:p>
    <w:p w:rsidR="00FE3495" w:rsidRPr="00A76AD1" w:rsidRDefault="00FE3495" w:rsidP="00FE3495">
      <w:pPr>
        <w:pStyle w:val="Chapterheading"/>
        <w:rPr>
          <w:rStyle w:val="ChapterheadingCharCharChar"/>
        </w:rPr>
      </w:pPr>
      <w:bookmarkStart w:id="59" w:name="_Toc483225351"/>
      <w:bookmarkStart w:id="60" w:name="_Toc483815935"/>
      <w:r w:rsidRPr="00A76AD1">
        <w:rPr>
          <w:rStyle w:val="ChapterheadingCharCharChar"/>
        </w:rPr>
        <w:t>Deferral regime for start-up companies</w:t>
      </w:r>
      <w:bookmarkEnd w:id="59"/>
      <w:bookmarkEnd w:id="60"/>
    </w:p>
    <w:p w:rsidR="00CD456C" w:rsidRDefault="00CD456C" w:rsidP="00D90610">
      <w:pPr>
        <w:pStyle w:val="Chapter3"/>
        <w:numPr>
          <w:ilvl w:val="0"/>
          <w:numId w:val="0"/>
        </w:numPr>
        <w:ind w:left="851"/>
      </w:pPr>
    </w:p>
    <w:p w:rsidR="00FE3495" w:rsidRDefault="00FE3495" w:rsidP="00D90610">
      <w:pPr>
        <w:pStyle w:val="Chapter3"/>
        <w:numPr>
          <w:ilvl w:val="0"/>
          <w:numId w:val="0"/>
        </w:numPr>
        <w:ind w:left="851"/>
      </w:pPr>
    </w:p>
    <w:p w:rsidR="00CD456C" w:rsidRDefault="00CD456C" w:rsidP="003A1221">
      <w:pPr>
        <w:pStyle w:val="Chapter3"/>
      </w:pPr>
      <w:r>
        <w:t xml:space="preserve">In </w:t>
      </w:r>
      <w:r w:rsidR="000D06FA">
        <w:t xml:space="preserve">the May </w:t>
      </w:r>
      <w:r w:rsidR="00F1544B">
        <w:t xml:space="preserve">2016 </w:t>
      </w:r>
      <w:r w:rsidR="00721833">
        <w:t>issues paper</w:t>
      </w:r>
      <w:r>
        <w:t>, we asked for submissions on the desirability of a regime which would allow employees in start-up companies to</w:t>
      </w:r>
      <w:r w:rsidR="00B410C8">
        <w:t xml:space="preserve"> elect</w:t>
      </w:r>
      <w:r>
        <w:t xml:space="preserve"> </w:t>
      </w:r>
      <w:r w:rsidR="00B410C8">
        <w:t xml:space="preserve">to </w:t>
      </w:r>
      <w:r>
        <w:t xml:space="preserve">defer the recognition of ESS income </w:t>
      </w:r>
      <w:r w:rsidR="00C82F40" w:rsidRPr="006B6AF5">
        <w:t>until there was a “liquidity event”</w:t>
      </w:r>
      <w:r w:rsidR="00C82F40">
        <w:t xml:space="preserve"> to fund the tax on the income </w:t>
      </w:r>
      <w:r w:rsidR="00C82F40" w:rsidRPr="006B6AF5">
        <w:t xml:space="preserve">(for example, </w:t>
      </w:r>
      <w:r w:rsidR="00C26A69">
        <w:t>when the shares are sold or listed</w:t>
      </w:r>
      <w:r w:rsidR="002917AA">
        <w:t xml:space="preserve"> or the assets of the company are sold </w:t>
      </w:r>
      <w:r w:rsidR="001A2750">
        <w:t>and the proceeds are distributed when the</w:t>
      </w:r>
      <w:r w:rsidR="002917AA">
        <w:t xml:space="preserve"> company </w:t>
      </w:r>
      <w:r w:rsidR="001A2750">
        <w:t xml:space="preserve">is </w:t>
      </w:r>
      <w:r w:rsidR="002917AA">
        <w:t>wound up</w:t>
      </w:r>
      <w:r w:rsidR="00C82F40" w:rsidRPr="006B6AF5">
        <w:t xml:space="preserve">).  </w:t>
      </w:r>
      <w:r w:rsidR="00C26A69">
        <w:t>T</w:t>
      </w:r>
      <w:r>
        <w:t>he employee would be taxed on the value of the shares at this time</w:t>
      </w:r>
      <w:r w:rsidR="00C82F40">
        <w:t>, less any amount the employee paid for them</w:t>
      </w:r>
      <w:r>
        <w:t xml:space="preserve"> (and the employer would be entitled to a corresponding deduction at that time).</w:t>
      </w:r>
    </w:p>
    <w:p w:rsidR="008E3D35" w:rsidRPr="006351DF" w:rsidRDefault="008E3D35" w:rsidP="00D90610">
      <w:pPr>
        <w:pStyle w:val="Chapter3"/>
        <w:numPr>
          <w:ilvl w:val="0"/>
          <w:numId w:val="0"/>
        </w:numPr>
        <w:ind w:left="851"/>
        <w:rPr>
          <w:sz w:val="20"/>
        </w:rPr>
      </w:pPr>
    </w:p>
    <w:p w:rsidR="008E3D35" w:rsidRDefault="008E3D35" w:rsidP="003A1221">
      <w:pPr>
        <w:pStyle w:val="Chapter3"/>
      </w:pPr>
      <w:r w:rsidRPr="008E3D35">
        <w:t xml:space="preserve">This would address both the </w:t>
      </w:r>
      <w:r w:rsidR="00C26A69">
        <w:t>valuation and liquidity issues.</w:t>
      </w:r>
      <w:r w:rsidRPr="008E3D35">
        <w:t xml:space="preserve"> </w:t>
      </w:r>
      <w:r w:rsidR="00C26A69">
        <w:t xml:space="preserve"> </w:t>
      </w:r>
      <w:r w:rsidR="00C6243F">
        <w:t>For example, a</w:t>
      </w:r>
      <w:r w:rsidRPr="008E3D35">
        <w:t xml:space="preserve">t the time the shares are </w:t>
      </w:r>
      <w:r w:rsidR="00C6243F">
        <w:t>listed</w:t>
      </w:r>
      <w:r w:rsidRPr="008E3D35">
        <w:t xml:space="preserve">, there is an established market value and the employee </w:t>
      </w:r>
      <w:r w:rsidR="00C6243F">
        <w:t xml:space="preserve">can sell some shares to get the </w:t>
      </w:r>
      <w:r w:rsidRPr="008E3D35">
        <w:t>cash with whic</w:t>
      </w:r>
      <w:r w:rsidR="00527ED5">
        <w:t>h to satisfy the tax liability.</w:t>
      </w:r>
    </w:p>
    <w:p w:rsidR="001308FD" w:rsidRPr="006351DF" w:rsidRDefault="001308FD">
      <w:pPr>
        <w:pStyle w:val="Chapter3"/>
        <w:numPr>
          <w:ilvl w:val="0"/>
          <w:numId w:val="0"/>
        </w:numPr>
        <w:rPr>
          <w:sz w:val="20"/>
        </w:rPr>
      </w:pPr>
    </w:p>
    <w:p w:rsidR="00BF602F" w:rsidRDefault="008E3D35" w:rsidP="003A1221">
      <w:pPr>
        <w:pStyle w:val="Chapter3"/>
      </w:pPr>
      <w:r>
        <w:t xml:space="preserve">Deferral of taxation yields </w:t>
      </w:r>
      <w:r w:rsidR="004C7B70">
        <w:t xml:space="preserve">an </w:t>
      </w:r>
      <w:r>
        <w:t>after-tax outcome for the employee</w:t>
      </w:r>
      <w:r w:rsidR="006C06F7">
        <w:t xml:space="preserve"> which </w:t>
      </w:r>
      <w:r w:rsidR="004C7B70">
        <w:t xml:space="preserve">is </w:t>
      </w:r>
      <w:r w:rsidR="006C06F7">
        <w:t xml:space="preserve">equivalent to </w:t>
      </w:r>
      <w:r w:rsidR="004718C1">
        <w:t>upfront taxation</w:t>
      </w:r>
      <w:r>
        <w:t>.  T</w:t>
      </w:r>
      <w:r w:rsidRPr="008E3D35">
        <w:t xml:space="preserve">he taxation of </w:t>
      </w:r>
      <w:r w:rsidR="001A2750">
        <w:t xml:space="preserve">the changing value of the share </w:t>
      </w:r>
      <w:r w:rsidR="00C54D04">
        <w:t>can be shown to be</w:t>
      </w:r>
      <w:r w:rsidRPr="008E3D35">
        <w:t xml:space="preserve"> equivalent to upfront taxation, without the attendant problems of valuation and cashflow</w:t>
      </w:r>
      <w:r w:rsidR="000412F4">
        <w:t>.  T</w:t>
      </w:r>
      <w:r w:rsidRPr="008E3D35">
        <w:t xml:space="preserve">he intuition is that scaling down the amount invested at the </w:t>
      </w:r>
      <w:r w:rsidR="004C7B70">
        <w:t>outset of the arrangement</w:t>
      </w:r>
      <w:r w:rsidR="004C7B70" w:rsidRPr="008E3D35" w:rsidDel="004C7B70">
        <w:t xml:space="preserve"> </w:t>
      </w:r>
      <w:r w:rsidRPr="008E3D35">
        <w:t xml:space="preserve">through taxation is equivalent to scaling down the benefits by the same percentage through taxation at a later time </w:t>
      </w:r>
      <w:r w:rsidR="004C7B70">
        <w:t>(that is, when there is</w:t>
      </w:r>
      <w:r w:rsidR="004C7B70" w:rsidRPr="008E3D35">
        <w:t xml:space="preserve"> </w:t>
      </w:r>
      <w:r w:rsidRPr="008E3D35">
        <w:t>a sale or listing of the shares</w:t>
      </w:r>
      <w:r w:rsidR="004C7B70">
        <w:t>)</w:t>
      </w:r>
      <w:r w:rsidRPr="008E3D35">
        <w:t>.</w:t>
      </w:r>
    </w:p>
    <w:p w:rsidR="00980487" w:rsidRPr="006351DF" w:rsidRDefault="00980487" w:rsidP="00980487">
      <w:pPr>
        <w:pStyle w:val="Chapter3"/>
        <w:numPr>
          <w:ilvl w:val="0"/>
          <w:numId w:val="0"/>
        </w:numPr>
        <w:ind w:left="851" w:hanging="851"/>
        <w:rPr>
          <w:sz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b/>
          <w:bCs/>
          <w:sz w:val="20"/>
          <w:szCs w:val="20"/>
        </w:rPr>
        <w:t>Example 1: Simple comparison of tax at issue and deferred tax</w:t>
      </w: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sz w:val="20"/>
          <w:szCs w:val="20"/>
        </w:rPr>
        <w:t>An employee receives $100 of wages, pays tax (or not if tax is deferred), and invests the after-tax proceeds in shares of the company</w:t>
      </w:r>
      <w:r w:rsidR="000412F4">
        <w:rPr>
          <w:sz w:val="20"/>
          <w:szCs w:val="20"/>
        </w:rPr>
        <w:t>.  S</w:t>
      </w:r>
      <w:r>
        <w:rPr>
          <w:sz w:val="20"/>
          <w:szCs w:val="20"/>
        </w:rPr>
        <w:t>uppose the share value increases by a factor of ten between the investment date and the date when the employee sells them.</w:t>
      </w:r>
    </w:p>
    <w:p w:rsidR="00980487" w:rsidRPr="006351DF" w:rsidRDefault="00980487" w:rsidP="00980487">
      <w:pPr>
        <w:pStyle w:val="Default"/>
        <w:pBdr>
          <w:top w:val="single" w:sz="4" w:space="10" w:color="auto"/>
          <w:left w:val="single" w:sz="4" w:space="10" w:color="auto"/>
          <w:bottom w:val="single" w:sz="4" w:space="10" w:color="auto"/>
          <w:right w:val="single" w:sz="4" w:space="10" w:color="auto"/>
        </w:pBdr>
        <w:jc w:val="both"/>
        <w:rPr>
          <w:bCs/>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b/>
          <w:bCs/>
          <w:sz w:val="20"/>
          <w:szCs w:val="20"/>
        </w:rPr>
        <w:t>Tax at issue</w:t>
      </w: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sz w:val="20"/>
          <w:szCs w:val="20"/>
        </w:rPr>
        <w:t xml:space="preserve">Tax of $33 is paid upfront, leaving an after-tax amount of $67 to be invested in shares of the company. </w:t>
      </w: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sz w:val="20"/>
          <w:szCs w:val="20"/>
        </w:rPr>
        <w:t>The shares go up 10 times to $670.</w:t>
      </w:r>
    </w:p>
    <w:p w:rsidR="00980487" w:rsidRPr="006351DF" w:rsidRDefault="00980487" w:rsidP="00980487">
      <w:pPr>
        <w:pStyle w:val="Default"/>
        <w:pBdr>
          <w:top w:val="single" w:sz="4" w:space="10" w:color="auto"/>
          <w:left w:val="single" w:sz="4" w:space="10" w:color="auto"/>
          <w:bottom w:val="single" w:sz="4" w:space="10" w:color="auto"/>
          <w:right w:val="single" w:sz="4" w:space="10" w:color="auto"/>
        </w:pBdr>
        <w:jc w:val="both"/>
        <w:rPr>
          <w:bCs/>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b/>
          <w:bCs/>
          <w:sz w:val="20"/>
          <w:szCs w:val="20"/>
        </w:rPr>
        <w:t>Deferred tax</w:t>
      </w: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sz w:val="20"/>
          <w:szCs w:val="20"/>
        </w:rPr>
        <w:t>No tax is paid upfront and $100 is invested in the shares of the company.</w:t>
      </w: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sz w:val="20"/>
          <w:szCs w:val="20"/>
        </w:rPr>
        <w:t>The shares go up 10 times to $1,000, and tax of $330 is paid when the shares are sold, leaving the same net position of $670.</w:t>
      </w:r>
    </w:p>
    <w:p w:rsidR="00980487" w:rsidRPr="006351DF" w:rsidRDefault="00980487" w:rsidP="00980487">
      <w:pPr>
        <w:pStyle w:val="Default"/>
        <w:pBdr>
          <w:top w:val="single" w:sz="4" w:space="10" w:color="auto"/>
          <w:left w:val="single" w:sz="4" w:space="10" w:color="auto"/>
          <w:bottom w:val="single" w:sz="4" w:space="10" w:color="auto"/>
          <w:right w:val="single" w:sz="4" w:space="10" w:color="auto"/>
        </w:pBdr>
        <w:jc w:val="both"/>
        <w:rPr>
          <w:bCs/>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b/>
          <w:bCs/>
          <w:sz w:val="20"/>
          <w:szCs w:val="20"/>
        </w:rPr>
        <w:t>Conclusions</w:t>
      </w: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lang w:val="en-GB" w:eastAsia="en-AU"/>
        </w:rPr>
      </w:pPr>
      <w:r>
        <w:rPr>
          <w:sz w:val="20"/>
          <w:szCs w:val="20"/>
        </w:rPr>
        <w:t>Tax at issue and deferred tax at sale are equivalent.</w:t>
      </w: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jc w:val="both"/>
        <w:rPr>
          <w:sz w:val="20"/>
          <w:szCs w:val="20"/>
        </w:rPr>
      </w:pPr>
      <w:r>
        <w:rPr>
          <w:sz w:val="20"/>
          <w:szCs w:val="20"/>
        </w:rPr>
        <w:t>Reducing the amount invested by 33% upfront is equivalent to reducing the proceeds by 33% at the end.</w:t>
      </w:r>
    </w:p>
    <w:p w:rsidR="006351DF" w:rsidRDefault="006351DF" w:rsidP="00980487">
      <w:pPr>
        <w:pStyle w:val="Default"/>
        <w:pBdr>
          <w:top w:val="single" w:sz="4" w:space="10" w:color="auto"/>
          <w:left w:val="single" w:sz="4" w:space="10" w:color="auto"/>
          <w:bottom w:val="single" w:sz="4" w:space="10" w:color="auto"/>
          <w:right w:val="single" w:sz="4" w:space="10" w:color="auto"/>
        </w:pBdr>
        <w:jc w:val="both"/>
        <w:rPr>
          <w:sz w:val="20"/>
        </w:rPr>
      </w:pPr>
    </w:p>
    <w:p w:rsidR="00980487" w:rsidRDefault="00980487" w:rsidP="00980487">
      <w:pPr>
        <w:pStyle w:val="Chapter3"/>
        <w:numPr>
          <w:ilvl w:val="0"/>
          <w:numId w:val="0"/>
        </w:numPr>
        <w:pBdr>
          <w:top w:val="single" w:sz="4" w:space="10" w:color="auto"/>
          <w:left w:val="single" w:sz="4" w:space="10" w:color="auto"/>
          <w:bottom w:val="single" w:sz="4" w:space="10" w:color="auto"/>
          <w:right w:val="single" w:sz="4" w:space="10" w:color="auto"/>
        </w:pBdr>
      </w:pPr>
      <w:r>
        <w:rPr>
          <w:sz w:val="20"/>
        </w:rPr>
        <w:t>The small amount of tax of $33 upfront leaves the employee in the same net position as the large amount of tax of $330 at the end.</w:t>
      </w:r>
    </w:p>
    <w:p w:rsidR="00D0000E" w:rsidRDefault="00D0000E" w:rsidP="00D90610">
      <w:pPr>
        <w:pStyle w:val="Chapter3"/>
        <w:numPr>
          <w:ilvl w:val="0"/>
          <w:numId w:val="0"/>
        </w:numPr>
        <w:ind w:left="851"/>
      </w:pPr>
    </w:p>
    <w:p w:rsidR="00C26A69" w:rsidRDefault="00DE065E" w:rsidP="003A1221">
      <w:pPr>
        <w:pStyle w:val="Chapter3"/>
      </w:pPr>
      <w:r w:rsidRPr="00220E84">
        <w:t>Under a deferral regime, f</w:t>
      </w:r>
      <w:r w:rsidR="00BF602F" w:rsidRPr="00220E84">
        <w:t>rom the moment that a liquidity event has occurred</w:t>
      </w:r>
      <w:r w:rsidR="00383894">
        <w:t xml:space="preserve"> and the employee’s taxable income is calculated</w:t>
      </w:r>
      <w:r w:rsidR="00BF602F" w:rsidRPr="00220E84">
        <w:t>, the employee w</w:t>
      </w:r>
      <w:r w:rsidR="00C26A69" w:rsidRPr="00220E84">
        <w:t>ould</w:t>
      </w:r>
      <w:r w:rsidR="00BF602F" w:rsidRPr="00220E84">
        <w:t xml:space="preserve"> hold the shares </w:t>
      </w:r>
      <w:r w:rsidR="00626A85">
        <w:t>on the same basis as any other shareholder – that is, based on their specific circumstances they may hold the shares on capital account</w:t>
      </w:r>
      <w:r w:rsidR="00BF602F" w:rsidRPr="00220E84">
        <w:t>.  For example</w:t>
      </w:r>
      <w:r w:rsidR="000F3CC8">
        <w:t>,</w:t>
      </w:r>
      <w:r w:rsidR="00BF602F" w:rsidRPr="00220E84">
        <w:t xml:space="preserve"> if an employee continues to hold the shares after an IPO, </w:t>
      </w:r>
      <w:r w:rsidR="00626A85">
        <w:t>and did not acquire the shares for the purpose of disposal</w:t>
      </w:r>
      <w:r w:rsidR="00626A85" w:rsidRPr="00220E84">
        <w:t xml:space="preserve">, then only the </w:t>
      </w:r>
      <w:r w:rsidR="00626A85">
        <w:t>increase in value</w:t>
      </w:r>
      <w:r w:rsidR="00626A85" w:rsidRPr="00220E84">
        <w:t xml:space="preserve"> </w:t>
      </w:r>
      <w:r w:rsidR="00626A85">
        <w:t>arising</w:t>
      </w:r>
      <w:r w:rsidR="00626A85" w:rsidRPr="00220E84">
        <w:t xml:space="preserve"> between </w:t>
      </w:r>
      <w:r w:rsidR="00626A85">
        <w:t xml:space="preserve">the time </w:t>
      </w:r>
      <w:r w:rsidR="00C26A69" w:rsidRPr="00220E84">
        <w:t xml:space="preserve">the shares or options were granted and </w:t>
      </w:r>
      <w:r w:rsidR="00CF6100">
        <w:t xml:space="preserve">when </w:t>
      </w:r>
      <w:r w:rsidR="00C26A69" w:rsidRPr="00220E84">
        <w:t xml:space="preserve">the shares are listed would be taxed.  If the shares continued to increase in value after the IPO, those gains would </w:t>
      </w:r>
      <w:r w:rsidRPr="00220E84">
        <w:t>in most cases be</w:t>
      </w:r>
      <w:r w:rsidR="00C26A69" w:rsidRPr="00220E84">
        <w:t xml:space="preserve"> tax-free capital gains.</w:t>
      </w:r>
    </w:p>
    <w:p w:rsidR="00980487" w:rsidRDefault="00980487" w:rsidP="00980487">
      <w:pPr>
        <w:pStyle w:val="Chapter3"/>
        <w:numPr>
          <w:ilvl w:val="0"/>
          <w:numId w:val="0"/>
        </w:numPr>
        <w:ind w:left="851" w:hanging="851"/>
      </w:pPr>
    </w:p>
    <w:p w:rsidR="00980487" w:rsidRPr="00220E84" w:rsidRDefault="00980487" w:rsidP="00980487">
      <w:pPr>
        <w:pStyle w:val="Chapter3"/>
        <w:numPr>
          <w:ilvl w:val="0"/>
          <w:numId w:val="0"/>
        </w:numPr>
        <w:ind w:left="851" w:hanging="851"/>
      </w:pP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rPr>
          <w:bCs/>
          <w:sz w:val="20"/>
          <w:szCs w:val="20"/>
        </w:rPr>
      </w:pPr>
      <w:r>
        <w:rPr>
          <w:b/>
          <w:bCs/>
          <w:sz w:val="20"/>
          <w:szCs w:val="20"/>
        </w:rPr>
        <w:t>Example 2: Deferral of t</w:t>
      </w:r>
      <w:r>
        <w:rPr>
          <w:b/>
          <w:sz w:val="20"/>
        </w:rPr>
        <w:t>ax on exercising options</w:t>
      </w: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r w:rsidRPr="006D636A">
        <w:rPr>
          <w:sz w:val="20"/>
          <w:szCs w:val="20"/>
        </w:rPr>
        <w:t xml:space="preserve">An employee </w:t>
      </w:r>
      <w:r>
        <w:rPr>
          <w:sz w:val="20"/>
          <w:szCs w:val="20"/>
        </w:rPr>
        <w:t>has options to acquire 10,000 shares in the company for $1 per share.  The option can be exercised once the employee has been working for three years, and the option does not expire for a further two years.</w:t>
      </w: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r>
        <w:rPr>
          <w:sz w:val="20"/>
          <w:szCs w:val="20"/>
        </w:rPr>
        <w:t>The employee exercises their options for $10,000 five years after they are granted.  As there is no secondary market for the shares it is difficult to establish their market value.  An election has been made to defer the tax on shares issued under the ESS.</w:t>
      </w: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r>
        <w:rPr>
          <w:sz w:val="20"/>
          <w:szCs w:val="20"/>
        </w:rPr>
        <w:t>At the end of year six the company is listed with a share price of $5 per share.  This ends the deferral period and the employee is taxed on income of $40,000 ($50,000 of shares less the $10,000 purchase price).</w:t>
      </w: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p>
    <w:p w:rsidR="00980487" w:rsidRDefault="00980487" w:rsidP="00980487">
      <w:pPr>
        <w:pStyle w:val="Default"/>
        <w:pBdr>
          <w:top w:val="single" w:sz="4" w:space="10" w:color="auto"/>
          <w:left w:val="single" w:sz="4" w:space="10" w:color="auto"/>
          <w:bottom w:val="single" w:sz="4" w:space="10" w:color="auto"/>
          <w:right w:val="single" w:sz="4" w:space="10" w:color="auto"/>
        </w:pBdr>
        <w:ind w:left="194"/>
        <w:jc w:val="both"/>
        <w:rPr>
          <w:sz w:val="20"/>
          <w:szCs w:val="20"/>
        </w:rPr>
      </w:pPr>
      <w:r>
        <w:rPr>
          <w:sz w:val="20"/>
          <w:szCs w:val="20"/>
        </w:rPr>
        <w:t>The employee sells 500 shares a year later for $7 per share.  In most cases there will be no tax to pay, as the shares are held as a capital asset.</w:t>
      </w:r>
    </w:p>
    <w:p w:rsidR="00980487" w:rsidRPr="003A1221" w:rsidRDefault="00980487" w:rsidP="00B13BB1">
      <w:pPr>
        <w:pStyle w:val="Chapter3"/>
        <w:numPr>
          <w:ilvl w:val="0"/>
          <w:numId w:val="0"/>
        </w:numPr>
        <w:ind w:left="851"/>
      </w:pPr>
    </w:p>
    <w:p w:rsidR="00CB7608" w:rsidRDefault="00CB7608" w:rsidP="00D90610">
      <w:pPr>
        <w:pStyle w:val="Chapter3"/>
        <w:numPr>
          <w:ilvl w:val="0"/>
          <w:numId w:val="0"/>
        </w:numPr>
        <w:ind w:left="851"/>
      </w:pPr>
    </w:p>
    <w:p w:rsidR="00241F87" w:rsidRPr="009746A0" w:rsidRDefault="00241F87" w:rsidP="00241F87">
      <w:pPr>
        <w:pStyle w:val="Heading1"/>
      </w:pPr>
      <w:bookmarkStart w:id="61" w:name="_Toc483225352"/>
      <w:bookmarkStart w:id="62" w:name="_Toc483815936"/>
      <w:r w:rsidRPr="009746A0">
        <w:t>Forfeiture of tax losses for employers</w:t>
      </w:r>
      <w:bookmarkEnd w:id="61"/>
      <w:bookmarkEnd w:id="62"/>
    </w:p>
    <w:p w:rsidR="00CB7608" w:rsidRPr="009746A0" w:rsidRDefault="00CB7608" w:rsidP="00D90610">
      <w:pPr>
        <w:pStyle w:val="Chapter3"/>
        <w:numPr>
          <w:ilvl w:val="0"/>
          <w:numId w:val="0"/>
        </w:numPr>
        <w:ind w:left="851"/>
      </w:pPr>
    </w:p>
    <w:p w:rsidR="00241F87" w:rsidRDefault="00241F87" w:rsidP="00BC1CD5">
      <w:pPr>
        <w:pStyle w:val="Chapter3"/>
      </w:pPr>
      <w:r>
        <w:t>Start-up companies generally generate unusable tax losses in their early years of operation, only to forfeit these losses when third party investors buy a stake in the company (because they lose shareholder continuity at that point).  It is also a</w:t>
      </w:r>
      <w:r w:rsidR="002917AA">
        <w:t>f</w:t>
      </w:r>
      <w:r>
        <w:t>t</w:t>
      </w:r>
      <w:r w:rsidR="002917AA">
        <w:t>er</w:t>
      </w:r>
      <w:r>
        <w:t xml:space="preserve"> this point in time when companies are likely to be generating a net profit and would like to be able to use the earlier carried forward losses to reduce their current year tax bill.</w:t>
      </w:r>
    </w:p>
    <w:p w:rsidR="00241F87" w:rsidRDefault="00241F87" w:rsidP="00D90610">
      <w:pPr>
        <w:pStyle w:val="Chapter3"/>
        <w:numPr>
          <w:ilvl w:val="0"/>
          <w:numId w:val="0"/>
        </w:numPr>
        <w:ind w:left="851"/>
      </w:pPr>
    </w:p>
    <w:p w:rsidR="00241F87" w:rsidRDefault="00241F87" w:rsidP="00BC1CD5">
      <w:pPr>
        <w:pStyle w:val="Chapter3"/>
      </w:pPr>
      <w:r>
        <w:t xml:space="preserve">Therefore, allowing employers a tax deduction for </w:t>
      </w:r>
      <w:r w:rsidR="000F3CC8">
        <w:t>ESS</w:t>
      </w:r>
      <w:r>
        <w:t xml:space="preserve"> benefits at an early stage in the company’s life cycle </w:t>
      </w:r>
      <w:r w:rsidR="00B21801">
        <w:t xml:space="preserve">may not </w:t>
      </w:r>
      <w:r>
        <w:t>be particularly beneficial for start-up companies who often expect to forfeit their tax losses at some stage.</w:t>
      </w:r>
    </w:p>
    <w:p w:rsidR="00241F87" w:rsidRDefault="00241F87" w:rsidP="00D90610">
      <w:pPr>
        <w:pStyle w:val="Chapter3"/>
        <w:numPr>
          <w:ilvl w:val="0"/>
          <w:numId w:val="0"/>
        </w:numPr>
        <w:ind w:left="851"/>
      </w:pPr>
    </w:p>
    <w:p w:rsidR="00241F87" w:rsidRDefault="00241F87" w:rsidP="00BC1CD5">
      <w:pPr>
        <w:pStyle w:val="Chapter3"/>
      </w:pPr>
      <w:r>
        <w:t xml:space="preserve">The ability to defer the taxing point for </w:t>
      </w:r>
      <w:r w:rsidR="000F3CC8">
        <w:t>ESS</w:t>
      </w:r>
      <w:r>
        <w:t xml:space="preserve"> benefits and the associated tax deduction to a time when they are more likely to be able to use the deduction is likely to be attractive for start-up companies.  On the basis that tax deferral applies to deductions as well as income, a deferral scheme may be useful </w:t>
      </w:r>
      <w:r w:rsidR="00BC1CD5">
        <w:t xml:space="preserve">to </w:t>
      </w:r>
      <w:r>
        <w:t>employers directly</w:t>
      </w:r>
      <w:r w:rsidR="00007396">
        <w:t>.</w:t>
      </w:r>
    </w:p>
    <w:p w:rsidR="006351DF" w:rsidRDefault="006351DF" w:rsidP="006351DF">
      <w:pPr>
        <w:pStyle w:val="Chapter3"/>
        <w:numPr>
          <w:ilvl w:val="0"/>
          <w:numId w:val="0"/>
        </w:numPr>
        <w:ind w:left="851"/>
      </w:pPr>
    </w:p>
    <w:p w:rsidR="006351DF" w:rsidRDefault="006351DF">
      <w:pPr>
        <w:jc w:val="left"/>
        <w:rPr>
          <w:rFonts w:ascii="Times New Roman Bold" w:hAnsi="Times New Roman Bold"/>
          <w:b/>
          <w:kern w:val="28"/>
          <w:szCs w:val="24"/>
        </w:rPr>
      </w:pPr>
      <w:r>
        <w:br w:type="page"/>
      </w:r>
    </w:p>
    <w:p w:rsidR="00C6243F" w:rsidRDefault="00C6243F" w:rsidP="00D90610">
      <w:pPr>
        <w:pStyle w:val="Heading1"/>
      </w:pPr>
      <w:bookmarkStart w:id="63" w:name="_Toc483225353"/>
      <w:bookmarkStart w:id="64" w:name="_Toc483815937"/>
      <w:r>
        <w:lastRenderedPageBreak/>
        <w:t>Other possibilities</w:t>
      </w:r>
      <w:bookmarkEnd w:id="63"/>
      <w:bookmarkEnd w:id="64"/>
    </w:p>
    <w:p w:rsidR="00C6243F" w:rsidRDefault="00C6243F" w:rsidP="00D90610">
      <w:pPr>
        <w:pStyle w:val="Chapter3"/>
        <w:numPr>
          <w:ilvl w:val="0"/>
          <w:numId w:val="0"/>
        </w:numPr>
        <w:ind w:left="851"/>
      </w:pPr>
    </w:p>
    <w:p w:rsidR="00C6243F" w:rsidRDefault="00C6243F" w:rsidP="00BC1CD5">
      <w:pPr>
        <w:pStyle w:val="Chapter3"/>
        <w:rPr>
          <w:szCs w:val="24"/>
        </w:rPr>
      </w:pPr>
      <w:r>
        <w:rPr>
          <w:szCs w:val="24"/>
        </w:rPr>
        <w:t>There are at least two other possible approaches that could be taken to deal with the issues faced by start-up co</w:t>
      </w:r>
      <w:r w:rsidR="00527ED5">
        <w:rPr>
          <w:szCs w:val="24"/>
        </w:rPr>
        <w:t>mpanies.</w:t>
      </w:r>
    </w:p>
    <w:p w:rsidR="00131901" w:rsidRDefault="00131901" w:rsidP="00BC1CD5">
      <w:pPr>
        <w:pStyle w:val="Chapter3"/>
        <w:numPr>
          <w:ilvl w:val="0"/>
          <w:numId w:val="0"/>
        </w:numPr>
        <w:ind w:left="851" w:hanging="851"/>
        <w:rPr>
          <w:i/>
          <w:szCs w:val="24"/>
        </w:rPr>
      </w:pPr>
    </w:p>
    <w:p w:rsidR="00131901" w:rsidRDefault="00131901" w:rsidP="00BC1CD5">
      <w:pPr>
        <w:pStyle w:val="Heading2"/>
      </w:pPr>
      <w:bookmarkStart w:id="65" w:name="_Toc483225354"/>
      <w:r>
        <w:t>Non-deductible and non-assessable approach</w:t>
      </w:r>
      <w:bookmarkEnd w:id="65"/>
    </w:p>
    <w:p w:rsidR="00131901" w:rsidRDefault="00131901" w:rsidP="00D90610">
      <w:pPr>
        <w:pStyle w:val="Chapter3"/>
        <w:numPr>
          <w:ilvl w:val="0"/>
          <w:numId w:val="0"/>
        </w:numPr>
        <w:ind w:left="851"/>
      </w:pPr>
    </w:p>
    <w:p w:rsidR="00131901" w:rsidRDefault="004E4A88" w:rsidP="00777DAA">
      <w:pPr>
        <w:pStyle w:val="Chapter3"/>
      </w:pPr>
      <w:r w:rsidRPr="004E4A88">
        <w:t xml:space="preserve">One approach would be to exempt the income and deny a deduction.  This is the approach taken for widely offered </w:t>
      </w:r>
      <w:r w:rsidR="00721833">
        <w:t xml:space="preserve">share </w:t>
      </w:r>
      <w:r w:rsidRPr="004E4A88">
        <w:t xml:space="preserve">schemes.  It is concessional compared </w:t>
      </w:r>
      <w:r w:rsidR="000F3CC8">
        <w:t>with</w:t>
      </w:r>
      <w:r w:rsidRPr="004E4A88">
        <w:t xml:space="preserve"> the tax treatment of other forms of remuneration in two respects.  First, insofar as the employee’s marginal rate is higher than the corporate rate</w:t>
      </w:r>
      <w:r w:rsidR="00721833">
        <w:t xml:space="preserve"> and s</w:t>
      </w:r>
      <w:r w:rsidRPr="004E4A88">
        <w:t>econd, where the employer is in tax loss.  As to the first of these, while at 5% the current margin is not particularly high, it is possible that may change in the future.  Accordingly, we do not propose to extend this treatment beyond the ambit of the widely offered schemes.  As to the second,</w:t>
      </w:r>
      <w:r w:rsidR="00777DAA" w:rsidRPr="00777DAA">
        <w:t xml:space="preserve"> because the ESS benefits may be relatively significant, it does not seem appropriate to treat them as non-assessable to the employee, even if deductions were denied to the employer</w:t>
      </w:r>
      <w:r w:rsidR="000412F4">
        <w:t>.  O</w:t>
      </w:r>
      <w:r w:rsidR="002917AA">
        <w:t>fficials</w:t>
      </w:r>
      <w:r w:rsidRPr="004E4A88">
        <w:t xml:space="preserve"> believe </w:t>
      </w:r>
      <w:r w:rsidR="002917AA">
        <w:t>the</w:t>
      </w:r>
      <w:r w:rsidRPr="004E4A88">
        <w:t xml:space="preserve"> deferral proposal is a preferable solution to the issues faced by loss companies.</w:t>
      </w:r>
    </w:p>
    <w:p w:rsidR="004E4A88" w:rsidRDefault="004E4A88" w:rsidP="004E4A88">
      <w:pPr>
        <w:pStyle w:val="Chapter3"/>
        <w:numPr>
          <w:ilvl w:val="0"/>
          <w:numId w:val="0"/>
        </w:numPr>
      </w:pPr>
    </w:p>
    <w:p w:rsidR="00131901" w:rsidRPr="00131901" w:rsidRDefault="00131901" w:rsidP="00BC1CD5">
      <w:pPr>
        <w:pStyle w:val="Heading2"/>
      </w:pPr>
      <w:bookmarkStart w:id="66" w:name="_Toc483225355"/>
      <w:r>
        <w:t>Cashing out losses</w:t>
      </w:r>
      <w:bookmarkEnd w:id="66"/>
    </w:p>
    <w:p w:rsidR="00C6243F" w:rsidRDefault="00C6243F" w:rsidP="00BC1CD5">
      <w:pPr>
        <w:pStyle w:val="Chapter3"/>
        <w:numPr>
          <w:ilvl w:val="0"/>
          <w:numId w:val="0"/>
        </w:numPr>
        <w:rPr>
          <w:szCs w:val="24"/>
        </w:rPr>
      </w:pPr>
    </w:p>
    <w:p w:rsidR="00131901" w:rsidRPr="00131901" w:rsidRDefault="004E4A88" w:rsidP="00BC1CD5">
      <w:pPr>
        <w:pStyle w:val="Chapter3"/>
        <w:rPr>
          <w:szCs w:val="24"/>
        </w:rPr>
      </w:pPr>
      <w:r>
        <w:rPr>
          <w:szCs w:val="24"/>
        </w:rPr>
        <w:t>A second approach would be to cash out the ESS deduction in the case of a loss making company.  This would eliminate the rate differential issue, assuming the cash out is at a 28% rate.  It would provide the company with most of the money requi</w:t>
      </w:r>
      <w:r w:rsidR="007465A2">
        <w:rPr>
          <w:szCs w:val="24"/>
        </w:rPr>
        <w:t>red to pay PAYE or a cash gross-</w:t>
      </w:r>
      <w:r>
        <w:rPr>
          <w:szCs w:val="24"/>
        </w:rPr>
        <w:t>up pa</w:t>
      </w:r>
      <w:r w:rsidR="00654463">
        <w:rPr>
          <w:szCs w:val="24"/>
        </w:rPr>
        <w:t>id</w:t>
      </w:r>
      <w:r>
        <w:rPr>
          <w:szCs w:val="24"/>
        </w:rPr>
        <w:t xml:space="preserve"> to the employee.  Again, however, it would be a significant departure from our current taxation of employment remuneration.  Currently, losses are able to be cashed out </w:t>
      </w:r>
      <w:r w:rsidR="002917AA">
        <w:rPr>
          <w:szCs w:val="24"/>
        </w:rPr>
        <w:t xml:space="preserve">only </w:t>
      </w:r>
      <w:r>
        <w:rPr>
          <w:szCs w:val="24"/>
        </w:rPr>
        <w:t xml:space="preserve">where the R&amp;D </w:t>
      </w:r>
      <w:r w:rsidR="007465A2">
        <w:rPr>
          <w:szCs w:val="24"/>
        </w:rPr>
        <w:t xml:space="preserve">loss tax credit regime </w:t>
      </w:r>
      <w:r>
        <w:rPr>
          <w:szCs w:val="24"/>
        </w:rPr>
        <w:t>applies.  We propose to ensure this applies to ESS benefits like other forms of remuneration.  It does not seem appropriate from a policy perspective to allow a cash out to apply to a certain form of remuneration and not to other expenses.</w:t>
      </w:r>
    </w:p>
    <w:p w:rsidR="00CC61D4" w:rsidRDefault="00CC61D4">
      <w:pPr>
        <w:pStyle w:val="Chapter3"/>
        <w:numPr>
          <w:ilvl w:val="0"/>
          <w:numId w:val="0"/>
        </w:numPr>
      </w:pPr>
    </w:p>
    <w:p w:rsidR="00636511" w:rsidRDefault="00636511">
      <w:pPr>
        <w:pStyle w:val="Chapter3"/>
        <w:numPr>
          <w:ilvl w:val="0"/>
          <w:numId w:val="0"/>
        </w:numPr>
      </w:pPr>
    </w:p>
    <w:p w:rsidR="00980487" w:rsidRDefault="00980487" w:rsidP="00980487">
      <w:pPr>
        <w:pBdr>
          <w:top w:val="single" w:sz="4" w:space="10" w:color="auto"/>
          <w:left w:val="single" w:sz="4" w:space="10" w:color="auto"/>
          <w:bottom w:val="single" w:sz="4" w:space="10" w:color="auto"/>
          <w:right w:val="single" w:sz="4" w:space="10" w:color="auto"/>
        </w:pBdr>
        <w:ind w:left="140"/>
        <w:jc w:val="left"/>
        <w:rPr>
          <w:b/>
        </w:rPr>
      </w:pPr>
      <w:r w:rsidRPr="001973AC">
        <w:rPr>
          <w:b/>
        </w:rPr>
        <w:t>Submission point</w:t>
      </w:r>
      <w:r>
        <w:rPr>
          <w:b/>
        </w:rPr>
        <w:t>s</w:t>
      </w:r>
    </w:p>
    <w:p w:rsidR="00636511" w:rsidRPr="001973AC" w:rsidRDefault="00636511" w:rsidP="00980487">
      <w:pPr>
        <w:pBdr>
          <w:top w:val="single" w:sz="4" w:space="10" w:color="auto"/>
          <w:left w:val="single" w:sz="4" w:space="10" w:color="auto"/>
          <w:bottom w:val="single" w:sz="4" w:space="10" w:color="auto"/>
          <w:right w:val="single" w:sz="4" w:space="10" w:color="auto"/>
        </w:pBdr>
        <w:ind w:left="140"/>
        <w:jc w:val="left"/>
      </w:pPr>
    </w:p>
    <w:p w:rsidR="006351DF" w:rsidRDefault="00EB21F6" w:rsidP="00980487">
      <w:pPr>
        <w:pBdr>
          <w:top w:val="single" w:sz="4" w:space="10" w:color="auto"/>
          <w:left w:val="single" w:sz="4" w:space="10" w:color="auto"/>
          <w:bottom w:val="single" w:sz="4" w:space="10" w:color="auto"/>
          <w:right w:val="single" w:sz="4" w:space="10" w:color="auto"/>
        </w:pBdr>
        <w:ind w:left="140"/>
        <w:jc w:val="left"/>
        <w:rPr>
          <w:szCs w:val="24"/>
        </w:rPr>
      </w:pPr>
      <w:r>
        <w:rPr>
          <w:szCs w:val="24"/>
        </w:rPr>
        <w:sym w:font="Wingdings" w:char="F09F"/>
      </w:r>
      <w:r w:rsidR="006351DF" w:rsidRPr="006351DF">
        <w:rPr>
          <w:szCs w:val="24"/>
        </w:rPr>
        <w:tab/>
      </w:r>
      <w:r w:rsidR="00636511">
        <w:rPr>
          <w:szCs w:val="24"/>
        </w:rPr>
        <w:t>D</w:t>
      </w:r>
      <w:r w:rsidR="006351DF">
        <w:rPr>
          <w:szCs w:val="24"/>
        </w:rPr>
        <w:t>o submitters think a deferral regime would be attractive to employers?</w:t>
      </w:r>
    </w:p>
    <w:p w:rsidR="00636511" w:rsidRDefault="00636511" w:rsidP="00980487">
      <w:pPr>
        <w:pBdr>
          <w:top w:val="single" w:sz="4" w:space="10" w:color="auto"/>
          <w:left w:val="single" w:sz="4" w:space="10" w:color="auto"/>
          <w:bottom w:val="single" w:sz="4" w:space="10" w:color="auto"/>
          <w:right w:val="single" w:sz="4" w:space="10" w:color="auto"/>
        </w:pBdr>
        <w:ind w:left="140"/>
        <w:jc w:val="left"/>
        <w:rPr>
          <w:szCs w:val="24"/>
        </w:rPr>
      </w:pPr>
    </w:p>
    <w:p w:rsidR="00980487" w:rsidRPr="000344A6" w:rsidRDefault="00EB21F6" w:rsidP="00636511">
      <w:pPr>
        <w:pBdr>
          <w:top w:val="single" w:sz="4" w:space="10" w:color="auto"/>
          <w:left w:val="single" w:sz="4" w:space="10" w:color="auto"/>
          <w:bottom w:val="single" w:sz="4" w:space="10" w:color="auto"/>
          <w:right w:val="single" w:sz="4" w:space="10" w:color="auto"/>
        </w:pBdr>
        <w:ind w:left="709" w:hanging="569"/>
        <w:jc w:val="left"/>
        <w:rPr>
          <w:szCs w:val="24"/>
        </w:rPr>
      </w:pPr>
      <w:r>
        <w:rPr>
          <w:szCs w:val="24"/>
        </w:rPr>
        <w:sym w:font="Wingdings" w:char="F09F"/>
      </w:r>
      <w:r w:rsidR="00636511" w:rsidRPr="006351DF">
        <w:rPr>
          <w:szCs w:val="24"/>
        </w:rPr>
        <w:tab/>
      </w:r>
      <w:r w:rsidR="00636511">
        <w:rPr>
          <w:szCs w:val="24"/>
        </w:rPr>
        <w:t>Is there any alternative arrangement that would be attractive to companies and would not result in under-taxation?</w:t>
      </w:r>
    </w:p>
    <w:p w:rsidR="00EF3129" w:rsidRDefault="00CC61D4">
      <w:pPr>
        <w:jc w:val="left"/>
        <w:rPr>
          <w:lang w:val="en-NZ"/>
        </w:rPr>
      </w:pPr>
      <w:r>
        <w:rPr>
          <w:lang w:val="en-NZ"/>
        </w:rPr>
        <w:br w:type="page"/>
      </w:r>
      <w:r w:rsidR="00EF3129">
        <w:rPr>
          <w:lang w:val="en-NZ"/>
        </w:rPr>
        <w:lastRenderedPageBreak/>
        <w:br w:type="page"/>
      </w:r>
    </w:p>
    <w:p w:rsidR="00CC61D4" w:rsidRDefault="00CC61D4">
      <w:pPr>
        <w:jc w:val="left"/>
        <w:rPr>
          <w:rFonts w:ascii="Times New Roman Bold" w:hAnsi="Times New Roman Bold"/>
          <w:b/>
          <w:bCs/>
          <w:caps/>
          <w:sz w:val="28"/>
          <w:szCs w:val="28"/>
          <w:lang w:val="en-NZ"/>
        </w:rPr>
      </w:pPr>
    </w:p>
    <w:p w:rsidR="006D5FC9" w:rsidRPr="00382E2E" w:rsidRDefault="006D5FC9" w:rsidP="006D5FC9">
      <w:pPr>
        <w:pStyle w:val="Chapterheading"/>
        <w:rPr>
          <w:lang w:val="en-NZ"/>
        </w:rPr>
      </w:pPr>
      <w:bookmarkStart w:id="67" w:name="_Toc477103274"/>
      <w:bookmarkStart w:id="68" w:name="_Toc477162775"/>
      <w:bookmarkStart w:id="69" w:name="_Toc478052511"/>
      <w:bookmarkStart w:id="70" w:name="_Toc480452360"/>
      <w:bookmarkStart w:id="71" w:name="_Toc480452471"/>
      <w:bookmarkStart w:id="72" w:name="_Toc480965210"/>
      <w:bookmarkStart w:id="73" w:name="_Toc481055663"/>
      <w:bookmarkStart w:id="74" w:name="_Toc481678564"/>
      <w:bookmarkStart w:id="75" w:name="_Toc483225356"/>
      <w:bookmarkStart w:id="76" w:name="_Toc483815938"/>
      <w:r w:rsidRPr="00382E2E">
        <w:rPr>
          <w:lang w:val="en-NZ"/>
        </w:rPr>
        <w:t xml:space="preserve">CHAPTER </w:t>
      </w:r>
      <w:r w:rsidR="00FE3495">
        <w:rPr>
          <w:lang w:val="en-NZ"/>
        </w:rPr>
        <w:t>4</w:t>
      </w:r>
      <w:bookmarkEnd w:id="67"/>
      <w:bookmarkEnd w:id="68"/>
      <w:bookmarkEnd w:id="69"/>
      <w:bookmarkEnd w:id="70"/>
      <w:bookmarkEnd w:id="71"/>
      <w:bookmarkEnd w:id="72"/>
      <w:bookmarkEnd w:id="73"/>
      <w:bookmarkEnd w:id="74"/>
      <w:bookmarkEnd w:id="75"/>
      <w:bookmarkEnd w:id="76"/>
    </w:p>
    <w:p w:rsidR="006D5FC9" w:rsidRPr="00382E2E" w:rsidRDefault="006D5FC9" w:rsidP="006D5FC9">
      <w:pPr>
        <w:pStyle w:val="Chapterheading"/>
        <w:rPr>
          <w:lang w:val="en-NZ"/>
        </w:rPr>
      </w:pPr>
    </w:p>
    <w:p w:rsidR="006D5FC9" w:rsidRPr="00A76AD1" w:rsidRDefault="006D5FC9" w:rsidP="006D5FC9">
      <w:pPr>
        <w:pStyle w:val="Chapterheading"/>
        <w:rPr>
          <w:rStyle w:val="ChapterheadingCharCharChar"/>
        </w:rPr>
      </w:pPr>
      <w:bookmarkStart w:id="77" w:name="_Toc483225357"/>
      <w:bookmarkStart w:id="78" w:name="_Toc483815939"/>
      <w:r w:rsidRPr="00A76AD1">
        <w:rPr>
          <w:rStyle w:val="ChapterheadingCharCharChar"/>
        </w:rPr>
        <w:t>Scope of deferral measure</w:t>
      </w:r>
      <w:bookmarkEnd w:id="77"/>
      <w:bookmarkEnd w:id="78"/>
    </w:p>
    <w:p w:rsidR="006D5FC9" w:rsidRDefault="006D5FC9" w:rsidP="00D90610">
      <w:pPr>
        <w:pStyle w:val="Chapter4"/>
        <w:numPr>
          <w:ilvl w:val="0"/>
          <w:numId w:val="0"/>
        </w:numPr>
        <w:ind w:left="360"/>
      </w:pPr>
    </w:p>
    <w:p w:rsidR="00FE3495" w:rsidRDefault="00FE3495" w:rsidP="00D90610">
      <w:pPr>
        <w:pStyle w:val="Chapter4"/>
        <w:numPr>
          <w:ilvl w:val="0"/>
          <w:numId w:val="0"/>
        </w:numPr>
        <w:ind w:left="360"/>
      </w:pPr>
    </w:p>
    <w:p w:rsidR="00F27178" w:rsidRDefault="00F27178" w:rsidP="00A76AD1">
      <w:pPr>
        <w:pStyle w:val="Chapter4"/>
        <w:ind w:left="851" w:hanging="851"/>
      </w:pPr>
      <w:r w:rsidRPr="00F27178">
        <w:t xml:space="preserve">In </w:t>
      </w:r>
      <w:r w:rsidR="00CF6100">
        <w:t>the</w:t>
      </w:r>
      <w:r w:rsidR="00CF6100" w:rsidRPr="00F27178">
        <w:t xml:space="preserve"> </w:t>
      </w:r>
      <w:r w:rsidRPr="00F27178">
        <w:t xml:space="preserve">May </w:t>
      </w:r>
      <w:r w:rsidR="00F1544B">
        <w:t xml:space="preserve">2016 </w:t>
      </w:r>
      <w:r w:rsidR="00721833">
        <w:t>i</w:t>
      </w:r>
      <w:r w:rsidR="00721833" w:rsidRPr="00F27178">
        <w:t xml:space="preserve">ssues </w:t>
      </w:r>
      <w:r w:rsidR="00721833">
        <w:t>p</w:t>
      </w:r>
      <w:r w:rsidR="00721833" w:rsidRPr="00F27178">
        <w:t>aper</w:t>
      </w:r>
      <w:r w:rsidRPr="00F27178">
        <w:t>, we asked submitters for their views on which</w:t>
      </w:r>
      <w:r>
        <w:t xml:space="preserve"> companies should be eligible to </w:t>
      </w:r>
      <w:r w:rsidR="00B410C8">
        <w:t xml:space="preserve">offer </w:t>
      </w:r>
      <w:r w:rsidR="006B333D">
        <w:t>schemes with a deferred taxing point</w:t>
      </w:r>
      <w:r>
        <w:t xml:space="preserve">. </w:t>
      </w:r>
      <w:r w:rsidR="00527ED5">
        <w:t xml:space="preserve"> </w:t>
      </w:r>
      <w:r w:rsidR="00E960C0">
        <w:t xml:space="preserve">For practical and administrative reasons, our proposal is to restrict the availability of the deferral regime to </w:t>
      </w:r>
      <w:r w:rsidR="006B333D">
        <w:t>“</w:t>
      </w:r>
      <w:r w:rsidR="00E960C0">
        <w:t>start-up</w:t>
      </w:r>
      <w:r w:rsidR="006B333D">
        <w:t>”</w:t>
      </w:r>
      <w:r w:rsidR="00E960C0">
        <w:t xml:space="preserve"> companies</w:t>
      </w:r>
      <w:r w:rsidR="006B333D">
        <w:t xml:space="preserve"> (as defined)</w:t>
      </w:r>
      <w:r w:rsidR="00E960C0">
        <w:t>.</w:t>
      </w:r>
    </w:p>
    <w:p w:rsidR="00E960C0" w:rsidRDefault="00E960C0" w:rsidP="00D90610">
      <w:pPr>
        <w:pStyle w:val="Chapter4"/>
        <w:numPr>
          <w:ilvl w:val="0"/>
          <w:numId w:val="0"/>
        </w:numPr>
        <w:ind w:left="360"/>
      </w:pPr>
    </w:p>
    <w:p w:rsidR="00D90610" w:rsidRDefault="00D90610" w:rsidP="00D90610">
      <w:pPr>
        <w:pStyle w:val="Chapter4"/>
        <w:numPr>
          <w:ilvl w:val="0"/>
          <w:numId w:val="0"/>
        </w:numPr>
        <w:ind w:left="360"/>
      </w:pPr>
    </w:p>
    <w:p w:rsidR="00E960C0" w:rsidRDefault="00E960C0" w:rsidP="00C87C38">
      <w:pPr>
        <w:pStyle w:val="Heading1"/>
      </w:pPr>
      <w:bookmarkStart w:id="79" w:name="_Toc483225358"/>
      <w:bookmarkStart w:id="80" w:name="_Toc483815940"/>
      <w:r>
        <w:t>Defining “start-up” companies</w:t>
      </w:r>
      <w:bookmarkEnd w:id="79"/>
      <w:bookmarkEnd w:id="80"/>
    </w:p>
    <w:p w:rsidR="00E960C0" w:rsidRDefault="00E960C0" w:rsidP="00D90610">
      <w:pPr>
        <w:pStyle w:val="Chapter4"/>
        <w:numPr>
          <w:ilvl w:val="0"/>
          <w:numId w:val="0"/>
        </w:numPr>
        <w:ind w:left="360"/>
      </w:pPr>
    </w:p>
    <w:p w:rsidR="00DF4DBC" w:rsidRPr="00A76AD1" w:rsidRDefault="00DF4DBC" w:rsidP="00A76AD1">
      <w:pPr>
        <w:pStyle w:val="Chapter4"/>
        <w:ind w:left="851" w:hanging="851"/>
      </w:pPr>
      <w:r w:rsidRPr="00A76AD1">
        <w:t>S</w:t>
      </w:r>
      <w:r w:rsidR="00383894" w:rsidRPr="00A76AD1">
        <w:t>ome s</w:t>
      </w:r>
      <w:r w:rsidRPr="00A76AD1">
        <w:t>ubmitters suggested that in principle, the deferral option should be available to all companies without share liquidity.  This could include all companies that are not quoted on the official list of a recognised stock exchange.</w:t>
      </w:r>
    </w:p>
    <w:p w:rsidR="00DF4DBC" w:rsidRPr="00A76AD1" w:rsidRDefault="00DF4DBC" w:rsidP="00A76AD1">
      <w:pPr>
        <w:pStyle w:val="Chapter4"/>
        <w:numPr>
          <w:ilvl w:val="0"/>
          <w:numId w:val="0"/>
        </w:numPr>
        <w:ind w:left="851"/>
      </w:pPr>
    </w:p>
    <w:p w:rsidR="00DF4DBC" w:rsidRPr="00A76AD1" w:rsidRDefault="00DF4DBC" w:rsidP="00A76AD1">
      <w:pPr>
        <w:pStyle w:val="Chapter4"/>
        <w:ind w:left="851" w:hanging="851"/>
      </w:pPr>
      <w:r w:rsidRPr="00A76AD1">
        <w:t xml:space="preserve">However, opening up the availability of deferral </w:t>
      </w:r>
      <w:r w:rsidR="007D54EC">
        <w:t>too</w:t>
      </w:r>
      <w:r w:rsidR="007D54EC" w:rsidRPr="00A76AD1">
        <w:t xml:space="preserve"> </w:t>
      </w:r>
      <w:r w:rsidRPr="00A76AD1">
        <w:t xml:space="preserve">widely </w:t>
      </w:r>
      <w:r w:rsidR="00E573C8" w:rsidRPr="00A76AD1">
        <w:t xml:space="preserve">could </w:t>
      </w:r>
      <w:r w:rsidR="00A30E3A" w:rsidRPr="00A76AD1">
        <w:t xml:space="preserve">cause </w:t>
      </w:r>
      <w:r w:rsidR="007D54EC">
        <w:t>administrative difficulties for Inland Revenue, especially in the area of auditing compliance with the deferral regime</w:t>
      </w:r>
      <w:r w:rsidR="000F3CC8">
        <w:t>,</w:t>
      </w:r>
      <w:r w:rsidR="007D54EC">
        <w:t xml:space="preserve"> for example</w:t>
      </w:r>
      <w:r w:rsidR="000412F4">
        <w:t>.  S</w:t>
      </w:r>
      <w:r w:rsidR="00A30E3A" w:rsidRPr="00A76AD1">
        <w:t xml:space="preserve">ome restrictions on the availability of deferral </w:t>
      </w:r>
      <w:r w:rsidR="00931D3F" w:rsidRPr="00A76AD1">
        <w:t>are</w:t>
      </w:r>
      <w:r w:rsidR="00A30E3A" w:rsidRPr="00A76AD1">
        <w:t xml:space="preserve"> </w:t>
      </w:r>
      <w:r w:rsidR="007D54EC">
        <w:t xml:space="preserve">therefore </w:t>
      </w:r>
      <w:r w:rsidR="00A30E3A" w:rsidRPr="00A76AD1">
        <w:t>ne</w:t>
      </w:r>
      <w:r w:rsidR="00527ED5">
        <w:t>cessary.</w:t>
      </w:r>
    </w:p>
    <w:p w:rsidR="00DF4DBC" w:rsidRPr="00A76AD1" w:rsidRDefault="00DF4DBC" w:rsidP="00A76AD1">
      <w:pPr>
        <w:pStyle w:val="Chapter4"/>
        <w:numPr>
          <w:ilvl w:val="0"/>
          <w:numId w:val="0"/>
        </w:numPr>
        <w:ind w:left="851"/>
      </w:pPr>
    </w:p>
    <w:p w:rsidR="002C4BCA" w:rsidRPr="00A76AD1" w:rsidRDefault="00E573C8" w:rsidP="00A76AD1">
      <w:pPr>
        <w:pStyle w:val="Chapter4"/>
        <w:ind w:left="851" w:hanging="851"/>
      </w:pPr>
      <w:r w:rsidRPr="00A76AD1">
        <w:t xml:space="preserve">Further, more mature </w:t>
      </w:r>
      <w:r w:rsidR="002C4BCA" w:rsidRPr="00A76AD1">
        <w:t xml:space="preserve">unlisted </w:t>
      </w:r>
      <w:r w:rsidRPr="00A76AD1">
        <w:t>companies</w:t>
      </w:r>
      <w:r w:rsidR="002C4BCA" w:rsidRPr="00A76AD1">
        <w:t>:</w:t>
      </w:r>
    </w:p>
    <w:p w:rsidR="002C4BCA" w:rsidRDefault="002C4BCA" w:rsidP="00D90610">
      <w:pPr>
        <w:pStyle w:val="Chapter4"/>
        <w:numPr>
          <w:ilvl w:val="0"/>
          <w:numId w:val="0"/>
        </w:numPr>
        <w:ind w:left="360"/>
      </w:pPr>
    </w:p>
    <w:p w:rsidR="002C4BCA" w:rsidRDefault="00E573C8" w:rsidP="00D90610">
      <w:pPr>
        <w:pStyle w:val="Bullets"/>
      </w:pPr>
      <w:r>
        <w:t xml:space="preserve">can generally put in place mechanisms to deal with liquidity problems, because they </w:t>
      </w:r>
      <w:r w:rsidR="000F3CC8">
        <w:t xml:space="preserve">are </w:t>
      </w:r>
      <w:r>
        <w:t xml:space="preserve">likely </w:t>
      </w:r>
      <w:r w:rsidR="000F3CC8">
        <w:t xml:space="preserve">to </w:t>
      </w:r>
      <w:r>
        <w:t>have more cash than true start-ups</w:t>
      </w:r>
      <w:r w:rsidR="002C4BCA">
        <w:t>;</w:t>
      </w:r>
    </w:p>
    <w:p w:rsidR="002C4BCA" w:rsidRDefault="00C46366" w:rsidP="00D90610">
      <w:pPr>
        <w:pStyle w:val="Bullets"/>
        <w:spacing w:after="0"/>
      </w:pPr>
      <w:r>
        <w:t xml:space="preserve">are </w:t>
      </w:r>
      <w:r w:rsidR="002C4BCA">
        <w:t xml:space="preserve">more likely to have an earnings history </w:t>
      </w:r>
      <w:r w:rsidR="00DD7F38">
        <w:t xml:space="preserve">or tangible assets </w:t>
      </w:r>
      <w:r w:rsidR="002C4BCA">
        <w:t>which can be used to value the company</w:t>
      </w:r>
      <w:r>
        <w:t>.</w:t>
      </w:r>
    </w:p>
    <w:p w:rsidR="002C4BCA" w:rsidRDefault="002C4BCA" w:rsidP="00CA41FB">
      <w:pPr>
        <w:pStyle w:val="Chapter4"/>
        <w:numPr>
          <w:ilvl w:val="0"/>
          <w:numId w:val="0"/>
        </w:numPr>
        <w:rPr>
          <w:sz w:val="23"/>
          <w:szCs w:val="23"/>
        </w:rPr>
      </w:pPr>
    </w:p>
    <w:p w:rsidR="00E573C8" w:rsidRPr="00A76AD1" w:rsidRDefault="00E573C8" w:rsidP="00A76AD1">
      <w:pPr>
        <w:pStyle w:val="Chapter4"/>
        <w:ind w:left="851" w:hanging="851"/>
      </w:pPr>
      <w:r w:rsidRPr="00A76AD1">
        <w:t>Start-ups are especially affected by the valuation and liquidity problems because they lack the cash to pay the tax on behalf of their employees, and their shares are more difficult to value using orthodox methodologies.</w:t>
      </w:r>
    </w:p>
    <w:p w:rsidR="00E573C8" w:rsidRPr="00A76AD1" w:rsidRDefault="00E573C8" w:rsidP="00A76AD1">
      <w:pPr>
        <w:pStyle w:val="Chapter4"/>
        <w:numPr>
          <w:ilvl w:val="0"/>
          <w:numId w:val="0"/>
        </w:numPr>
        <w:ind w:left="851"/>
      </w:pPr>
    </w:p>
    <w:p w:rsidR="00E960C0" w:rsidRPr="00A76AD1" w:rsidRDefault="00E960C0" w:rsidP="00A76AD1">
      <w:pPr>
        <w:pStyle w:val="Chapter4"/>
        <w:ind w:left="851" w:hanging="851"/>
      </w:pPr>
      <w:r w:rsidRPr="00A76AD1">
        <w:t>There are difficulties associated with defining a “start-up company”</w:t>
      </w:r>
      <w:r w:rsidR="000412F4">
        <w:t>.  I</w:t>
      </w:r>
      <w:r w:rsidRPr="00A76AD1">
        <w:t>n Australia’s recently enacted start-up concession</w:t>
      </w:r>
      <w:r w:rsidR="00131901">
        <w:t xml:space="preserve"> for ESS</w:t>
      </w:r>
      <w:r w:rsidRPr="00A76AD1">
        <w:t>, a “start-up company” is, broadly speaking:</w:t>
      </w:r>
      <w:r w:rsidR="00131901" w:rsidRPr="00527ED5">
        <w:rPr>
          <w:rStyle w:val="FootnoteReference"/>
          <w:sz w:val="24"/>
          <w:szCs w:val="24"/>
        </w:rPr>
        <w:footnoteReference w:id="5"/>
      </w:r>
    </w:p>
    <w:p w:rsidR="00E960C0" w:rsidRDefault="00E960C0" w:rsidP="00DD1324">
      <w:pPr>
        <w:pStyle w:val="Chapter4"/>
        <w:numPr>
          <w:ilvl w:val="0"/>
          <w:numId w:val="0"/>
        </w:numPr>
        <w:ind w:left="360"/>
      </w:pPr>
    </w:p>
    <w:p w:rsidR="00E960C0" w:rsidRDefault="00E960C0" w:rsidP="00D90610">
      <w:pPr>
        <w:pStyle w:val="Bullets"/>
      </w:pPr>
      <w:r w:rsidRPr="00E960C0">
        <w:t>an unlisted Australian company</w:t>
      </w:r>
      <w:r w:rsidR="00120C37">
        <w:t>;</w:t>
      </w:r>
    </w:p>
    <w:p w:rsidR="00E960C0" w:rsidRDefault="00E960C0" w:rsidP="00D90610">
      <w:pPr>
        <w:pStyle w:val="Bullets"/>
      </w:pPr>
      <w:r w:rsidRPr="00E960C0">
        <w:t>less than 10 years old</w:t>
      </w:r>
      <w:r>
        <w:t>;</w:t>
      </w:r>
      <w:r w:rsidR="00527ED5">
        <w:t xml:space="preserve"> and</w:t>
      </w:r>
    </w:p>
    <w:p w:rsidR="00E960C0" w:rsidRDefault="00383894" w:rsidP="00D90610">
      <w:pPr>
        <w:pStyle w:val="Bullets"/>
        <w:spacing w:after="0"/>
      </w:pPr>
      <w:r>
        <w:t xml:space="preserve">with </w:t>
      </w:r>
      <w:r w:rsidR="00840EC2">
        <w:t xml:space="preserve">annual turnover </w:t>
      </w:r>
      <w:r w:rsidR="00527ED5">
        <w:t>less than A$50 million.</w:t>
      </w:r>
    </w:p>
    <w:p w:rsidR="00DF341F" w:rsidRDefault="00DF341F" w:rsidP="00D90610">
      <w:pPr>
        <w:pStyle w:val="Chapter4"/>
        <w:numPr>
          <w:ilvl w:val="0"/>
          <w:numId w:val="0"/>
        </w:numPr>
        <w:ind w:left="360"/>
      </w:pPr>
    </w:p>
    <w:p w:rsidR="00383894" w:rsidRDefault="00383894" w:rsidP="00D90610">
      <w:pPr>
        <w:pStyle w:val="Chapter4"/>
        <w:numPr>
          <w:ilvl w:val="0"/>
          <w:numId w:val="0"/>
        </w:numPr>
        <w:ind w:left="851"/>
      </w:pPr>
      <w:r>
        <w:t>All three tests apply on a group basis.</w:t>
      </w:r>
    </w:p>
    <w:p w:rsidR="00120C37" w:rsidRDefault="00120C37" w:rsidP="00D90610">
      <w:pPr>
        <w:pStyle w:val="Chapter4"/>
        <w:numPr>
          <w:ilvl w:val="0"/>
          <w:numId w:val="0"/>
        </w:numPr>
        <w:ind w:left="360"/>
      </w:pPr>
    </w:p>
    <w:p w:rsidR="001D6F20" w:rsidRPr="00A76AD1" w:rsidRDefault="00E960C0" w:rsidP="00A76AD1">
      <w:pPr>
        <w:pStyle w:val="Chapter4"/>
        <w:ind w:left="851" w:hanging="851"/>
      </w:pPr>
      <w:r w:rsidRPr="00A76AD1">
        <w:t xml:space="preserve">One issue with this approach is that it creates a “cliff face” – once a company earns $1 more than $50 million or is 10 years and one day old, it is ineligible for the regime. </w:t>
      </w:r>
      <w:r w:rsidR="00F1544B">
        <w:t xml:space="preserve"> </w:t>
      </w:r>
      <w:r w:rsidRPr="00A76AD1">
        <w:t xml:space="preserve">This could, in theory at least, create perverse incentives at the </w:t>
      </w:r>
      <w:r w:rsidRPr="00A76AD1">
        <w:lastRenderedPageBreak/>
        <w:t>margins – for example, a company would not want to earn more revenue because it would lose eligibility to adopt the deferral approach.</w:t>
      </w:r>
      <w:r w:rsidR="001D6F20" w:rsidRPr="00A76AD1">
        <w:t xml:space="preserve">  </w:t>
      </w:r>
      <w:r w:rsidR="00721833">
        <w:t>For New Zealand’s purposes, we would prefer a definition which clearly excludes</w:t>
      </w:r>
      <w:r w:rsidRPr="00A76AD1">
        <w:t xml:space="preserve"> companies that would not have the same liquidity and valuation problems that start-ups do.</w:t>
      </w:r>
    </w:p>
    <w:p w:rsidR="001D6F20" w:rsidRPr="00A76AD1" w:rsidRDefault="001D6F20" w:rsidP="00A76AD1">
      <w:pPr>
        <w:pStyle w:val="Chapter4"/>
        <w:numPr>
          <w:ilvl w:val="0"/>
          <w:numId w:val="0"/>
        </w:numPr>
        <w:ind w:left="851"/>
      </w:pPr>
    </w:p>
    <w:p w:rsidR="00FF2BE3" w:rsidRDefault="00E573C8" w:rsidP="00FF2BE3">
      <w:pPr>
        <w:pStyle w:val="Chapter4"/>
        <w:ind w:left="851" w:hanging="851"/>
      </w:pPr>
      <w:r w:rsidRPr="00A76AD1">
        <w:t xml:space="preserve">However, we consider that </w:t>
      </w:r>
      <w:r w:rsidR="00A6756B" w:rsidRPr="00A76AD1">
        <w:t>similar restrictions</w:t>
      </w:r>
      <w:r w:rsidRPr="00A76AD1">
        <w:t xml:space="preserve"> should be put in place in New Zealand so that unlisted companies that have enough cash and sophistication to overcome the valuation and liquidity problems are not included in the definition of “start-up”</w:t>
      </w:r>
      <w:r w:rsidR="000412F4">
        <w:t>.  T</w:t>
      </w:r>
      <w:r w:rsidR="007A07C5" w:rsidRPr="00A76AD1">
        <w:t xml:space="preserve">he “cliff face” issue does necessitate a more careful analysis of what the parameters should be, and we welcome submissions on this point. </w:t>
      </w:r>
      <w:r w:rsidR="000C43D2" w:rsidRPr="00A76AD1">
        <w:t xml:space="preserve"> </w:t>
      </w:r>
      <w:r w:rsidR="001A2750">
        <w:t xml:space="preserve">Officials propose </w:t>
      </w:r>
      <w:r w:rsidR="000C43D2" w:rsidRPr="00A76AD1">
        <w:t>a</w:t>
      </w:r>
      <w:r w:rsidR="001A2750">
        <w:t>n</w:t>
      </w:r>
      <w:r w:rsidR="000C43D2" w:rsidRPr="00A76AD1">
        <w:t xml:space="preserve"> annual turnover limit </w:t>
      </w:r>
      <w:r w:rsidR="001A2750">
        <w:t>of</w:t>
      </w:r>
      <w:r w:rsidR="000C43D2" w:rsidRPr="00A76AD1">
        <w:t xml:space="preserve"> $</w:t>
      </w:r>
      <w:r w:rsidR="002917AA">
        <w:t>10</w:t>
      </w:r>
      <w:r w:rsidR="00C46366" w:rsidRPr="00A76AD1">
        <w:t xml:space="preserve"> </w:t>
      </w:r>
      <w:r w:rsidR="000C43D2" w:rsidRPr="00A76AD1">
        <w:t>m</w:t>
      </w:r>
      <w:r w:rsidR="00C46366" w:rsidRPr="00A76AD1">
        <w:t>illion</w:t>
      </w:r>
      <w:r w:rsidR="000C43D2" w:rsidRPr="00A76AD1">
        <w:t xml:space="preserve"> per annum, reflecting the level of income at which a New Zealand company could be said to have left the start-</w:t>
      </w:r>
      <w:r w:rsidR="000C43D2">
        <w:t>up category.</w:t>
      </w:r>
    </w:p>
    <w:p w:rsidR="00FF2BE3" w:rsidRDefault="00FF2BE3" w:rsidP="00D90610">
      <w:pPr>
        <w:pStyle w:val="Chapter4"/>
        <w:numPr>
          <w:ilvl w:val="0"/>
          <w:numId w:val="0"/>
        </w:numPr>
        <w:ind w:left="360"/>
      </w:pPr>
    </w:p>
    <w:p w:rsidR="00FF2BE3" w:rsidRDefault="002917AA" w:rsidP="00FF2BE3">
      <w:pPr>
        <w:pStyle w:val="Chapter4"/>
        <w:ind w:left="851" w:hanging="851"/>
      </w:pPr>
      <w:r>
        <w:t>C</w:t>
      </w:r>
      <w:r w:rsidR="00FF2BE3">
        <w:t xml:space="preserve">ompanies in certain industries may be able to satisfy the above criteria despite not being </w:t>
      </w:r>
      <w:r w:rsidR="001A2750">
        <w:t xml:space="preserve">subject to the same valuation constraints </w:t>
      </w:r>
      <w:r w:rsidR="00FF2BE3">
        <w:t>faced by</w:t>
      </w:r>
      <w:r w:rsidR="007465A2">
        <w:t>,</w:t>
      </w:r>
      <w:r w:rsidR="00FF2BE3">
        <w:t xml:space="preserve"> for example</w:t>
      </w:r>
      <w:r w:rsidR="007465A2">
        <w:t>,</w:t>
      </w:r>
      <w:r w:rsidR="00FF2BE3">
        <w:t xml:space="preserve"> a start-up company in the technology industry which is developing some new, untested product to </w:t>
      </w:r>
      <w:r>
        <w:t>take</w:t>
      </w:r>
      <w:r w:rsidR="00FF2BE3">
        <w:t xml:space="preserve"> to market.  </w:t>
      </w:r>
      <w:r w:rsidR="001A2750">
        <w:t>One option is for there to be</w:t>
      </w:r>
      <w:r w:rsidR="00FF2BE3">
        <w:t xml:space="preserve"> a </w:t>
      </w:r>
      <w:r w:rsidR="00B21801">
        <w:t>low value</w:t>
      </w:r>
      <w:r w:rsidR="00FF2BE3">
        <w:t xml:space="preserve"> of tangible assets owned by a company in order to qualify for the deferral regime.</w:t>
      </w:r>
      <w:r w:rsidR="00913B31">
        <w:t xml:space="preserve">  Instead, or as well as an asset threshold</w:t>
      </w:r>
      <w:r w:rsidR="00FF2BE3">
        <w:t xml:space="preserve">, legislation could list a number of activities which would disqualify a company from the deferral regime.  For example, </w:t>
      </w:r>
      <w:r w:rsidR="001A2750">
        <w:t xml:space="preserve">section CW 12 sets out, for another purpose, a list of industries that may be considered for this purpose.  These are </w:t>
      </w:r>
      <w:r w:rsidR="00FF2BE3">
        <w:t>land development, insurance, land ownership, mining, construction or acquisition of public infrastructure assets</w:t>
      </w:r>
      <w:r w:rsidR="00527ED5">
        <w:t>.</w:t>
      </w:r>
      <w:r w:rsidR="00FF2BE3" w:rsidRPr="00527ED5">
        <w:rPr>
          <w:rStyle w:val="FootnoteReference"/>
          <w:sz w:val="24"/>
          <w:szCs w:val="24"/>
        </w:rPr>
        <w:footnoteReference w:id="6"/>
      </w:r>
    </w:p>
    <w:p w:rsidR="00FF2BE3" w:rsidRDefault="00FF2BE3" w:rsidP="00DD1324">
      <w:pPr>
        <w:pStyle w:val="Chapter4"/>
        <w:numPr>
          <w:ilvl w:val="0"/>
          <w:numId w:val="0"/>
        </w:numPr>
        <w:ind w:left="360"/>
      </w:pPr>
    </w:p>
    <w:p w:rsidR="000C43D2" w:rsidRDefault="00C90FA5" w:rsidP="00A76AD1">
      <w:pPr>
        <w:pStyle w:val="Chapter4"/>
        <w:ind w:left="851" w:hanging="851"/>
      </w:pPr>
      <w:r>
        <w:t>In addition, officials</w:t>
      </w:r>
      <w:r w:rsidR="000C43D2">
        <w:t xml:space="preserve"> </w:t>
      </w:r>
      <w:r w:rsidR="00FF2BE3">
        <w:t>seek comments on whether</w:t>
      </w:r>
      <w:r w:rsidR="000C43D2">
        <w:t xml:space="preserve"> it would be appropriate to define a </w:t>
      </w:r>
      <w:r w:rsidR="000250D9">
        <w:t>start-up</w:t>
      </w:r>
      <w:r w:rsidR="000C43D2">
        <w:t xml:space="preserve"> company as one that has not paid a dividend.  Payment of a dividend is an indicator of available cash (so liquidity is much less of an issue) and may also indicate that the company is easier to reliably value.</w:t>
      </w:r>
    </w:p>
    <w:p w:rsidR="00C90FA5" w:rsidRDefault="00C90FA5" w:rsidP="00A76AD1">
      <w:pPr>
        <w:pStyle w:val="Chapter4"/>
        <w:numPr>
          <w:ilvl w:val="0"/>
          <w:numId w:val="0"/>
        </w:numPr>
        <w:ind w:left="851"/>
      </w:pPr>
    </w:p>
    <w:p w:rsidR="00C90FA5" w:rsidRPr="007A07C5" w:rsidRDefault="00C90FA5" w:rsidP="00A76AD1">
      <w:pPr>
        <w:pStyle w:val="Chapter4"/>
        <w:ind w:left="851" w:hanging="851"/>
      </w:pPr>
      <w:r>
        <w:t xml:space="preserve">Ceasing to qualify as a </w:t>
      </w:r>
      <w:r w:rsidR="000250D9">
        <w:t>start-up</w:t>
      </w:r>
      <w:r>
        <w:t xml:space="preserve"> would have no effect on shares or share benefits already identified as subject to the deferral regime.  It would simply prevent the company from issuing further shares subject to the regime.</w:t>
      </w:r>
    </w:p>
    <w:p w:rsidR="00E61E1E" w:rsidRDefault="00E61E1E" w:rsidP="0048619B">
      <w:pPr>
        <w:jc w:val="left"/>
      </w:pPr>
    </w:p>
    <w:p w:rsidR="00E61E1E" w:rsidRDefault="00E61E1E">
      <w:pPr>
        <w:jc w:val="left"/>
      </w:pPr>
    </w:p>
    <w:p w:rsidR="00636511" w:rsidRDefault="00636511">
      <w:pPr>
        <w:jc w:val="left"/>
        <w:rPr>
          <w:b/>
          <w:lang w:val="en-NZ"/>
        </w:rPr>
      </w:pPr>
      <w:r>
        <w:rPr>
          <w:b/>
        </w:rPr>
        <w:br w:type="page"/>
      </w:r>
    </w:p>
    <w:p w:rsidR="00E61E1E" w:rsidRPr="00695AE4" w:rsidRDefault="00E61E1E" w:rsidP="00E61E1E">
      <w:pPr>
        <w:pStyle w:val="Chapter5CharChar"/>
        <w:numPr>
          <w:ilvl w:val="0"/>
          <w:numId w:val="0"/>
        </w:numPr>
        <w:pBdr>
          <w:top w:val="single" w:sz="4" w:space="10" w:color="auto"/>
          <w:left w:val="single" w:sz="4" w:space="10" w:color="auto"/>
          <w:bottom w:val="single" w:sz="4" w:space="10" w:color="auto"/>
          <w:right w:val="single" w:sz="4" w:space="10" w:color="auto"/>
        </w:pBdr>
        <w:rPr>
          <w:b/>
        </w:rPr>
      </w:pPr>
      <w:r w:rsidRPr="00695AE4">
        <w:rPr>
          <w:b/>
        </w:rPr>
        <w:lastRenderedPageBreak/>
        <w:t>Submission point</w:t>
      </w:r>
      <w:r w:rsidR="00A2662C">
        <w:rPr>
          <w:b/>
        </w:rPr>
        <w:t>s</w:t>
      </w:r>
    </w:p>
    <w:p w:rsidR="00E61E1E" w:rsidRDefault="00E61E1E" w:rsidP="00E61E1E">
      <w:pPr>
        <w:pStyle w:val="Chapter5CharChar"/>
        <w:numPr>
          <w:ilvl w:val="0"/>
          <w:numId w:val="0"/>
        </w:numPr>
        <w:pBdr>
          <w:top w:val="single" w:sz="4" w:space="10" w:color="auto"/>
          <w:left w:val="single" w:sz="4" w:space="10" w:color="auto"/>
          <w:bottom w:val="single" w:sz="4" w:space="10" w:color="auto"/>
          <w:right w:val="single" w:sz="4" w:space="10" w:color="auto"/>
        </w:pBdr>
      </w:pPr>
    </w:p>
    <w:p w:rsidR="00E61E1E" w:rsidRDefault="00E61E1E" w:rsidP="00E61E1E">
      <w:pPr>
        <w:pStyle w:val="Chapter5CharChar"/>
        <w:numPr>
          <w:ilvl w:val="0"/>
          <w:numId w:val="0"/>
        </w:numPr>
        <w:pBdr>
          <w:top w:val="single" w:sz="4" w:space="10" w:color="auto"/>
          <w:left w:val="single" w:sz="4" w:space="10" w:color="auto"/>
          <w:bottom w:val="single" w:sz="4" w:space="10" w:color="auto"/>
          <w:right w:val="single" w:sz="4" w:space="10" w:color="auto"/>
        </w:pBdr>
      </w:pPr>
      <w:r>
        <w:t>We are interested to hear from readers:</w:t>
      </w:r>
    </w:p>
    <w:p w:rsidR="00E61E1E" w:rsidRDefault="00E61E1E" w:rsidP="00E61E1E">
      <w:pPr>
        <w:pStyle w:val="Chapter5CharChar"/>
        <w:numPr>
          <w:ilvl w:val="0"/>
          <w:numId w:val="0"/>
        </w:numPr>
        <w:pBdr>
          <w:top w:val="single" w:sz="4" w:space="10" w:color="auto"/>
          <w:left w:val="single" w:sz="4" w:space="10" w:color="auto"/>
          <w:bottom w:val="single" w:sz="4" w:space="10" w:color="auto"/>
          <w:right w:val="single" w:sz="4" w:space="10" w:color="auto"/>
        </w:pBdr>
      </w:pPr>
    </w:p>
    <w:p w:rsidR="00E61E1E"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E61E1E">
        <w:tab/>
      </w:r>
      <w:r w:rsidR="00636511">
        <w:t>D</w:t>
      </w:r>
      <w:r w:rsidR="00E61E1E">
        <w:t>o submitters agree with the thresholds for defining a start-up company being based on the three categories used in the Australian rules (</w:t>
      </w:r>
      <w:r w:rsidR="00F92ACC">
        <w:t xml:space="preserve">that is, </w:t>
      </w:r>
      <w:r w:rsidR="00E61E1E">
        <w:t>size, age and whether it is listed)?</w:t>
      </w:r>
    </w:p>
    <w:p w:rsidR="00636511" w:rsidRDefault="00636511"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p>
    <w:p w:rsidR="00E61E1E"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E61E1E">
        <w:tab/>
      </w:r>
      <w:r w:rsidR="00636511">
        <w:t>I</w:t>
      </w:r>
      <w:r w:rsidR="00E61E1E">
        <w:t>f a threshold for the relative or absolute value of tangible assets was introduced</w:t>
      </w:r>
      <w:r w:rsidR="00E14E49">
        <w:t>,</w:t>
      </w:r>
      <w:r w:rsidR="00E61E1E">
        <w:t xml:space="preserve"> what would be an appropriate threshold?</w:t>
      </w:r>
    </w:p>
    <w:p w:rsidR="00636511" w:rsidRDefault="00636511"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p>
    <w:p w:rsidR="00E61E1E"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E61E1E">
        <w:tab/>
      </w:r>
      <w:r w:rsidR="00636511">
        <w:t>I</w:t>
      </w:r>
      <w:r w:rsidR="00E61E1E">
        <w:t>f certain industries were to be excluded from this proposal</w:t>
      </w:r>
      <w:r w:rsidR="00E14E49">
        <w:t>,</w:t>
      </w:r>
      <w:r w:rsidR="00E61E1E">
        <w:t xml:space="preserve"> which industries would these be?</w:t>
      </w:r>
    </w:p>
    <w:p w:rsidR="00636511" w:rsidRDefault="00636511"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p>
    <w:p w:rsidR="00E61E1E"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E61E1E">
        <w:tab/>
      </w:r>
      <w:r w:rsidR="00636511">
        <w:t>W</w:t>
      </w:r>
      <w:r w:rsidR="00E61E1E">
        <w:t>hat other thresholds or indicators might be appropriate?</w:t>
      </w:r>
    </w:p>
    <w:p w:rsidR="00E61E1E" w:rsidRDefault="00E61E1E" w:rsidP="0048619B">
      <w:pPr>
        <w:jc w:val="left"/>
      </w:pPr>
    </w:p>
    <w:p w:rsidR="00EF3129" w:rsidRDefault="006D5FC9">
      <w:pPr>
        <w:jc w:val="left"/>
      </w:pPr>
      <w:r>
        <w:br w:type="page"/>
      </w:r>
      <w:r w:rsidR="00EF3129">
        <w:lastRenderedPageBreak/>
        <w:br w:type="page"/>
      </w:r>
    </w:p>
    <w:p w:rsidR="006D5FC9" w:rsidRPr="0048619B" w:rsidRDefault="006D5FC9" w:rsidP="0048619B">
      <w:pPr>
        <w:jc w:val="left"/>
        <w:rPr>
          <w:lang w:val="en-NZ"/>
        </w:rPr>
      </w:pPr>
    </w:p>
    <w:p w:rsidR="00FE3495" w:rsidRPr="00382E2E" w:rsidRDefault="00FE3495" w:rsidP="00FE3495">
      <w:pPr>
        <w:pStyle w:val="Chapterheading"/>
        <w:rPr>
          <w:lang w:val="en-NZ"/>
        </w:rPr>
      </w:pPr>
      <w:bookmarkStart w:id="81" w:name="_Toc477103276"/>
      <w:bookmarkStart w:id="82" w:name="_Toc477162779"/>
      <w:bookmarkStart w:id="83" w:name="_Toc478052515"/>
      <w:bookmarkStart w:id="84" w:name="_Toc480452364"/>
      <w:bookmarkStart w:id="85" w:name="_Toc480452475"/>
      <w:bookmarkStart w:id="86" w:name="_Toc480965214"/>
      <w:bookmarkStart w:id="87" w:name="_Toc481055666"/>
      <w:bookmarkStart w:id="88" w:name="_Toc481678567"/>
      <w:bookmarkStart w:id="89" w:name="_Toc483225359"/>
      <w:bookmarkStart w:id="90" w:name="_Toc483815941"/>
      <w:r w:rsidRPr="00382E2E">
        <w:rPr>
          <w:lang w:val="en-NZ"/>
        </w:rPr>
        <w:t xml:space="preserve">CHAPTER </w:t>
      </w:r>
      <w:r>
        <w:rPr>
          <w:lang w:val="en-NZ"/>
        </w:rPr>
        <w:t>5</w:t>
      </w:r>
      <w:bookmarkEnd w:id="81"/>
      <w:bookmarkEnd w:id="82"/>
      <w:bookmarkEnd w:id="83"/>
      <w:bookmarkEnd w:id="84"/>
      <w:bookmarkEnd w:id="85"/>
      <w:bookmarkEnd w:id="86"/>
      <w:bookmarkEnd w:id="87"/>
      <w:bookmarkEnd w:id="88"/>
      <w:bookmarkEnd w:id="89"/>
      <w:bookmarkEnd w:id="90"/>
    </w:p>
    <w:p w:rsidR="00FE3495" w:rsidRPr="00382E2E" w:rsidRDefault="00FE3495" w:rsidP="00FE3495">
      <w:pPr>
        <w:pStyle w:val="Chapterheading"/>
        <w:rPr>
          <w:lang w:val="en-NZ"/>
        </w:rPr>
      </w:pPr>
    </w:p>
    <w:p w:rsidR="00FE3495" w:rsidRPr="00A76AD1" w:rsidRDefault="00FE3495" w:rsidP="00FE3495">
      <w:pPr>
        <w:pStyle w:val="Chapterheading"/>
        <w:rPr>
          <w:rStyle w:val="ChapterheadingCharCharChar"/>
        </w:rPr>
      </w:pPr>
      <w:bookmarkStart w:id="91" w:name="_Toc483225360"/>
      <w:bookmarkStart w:id="92" w:name="_Toc483815942"/>
      <w:r w:rsidRPr="00A76AD1">
        <w:rPr>
          <w:rStyle w:val="ChapterheadingCharCharChar"/>
        </w:rPr>
        <w:t xml:space="preserve">Deferral measure – </w:t>
      </w:r>
      <w:r w:rsidR="00055895">
        <w:rPr>
          <w:rStyle w:val="ChapterheadingCharCharChar"/>
        </w:rPr>
        <w:t>elections</w:t>
      </w:r>
      <w:bookmarkEnd w:id="91"/>
      <w:bookmarkEnd w:id="92"/>
    </w:p>
    <w:p w:rsidR="00FE3495" w:rsidRDefault="00FE3495" w:rsidP="00B877AB">
      <w:pPr>
        <w:pStyle w:val="Chapter5CharChar"/>
        <w:numPr>
          <w:ilvl w:val="0"/>
          <w:numId w:val="0"/>
        </w:numPr>
        <w:ind w:left="851"/>
      </w:pPr>
    </w:p>
    <w:p w:rsidR="00D90610" w:rsidRDefault="00D90610" w:rsidP="00B877AB">
      <w:pPr>
        <w:pStyle w:val="Chapter5CharChar"/>
        <w:numPr>
          <w:ilvl w:val="0"/>
          <w:numId w:val="0"/>
        </w:numPr>
        <w:ind w:left="851"/>
      </w:pPr>
    </w:p>
    <w:p w:rsidR="00BE70A4" w:rsidRDefault="00FE3495" w:rsidP="00A76AD1">
      <w:pPr>
        <w:pStyle w:val="Chapter5CharChar"/>
      </w:pPr>
      <w:r>
        <w:t xml:space="preserve">We are seeking submissions on whether the proposed </w:t>
      </w:r>
      <w:r w:rsidR="009A5A31">
        <w:t xml:space="preserve">taxing point </w:t>
      </w:r>
      <w:r>
        <w:t>deferral should be elective or mandatory.</w:t>
      </w:r>
    </w:p>
    <w:p w:rsidR="00BE70A4" w:rsidRDefault="00BE70A4" w:rsidP="00B877AB">
      <w:pPr>
        <w:pStyle w:val="Chapter5CharChar"/>
        <w:numPr>
          <w:ilvl w:val="0"/>
          <w:numId w:val="0"/>
        </w:numPr>
        <w:ind w:left="851"/>
      </w:pPr>
    </w:p>
    <w:p w:rsidR="00E22360" w:rsidRDefault="00FE3495" w:rsidP="00A76AD1">
      <w:pPr>
        <w:pStyle w:val="Chapter5CharChar"/>
      </w:pPr>
      <w:r>
        <w:t xml:space="preserve">If the deferral is elective, </w:t>
      </w:r>
      <w:r w:rsidR="00E22360">
        <w:t>the</w:t>
      </w:r>
      <w:r w:rsidR="00BE70A4">
        <w:t>n</w:t>
      </w:r>
      <w:r w:rsidR="00E22360">
        <w:t xml:space="preserve"> </w:t>
      </w:r>
      <w:r w:rsidR="00BE70A4">
        <w:t xml:space="preserve">the following </w:t>
      </w:r>
      <w:r w:rsidR="00E22360">
        <w:t>decision</w:t>
      </w:r>
      <w:r w:rsidR="00BE70A4">
        <w:t>s</w:t>
      </w:r>
      <w:r w:rsidR="00E22360">
        <w:t xml:space="preserve"> will need to be made:</w:t>
      </w:r>
    </w:p>
    <w:p w:rsidR="00BE70A4" w:rsidRDefault="00BE70A4" w:rsidP="00BE70A4">
      <w:pPr>
        <w:pStyle w:val="Chapter2"/>
        <w:numPr>
          <w:ilvl w:val="0"/>
          <w:numId w:val="0"/>
        </w:numPr>
        <w:ind w:left="360"/>
      </w:pPr>
    </w:p>
    <w:p w:rsidR="00E22360" w:rsidRPr="00A76AD1" w:rsidRDefault="00FE3495" w:rsidP="00B877AB">
      <w:pPr>
        <w:pStyle w:val="Bullets"/>
      </w:pPr>
      <w:r w:rsidRPr="00A76AD1">
        <w:t>who should make the election</w:t>
      </w:r>
      <w:r w:rsidR="00E22360" w:rsidRPr="00A76AD1">
        <w:t>;</w:t>
      </w:r>
    </w:p>
    <w:p w:rsidR="00E22360" w:rsidRPr="00A76AD1" w:rsidRDefault="00FE3495" w:rsidP="00B877AB">
      <w:pPr>
        <w:pStyle w:val="Bullets"/>
      </w:pPr>
      <w:r w:rsidRPr="00A76AD1">
        <w:t>when</w:t>
      </w:r>
      <w:r w:rsidR="00D06E8C">
        <w:t xml:space="preserve"> should the election be made</w:t>
      </w:r>
      <w:r w:rsidR="00E22360" w:rsidRPr="00A76AD1">
        <w:t>;</w:t>
      </w:r>
      <w:r w:rsidR="00BE70A4" w:rsidRPr="00A76AD1">
        <w:t xml:space="preserve"> and</w:t>
      </w:r>
    </w:p>
    <w:p w:rsidR="00FE3495" w:rsidRPr="00A76AD1" w:rsidRDefault="00E22360" w:rsidP="00B877AB">
      <w:pPr>
        <w:pStyle w:val="Bullets"/>
        <w:spacing w:after="0"/>
      </w:pPr>
      <w:r w:rsidRPr="00A76AD1">
        <w:t xml:space="preserve">whether the </w:t>
      </w:r>
      <w:r w:rsidR="00C05CBD" w:rsidRPr="00A76AD1">
        <w:t xml:space="preserve">election should be on a </w:t>
      </w:r>
      <w:r w:rsidR="00BE70A4" w:rsidRPr="00A76AD1">
        <w:t>scheme-by-</w:t>
      </w:r>
      <w:r w:rsidR="00C05CBD" w:rsidRPr="00A76AD1">
        <w:t xml:space="preserve">scheme or </w:t>
      </w:r>
      <w:r w:rsidR="00BE70A4" w:rsidRPr="00A76AD1">
        <w:t>grant-by-</w:t>
      </w:r>
      <w:r w:rsidR="00C05CBD" w:rsidRPr="00A76AD1">
        <w:t>grant basis.</w:t>
      </w:r>
    </w:p>
    <w:p w:rsidR="00BE70A4" w:rsidRDefault="00BE70A4" w:rsidP="00DD1324">
      <w:pPr>
        <w:pStyle w:val="Chapter5CharChar"/>
        <w:numPr>
          <w:ilvl w:val="0"/>
          <w:numId w:val="0"/>
        </w:numPr>
        <w:ind w:left="851"/>
        <w:rPr>
          <w:snapToGrid w:val="0"/>
          <w:lang w:eastAsia="en-US"/>
        </w:rPr>
      </w:pPr>
    </w:p>
    <w:p w:rsidR="0055343C" w:rsidRDefault="0055343C" w:rsidP="00DD1324">
      <w:pPr>
        <w:pStyle w:val="Chapter5CharChar"/>
        <w:numPr>
          <w:ilvl w:val="0"/>
          <w:numId w:val="0"/>
        </w:numPr>
        <w:ind w:left="851"/>
        <w:rPr>
          <w:snapToGrid w:val="0"/>
          <w:lang w:eastAsia="en-US"/>
        </w:rPr>
      </w:pPr>
    </w:p>
    <w:p w:rsidR="00FE3495" w:rsidRPr="00BE70A4" w:rsidRDefault="00E22360" w:rsidP="00C87C38">
      <w:pPr>
        <w:pStyle w:val="Heading1"/>
      </w:pPr>
      <w:bookmarkStart w:id="93" w:name="_Toc483225361"/>
      <w:bookmarkStart w:id="94" w:name="_Toc483815943"/>
      <w:r w:rsidRPr="00BE70A4">
        <w:t>Compulsory versus elective</w:t>
      </w:r>
      <w:bookmarkEnd w:id="93"/>
      <w:bookmarkEnd w:id="94"/>
    </w:p>
    <w:p w:rsidR="00BE70A4" w:rsidRPr="00CA41FB" w:rsidRDefault="00BE70A4" w:rsidP="00B877AB">
      <w:pPr>
        <w:pStyle w:val="Chapter5CharChar"/>
        <w:numPr>
          <w:ilvl w:val="0"/>
          <w:numId w:val="0"/>
        </w:numPr>
        <w:ind w:left="851"/>
      </w:pPr>
    </w:p>
    <w:p w:rsidR="00BE70A4" w:rsidRDefault="00BE70A4" w:rsidP="00A76AD1">
      <w:pPr>
        <w:pStyle w:val="Chapter5CharChar"/>
      </w:pPr>
      <w:r>
        <w:t xml:space="preserve">The deferral proposal described in this issues paper is designed to assist start-ups with liquidity and valuation issues.  If companies would prefer to deal with these issues in other ways, this should be open to them.  Therefore we do not believe that it should be compulsory for </w:t>
      </w:r>
      <w:r w:rsidR="00E22360">
        <w:t xml:space="preserve">companies meeting the </w:t>
      </w:r>
      <w:r>
        <w:t>start-</w:t>
      </w:r>
      <w:r w:rsidR="00E22360">
        <w:t xml:space="preserve">up definition to have to use the deferral </w:t>
      </w:r>
      <w:r w:rsidR="00721833">
        <w:t>regime</w:t>
      </w:r>
      <w:r w:rsidR="00E22360">
        <w:t>.</w:t>
      </w:r>
    </w:p>
    <w:p w:rsidR="00BE70A4" w:rsidRDefault="00BE70A4" w:rsidP="00A76AD1">
      <w:pPr>
        <w:pStyle w:val="Chapter5CharChar"/>
        <w:numPr>
          <w:ilvl w:val="0"/>
          <w:numId w:val="0"/>
        </w:numPr>
        <w:ind w:left="851"/>
      </w:pPr>
    </w:p>
    <w:p w:rsidR="00E22360" w:rsidRDefault="00E22360" w:rsidP="00A76AD1">
      <w:pPr>
        <w:pStyle w:val="Chapter5CharChar"/>
      </w:pPr>
      <w:r>
        <w:t>Accordingly, some form of election should be possible.</w:t>
      </w:r>
    </w:p>
    <w:p w:rsidR="00E22360" w:rsidRDefault="00E22360" w:rsidP="00B877AB">
      <w:pPr>
        <w:pStyle w:val="Chapter5CharChar"/>
        <w:numPr>
          <w:ilvl w:val="0"/>
          <w:numId w:val="0"/>
        </w:numPr>
        <w:ind w:left="851"/>
      </w:pPr>
    </w:p>
    <w:p w:rsidR="00A76AD1" w:rsidRDefault="00A76AD1" w:rsidP="00B877AB">
      <w:pPr>
        <w:pStyle w:val="Chapter5CharChar"/>
        <w:numPr>
          <w:ilvl w:val="0"/>
          <w:numId w:val="0"/>
        </w:numPr>
        <w:ind w:left="851"/>
      </w:pPr>
    </w:p>
    <w:p w:rsidR="00E22360" w:rsidRDefault="00BE70A4" w:rsidP="00C87C38">
      <w:pPr>
        <w:pStyle w:val="Heading1"/>
      </w:pPr>
      <w:bookmarkStart w:id="95" w:name="_Toc483225362"/>
      <w:bookmarkStart w:id="96" w:name="_Toc483815944"/>
      <w:r>
        <w:t xml:space="preserve">Election by company </w:t>
      </w:r>
      <w:r w:rsidR="00E22360">
        <w:t>versus employee</w:t>
      </w:r>
      <w:bookmarkEnd w:id="95"/>
      <w:bookmarkEnd w:id="96"/>
    </w:p>
    <w:p w:rsidR="00BE70A4" w:rsidRPr="00CA41FB" w:rsidRDefault="00BE70A4" w:rsidP="00B877AB">
      <w:pPr>
        <w:pStyle w:val="Chapter5CharChar"/>
        <w:numPr>
          <w:ilvl w:val="0"/>
          <w:numId w:val="0"/>
        </w:numPr>
        <w:ind w:left="851"/>
      </w:pPr>
    </w:p>
    <w:p w:rsidR="008D2BCF" w:rsidRDefault="008D2BCF" w:rsidP="00A76AD1">
      <w:pPr>
        <w:pStyle w:val="Chapter5CharChar"/>
      </w:pPr>
      <w:r>
        <w:t xml:space="preserve">As an underlying principle, because both the employer’s and employees’ tax positions are affected by deferral, they should both have certainty as to their tax position and, if an election to defer tax is being made, they should both </w:t>
      </w:r>
      <w:r w:rsidR="0005129B">
        <w:t xml:space="preserve">be aware of it before committing to the </w:t>
      </w:r>
      <w:r w:rsidR="00721833">
        <w:t xml:space="preserve">share </w:t>
      </w:r>
      <w:r w:rsidR="00527ED5">
        <w:t>scheme.</w:t>
      </w:r>
    </w:p>
    <w:p w:rsidR="008D2BCF" w:rsidRDefault="008D2BCF" w:rsidP="00A76AD1">
      <w:pPr>
        <w:pStyle w:val="Chapter5CharChar"/>
        <w:numPr>
          <w:ilvl w:val="0"/>
          <w:numId w:val="0"/>
        </w:numPr>
        <w:ind w:left="851"/>
      </w:pPr>
    </w:p>
    <w:p w:rsidR="0005129B" w:rsidRDefault="00E22360" w:rsidP="0005129B">
      <w:pPr>
        <w:pStyle w:val="Chapter5CharChar"/>
      </w:pPr>
      <w:r>
        <w:t xml:space="preserve">Schemes will be implemented in most cases by the company.  The company will have the responsibility for providing information about scheme benefits, and paying PAYE if elected, at the taxing point to Inland Revenue.  </w:t>
      </w:r>
      <w:r w:rsidR="007777AF">
        <w:t>The company will also have to put the amount of the share scheme benefit into its return as a deduction.</w:t>
      </w:r>
    </w:p>
    <w:p w:rsidR="0005129B" w:rsidRDefault="0005129B" w:rsidP="008C2CD6">
      <w:pPr>
        <w:pStyle w:val="Chapter5CharChar"/>
        <w:numPr>
          <w:ilvl w:val="0"/>
          <w:numId w:val="0"/>
        </w:numPr>
        <w:ind w:left="851"/>
      </w:pPr>
    </w:p>
    <w:p w:rsidR="00E22360" w:rsidRDefault="00E22360" w:rsidP="0005129B">
      <w:pPr>
        <w:pStyle w:val="Chapter5CharChar"/>
      </w:pPr>
      <w:r>
        <w:t xml:space="preserve">Accordingly, it seems sensible for the deferral election to be made by the company, in advance of the benefit being </w:t>
      </w:r>
      <w:r w:rsidR="0005129B">
        <w:t xml:space="preserve">agreed to be </w:t>
      </w:r>
      <w:r>
        <w:t xml:space="preserve">provided.  In this way, the employee will know in advance </w:t>
      </w:r>
      <w:r w:rsidR="0005129B">
        <w:t>(</w:t>
      </w:r>
      <w:r w:rsidR="00F92ACC">
        <w:t xml:space="preserve">that is, </w:t>
      </w:r>
      <w:r w:rsidR="0005129B">
        <w:t xml:space="preserve">before agreeing to take remuneration in shares) </w:t>
      </w:r>
      <w:r>
        <w:t>the basis on which they will be taxed, and can make decisions accordingly.</w:t>
      </w:r>
    </w:p>
    <w:p w:rsidR="008D2BCF" w:rsidRDefault="008D2BCF" w:rsidP="00A76AD1">
      <w:pPr>
        <w:pStyle w:val="Chapter5CharChar"/>
        <w:numPr>
          <w:ilvl w:val="0"/>
          <w:numId w:val="0"/>
        </w:numPr>
        <w:ind w:left="851"/>
      </w:pPr>
    </w:p>
    <w:p w:rsidR="008D2BCF" w:rsidRDefault="00E22360" w:rsidP="00A76AD1">
      <w:pPr>
        <w:pStyle w:val="Chapter5CharChar"/>
      </w:pPr>
      <w:r>
        <w:t xml:space="preserve">It would seem </w:t>
      </w:r>
      <w:r w:rsidR="0005129B">
        <w:t xml:space="preserve">simpler </w:t>
      </w:r>
      <w:r>
        <w:t xml:space="preserve">for the election to be made on a </w:t>
      </w:r>
      <w:r w:rsidR="008D2BCF">
        <w:t>scheme-by-</w:t>
      </w:r>
      <w:r>
        <w:t>scheme basis</w:t>
      </w:r>
      <w:r w:rsidR="007777AF">
        <w:t xml:space="preserve">.  However, there would be nothing to prevent an employer providing </w:t>
      </w:r>
      <w:r w:rsidR="00BE70A4">
        <w:t xml:space="preserve">both a </w:t>
      </w:r>
      <w:r w:rsidR="007777AF">
        <w:t>deferred and non-deferred scheme, and allowing the employee a choice of scheme, if it wished to do so.</w:t>
      </w:r>
      <w:r w:rsidR="00B93393">
        <w:t xml:space="preserve">  An existing scheme could elect to </w:t>
      </w:r>
      <w:r w:rsidR="00B93393">
        <w:lastRenderedPageBreak/>
        <w:t>defer, or not, and a scheme that was previously deferring that subsequently breached an eligibility threshold could continue on a non-deferr</w:t>
      </w:r>
      <w:r w:rsidR="00527ED5">
        <w:t>ed basis for subsequent issues.</w:t>
      </w:r>
    </w:p>
    <w:p w:rsidR="00A76AD1" w:rsidRDefault="00A76AD1" w:rsidP="00A76AD1">
      <w:pPr>
        <w:pStyle w:val="Chapter5CharChar"/>
        <w:numPr>
          <w:ilvl w:val="0"/>
          <w:numId w:val="0"/>
        </w:numPr>
        <w:ind w:left="851"/>
      </w:pPr>
    </w:p>
    <w:p w:rsidR="008D2BCF" w:rsidRDefault="008D2BCF" w:rsidP="00A76AD1">
      <w:pPr>
        <w:pStyle w:val="Chapter5CharChar"/>
      </w:pPr>
      <w:r>
        <w:t>This approach provides greater certainty to both the employer and employee in relation to their relevant tax positions under the scheme.</w:t>
      </w:r>
    </w:p>
    <w:p w:rsidR="008D2BCF" w:rsidRDefault="008D2BCF" w:rsidP="00B877AB">
      <w:pPr>
        <w:pStyle w:val="Chapter5CharChar"/>
        <w:numPr>
          <w:ilvl w:val="0"/>
          <w:numId w:val="0"/>
        </w:numPr>
        <w:ind w:left="851"/>
      </w:pPr>
    </w:p>
    <w:p w:rsidR="00EE3143" w:rsidRDefault="000B2F13" w:rsidP="00EE3143">
      <w:pPr>
        <w:pStyle w:val="Chapter5CharChar"/>
      </w:pPr>
      <w:r>
        <w:t xml:space="preserve">Another option would be for the employer to be able to choose to defer on an </w:t>
      </w:r>
      <w:r w:rsidR="00BE70A4">
        <w:t>employee-by-</w:t>
      </w:r>
      <w:r>
        <w:t xml:space="preserve">employee basis.  This would allow them to consult with the employee before deciding whether to </w:t>
      </w:r>
      <w:r w:rsidR="007777AF">
        <w:t xml:space="preserve">provide their shares on a </w:t>
      </w:r>
      <w:r w:rsidR="00BE70A4">
        <w:t>tax-</w:t>
      </w:r>
      <w:r>
        <w:t>defer</w:t>
      </w:r>
      <w:r w:rsidR="007777AF">
        <w:t>red basis</w:t>
      </w:r>
      <w:r>
        <w:t>.</w:t>
      </w:r>
      <w:r w:rsidR="008D2BCF">
        <w:t xml:space="preserve">  This provides greater flexibility than</w:t>
      </w:r>
      <w:r>
        <w:t xml:space="preserve"> </w:t>
      </w:r>
      <w:r w:rsidR="008D2BCF">
        <w:t>the scheme-by-scheme approach.</w:t>
      </w:r>
    </w:p>
    <w:p w:rsidR="00EE3143" w:rsidRPr="00B877AB" w:rsidRDefault="00EE3143" w:rsidP="00B877AB">
      <w:pPr>
        <w:pStyle w:val="Chapter5CharChar"/>
        <w:numPr>
          <w:ilvl w:val="0"/>
          <w:numId w:val="0"/>
        </w:numPr>
        <w:ind w:left="851"/>
        <w:rPr>
          <w:rStyle w:val="Chapter5CharCharCharChar"/>
        </w:rPr>
      </w:pPr>
    </w:p>
    <w:p w:rsidR="0005129B" w:rsidRPr="00B877AB" w:rsidRDefault="0005129B" w:rsidP="00B877AB">
      <w:pPr>
        <w:pStyle w:val="Chapter5CharChar"/>
        <w:numPr>
          <w:ilvl w:val="0"/>
          <w:numId w:val="0"/>
        </w:numPr>
        <w:ind w:left="851"/>
        <w:rPr>
          <w:rStyle w:val="Chapter5CharCharCharChar"/>
        </w:rPr>
      </w:pPr>
    </w:p>
    <w:p w:rsidR="0005129B" w:rsidRDefault="0005129B" w:rsidP="008C2CD6">
      <w:pPr>
        <w:pStyle w:val="Heading1"/>
      </w:pPr>
      <w:bookmarkStart w:id="97" w:name="_Toc483225363"/>
      <w:bookmarkStart w:id="98" w:name="_Toc483815945"/>
      <w:r>
        <w:t>Timing of election</w:t>
      </w:r>
      <w:bookmarkEnd w:id="97"/>
      <w:bookmarkEnd w:id="98"/>
    </w:p>
    <w:p w:rsidR="0005129B" w:rsidRDefault="0005129B" w:rsidP="00B877AB">
      <w:pPr>
        <w:pStyle w:val="Chapter5CharChar"/>
        <w:numPr>
          <w:ilvl w:val="0"/>
          <w:numId w:val="0"/>
        </w:numPr>
        <w:ind w:left="851"/>
      </w:pPr>
    </w:p>
    <w:p w:rsidR="008D2BCF" w:rsidRDefault="008D2BCF" w:rsidP="00EE3143">
      <w:pPr>
        <w:pStyle w:val="Chapter5CharChar"/>
      </w:pPr>
      <w:r>
        <w:t xml:space="preserve">To provide certainty and reduce opportunities for avoidance, it seems desirable for elections to be made up-front – </w:t>
      </w:r>
      <w:r w:rsidR="00055895">
        <w:t xml:space="preserve">or </w:t>
      </w:r>
      <w:r>
        <w:t xml:space="preserve">potentially even </w:t>
      </w:r>
      <w:r w:rsidR="00846E6A">
        <w:t xml:space="preserve">be </w:t>
      </w:r>
      <w:r>
        <w:t>part of the terms of the schemes.</w:t>
      </w:r>
    </w:p>
    <w:p w:rsidR="008D2BCF" w:rsidRDefault="008D2BCF" w:rsidP="00EE3143">
      <w:pPr>
        <w:pStyle w:val="Chapter5CharChar"/>
        <w:numPr>
          <w:ilvl w:val="0"/>
          <w:numId w:val="0"/>
        </w:numPr>
        <w:ind w:left="851"/>
      </w:pPr>
    </w:p>
    <w:p w:rsidR="00D50BB8" w:rsidRDefault="00CB5FB8" w:rsidP="00A76AD1">
      <w:pPr>
        <w:pStyle w:val="Chapter5CharChar"/>
      </w:pPr>
      <w:r>
        <w:t xml:space="preserve">In Australia, </w:t>
      </w:r>
      <w:r w:rsidR="00505405">
        <w:t xml:space="preserve">at one time and for certain schemes, employees were able to elect whether to be taxed on an upfront or deferred basis.  However, </w:t>
      </w:r>
      <w:r>
        <w:t xml:space="preserve">the law was amended so that </w:t>
      </w:r>
      <w:r w:rsidR="00061FD9">
        <w:t>from 1 July 20</w:t>
      </w:r>
      <w:r w:rsidR="00C11C6C">
        <w:t>09</w:t>
      </w:r>
      <w:r w:rsidR="00061FD9">
        <w:t xml:space="preserve">, </w:t>
      </w:r>
      <w:r w:rsidR="00BE70A4">
        <w:t xml:space="preserve">shares offered under </w:t>
      </w:r>
      <w:r w:rsidR="00402474">
        <w:t xml:space="preserve">a </w:t>
      </w:r>
      <w:r w:rsidR="00BE70A4">
        <w:t xml:space="preserve">qualifying </w:t>
      </w:r>
      <w:r w:rsidRPr="0048506F">
        <w:t xml:space="preserve">deferred taxation </w:t>
      </w:r>
      <w:r w:rsidR="00BE70A4">
        <w:t xml:space="preserve">scheme </w:t>
      </w:r>
      <w:r w:rsidR="00505405">
        <w:t>we</w:t>
      </w:r>
      <w:r w:rsidR="00BE70A4">
        <w:t xml:space="preserve">re </w:t>
      </w:r>
      <w:r w:rsidRPr="0048506F">
        <w:t xml:space="preserve">automatically </w:t>
      </w:r>
      <w:r w:rsidR="00BE70A4">
        <w:t>subject to the deferred taxing point</w:t>
      </w:r>
      <w:r>
        <w:t xml:space="preserve">.  </w:t>
      </w:r>
      <w:r w:rsidR="00BE70A4">
        <w:t xml:space="preserve">In other words, whether </w:t>
      </w:r>
      <w:r>
        <w:t>a share or right is subject to taxation up</w:t>
      </w:r>
      <w:r w:rsidR="00BE70A4">
        <w:t>-</w:t>
      </w:r>
      <w:r>
        <w:t>front or at a later time depends on the structure of the</w:t>
      </w:r>
      <w:r w:rsidR="008B32ED">
        <w:t xml:space="preserve"> scheme</w:t>
      </w:r>
      <w:r>
        <w:t xml:space="preserve">. </w:t>
      </w:r>
      <w:r w:rsidR="008B32ED">
        <w:t xml:space="preserve"> </w:t>
      </w:r>
      <w:r w:rsidR="00566D47" w:rsidRPr="00A90758">
        <w:t xml:space="preserve">Employees cannot elect to pay tax upfront on shares received under a qualifying deferred taxation scheme, but employees and employers are free to elect whether or not to participate in </w:t>
      </w:r>
      <w:r w:rsidR="00505405">
        <w:t xml:space="preserve">or offer </w:t>
      </w:r>
      <w:r w:rsidR="00566D47" w:rsidRPr="00A90758">
        <w:t>a qualifying deferred taxation scheme</w:t>
      </w:r>
      <w:r w:rsidR="00702016">
        <w:t xml:space="preserve"> – which is effectively an </w:t>
      </w:r>
      <w:r w:rsidR="00B95893">
        <w:t>election to be taxed</w:t>
      </w:r>
      <w:r w:rsidR="00C21A25">
        <w:t xml:space="preserve"> upfront</w:t>
      </w:r>
      <w:r w:rsidR="00505405">
        <w:t xml:space="preserve"> or not</w:t>
      </w:r>
      <w:r w:rsidR="00486F37">
        <w:t xml:space="preserve">, </w:t>
      </w:r>
      <w:r w:rsidR="00F27C26">
        <w:t xml:space="preserve">made </w:t>
      </w:r>
      <w:r w:rsidR="00486F37">
        <w:t>at the time that the scheme is set up</w:t>
      </w:r>
      <w:r w:rsidR="00566D47" w:rsidRPr="00A90758">
        <w:t xml:space="preserve">. </w:t>
      </w:r>
      <w:r w:rsidR="008E795F">
        <w:t xml:space="preserve"> </w:t>
      </w:r>
      <w:r w:rsidR="00566D47" w:rsidRPr="00A90758">
        <w:t xml:space="preserve">This change was made </w:t>
      </w:r>
      <w:r>
        <w:t>to reduce the scope for tax avoidance, and also to make it easier for employers to comply wit</w:t>
      </w:r>
      <w:r w:rsidR="00527ED5">
        <w:t>h their reporting requirements.</w:t>
      </w:r>
    </w:p>
    <w:p w:rsidR="00402474" w:rsidRDefault="00402474" w:rsidP="00B877AB">
      <w:pPr>
        <w:pStyle w:val="Chapter5CharChar"/>
        <w:numPr>
          <w:ilvl w:val="0"/>
          <w:numId w:val="0"/>
        </w:numPr>
        <w:ind w:left="851"/>
      </w:pPr>
    </w:p>
    <w:p w:rsidR="00D50BB8" w:rsidRPr="006D3671" w:rsidRDefault="00402474" w:rsidP="006D3671">
      <w:pPr>
        <w:pStyle w:val="Chapter5CharChar"/>
        <w:rPr>
          <w:sz w:val="23"/>
          <w:szCs w:val="23"/>
        </w:rPr>
      </w:pPr>
      <w:r>
        <w:t>Officials</w:t>
      </w:r>
      <w:r w:rsidR="00846E6A">
        <w:t>’</w:t>
      </w:r>
      <w:r>
        <w:t xml:space="preserve"> preference </w:t>
      </w:r>
      <w:r w:rsidR="00913B31">
        <w:t xml:space="preserve">is </w:t>
      </w:r>
      <w:r>
        <w:t>for the election to be made on a scheme</w:t>
      </w:r>
      <w:r w:rsidR="00E13B65">
        <w:t>-</w:t>
      </w:r>
      <w:r>
        <w:t>by</w:t>
      </w:r>
      <w:r w:rsidR="00E13B65">
        <w:t>-</w:t>
      </w:r>
      <w:r>
        <w:t>scheme basis, at the time a scheme is set up</w:t>
      </w:r>
      <w:r w:rsidR="00B93393">
        <w:t>, or when the deferral rules applied for existing schemes</w:t>
      </w:r>
      <w:r>
        <w:t>.</w:t>
      </w:r>
    </w:p>
    <w:p w:rsidR="00695AE4" w:rsidRDefault="00695AE4" w:rsidP="00B877AB">
      <w:pPr>
        <w:pStyle w:val="Chapter5CharChar"/>
        <w:numPr>
          <w:ilvl w:val="0"/>
          <w:numId w:val="0"/>
        </w:numPr>
        <w:ind w:left="851"/>
      </w:pPr>
    </w:p>
    <w:p w:rsidR="00695AE4" w:rsidRDefault="00695AE4" w:rsidP="00695AE4">
      <w:pPr>
        <w:pStyle w:val="Chapter5CharChar"/>
        <w:numPr>
          <w:ilvl w:val="0"/>
          <w:numId w:val="0"/>
        </w:numPr>
        <w:ind w:left="851"/>
      </w:pPr>
    </w:p>
    <w:p w:rsidR="00695AE4" w:rsidRPr="00695AE4" w:rsidRDefault="00695AE4" w:rsidP="00695AE4">
      <w:pPr>
        <w:pStyle w:val="Chapter5CharChar"/>
        <w:numPr>
          <w:ilvl w:val="0"/>
          <w:numId w:val="0"/>
        </w:numPr>
        <w:pBdr>
          <w:top w:val="single" w:sz="4" w:space="10" w:color="auto"/>
          <w:left w:val="single" w:sz="4" w:space="10" w:color="auto"/>
          <w:bottom w:val="single" w:sz="4" w:space="10" w:color="auto"/>
          <w:right w:val="single" w:sz="4" w:space="10" w:color="auto"/>
        </w:pBdr>
        <w:rPr>
          <w:b/>
        </w:rPr>
      </w:pPr>
      <w:r w:rsidRPr="00695AE4">
        <w:rPr>
          <w:b/>
        </w:rPr>
        <w:t>Submission point</w:t>
      </w:r>
      <w:r w:rsidR="00A2662C">
        <w:rPr>
          <w:b/>
        </w:rPr>
        <w:t>s</w:t>
      </w:r>
    </w:p>
    <w:p w:rsidR="00695AE4" w:rsidRDefault="00695AE4" w:rsidP="00695AE4">
      <w:pPr>
        <w:pStyle w:val="Chapter5CharChar"/>
        <w:numPr>
          <w:ilvl w:val="0"/>
          <w:numId w:val="0"/>
        </w:numPr>
        <w:pBdr>
          <w:top w:val="single" w:sz="4" w:space="10" w:color="auto"/>
          <w:left w:val="single" w:sz="4" w:space="10" w:color="auto"/>
          <w:bottom w:val="single" w:sz="4" w:space="10" w:color="auto"/>
          <w:right w:val="single" w:sz="4" w:space="10" w:color="auto"/>
        </w:pBdr>
      </w:pPr>
    </w:p>
    <w:p w:rsidR="00695AE4" w:rsidRDefault="00695AE4" w:rsidP="00695AE4">
      <w:pPr>
        <w:pStyle w:val="Chapter5CharChar"/>
        <w:numPr>
          <w:ilvl w:val="0"/>
          <w:numId w:val="0"/>
        </w:numPr>
        <w:pBdr>
          <w:top w:val="single" w:sz="4" w:space="10" w:color="auto"/>
          <w:left w:val="single" w:sz="4" w:space="10" w:color="auto"/>
          <w:bottom w:val="single" w:sz="4" w:space="10" w:color="auto"/>
          <w:right w:val="single" w:sz="4" w:space="10" w:color="auto"/>
        </w:pBdr>
      </w:pPr>
      <w:r>
        <w:t>We are interested to hear from readers:</w:t>
      </w:r>
    </w:p>
    <w:p w:rsidR="00695AE4" w:rsidRDefault="00695AE4" w:rsidP="00695AE4">
      <w:pPr>
        <w:pStyle w:val="Chapter5CharChar"/>
        <w:numPr>
          <w:ilvl w:val="0"/>
          <w:numId w:val="0"/>
        </w:numPr>
        <w:pBdr>
          <w:top w:val="single" w:sz="4" w:space="10" w:color="auto"/>
          <w:left w:val="single" w:sz="4" w:space="10" w:color="auto"/>
          <w:bottom w:val="single" w:sz="4" w:space="10" w:color="auto"/>
          <w:right w:val="single" w:sz="4" w:space="10" w:color="auto"/>
        </w:pBdr>
      </w:pPr>
    </w:p>
    <w:p w:rsidR="00695AE4"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695AE4">
        <w:tab/>
      </w:r>
      <w:r w:rsidR="00636511">
        <w:t>W</w:t>
      </w:r>
      <w:r w:rsidR="00695AE4">
        <w:t>hether any deferral regime for start-up companies should be elective or mandatory</w:t>
      </w:r>
      <w:r w:rsidR="000F3CC8">
        <w:t>.</w:t>
      </w:r>
    </w:p>
    <w:p w:rsidR="00636511" w:rsidRDefault="00636511"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p>
    <w:p w:rsidR="00695AE4"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695AE4">
        <w:tab/>
      </w:r>
      <w:r w:rsidR="00636511">
        <w:t>I</w:t>
      </w:r>
      <w:r w:rsidR="00695AE4">
        <w:t>f elective, on what basis (scheme-b</w:t>
      </w:r>
      <w:r w:rsidR="005442DF">
        <w:t>y-scheme, employee-by-employee)?</w:t>
      </w:r>
    </w:p>
    <w:p w:rsidR="00636511" w:rsidRDefault="00636511"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p>
    <w:p w:rsidR="00695AE4"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695AE4">
        <w:tab/>
      </w:r>
      <w:r w:rsidR="00636511">
        <w:t>S</w:t>
      </w:r>
      <w:r w:rsidR="00695AE4">
        <w:t>hould the choice to defer payment of the tax b</w:t>
      </w:r>
      <w:r>
        <w:t>e</w:t>
      </w:r>
      <w:r w:rsidR="00695AE4">
        <w:t xml:space="preserve"> available to the employer or the employee?</w:t>
      </w:r>
    </w:p>
    <w:p w:rsidR="00636511" w:rsidRDefault="00636511"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p>
    <w:p w:rsidR="00695AE4" w:rsidRDefault="00EB21F6" w:rsidP="00E61E1E">
      <w:pPr>
        <w:pStyle w:val="Chapter5CharChar"/>
        <w:numPr>
          <w:ilvl w:val="0"/>
          <w:numId w:val="0"/>
        </w:numPr>
        <w:pBdr>
          <w:top w:val="single" w:sz="4" w:space="10" w:color="auto"/>
          <w:left w:val="single" w:sz="4" w:space="10" w:color="auto"/>
          <w:bottom w:val="single" w:sz="4" w:space="10" w:color="auto"/>
          <w:right w:val="single" w:sz="4" w:space="10" w:color="auto"/>
        </w:pBdr>
        <w:ind w:left="426" w:hanging="426"/>
      </w:pPr>
      <w:r>
        <w:sym w:font="Wingdings" w:char="F09F"/>
      </w:r>
      <w:r w:rsidR="00695AE4">
        <w:tab/>
      </w:r>
      <w:r w:rsidR="00636511">
        <w:t>W</w:t>
      </w:r>
      <w:r w:rsidR="00E61E1E">
        <w:t>hat other design issues need to be considered for a deferral scheme?</w:t>
      </w:r>
    </w:p>
    <w:p w:rsidR="00695AE4" w:rsidRDefault="00695AE4" w:rsidP="00B877AB">
      <w:pPr>
        <w:pStyle w:val="Chapter5CharChar"/>
        <w:numPr>
          <w:ilvl w:val="0"/>
          <w:numId w:val="0"/>
        </w:numPr>
        <w:ind w:left="851"/>
      </w:pPr>
    </w:p>
    <w:p w:rsidR="00FE3495" w:rsidRPr="00A76AD1" w:rsidRDefault="00FE3495" w:rsidP="00A76AD1">
      <w:pPr>
        <w:pStyle w:val="Chapterheading"/>
      </w:pPr>
      <w:bookmarkStart w:id="99" w:name="_Toc477103278"/>
      <w:bookmarkStart w:id="100" w:name="_Toc477162784"/>
      <w:bookmarkStart w:id="101" w:name="_Toc478052520"/>
      <w:bookmarkStart w:id="102" w:name="_Toc480452369"/>
      <w:bookmarkStart w:id="103" w:name="_Toc480452480"/>
      <w:bookmarkStart w:id="104" w:name="_Toc480965219"/>
      <w:bookmarkStart w:id="105" w:name="_Toc481055671"/>
      <w:bookmarkStart w:id="106" w:name="_Toc481678572"/>
      <w:bookmarkStart w:id="107" w:name="_Toc483225364"/>
      <w:bookmarkStart w:id="108" w:name="_Toc483815946"/>
      <w:r w:rsidRPr="00382E2E">
        <w:t xml:space="preserve">CHAPTER </w:t>
      </w:r>
      <w:r>
        <w:t>6</w:t>
      </w:r>
      <w:bookmarkEnd w:id="99"/>
      <w:bookmarkEnd w:id="100"/>
      <w:bookmarkEnd w:id="101"/>
      <w:bookmarkEnd w:id="102"/>
      <w:bookmarkEnd w:id="103"/>
      <w:bookmarkEnd w:id="104"/>
      <w:bookmarkEnd w:id="105"/>
      <w:bookmarkEnd w:id="106"/>
      <w:bookmarkEnd w:id="107"/>
      <w:bookmarkEnd w:id="108"/>
    </w:p>
    <w:p w:rsidR="00FE3495" w:rsidRPr="00382E2E" w:rsidRDefault="00FE3495" w:rsidP="00FE3495">
      <w:pPr>
        <w:pStyle w:val="Chapterheading"/>
        <w:rPr>
          <w:lang w:val="en-NZ"/>
        </w:rPr>
      </w:pPr>
    </w:p>
    <w:p w:rsidR="00FE3495" w:rsidRPr="00A76AD1" w:rsidRDefault="00FE3495" w:rsidP="00FE3495">
      <w:pPr>
        <w:pStyle w:val="Chapterheading"/>
        <w:rPr>
          <w:rStyle w:val="ChapterheadingCharCharChar"/>
        </w:rPr>
      </w:pPr>
      <w:bookmarkStart w:id="109" w:name="_Toc483225365"/>
      <w:bookmarkStart w:id="110" w:name="_Toc483815947"/>
      <w:r w:rsidRPr="00A76AD1">
        <w:rPr>
          <w:rStyle w:val="ChapterheadingCharCharChar"/>
        </w:rPr>
        <w:t>Deferred taxing point</w:t>
      </w:r>
      <w:bookmarkEnd w:id="109"/>
      <w:bookmarkEnd w:id="110"/>
    </w:p>
    <w:p w:rsidR="00FE3495" w:rsidRDefault="00FE3495" w:rsidP="00B877AB">
      <w:pPr>
        <w:pStyle w:val="Chapter6"/>
        <w:numPr>
          <w:ilvl w:val="0"/>
          <w:numId w:val="0"/>
        </w:numPr>
        <w:ind w:left="851"/>
        <w:rPr>
          <w:lang w:val="en-NZ"/>
        </w:rPr>
      </w:pPr>
    </w:p>
    <w:p w:rsidR="005568A6" w:rsidRDefault="005568A6" w:rsidP="00B877AB">
      <w:pPr>
        <w:pStyle w:val="Chapter6"/>
        <w:numPr>
          <w:ilvl w:val="0"/>
          <w:numId w:val="0"/>
        </w:numPr>
        <w:ind w:left="851"/>
        <w:rPr>
          <w:lang w:val="en-NZ"/>
        </w:rPr>
      </w:pPr>
    </w:p>
    <w:p w:rsidR="00D50BB8" w:rsidRDefault="00D50BB8" w:rsidP="00EE3143">
      <w:pPr>
        <w:pStyle w:val="Chapter6"/>
      </w:pPr>
      <w:r>
        <w:t xml:space="preserve">The </w:t>
      </w:r>
      <w:r w:rsidR="004D0BDE">
        <w:t xml:space="preserve">issues the deferral proposal is trying to address are the lack of liquidity and difficulty </w:t>
      </w:r>
      <w:r w:rsidR="00CA28DC">
        <w:t xml:space="preserve">of </w:t>
      </w:r>
      <w:r w:rsidR="004D0BDE">
        <w:t>valuing shares.</w:t>
      </w:r>
    </w:p>
    <w:p w:rsidR="004D0BDE" w:rsidRDefault="004D0BDE" w:rsidP="00EE3143">
      <w:pPr>
        <w:pStyle w:val="Chapter6"/>
        <w:numPr>
          <w:ilvl w:val="0"/>
          <w:numId w:val="0"/>
        </w:numPr>
        <w:ind w:left="851"/>
      </w:pPr>
    </w:p>
    <w:p w:rsidR="004D0BDE" w:rsidRDefault="004D0BDE" w:rsidP="00EE3143">
      <w:pPr>
        <w:pStyle w:val="Chapter6"/>
      </w:pPr>
      <w:r>
        <w:t>Once employee</w:t>
      </w:r>
      <w:r w:rsidR="00CA28DC">
        <w:t>s</w:t>
      </w:r>
      <w:r>
        <w:t xml:space="preserve"> have sold their shares, obviously both of these issues have been resolved, so tax should be payable </w:t>
      </w:r>
      <w:r w:rsidR="0005129B">
        <w:t xml:space="preserve">no later than </w:t>
      </w:r>
      <w:r>
        <w:t>that time.</w:t>
      </w:r>
    </w:p>
    <w:p w:rsidR="004D0BDE" w:rsidRDefault="004D0BDE" w:rsidP="00EE3143">
      <w:pPr>
        <w:pStyle w:val="Chapter6"/>
        <w:numPr>
          <w:ilvl w:val="0"/>
          <w:numId w:val="0"/>
        </w:numPr>
        <w:ind w:left="851"/>
      </w:pPr>
    </w:p>
    <w:p w:rsidR="004D0BDE" w:rsidRDefault="004D0BDE" w:rsidP="00EE3143">
      <w:pPr>
        <w:pStyle w:val="Chapter6"/>
      </w:pPr>
      <w:r>
        <w:t>However, there are other events that should also potentially trigger the taxing point for shares – either because the liquidity and valuation issues have been resolved, or there are important integrity reasons for tax to be triggered.</w:t>
      </w:r>
    </w:p>
    <w:p w:rsidR="004D0BDE" w:rsidRDefault="004D0BDE" w:rsidP="00EE3143">
      <w:pPr>
        <w:pStyle w:val="Chapter6"/>
        <w:numPr>
          <w:ilvl w:val="0"/>
          <w:numId w:val="0"/>
        </w:numPr>
        <w:ind w:left="851"/>
      </w:pPr>
    </w:p>
    <w:p w:rsidR="004D0BDE" w:rsidRDefault="004D0BDE" w:rsidP="00EE3143">
      <w:pPr>
        <w:pStyle w:val="Chapter6"/>
      </w:pPr>
      <w:r>
        <w:t>Therefore in addition to the sale of the shares, we believe the following events should also trigger the taxing point:</w:t>
      </w:r>
    </w:p>
    <w:p w:rsidR="00D50BB8" w:rsidRDefault="00D50BB8" w:rsidP="00B877AB">
      <w:pPr>
        <w:pStyle w:val="Chapter6"/>
        <w:numPr>
          <w:ilvl w:val="0"/>
          <w:numId w:val="0"/>
        </w:numPr>
        <w:ind w:left="851"/>
      </w:pPr>
    </w:p>
    <w:p w:rsidR="00E43818" w:rsidRDefault="004D0BDE" w:rsidP="00B877AB">
      <w:pPr>
        <w:pStyle w:val="Bullets"/>
      </w:pPr>
      <w:r w:rsidRPr="00EE3143">
        <w:t xml:space="preserve">an </w:t>
      </w:r>
      <w:r w:rsidR="00E43818" w:rsidRPr="00EE3143">
        <w:t>initial public offering (IPO)</w:t>
      </w:r>
      <w:r w:rsidRPr="00EE3143">
        <w:t xml:space="preserve"> of the shares on a recognised exchange</w:t>
      </w:r>
      <w:r w:rsidR="00E43818" w:rsidRPr="00EE3143">
        <w:t>;</w:t>
      </w:r>
    </w:p>
    <w:p w:rsidR="00CD7B26" w:rsidRPr="00EE3143" w:rsidRDefault="00CD7B26" w:rsidP="00B877AB">
      <w:pPr>
        <w:pStyle w:val="Bullets"/>
      </w:pPr>
      <w:r>
        <w:t>sale of the company’s assets followed by distribution to shareholders when the company is wound up</w:t>
      </w:r>
      <w:r w:rsidR="00EB21F6">
        <w:t>;</w:t>
      </w:r>
    </w:p>
    <w:p w:rsidR="00E43818" w:rsidRPr="00EE3143" w:rsidRDefault="004D0BDE" w:rsidP="00B877AB">
      <w:pPr>
        <w:pStyle w:val="Bullets"/>
      </w:pPr>
      <w:r w:rsidRPr="00EE3143">
        <w:t xml:space="preserve">cancellation </w:t>
      </w:r>
      <w:r w:rsidR="00E43818" w:rsidRPr="00EE3143">
        <w:t>of the shares</w:t>
      </w:r>
      <w:r w:rsidR="0005129B">
        <w:t>,</w:t>
      </w:r>
      <w:r w:rsidR="00C22C2C" w:rsidRPr="00EE3143">
        <w:t xml:space="preserve"> including on the company being struck off</w:t>
      </w:r>
      <w:r w:rsidR="00402474">
        <w:t xml:space="preserve"> (this will be a relatively common occurrence for start</w:t>
      </w:r>
      <w:r w:rsidR="00CA28DC">
        <w:t>-</w:t>
      </w:r>
      <w:r w:rsidR="00402474">
        <w:t>up companies)</w:t>
      </w:r>
      <w:r w:rsidR="00527ED5">
        <w:t>;</w:t>
      </w:r>
    </w:p>
    <w:p w:rsidR="0005129B" w:rsidRPr="00EE3143" w:rsidRDefault="00CD7B26" w:rsidP="00B877AB">
      <w:pPr>
        <w:pStyle w:val="Bullets"/>
      </w:pPr>
      <w:r>
        <w:t>ceasing to</w:t>
      </w:r>
      <w:r w:rsidR="00B93393">
        <w:t xml:space="preserve"> be a N</w:t>
      </w:r>
      <w:r>
        <w:t xml:space="preserve">ew </w:t>
      </w:r>
      <w:r w:rsidR="00B93393">
        <w:t>Z</w:t>
      </w:r>
      <w:r>
        <w:t>ealand</w:t>
      </w:r>
      <w:r w:rsidR="00B93393">
        <w:t xml:space="preserve"> tax resident</w:t>
      </w:r>
      <w:r w:rsidR="0005129B" w:rsidRPr="00EE3143">
        <w:t>;</w:t>
      </w:r>
    </w:p>
    <w:p w:rsidR="00E43818" w:rsidRPr="00EE3143" w:rsidRDefault="004D0BDE" w:rsidP="00B877AB">
      <w:pPr>
        <w:pStyle w:val="Bullets"/>
        <w:spacing w:after="0"/>
      </w:pPr>
      <w:r w:rsidRPr="00EE3143">
        <w:t xml:space="preserve">a </w:t>
      </w:r>
      <w:r w:rsidR="00E43818" w:rsidRPr="00EE3143">
        <w:t xml:space="preserve">“sunset” </w:t>
      </w:r>
      <w:r w:rsidR="00EE4179" w:rsidRPr="00EE3143">
        <w:t>date</w:t>
      </w:r>
      <w:r w:rsidR="00E43818" w:rsidRPr="00EE3143">
        <w:t xml:space="preserve"> – </w:t>
      </w:r>
      <w:r w:rsidRPr="00EE3143">
        <w:t>for example,</w:t>
      </w:r>
      <w:r w:rsidR="00E43818" w:rsidRPr="00EE3143">
        <w:t xml:space="preserve"> recognition of income cannot be delayed by more than </w:t>
      </w:r>
      <w:r w:rsidR="00EE4179" w:rsidRPr="00EE3143">
        <w:t>7</w:t>
      </w:r>
      <w:r w:rsidR="00E43818" w:rsidRPr="00EE3143">
        <w:t xml:space="preserve"> years.</w:t>
      </w:r>
    </w:p>
    <w:p w:rsidR="00E43818" w:rsidRDefault="00E43818" w:rsidP="00B877AB">
      <w:pPr>
        <w:pStyle w:val="Chapter6"/>
        <w:numPr>
          <w:ilvl w:val="0"/>
          <w:numId w:val="0"/>
        </w:numPr>
        <w:ind w:left="851"/>
        <w:rPr>
          <w:lang w:val="en-NZ"/>
        </w:rPr>
      </w:pPr>
    </w:p>
    <w:p w:rsidR="00C22C2C" w:rsidRDefault="002A3930" w:rsidP="00EE3143">
      <w:pPr>
        <w:pStyle w:val="Chapter6"/>
      </w:pPr>
      <w:r>
        <w:t>The</w:t>
      </w:r>
      <w:r w:rsidR="004D0BDE">
        <w:t xml:space="preserve"> occurrence of any one of these events </w:t>
      </w:r>
      <w:r>
        <w:t>will give rise to a tax liability to the employee and a deduction to the employer if the</w:t>
      </w:r>
      <w:r w:rsidR="00B05B5A">
        <w:t xml:space="preserve"> shares</w:t>
      </w:r>
      <w:r>
        <w:t xml:space="preserve"> are worth more than their cost to the employee, and an obligation on the employer to report the amount of the benefit on the </w:t>
      </w:r>
      <w:r w:rsidR="00CA28DC">
        <w:t>employer monthly schedule (</w:t>
      </w:r>
      <w:r>
        <w:t>EMS</w:t>
      </w:r>
      <w:r w:rsidR="00CA28DC">
        <w:t>)</w:t>
      </w:r>
      <w:r>
        <w:t>.</w:t>
      </w:r>
      <w:r w:rsidR="00B05B5A">
        <w:t xml:space="preserve">  This assumes that the usual share scheme taxing date has already passed.  For example, if the employee holds a share option, at the time one of these events occurs, the event will not trigger income or a deduction.</w:t>
      </w:r>
    </w:p>
    <w:p w:rsidR="00C22C2C" w:rsidRDefault="00C22C2C" w:rsidP="00B877AB">
      <w:pPr>
        <w:pStyle w:val="Chapter6"/>
        <w:numPr>
          <w:ilvl w:val="0"/>
          <w:numId w:val="0"/>
        </w:numPr>
        <w:ind w:left="851"/>
      </w:pPr>
    </w:p>
    <w:p w:rsidR="00EE3143" w:rsidRDefault="00EE3143" w:rsidP="00B877AB">
      <w:pPr>
        <w:pStyle w:val="Chapter6"/>
        <w:numPr>
          <w:ilvl w:val="0"/>
          <w:numId w:val="0"/>
        </w:numPr>
        <w:ind w:left="851"/>
      </w:pPr>
    </w:p>
    <w:p w:rsidR="002A3930" w:rsidRDefault="002A3930" w:rsidP="00C87C38">
      <w:pPr>
        <w:pStyle w:val="Heading1"/>
      </w:pPr>
      <w:bookmarkStart w:id="111" w:name="_Toc483225366"/>
      <w:bookmarkStart w:id="112" w:name="_Toc483815948"/>
      <w:r>
        <w:t>I</w:t>
      </w:r>
      <w:r w:rsidR="000F3CC8">
        <w:t>nitial public offering</w:t>
      </w:r>
      <w:bookmarkEnd w:id="111"/>
      <w:bookmarkEnd w:id="112"/>
    </w:p>
    <w:p w:rsidR="004D0BDE" w:rsidRPr="00CA41FB" w:rsidRDefault="004D0BDE" w:rsidP="00B877AB">
      <w:pPr>
        <w:pStyle w:val="Chapter6"/>
        <w:numPr>
          <w:ilvl w:val="0"/>
          <w:numId w:val="0"/>
        </w:numPr>
        <w:ind w:left="851"/>
      </w:pPr>
    </w:p>
    <w:p w:rsidR="00EE3143" w:rsidRDefault="004D0BDE" w:rsidP="00EE3143">
      <w:pPr>
        <w:pStyle w:val="Chapter6"/>
      </w:pPr>
      <w:r>
        <w:t>An IPO will establish an objective market value for the shares and will also provide an opportunity to sell some shares to pay the tax</w:t>
      </w:r>
      <w:r w:rsidR="002A3930" w:rsidRPr="002A3930">
        <w:t xml:space="preserve">.  </w:t>
      </w:r>
      <w:r>
        <w:t xml:space="preserve">Share values often fluctuate significantly in the period shortly after an IPO, therefore if the employee actually sells their shares within a set period of time after the IPO, </w:t>
      </w:r>
      <w:r w:rsidR="00913B31">
        <w:t xml:space="preserve">we suggest that </w:t>
      </w:r>
      <w:r>
        <w:t xml:space="preserve">it is the sale price – not the listing price, or some other weighted average value – that </w:t>
      </w:r>
      <w:r w:rsidR="00913B31">
        <w:t xml:space="preserve">is </w:t>
      </w:r>
      <w:r>
        <w:t>used to determine the employee’s tax liability</w:t>
      </w:r>
      <w:r w:rsidR="00B05B5A">
        <w:t xml:space="preserve"> </w:t>
      </w:r>
      <w:r w:rsidR="00527ED5">
        <w:t>in relation to the shares sold.</w:t>
      </w:r>
    </w:p>
    <w:p w:rsidR="00EE3143" w:rsidRDefault="00EE3143" w:rsidP="00EE3143">
      <w:pPr>
        <w:pStyle w:val="Chapter6"/>
        <w:numPr>
          <w:ilvl w:val="0"/>
          <w:numId w:val="0"/>
        </w:numPr>
        <w:ind w:left="851"/>
      </w:pPr>
    </w:p>
    <w:p w:rsidR="00042816" w:rsidRDefault="00042816" w:rsidP="00EE3143">
      <w:pPr>
        <w:pStyle w:val="Chapter6"/>
      </w:pPr>
      <w:r>
        <w:t xml:space="preserve">We are interested in submissions on what may be an appropriate period to </w:t>
      </w:r>
      <w:r w:rsidR="00B93393">
        <w:t xml:space="preserve">allow the shares to be </w:t>
      </w:r>
      <w:r>
        <w:t>value</w:t>
      </w:r>
      <w:r w:rsidR="00B93393">
        <w:t>d</w:t>
      </w:r>
      <w:r>
        <w:t xml:space="preserve"> on their sale price rather than the IPO listing </w:t>
      </w:r>
      <w:r>
        <w:lastRenderedPageBreak/>
        <w:t>price.  In Australia if shares are sold on-market within 30 days of the deferred taxing point the sale proceeds from the shares can be taken as their market value.</w:t>
      </w:r>
    </w:p>
    <w:p w:rsidR="00042816" w:rsidRDefault="00042816" w:rsidP="00B877AB">
      <w:pPr>
        <w:pStyle w:val="Chapter6"/>
        <w:numPr>
          <w:ilvl w:val="0"/>
          <w:numId w:val="0"/>
        </w:numPr>
        <w:ind w:left="851"/>
      </w:pPr>
    </w:p>
    <w:p w:rsidR="002A3930" w:rsidRDefault="002A3930" w:rsidP="00EE3143">
      <w:pPr>
        <w:pStyle w:val="Chapter6"/>
      </w:pPr>
      <w:r w:rsidRPr="002A3930">
        <w:t xml:space="preserve">Employers will need to take steps to ensure they </w:t>
      </w:r>
      <w:r w:rsidR="004D0BDE">
        <w:t xml:space="preserve">are </w:t>
      </w:r>
      <w:r w:rsidRPr="002A3930">
        <w:t xml:space="preserve">aware of these values.  As the deduction will </w:t>
      </w:r>
      <w:r w:rsidR="00913B31">
        <w:t xml:space="preserve">arise immediately </w:t>
      </w:r>
      <w:r w:rsidRPr="002A3930">
        <w:t xml:space="preserve">after the IPO, the employer’s deduction will not be affected by any </w:t>
      </w:r>
      <w:r w:rsidR="00F52460">
        <w:t xml:space="preserve">IPO-related </w:t>
      </w:r>
      <w:r w:rsidRPr="002A3930">
        <w:t>ownership changes</w:t>
      </w:r>
      <w:r w:rsidR="003D2F8C">
        <w:t xml:space="preserve"> which otherwise</w:t>
      </w:r>
      <w:r w:rsidR="00B05B5A">
        <w:t xml:space="preserve"> might</w:t>
      </w:r>
      <w:r w:rsidR="003D2F8C">
        <w:t xml:space="preserve"> see the employer forfeit previously carried forward tax losses from unused </w:t>
      </w:r>
      <w:r w:rsidR="0077460F">
        <w:t>ESS</w:t>
      </w:r>
      <w:r w:rsidR="003D2F8C">
        <w:t xml:space="preserve"> deductions</w:t>
      </w:r>
      <w:r w:rsidRPr="002A3930">
        <w:t>.</w:t>
      </w:r>
      <w:r w:rsidR="003D2F8C">
        <w:t xml:space="preserve">  This is another advantage of deferring the taxing point.</w:t>
      </w:r>
    </w:p>
    <w:p w:rsidR="0078647A" w:rsidRPr="0078647A" w:rsidRDefault="0078647A" w:rsidP="00B877AB">
      <w:pPr>
        <w:pStyle w:val="Chapter6"/>
        <w:numPr>
          <w:ilvl w:val="0"/>
          <w:numId w:val="0"/>
        </w:numPr>
        <w:ind w:left="851"/>
      </w:pPr>
    </w:p>
    <w:p w:rsidR="00B05B5A" w:rsidRDefault="00B05B5A" w:rsidP="00B877AB">
      <w:pPr>
        <w:pStyle w:val="Chapter6"/>
        <w:numPr>
          <w:ilvl w:val="0"/>
          <w:numId w:val="0"/>
        </w:numPr>
        <w:ind w:left="851"/>
      </w:pPr>
    </w:p>
    <w:p w:rsidR="00CD7B26" w:rsidRDefault="00CD7B26" w:rsidP="00C87C38">
      <w:pPr>
        <w:pStyle w:val="Heading1"/>
      </w:pPr>
      <w:bookmarkStart w:id="113" w:name="_Toc483225367"/>
      <w:bookmarkStart w:id="114" w:name="_Toc483815949"/>
      <w:r>
        <w:t>Distribution of assets</w:t>
      </w:r>
      <w:bookmarkEnd w:id="113"/>
      <w:bookmarkEnd w:id="114"/>
    </w:p>
    <w:p w:rsidR="00CD7B26" w:rsidRDefault="00CD7B26" w:rsidP="00B877AB">
      <w:pPr>
        <w:pStyle w:val="Chapter6"/>
        <w:numPr>
          <w:ilvl w:val="0"/>
          <w:numId w:val="0"/>
        </w:numPr>
        <w:ind w:left="851"/>
      </w:pPr>
    </w:p>
    <w:p w:rsidR="00CD7B26" w:rsidRDefault="00CD7B26" w:rsidP="00CD7B26">
      <w:pPr>
        <w:pStyle w:val="Chapter6"/>
      </w:pPr>
      <w:r>
        <w:t xml:space="preserve">Start-ups can reach a liquidity point by selling the company’s assets to a third party.  The start-up would then distribute these assets (often cash or shares in the acquiring company) to its shareholders when the company was wound up.  </w:t>
      </w:r>
      <w:r w:rsidR="00122583">
        <w:t>Due to earn-out periods</w:t>
      </w:r>
      <w:r w:rsidR="000F3CC8" w:rsidRPr="00CF1B2A">
        <w:rPr>
          <w:rStyle w:val="FootnoteReference"/>
          <w:sz w:val="24"/>
          <w:szCs w:val="24"/>
        </w:rPr>
        <w:footnoteReference w:id="7"/>
      </w:r>
      <w:r w:rsidR="00122583">
        <w:t xml:space="preserve"> it can be difficult to ascertain the value of the shares even at the point the assets are sold.  </w:t>
      </w:r>
      <w:r>
        <w:t xml:space="preserve">It would not be appropriate to value the shares provided under an ESS when the shares were cancelled as at this point they will have zero value.  One option would be to tax shareholders </w:t>
      </w:r>
      <w:r w:rsidR="00122583">
        <w:t xml:space="preserve">with deferred ESS benefits </w:t>
      </w:r>
      <w:r>
        <w:t>on the value of distributions to the extent it exceeds what they paid for the shares.  We invite submissions on this issue.</w:t>
      </w:r>
    </w:p>
    <w:p w:rsidR="00CD7B26" w:rsidRDefault="00CD7B26" w:rsidP="00B877AB">
      <w:pPr>
        <w:pStyle w:val="Chapter6"/>
        <w:numPr>
          <w:ilvl w:val="0"/>
          <w:numId w:val="0"/>
        </w:numPr>
        <w:ind w:left="851"/>
      </w:pPr>
    </w:p>
    <w:p w:rsidR="00CD7B26" w:rsidRPr="00CD7B26" w:rsidRDefault="00CD7B26" w:rsidP="00B877AB">
      <w:pPr>
        <w:pStyle w:val="Chapter6"/>
        <w:numPr>
          <w:ilvl w:val="0"/>
          <w:numId w:val="0"/>
        </w:numPr>
        <w:ind w:left="851"/>
      </w:pPr>
    </w:p>
    <w:p w:rsidR="00D06636" w:rsidRDefault="00D06636" w:rsidP="00C87C38">
      <w:pPr>
        <w:pStyle w:val="Heading1"/>
      </w:pPr>
      <w:bookmarkStart w:id="115" w:name="_Toc483225368"/>
      <w:bookmarkStart w:id="116" w:name="_Toc483815950"/>
      <w:r>
        <w:t>Cancellation of shares</w:t>
      </w:r>
      <w:bookmarkEnd w:id="115"/>
      <w:bookmarkEnd w:id="116"/>
    </w:p>
    <w:p w:rsidR="00D06636" w:rsidRDefault="00D06636" w:rsidP="00D06636">
      <w:pPr>
        <w:pStyle w:val="Chapter6"/>
        <w:numPr>
          <w:ilvl w:val="0"/>
          <w:numId w:val="0"/>
        </w:numPr>
        <w:ind w:left="851"/>
      </w:pPr>
    </w:p>
    <w:p w:rsidR="00D06636" w:rsidRDefault="00D06636" w:rsidP="00D06636">
      <w:pPr>
        <w:pStyle w:val="Chapter6"/>
      </w:pPr>
      <w:r>
        <w:t>At the point shares are cancelled the employee no longer holds an interest so</w:t>
      </w:r>
      <w:r w:rsidR="00C0285D">
        <w:t xml:space="preserve"> there is no benefit in deferring the taxing point beyond this.</w:t>
      </w:r>
    </w:p>
    <w:p w:rsidR="00D06636" w:rsidRDefault="00D06636" w:rsidP="00B877AB">
      <w:pPr>
        <w:pStyle w:val="Chapter6"/>
        <w:numPr>
          <w:ilvl w:val="0"/>
          <w:numId w:val="0"/>
        </w:numPr>
        <w:ind w:left="851"/>
      </w:pPr>
    </w:p>
    <w:p w:rsidR="00D06636" w:rsidRDefault="00D06636" w:rsidP="00B877AB">
      <w:pPr>
        <w:pStyle w:val="Chapter6"/>
        <w:numPr>
          <w:ilvl w:val="0"/>
          <w:numId w:val="0"/>
        </w:numPr>
        <w:ind w:left="851"/>
      </w:pPr>
    </w:p>
    <w:p w:rsidR="00382AE9" w:rsidRDefault="00122583" w:rsidP="00C87C38">
      <w:pPr>
        <w:pStyle w:val="Heading1"/>
      </w:pPr>
      <w:bookmarkStart w:id="117" w:name="_Toc483225369"/>
      <w:bookmarkStart w:id="118" w:name="_Toc483815951"/>
      <w:r>
        <w:t>Ceasing to</w:t>
      </w:r>
      <w:r w:rsidR="00175643">
        <w:t xml:space="preserve"> be a N</w:t>
      </w:r>
      <w:r>
        <w:t xml:space="preserve">ew </w:t>
      </w:r>
      <w:r w:rsidR="00175643">
        <w:t>Z</w:t>
      </w:r>
      <w:r>
        <w:t>ealand</w:t>
      </w:r>
      <w:r w:rsidR="00175643">
        <w:t xml:space="preserve"> tax resident</w:t>
      </w:r>
      <w:bookmarkEnd w:id="117"/>
      <w:bookmarkEnd w:id="118"/>
    </w:p>
    <w:p w:rsidR="00773A93" w:rsidRDefault="00773A93" w:rsidP="00B877AB">
      <w:pPr>
        <w:pStyle w:val="Chapter6"/>
        <w:numPr>
          <w:ilvl w:val="0"/>
          <w:numId w:val="0"/>
        </w:numPr>
        <w:ind w:left="851"/>
      </w:pPr>
    </w:p>
    <w:p w:rsidR="00175643" w:rsidRDefault="00175643" w:rsidP="00175643">
      <w:pPr>
        <w:pStyle w:val="Chapter6"/>
      </w:pPr>
      <w:r>
        <w:t>When an employee ceases employment with a group they may be entitled to retain shares or options that have yet to reach a taxing point.  This creates an administrative risk whether these now</w:t>
      </w:r>
      <w:r w:rsidR="000F3CC8">
        <w:t xml:space="preserve"> </w:t>
      </w:r>
      <w:r>
        <w:t>former employees will comply with their obligations.</w:t>
      </w:r>
    </w:p>
    <w:p w:rsidR="003D2F8C" w:rsidRDefault="003D2F8C" w:rsidP="00EE3143">
      <w:pPr>
        <w:pStyle w:val="Chapter6"/>
        <w:numPr>
          <w:ilvl w:val="0"/>
          <w:numId w:val="0"/>
        </w:numPr>
        <w:ind w:left="851"/>
      </w:pPr>
    </w:p>
    <w:p w:rsidR="00EE4179" w:rsidRDefault="003D2F8C" w:rsidP="00EE3143">
      <w:pPr>
        <w:pStyle w:val="Chapter6"/>
      </w:pPr>
      <w:r>
        <w:t xml:space="preserve">The Australian start-up rules use leaving employment as a trigger for the taxing point.  </w:t>
      </w:r>
      <w:r w:rsidR="00334C38">
        <w:t xml:space="preserve">In Australia, an employee </w:t>
      </w:r>
      <w:r w:rsidR="00773A93">
        <w:t xml:space="preserve">is considered to have ceased their employment with the company if they are no longer employed by any company in the </w:t>
      </w:r>
      <w:r>
        <w:t xml:space="preserve">same </w:t>
      </w:r>
      <w:r w:rsidR="00773A93">
        <w:t xml:space="preserve">group.  </w:t>
      </w:r>
      <w:r w:rsidR="00B82BDE">
        <w:t>Cessation of employment would likely occur once a person receives the last payment they are entitled to which is subject to PAYE.</w:t>
      </w:r>
    </w:p>
    <w:p w:rsidR="00B82BDE" w:rsidRDefault="00B82BDE" w:rsidP="00EE3143">
      <w:pPr>
        <w:pStyle w:val="Chapter6"/>
        <w:numPr>
          <w:ilvl w:val="0"/>
          <w:numId w:val="0"/>
        </w:numPr>
        <w:ind w:left="851"/>
      </w:pPr>
    </w:p>
    <w:p w:rsidR="003D2F8C" w:rsidRDefault="00175643" w:rsidP="00EE3143">
      <w:pPr>
        <w:pStyle w:val="Chapter6"/>
      </w:pPr>
      <w:r>
        <w:t>Implementing an equivalent rule in New Zealand would provide a tax incentive for an employee to stay with the same company when in the absence of tax they would not.</w:t>
      </w:r>
    </w:p>
    <w:p w:rsidR="00175643" w:rsidRDefault="00175643" w:rsidP="00B877AB">
      <w:pPr>
        <w:pStyle w:val="Chapter6"/>
        <w:numPr>
          <w:ilvl w:val="0"/>
          <w:numId w:val="0"/>
        </w:numPr>
        <w:ind w:left="851"/>
      </w:pPr>
    </w:p>
    <w:p w:rsidR="00FC194E" w:rsidRDefault="00C174B3" w:rsidP="00FC194E">
      <w:pPr>
        <w:pStyle w:val="Chapter6"/>
      </w:pPr>
      <w:r>
        <w:lastRenderedPageBreak/>
        <w:t xml:space="preserve">If </w:t>
      </w:r>
      <w:r w:rsidR="002C2D84">
        <w:t>employee</w:t>
      </w:r>
      <w:r>
        <w:t>s</w:t>
      </w:r>
      <w:r w:rsidR="002C2D84">
        <w:t xml:space="preserve"> </w:t>
      </w:r>
      <w:r>
        <w:t xml:space="preserve">did not trigger the taxing point upon leaving employment, </w:t>
      </w:r>
      <w:r w:rsidR="002C2D84">
        <w:t>former employee</w:t>
      </w:r>
      <w:r w:rsidR="000F3CC8">
        <w:t>s</w:t>
      </w:r>
      <w:r w:rsidR="002C2D84">
        <w:t xml:space="preserve"> would </w:t>
      </w:r>
      <w:r>
        <w:t xml:space="preserve">continue </w:t>
      </w:r>
      <w:r w:rsidR="002C2D84">
        <w:t>be required to return tax on th</w:t>
      </w:r>
      <w:r w:rsidR="002628BB">
        <w:t>e ESS</w:t>
      </w:r>
      <w:r w:rsidR="002C2D84">
        <w:t xml:space="preserve"> benefit even </w:t>
      </w:r>
      <w:r>
        <w:t>though</w:t>
      </w:r>
      <w:r w:rsidR="002C2D84">
        <w:t xml:space="preserve"> they </w:t>
      </w:r>
      <w:r>
        <w:t>we</w:t>
      </w:r>
      <w:r w:rsidR="002C2D84">
        <w:t>re no longer employed by the company.</w:t>
      </w:r>
    </w:p>
    <w:p w:rsidR="00FC194E" w:rsidRDefault="00FC194E" w:rsidP="00B877AB">
      <w:pPr>
        <w:pStyle w:val="Chapter6"/>
        <w:numPr>
          <w:ilvl w:val="0"/>
          <w:numId w:val="0"/>
        </w:numPr>
        <w:ind w:left="851"/>
      </w:pPr>
    </w:p>
    <w:p w:rsidR="00175643" w:rsidRDefault="00175643" w:rsidP="00EE3143">
      <w:pPr>
        <w:pStyle w:val="Chapter6"/>
      </w:pPr>
      <w:bookmarkStart w:id="119" w:name="_Ref481578490"/>
      <w:r>
        <w:t>Enforcing these obligations, however, will be much easier if the former employee continues to be a New Zealand tax resident.</w:t>
      </w:r>
      <w:r w:rsidR="00FC194E">
        <w:t xml:space="preserve">  Therefore</w:t>
      </w:r>
      <w:r w:rsidR="002C2D84">
        <w:t>, we propose</w:t>
      </w:r>
      <w:r w:rsidR="00FC194E">
        <w:t xml:space="preserve"> the deferral period should only continue while the former employee remains New Zealand tax resident.</w:t>
      </w:r>
      <w:bookmarkEnd w:id="119"/>
    </w:p>
    <w:p w:rsidR="00FC194E" w:rsidRDefault="00FC194E" w:rsidP="00B877AB">
      <w:pPr>
        <w:pStyle w:val="Chapter6"/>
        <w:numPr>
          <w:ilvl w:val="0"/>
          <w:numId w:val="0"/>
        </w:numPr>
        <w:ind w:left="851"/>
      </w:pPr>
    </w:p>
    <w:p w:rsidR="00FC194E" w:rsidRDefault="00FC194E" w:rsidP="00EE3143">
      <w:pPr>
        <w:pStyle w:val="Chapter6"/>
      </w:pPr>
      <w:r>
        <w:t>The rules should not encourage New Zealand employees to leave New Zealand to escape their tax obligations and requiring tax to be paid at the time the individual left New Zealand would achieve this.</w:t>
      </w:r>
      <w:r w:rsidR="002C2D84">
        <w:t xml:space="preserve">  This is also consistent with many other sections of the Income Tax Act 2007 where a liability is </w:t>
      </w:r>
      <w:r w:rsidR="00721833">
        <w:t>crystallised</w:t>
      </w:r>
      <w:r w:rsidR="002C2D84">
        <w:t xml:space="preserve"> at the point the person ceases to be a New Zealand tax resident.</w:t>
      </w:r>
    </w:p>
    <w:p w:rsidR="00001EAB" w:rsidRDefault="00001EAB" w:rsidP="00B877AB">
      <w:pPr>
        <w:pStyle w:val="Chapter6"/>
        <w:numPr>
          <w:ilvl w:val="0"/>
          <w:numId w:val="0"/>
        </w:numPr>
        <w:ind w:left="851"/>
      </w:pPr>
    </w:p>
    <w:p w:rsidR="00CE20F7" w:rsidRPr="00120C37" w:rsidRDefault="00CE20F7" w:rsidP="00B877AB">
      <w:pPr>
        <w:pStyle w:val="Chapter6"/>
        <w:numPr>
          <w:ilvl w:val="0"/>
          <w:numId w:val="0"/>
        </w:numPr>
        <w:ind w:left="851"/>
      </w:pPr>
    </w:p>
    <w:p w:rsidR="00382AE9" w:rsidRPr="00382AE9" w:rsidRDefault="00382AE9" w:rsidP="00C87C38">
      <w:pPr>
        <w:pStyle w:val="Heading1"/>
      </w:pPr>
      <w:bookmarkStart w:id="120" w:name="_Toc483225370"/>
      <w:bookmarkStart w:id="121" w:name="_Toc483815952"/>
      <w:r>
        <w:t>Sunset period</w:t>
      </w:r>
      <w:bookmarkEnd w:id="120"/>
      <w:bookmarkEnd w:id="121"/>
    </w:p>
    <w:p w:rsidR="00382AE9" w:rsidRDefault="00382AE9" w:rsidP="00B877AB">
      <w:pPr>
        <w:pStyle w:val="Chapter6"/>
        <w:numPr>
          <w:ilvl w:val="0"/>
          <w:numId w:val="0"/>
        </w:numPr>
        <w:ind w:left="851"/>
      </w:pPr>
    </w:p>
    <w:p w:rsidR="00CB34DC" w:rsidRDefault="00CB34DC" w:rsidP="00EE3143">
      <w:pPr>
        <w:pStyle w:val="Chapter6"/>
      </w:pPr>
      <w:r>
        <w:t xml:space="preserve">We believe it is desirable to provide a finite date at which deferral lapses.  This is to prevent the start-up rules allowing an indefinite deferral of tax liability.  </w:t>
      </w:r>
      <w:r w:rsidR="00F52460">
        <w:t>For instance, w</w:t>
      </w:r>
      <w:r>
        <w:t>e understand that in some jurisdictions bespoke financing packages are available to allow employees</w:t>
      </w:r>
      <w:r w:rsidR="00B05B5A">
        <w:t xml:space="preserve"> in successful start-ups</w:t>
      </w:r>
      <w:r>
        <w:t xml:space="preserve"> to monetise the value of their share scheme benefits without triggering a taxing point – thus avoiding tax permanently on the employee share scheme benefits.  To prevent this we propose a “sunset” period.  When this period expires, the taxing point will be triggered regardless of whether one of the other events has occurred.</w:t>
      </w:r>
    </w:p>
    <w:p w:rsidR="00CB34DC" w:rsidRDefault="00CB34DC" w:rsidP="00EE3143">
      <w:pPr>
        <w:pStyle w:val="Chapter6"/>
        <w:numPr>
          <w:ilvl w:val="0"/>
          <w:numId w:val="0"/>
        </w:numPr>
        <w:ind w:left="851"/>
      </w:pPr>
    </w:p>
    <w:p w:rsidR="00382AE9" w:rsidRDefault="00382AE9" w:rsidP="00EE3143">
      <w:pPr>
        <w:pStyle w:val="Chapter6"/>
      </w:pPr>
      <w:r>
        <w:t>The Australian rules include a “sunset” period of 15 years</w:t>
      </w:r>
      <w:r w:rsidR="00CB34DC">
        <w:t xml:space="preserve"> (recently extended from 7 years)</w:t>
      </w:r>
      <w:r>
        <w:t>.  After 15 years, tax becomes payable even in the absence of another liquidity event occurring, because it is considered that after that amount of time there is (or is very likely to be) either liquidi</w:t>
      </w:r>
      <w:r w:rsidR="00527ED5">
        <w:t>ty or no prospect of liquidity.</w:t>
      </w:r>
    </w:p>
    <w:p w:rsidR="00CB34DC" w:rsidRDefault="00CB34DC" w:rsidP="00EE3143">
      <w:pPr>
        <w:pStyle w:val="Chapter6"/>
        <w:numPr>
          <w:ilvl w:val="0"/>
          <w:numId w:val="0"/>
        </w:numPr>
        <w:ind w:left="851"/>
      </w:pPr>
    </w:p>
    <w:p w:rsidR="00CB34DC" w:rsidRDefault="00777DAA" w:rsidP="00EE3143">
      <w:pPr>
        <w:pStyle w:val="Chapter6"/>
      </w:pPr>
      <w:r w:rsidRPr="00A90758">
        <w:t xml:space="preserve">In our view, a company is likely to have a liquidity event – or fail – before the 15 year mark.  </w:t>
      </w:r>
      <w:r w:rsidR="00CB34DC">
        <w:t xml:space="preserve">Accordingly, we think something closer to 7 years would be appropriate.  </w:t>
      </w:r>
      <w:r w:rsidR="00B05B5A">
        <w:t>This would also be consistent with the period for which records are generally kept.  At some point it will become difficult</w:t>
      </w:r>
      <w:r w:rsidR="00721833">
        <w:t xml:space="preserve"> for employers, employees and Inland Revenue</w:t>
      </w:r>
      <w:r w:rsidR="00B05B5A">
        <w:t xml:space="preserve"> to keep track of the fact that an employee has a contingent tax liability with respect to shares the employee has owned for many years. </w:t>
      </w:r>
      <w:r w:rsidR="00CB34DC">
        <w:t xml:space="preserve"> </w:t>
      </w:r>
      <w:r w:rsidR="00B05B5A">
        <w:t xml:space="preserve">We </w:t>
      </w:r>
      <w:r w:rsidR="00CB34DC">
        <w:t>are interested in submitters’ views on this point.</w:t>
      </w:r>
    </w:p>
    <w:p w:rsidR="00D159B2" w:rsidRDefault="00D159B2" w:rsidP="00B877AB">
      <w:pPr>
        <w:pStyle w:val="Chapter6"/>
        <w:numPr>
          <w:ilvl w:val="0"/>
          <w:numId w:val="0"/>
        </w:numPr>
        <w:ind w:left="851"/>
      </w:pPr>
    </w:p>
    <w:p w:rsidR="00B05B5A" w:rsidRDefault="00B05B5A" w:rsidP="00B877AB">
      <w:pPr>
        <w:pStyle w:val="Chapter6"/>
        <w:numPr>
          <w:ilvl w:val="0"/>
          <w:numId w:val="0"/>
        </w:numPr>
        <w:ind w:left="851"/>
      </w:pPr>
    </w:p>
    <w:p w:rsidR="00B05B5A" w:rsidRDefault="00B05B5A" w:rsidP="00B05B5A">
      <w:pPr>
        <w:pStyle w:val="Heading1"/>
      </w:pPr>
      <w:bookmarkStart w:id="122" w:name="_Toc483225371"/>
      <w:bookmarkStart w:id="123" w:name="_Toc483815953"/>
      <w:r>
        <w:t>Takeovers and restructures</w:t>
      </w:r>
      <w:bookmarkEnd w:id="122"/>
      <w:bookmarkEnd w:id="123"/>
    </w:p>
    <w:p w:rsidR="00B05B5A" w:rsidRDefault="00B05B5A" w:rsidP="00B877AB">
      <w:pPr>
        <w:pStyle w:val="Chapter6"/>
        <w:numPr>
          <w:ilvl w:val="0"/>
          <w:numId w:val="0"/>
        </w:numPr>
        <w:ind w:left="851"/>
      </w:pPr>
    </w:p>
    <w:p w:rsidR="00B05B5A" w:rsidRDefault="00B05B5A" w:rsidP="00B05B5A">
      <w:pPr>
        <w:pStyle w:val="Chapter6"/>
      </w:pPr>
      <w:r>
        <w:t>In the absence of specific rules, a corporate takeover or restructure of a company could have unintended consequences for employees with employee share scheme benefits.</w:t>
      </w:r>
    </w:p>
    <w:p w:rsidR="00B05B5A" w:rsidRDefault="00B05B5A" w:rsidP="00B05B5A">
      <w:pPr>
        <w:pStyle w:val="Chapter6"/>
        <w:numPr>
          <w:ilvl w:val="0"/>
          <w:numId w:val="0"/>
        </w:numPr>
        <w:ind w:left="851"/>
      </w:pPr>
    </w:p>
    <w:p w:rsidR="00B05B5A" w:rsidRDefault="00B05B5A" w:rsidP="00B05B5A">
      <w:pPr>
        <w:pStyle w:val="Chapter6"/>
      </w:pPr>
      <w:r>
        <w:lastRenderedPageBreak/>
        <w:t>In Australia rules are in place so that when the company offering the ESS has been subject to a takeover or restructure, any employee share scheme interests in a company that was acquired in connection with the takeover or restructure are treated as a continuation of the old interests.  This is only to the extent that, as a result of the arrangement or change, the employee has ceased holding the old interests, and the new interests can reasonably be regarded</w:t>
      </w:r>
      <w:r w:rsidR="00527ED5">
        <w:t xml:space="preserve"> as matching the old interests.</w:t>
      </w:r>
    </w:p>
    <w:p w:rsidR="00797A74" w:rsidRDefault="00797A74" w:rsidP="00B877AB">
      <w:pPr>
        <w:pStyle w:val="Chapter6"/>
        <w:numPr>
          <w:ilvl w:val="0"/>
          <w:numId w:val="0"/>
        </w:numPr>
        <w:ind w:left="851"/>
      </w:pPr>
    </w:p>
    <w:p w:rsidR="00797A74" w:rsidRDefault="00797A74" w:rsidP="00B05B5A">
      <w:pPr>
        <w:pStyle w:val="Chapter6"/>
      </w:pPr>
      <w:r>
        <w:t xml:space="preserve">The Bill provides rollover relief where a person’s ESS rights are cancelled and replaced with rights in a different scheme.  The value of the replacement rights is not included in the person’s income arising due to the cancellation of the original scheme.  The benefit provided by the replacement scheme will be taxed appropriately by applying the proposed new rules to that scheme. </w:t>
      </w:r>
      <w:r w:rsidR="00CF7773">
        <w:t xml:space="preserve"> Officials consider that the rollover relief provisions in the Bill are sufficient to deal with any unintended consequences resulting from takeovers or restructures.</w:t>
      </w:r>
    </w:p>
    <w:p w:rsidR="00B05B5A" w:rsidRPr="0048619B" w:rsidRDefault="00B05B5A" w:rsidP="00B877AB">
      <w:pPr>
        <w:pStyle w:val="Chapter6"/>
        <w:numPr>
          <w:ilvl w:val="0"/>
          <w:numId w:val="0"/>
        </w:numPr>
        <w:ind w:left="851"/>
      </w:pPr>
    </w:p>
    <w:p w:rsidR="00D159B2" w:rsidRDefault="00D159B2" w:rsidP="00B877AB">
      <w:pPr>
        <w:pStyle w:val="Chapter6"/>
        <w:numPr>
          <w:ilvl w:val="0"/>
          <w:numId w:val="0"/>
        </w:numPr>
        <w:ind w:left="851"/>
      </w:pPr>
    </w:p>
    <w:p w:rsidR="00695AE4" w:rsidRDefault="00695AE4" w:rsidP="00695AE4">
      <w:pPr>
        <w:pBdr>
          <w:top w:val="single" w:sz="4" w:space="10" w:color="auto"/>
          <w:left w:val="single" w:sz="4" w:space="10" w:color="auto"/>
          <w:bottom w:val="single" w:sz="4" w:space="10" w:color="auto"/>
          <w:right w:val="single" w:sz="4" w:space="10" w:color="auto"/>
        </w:pBdr>
        <w:jc w:val="left"/>
        <w:rPr>
          <w:b/>
        </w:rPr>
      </w:pPr>
      <w:r>
        <w:rPr>
          <w:b/>
        </w:rPr>
        <w:t>Submission point</w:t>
      </w:r>
      <w:r w:rsidR="00A2662C">
        <w:rPr>
          <w:b/>
        </w:rPr>
        <w:t>s</w:t>
      </w:r>
    </w:p>
    <w:p w:rsidR="00695AE4" w:rsidRPr="000344A6" w:rsidRDefault="00695AE4" w:rsidP="00695AE4">
      <w:pPr>
        <w:pBdr>
          <w:top w:val="single" w:sz="4" w:space="10" w:color="auto"/>
          <w:left w:val="single" w:sz="4" w:space="10" w:color="auto"/>
          <w:bottom w:val="single" w:sz="4" w:space="10" w:color="auto"/>
          <w:right w:val="single" w:sz="4" w:space="10" w:color="auto"/>
        </w:pBdr>
        <w:jc w:val="left"/>
      </w:pPr>
    </w:p>
    <w:p w:rsidR="00695AE4" w:rsidRDefault="00695AE4" w:rsidP="00695AE4">
      <w:pPr>
        <w:pBdr>
          <w:top w:val="single" w:sz="4" w:space="10" w:color="auto"/>
          <w:left w:val="single" w:sz="4" w:space="10" w:color="auto"/>
          <w:bottom w:val="single" w:sz="4" w:space="10" w:color="auto"/>
          <w:right w:val="single" w:sz="4" w:space="10" w:color="auto"/>
        </w:pBdr>
        <w:jc w:val="left"/>
      </w:pPr>
      <w:r w:rsidRPr="00CE20F7">
        <w:t>We are interested to hear from readers:</w:t>
      </w:r>
    </w:p>
    <w:p w:rsidR="00695AE4" w:rsidRDefault="00695AE4" w:rsidP="00695AE4">
      <w:pPr>
        <w:pBdr>
          <w:top w:val="single" w:sz="4" w:space="10" w:color="auto"/>
          <w:left w:val="single" w:sz="4" w:space="10" w:color="auto"/>
          <w:bottom w:val="single" w:sz="4" w:space="10" w:color="auto"/>
          <w:right w:val="single" w:sz="4" w:space="10" w:color="auto"/>
        </w:pBdr>
        <w:jc w:val="left"/>
      </w:pPr>
    </w:p>
    <w:p w:rsidR="00695AE4" w:rsidRDefault="00EB21F6" w:rsidP="00695AE4">
      <w:pPr>
        <w:pBdr>
          <w:top w:val="single" w:sz="4" w:space="10" w:color="auto"/>
          <w:left w:val="single" w:sz="4" w:space="10" w:color="auto"/>
          <w:bottom w:val="single" w:sz="4" w:space="10" w:color="auto"/>
          <w:right w:val="single" w:sz="4" w:space="10" w:color="auto"/>
        </w:pBdr>
        <w:jc w:val="left"/>
      </w:pPr>
      <w:r>
        <w:sym w:font="Wingdings" w:char="F09F"/>
      </w:r>
      <w:r w:rsidR="00636511">
        <w:tab/>
        <w:t>W</w:t>
      </w:r>
      <w:r w:rsidR="00695AE4">
        <w:t>hether they agree with each of the tax point events identified</w:t>
      </w:r>
      <w:r w:rsidR="000F3CC8">
        <w:t>.</w:t>
      </w:r>
    </w:p>
    <w:p w:rsidR="00636511" w:rsidRDefault="00636511" w:rsidP="00695AE4">
      <w:pPr>
        <w:pBdr>
          <w:top w:val="single" w:sz="4" w:space="10" w:color="auto"/>
          <w:left w:val="single" w:sz="4" w:space="10" w:color="auto"/>
          <w:bottom w:val="single" w:sz="4" w:space="10" w:color="auto"/>
          <w:right w:val="single" w:sz="4" w:space="10" w:color="auto"/>
        </w:pBdr>
        <w:jc w:val="left"/>
      </w:pPr>
    </w:p>
    <w:p w:rsidR="00695AE4" w:rsidRDefault="00EB21F6" w:rsidP="00695AE4">
      <w:pPr>
        <w:pBdr>
          <w:top w:val="single" w:sz="4" w:space="10" w:color="auto"/>
          <w:left w:val="single" w:sz="4" w:space="10" w:color="auto"/>
          <w:bottom w:val="single" w:sz="4" w:space="10" w:color="auto"/>
          <w:right w:val="single" w:sz="4" w:space="10" w:color="auto"/>
        </w:pBdr>
        <w:jc w:val="left"/>
      </w:pPr>
      <w:r>
        <w:sym w:font="Wingdings" w:char="F09F"/>
      </w:r>
      <w:r w:rsidR="00695AE4">
        <w:tab/>
      </w:r>
      <w:r w:rsidR="00636511">
        <w:t>W</w:t>
      </w:r>
      <w:r w:rsidR="00695AE4">
        <w:t>hether there are practical difficulties with any of these events</w:t>
      </w:r>
      <w:r w:rsidR="000F3CC8">
        <w:t>.</w:t>
      </w:r>
    </w:p>
    <w:p w:rsidR="00636511" w:rsidRDefault="00636511" w:rsidP="00695AE4">
      <w:pPr>
        <w:pBdr>
          <w:top w:val="single" w:sz="4" w:space="10" w:color="auto"/>
          <w:left w:val="single" w:sz="4" w:space="10" w:color="auto"/>
          <w:bottom w:val="single" w:sz="4" w:space="10" w:color="auto"/>
          <w:right w:val="single" w:sz="4" w:space="10" w:color="auto"/>
        </w:pBdr>
        <w:jc w:val="left"/>
      </w:pPr>
    </w:p>
    <w:p w:rsidR="00695AE4" w:rsidRDefault="00EB21F6" w:rsidP="00695AE4">
      <w:pPr>
        <w:pBdr>
          <w:top w:val="single" w:sz="4" w:space="10" w:color="auto"/>
          <w:left w:val="single" w:sz="4" w:space="10" w:color="auto"/>
          <w:bottom w:val="single" w:sz="4" w:space="10" w:color="auto"/>
          <w:right w:val="single" w:sz="4" w:space="10" w:color="auto"/>
        </w:pBdr>
        <w:jc w:val="left"/>
      </w:pPr>
      <w:r>
        <w:sym w:font="Wingdings" w:char="F09F"/>
      </w:r>
      <w:r w:rsidR="00695AE4">
        <w:tab/>
      </w:r>
      <w:r w:rsidR="00636511">
        <w:t>W</w:t>
      </w:r>
      <w:r w:rsidR="00695AE4">
        <w:t>hether there are other events that should trigger a tax liability</w:t>
      </w:r>
      <w:r w:rsidR="000F3CC8">
        <w:t>.</w:t>
      </w:r>
    </w:p>
    <w:p w:rsidR="00636511" w:rsidRDefault="00636511" w:rsidP="00695AE4">
      <w:pPr>
        <w:pBdr>
          <w:top w:val="single" w:sz="4" w:space="10" w:color="auto"/>
          <w:left w:val="single" w:sz="4" w:space="10" w:color="auto"/>
          <w:bottom w:val="single" w:sz="4" w:space="10" w:color="auto"/>
          <w:right w:val="single" w:sz="4" w:space="10" w:color="auto"/>
        </w:pBdr>
        <w:jc w:val="left"/>
      </w:pPr>
    </w:p>
    <w:p w:rsidR="00695AE4" w:rsidRDefault="00EB21F6" w:rsidP="00695AE4">
      <w:pPr>
        <w:pBdr>
          <w:top w:val="single" w:sz="4" w:space="10" w:color="auto"/>
          <w:left w:val="single" w:sz="4" w:space="10" w:color="auto"/>
          <w:bottom w:val="single" w:sz="4" w:space="10" w:color="auto"/>
          <w:right w:val="single" w:sz="4" w:space="10" w:color="auto"/>
        </w:pBdr>
        <w:jc w:val="left"/>
      </w:pPr>
      <w:r>
        <w:sym w:font="Wingdings" w:char="F09F"/>
      </w:r>
      <w:r w:rsidR="00695AE4">
        <w:tab/>
      </w:r>
      <w:r w:rsidR="00636511">
        <w:t>W</w:t>
      </w:r>
      <w:r w:rsidR="00695AE4">
        <w:t>hether there should be a sunset period and, if so, how long it should be?</w:t>
      </w:r>
    </w:p>
    <w:p w:rsidR="00695AE4" w:rsidRDefault="00695AE4" w:rsidP="00695AE4">
      <w:pPr>
        <w:rPr>
          <w:color w:val="000000"/>
          <w:szCs w:val="24"/>
          <w:lang w:val="en-AU"/>
        </w:rPr>
      </w:pPr>
    </w:p>
    <w:p w:rsidR="00FE3495" w:rsidRDefault="00FE3495" w:rsidP="00C05CBD">
      <w:pPr>
        <w:rPr>
          <w:rFonts w:ascii="Times New Roman Bold" w:hAnsi="Times New Roman Bold"/>
          <w:b/>
          <w:bCs/>
          <w:caps/>
          <w:sz w:val="28"/>
          <w:szCs w:val="28"/>
          <w:lang w:val="en-NZ"/>
        </w:rPr>
      </w:pPr>
      <w:r>
        <w:rPr>
          <w:lang w:val="en-NZ"/>
        </w:rPr>
        <w:br w:type="page"/>
      </w:r>
    </w:p>
    <w:p w:rsidR="006D5FC9" w:rsidRPr="00382E2E" w:rsidRDefault="006D5FC9" w:rsidP="006D5FC9">
      <w:pPr>
        <w:pStyle w:val="Chapterheading"/>
        <w:rPr>
          <w:lang w:val="en-NZ"/>
        </w:rPr>
      </w:pPr>
      <w:bookmarkStart w:id="124" w:name="_Toc477103280"/>
      <w:bookmarkStart w:id="125" w:name="_Toc477162790"/>
      <w:bookmarkStart w:id="126" w:name="_Toc478052526"/>
      <w:bookmarkStart w:id="127" w:name="_Toc480452376"/>
      <w:bookmarkStart w:id="128" w:name="_Toc480452487"/>
      <w:bookmarkStart w:id="129" w:name="_Toc480965227"/>
      <w:bookmarkStart w:id="130" w:name="_Toc481055679"/>
      <w:bookmarkStart w:id="131" w:name="_Toc481678580"/>
      <w:bookmarkStart w:id="132" w:name="_Toc483225372"/>
      <w:bookmarkStart w:id="133" w:name="_Toc483815954"/>
      <w:r w:rsidRPr="00382E2E">
        <w:rPr>
          <w:lang w:val="en-NZ"/>
        </w:rPr>
        <w:lastRenderedPageBreak/>
        <w:t xml:space="preserve">CHAPTER </w:t>
      </w:r>
      <w:r w:rsidR="00FE3495">
        <w:rPr>
          <w:lang w:val="en-NZ"/>
        </w:rPr>
        <w:t>7</w:t>
      </w:r>
      <w:bookmarkEnd w:id="124"/>
      <w:bookmarkEnd w:id="125"/>
      <w:bookmarkEnd w:id="126"/>
      <w:bookmarkEnd w:id="127"/>
      <w:bookmarkEnd w:id="128"/>
      <w:bookmarkEnd w:id="129"/>
      <w:bookmarkEnd w:id="130"/>
      <w:bookmarkEnd w:id="131"/>
      <w:bookmarkEnd w:id="132"/>
      <w:bookmarkEnd w:id="133"/>
    </w:p>
    <w:p w:rsidR="006D5FC9" w:rsidRPr="00382E2E" w:rsidRDefault="006D5FC9" w:rsidP="006D5FC9">
      <w:pPr>
        <w:pStyle w:val="Chapterheading"/>
        <w:rPr>
          <w:lang w:val="en-NZ"/>
        </w:rPr>
      </w:pPr>
    </w:p>
    <w:p w:rsidR="006D5FC9" w:rsidRPr="00A76AD1" w:rsidRDefault="006D5FC9" w:rsidP="006D5FC9">
      <w:pPr>
        <w:pStyle w:val="Chapterheading"/>
        <w:rPr>
          <w:rStyle w:val="ChapterheadingCharCharChar"/>
        </w:rPr>
      </w:pPr>
      <w:bookmarkStart w:id="134" w:name="_Toc483225373"/>
      <w:bookmarkStart w:id="135" w:name="_Toc483815955"/>
      <w:r w:rsidRPr="00A76AD1">
        <w:rPr>
          <w:rStyle w:val="ChapterheadingCharCharChar"/>
        </w:rPr>
        <w:t>Employer deductions</w:t>
      </w:r>
      <w:bookmarkEnd w:id="134"/>
      <w:bookmarkEnd w:id="135"/>
    </w:p>
    <w:p w:rsidR="006D5FC9" w:rsidRDefault="006D5FC9" w:rsidP="00B877AB">
      <w:pPr>
        <w:pStyle w:val="Chapter7Char"/>
        <w:numPr>
          <w:ilvl w:val="0"/>
          <w:numId w:val="0"/>
        </w:numPr>
        <w:ind w:left="360"/>
      </w:pPr>
    </w:p>
    <w:p w:rsidR="000344A6" w:rsidRDefault="000344A6" w:rsidP="00B877AB">
      <w:pPr>
        <w:pStyle w:val="Chapter7Char"/>
        <w:numPr>
          <w:ilvl w:val="0"/>
          <w:numId w:val="0"/>
        </w:numPr>
        <w:ind w:left="360"/>
      </w:pPr>
    </w:p>
    <w:p w:rsidR="00E8269C" w:rsidRDefault="00D159B2" w:rsidP="00EE3143">
      <w:pPr>
        <w:pStyle w:val="Chapter7Char"/>
        <w:ind w:left="851" w:hanging="851"/>
      </w:pPr>
      <w:r>
        <w:t xml:space="preserve">The amendments in the Bill provide a </w:t>
      </w:r>
      <w:r w:rsidR="000445E7">
        <w:t xml:space="preserve">deduction for </w:t>
      </w:r>
      <w:r>
        <w:t xml:space="preserve">employers for </w:t>
      </w:r>
      <w:r w:rsidR="000445E7">
        <w:t xml:space="preserve">providing employee compensation in the form of shares, just as they can claim a deduction for other types of remuneration.  This is consistent with </w:t>
      </w:r>
      <w:r>
        <w:t xml:space="preserve">the </w:t>
      </w:r>
      <w:r w:rsidR="000445E7">
        <w:t xml:space="preserve">overall policy </w:t>
      </w:r>
      <w:r w:rsidR="00BD242A">
        <w:t>goal</w:t>
      </w:r>
      <w:r w:rsidR="000445E7">
        <w:t xml:space="preserve"> of neutral treatment between different forms of remuneration</w:t>
      </w:r>
      <w:r w:rsidR="000412F4">
        <w:t>.  F</w:t>
      </w:r>
      <w:r w:rsidR="00721833" w:rsidRPr="00A90758">
        <w:rPr>
          <w:lang w:val="en-GB"/>
        </w:rPr>
        <w:t xml:space="preserve">ailing to provide a deduction for remuneration by way of shares similar to that available for remuneration in cash </w:t>
      </w:r>
      <w:r w:rsidR="00EA241E">
        <w:rPr>
          <w:lang w:val="en-GB"/>
        </w:rPr>
        <w:t>could</w:t>
      </w:r>
      <w:r w:rsidR="00721833" w:rsidRPr="00A90758">
        <w:rPr>
          <w:lang w:val="en-GB"/>
        </w:rPr>
        <w:t xml:space="preserve"> discourag</w:t>
      </w:r>
      <w:r w:rsidR="00EA241E">
        <w:rPr>
          <w:lang w:val="en-GB"/>
        </w:rPr>
        <w:t>e</w:t>
      </w:r>
      <w:r w:rsidR="00721833" w:rsidRPr="00A90758">
        <w:rPr>
          <w:lang w:val="en-GB"/>
        </w:rPr>
        <w:t xml:space="preserve"> the use of </w:t>
      </w:r>
      <w:r w:rsidR="00EA241E">
        <w:rPr>
          <w:lang w:val="en-GB"/>
        </w:rPr>
        <w:t>ESS.</w:t>
      </w:r>
    </w:p>
    <w:p w:rsidR="000445E7" w:rsidRDefault="000445E7" w:rsidP="00B877AB">
      <w:pPr>
        <w:pStyle w:val="Chapter7Char"/>
        <w:numPr>
          <w:ilvl w:val="0"/>
          <w:numId w:val="0"/>
        </w:numPr>
        <w:ind w:left="360"/>
      </w:pPr>
    </w:p>
    <w:p w:rsidR="00D159B2" w:rsidRDefault="00DB2D94" w:rsidP="00EE3143">
      <w:pPr>
        <w:pStyle w:val="Chapter7Char"/>
        <w:ind w:left="851" w:hanging="851"/>
      </w:pPr>
      <w:r w:rsidRPr="00CA2F1D">
        <w:t>This deduction reflects the economic reality that the issue of shares for less than full market value involves a cost to the other shareholders in the company (</w:t>
      </w:r>
      <w:r w:rsidR="00527ED5">
        <w:t>as it dilutes their interests).</w:t>
      </w:r>
    </w:p>
    <w:p w:rsidR="00D159B2" w:rsidRDefault="00D159B2" w:rsidP="00B877AB">
      <w:pPr>
        <w:pStyle w:val="Chapter7Char"/>
        <w:numPr>
          <w:ilvl w:val="0"/>
          <w:numId w:val="0"/>
        </w:numPr>
        <w:ind w:left="360"/>
      </w:pPr>
    </w:p>
    <w:p w:rsidR="000445E7" w:rsidRDefault="00D159B2" w:rsidP="00EE3143">
      <w:pPr>
        <w:pStyle w:val="Chapter7Char"/>
        <w:ind w:left="851" w:hanging="851"/>
      </w:pPr>
      <w:r>
        <w:t xml:space="preserve">The same principle should apply to employers who provide shares to employees under a deferred </w:t>
      </w:r>
      <w:r w:rsidR="003829FF">
        <w:t>ESS</w:t>
      </w:r>
      <w:r>
        <w:t>.</w:t>
      </w:r>
    </w:p>
    <w:p w:rsidR="00E8269C" w:rsidRDefault="00E8269C" w:rsidP="00B877AB">
      <w:pPr>
        <w:pStyle w:val="Chapter7Char"/>
        <w:numPr>
          <w:ilvl w:val="0"/>
          <w:numId w:val="0"/>
        </w:numPr>
        <w:ind w:left="360"/>
      </w:pPr>
    </w:p>
    <w:p w:rsidR="00B877AB" w:rsidRDefault="00B877AB" w:rsidP="00B877AB">
      <w:pPr>
        <w:pStyle w:val="Chapter7Char"/>
        <w:numPr>
          <w:ilvl w:val="0"/>
          <w:numId w:val="0"/>
        </w:numPr>
        <w:ind w:left="360"/>
      </w:pPr>
    </w:p>
    <w:p w:rsidR="000445E7" w:rsidRDefault="000445E7" w:rsidP="00C87C38">
      <w:pPr>
        <w:pStyle w:val="Heading1"/>
      </w:pPr>
      <w:bookmarkStart w:id="136" w:name="_Toc483225374"/>
      <w:bookmarkStart w:id="137" w:name="_Toc483815956"/>
      <w:r>
        <w:t>Timing of deduction under a statutory deferral regime</w:t>
      </w:r>
      <w:bookmarkEnd w:id="136"/>
      <w:bookmarkEnd w:id="137"/>
    </w:p>
    <w:p w:rsidR="00530B74" w:rsidRDefault="00530B74" w:rsidP="00B877AB">
      <w:pPr>
        <w:pStyle w:val="Chapter7Char"/>
        <w:numPr>
          <w:ilvl w:val="0"/>
          <w:numId w:val="0"/>
        </w:numPr>
        <w:ind w:left="360"/>
      </w:pPr>
    </w:p>
    <w:p w:rsidR="00CA2F1D" w:rsidRDefault="00530B74" w:rsidP="00EE3143">
      <w:pPr>
        <w:pStyle w:val="Chapter7Char"/>
        <w:ind w:left="851" w:hanging="851"/>
      </w:pPr>
      <w:r>
        <w:t xml:space="preserve">Under a deferral regime, the employee </w:t>
      </w:r>
      <w:r w:rsidR="00103F58">
        <w:t xml:space="preserve">is </w:t>
      </w:r>
      <w:r>
        <w:t xml:space="preserve">the economic owner of the shares at an earlier point in time than when tax </w:t>
      </w:r>
      <w:r w:rsidR="00103F58">
        <w:t xml:space="preserve">is </w:t>
      </w:r>
      <w:r>
        <w:t>payable</w:t>
      </w:r>
      <w:r w:rsidR="000412F4">
        <w:t>.  T</w:t>
      </w:r>
      <w:r w:rsidR="00D159B2">
        <w:t>o address</w:t>
      </w:r>
      <w:r w:rsidR="00CA2F1D">
        <w:t xml:space="preserve"> the practical issues of valuation and liquidity, the employee becomes taxable </w:t>
      </w:r>
      <w:r w:rsidR="00103F58">
        <w:t xml:space="preserve">(in most cases) </w:t>
      </w:r>
      <w:r w:rsidR="00CA2F1D">
        <w:t>upon the satisfaction of a liquidity event, when the shares are more easily able to be valued, and they become converted or convertible into cash with which to p</w:t>
      </w:r>
      <w:r w:rsidR="00527ED5">
        <w:t>ay the tax.</w:t>
      </w:r>
    </w:p>
    <w:p w:rsidR="00CA2F1D" w:rsidRDefault="00CA2F1D" w:rsidP="00EE3143">
      <w:pPr>
        <w:pStyle w:val="Chapter7Char"/>
        <w:numPr>
          <w:ilvl w:val="0"/>
          <w:numId w:val="0"/>
        </w:numPr>
        <w:ind w:left="851"/>
      </w:pPr>
    </w:p>
    <w:p w:rsidR="00530B74" w:rsidRDefault="00530B74" w:rsidP="00EE3143">
      <w:pPr>
        <w:pStyle w:val="Chapter7Char"/>
        <w:ind w:left="851" w:hanging="851"/>
      </w:pPr>
      <w:r>
        <w:t>The question the</w:t>
      </w:r>
      <w:r w:rsidR="00CA2F1D">
        <w:t>n</w:t>
      </w:r>
      <w:r>
        <w:t xml:space="preserve"> arises </w:t>
      </w:r>
      <w:r w:rsidR="00CA2F1D">
        <w:t xml:space="preserve">as to </w:t>
      </w:r>
      <w:r>
        <w:t xml:space="preserve">whether the deduction should </w:t>
      </w:r>
      <w:r w:rsidR="00DB2D94">
        <w:t xml:space="preserve">arise for </w:t>
      </w:r>
      <w:r>
        <w:t xml:space="preserve">the employer </w:t>
      </w:r>
      <w:r w:rsidR="003B2D6A">
        <w:t>at the usual taxing point or at the deferred taxing point.</w:t>
      </w:r>
    </w:p>
    <w:p w:rsidR="003B2D6A" w:rsidRDefault="003B2D6A" w:rsidP="00EE3143">
      <w:pPr>
        <w:pStyle w:val="Chapter7Char"/>
        <w:numPr>
          <w:ilvl w:val="0"/>
          <w:numId w:val="0"/>
        </w:numPr>
        <w:ind w:left="851"/>
      </w:pPr>
    </w:p>
    <w:p w:rsidR="00095437" w:rsidRDefault="003B2D6A" w:rsidP="00EE3143">
      <w:pPr>
        <w:pStyle w:val="Chapter7Char"/>
        <w:ind w:left="851" w:hanging="851"/>
      </w:pPr>
      <w:r>
        <w:t xml:space="preserve">From a revenue </w:t>
      </w:r>
      <w:r w:rsidR="00095437">
        <w:t xml:space="preserve">collection </w:t>
      </w:r>
      <w:r>
        <w:t>perspective, the same considerations that mean the Government is indifferent between taxing the employee at the usual or deferred taxing point also apply in relation to the deduction.</w:t>
      </w:r>
    </w:p>
    <w:p w:rsidR="00095437" w:rsidRDefault="00095437" w:rsidP="00EE3143">
      <w:pPr>
        <w:pStyle w:val="Chapter7Char"/>
        <w:numPr>
          <w:ilvl w:val="0"/>
          <w:numId w:val="0"/>
        </w:numPr>
        <w:ind w:left="851"/>
      </w:pPr>
    </w:p>
    <w:p w:rsidR="003B2D6A" w:rsidRDefault="003B2D6A" w:rsidP="00EE3143">
      <w:pPr>
        <w:pStyle w:val="Chapter7Char"/>
        <w:ind w:left="851" w:hanging="851"/>
      </w:pPr>
      <w:r>
        <w:t xml:space="preserve">However, if the employee is paying tax on a deferred basis, allowing a deduction at the usual time presents an increased collection and audit risk.  The Government would be allowing </w:t>
      </w:r>
      <w:r w:rsidR="00103F58">
        <w:t>a</w:t>
      </w:r>
      <w:r w:rsidR="00095437">
        <w:t xml:space="preserve"> deduction</w:t>
      </w:r>
      <w:r>
        <w:t xml:space="preserve"> to the employer with no guarantee that the employee would return the corresponding income in what might be a substantially later year.  This risk is greater if the deferred taxing point can be extended past the employee leaving employment.</w:t>
      </w:r>
    </w:p>
    <w:p w:rsidR="00530B74" w:rsidRDefault="00530B74" w:rsidP="00EE3143">
      <w:pPr>
        <w:pStyle w:val="Chapter7Char"/>
        <w:numPr>
          <w:ilvl w:val="0"/>
          <w:numId w:val="0"/>
        </w:numPr>
        <w:ind w:left="851"/>
      </w:pPr>
    </w:p>
    <w:p w:rsidR="003B2D6A" w:rsidRDefault="003B2D6A" w:rsidP="00EE3143">
      <w:pPr>
        <w:pStyle w:val="Chapter7Char"/>
        <w:ind w:left="851" w:hanging="851"/>
      </w:pPr>
      <w:r>
        <w:t>A further</w:t>
      </w:r>
      <w:r w:rsidR="00530B74">
        <w:t xml:space="preserve"> argument for deferring the deduction to when tax is payable, is that the same valuation issues for employees </w:t>
      </w:r>
      <w:r w:rsidR="00EA241E">
        <w:t xml:space="preserve">apply </w:t>
      </w:r>
      <w:r w:rsidR="00530B74">
        <w:t>to the employer.  It may not be possible for the employer to calculate the amount of the deduction.</w:t>
      </w:r>
    </w:p>
    <w:p w:rsidR="006751E9" w:rsidRDefault="006751E9" w:rsidP="00EE3143">
      <w:pPr>
        <w:pStyle w:val="Chapter7Char"/>
        <w:numPr>
          <w:ilvl w:val="0"/>
          <w:numId w:val="0"/>
        </w:numPr>
        <w:ind w:left="851"/>
      </w:pPr>
    </w:p>
    <w:p w:rsidR="00C6387C" w:rsidRDefault="00095437" w:rsidP="00EE3143">
      <w:pPr>
        <w:pStyle w:val="Chapter7Char"/>
        <w:ind w:left="851" w:hanging="851"/>
      </w:pPr>
      <w:r>
        <w:t xml:space="preserve">As discussed above, employers may also prefer to defer their deduction.  This is because start-up companies </w:t>
      </w:r>
      <w:r w:rsidR="00F52460">
        <w:t xml:space="preserve">often </w:t>
      </w:r>
      <w:r>
        <w:t>generate significant, unusable tax losses in their early years of operation, only to forfeit these losses when third party investors buy a stake in the company (because the</w:t>
      </w:r>
      <w:r w:rsidR="005B6A2E">
        <w:t>y</w:t>
      </w:r>
      <w:r>
        <w:t xml:space="preserve"> lose shareholder continuity at that point).  It is also at this point in time when companies are </w:t>
      </w:r>
      <w:r>
        <w:lastRenderedPageBreak/>
        <w:t xml:space="preserve">likely to be generating a net profit and would </w:t>
      </w:r>
      <w:r w:rsidR="005B6A2E">
        <w:t xml:space="preserve">benefit from </w:t>
      </w:r>
      <w:r>
        <w:t>the earlier carried forward losses to reduce their current year tax bill.  Therefore, it seems advantageous to the company to defer the deduction until the deferred taxing point</w:t>
      </w:r>
      <w:r w:rsidR="005B6A2E">
        <w:t>,</w:t>
      </w:r>
      <w:r w:rsidR="005B6A2E" w:rsidRPr="005B6A2E">
        <w:t xml:space="preserve"> </w:t>
      </w:r>
      <w:r w:rsidR="005B6A2E">
        <w:t>as well as sensible from a revenue perspective</w:t>
      </w:r>
      <w:r>
        <w:t>.</w:t>
      </w:r>
    </w:p>
    <w:p w:rsidR="00095437" w:rsidRDefault="00095437" w:rsidP="00EE3143">
      <w:pPr>
        <w:pStyle w:val="Chapter7Char"/>
        <w:numPr>
          <w:ilvl w:val="0"/>
          <w:numId w:val="0"/>
        </w:numPr>
        <w:ind w:left="851"/>
      </w:pPr>
    </w:p>
    <w:p w:rsidR="00C6387C" w:rsidRDefault="00C6387C" w:rsidP="00EE3143">
      <w:pPr>
        <w:pStyle w:val="Chapter7Char"/>
        <w:ind w:left="851" w:hanging="851"/>
      </w:pPr>
      <w:r>
        <w:t xml:space="preserve">In Australia, generally deductions </w:t>
      </w:r>
      <w:r w:rsidR="00234262">
        <w:t xml:space="preserve">for tax deferred schemes are also deferred to when the employee receives the </w:t>
      </w:r>
      <w:r w:rsidR="00095437">
        <w:t xml:space="preserve">employee share scheme </w:t>
      </w:r>
      <w:r w:rsidR="00527ED5">
        <w:t>benefit.</w:t>
      </w:r>
    </w:p>
    <w:p w:rsidR="00EE4179" w:rsidRDefault="00EE4179" w:rsidP="00EE3143">
      <w:pPr>
        <w:pStyle w:val="Chapter7Char"/>
        <w:numPr>
          <w:ilvl w:val="0"/>
          <w:numId w:val="0"/>
        </w:numPr>
        <w:ind w:left="851"/>
      </w:pPr>
    </w:p>
    <w:p w:rsidR="00EE4179" w:rsidRDefault="00EE4179" w:rsidP="00EE3143">
      <w:pPr>
        <w:pStyle w:val="Chapter7Char"/>
        <w:ind w:left="851" w:hanging="851"/>
      </w:pPr>
      <w:r>
        <w:t>In light of these considerations, if a deferral regime is introduced</w:t>
      </w:r>
      <w:r w:rsidR="007C12DE">
        <w:t xml:space="preserve">, we propose that deductions be deferred until income is </w:t>
      </w:r>
      <w:r w:rsidR="00095437">
        <w:t xml:space="preserve">recognised </w:t>
      </w:r>
      <w:r w:rsidR="007C12DE">
        <w:t>by the employee.</w:t>
      </w:r>
    </w:p>
    <w:p w:rsidR="00095437" w:rsidRPr="0048619B" w:rsidRDefault="00095437" w:rsidP="00B877AB">
      <w:pPr>
        <w:pStyle w:val="Chapter7Char"/>
        <w:numPr>
          <w:ilvl w:val="0"/>
          <w:numId w:val="0"/>
        </w:numPr>
        <w:ind w:left="360"/>
      </w:pPr>
    </w:p>
    <w:p w:rsidR="00095437" w:rsidRDefault="00095437" w:rsidP="00B877AB">
      <w:pPr>
        <w:pStyle w:val="Chapter7Char"/>
        <w:numPr>
          <w:ilvl w:val="0"/>
          <w:numId w:val="0"/>
        </w:numPr>
        <w:ind w:left="360"/>
      </w:pPr>
    </w:p>
    <w:p w:rsidR="000344A6" w:rsidRPr="009746A0" w:rsidRDefault="000344A6" w:rsidP="000344A6">
      <w:pPr>
        <w:pBdr>
          <w:top w:val="single" w:sz="4" w:space="10" w:color="auto"/>
          <w:left w:val="single" w:sz="4" w:space="10" w:color="auto"/>
          <w:bottom w:val="single" w:sz="4" w:space="10" w:color="auto"/>
          <w:right w:val="single" w:sz="4" w:space="10" w:color="auto"/>
        </w:pBdr>
        <w:jc w:val="left"/>
        <w:rPr>
          <w:b/>
          <w:color w:val="000000" w:themeColor="text1"/>
        </w:rPr>
      </w:pPr>
      <w:r>
        <w:rPr>
          <w:b/>
        </w:rPr>
        <w:t>Submission point</w:t>
      </w:r>
    </w:p>
    <w:p w:rsidR="000344A6" w:rsidRDefault="000344A6" w:rsidP="000344A6">
      <w:pPr>
        <w:pBdr>
          <w:top w:val="single" w:sz="4" w:space="10" w:color="auto"/>
          <w:left w:val="single" w:sz="4" w:space="10" w:color="auto"/>
          <w:bottom w:val="single" w:sz="4" w:space="10" w:color="auto"/>
          <w:right w:val="single" w:sz="4" w:space="10" w:color="auto"/>
        </w:pBdr>
        <w:jc w:val="left"/>
        <w:rPr>
          <w:color w:val="000000" w:themeColor="text1"/>
        </w:rPr>
      </w:pPr>
    </w:p>
    <w:p w:rsidR="000344A6" w:rsidRPr="000344A6" w:rsidRDefault="000344A6" w:rsidP="000344A6">
      <w:pPr>
        <w:pBdr>
          <w:top w:val="single" w:sz="4" w:space="10" w:color="auto"/>
          <w:left w:val="single" w:sz="4" w:space="10" w:color="auto"/>
          <w:bottom w:val="single" w:sz="4" w:space="10" w:color="auto"/>
          <w:right w:val="single" w:sz="4" w:space="10" w:color="auto"/>
        </w:pBdr>
        <w:jc w:val="left"/>
      </w:pPr>
      <w:r w:rsidRPr="009746A0">
        <w:rPr>
          <w:color w:val="000000" w:themeColor="text1"/>
        </w:rPr>
        <w:t>We are interested to hear from readers whether they agree that employer deductions should also be deferred in relation to shares offered under a d</w:t>
      </w:r>
      <w:r>
        <w:rPr>
          <w:color w:val="000000" w:themeColor="text1"/>
        </w:rPr>
        <w:t>eferred employee share scheme.</w:t>
      </w:r>
    </w:p>
    <w:p w:rsidR="000344A6" w:rsidRDefault="000344A6" w:rsidP="000344A6">
      <w:pPr>
        <w:rPr>
          <w:lang w:val="en-NZ"/>
        </w:rPr>
      </w:pPr>
    </w:p>
    <w:p w:rsidR="000344A6" w:rsidRDefault="000344A6" w:rsidP="000344A6">
      <w:pPr>
        <w:rPr>
          <w:lang w:val="en-NZ"/>
        </w:rPr>
      </w:pPr>
    </w:p>
    <w:p w:rsidR="006D5FC9" w:rsidRPr="000344A6" w:rsidRDefault="006D5FC9" w:rsidP="000344A6">
      <w:pPr>
        <w:rPr>
          <w:lang w:val="en-NZ"/>
        </w:rPr>
      </w:pPr>
      <w:r w:rsidRPr="000344A6">
        <w:rPr>
          <w:lang w:val="en-NZ"/>
        </w:rPr>
        <w:br w:type="page"/>
      </w:r>
    </w:p>
    <w:p w:rsidR="006D5FC9" w:rsidRPr="00382E2E" w:rsidRDefault="006D5FC9" w:rsidP="006D5FC9">
      <w:pPr>
        <w:pStyle w:val="Chapterheading"/>
        <w:rPr>
          <w:lang w:val="en-NZ"/>
        </w:rPr>
      </w:pPr>
      <w:bookmarkStart w:id="138" w:name="_Toc477103282"/>
      <w:bookmarkStart w:id="139" w:name="_Toc477162793"/>
      <w:bookmarkStart w:id="140" w:name="_Toc478052529"/>
      <w:bookmarkStart w:id="141" w:name="_Toc480452379"/>
      <w:bookmarkStart w:id="142" w:name="_Toc480452490"/>
      <w:bookmarkStart w:id="143" w:name="_Toc480965230"/>
      <w:bookmarkStart w:id="144" w:name="_Toc481055682"/>
      <w:bookmarkStart w:id="145" w:name="_Toc481678583"/>
      <w:bookmarkStart w:id="146" w:name="_Toc483225375"/>
      <w:bookmarkStart w:id="147" w:name="_Toc483815957"/>
      <w:r w:rsidRPr="00382E2E">
        <w:rPr>
          <w:lang w:val="en-NZ"/>
        </w:rPr>
        <w:lastRenderedPageBreak/>
        <w:t xml:space="preserve">CHAPTER </w:t>
      </w:r>
      <w:r w:rsidR="00FE3495">
        <w:rPr>
          <w:lang w:val="en-NZ"/>
        </w:rPr>
        <w:t>8</w:t>
      </w:r>
      <w:bookmarkEnd w:id="138"/>
      <w:bookmarkEnd w:id="139"/>
      <w:bookmarkEnd w:id="140"/>
      <w:bookmarkEnd w:id="141"/>
      <w:bookmarkEnd w:id="142"/>
      <w:bookmarkEnd w:id="143"/>
      <w:bookmarkEnd w:id="144"/>
      <w:bookmarkEnd w:id="145"/>
      <w:bookmarkEnd w:id="146"/>
      <w:bookmarkEnd w:id="147"/>
    </w:p>
    <w:p w:rsidR="006D5FC9" w:rsidRPr="00382E2E" w:rsidRDefault="006D5FC9" w:rsidP="006D5FC9">
      <w:pPr>
        <w:pStyle w:val="Chapterheading"/>
        <w:rPr>
          <w:lang w:val="en-NZ"/>
        </w:rPr>
      </w:pPr>
    </w:p>
    <w:p w:rsidR="006D5FC9" w:rsidRPr="00A76AD1" w:rsidRDefault="006D5FC9" w:rsidP="006D5FC9">
      <w:pPr>
        <w:pStyle w:val="Chapterheading"/>
        <w:rPr>
          <w:rStyle w:val="ChapterheadingCharCharChar"/>
        </w:rPr>
      </w:pPr>
      <w:bookmarkStart w:id="148" w:name="_Toc483225376"/>
      <w:bookmarkStart w:id="149" w:name="_Toc483815958"/>
      <w:r w:rsidRPr="00A76AD1">
        <w:rPr>
          <w:rStyle w:val="ChapterheadingCharCharChar"/>
        </w:rPr>
        <w:t>Administration and compliance</w:t>
      </w:r>
      <w:bookmarkEnd w:id="148"/>
      <w:bookmarkEnd w:id="149"/>
    </w:p>
    <w:p w:rsidR="006D5FC9" w:rsidRDefault="006D5FC9" w:rsidP="00B877AB">
      <w:pPr>
        <w:pStyle w:val="Chapter8Char"/>
        <w:numPr>
          <w:ilvl w:val="0"/>
          <w:numId w:val="0"/>
        </w:numPr>
      </w:pPr>
    </w:p>
    <w:p w:rsidR="00B877AB" w:rsidRPr="00382E2E" w:rsidRDefault="00B877AB" w:rsidP="00B877AB">
      <w:pPr>
        <w:pStyle w:val="Chapter8Char"/>
        <w:numPr>
          <w:ilvl w:val="0"/>
          <w:numId w:val="0"/>
        </w:numPr>
      </w:pPr>
    </w:p>
    <w:p w:rsidR="00110522" w:rsidRDefault="00110522" w:rsidP="00EE3143">
      <w:pPr>
        <w:pStyle w:val="Chapter8Char"/>
        <w:ind w:left="851" w:hanging="851"/>
      </w:pPr>
      <w:r>
        <w:t xml:space="preserve">A statutory deferral option for start-up companies presents design issues which will need to be addressed in order to ensure compliance </w:t>
      </w:r>
      <w:r w:rsidR="00EA241E">
        <w:t>without imposing undue costs for</w:t>
      </w:r>
      <w:r>
        <w:t xml:space="preserve"> employers, employees and Inland Revenue.</w:t>
      </w:r>
    </w:p>
    <w:p w:rsidR="00110522" w:rsidRDefault="00110522" w:rsidP="00B877AB">
      <w:pPr>
        <w:pStyle w:val="Chapter8Char"/>
        <w:numPr>
          <w:ilvl w:val="0"/>
          <w:numId w:val="0"/>
        </w:numPr>
      </w:pPr>
    </w:p>
    <w:p w:rsidR="00EC6A01" w:rsidRDefault="00D17B0A" w:rsidP="00EE3143">
      <w:pPr>
        <w:pStyle w:val="Chapter8Char"/>
        <w:ind w:left="851" w:hanging="851"/>
      </w:pPr>
      <w:r>
        <w:t xml:space="preserve">There is a range of options that could be implemented, with varying levels of </w:t>
      </w:r>
      <w:r w:rsidR="00EC6A01">
        <w:t>compliance</w:t>
      </w:r>
      <w:r w:rsidR="00EB068F">
        <w:t xml:space="preserve"> burden</w:t>
      </w:r>
      <w:r w:rsidR="00EC6A01">
        <w:t xml:space="preserve"> </w:t>
      </w:r>
      <w:r>
        <w:t>for taxpayers.  For example</w:t>
      </w:r>
      <w:r w:rsidR="00B97A86">
        <w:t>,</w:t>
      </w:r>
      <w:r>
        <w:t xml:space="preserve"> </w:t>
      </w:r>
      <w:r w:rsidR="00F52460">
        <w:t>at</w:t>
      </w:r>
      <w:r w:rsidR="004718C1">
        <w:t xml:space="preserve"> </w:t>
      </w:r>
      <w:r>
        <w:t xml:space="preserve">one end of the spectrum, the regime could require Inland Revenue to hold the shares subject to the </w:t>
      </w:r>
      <w:r w:rsidR="00EB068F">
        <w:t>employee share scheme</w:t>
      </w:r>
      <w:r>
        <w:t xml:space="preserve">, and  </w:t>
      </w:r>
      <w:r w:rsidR="00EC6A01">
        <w:t xml:space="preserve">these would only be </w:t>
      </w:r>
      <w:r>
        <w:t xml:space="preserve">released to the employee </w:t>
      </w:r>
      <w:r w:rsidR="00EC6A01">
        <w:t xml:space="preserve"> (and the employer would only be entitled to a deduction) </w:t>
      </w:r>
      <w:r>
        <w:t xml:space="preserve">once the tax </w:t>
      </w:r>
      <w:r w:rsidR="003829FF">
        <w:t xml:space="preserve">was </w:t>
      </w:r>
      <w:r>
        <w:t>pai</w:t>
      </w:r>
      <w:r w:rsidRPr="0084217D">
        <w:t>d.</w:t>
      </w:r>
    </w:p>
    <w:p w:rsidR="00EC6A01" w:rsidRDefault="00EC6A01" w:rsidP="00EE3143">
      <w:pPr>
        <w:pStyle w:val="Chapter8Char"/>
        <w:numPr>
          <w:ilvl w:val="0"/>
          <w:numId w:val="0"/>
        </w:numPr>
        <w:ind w:left="851"/>
      </w:pPr>
    </w:p>
    <w:p w:rsidR="00EC6A01" w:rsidRDefault="00F52460" w:rsidP="00EE3143">
      <w:pPr>
        <w:pStyle w:val="Chapter8Char"/>
        <w:ind w:left="851" w:hanging="851"/>
      </w:pPr>
      <w:r>
        <w:t>At</w:t>
      </w:r>
      <w:r w:rsidR="00D17B0A" w:rsidRPr="0084217D">
        <w:t xml:space="preserve"> the other end of the spectrum, the regime could</w:t>
      </w:r>
      <w:r w:rsidR="00E3716F" w:rsidRPr="0084217D">
        <w:t xml:space="preserve"> be entirely self-assessed</w:t>
      </w:r>
      <w:r w:rsidR="0084217D">
        <w:t xml:space="preserve"> by </w:t>
      </w:r>
      <w:r w:rsidR="00EC6A01">
        <w:t xml:space="preserve">employers and </w:t>
      </w:r>
      <w:r w:rsidR="0084217D">
        <w:t>employees</w:t>
      </w:r>
      <w:r w:rsidR="008B2C28" w:rsidRPr="0084217D">
        <w:t>.</w:t>
      </w:r>
    </w:p>
    <w:p w:rsidR="00EC6A01" w:rsidRDefault="00EC6A01" w:rsidP="00EE3143">
      <w:pPr>
        <w:pStyle w:val="Chapter8Char"/>
        <w:numPr>
          <w:ilvl w:val="0"/>
          <w:numId w:val="0"/>
        </w:numPr>
        <w:ind w:left="851"/>
      </w:pPr>
    </w:p>
    <w:p w:rsidR="00D17B0A" w:rsidRDefault="00EA241E" w:rsidP="00EE3143">
      <w:pPr>
        <w:pStyle w:val="Chapter8Char"/>
        <w:ind w:left="851" w:hanging="851"/>
      </w:pPr>
      <w:r>
        <w:t>A middle ground would be</w:t>
      </w:r>
      <w:r w:rsidR="00D17B0A">
        <w:t xml:space="preserve"> a regime which is self-assessed but with obligations on employers and/or employees to provide </w:t>
      </w:r>
      <w:r w:rsidR="00EB068F">
        <w:t xml:space="preserve">certain </w:t>
      </w:r>
      <w:r w:rsidR="00D17B0A">
        <w:t xml:space="preserve">information to Inland Revenue </w:t>
      </w:r>
      <w:r w:rsidR="00EB068F">
        <w:t xml:space="preserve">about </w:t>
      </w:r>
      <w:r w:rsidR="00D17B0A">
        <w:t xml:space="preserve"> </w:t>
      </w:r>
      <w:r w:rsidR="00EC6A01">
        <w:t xml:space="preserve">employee share scheme </w:t>
      </w:r>
      <w:r w:rsidR="00BC6DA5">
        <w:t xml:space="preserve">benefits </w:t>
      </w:r>
      <w:r w:rsidR="00EB068F">
        <w:t>subject to the deferral regime</w:t>
      </w:r>
      <w:r w:rsidR="00D17B0A">
        <w:t>.</w:t>
      </w:r>
    </w:p>
    <w:p w:rsidR="00D17B0A" w:rsidRDefault="00D17B0A" w:rsidP="00B877AB">
      <w:pPr>
        <w:pStyle w:val="Chapter8Char"/>
        <w:numPr>
          <w:ilvl w:val="0"/>
          <w:numId w:val="0"/>
        </w:numPr>
      </w:pPr>
    </w:p>
    <w:p w:rsidR="0077460F" w:rsidRDefault="0077460F" w:rsidP="00B877AB">
      <w:pPr>
        <w:pStyle w:val="Chapter8Char"/>
        <w:numPr>
          <w:ilvl w:val="0"/>
          <w:numId w:val="0"/>
        </w:numPr>
      </w:pPr>
    </w:p>
    <w:p w:rsidR="00D17B0A" w:rsidRDefault="00D17B0A" w:rsidP="00C87C38">
      <w:pPr>
        <w:pStyle w:val="Heading1"/>
      </w:pPr>
      <w:bookmarkStart w:id="150" w:name="_Toc483225377"/>
      <w:bookmarkStart w:id="151" w:name="_Toc483815959"/>
      <w:r>
        <w:t>Notification</w:t>
      </w:r>
      <w:bookmarkEnd w:id="150"/>
      <w:bookmarkEnd w:id="151"/>
      <w:r>
        <w:t xml:space="preserve"> </w:t>
      </w:r>
    </w:p>
    <w:p w:rsidR="00D17B0A" w:rsidRDefault="00D17B0A" w:rsidP="00B877AB">
      <w:pPr>
        <w:pStyle w:val="Chapter8Char"/>
        <w:numPr>
          <w:ilvl w:val="0"/>
          <w:numId w:val="0"/>
        </w:numPr>
      </w:pPr>
    </w:p>
    <w:p w:rsidR="00EB068F" w:rsidRDefault="00EC6A01" w:rsidP="00EE3143">
      <w:pPr>
        <w:pStyle w:val="Chapter8Char"/>
        <w:ind w:left="851" w:hanging="851"/>
      </w:pPr>
      <w:r>
        <w:t>Prior to 1 April 2017, there were</w:t>
      </w:r>
      <w:r w:rsidR="00F66D9A">
        <w:t xml:space="preserve"> no specific reporting requirements for employers offering, or employees participating in, </w:t>
      </w:r>
      <w:r w:rsidR="008E4632">
        <w:t>ESS</w:t>
      </w:r>
      <w:r w:rsidR="00F66D9A">
        <w:t xml:space="preserve">.  </w:t>
      </w:r>
      <w:r>
        <w:t>F</w:t>
      </w:r>
      <w:r w:rsidR="00F66D9A">
        <w:t>rom 1 April 2017</w:t>
      </w:r>
      <w:r w:rsidR="00266442" w:rsidRPr="00266442">
        <w:t xml:space="preserve"> </w:t>
      </w:r>
      <w:r w:rsidR="00266442">
        <w:t xml:space="preserve">as a result of amendments in the </w:t>
      </w:r>
      <w:r w:rsidR="00266442" w:rsidRPr="008D0A17">
        <w:t>Taxation (</w:t>
      </w:r>
      <w:r w:rsidR="00266442" w:rsidRPr="00EE3143">
        <w:t>Transformation: First Phase Simplification and Other Measures) Act 2016</w:t>
      </w:r>
      <w:r w:rsidR="00F66D9A">
        <w:t xml:space="preserve">, employers have an obligation to determine the amount of their employees’ </w:t>
      </w:r>
      <w:r w:rsidR="008E4632">
        <w:t>ESS</w:t>
      </w:r>
      <w:r>
        <w:t xml:space="preserve"> </w:t>
      </w:r>
      <w:r w:rsidR="00F66D9A">
        <w:t>income and report it monthly as part of the</w:t>
      </w:r>
      <w:r w:rsidR="0077460F">
        <w:t xml:space="preserve"> </w:t>
      </w:r>
      <w:r w:rsidR="00527ED5">
        <w:t>EMS.</w:t>
      </w:r>
    </w:p>
    <w:p w:rsidR="00EB068F" w:rsidRDefault="00EB068F" w:rsidP="00EE3143">
      <w:pPr>
        <w:pStyle w:val="Chapter8Char"/>
        <w:numPr>
          <w:ilvl w:val="0"/>
          <w:numId w:val="0"/>
        </w:numPr>
        <w:ind w:left="851"/>
      </w:pPr>
    </w:p>
    <w:p w:rsidR="00F66D9A" w:rsidRDefault="00F66D9A" w:rsidP="00EE3143">
      <w:pPr>
        <w:pStyle w:val="Chapter8Char"/>
        <w:ind w:left="851" w:hanging="851"/>
      </w:pPr>
      <w:r>
        <w:t>However employer</w:t>
      </w:r>
      <w:r w:rsidR="00EC6A01">
        <w:t>s</w:t>
      </w:r>
      <w:r>
        <w:t xml:space="preserve"> </w:t>
      </w:r>
      <w:r w:rsidR="00EC6A01">
        <w:t xml:space="preserve">are not required </w:t>
      </w:r>
      <w:r>
        <w:t>to provide specific details of the share scheme benefits provided.</w:t>
      </w:r>
    </w:p>
    <w:p w:rsidR="00F66D9A" w:rsidRDefault="00F66D9A" w:rsidP="00EE3143">
      <w:pPr>
        <w:pStyle w:val="Chapter8Char"/>
        <w:numPr>
          <w:ilvl w:val="0"/>
          <w:numId w:val="0"/>
        </w:numPr>
        <w:ind w:left="851"/>
      </w:pPr>
    </w:p>
    <w:p w:rsidR="00F66D9A" w:rsidRDefault="005B6A2E" w:rsidP="00EE3143">
      <w:pPr>
        <w:pStyle w:val="Chapter8Char"/>
        <w:ind w:left="851" w:hanging="851"/>
      </w:pPr>
      <w:r>
        <w:t>T</w:t>
      </w:r>
      <w:r w:rsidR="00F66D9A">
        <w:t>he administration of the statutory deferral regime would be aided greatly by taxpayers providing Inland Revenue with information</w:t>
      </w:r>
      <w:r w:rsidR="00571BCE">
        <w:t xml:space="preserve"> in relation to the scheme</w:t>
      </w:r>
      <w:r w:rsidR="00527ED5">
        <w:t>.  For example:</w:t>
      </w:r>
    </w:p>
    <w:p w:rsidR="00AD03F7" w:rsidRDefault="00AD03F7" w:rsidP="00B877AB">
      <w:pPr>
        <w:pStyle w:val="Chapter8Char"/>
        <w:numPr>
          <w:ilvl w:val="0"/>
          <w:numId w:val="0"/>
        </w:numPr>
      </w:pPr>
    </w:p>
    <w:p w:rsidR="00D17B0A" w:rsidRPr="006D3671" w:rsidRDefault="00B97A86" w:rsidP="00B877AB">
      <w:pPr>
        <w:pStyle w:val="Bullets"/>
      </w:pPr>
      <w:r>
        <w:t>W</w:t>
      </w:r>
      <w:r w:rsidR="00AD03F7" w:rsidRPr="006D3671">
        <w:t xml:space="preserve">hat </w:t>
      </w:r>
      <w:r w:rsidR="00EB068F" w:rsidRPr="006D3671">
        <w:t xml:space="preserve">is the structure of the </w:t>
      </w:r>
      <w:r w:rsidR="005B6A2E">
        <w:t xml:space="preserve">ESS that </w:t>
      </w:r>
      <w:r>
        <w:t>has</w:t>
      </w:r>
      <w:r w:rsidR="00AD03F7" w:rsidRPr="006D3671">
        <w:t xml:space="preserve"> been offered to employees</w:t>
      </w:r>
      <w:r w:rsidR="00571BCE" w:rsidRPr="006D3671">
        <w:t xml:space="preserve"> (</w:t>
      </w:r>
      <w:r>
        <w:t>is it an</w:t>
      </w:r>
      <w:r w:rsidR="00571BCE" w:rsidRPr="006D3671">
        <w:t xml:space="preserve"> option scheme, shares scheme, loan-funded share schemes)</w:t>
      </w:r>
      <w:r>
        <w:t>?</w:t>
      </w:r>
    </w:p>
    <w:p w:rsidR="00AD03F7" w:rsidRPr="006D3671" w:rsidRDefault="00B97A86" w:rsidP="00B877AB">
      <w:pPr>
        <w:pStyle w:val="Bullets"/>
      </w:pPr>
      <w:r>
        <w:t>W</w:t>
      </w:r>
      <w:r w:rsidR="00EB068F" w:rsidRPr="006D3671">
        <w:t xml:space="preserve">hich shares are subject to the deferral regime (if </w:t>
      </w:r>
      <w:r w:rsidR="002C2D84">
        <w:t>more than one scheme is operated if on a scheme-by-scheme basis</w:t>
      </w:r>
      <w:r w:rsidR="002C2D84" w:rsidRPr="006D3671">
        <w:t xml:space="preserve"> </w:t>
      </w:r>
      <w:r w:rsidR="002C2D84">
        <w:t xml:space="preserve">or </w:t>
      </w:r>
      <w:r w:rsidR="00EB068F" w:rsidRPr="006D3671">
        <w:t>the election is on an employee-by-employee basis)</w:t>
      </w:r>
      <w:r>
        <w:t>?</w:t>
      </w:r>
    </w:p>
    <w:p w:rsidR="00EB068F" w:rsidRPr="006D3671" w:rsidRDefault="00B97A86" w:rsidP="00B877AB">
      <w:pPr>
        <w:pStyle w:val="Bullets"/>
      </w:pPr>
      <w:r>
        <w:t>W</w:t>
      </w:r>
      <w:r w:rsidR="00EB068F" w:rsidRPr="006D3671">
        <w:t>hich shares subject to the deferral regime are still to reach a taxing point</w:t>
      </w:r>
      <w:r>
        <w:t>?</w:t>
      </w:r>
    </w:p>
    <w:p w:rsidR="00AD03F7" w:rsidRPr="006D3671" w:rsidRDefault="00B97A86" w:rsidP="00B877AB">
      <w:pPr>
        <w:pStyle w:val="Bullets"/>
        <w:spacing w:after="0"/>
      </w:pPr>
      <w:r>
        <w:t>W</w:t>
      </w:r>
      <w:r w:rsidR="00EB068F" w:rsidRPr="006D3671">
        <w:t xml:space="preserve">hich shares have reached a taxing point and, for these shares, the assessable income arising to the employee at that time (if any) </w:t>
      </w:r>
      <w:r w:rsidR="007C12DE" w:rsidRPr="006D3671">
        <w:lastRenderedPageBreak/>
        <w:t>(</w:t>
      </w:r>
      <w:r w:rsidR="00571BCE" w:rsidRPr="006D3671">
        <w:t xml:space="preserve">recognising </w:t>
      </w:r>
      <w:r w:rsidR="007C12DE" w:rsidRPr="006D3671">
        <w:t xml:space="preserve">that this information should already be </w:t>
      </w:r>
      <w:r w:rsidR="00571BCE" w:rsidRPr="006D3671">
        <w:t xml:space="preserve">included in the EMS – albeit </w:t>
      </w:r>
      <w:r w:rsidR="002F0CDD">
        <w:t>as part of an aggregate figure</w:t>
      </w:r>
      <w:r w:rsidR="00571BCE" w:rsidRPr="006D3671">
        <w:t>)</w:t>
      </w:r>
      <w:r>
        <w:t>?</w:t>
      </w:r>
    </w:p>
    <w:p w:rsidR="00AD03F7" w:rsidRDefault="00AD03F7" w:rsidP="00B877AB">
      <w:pPr>
        <w:pStyle w:val="Chapter8Char"/>
        <w:numPr>
          <w:ilvl w:val="0"/>
          <w:numId w:val="0"/>
        </w:numPr>
      </w:pPr>
    </w:p>
    <w:p w:rsidR="00EB068F" w:rsidRDefault="00EB068F" w:rsidP="00EE3143">
      <w:pPr>
        <w:pStyle w:val="Chapter8Char"/>
        <w:ind w:left="851" w:hanging="851"/>
      </w:pPr>
      <w:r>
        <w:t xml:space="preserve">If an additional level of reporting were required for a start-up deferral scheme, this </w:t>
      </w:r>
      <w:r w:rsidR="002F0CDD">
        <w:t>could</w:t>
      </w:r>
      <w:r>
        <w:t xml:space="preserve"> be reconciled with the EMS reporting so there is not a </w:t>
      </w:r>
      <w:r w:rsidR="00527ED5">
        <w:t>duplicate reporting obligation.</w:t>
      </w:r>
    </w:p>
    <w:p w:rsidR="00EB068F" w:rsidRDefault="00EB068F" w:rsidP="00EE3143">
      <w:pPr>
        <w:pStyle w:val="Chapter8Char"/>
        <w:numPr>
          <w:ilvl w:val="0"/>
          <w:numId w:val="0"/>
        </w:numPr>
        <w:ind w:left="851"/>
      </w:pPr>
    </w:p>
    <w:p w:rsidR="00D461F0" w:rsidRDefault="00D461F0" w:rsidP="00EE3143">
      <w:pPr>
        <w:pStyle w:val="Chapter8Char"/>
        <w:ind w:left="851" w:hanging="851"/>
      </w:pPr>
      <w:r>
        <w:t>The obligation to report this information to Inland Revenue could fall on</w:t>
      </w:r>
      <w:r w:rsidR="00571BCE">
        <w:t xml:space="preserve"> either</w:t>
      </w:r>
      <w:r>
        <w:t xml:space="preserve"> employers or employees.  Alternatively, the obligation to report could be imposed on someone who has no financial interest in the </w:t>
      </w:r>
      <w:r w:rsidR="00B97A86">
        <w:t>ESS</w:t>
      </w:r>
      <w:r>
        <w:t xml:space="preserve">, such as a </w:t>
      </w:r>
      <w:r w:rsidR="002F0CDD">
        <w:t xml:space="preserve">scheme </w:t>
      </w:r>
      <w:r>
        <w:t>trustee</w:t>
      </w:r>
      <w:r w:rsidR="000412F4">
        <w:t>.  H</w:t>
      </w:r>
      <w:r w:rsidR="00BC6DA5">
        <w:t>owe</w:t>
      </w:r>
      <w:r w:rsidR="002C19F3">
        <w:t>v</w:t>
      </w:r>
      <w:r w:rsidR="00BC6DA5">
        <w:t>er, a requirement for a trustee does not sit well with the concept that deferral would be used primarily by start-up companies, which will generally wish to minimise overhead costs</w:t>
      </w:r>
      <w:r w:rsidR="00571BCE">
        <w:t xml:space="preserve"> and thus would be less likely to employ the services of a professional trustee</w:t>
      </w:r>
      <w:r w:rsidR="00BC6DA5">
        <w:t>.</w:t>
      </w:r>
    </w:p>
    <w:p w:rsidR="00EE3143" w:rsidRDefault="00EE3143" w:rsidP="00B877AB">
      <w:pPr>
        <w:pStyle w:val="Chapter8Char"/>
        <w:numPr>
          <w:ilvl w:val="0"/>
          <w:numId w:val="0"/>
        </w:numPr>
      </w:pPr>
    </w:p>
    <w:p w:rsidR="00D461F0" w:rsidRDefault="00266442" w:rsidP="00A76AD1">
      <w:pPr>
        <w:pStyle w:val="Heading2"/>
      </w:pPr>
      <w:bookmarkStart w:id="152" w:name="_Toc483225378"/>
      <w:r>
        <w:t>R</w:t>
      </w:r>
      <w:r w:rsidR="00571BCE">
        <w:t>equiring employer</w:t>
      </w:r>
      <w:r>
        <w:t>s to report</w:t>
      </w:r>
      <w:bookmarkEnd w:id="152"/>
    </w:p>
    <w:p w:rsidR="00D461F0" w:rsidRDefault="00D461F0" w:rsidP="00B877AB">
      <w:pPr>
        <w:pStyle w:val="Chapter8Char"/>
        <w:numPr>
          <w:ilvl w:val="0"/>
          <w:numId w:val="0"/>
        </w:numPr>
      </w:pPr>
    </w:p>
    <w:p w:rsidR="00571BCE" w:rsidRDefault="00D461F0" w:rsidP="00EE3143">
      <w:pPr>
        <w:pStyle w:val="Chapter8Char"/>
        <w:ind w:left="851" w:hanging="851"/>
      </w:pPr>
      <w:r>
        <w:t>S</w:t>
      </w:r>
      <w:r w:rsidR="00773A93">
        <w:t>ome s</w:t>
      </w:r>
      <w:r>
        <w:t xml:space="preserve">ubmitters have </w:t>
      </w:r>
      <w:r w:rsidR="00773A93">
        <w:t xml:space="preserve">previously </w:t>
      </w:r>
      <w:r>
        <w:t xml:space="preserve">suggested that </w:t>
      </w:r>
      <w:r w:rsidR="00773A93">
        <w:t xml:space="preserve">if a deferral scheme is adopted, then </w:t>
      </w:r>
      <w:r>
        <w:t>employers should have the obligat</w:t>
      </w:r>
      <w:r w:rsidR="00773A93">
        <w:t>ion to report to Inland Revenue</w:t>
      </w:r>
      <w:r w:rsidR="00571BCE">
        <w:t xml:space="preserve"> in relation to the scheme</w:t>
      </w:r>
      <w:r w:rsidR="00773A93">
        <w:t>.</w:t>
      </w:r>
    </w:p>
    <w:p w:rsidR="00571BCE" w:rsidRDefault="00571BCE" w:rsidP="00EE3143">
      <w:pPr>
        <w:pStyle w:val="Chapter8Char"/>
        <w:numPr>
          <w:ilvl w:val="0"/>
          <w:numId w:val="0"/>
        </w:numPr>
        <w:ind w:left="851"/>
      </w:pPr>
    </w:p>
    <w:p w:rsidR="008E1916" w:rsidRDefault="00773A93" w:rsidP="00EE3143">
      <w:pPr>
        <w:pStyle w:val="Chapter8Char"/>
        <w:ind w:left="851" w:hanging="851"/>
      </w:pPr>
      <w:r>
        <w:t>This is because employers</w:t>
      </w:r>
      <w:r w:rsidR="00A7453E" w:rsidRPr="00A7453E">
        <w:t xml:space="preserve"> </w:t>
      </w:r>
      <w:r w:rsidR="00571BCE">
        <w:t>are better placed to</w:t>
      </w:r>
      <w:r w:rsidR="00571BCE" w:rsidRPr="00A7453E">
        <w:t xml:space="preserve"> </w:t>
      </w:r>
      <w:r w:rsidR="00571BCE">
        <w:t>design the scheme terms and conditions to ensure they can control when the deferred taxing point occurs and that they have the necessary information to fulfil reporting obligations</w:t>
      </w:r>
      <w:r w:rsidR="00A7453E" w:rsidRPr="00A7453E">
        <w:t>.</w:t>
      </w:r>
      <w:r w:rsidR="00A7453E">
        <w:t xml:space="preserve">  Employers are</w:t>
      </w:r>
      <w:r w:rsidR="00571BCE">
        <w:t xml:space="preserve"> also</w:t>
      </w:r>
      <w:r w:rsidR="00A7453E">
        <w:t xml:space="preserve"> likely to have greater resources at their disposal to manage the collection of the relevant information</w:t>
      </w:r>
      <w:r w:rsidR="00890AB7">
        <w:t>.</w:t>
      </w:r>
    </w:p>
    <w:p w:rsidR="008E1916" w:rsidRDefault="008E1916" w:rsidP="00EE3143">
      <w:pPr>
        <w:pStyle w:val="Chapter8Char"/>
        <w:numPr>
          <w:ilvl w:val="0"/>
          <w:numId w:val="0"/>
        </w:numPr>
        <w:ind w:left="851"/>
      </w:pPr>
    </w:p>
    <w:p w:rsidR="00890AB7" w:rsidRDefault="00890AB7" w:rsidP="00EE3143">
      <w:pPr>
        <w:pStyle w:val="Chapter8Char"/>
        <w:ind w:left="851" w:hanging="851"/>
      </w:pPr>
      <w:r>
        <w:t>Further, it</w:t>
      </w:r>
      <w:r w:rsidR="005F0E00">
        <w:t xml:space="preserve"> would be</w:t>
      </w:r>
      <w:r>
        <w:t xml:space="preserve"> more efficient to impose compliance cost on one employer who can provide </w:t>
      </w:r>
      <w:r w:rsidR="00571BCE">
        <w:t xml:space="preserve">employee share scheme </w:t>
      </w:r>
      <w:r>
        <w:t>information for a number of</w:t>
      </w:r>
      <w:r w:rsidR="0058034D">
        <w:t xml:space="preserve"> employees</w:t>
      </w:r>
      <w:r>
        <w:t>, than to impose those compliance costs on each individual</w:t>
      </w:r>
      <w:r w:rsidR="0058034D">
        <w:t xml:space="preserve"> employee</w:t>
      </w:r>
      <w:r>
        <w:t xml:space="preserve">.  </w:t>
      </w:r>
      <w:r w:rsidR="00F66D9A">
        <w:t xml:space="preserve">As employers will already have to report some </w:t>
      </w:r>
      <w:r w:rsidR="00571BCE">
        <w:t xml:space="preserve">employee share scheme </w:t>
      </w:r>
      <w:r w:rsidR="00F66D9A">
        <w:t>information as part of the EMS under the new rules on the collection of tax on ESS, it would make sense for employers to have all of the reporting obligations.</w:t>
      </w:r>
    </w:p>
    <w:p w:rsidR="00EE3143" w:rsidRDefault="00EE3143" w:rsidP="00B877AB">
      <w:pPr>
        <w:pStyle w:val="Chapter8Char"/>
        <w:numPr>
          <w:ilvl w:val="0"/>
          <w:numId w:val="0"/>
        </w:numPr>
      </w:pPr>
    </w:p>
    <w:p w:rsidR="00D461F0" w:rsidRPr="00D461F0" w:rsidRDefault="00266442" w:rsidP="00A76AD1">
      <w:pPr>
        <w:pStyle w:val="Heading2"/>
      </w:pPr>
      <w:bookmarkStart w:id="153" w:name="_Toc483225379"/>
      <w:r>
        <w:t>R</w:t>
      </w:r>
      <w:r w:rsidR="00571BCE">
        <w:t>equiring e</w:t>
      </w:r>
      <w:r w:rsidR="00D461F0">
        <w:t>mployee</w:t>
      </w:r>
      <w:r>
        <w:t>s to report</w:t>
      </w:r>
      <w:bookmarkEnd w:id="153"/>
    </w:p>
    <w:p w:rsidR="00AD03F7" w:rsidRDefault="00AD03F7" w:rsidP="00B877AB">
      <w:pPr>
        <w:pStyle w:val="Chapter8Char"/>
        <w:numPr>
          <w:ilvl w:val="0"/>
          <w:numId w:val="0"/>
        </w:numPr>
      </w:pPr>
    </w:p>
    <w:p w:rsidR="00F66D9A" w:rsidRPr="00C71A30" w:rsidRDefault="0084217D" w:rsidP="00AC709B">
      <w:pPr>
        <w:pStyle w:val="Chapter8Char"/>
        <w:ind w:left="851" w:hanging="851"/>
      </w:pPr>
      <w:r>
        <w:t xml:space="preserve">Employees themselves could personally be responsible for reporting certain </w:t>
      </w:r>
      <w:r w:rsidR="008E4632">
        <w:t>ESS</w:t>
      </w:r>
      <w:r w:rsidR="00571BCE">
        <w:t xml:space="preserve"> </w:t>
      </w:r>
      <w:r>
        <w:t>information to Inland Revenue, and be required to notify Inland Revenue when certain events have occurred (for example, when they have elected to defer, or when they have sold or transferred their shares).</w:t>
      </w:r>
    </w:p>
    <w:p w:rsidR="00F66D9A" w:rsidRPr="00C71A30" w:rsidRDefault="00F66D9A" w:rsidP="00EE3143">
      <w:pPr>
        <w:pStyle w:val="Chapter8Char"/>
        <w:numPr>
          <w:ilvl w:val="0"/>
          <w:numId w:val="0"/>
        </w:numPr>
        <w:ind w:left="851"/>
      </w:pPr>
    </w:p>
    <w:p w:rsidR="00F66D9A" w:rsidRPr="00EE3143" w:rsidRDefault="00AC709B" w:rsidP="00AC709B">
      <w:pPr>
        <w:pStyle w:val="Chapter8Char"/>
        <w:ind w:left="851" w:hanging="851"/>
      </w:pPr>
      <w:r>
        <w:t xml:space="preserve">However, as noted above, generally employers are more able to efficiently bear compliance costs than employees.  </w:t>
      </w:r>
      <w:r w:rsidR="00EA241E">
        <w:rPr>
          <w:lang w:val="en-GB"/>
        </w:rPr>
        <w:t>F</w:t>
      </w:r>
      <w:r w:rsidR="00EA241E" w:rsidRPr="00EA241E">
        <w:rPr>
          <w:lang w:val="en-GB"/>
        </w:rPr>
        <w:t>iling returns and paying tax directly to Inland Revenue imposes compliance costs</w:t>
      </w:r>
      <w:r w:rsidR="00EA241E">
        <w:rPr>
          <w:lang w:val="en-GB"/>
        </w:rPr>
        <w:t xml:space="preserve"> on employees</w:t>
      </w:r>
      <w:r w:rsidR="00EA241E" w:rsidRPr="00EA241E">
        <w:rPr>
          <w:lang w:val="en-GB"/>
        </w:rPr>
        <w:t xml:space="preserve">, more so if they are unused to the process. </w:t>
      </w:r>
      <w:r w:rsidR="00EA241E">
        <w:rPr>
          <w:lang w:val="en-GB"/>
        </w:rPr>
        <w:t xml:space="preserve"> </w:t>
      </w:r>
      <w:r w:rsidR="00F66D9A" w:rsidRPr="0015167E">
        <w:t>These compliance costs could affect voluntary compliance and perceptions about the integrity of the tax system</w:t>
      </w:r>
      <w:r w:rsidR="000412F4">
        <w:t>.  F</w:t>
      </w:r>
      <w:r w:rsidR="00F66D9A" w:rsidRPr="0015167E">
        <w:t>rom Inland Revenue’s perspective, if an individual employee d</w:t>
      </w:r>
      <w:r w:rsidR="002F0CDD">
        <w:t>o</w:t>
      </w:r>
      <w:r w:rsidR="008646ED">
        <w:t>es</w:t>
      </w:r>
      <w:r w:rsidR="00F66D9A" w:rsidRPr="0015167E">
        <w:t xml:space="preserve"> not return the income from an </w:t>
      </w:r>
      <w:r w:rsidR="0058034D">
        <w:t>ESS</w:t>
      </w:r>
      <w:r w:rsidR="00F66D9A" w:rsidRPr="0015167E">
        <w:t>, the Commissioner ha</w:t>
      </w:r>
      <w:r w:rsidR="008646ED">
        <w:t>s</w:t>
      </w:r>
      <w:r w:rsidR="00F66D9A" w:rsidRPr="0015167E">
        <w:t xml:space="preserve"> to expend resources to collect a potentially small amount of tax from </w:t>
      </w:r>
      <w:r w:rsidR="0058034D">
        <w:t>that</w:t>
      </w:r>
      <w:r w:rsidR="00F66D9A" w:rsidRPr="0015167E">
        <w:t xml:space="preserve"> individual.</w:t>
      </w:r>
    </w:p>
    <w:p w:rsidR="00C30AB5" w:rsidRPr="00CC70AE" w:rsidRDefault="00C30AB5" w:rsidP="00B877AB">
      <w:pPr>
        <w:pStyle w:val="Chapter8Char"/>
        <w:numPr>
          <w:ilvl w:val="0"/>
          <w:numId w:val="0"/>
        </w:numPr>
      </w:pPr>
    </w:p>
    <w:p w:rsidR="00EB21F6" w:rsidRDefault="00EB21F6">
      <w:pPr>
        <w:jc w:val="left"/>
        <w:rPr>
          <w:b/>
        </w:rPr>
      </w:pPr>
      <w:r>
        <w:rPr>
          <w:b/>
        </w:rPr>
        <w:br w:type="page"/>
      </w:r>
    </w:p>
    <w:p w:rsidR="000344A6" w:rsidRDefault="000344A6" w:rsidP="000344A6">
      <w:pPr>
        <w:pBdr>
          <w:top w:val="single" w:sz="4" w:space="10" w:color="auto"/>
          <w:left w:val="single" w:sz="4" w:space="10" w:color="auto"/>
          <w:bottom w:val="single" w:sz="4" w:space="10" w:color="auto"/>
          <w:right w:val="single" w:sz="4" w:space="10" w:color="auto"/>
        </w:pBdr>
        <w:jc w:val="left"/>
        <w:rPr>
          <w:b/>
        </w:rPr>
      </w:pPr>
      <w:r>
        <w:rPr>
          <w:b/>
        </w:rPr>
        <w:lastRenderedPageBreak/>
        <w:t>Submission point</w:t>
      </w:r>
    </w:p>
    <w:p w:rsidR="000344A6" w:rsidRPr="000344A6" w:rsidRDefault="000344A6" w:rsidP="000344A6">
      <w:pPr>
        <w:pBdr>
          <w:top w:val="single" w:sz="4" w:space="10" w:color="auto"/>
          <w:left w:val="single" w:sz="4" w:space="10" w:color="auto"/>
          <w:bottom w:val="single" w:sz="4" w:space="10" w:color="auto"/>
          <w:right w:val="single" w:sz="4" w:space="10" w:color="auto"/>
        </w:pBdr>
        <w:jc w:val="left"/>
      </w:pPr>
    </w:p>
    <w:p w:rsidR="00636511" w:rsidRDefault="000344A6" w:rsidP="00636511">
      <w:pPr>
        <w:pBdr>
          <w:top w:val="single" w:sz="4" w:space="10" w:color="auto"/>
          <w:left w:val="single" w:sz="4" w:space="10" w:color="auto"/>
          <w:bottom w:val="single" w:sz="4" w:space="10" w:color="auto"/>
          <w:right w:val="single" w:sz="4" w:space="10" w:color="auto"/>
        </w:pBdr>
        <w:jc w:val="left"/>
      </w:pPr>
      <w:r w:rsidRPr="00CE20F7">
        <w:t>We are interested to hear from readers:</w:t>
      </w:r>
    </w:p>
    <w:p w:rsidR="00636511" w:rsidRDefault="00636511" w:rsidP="00636511">
      <w:pPr>
        <w:pBdr>
          <w:top w:val="single" w:sz="4" w:space="10" w:color="auto"/>
          <w:left w:val="single" w:sz="4" w:space="10" w:color="auto"/>
          <w:bottom w:val="single" w:sz="4" w:space="10" w:color="auto"/>
          <w:right w:val="single" w:sz="4" w:space="10" w:color="auto"/>
        </w:pBdr>
        <w:jc w:val="left"/>
      </w:pPr>
    </w:p>
    <w:p w:rsidR="00695AE4" w:rsidRDefault="00EB21F6" w:rsidP="00636511">
      <w:pPr>
        <w:pBdr>
          <w:top w:val="single" w:sz="4" w:space="10" w:color="auto"/>
          <w:left w:val="single" w:sz="4" w:space="10" w:color="auto"/>
          <w:bottom w:val="single" w:sz="4" w:space="10" w:color="auto"/>
          <w:right w:val="single" w:sz="4" w:space="10" w:color="auto"/>
        </w:pBdr>
        <w:ind w:left="709" w:hanging="709"/>
        <w:jc w:val="left"/>
      </w:pPr>
      <w:r>
        <w:sym w:font="Wingdings" w:char="F09F"/>
      </w:r>
      <w:r w:rsidR="00636511">
        <w:tab/>
      </w:r>
      <w:r w:rsidR="00695AE4">
        <w:t xml:space="preserve">What kind of reporting and record keeping requirements would be necessary and appropriate to ensure that income and deductions from tax deferred share schemes is appropriately returned, and tax is </w:t>
      </w:r>
      <w:r w:rsidR="00110EEC">
        <w:t>paid?</w:t>
      </w:r>
    </w:p>
    <w:p w:rsidR="000344A6" w:rsidRDefault="000344A6" w:rsidP="00A86B68">
      <w:pPr>
        <w:rPr>
          <w:color w:val="000000"/>
          <w:szCs w:val="24"/>
          <w:lang w:val="en-AU"/>
        </w:rPr>
      </w:pPr>
    </w:p>
    <w:p w:rsidR="00EF3129" w:rsidRDefault="008646ED">
      <w:pPr>
        <w:jc w:val="left"/>
        <w:rPr>
          <w:color w:val="000000"/>
          <w:szCs w:val="24"/>
          <w:lang w:val="en-AU"/>
        </w:rPr>
      </w:pPr>
      <w:r>
        <w:rPr>
          <w:color w:val="000000"/>
          <w:szCs w:val="24"/>
          <w:lang w:val="en-AU"/>
        </w:rPr>
        <w:br w:type="page"/>
      </w:r>
      <w:r w:rsidR="00EF3129">
        <w:rPr>
          <w:color w:val="000000"/>
          <w:szCs w:val="24"/>
          <w:lang w:val="en-AU"/>
        </w:rPr>
        <w:lastRenderedPageBreak/>
        <w:br w:type="page"/>
      </w:r>
    </w:p>
    <w:p w:rsidR="008646ED" w:rsidRDefault="008646ED">
      <w:pPr>
        <w:jc w:val="left"/>
        <w:rPr>
          <w:color w:val="000000"/>
          <w:szCs w:val="24"/>
          <w:lang w:val="en-AU"/>
        </w:rPr>
      </w:pPr>
    </w:p>
    <w:p w:rsidR="002E4F15" w:rsidRPr="00E06970" w:rsidRDefault="00E06970" w:rsidP="00E06970">
      <w:pPr>
        <w:pStyle w:val="Chapterheading"/>
      </w:pPr>
      <w:bookmarkStart w:id="154" w:name="_Toc480452496"/>
      <w:bookmarkStart w:id="155" w:name="_Toc480965236"/>
      <w:bookmarkStart w:id="156" w:name="_Toc481055688"/>
      <w:bookmarkStart w:id="157" w:name="_Toc481678588"/>
      <w:bookmarkStart w:id="158" w:name="_Toc483225380"/>
      <w:bookmarkStart w:id="159" w:name="_Toc483815960"/>
      <w:bookmarkStart w:id="160" w:name="_Toc478052535"/>
      <w:r>
        <w:t>CHAPTER</w:t>
      </w:r>
      <w:r w:rsidR="002E4F15" w:rsidRPr="00E06970">
        <w:t xml:space="preserve"> 9</w:t>
      </w:r>
      <w:bookmarkEnd w:id="154"/>
      <w:bookmarkEnd w:id="155"/>
      <w:bookmarkEnd w:id="156"/>
      <w:bookmarkEnd w:id="157"/>
      <w:bookmarkEnd w:id="158"/>
      <w:bookmarkEnd w:id="159"/>
    </w:p>
    <w:p w:rsidR="00E06970" w:rsidRPr="00E06970" w:rsidRDefault="00E06970" w:rsidP="00E06970">
      <w:pPr>
        <w:pStyle w:val="Chapterheading"/>
      </w:pPr>
    </w:p>
    <w:p w:rsidR="002E4F15" w:rsidRDefault="002E4F15" w:rsidP="0058034D">
      <w:pPr>
        <w:pStyle w:val="Chapterheading"/>
        <w:rPr>
          <w:rStyle w:val="ChapterheadingCharCharChar"/>
          <w:b/>
          <w:bCs/>
          <w:caps/>
        </w:rPr>
      </w:pPr>
      <w:bookmarkStart w:id="161" w:name="_Toc483225381"/>
      <w:bookmarkStart w:id="162" w:name="_Toc483815961"/>
      <w:r>
        <w:rPr>
          <w:rStyle w:val="ChapterheadingCharCharChar"/>
        </w:rPr>
        <w:t>Research and development loss cash-out</w:t>
      </w:r>
      <w:bookmarkEnd w:id="161"/>
      <w:bookmarkEnd w:id="162"/>
    </w:p>
    <w:p w:rsidR="002E4F15" w:rsidRPr="00B877AB" w:rsidRDefault="002E4F15" w:rsidP="00B877AB">
      <w:pPr>
        <w:pStyle w:val="Chapter9Char"/>
        <w:numPr>
          <w:ilvl w:val="0"/>
          <w:numId w:val="0"/>
        </w:numPr>
      </w:pPr>
    </w:p>
    <w:p w:rsidR="00A57BB0" w:rsidRPr="00B877AB" w:rsidRDefault="00A57BB0" w:rsidP="00B877AB">
      <w:pPr>
        <w:pStyle w:val="Chapter9Char"/>
        <w:numPr>
          <w:ilvl w:val="0"/>
          <w:numId w:val="0"/>
        </w:numPr>
      </w:pPr>
    </w:p>
    <w:p w:rsidR="004F6B67" w:rsidRDefault="004F6B67" w:rsidP="00B877AB">
      <w:pPr>
        <w:pStyle w:val="Chapter9Char"/>
        <w:tabs>
          <w:tab w:val="clear" w:pos="567"/>
          <w:tab w:val="num" w:pos="851"/>
        </w:tabs>
        <w:ind w:left="851" w:hanging="851"/>
      </w:pPr>
      <w:r>
        <w:t>Research and development (R&amp;D) start-up companies are able to receive a payment for up to 28 percent of their tax losses from R&amp;D expenditure in any given year.</w:t>
      </w:r>
      <w:r w:rsidR="009F1993">
        <w:t xml:space="preserve">  We refer to losses in respect of which a refund has been received as “cashed-out losses”</w:t>
      </w:r>
      <w:r w:rsidR="00B67DF7">
        <w:t xml:space="preserve">.  </w:t>
      </w:r>
      <w:r w:rsidR="00B67DF7" w:rsidRPr="00B67DF7">
        <w:t>These rules may not operate correctly when an R&amp;D start-up company’s costs include ESS expenditure.</w:t>
      </w:r>
    </w:p>
    <w:p w:rsidR="004F6B67" w:rsidRDefault="004F6B67" w:rsidP="00B877AB">
      <w:pPr>
        <w:pStyle w:val="Chapter9Char"/>
        <w:numPr>
          <w:ilvl w:val="0"/>
          <w:numId w:val="0"/>
        </w:numPr>
      </w:pPr>
    </w:p>
    <w:p w:rsidR="004F6B67" w:rsidRDefault="004F6B67" w:rsidP="00B877AB">
      <w:pPr>
        <w:pStyle w:val="Chapter9Char"/>
        <w:tabs>
          <w:tab w:val="clear" w:pos="567"/>
          <w:tab w:val="num" w:pos="851"/>
        </w:tabs>
        <w:ind w:left="851" w:hanging="851"/>
      </w:pPr>
      <w:r>
        <w:t>A cashed-out loss can be thought of as an interest-free loan from the Government</w:t>
      </w:r>
      <w:r w:rsidR="009F1993">
        <w:t>,</w:t>
      </w:r>
      <w:r>
        <w:t xml:space="preserve"> to be repaid from the taxpayer’s future income; it is intended to provide a cashflow timing benefit only.  </w:t>
      </w:r>
      <w:r w:rsidRPr="004F6B67">
        <w:t>The rules focus on start-up companies engaging in intensive</w:t>
      </w:r>
      <w:r>
        <w:t xml:space="preserve"> R&amp;D</w:t>
      </w:r>
      <w:r w:rsidRPr="004F6B67">
        <w:t xml:space="preserve">, and are intended to reduce their exposure to market failures and tax distortions arising from the </w:t>
      </w:r>
      <w:r>
        <w:t xml:space="preserve">general </w:t>
      </w:r>
      <w:r w:rsidRPr="004F6B67">
        <w:t>tax treatment of losses.</w:t>
      </w:r>
    </w:p>
    <w:p w:rsidR="004F6B67" w:rsidRDefault="004F6B67" w:rsidP="00B877AB">
      <w:pPr>
        <w:pStyle w:val="Chapter9Char"/>
        <w:numPr>
          <w:ilvl w:val="0"/>
          <w:numId w:val="0"/>
        </w:numPr>
        <w:ind w:left="851"/>
      </w:pPr>
    </w:p>
    <w:p w:rsidR="002E4F15" w:rsidRDefault="00F52460" w:rsidP="00B877AB">
      <w:pPr>
        <w:pStyle w:val="Chapter9Char"/>
        <w:tabs>
          <w:tab w:val="clear" w:pos="567"/>
          <w:tab w:val="num" w:pos="851"/>
        </w:tabs>
        <w:ind w:left="851" w:hanging="851"/>
      </w:pPr>
      <w:r>
        <w:t>C</w:t>
      </w:r>
      <w:r w:rsidR="002E4F15">
        <w:t xml:space="preserve">ompanies that qualify for the </w:t>
      </w:r>
      <w:r>
        <w:t xml:space="preserve">existing </w:t>
      </w:r>
      <w:r w:rsidR="002E4F15">
        <w:t>R&amp;D loss cash-out may also be offering ESS to their employees and may qualify as a start-up company under the criteria considered in this issues paper.</w:t>
      </w:r>
    </w:p>
    <w:p w:rsidR="00A57BB0"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When the R&amp;D loss cash-out was introduced for the 2015</w:t>
      </w:r>
      <w:r w:rsidR="002038AE">
        <w:t>–</w:t>
      </w:r>
      <w:r>
        <w:t>16 and later income years</w:t>
      </w:r>
      <w:r w:rsidR="00F52460">
        <w:t>,</w:t>
      </w:r>
      <w:r>
        <w:t xml:space="preserve"> expenditure on ESS was not explic</w:t>
      </w:r>
      <w:r w:rsidR="00F52460">
        <w:t xml:space="preserve">itly deductible to employers and </w:t>
      </w:r>
      <w:r>
        <w:t>the R&amp;D loss cash-out rules do not specifically cover ESS expenditure.</w:t>
      </w:r>
    </w:p>
    <w:p w:rsidR="00A57BB0"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 xml:space="preserve">The interaction between the two sets of rules primarily arises in the definitions of “total labour expenditure” and “total </w:t>
      </w:r>
      <w:r w:rsidR="005E7E6A">
        <w:t xml:space="preserve">R&amp;D </w:t>
      </w:r>
      <w:r>
        <w:t>labour expenditure” in section MX 3(3).  These definitions include salary or wages of the employee as well as other costs</w:t>
      </w:r>
      <w:r w:rsidR="005E7E6A">
        <w:t xml:space="preserve"> such as contractor R&amp;D consideration and certain payments to shareholder-employees</w:t>
      </w:r>
      <w:r>
        <w:t>.</w:t>
      </w:r>
    </w:p>
    <w:p w:rsidR="00A57BB0" w:rsidRDefault="00A57BB0" w:rsidP="00B877AB">
      <w:pPr>
        <w:pStyle w:val="Chapter9Char"/>
        <w:numPr>
          <w:ilvl w:val="0"/>
          <w:numId w:val="0"/>
        </w:numPr>
        <w:ind w:left="851"/>
      </w:pPr>
    </w:p>
    <w:p w:rsidR="002E4F15" w:rsidRDefault="005E7E6A" w:rsidP="00B877AB">
      <w:pPr>
        <w:pStyle w:val="Chapter9Char"/>
        <w:tabs>
          <w:tab w:val="clear" w:pos="567"/>
          <w:tab w:val="num" w:pos="851"/>
        </w:tabs>
        <w:ind w:left="851" w:hanging="851"/>
      </w:pPr>
      <w:r>
        <w:t>ESS costs are not included within the definition of salary or wages so will not currently be included in the definition of total labour expenditure or total R&amp;D labour expenditure.</w:t>
      </w:r>
    </w:p>
    <w:p w:rsidR="00A57BB0"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 xml:space="preserve">Where the costs of ESS are not </w:t>
      </w:r>
      <w:r w:rsidR="005E7E6A">
        <w:t xml:space="preserve">yet deductible </w:t>
      </w:r>
      <w:r>
        <w:t>because the taxing point has been deferred</w:t>
      </w:r>
      <w:r w:rsidR="00B97A86">
        <w:t>,</w:t>
      </w:r>
      <w:r>
        <w:t xml:space="preserve"> these costs </w:t>
      </w:r>
      <w:r w:rsidR="009F1993">
        <w:t>should</w:t>
      </w:r>
      <w:r>
        <w:t xml:space="preserve"> not </w:t>
      </w:r>
      <w:r w:rsidR="009F1993">
        <w:t xml:space="preserve">be </w:t>
      </w:r>
      <w:r>
        <w:t>included in the R&amp;D loss cash-out calculations.</w:t>
      </w:r>
    </w:p>
    <w:p w:rsidR="00A57BB0"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 xml:space="preserve">If </w:t>
      </w:r>
      <w:r w:rsidR="005E7E6A">
        <w:t xml:space="preserve">the taxing point has </w:t>
      </w:r>
      <w:r w:rsidR="00F52460">
        <w:t xml:space="preserve">occurred </w:t>
      </w:r>
      <w:r w:rsidR="005E7E6A">
        <w:t xml:space="preserve">so that </w:t>
      </w:r>
      <w:r>
        <w:t xml:space="preserve">ESS costs are </w:t>
      </w:r>
      <w:r w:rsidR="005E7E6A">
        <w:t xml:space="preserve">deductible but these amounts are </w:t>
      </w:r>
      <w:r>
        <w:t xml:space="preserve">not included in salary or wages this could have two impacts on eligibility </w:t>
      </w:r>
      <w:r w:rsidR="00B97A86">
        <w:t xml:space="preserve">for </w:t>
      </w:r>
      <w:r>
        <w:t xml:space="preserve">or </w:t>
      </w:r>
      <w:r w:rsidR="00B97A86">
        <w:t xml:space="preserve">amount </w:t>
      </w:r>
      <w:r>
        <w:t>of the R&amp;D loss cash-out</w:t>
      </w:r>
      <w:r w:rsidR="00A57BB0">
        <w:t>:</w:t>
      </w:r>
    </w:p>
    <w:p w:rsidR="00A57BB0" w:rsidRDefault="00A57BB0" w:rsidP="00B877AB">
      <w:pPr>
        <w:pStyle w:val="Chapter9Char"/>
        <w:numPr>
          <w:ilvl w:val="0"/>
          <w:numId w:val="0"/>
        </w:numPr>
      </w:pPr>
    </w:p>
    <w:p w:rsidR="002E4F15" w:rsidRPr="00B97A86" w:rsidRDefault="002E4F15" w:rsidP="00B97A86">
      <w:pPr>
        <w:pStyle w:val="Bullets"/>
      </w:pPr>
      <w:r w:rsidRPr="00B97A86">
        <w:t xml:space="preserve">Where ESS </w:t>
      </w:r>
      <w:r w:rsidR="009F1993" w:rsidRPr="00B97A86">
        <w:t>benefits are</w:t>
      </w:r>
      <w:r w:rsidRPr="00B97A86">
        <w:t xml:space="preserve"> provided to employees who undertake R&amp;D in a greater (lesser) proportion than other employees this will reduce (increase) the ability to meet the wage intensity criteria.</w:t>
      </w:r>
    </w:p>
    <w:p w:rsidR="002E4F15" w:rsidRDefault="002E4F15" w:rsidP="00B97A86">
      <w:pPr>
        <w:pStyle w:val="Bullets"/>
        <w:spacing w:after="0"/>
      </w:pPr>
      <w:r w:rsidRPr="00B97A86">
        <w:t xml:space="preserve">Where ESS </w:t>
      </w:r>
      <w:r w:rsidR="009F1993" w:rsidRPr="00B97A86">
        <w:t>benefits are</w:t>
      </w:r>
      <w:r w:rsidRPr="00B97A86">
        <w:t xml:space="preserve"> provided to employees who undertake R&amp;D these costs will not be included in the cap on the maximum R&amp;D loss </w:t>
      </w:r>
      <w:r w:rsidRPr="00B97A86">
        <w:lastRenderedPageBreak/>
        <w:t>cash-out at 1.5 times the employer</w:t>
      </w:r>
      <w:r w:rsidR="00F52460" w:rsidRPr="00B97A86">
        <w:t>’</w:t>
      </w:r>
      <w:r w:rsidRPr="00B97A86">
        <w:t>s total R&amp;D labour expenditure multiplied by the company tax rate.</w:t>
      </w:r>
    </w:p>
    <w:p w:rsidR="00A57BB0" w:rsidRDefault="00A57BB0" w:rsidP="00B877AB">
      <w:pPr>
        <w:pStyle w:val="Chapter9Char"/>
        <w:numPr>
          <w:ilvl w:val="0"/>
          <w:numId w:val="0"/>
        </w:numPr>
      </w:pPr>
    </w:p>
    <w:p w:rsidR="002E4F15" w:rsidRPr="00035FD0" w:rsidRDefault="002E4F15" w:rsidP="0058034D">
      <w:pPr>
        <w:pStyle w:val="Heading1"/>
      </w:pPr>
      <w:bookmarkStart w:id="163" w:name="_Toc483225382"/>
      <w:bookmarkStart w:id="164" w:name="_Toc483815962"/>
      <w:r>
        <w:t>Wage intensity criteria</w:t>
      </w:r>
      <w:bookmarkEnd w:id="163"/>
      <w:bookmarkEnd w:id="164"/>
    </w:p>
    <w:p w:rsidR="002E4F15" w:rsidRDefault="002E4F15"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 xml:space="preserve">The wage intensity </w:t>
      </w:r>
      <w:r w:rsidR="00AB3E0B">
        <w:t>criteria require</w:t>
      </w:r>
      <w:r w:rsidR="009C2378">
        <w:t>s</w:t>
      </w:r>
      <w:r>
        <w:t xml:space="preserve"> that R&amp;D labour expenditure is at least 20 percent of total labour expenditure.  The purpose of this restriction is to ensure the R&amp;D loss cash-out is targeted at firms that undertake sufficient intensity of R&amp;D as a proportion of their overall activities.</w:t>
      </w:r>
    </w:p>
    <w:p w:rsidR="00A57BB0"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 xml:space="preserve">As the inclusion or exclusion of ESS will affect both the numerator and denominator there will be no effect on the wage intensity calculation if ESS </w:t>
      </w:r>
      <w:r w:rsidR="009C2378">
        <w:t>are</w:t>
      </w:r>
      <w:r>
        <w:t xml:space="preserve"> provided to employees conducting R&amp;D</w:t>
      </w:r>
      <w:r w:rsidR="00EA241E">
        <w:t xml:space="preserve"> or </w:t>
      </w:r>
      <w:r>
        <w:t>not conducting R&amp;D in equal proportions to all other remuneration.</w:t>
      </w:r>
    </w:p>
    <w:p w:rsidR="00A57BB0"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However, certain employees may receive a greater proportion of their remuneration via ESS than other employees in the same company.  This would affect the company’s ability, either positively or negatively, to access the cash-out</w:t>
      </w:r>
      <w:r w:rsidR="00A57BB0">
        <w:t>.</w:t>
      </w:r>
    </w:p>
    <w:p w:rsidR="00A57BB0" w:rsidRDefault="00A57BB0" w:rsidP="00B877AB">
      <w:pPr>
        <w:pStyle w:val="Chapter9Char"/>
        <w:numPr>
          <w:ilvl w:val="0"/>
          <w:numId w:val="0"/>
        </w:numPr>
        <w:ind w:left="851"/>
      </w:pPr>
    </w:p>
    <w:p w:rsidR="00A57BB0" w:rsidRDefault="00A57BB0" w:rsidP="00B877AB">
      <w:pPr>
        <w:pStyle w:val="Chapter9Char"/>
        <w:numPr>
          <w:ilvl w:val="0"/>
          <w:numId w:val="0"/>
        </w:numPr>
        <w:ind w:left="851"/>
      </w:pPr>
    </w:p>
    <w:p w:rsidR="002E4F15" w:rsidRDefault="002E4F15" w:rsidP="0058034D">
      <w:pPr>
        <w:pStyle w:val="Heading1"/>
      </w:pPr>
      <w:bookmarkStart w:id="165" w:name="_Toc483225383"/>
      <w:bookmarkStart w:id="166" w:name="_Toc483815963"/>
      <w:r>
        <w:t>R&amp;D loss tax credits</w:t>
      </w:r>
      <w:bookmarkEnd w:id="165"/>
      <w:bookmarkEnd w:id="166"/>
    </w:p>
    <w:p w:rsidR="00A57BB0" w:rsidRPr="0058034D"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The amount of cash-out available to an eligible company is capped at the lower of a number of separate calculations; one of which is 1.5 times the total R&amp;D labour expenditure multiplied by the company tax rate.</w:t>
      </w:r>
    </w:p>
    <w:p w:rsidR="00A57BB0" w:rsidRDefault="00A57BB0" w:rsidP="00B877AB">
      <w:pPr>
        <w:pStyle w:val="Chapter9Char"/>
        <w:numPr>
          <w:ilvl w:val="0"/>
          <w:numId w:val="0"/>
        </w:numPr>
        <w:ind w:left="851"/>
      </w:pPr>
    </w:p>
    <w:p w:rsidR="002E4F15" w:rsidRDefault="002E4F15" w:rsidP="00B877AB">
      <w:pPr>
        <w:pStyle w:val="Chapter9Char"/>
        <w:tabs>
          <w:tab w:val="clear" w:pos="567"/>
          <w:tab w:val="num" w:pos="851"/>
        </w:tabs>
        <w:ind w:left="851" w:hanging="851"/>
      </w:pPr>
      <w:r>
        <w:t>If costs of ESS are not included within the R&amp;D labour amount then the amount of cash-out available may be lowered by up to 42 percent</w:t>
      </w:r>
      <w:r w:rsidR="00A57BB0" w:rsidRPr="00CE20F7">
        <w:rPr>
          <w:vertAlign w:val="superscript"/>
        </w:rPr>
        <w:footnoteReference w:id="8"/>
      </w:r>
      <w:r>
        <w:t xml:space="preserve"> of those ESS costs.  As </w:t>
      </w:r>
      <w:r w:rsidR="00F52460">
        <w:t xml:space="preserve">ESS is </w:t>
      </w:r>
      <w:r>
        <w:t xml:space="preserve">a deductible </w:t>
      </w:r>
      <w:r w:rsidR="00F52460">
        <w:t xml:space="preserve">labour </w:t>
      </w:r>
      <w:r>
        <w:t>expense of the company</w:t>
      </w:r>
      <w:r w:rsidR="00B97A86">
        <w:t>,</w:t>
      </w:r>
      <w:r>
        <w:t xml:space="preserve"> this does not seem appropriate.</w:t>
      </w:r>
    </w:p>
    <w:p w:rsidR="00A57BB0" w:rsidRDefault="00A57BB0" w:rsidP="0089702B">
      <w:pPr>
        <w:pStyle w:val="Chapter9Char"/>
        <w:numPr>
          <w:ilvl w:val="0"/>
          <w:numId w:val="0"/>
        </w:numPr>
      </w:pPr>
    </w:p>
    <w:p w:rsidR="000B7234" w:rsidRDefault="000B7234" w:rsidP="000B7234">
      <w:pPr>
        <w:pStyle w:val="Chapter9Char"/>
        <w:numPr>
          <w:ilvl w:val="0"/>
          <w:numId w:val="0"/>
        </w:numPr>
      </w:pPr>
    </w:p>
    <w:p w:rsidR="000B7234" w:rsidRPr="0072114D" w:rsidRDefault="000B7234" w:rsidP="000B7234">
      <w:pPr>
        <w:pBdr>
          <w:top w:val="single" w:sz="4" w:space="10" w:color="auto"/>
          <w:left w:val="single" w:sz="4" w:space="10" w:color="auto"/>
          <w:bottom w:val="single" w:sz="4" w:space="10" w:color="auto"/>
          <w:right w:val="single" w:sz="4" w:space="10" w:color="auto"/>
        </w:pBdr>
        <w:rPr>
          <w:b/>
          <w:sz w:val="20"/>
        </w:rPr>
      </w:pPr>
      <w:r w:rsidRPr="0072114D">
        <w:rPr>
          <w:b/>
          <w:sz w:val="20"/>
        </w:rPr>
        <w:t xml:space="preserve">Example </w:t>
      </w:r>
      <w:r>
        <w:rPr>
          <w:b/>
          <w:sz w:val="20"/>
        </w:rPr>
        <w:t>3</w:t>
      </w:r>
      <w:r w:rsidRPr="006D5947">
        <w:rPr>
          <w:b/>
          <w:bCs/>
          <w:sz w:val="20"/>
        </w:rPr>
        <w:t xml:space="preserve">: </w:t>
      </w:r>
      <w:r>
        <w:rPr>
          <w:b/>
          <w:bCs/>
          <w:sz w:val="20"/>
        </w:rPr>
        <w:t>Current R&amp;D treatment of ESS costs</w:t>
      </w:r>
    </w:p>
    <w:p w:rsidR="000B7234" w:rsidRDefault="000B7234" w:rsidP="000B7234">
      <w:pPr>
        <w:pBdr>
          <w:top w:val="single" w:sz="4" w:space="10" w:color="auto"/>
          <w:left w:val="single" w:sz="4" w:space="10" w:color="auto"/>
          <w:bottom w:val="single" w:sz="4" w:space="10" w:color="auto"/>
          <w:right w:val="single" w:sz="4" w:space="10" w:color="auto"/>
        </w:pBdr>
        <w:rPr>
          <w:sz w:val="20"/>
        </w:rPr>
      </w:pPr>
    </w:p>
    <w:p w:rsidR="000B7234" w:rsidRPr="000B7234" w:rsidRDefault="000B7234" w:rsidP="000B7234">
      <w:pPr>
        <w:pBdr>
          <w:top w:val="single" w:sz="4" w:space="10" w:color="auto"/>
          <w:left w:val="single" w:sz="4" w:space="10" w:color="auto"/>
          <w:bottom w:val="single" w:sz="4" w:space="10" w:color="auto"/>
          <w:right w:val="single" w:sz="4" w:space="10" w:color="auto"/>
        </w:pBdr>
        <w:rPr>
          <w:sz w:val="20"/>
        </w:rPr>
      </w:pPr>
      <w:r w:rsidRPr="000B7234">
        <w:rPr>
          <w:sz w:val="20"/>
        </w:rPr>
        <w:t>Start-up Co has been established during the 2018</w:t>
      </w:r>
      <w:r>
        <w:rPr>
          <w:sz w:val="20"/>
        </w:rPr>
        <w:t>–</w:t>
      </w:r>
      <w:r w:rsidRPr="000B7234">
        <w:rPr>
          <w:sz w:val="20"/>
        </w:rPr>
        <w:t>19 year to develop an innovative new product.  In the 2018</w:t>
      </w:r>
      <w:r>
        <w:rPr>
          <w:sz w:val="20"/>
        </w:rPr>
        <w:t>–</w:t>
      </w:r>
      <w:r w:rsidRPr="000B7234">
        <w:rPr>
          <w:sz w:val="20"/>
        </w:rPr>
        <w:t>19 year it has no sales but incurs $100,000 of cash wages, $200,000 of other cash deductible costs and provided shares to its employees which have been independently valued at $150,000.  90</w:t>
      </w:r>
      <w:r w:rsidR="008E795F" w:rsidRPr="00A90758">
        <w:t> </w:t>
      </w:r>
      <w:r w:rsidR="00B97A86">
        <w:rPr>
          <w:sz w:val="20"/>
        </w:rPr>
        <w:t>percent</w:t>
      </w:r>
      <w:r w:rsidRPr="000B7234">
        <w:rPr>
          <w:sz w:val="20"/>
        </w:rPr>
        <w:t xml:space="preserve"> of the cash costs meet the definition of “R&amp;D expenditure” but only 40</w:t>
      </w:r>
      <w:r w:rsidR="00B97A86">
        <w:rPr>
          <w:sz w:val="20"/>
        </w:rPr>
        <w:t xml:space="preserve"> percent</w:t>
      </w:r>
      <w:r w:rsidRPr="000B7234">
        <w:rPr>
          <w:sz w:val="20"/>
        </w:rPr>
        <w:t xml:space="preserve"> of the ESS costs do as the majority are given to an employee who does not undertake R&amp;D.</w:t>
      </w:r>
    </w:p>
    <w:p w:rsidR="000B7234" w:rsidRPr="000B7234" w:rsidRDefault="000B7234" w:rsidP="000B7234">
      <w:pPr>
        <w:pBdr>
          <w:top w:val="single" w:sz="4" w:space="10" w:color="auto"/>
          <w:left w:val="single" w:sz="4" w:space="10" w:color="auto"/>
          <w:bottom w:val="single" w:sz="4" w:space="10" w:color="auto"/>
          <w:right w:val="single" w:sz="4" w:space="10" w:color="auto"/>
        </w:pBdr>
        <w:rPr>
          <w:sz w:val="20"/>
        </w:rPr>
      </w:pPr>
    </w:p>
    <w:p w:rsidR="000B7234" w:rsidRPr="000B7234" w:rsidRDefault="000B7234" w:rsidP="000B7234">
      <w:pPr>
        <w:pBdr>
          <w:top w:val="single" w:sz="4" w:space="10" w:color="auto"/>
          <w:left w:val="single" w:sz="4" w:space="10" w:color="auto"/>
          <w:bottom w:val="single" w:sz="4" w:space="10" w:color="auto"/>
          <w:right w:val="single" w:sz="4" w:space="10" w:color="auto"/>
        </w:pBdr>
        <w:rPr>
          <w:sz w:val="20"/>
        </w:rPr>
      </w:pPr>
      <w:r w:rsidRPr="000B7234">
        <w:rPr>
          <w:sz w:val="20"/>
        </w:rPr>
        <w:t>Start-up Co has made a tax loss of $450,000 for the 2018</w:t>
      </w:r>
      <w:r>
        <w:rPr>
          <w:sz w:val="20"/>
        </w:rPr>
        <w:t>–</w:t>
      </w:r>
      <w:r w:rsidRPr="000B7234">
        <w:rPr>
          <w:sz w:val="20"/>
        </w:rPr>
        <w:t>19 year.  Its wage intensity calculation is $90,000 ÷ $100,000 = 90% so it meets the wage intensity crit</w:t>
      </w:r>
      <w:r>
        <w:rPr>
          <w:sz w:val="20"/>
        </w:rPr>
        <w:t>eria for an R&amp;D loss cash-out.</w:t>
      </w:r>
    </w:p>
    <w:p w:rsidR="000B7234" w:rsidRPr="000B7234" w:rsidRDefault="000B7234" w:rsidP="000B7234">
      <w:pPr>
        <w:pBdr>
          <w:top w:val="single" w:sz="4" w:space="10" w:color="auto"/>
          <w:left w:val="single" w:sz="4" w:space="10" w:color="auto"/>
          <w:bottom w:val="single" w:sz="4" w:space="10" w:color="auto"/>
          <w:right w:val="single" w:sz="4" w:space="10" w:color="auto"/>
        </w:pBdr>
        <w:rPr>
          <w:sz w:val="20"/>
        </w:rPr>
      </w:pPr>
    </w:p>
    <w:p w:rsidR="000B7234" w:rsidRDefault="000B7234" w:rsidP="000B7234">
      <w:pPr>
        <w:pBdr>
          <w:top w:val="single" w:sz="4" w:space="10" w:color="auto"/>
          <w:left w:val="single" w:sz="4" w:space="10" w:color="auto"/>
          <w:bottom w:val="single" w:sz="4" w:space="10" w:color="auto"/>
          <w:right w:val="single" w:sz="4" w:space="10" w:color="auto"/>
        </w:pBdr>
        <w:rPr>
          <w:sz w:val="20"/>
        </w:rPr>
      </w:pPr>
      <w:r w:rsidRPr="000B7234">
        <w:rPr>
          <w:sz w:val="20"/>
        </w:rPr>
        <w:t>The maximum amount of the cash out for the 2018</w:t>
      </w:r>
      <w:r w:rsidR="002038AE">
        <w:rPr>
          <w:sz w:val="20"/>
        </w:rPr>
        <w:t>–</w:t>
      </w:r>
      <w:r w:rsidRPr="000B7234">
        <w:rPr>
          <w:sz w:val="20"/>
        </w:rPr>
        <w:t>19 year is the lesser of:</w:t>
      </w:r>
    </w:p>
    <w:p w:rsidR="000B7234" w:rsidRPr="00B05A15" w:rsidRDefault="000B7234" w:rsidP="000B7234">
      <w:pPr>
        <w:pBdr>
          <w:top w:val="single" w:sz="4" w:space="10" w:color="auto"/>
          <w:left w:val="single" w:sz="4" w:space="10" w:color="auto"/>
          <w:bottom w:val="single" w:sz="4" w:space="10" w:color="auto"/>
          <w:right w:val="single" w:sz="4" w:space="10" w:color="auto"/>
        </w:pBdr>
        <w:rPr>
          <w:sz w:val="20"/>
        </w:rPr>
      </w:pPr>
    </w:p>
    <w:p w:rsidR="000B7234" w:rsidRPr="00B05A15" w:rsidRDefault="000B7234" w:rsidP="000B7234">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$1,100,000 x 28% = $308,000</w:t>
      </w:r>
    </w:p>
    <w:p w:rsidR="000B7234" w:rsidRPr="00B05A15" w:rsidRDefault="000B7234" w:rsidP="000B7234">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Net loss for the year = $450,000 x 28% = $126,000</w:t>
      </w:r>
    </w:p>
    <w:p w:rsidR="000B7234" w:rsidRDefault="000B7234" w:rsidP="000B7234">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Total R&amp;D expenditure = (($100,000 x 90%) + $200,000 + ($150,000 x 40%)) x 28% = $98,000</w:t>
      </w:r>
    </w:p>
    <w:p w:rsidR="000B7234" w:rsidRDefault="000B7234" w:rsidP="000B7234">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R&amp;D labour expenditure = 1.5 x ($100,000 x 90%</w:t>
      </w:r>
      <w:r>
        <w:rPr>
          <w:sz w:val="20"/>
        </w:rPr>
        <w:t xml:space="preserve">) </w:t>
      </w:r>
      <w:r w:rsidRPr="00B05A15">
        <w:rPr>
          <w:sz w:val="20"/>
        </w:rPr>
        <w:t>x 28% = $</w:t>
      </w:r>
      <w:r>
        <w:rPr>
          <w:sz w:val="20"/>
        </w:rPr>
        <w:t>37</w:t>
      </w:r>
      <w:r w:rsidRPr="00B05A15">
        <w:rPr>
          <w:sz w:val="20"/>
        </w:rPr>
        <w:t>,</w:t>
      </w:r>
      <w:r>
        <w:rPr>
          <w:sz w:val="20"/>
        </w:rPr>
        <w:t>8</w:t>
      </w:r>
      <w:r w:rsidRPr="00B05A15">
        <w:rPr>
          <w:sz w:val="20"/>
        </w:rPr>
        <w:t>00</w:t>
      </w:r>
    </w:p>
    <w:p w:rsidR="000412F4" w:rsidRDefault="000412F4" w:rsidP="000B7234">
      <w:pPr>
        <w:pBdr>
          <w:top w:val="single" w:sz="4" w:space="10" w:color="auto"/>
          <w:left w:val="single" w:sz="4" w:space="10" w:color="auto"/>
          <w:bottom w:val="single" w:sz="4" w:space="10" w:color="auto"/>
          <w:right w:val="single" w:sz="4" w:space="10" w:color="auto"/>
        </w:pBdr>
        <w:ind w:left="426" w:hanging="426"/>
        <w:rPr>
          <w:sz w:val="20"/>
        </w:rPr>
      </w:pPr>
    </w:p>
    <w:p w:rsidR="000B7234" w:rsidRPr="0072114D" w:rsidRDefault="000B7234" w:rsidP="000B7234">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Start-up Co is entitled to an R&amp;D loss cash-out amount of $63,000</w:t>
      </w:r>
    </w:p>
    <w:p w:rsidR="000B7234" w:rsidRPr="00A90758" w:rsidRDefault="000B7234" w:rsidP="000B7234">
      <w:pPr>
        <w:pStyle w:val="Chapter9Char"/>
        <w:numPr>
          <w:ilvl w:val="0"/>
          <w:numId w:val="0"/>
        </w:numPr>
      </w:pPr>
    </w:p>
    <w:p w:rsidR="000344A6" w:rsidRDefault="000344A6" w:rsidP="0089702B">
      <w:pPr>
        <w:pStyle w:val="Chapter9Char"/>
        <w:numPr>
          <w:ilvl w:val="0"/>
          <w:numId w:val="0"/>
        </w:numPr>
      </w:pPr>
    </w:p>
    <w:p w:rsidR="002E4F15" w:rsidRDefault="002E4F15" w:rsidP="0058034D">
      <w:pPr>
        <w:pStyle w:val="Heading1"/>
      </w:pPr>
      <w:bookmarkStart w:id="167" w:name="_Toc483225384"/>
      <w:bookmarkStart w:id="168" w:name="_Toc483815964"/>
      <w:r>
        <w:t>Proposal</w:t>
      </w:r>
      <w:bookmarkEnd w:id="167"/>
      <w:bookmarkEnd w:id="168"/>
    </w:p>
    <w:p w:rsidR="00A57BB0" w:rsidRPr="0058034D" w:rsidRDefault="00A57BB0" w:rsidP="0089702B">
      <w:pPr>
        <w:pStyle w:val="Chapter9Char"/>
        <w:numPr>
          <w:ilvl w:val="0"/>
          <w:numId w:val="0"/>
        </w:numPr>
      </w:pPr>
    </w:p>
    <w:p w:rsidR="002E4F15" w:rsidRDefault="002E4F15" w:rsidP="0089702B">
      <w:pPr>
        <w:pStyle w:val="Chapter9Char"/>
        <w:tabs>
          <w:tab w:val="clear" w:pos="567"/>
          <w:tab w:val="num" w:pos="851"/>
        </w:tabs>
        <w:ind w:left="851" w:hanging="851"/>
      </w:pPr>
      <w:r>
        <w:t>To address both these issues officials propose that ESS costs</w:t>
      </w:r>
      <w:r w:rsidR="003F20FB">
        <w:t>,</w:t>
      </w:r>
      <w:r>
        <w:t xml:space="preserve"> </w:t>
      </w:r>
      <w:r w:rsidR="003F20FB">
        <w:t xml:space="preserve">if they meet the other requirements, </w:t>
      </w:r>
      <w:r>
        <w:t>be specifically included within total labour expenditure and total R&amp;D labour expenditure for the purposes of the R&amp;D loss cash-out rules.</w:t>
      </w:r>
      <w:r w:rsidR="00F52460">
        <w:t xml:space="preserve">  This will allow companies entitled to the R&amp;D loss cash-out to receive a tax refund under that scheme which may be able to be used to fund a substantial part of the employee’s tax liability</w:t>
      </w:r>
      <w:r w:rsidR="003F20FB">
        <w:t xml:space="preserve"> on ESS benefits</w:t>
      </w:r>
      <w:r w:rsidR="00F52460">
        <w:t>.</w:t>
      </w:r>
    </w:p>
    <w:bookmarkEnd w:id="160"/>
    <w:p w:rsidR="00980487" w:rsidRDefault="00980487" w:rsidP="0089702B">
      <w:pPr>
        <w:pStyle w:val="Chapter9Char"/>
        <w:numPr>
          <w:ilvl w:val="0"/>
          <w:numId w:val="0"/>
        </w:numPr>
      </w:pPr>
    </w:p>
    <w:p w:rsidR="003477F2" w:rsidRDefault="003477F2" w:rsidP="0089702B">
      <w:pPr>
        <w:pStyle w:val="Chapter9Char"/>
        <w:numPr>
          <w:ilvl w:val="0"/>
          <w:numId w:val="0"/>
        </w:numPr>
      </w:pPr>
    </w:p>
    <w:p w:rsidR="00B05A15" w:rsidRPr="0072114D" w:rsidRDefault="00B05A15" w:rsidP="00B05A15">
      <w:pPr>
        <w:pBdr>
          <w:top w:val="single" w:sz="4" w:space="10" w:color="auto"/>
          <w:left w:val="single" w:sz="4" w:space="10" w:color="auto"/>
          <w:bottom w:val="single" w:sz="4" w:space="10" w:color="auto"/>
          <w:right w:val="single" w:sz="4" w:space="10" w:color="auto"/>
        </w:pBdr>
        <w:rPr>
          <w:b/>
          <w:sz w:val="20"/>
        </w:rPr>
      </w:pPr>
      <w:r w:rsidRPr="0072114D">
        <w:rPr>
          <w:b/>
          <w:sz w:val="20"/>
        </w:rPr>
        <w:t xml:space="preserve">Example </w:t>
      </w:r>
      <w:r>
        <w:rPr>
          <w:b/>
          <w:bCs/>
          <w:sz w:val="20"/>
        </w:rPr>
        <w:t>4</w:t>
      </w:r>
      <w:r w:rsidRPr="006D5947">
        <w:rPr>
          <w:b/>
          <w:bCs/>
          <w:sz w:val="20"/>
        </w:rPr>
        <w:t xml:space="preserve">: </w:t>
      </w:r>
      <w:r>
        <w:rPr>
          <w:b/>
          <w:bCs/>
          <w:sz w:val="20"/>
        </w:rPr>
        <w:t>Proposed</w:t>
      </w:r>
      <w:r w:rsidRPr="006D5947">
        <w:rPr>
          <w:b/>
          <w:bCs/>
          <w:sz w:val="20"/>
        </w:rPr>
        <w:t xml:space="preserve"> R&amp;D treatment of ESS costs</w:t>
      </w:r>
    </w:p>
    <w:p w:rsidR="00B05A15" w:rsidRDefault="00B05A15" w:rsidP="00B05A15">
      <w:pPr>
        <w:pBdr>
          <w:top w:val="single" w:sz="4" w:space="10" w:color="auto"/>
          <w:left w:val="single" w:sz="4" w:space="10" w:color="auto"/>
          <w:bottom w:val="single" w:sz="4" w:space="10" w:color="auto"/>
          <w:right w:val="single" w:sz="4" w:space="10" w:color="auto"/>
        </w:pBdr>
        <w:rPr>
          <w:sz w:val="20"/>
        </w:rPr>
      </w:pPr>
    </w:p>
    <w:p w:rsidR="00B05A15" w:rsidRPr="00B05A15" w:rsidRDefault="00B05A15" w:rsidP="00B05A15">
      <w:pPr>
        <w:pBdr>
          <w:top w:val="single" w:sz="4" w:space="10" w:color="auto"/>
          <w:left w:val="single" w:sz="4" w:space="10" w:color="auto"/>
          <w:bottom w:val="single" w:sz="4" w:space="10" w:color="auto"/>
          <w:right w:val="single" w:sz="4" w:space="10" w:color="auto"/>
        </w:pBdr>
        <w:rPr>
          <w:sz w:val="20"/>
        </w:rPr>
      </w:pPr>
      <w:r w:rsidRPr="00B05A15">
        <w:rPr>
          <w:sz w:val="20"/>
        </w:rPr>
        <w:t>Using the same facts from example 3 Start-up Co applies the proposed changes to the R&amp;D loss cash-out</w:t>
      </w:r>
      <w:r w:rsidR="002038AE">
        <w:rPr>
          <w:sz w:val="20"/>
        </w:rPr>
        <w:t>.</w:t>
      </w:r>
    </w:p>
    <w:p w:rsidR="00B05A15" w:rsidRPr="00B05A15" w:rsidRDefault="00B05A15" w:rsidP="00B05A15">
      <w:pPr>
        <w:pBdr>
          <w:top w:val="single" w:sz="4" w:space="10" w:color="auto"/>
          <w:left w:val="single" w:sz="4" w:space="10" w:color="auto"/>
          <w:bottom w:val="single" w:sz="4" w:space="10" w:color="auto"/>
          <w:right w:val="single" w:sz="4" w:space="10" w:color="auto"/>
        </w:pBdr>
        <w:rPr>
          <w:sz w:val="20"/>
        </w:rPr>
      </w:pPr>
    </w:p>
    <w:p w:rsidR="00B05A15" w:rsidRPr="00B05A15" w:rsidRDefault="00B05A15" w:rsidP="00B05A15">
      <w:pPr>
        <w:pBdr>
          <w:top w:val="single" w:sz="4" w:space="10" w:color="auto"/>
          <w:left w:val="single" w:sz="4" w:space="10" w:color="auto"/>
          <w:bottom w:val="single" w:sz="4" w:space="10" w:color="auto"/>
          <w:right w:val="single" w:sz="4" w:space="10" w:color="auto"/>
        </w:pBdr>
        <w:rPr>
          <w:sz w:val="20"/>
        </w:rPr>
      </w:pPr>
      <w:r w:rsidRPr="00B05A15">
        <w:rPr>
          <w:sz w:val="20"/>
        </w:rPr>
        <w:t>Start-up Co has made a tax loss of $450,000 for the 2018</w:t>
      </w:r>
      <w:r w:rsidR="002038AE">
        <w:rPr>
          <w:sz w:val="20"/>
        </w:rPr>
        <w:t>–</w:t>
      </w:r>
      <w:r w:rsidRPr="00B05A15">
        <w:rPr>
          <w:sz w:val="20"/>
        </w:rPr>
        <w:t>19 year.  Its wage intensity calculation is ($90,000 + $60,000) ÷ ($100,000 + $150,000) = 60% so it meets the wage intensity criteria for an R&amp;D loss cash-out.</w:t>
      </w:r>
    </w:p>
    <w:p w:rsidR="00B05A15" w:rsidRPr="00B05A15" w:rsidRDefault="00B05A15" w:rsidP="00B05A15">
      <w:pPr>
        <w:pBdr>
          <w:top w:val="single" w:sz="4" w:space="10" w:color="auto"/>
          <w:left w:val="single" w:sz="4" w:space="10" w:color="auto"/>
          <w:bottom w:val="single" w:sz="4" w:space="10" w:color="auto"/>
          <w:right w:val="single" w:sz="4" w:space="10" w:color="auto"/>
        </w:pBdr>
        <w:rPr>
          <w:sz w:val="20"/>
        </w:rPr>
      </w:pPr>
    </w:p>
    <w:p w:rsidR="00B05A15" w:rsidRDefault="00B05A15" w:rsidP="00B05A15">
      <w:pPr>
        <w:pBdr>
          <w:top w:val="single" w:sz="4" w:space="10" w:color="auto"/>
          <w:left w:val="single" w:sz="4" w:space="10" w:color="auto"/>
          <w:bottom w:val="single" w:sz="4" w:space="10" w:color="auto"/>
          <w:right w:val="single" w:sz="4" w:space="10" w:color="auto"/>
        </w:pBdr>
        <w:rPr>
          <w:sz w:val="20"/>
        </w:rPr>
      </w:pPr>
      <w:r w:rsidRPr="00B05A15">
        <w:rPr>
          <w:sz w:val="20"/>
        </w:rPr>
        <w:t>The maximum amount of the cash out for the 2018</w:t>
      </w:r>
      <w:r w:rsidR="002038AE">
        <w:rPr>
          <w:sz w:val="20"/>
        </w:rPr>
        <w:t>–</w:t>
      </w:r>
      <w:r w:rsidRPr="00B05A15">
        <w:rPr>
          <w:sz w:val="20"/>
        </w:rPr>
        <w:t>19 year is the lesser of:</w:t>
      </w:r>
    </w:p>
    <w:p w:rsidR="00B05A15" w:rsidRPr="00B05A15" w:rsidRDefault="00B05A15" w:rsidP="00B05A15">
      <w:pPr>
        <w:pBdr>
          <w:top w:val="single" w:sz="4" w:space="10" w:color="auto"/>
          <w:left w:val="single" w:sz="4" w:space="10" w:color="auto"/>
          <w:bottom w:val="single" w:sz="4" w:space="10" w:color="auto"/>
          <w:right w:val="single" w:sz="4" w:space="10" w:color="auto"/>
        </w:pBdr>
        <w:rPr>
          <w:sz w:val="20"/>
        </w:rPr>
      </w:pPr>
    </w:p>
    <w:p w:rsidR="00B05A15" w:rsidRPr="00B05A15" w:rsidRDefault="00B05A15" w:rsidP="00B05A15">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$1,100,000 x 28% = $308,000</w:t>
      </w:r>
    </w:p>
    <w:p w:rsidR="00B05A15" w:rsidRPr="00B05A15" w:rsidRDefault="00B05A15" w:rsidP="00B05A15">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Net loss for the year = $450,000 x 28% = $126,000</w:t>
      </w:r>
    </w:p>
    <w:p w:rsidR="00B05A15" w:rsidRDefault="00B05A15" w:rsidP="00B05A15">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Total R&amp;D expenditure = (($100,000 x 90%) + $200,000 + ($150,000 x 40%)) x 28% = $98,000</w:t>
      </w:r>
    </w:p>
    <w:p w:rsidR="00B05A15" w:rsidRPr="00B05A15" w:rsidRDefault="00B05A15" w:rsidP="00B05A15">
      <w:pPr>
        <w:pBdr>
          <w:top w:val="single" w:sz="4" w:space="10" w:color="auto"/>
          <w:left w:val="single" w:sz="4" w:space="10" w:color="auto"/>
          <w:bottom w:val="single" w:sz="4" w:space="10" w:color="auto"/>
          <w:right w:val="single" w:sz="4" w:space="10" w:color="auto"/>
        </w:pBdr>
        <w:ind w:left="426" w:hanging="426"/>
        <w:rPr>
          <w:sz w:val="20"/>
        </w:rPr>
      </w:pPr>
      <w:r w:rsidRPr="00B05A15">
        <w:rPr>
          <w:sz w:val="20"/>
        </w:rPr>
        <w:t>•</w:t>
      </w:r>
      <w:r w:rsidRPr="00B05A15">
        <w:rPr>
          <w:sz w:val="20"/>
        </w:rPr>
        <w:tab/>
        <w:t>R&amp;D labour expenditure = 1.5 x ($100,000 x 90% + $150,000 x 40%) x 28% = $63,000</w:t>
      </w:r>
    </w:p>
    <w:p w:rsidR="00B05A15" w:rsidRPr="00B05A15" w:rsidRDefault="00B05A15" w:rsidP="00B05A15">
      <w:pPr>
        <w:pBdr>
          <w:top w:val="single" w:sz="4" w:space="10" w:color="auto"/>
          <w:left w:val="single" w:sz="4" w:space="10" w:color="auto"/>
          <w:bottom w:val="single" w:sz="4" w:space="10" w:color="auto"/>
          <w:right w:val="single" w:sz="4" w:space="10" w:color="auto"/>
        </w:pBdr>
        <w:rPr>
          <w:sz w:val="20"/>
        </w:rPr>
      </w:pPr>
    </w:p>
    <w:p w:rsidR="00B05A15" w:rsidRPr="0072114D" w:rsidRDefault="00B05A15" w:rsidP="00B05A15">
      <w:pPr>
        <w:pBdr>
          <w:top w:val="single" w:sz="4" w:space="10" w:color="auto"/>
          <w:left w:val="single" w:sz="4" w:space="10" w:color="auto"/>
          <w:bottom w:val="single" w:sz="4" w:space="10" w:color="auto"/>
          <w:right w:val="single" w:sz="4" w:space="10" w:color="auto"/>
        </w:pBdr>
        <w:rPr>
          <w:sz w:val="20"/>
        </w:rPr>
      </w:pPr>
      <w:r w:rsidRPr="00B05A15">
        <w:rPr>
          <w:sz w:val="20"/>
        </w:rPr>
        <w:t>Start-up Co is entitled to an R&amp;D loss cash-out amount of $63,000</w:t>
      </w:r>
    </w:p>
    <w:p w:rsidR="00B05A15" w:rsidRPr="00A90758" w:rsidRDefault="00B05A15" w:rsidP="0089702B">
      <w:pPr>
        <w:pStyle w:val="Chapter9Char"/>
        <w:numPr>
          <w:ilvl w:val="0"/>
          <w:numId w:val="0"/>
        </w:numPr>
      </w:pPr>
    </w:p>
    <w:sectPr w:rsidR="00B05A15" w:rsidRPr="00A90758" w:rsidSect="00654463">
      <w:footerReference w:type="even" r:id="rId12"/>
      <w:footerReference w:type="default" r:id="rId13"/>
      <w:footerReference w:type="first" r:id="rId14"/>
      <w:type w:val="oddPage"/>
      <w:pgSz w:w="11906" w:h="16838" w:code="9"/>
      <w:pgMar w:top="1134" w:right="1797" w:bottom="1134" w:left="1797" w:header="709" w:footer="425"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D6C17" w15:done="0"/>
  <w15:commentEx w15:paraId="7EF88006" w15:done="0"/>
  <w15:commentEx w15:paraId="1E5465EF" w15:done="0"/>
  <w15:commentEx w15:paraId="26D75020" w15:done="0"/>
  <w15:commentEx w15:paraId="3EF431C4" w15:done="0"/>
  <w15:commentEx w15:paraId="6DA5EC10" w15:done="0"/>
  <w15:commentEx w15:paraId="011F641A" w15:done="0"/>
  <w15:commentEx w15:paraId="4DE38182" w15:done="0"/>
  <w15:commentEx w15:paraId="41CEB1D0" w15:done="0"/>
  <w15:commentEx w15:paraId="785063C1" w15:done="0"/>
  <w15:commentEx w15:paraId="1110457D" w15:done="0"/>
  <w15:commentEx w15:paraId="3FF93D00" w15:done="0"/>
  <w15:commentEx w15:paraId="613FC407" w15:done="0"/>
  <w15:commentEx w15:paraId="760BB697" w15:done="0"/>
  <w15:commentEx w15:paraId="15977CE5" w15:done="0"/>
  <w15:commentEx w15:paraId="59E62DE1" w15:done="0"/>
  <w15:commentEx w15:paraId="6129398C" w15:done="0"/>
  <w15:commentEx w15:paraId="3DD30DB8" w15:done="0"/>
  <w15:commentEx w15:paraId="2ED214E2" w15:done="0"/>
  <w15:commentEx w15:paraId="11DEF6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84" w:rsidRDefault="00602A84">
      <w:r>
        <w:separator/>
      </w:r>
    </w:p>
  </w:endnote>
  <w:endnote w:type="continuationSeparator" w:id="0">
    <w:p w:rsidR="00602A84" w:rsidRDefault="0060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84" w:rsidRDefault="00602A84"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84" w:rsidRPr="003E33AF" w:rsidRDefault="00602A84" w:rsidP="003E33AF">
    <w:pPr>
      <w:pStyle w:val="Footer"/>
      <w:jc w:val="center"/>
      <w:rPr>
        <w:rFonts w:ascii="Verdana" w:hAnsi="Verdana"/>
        <w:sz w:val="20"/>
      </w:rPr>
    </w:pPr>
    <w:r>
      <w:rPr>
        <w:rFonts w:ascii="Verdana" w:hAnsi="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84" w:rsidRDefault="00602A84"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84" w:rsidRPr="0003164B" w:rsidRDefault="00602A84"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C509C0">
      <w:rPr>
        <w:rStyle w:val="PageNumber"/>
        <w:noProof/>
      </w:rPr>
      <w:t>29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84" w:rsidRDefault="00602A84" w:rsidP="00096603">
    <w:pPr>
      <w:pStyle w:val="Footer"/>
      <w:jc w:val="center"/>
    </w:pPr>
    <w:r>
      <w:fldChar w:fldCharType="begin"/>
    </w:r>
    <w:r>
      <w:rPr>
        <w:rStyle w:val="PageNumber"/>
      </w:rPr>
      <w:instrText xml:space="preserve"> PAGE </w:instrText>
    </w:r>
    <w:r>
      <w:fldChar w:fldCharType="separate"/>
    </w:r>
    <w:r w:rsidR="00C509C0">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84" w:rsidRDefault="00602A84">
      <w:r>
        <w:separator/>
      </w:r>
    </w:p>
  </w:footnote>
  <w:footnote w:type="continuationSeparator" w:id="0">
    <w:p w:rsidR="00602A84" w:rsidRDefault="00602A84">
      <w:r>
        <w:continuationSeparator/>
      </w:r>
    </w:p>
  </w:footnote>
  <w:footnote w:id="1">
    <w:p w:rsidR="00602A84" w:rsidRPr="0031789A" w:rsidRDefault="00602A84" w:rsidP="00961562">
      <w:pPr>
        <w:pStyle w:val="FootnoteText"/>
      </w:pPr>
      <w:r>
        <w:rPr>
          <w:rStyle w:val="FootnoteReference"/>
        </w:rPr>
        <w:footnoteRef/>
      </w:r>
      <w:r>
        <w:t xml:space="preserve"> </w:t>
      </w:r>
      <w:r>
        <w:rPr>
          <w:i/>
        </w:rPr>
        <w:t>Taxation of employee share schemes: An officials’ issues paper</w:t>
      </w:r>
      <w:r>
        <w:t>, Inland Revenue (May 2016).</w:t>
      </w:r>
    </w:p>
  </w:footnote>
  <w:footnote w:id="2">
    <w:p w:rsidR="00602A84" w:rsidRPr="00473348" w:rsidRDefault="00602A84" w:rsidP="00DD6BBD">
      <w:pPr>
        <w:pStyle w:val="FootnoteText"/>
      </w:pPr>
      <w:r>
        <w:rPr>
          <w:rStyle w:val="FootnoteReference"/>
        </w:rPr>
        <w:footnoteRef/>
      </w:r>
      <w:r>
        <w:t xml:space="preserve"> </w:t>
      </w:r>
      <w:r>
        <w:rPr>
          <w:i/>
        </w:rPr>
        <w:t>Tax treatment of employee share schemes – further consultation</w:t>
      </w:r>
      <w:r>
        <w:t>, Inland Revenue (September 2016).</w:t>
      </w:r>
    </w:p>
  </w:footnote>
  <w:footnote w:id="3">
    <w:p w:rsidR="00602A84" w:rsidRPr="00961562" w:rsidRDefault="00602A84">
      <w:pPr>
        <w:pStyle w:val="FootnoteText"/>
      </w:pPr>
      <w:r>
        <w:rPr>
          <w:rStyle w:val="FootnoteReference"/>
        </w:rPr>
        <w:footnoteRef/>
      </w:r>
      <w:r>
        <w:t xml:space="preserve"> </w:t>
      </w:r>
      <w:r>
        <w:rPr>
          <w:i/>
        </w:rPr>
        <w:t>Taxation (Annual Rates for 2017–18, Investment and Employment Income, and Remedial Matters) Bill.</w:t>
      </w:r>
    </w:p>
  </w:footnote>
  <w:footnote w:id="4">
    <w:p w:rsidR="00602A84" w:rsidRPr="00513B0D" w:rsidRDefault="00602A84">
      <w:pPr>
        <w:pStyle w:val="FootnoteText"/>
      </w:pPr>
      <w:r>
        <w:rPr>
          <w:rStyle w:val="FootnoteReference"/>
        </w:rPr>
        <w:footnoteRef/>
      </w:r>
      <w:r>
        <w:t xml:space="preserve"> </w:t>
      </w:r>
      <w:r w:rsidRPr="00346E7E">
        <w:t>Commissioner’s Statement CS 17/01</w:t>
      </w:r>
      <w:r>
        <w:t xml:space="preserve"> – </w:t>
      </w:r>
      <w:r w:rsidRPr="00346E7E">
        <w:rPr>
          <w:i/>
        </w:rPr>
        <w:t>Determining “value” of shares received by an employee under a share purchase agreement.</w:t>
      </w:r>
      <w:r>
        <w:t xml:space="preserve">  </w:t>
      </w:r>
    </w:p>
  </w:footnote>
  <w:footnote w:id="5">
    <w:p w:rsidR="00602A84" w:rsidRDefault="00602A84">
      <w:pPr>
        <w:pStyle w:val="FootnoteText"/>
      </w:pPr>
      <w:r>
        <w:rPr>
          <w:rStyle w:val="FootnoteReference"/>
        </w:rPr>
        <w:footnoteRef/>
      </w:r>
      <w:r>
        <w:t xml:space="preserve"> Section 83A-33, Income Tax Assessment Act 1997 (Australia).</w:t>
      </w:r>
    </w:p>
  </w:footnote>
  <w:footnote w:id="6">
    <w:p w:rsidR="00602A84" w:rsidRDefault="00602A84" w:rsidP="00FF2BE3">
      <w:pPr>
        <w:pStyle w:val="FootnoteText"/>
      </w:pPr>
      <w:r>
        <w:rPr>
          <w:rStyle w:val="FootnoteReference"/>
        </w:rPr>
        <w:footnoteRef/>
      </w:r>
      <w:r>
        <w:t xml:space="preserve"> Section CW 12 exempts proceeds from share disposals by qualifying foreign equity investors, unless the resident company is engaged in certain activities.  Australia also has rules prohibiting share trading and investment companies from accessing the deferral regime.</w:t>
      </w:r>
    </w:p>
  </w:footnote>
  <w:footnote w:id="7">
    <w:p w:rsidR="00602A84" w:rsidRDefault="00602A84">
      <w:pPr>
        <w:pStyle w:val="FootnoteText"/>
      </w:pPr>
      <w:r>
        <w:rPr>
          <w:rStyle w:val="FootnoteReference"/>
        </w:rPr>
        <w:footnoteRef/>
      </w:r>
      <w:r>
        <w:t xml:space="preserve"> An earn-out period is where a portion of the sale price is dependent on the future performance of the acquired business.  These are used to keep pre-acquisition employees involved or where there is uncertainty over future growth prospects.</w:t>
      </w:r>
    </w:p>
  </w:footnote>
  <w:footnote w:id="8">
    <w:p w:rsidR="00602A84" w:rsidRDefault="00602A84">
      <w:pPr>
        <w:pStyle w:val="FootnoteText"/>
      </w:pPr>
      <w:r>
        <w:rPr>
          <w:rStyle w:val="FootnoteReference"/>
        </w:rPr>
        <w:footnoteRef/>
      </w:r>
      <w:r>
        <w:t xml:space="preserve"> 1.5 x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829"/>
    <w:multiLevelType w:val="hybridMultilevel"/>
    <w:tmpl w:val="F0849F26"/>
    <w:lvl w:ilvl="0" w:tplc="62AA7E62">
      <w:numFmt w:val="bullet"/>
      <w:lvlText w:val="-"/>
      <w:lvlJc w:val="left"/>
      <w:pPr>
        <w:ind w:left="1571" w:hanging="360"/>
      </w:pPr>
      <w:rPr>
        <w:rFonts w:ascii="Times New Roman" w:eastAsia="Times New Roman" w:hAnsi="Times New Roman" w:cs="Times New Roman"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nsid w:val="07B6134C"/>
    <w:multiLevelType w:val="singleLevel"/>
    <w:tmpl w:val="7428A606"/>
    <w:lvl w:ilvl="0">
      <w:start w:val="1"/>
      <w:numFmt w:val="decimal"/>
      <w:pStyle w:val="Chapter5CharChar"/>
      <w:lvlText w:val="5.%1"/>
      <w:lvlJc w:val="left"/>
      <w:pPr>
        <w:tabs>
          <w:tab w:val="num" w:pos="851"/>
        </w:tabs>
        <w:ind w:left="851" w:hanging="851"/>
      </w:pPr>
      <w:rPr>
        <w:rFonts w:hint="default"/>
        <w:b w:val="0"/>
        <w:i w:val="0"/>
      </w:rPr>
    </w:lvl>
  </w:abstractNum>
  <w:abstractNum w:abstractNumId="2">
    <w:nsid w:val="09A77DB9"/>
    <w:multiLevelType w:val="hybridMultilevel"/>
    <w:tmpl w:val="D5CC965E"/>
    <w:lvl w:ilvl="0" w:tplc="14090001">
      <w:start w:val="1"/>
      <w:numFmt w:val="bullet"/>
      <w:lvlText w:val=""/>
      <w:lvlJc w:val="left"/>
      <w:pPr>
        <w:ind w:left="2228" w:hanging="360"/>
      </w:pPr>
      <w:rPr>
        <w:rFonts w:ascii="Symbol" w:hAnsi="Symbol" w:hint="default"/>
      </w:rPr>
    </w:lvl>
    <w:lvl w:ilvl="1" w:tplc="14090003" w:tentative="1">
      <w:start w:val="1"/>
      <w:numFmt w:val="bullet"/>
      <w:lvlText w:val="o"/>
      <w:lvlJc w:val="left"/>
      <w:pPr>
        <w:ind w:left="2948" w:hanging="360"/>
      </w:pPr>
      <w:rPr>
        <w:rFonts w:ascii="Courier New" w:hAnsi="Courier New" w:cs="Courier New" w:hint="default"/>
      </w:rPr>
    </w:lvl>
    <w:lvl w:ilvl="2" w:tplc="14090005" w:tentative="1">
      <w:start w:val="1"/>
      <w:numFmt w:val="bullet"/>
      <w:lvlText w:val=""/>
      <w:lvlJc w:val="left"/>
      <w:pPr>
        <w:ind w:left="3668" w:hanging="360"/>
      </w:pPr>
      <w:rPr>
        <w:rFonts w:ascii="Wingdings" w:hAnsi="Wingdings" w:hint="default"/>
      </w:rPr>
    </w:lvl>
    <w:lvl w:ilvl="3" w:tplc="14090001" w:tentative="1">
      <w:start w:val="1"/>
      <w:numFmt w:val="bullet"/>
      <w:lvlText w:val=""/>
      <w:lvlJc w:val="left"/>
      <w:pPr>
        <w:ind w:left="4388" w:hanging="360"/>
      </w:pPr>
      <w:rPr>
        <w:rFonts w:ascii="Symbol" w:hAnsi="Symbol" w:hint="default"/>
      </w:rPr>
    </w:lvl>
    <w:lvl w:ilvl="4" w:tplc="14090003" w:tentative="1">
      <w:start w:val="1"/>
      <w:numFmt w:val="bullet"/>
      <w:lvlText w:val="o"/>
      <w:lvlJc w:val="left"/>
      <w:pPr>
        <w:ind w:left="5108" w:hanging="360"/>
      </w:pPr>
      <w:rPr>
        <w:rFonts w:ascii="Courier New" w:hAnsi="Courier New" w:cs="Courier New" w:hint="default"/>
      </w:rPr>
    </w:lvl>
    <w:lvl w:ilvl="5" w:tplc="14090005" w:tentative="1">
      <w:start w:val="1"/>
      <w:numFmt w:val="bullet"/>
      <w:lvlText w:val=""/>
      <w:lvlJc w:val="left"/>
      <w:pPr>
        <w:ind w:left="5828" w:hanging="360"/>
      </w:pPr>
      <w:rPr>
        <w:rFonts w:ascii="Wingdings" w:hAnsi="Wingdings" w:hint="default"/>
      </w:rPr>
    </w:lvl>
    <w:lvl w:ilvl="6" w:tplc="14090001" w:tentative="1">
      <w:start w:val="1"/>
      <w:numFmt w:val="bullet"/>
      <w:lvlText w:val=""/>
      <w:lvlJc w:val="left"/>
      <w:pPr>
        <w:ind w:left="6548" w:hanging="360"/>
      </w:pPr>
      <w:rPr>
        <w:rFonts w:ascii="Symbol" w:hAnsi="Symbol" w:hint="default"/>
      </w:rPr>
    </w:lvl>
    <w:lvl w:ilvl="7" w:tplc="14090003" w:tentative="1">
      <w:start w:val="1"/>
      <w:numFmt w:val="bullet"/>
      <w:lvlText w:val="o"/>
      <w:lvlJc w:val="left"/>
      <w:pPr>
        <w:ind w:left="7268" w:hanging="360"/>
      </w:pPr>
      <w:rPr>
        <w:rFonts w:ascii="Courier New" w:hAnsi="Courier New" w:cs="Courier New" w:hint="default"/>
      </w:rPr>
    </w:lvl>
    <w:lvl w:ilvl="8" w:tplc="14090005" w:tentative="1">
      <w:start w:val="1"/>
      <w:numFmt w:val="bullet"/>
      <w:lvlText w:val=""/>
      <w:lvlJc w:val="left"/>
      <w:pPr>
        <w:ind w:left="7988" w:hanging="360"/>
      </w:pPr>
      <w:rPr>
        <w:rFonts w:ascii="Wingdings" w:hAnsi="Wingdings" w:hint="default"/>
      </w:rPr>
    </w:lvl>
  </w:abstractNum>
  <w:abstractNum w:abstractNumId="3">
    <w:nsid w:val="147579EB"/>
    <w:multiLevelType w:val="multilevel"/>
    <w:tmpl w:val="4864B1D8"/>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B3267"/>
    <w:multiLevelType w:val="hybridMultilevel"/>
    <w:tmpl w:val="C7386AD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nsid w:val="15936E75"/>
    <w:multiLevelType w:val="hybridMultilevel"/>
    <w:tmpl w:val="3F726ED4"/>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C355FA4"/>
    <w:multiLevelType w:val="hybridMultilevel"/>
    <w:tmpl w:val="E9343222"/>
    <w:lvl w:ilvl="0" w:tplc="14090017">
      <w:start w:val="1"/>
      <w:numFmt w:val="lowerLetter"/>
      <w:lvlText w:val="%1)"/>
      <w:lvlJc w:val="left"/>
      <w:pPr>
        <w:tabs>
          <w:tab w:val="num" w:pos="567"/>
        </w:tabs>
        <w:ind w:left="1418" w:hanging="567"/>
      </w:pPr>
      <w:rPr>
        <w:rFonts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7">
    <w:nsid w:val="1DC37972"/>
    <w:multiLevelType w:val="singleLevel"/>
    <w:tmpl w:val="A7AE500E"/>
    <w:lvl w:ilvl="0">
      <w:start w:val="1"/>
      <w:numFmt w:val="decimal"/>
      <w:pStyle w:val="Chapter2"/>
      <w:lvlText w:val="2.%1"/>
      <w:lvlJc w:val="left"/>
      <w:pPr>
        <w:tabs>
          <w:tab w:val="num" w:pos="851"/>
        </w:tabs>
        <w:ind w:left="851" w:hanging="851"/>
      </w:pPr>
      <w:rPr>
        <w:rFonts w:hint="default"/>
        <w:color w:val="auto"/>
      </w:rPr>
    </w:lvl>
  </w:abstractNum>
  <w:abstractNum w:abstractNumId="8">
    <w:nsid w:val="1DF45200"/>
    <w:multiLevelType w:val="hybridMultilevel"/>
    <w:tmpl w:val="E2A45940"/>
    <w:lvl w:ilvl="0" w:tplc="5DF6FF7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E9C0CC7"/>
    <w:multiLevelType w:val="hybridMultilevel"/>
    <w:tmpl w:val="B7B40378"/>
    <w:lvl w:ilvl="0" w:tplc="5E94B9E2">
      <w:start w:val="1"/>
      <w:numFmt w:val="lowerLetter"/>
      <w:lvlText w:val="%1."/>
      <w:lvlJc w:val="left"/>
      <w:pPr>
        <w:ind w:left="1353" w:hanging="360"/>
      </w:pPr>
      <w:rPr>
        <w:rFonts w:hint="default"/>
      </w:rPr>
    </w:lvl>
    <w:lvl w:ilvl="1" w:tplc="14090019">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10">
    <w:nsid w:val="1FCE4D76"/>
    <w:multiLevelType w:val="hybridMultilevel"/>
    <w:tmpl w:val="7A882FCA"/>
    <w:lvl w:ilvl="0" w:tplc="ABB02A2E">
      <w:start w:val="1"/>
      <w:numFmt w:val="bullet"/>
      <w:pStyle w:val="List-Bullet-Noindent"/>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nsid w:val="27077BAE"/>
    <w:multiLevelType w:val="hybridMultilevel"/>
    <w:tmpl w:val="318C1DEC"/>
    <w:lvl w:ilvl="0" w:tplc="B91AB442">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2">
    <w:nsid w:val="2A1F12BD"/>
    <w:multiLevelType w:val="hybridMultilevel"/>
    <w:tmpl w:val="2AB0F272"/>
    <w:lvl w:ilvl="0" w:tplc="14090001">
      <w:start w:val="1"/>
      <w:numFmt w:val="bullet"/>
      <w:lvlText w:val=""/>
      <w:lvlJc w:val="left"/>
      <w:pPr>
        <w:ind w:left="2228" w:hanging="360"/>
      </w:pPr>
      <w:rPr>
        <w:rFonts w:ascii="Symbol" w:hAnsi="Symbol" w:hint="default"/>
      </w:rPr>
    </w:lvl>
    <w:lvl w:ilvl="1" w:tplc="14090003" w:tentative="1">
      <w:start w:val="1"/>
      <w:numFmt w:val="bullet"/>
      <w:lvlText w:val="o"/>
      <w:lvlJc w:val="left"/>
      <w:pPr>
        <w:ind w:left="2948" w:hanging="360"/>
      </w:pPr>
      <w:rPr>
        <w:rFonts w:ascii="Courier New" w:hAnsi="Courier New" w:cs="Courier New" w:hint="default"/>
      </w:rPr>
    </w:lvl>
    <w:lvl w:ilvl="2" w:tplc="14090005" w:tentative="1">
      <w:start w:val="1"/>
      <w:numFmt w:val="bullet"/>
      <w:lvlText w:val=""/>
      <w:lvlJc w:val="left"/>
      <w:pPr>
        <w:ind w:left="3668" w:hanging="360"/>
      </w:pPr>
      <w:rPr>
        <w:rFonts w:ascii="Wingdings" w:hAnsi="Wingdings" w:hint="default"/>
      </w:rPr>
    </w:lvl>
    <w:lvl w:ilvl="3" w:tplc="14090001" w:tentative="1">
      <w:start w:val="1"/>
      <w:numFmt w:val="bullet"/>
      <w:lvlText w:val=""/>
      <w:lvlJc w:val="left"/>
      <w:pPr>
        <w:ind w:left="4388" w:hanging="360"/>
      </w:pPr>
      <w:rPr>
        <w:rFonts w:ascii="Symbol" w:hAnsi="Symbol" w:hint="default"/>
      </w:rPr>
    </w:lvl>
    <w:lvl w:ilvl="4" w:tplc="14090003" w:tentative="1">
      <w:start w:val="1"/>
      <w:numFmt w:val="bullet"/>
      <w:lvlText w:val="o"/>
      <w:lvlJc w:val="left"/>
      <w:pPr>
        <w:ind w:left="5108" w:hanging="360"/>
      </w:pPr>
      <w:rPr>
        <w:rFonts w:ascii="Courier New" w:hAnsi="Courier New" w:cs="Courier New" w:hint="default"/>
      </w:rPr>
    </w:lvl>
    <w:lvl w:ilvl="5" w:tplc="14090005" w:tentative="1">
      <w:start w:val="1"/>
      <w:numFmt w:val="bullet"/>
      <w:lvlText w:val=""/>
      <w:lvlJc w:val="left"/>
      <w:pPr>
        <w:ind w:left="5828" w:hanging="360"/>
      </w:pPr>
      <w:rPr>
        <w:rFonts w:ascii="Wingdings" w:hAnsi="Wingdings" w:hint="default"/>
      </w:rPr>
    </w:lvl>
    <w:lvl w:ilvl="6" w:tplc="14090001" w:tentative="1">
      <w:start w:val="1"/>
      <w:numFmt w:val="bullet"/>
      <w:lvlText w:val=""/>
      <w:lvlJc w:val="left"/>
      <w:pPr>
        <w:ind w:left="6548" w:hanging="360"/>
      </w:pPr>
      <w:rPr>
        <w:rFonts w:ascii="Symbol" w:hAnsi="Symbol" w:hint="default"/>
      </w:rPr>
    </w:lvl>
    <w:lvl w:ilvl="7" w:tplc="14090003" w:tentative="1">
      <w:start w:val="1"/>
      <w:numFmt w:val="bullet"/>
      <w:lvlText w:val="o"/>
      <w:lvlJc w:val="left"/>
      <w:pPr>
        <w:ind w:left="7268" w:hanging="360"/>
      </w:pPr>
      <w:rPr>
        <w:rFonts w:ascii="Courier New" w:hAnsi="Courier New" w:cs="Courier New" w:hint="default"/>
      </w:rPr>
    </w:lvl>
    <w:lvl w:ilvl="8" w:tplc="14090005" w:tentative="1">
      <w:start w:val="1"/>
      <w:numFmt w:val="bullet"/>
      <w:lvlText w:val=""/>
      <w:lvlJc w:val="left"/>
      <w:pPr>
        <w:ind w:left="7988" w:hanging="360"/>
      </w:pPr>
      <w:rPr>
        <w:rFonts w:ascii="Wingdings" w:hAnsi="Wingdings" w:hint="default"/>
      </w:rPr>
    </w:lvl>
  </w:abstractNum>
  <w:abstractNum w:abstractNumId="13">
    <w:nsid w:val="2A4A1AFD"/>
    <w:multiLevelType w:val="hybridMultilevel"/>
    <w:tmpl w:val="35B84CC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D4147BB"/>
    <w:multiLevelType w:val="hybridMultilevel"/>
    <w:tmpl w:val="2828CE36"/>
    <w:lvl w:ilvl="0" w:tplc="818069FA">
      <w:numFmt w:val="bullet"/>
      <w:lvlText w:val="-"/>
      <w:lvlJc w:val="left"/>
      <w:pPr>
        <w:ind w:left="420" w:hanging="360"/>
      </w:pPr>
      <w:rPr>
        <w:rFonts w:ascii="Times New Roman" w:eastAsia="Times New Roman" w:hAnsi="Times New Roman"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6">
    <w:nsid w:val="320B03EF"/>
    <w:multiLevelType w:val="hybridMultilevel"/>
    <w:tmpl w:val="47BEAED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nsid w:val="352577F0"/>
    <w:multiLevelType w:val="hybridMultilevel"/>
    <w:tmpl w:val="FEB27936"/>
    <w:lvl w:ilvl="0" w:tplc="17349FF4">
      <w:numFmt w:val="bullet"/>
      <w:lvlText w:val="-"/>
      <w:lvlJc w:val="left"/>
      <w:pPr>
        <w:ind w:left="420" w:hanging="360"/>
      </w:pPr>
      <w:rPr>
        <w:rFonts w:ascii="Times New Roman" w:eastAsia="Times New Roman" w:hAnsi="Times New Roman"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8">
    <w:nsid w:val="35C45B4C"/>
    <w:multiLevelType w:val="hybridMultilevel"/>
    <w:tmpl w:val="1DBAB62A"/>
    <w:lvl w:ilvl="0" w:tplc="62AA7E6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0938EC"/>
    <w:multiLevelType w:val="hybridMultilevel"/>
    <w:tmpl w:val="A2425EC4"/>
    <w:lvl w:ilvl="0" w:tplc="190C57BE">
      <w:start w:val="1"/>
      <w:numFmt w:val="decimal"/>
      <w:pStyle w:val="Chapter4"/>
      <w:lvlText w:val="4.%1"/>
      <w:lvlJc w:val="left"/>
      <w:pPr>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C37E15"/>
    <w:multiLevelType w:val="hybridMultilevel"/>
    <w:tmpl w:val="A36A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3">
    <w:nsid w:val="4B554E01"/>
    <w:multiLevelType w:val="hybridMultilevel"/>
    <w:tmpl w:val="A3D48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423B4F"/>
    <w:multiLevelType w:val="hybridMultilevel"/>
    <w:tmpl w:val="12523CA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5">
    <w:nsid w:val="50870646"/>
    <w:multiLevelType w:val="hybridMultilevel"/>
    <w:tmpl w:val="BD58840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6">
    <w:nsid w:val="514F7994"/>
    <w:multiLevelType w:val="hybridMultilevel"/>
    <w:tmpl w:val="89004710"/>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53193965"/>
    <w:multiLevelType w:val="multilevel"/>
    <w:tmpl w:val="C834140A"/>
    <w:styleLink w:val="Style2"/>
    <w:lvl w:ilvl="0">
      <w:start w:val="7"/>
      <w:numFmt w:val="decimal"/>
      <w:lvlText w:val="7.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ED4696"/>
    <w:multiLevelType w:val="hybridMultilevel"/>
    <w:tmpl w:val="3B801CCE"/>
    <w:lvl w:ilvl="0" w:tplc="14090001">
      <w:start w:val="1"/>
      <w:numFmt w:val="bullet"/>
      <w:lvlText w:val=""/>
      <w:lvlJc w:val="left"/>
      <w:pPr>
        <w:ind w:left="914" w:hanging="360"/>
      </w:pPr>
      <w:rPr>
        <w:rFonts w:ascii="Symbol" w:hAnsi="Symbol" w:hint="default"/>
      </w:rPr>
    </w:lvl>
    <w:lvl w:ilvl="1" w:tplc="14090003" w:tentative="1">
      <w:start w:val="1"/>
      <w:numFmt w:val="bullet"/>
      <w:lvlText w:val="o"/>
      <w:lvlJc w:val="left"/>
      <w:pPr>
        <w:ind w:left="1634" w:hanging="360"/>
      </w:pPr>
      <w:rPr>
        <w:rFonts w:ascii="Courier New" w:hAnsi="Courier New" w:cs="Courier New" w:hint="default"/>
      </w:rPr>
    </w:lvl>
    <w:lvl w:ilvl="2" w:tplc="14090005" w:tentative="1">
      <w:start w:val="1"/>
      <w:numFmt w:val="bullet"/>
      <w:lvlText w:val=""/>
      <w:lvlJc w:val="left"/>
      <w:pPr>
        <w:ind w:left="2354" w:hanging="360"/>
      </w:pPr>
      <w:rPr>
        <w:rFonts w:ascii="Wingdings" w:hAnsi="Wingdings" w:hint="default"/>
      </w:rPr>
    </w:lvl>
    <w:lvl w:ilvl="3" w:tplc="14090001" w:tentative="1">
      <w:start w:val="1"/>
      <w:numFmt w:val="bullet"/>
      <w:lvlText w:val=""/>
      <w:lvlJc w:val="left"/>
      <w:pPr>
        <w:ind w:left="3074" w:hanging="360"/>
      </w:pPr>
      <w:rPr>
        <w:rFonts w:ascii="Symbol" w:hAnsi="Symbol" w:hint="default"/>
      </w:rPr>
    </w:lvl>
    <w:lvl w:ilvl="4" w:tplc="14090003" w:tentative="1">
      <w:start w:val="1"/>
      <w:numFmt w:val="bullet"/>
      <w:lvlText w:val="o"/>
      <w:lvlJc w:val="left"/>
      <w:pPr>
        <w:ind w:left="3794" w:hanging="360"/>
      </w:pPr>
      <w:rPr>
        <w:rFonts w:ascii="Courier New" w:hAnsi="Courier New" w:cs="Courier New" w:hint="default"/>
      </w:rPr>
    </w:lvl>
    <w:lvl w:ilvl="5" w:tplc="14090005" w:tentative="1">
      <w:start w:val="1"/>
      <w:numFmt w:val="bullet"/>
      <w:lvlText w:val=""/>
      <w:lvlJc w:val="left"/>
      <w:pPr>
        <w:ind w:left="4514" w:hanging="360"/>
      </w:pPr>
      <w:rPr>
        <w:rFonts w:ascii="Wingdings" w:hAnsi="Wingdings" w:hint="default"/>
      </w:rPr>
    </w:lvl>
    <w:lvl w:ilvl="6" w:tplc="14090001" w:tentative="1">
      <w:start w:val="1"/>
      <w:numFmt w:val="bullet"/>
      <w:lvlText w:val=""/>
      <w:lvlJc w:val="left"/>
      <w:pPr>
        <w:ind w:left="5234" w:hanging="360"/>
      </w:pPr>
      <w:rPr>
        <w:rFonts w:ascii="Symbol" w:hAnsi="Symbol" w:hint="default"/>
      </w:rPr>
    </w:lvl>
    <w:lvl w:ilvl="7" w:tplc="14090003" w:tentative="1">
      <w:start w:val="1"/>
      <w:numFmt w:val="bullet"/>
      <w:lvlText w:val="o"/>
      <w:lvlJc w:val="left"/>
      <w:pPr>
        <w:ind w:left="5954" w:hanging="360"/>
      </w:pPr>
      <w:rPr>
        <w:rFonts w:ascii="Courier New" w:hAnsi="Courier New" w:cs="Courier New" w:hint="default"/>
      </w:rPr>
    </w:lvl>
    <w:lvl w:ilvl="8" w:tplc="14090005" w:tentative="1">
      <w:start w:val="1"/>
      <w:numFmt w:val="bullet"/>
      <w:lvlText w:val=""/>
      <w:lvlJc w:val="left"/>
      <w:pPr>
        <w:ind w:left="6674" w:hanging="360"/>
      </w:pPr>
      <w:rPr>
        <w:rFonts w:ascii="Wingdings" w:hAnsi="Wingdings" w:hint="default"/>
      </w:rPr>
    </w:lvl>
  </w:abstractNum>
  <w:abstractNum w:abstractNumId="29">
    <w:nsid w:val="553A5693"/>
    <w:multiLevelType w:val="hybridMultilevel"/>
    <w:tmpl w:val="4F668D10"/>
    <w:lvl w:ilvl="0" w:tplc="43AA588E">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57D96BEB"/>
    <w:multiLevelType w:val="hybridMultilevel"/>
    <w:tmpl w:val="E094495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1">
    <w:nsid w:val="602C34EE"/>
    <w:multiLevelType w:val="hybridMultilevel"/>
    <w:tmpl w:val="8AE87DEC"/>
    <w:lvl w:ilvl="0" w:tplc="0809000F">
      <w:start w:val="1"/>
      <w:numFmt w:val="decimal"/>
      <w:pStyle w:val="Chapter7Char"/>
      <w:lvlText w:val="7.%1"/>
      <w:lvlJc w:val="left"/>
      <w:pPr>
        <w:tabs>
          <w:tab w:val="num" w:pos="927"/>
        </w:tabs>
        <w:ind w:left="360" w:firstLine="0"/>
      </w:pPr>
      <w:rPr>
        <w:rFonts w:hint="default"/>
      </w:rPr>
    </w:lvl>
    <w:lvl w:ilvl="1" w:tplc="08090019">
      <w:start w:val="1"/>
      <w:numFmt w:val="lowerLetter"/>
      <w:lvlText w:val="%2."/>
      <w:lvlJc w:val="left"/>
      <w:pPr>
        <w:tabs>
          <w:tab w:val="num" w:pos="1800"/>
        </w:tabs>
        <w:ind w:left="1800" w:hanging="360"/>
      </w:pPr>
    </w:lvl>
    <w:lvl w:ilvl="2" w:tplc="55A4EE06"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1DB5681"/>
    <w:multiLevelType w:val="hybridMultilevel"/>
    <w:tmpl w:val="2994674E"/>
    <w:lvl w:ilvl="0" w:tplc="21C0097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23971DC"/>
    <w:multiLevelType w:val="hybridMultilevel"/>
    <w:tmpl w:val="F94EC05A"/>
    <w:lvl w:ilvl="0" w:tplc="81F893F4">
      <w:start w:val="1"/>
      <w:numFmt w:val="bullet"/>
      <w:lvlText w:val="­"/>
      <w:lvlJc w:val="left"/>
      <w:pPr>
        <w:ind w:left="420" w:hanging="360"/>
      </w:pPr>
      <w:rPr>
        <w:rFonts w:ascii="Courier New" w:hAnsi="Courier New" w:hint="default"/>
        <w:color w:val="auto"/>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4">
    <w:nsid w:val="62A221AA"/>
    <w:multiLevelType w:val="hybridMultilevel"/>
    <w:tmpl w:val="FBD816D2"/>
    <w:lvl w:ilvl="0" w:tplc="BB1EF784">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36">
    <w:nsid w:val="64C1796D"/>
    <w:multiLevelType w:val="hybridMultilevel"/>
    <w:tmpl w:val="DB829DCE"/>
    <w:lvl w:ilvl="0" w:tplc="BC885C22">
      <w:start w:val="1"/>
      <w:numFmt w:val="decimal"/>
      <w:pStyle w:val="Chapter8Char"/>
      <w:lvlText w:val="8.%1"/>
      <w:lvlJc w:val="left"/>
      <w:pPr>
        <w:tabs>
          <w:tab w:val="num" w:pos="851"/>
        </w:tabs>
        <w:ind w:left="0" w:firstLine="0"/>
      </w:pPr>
      <w:rPr>
        <w:rFonts w:hint="default"/>
      </w:rPr>
    </w:lvl>
    <w:lvl w:ilvl="1" w:tplc="0310BB7C" w:tentative="1">
      <w:start w:val="1"/>
      <w:numFmt w:val="lowerLetter"/>
      <w:lvlText w:val="%2."/>
      <w:lvlJc w:val="left"/>
      <w:pPr>
        <w:tabs>
          <w:tab w:val="num" w:pos="1440"/>
        </w:tabs>
        <w:ind w:left="1440" w:hanging="360"/>
      </w:pPr>
    </w:lvl>
    <w:lvl w:ilvl="2" w:tplc="11F417DC" w:tentative="1">
      <w:start w:val="1"/>
      <w:numFmt w:val="lowerRoman"/>
      <w:lvlText w:val="%3."/>
      <w:lvlJc w:val="right"/>
      <w:pPr>
        <w:tabs>
          <w:tab w:val="num" w:pos="2160"/>
        </w:tabs>
        <w:ind w:left="2160" w:hanging="180"/>
      </w:pPr>
    </w:lvl>
    <w:lvl w:ilvl="3" w:tplc="9CE0AE26" w:tentative="1">
      <w:start w:val="1"/>
      <w:numFmt w:val="decimal"/>
      <w:lvlText w:val="%4."/>
      <w:lvlJc w:val="left"/>
      <w:pPr>
        <w:tabs>
          <w:tab w:val="num" w:pos="2880"/>
        </w:tabs>
        <w:ind w:left="2880" w:hanging="360"/>
      </w:pPr>
    </w:lvl>
    <w:lvl w:ilvl="4" w:tplc="93F495E0" w:tentative="1">
      <w:start w:val="1"/>
      <w:numFmt w:val="lowerLetter"/>
      <w:lvlText w:val="%5."/>
      <w:lvlJc w:val="left"/>
      <w:pPr>
        <w:tabs>
          <w:tab w:val="num" w:pos="3600"/>
        </w:tabs>
        <w:ind w:left="3600" w:hanging="360"/>
      </w:pPr>
    </w:lvl>
    <w:lvl w:ilvl="5" w:tplc="46EA0756" w:tentative="1">
      <w:start w:val="1"/>
      <w:numFmt w:val="lowerRoman"/>
      <w:lvlText w:val="%6."/>
      <w:lvlJc w:val="right"/>
      <w:pPr>
        <w:tabs>
          <w:tab w:val="num" w:pos="4320"/>
        </w:tabs>
        <w:ind w:left="4320" w:hanging="180"/>
      </w:pPr>
    </w:lvl>
    <w:lvl w:ilvl="6" w:tplc="C576BA68" w:tentative="1">
      <w:start w:val="1"/>
      <w:numFmt w:val="decimal"/>
      <w:lvlText w:val="%7."/>
      <w:lvlJc w:val="left"/>
      <w:pPr>
        <w:tabs>
          <w:tab w:val="num" w:pos="5040"/>
        </w:tabs>
        <w:ind w:left="5040" w:hanging="360"/>
      </w:pPr>
    </w:lvl>
    <w:lvl w:ilvl="7" w:tplc="9D7C3ACC" w:tentative="1">
      <w:start w:val="1"/>
      <w:numFmt w:val="lowerLetter"/>
      <w:lvlText w:val="%8."/>
      <w:lvlJc w:val="left"/>
      <w:pPr>
        <w:tabs>
          <w:tab w:val="num" w:pos="5760"/>
        </w:tabs>
        <w:ind w:left="5760" w:hanging="360"/>
      </w:pPr>
    </w:lvl>
    <w:lvl w:ilvl="8" w:tplc="25128F72" w:tentative="1">
      <w:start w:val="1"/>
      <w:numFmt w:val="lowerRoman"/>
      <w:lvlText w:val="%9."/>
      <w:lvlJc w:val="right"/>
      <w:pPr>
        <w:tabs>
          <w:tab w:val="num" w:pos="6480"/>
        </w:tabs>
        <w:ind w:left="6480" w:hanging="180"/>
      </w:pPr>
    </w:lvl>
  </w:abstractNum>
  <w:abstractNum w:abstractNumId="37">
    <w:nsid w:val="65A10F29"/>
    <w:multiLevelType w:val="hybridMultilevel"/>
    <w:tmpl w:val="42F665F6"/>
    <w:lvl w:ilvl="0" w:tplc="08090005">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nsid w:val="6B557726"/>
    <w:multiLevelType w:val="hybridMultilevel"/>
    <w:tmpl w:val="A5460864"/>
    <w:lvl w:ilvl="0" w:tplc="A7005A70">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F09054B"/>
    <w:multiLevelType w:val="hybridMultilevel"/>
    <w:tmpl w:val="86722BDC"/>
    <w:lvl w:ilvl="0" w:tplc="B3F2B942">
      <w:start w:val="1"/>
      <w:numFmt w:val="bullet"/>
      <w:pStyle w:val="Indentbullet"/>
      <w:lvlText w:val=""/>
      <w:lvlJc w:val="left"/>
      <w:pPr>
        <w:tabs>
          <w:tab w:val="num" w:pos="567"/>
        </w:tabs>
        <w:ind w:left="567" w:hanging="510"/>
      </w:pPr>
      <w:rPr>
        <w:rFonts w:ascii="Symbol" w:hAnsi="Symbol" w:hint="default"/>
        <w:sz w:val="21"/>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0">
    <w:nsid w:val="740D6897"/>
    <w:multiLevelType w:val="hybridMultilevel"/>
    <w:tmpl w:val="88D83B56"/>
    <w:lvl w:ilvl="0" w:tplc="C820FD30">
      <w:start w:val="1"/>
      <w:numFmt w:val="bullet"/>
      <w:lvlText w:val=""/>
      <w:lvlJc w:val="left"/>
      <w:pPr>
        <w:ind w:left="1571" w:hanging="360"/>
      </w:pPr>
      <w:rPr>
        <w:rFonts w:ascii="Symbol" w:hAnsi="Symbol" w:hint="default"/>
      </w:rPr>
    </w:lvl>
    <w:lvl w:ilvl="1" w:tplc="DF50A6C8" w:tentative="1">
      <w:start w:val="1"/>
      <w:numFmt w:val="bullet"/>
      <w:lvlText w:val="o"/>
      <w:lvlJc w:val="left"/>
      <w:pPr>
        <w:ind w:left="2291" w:hanging="360"/>
      </w:pPr>
      <w:rPr>
        <w:rFonts w:ascii="Courier New" w:hAnsi="Courier New" w:cs="Courier New" w:hint="default"/>
      </w:rPr>
    </w:lvl>
    <w:lvl w:ilvl="2" w:tplc="F10024F8" w:tentative="1">
      <w:start w:val="1"/>
      <w:numFmt w:val="bullet"/>
      <w:lvlText w:val=""/>
      <w:lvlJc w:val="left"/>
      <w:pPr>
        <w:ind w:left="3011" w:hanging="360"/>
      </w:pPr>
      <w:rPr>
        <w:rFonts w:ascii="Wingdings" w:hAnsi="Wingdings" w:hint="default"/>
      </w:rPr>
    </w:lvl>
    <w:lvl w:ilvl="3" w:tplc="8D46433E" w:tentative="1">
      <w:start w:val="1"/>
      <w:numFmt w:val="bullet"/>
      <w:lvlText w:val=""/>
      <w:lvlJc w:val="left"/>
      <w:pPr>
        <w:ind w:left="3731" w:hanging="360"/>
      </w:pPr>
      <w:rPr>
        <w:rFonts w:ascii="Symbol" w:hAnsi="Symbol" w:hint="default"/>
      </w:rPr>
    </w:lvl>
    <w:lvl w:ilvl="4" w:tplc="21D41E36" w:tentative="1">
      <w:start w:val="1"/>
      <w:numFmt w:val="bullet"/>
      <w:lvlText w:val="o"/>
      <w:lvlJc w:val="left"/>
      <w:pPr>
        <w:ind w:left="4451" w:hanging="360"/>
      </w:pPr>
      <w:rPr>
        <w:rFonts w:ascii="Courier New" w:hAnsi="Courier New" w:cs="Courier New" w:hint="default"/>
      </w:rPr>
    </w:lvl>
    <w:lvl w:ilvl="5" w:tplc="6D70BD16" w:tentative="1">
      <w:start w:val="1"/>
      <w:numFmt w:val="bullet"/>
      <w:lvlText w:val=""/>
      <w:lvlJc w:val="left"/>
      <w:pPr>
        <w:ind w:left="5171" w:hanging="360"/>
      </w:pPr>
      <w:rPr>
        <w:rFonts w:ascii="Wingdings" w:hAnsi="Wingdings" w:hint="default"/>
      </w:rPr>
    </w:lvl>
    <w:lvl w:ilvl="6" w:tplc="9438BC22" w:tentative="1">
      <w:start w:val="1"/>
      <w:numFmt w:val="bullet"/>
      <w:lvlText w:val=""/>
      <w:lvlJc w:val="left"/>
      <w:pPr>
        <w:ind w:left="5891" w:hanging="360"/>
      </w:pPr>
      <w:rPr>
        <w:rFonts w:ascii="Symbol" w:hAnsi="Symbol" w:hint="default"/>
      </w:rPr>
    </w:lvl>
    <w:lvl w:ilvl="7" w:tplc="0E786D74" w:tentative="1">
      <w:start w:val="1"/>
      <w:numFmt w:val="bullet"/>
      <w:lvlText w:val="o"/>
      <w:lvlJc w:val="left"/>
      <w:pPr>
        <w:ind w:left="6611" w:hanging="360"/>
      </w:pPr>
      <w:rPr>
        <w:rFonts w:ascii="Courier New" w:hAnsi="Courier New" w:cs="Courier New" w:hint="default"/>
      </w:rPr>
    </w:lvl>
    <w:lvl w:ilvl="8" w:tplc="564CF7D8" w:tentative="1">
      <w:start w:val="1"/>
      <w:numFmt w:val="bullet"/>
      <w:lvlText w:val=""/>
      <w:lvlJc w:val="left"/>
      <w:pPr>
        <w:ind w:left="7331" w:hanging="360"/>
      </w:pPr>
      <w:rPr>
        <w:rFonts w:ascii="Wingdings" w:hAnsi="Wingdings" w:hint="default"/>
      </w:rPr>
    </w:lvl>
  </w:abstractNum>
  <w:abstractNum w:abstractNumId="41">
    <w:nsid w:val="745D54CF"/>
    <w:multiLevelType w:val="multilevel"/>
    <w:tmpl w:val="93C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B602FA"/>
    <w:multiLevelType w:val="hybridMultilevel"/>
    <w:tmpl w:val="B8E6D96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num w:numId="1">
    <w:abstractNumId w:val="8"/>
  </w:num>
  <w:num w:numId="2">
    <w:abstractNumId w:val="22"/>
  </w:num>
  <w:num w:numId="3">
    <w:abstractNumId w:val="26"/>
  </w:num>
  <w:num w:numId="4">
    <w:abstractNumId w:val="29"/>
  </w:num>
  <w:num w:numId="5">
    <w:abstractNumId w:val="38"/>
  </w:num>
  <w:num w:numId="6">
    <w:abstractNumId w:val="7"/>
  </w:num>
  <w:num w:numId="7">
    <w:abstractNumId w:val="35"/>
  </w:num>
  <w:num w:numId="8">
    <w:abstractNumId w:val="19"/>
  </w:num>
  <w:num w:numId="9">
    <w:abstractNumId w:val="1"/>
  </w:num>
  <w:num w:numId="10">
    <w:abstractNumId w:val="5"/>
  </w:num>
  <w:num w:numId="11">
    <w:abstractNumId w:val="14"/>
  </w:num>
  <w:num w:numId="12">
    <w:abstractNumId w:val="31"/>
  </w:num>
  <w:num w:numId="13">
    <w:abstractNumId w:val="39"/>
  </w:num>
  <w:num w:numId="14">
    <w:abstractNumId w:val="36"/>
  </w:num>
  <w:num w:numId="15">
    <w:abstractNumId w:val="37"/>
  </w:num>
  <w:num w:numId="16">
    <w:abstractNumId w:val="20"/>
  </w:num>
  <w:num w:numId="17">
    <w:abstractNumId w:val="33"/>
  </w:num>
  <w:num w:numId="18">
    <w:abstractNumId w:val="40"/>
  </w:num>
  <w:num w:numId="19">
    <w:abstractNumId w:val="3"/>
  </w:num>
  <w:num w:numId="20">
    <w:abstractNumId w:val="27"/>
  </w:num>
  <w:num w:numId="21">
    <w:abstractNumId w:val="12"/>
  </w:num>
  <w:num w:numId="22">
    <w:abstractNumId w:val="2"/>
  </w:num>
  <w:num w:numId="23">
    <w:abstractNumId w:val="26"/>
  </w:num>
  <w:num w:numId="24">
    <w:abstractNumId w:val="36"/>
  </w:num>
  <w:num w:numId="25">
    <w:abstractNumId w:val="16"/>
  </w:num>
  <w:num w:numId="26">
    <w:abstractNumId w:val="36"/>
  </w:num>
  <w:num w:numId="27">
    <w:abstractNumId w:val="30"/>
  </w:num>
  <w:num w:numId="28">
    <w:abstractNumId w:val="36"/>
  </w:num>
  <w:num w:numId="29">
    <w:abstractNumId w:val="4"/>
  </w:num>
  <w:num w:numId="30">
    <w:abstractNumId w:val="42"/>
  </w:num>
  <w:num w:numId="31">
    <w:abstractNumId w:val="23"/>
  </w:num>
  <w:num w:numId="32">
    <w:abstractNumId w:val="24"/>
  </w:num>
  <w:num w:numId="33">
    <w:abstractNumId w:val="13"/>
  </w:num>
  <w:num w:numId="34">
    <w:abstractNumId w:val="36"/>
  </w:num>
  <w:num w:numId="35">
    <w:abstractNumId w:val="29"/>
  </w:num>
  <w:num w:numId="36">
    <w:abstractNumId w:val="29"/>
  </w:num>
  <w:num w:numId="37">
    <w:abstractNumId w:val="29"/>
  </w:num>
  <w:num w:numId="38">
    <w:abstractNumId w:val="29"/>
  </w:num>
  <w:num w:numId="39">
    <w:abstractNumId w:val="7"/>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21"/>
  </w:num>
  <w:num w:numId="47">
    <w:abstractNumId w:val="5"/>
  </w:num>
  <w:num w:numId="48">
    <w:abstractNumId w:val="15"/>
  </w:num>
  <w:num w:numId="49">
    <w:abstractNumId w:val="18"/>
  </w:num>
  <w:num w:numId="50">
    <w:abstractNumId w:val="0"/>
  </w:num>
  <w:num w:numId="51">
    <w:abstractNumId w:val="11"/>
  </w:num>
  <w:num w:numId="52">
    <w:abstractNumId w:val="19"/>
  </w:num>
  <w:num w:numId="53">
    <w:abstractNumId w:val="19"/>
  </w:num>
  <w:num w:numId="54">
    <w:abstractNumId w:val="19"/>
  </w:num>
  <w:num w:numId="55">
    <w:abstractNumId w:val="19"/>
  </w:num>
  <w:num w:numId="56">
    <w:abstractNumId w:val="19"/>
  </w:num>
  <w:num w:numId="57">
    <w:abstractNumId w:val="34"/>
  </w:num>
  <w:num w:numId="58">
    <w:abstractNumId w:val="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41"/>
  </w:num>
  <w:num w:numId="66">
    <w:abstractNumId w:val="17"/>
  </w:num>
  <w:num w:numId="67">
    <w:abstractNumId w:val="25"/>
  </w:num>
  <w:num w:numId="68">
    <w:abstractNumId w:val="26"/>
  </w:num>
  <w:num w:numId="69">
    <w:abstractNumId w:val="35"/>
  </w:num>
  <w:num w:numId="70">
    <w:abstractNumId w:val="28"/>
  </w:num>
  <w:num w:numId="71">
    <w:abstractNumId w:val="6"/>
  </w:num>
  <w:num w:numId="72">
    <w:abstractNumId w:val="10"/>
  </w:num>
  <w:num w:numId="73">
    <w:abstractNumId w:val="32"/>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Gan">
    <w15:presenceInfo w15:providerId="None" w15:userId="Matthew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1"/>
    <w:rsid w:val="00001EAB"/>
    <w:rsid w:val="00001F88"/>
    <w:rsid w:val="000022EC"/>
    <w:rsid w:val="0000377B"/>
    <w:rsid w:val="00003908"/>
    <w:rsid w:val="00003CD5"/>
    <w:rsid w:val="00004C0E"/>
    <w:rsid w:val="00006422"/>
    <w:rsid w:val="00007351"/>
    <w:rsid w:val="00007396"/>
    <w:rsid w:val="00012289"/>
    <w:rsid w:val="00014230"/>
    <w:rsid w:val="00015410"/>
    <w:rsid w:val="00015F50"/>
    <w:rsid w:val="0001695D"/>
    <w:rsid w:val="000171CE"/>
    <w:rsid w:val="00021595"/>
    <w:rsid w:val="00021DDB"/>
    <w:rsid w:val="0002323A"/>
    <w:rsid w:val="0002340B"/>
    <w:rsid w:val="00023739"/>
    <w:rsid w:val="00023E97"/>
    <w:rsid w:val="000250D9"/>
    <w:rsid w:val="000250E7"/>
    <w:rsid w:val="000251CA"/>
    <w:rsid w:val="00027B73"/>
    <w:rsid w:val="0003027F"/>
    <w:rsid w:val="00031162"/>
    <w:rsid w:val="0003124A"/>
    <w:rsid w:val="0003164B"/>
    <w:rsid w:val="000317D5"/>
    <w:rsid w:val="00031CD8"/>
    <w:rsid w:val="00033150"/>
    <w:rsid w:val="00033259"/>
    <w:rsid w:val="00033F9A"/>
    <w:rsid w:val="000344A6"/>
    <w:rsid w:val="000344D8"/>
    <w:rsid w:val="00034917"/>
    <w:rsid w:val="00035F81"/>
    <w:rsid w:val="00037A83"/>
    <w:rsid w:val="000407DB"/>
    <w:rsid w:val="000412F4"/>
    <w:rsid w:val="00041A29"/>
    <w:rsid w:val="00041E24"/>
    <w:rsid w:val="00042816"/>
    <w:rsid w:val="00042C48"/>
    <w:rsid w:val="00042D68"/>
    <w:rsid w:val="00043BEF"/>
    <w:rsid w:val="000445E7"/>
    <w:rsid w:val="00047CC7"/>
    <w:rsid w:val="00047FF9"/>
    <w:rsid w:val="00050E51"/>
    <w:rsid w:val="0005129B"/>
    <w:rsid w:val="00051BFA"/>
    <w:rsid w:val="00051C98"/>
    <w:rsid w:val="00051E9F"/>
    <w:rsid w:val="000523E0"/>
    <w:rsid w:val="00053A26"/>
    <w:rsid w:val="00053BF5"/>
    <w:rsid w:val="0005471A"/>
    <w:rsid w:val="00055518"/>
    <w:rsid w:val="00055895"/>
    <w:rsid w:val="00055BD4"/>
    <w:rsid w:val="000570B4"/>
    <w:rsid w:val="0005761B"/>
    <w:rsid w:val="000578D5"/>
    <w:rsid w:val="00061FD9"/>
    <w:rsid w:val="00063604"/>
    <w:rsid w:val="00064C13"/>
    <w:rsid w:val="00064CDF"/>
    <w:rsid w:val="00065C0F"/>
    <w:rsid w:val="00067972"/>
    <w:rsid w:val="0007015D"/>
    <w:rsid w:val="00070A6E"/>
    <w:rsid w:val="000719AC"/>
    <w:rsid w:val="00072271"/>
    <w:rsid w:val="00074205"/>
    <w:rsid w:val="0007577B"/>
    <w:rsid w:val="0007594A"/>
    <w:rsid w:val="00077A5C"/>
    <w:rsid w:val="00081340"/>
    <w:rsid w:val="000830FF"/>
    <w:rsid w:val="00083D81"/>
    <w:rsid w:val="00084ED4"/>
    <w:rsid w:val="00090841"/>
    <w:rsid w:val="00091439"/>
    <w:rsid w:val="00094C30"/>
    <w:rsid w:val="00095437"/>
    <w:rsid w:val="00096603"/>
    <w:rsid w:val="00096828"/>
    <w:rsid w:val="000972F9"/>
    <w:rsid w:val="000A1039"/>
    <w:rsid w:val="000A1D11"/>
    <w:rsid w:val="000A21B8"/>
    <w:rsid w:val="000A2369"/>
    <w:rsid w:val="000A33E1"/>
    <w:rsid w:val="000A4053"/>
    <w:rsid w:val="000A55B7"/>
    <w:rsid w:val="000A61E1"/>
    <w:rsid w:val="000A7407"/>
    <w:rsid w:val="000B0C18"/>
    <w:rsid w:val="000B1DE7"/>
    <w:rsid w:val="000B2F13"/>
    <w:rsid w:val="000B30C8"/>
    <w:rsid w:val="000B38A9"/>
    <w:rsid w:val="000B4164"/>
    <w:rsid w:val="000B5747"/>
    <w:rsid w:val="000B7234"/>
    <w:rsid w:val="000B77C8"/>
    <w:rsid w:val="000B7CF9"/>
    <w:rsid w:val="000C009E"/>
    <w:rsid w:val="000C0168"/>
    <w:rsid w:val="000C0315"/>
    <w:rsid w:val="000C149E"/>
    <w:rsid w:val="000C2E25"/>
    <w:rsid w:val="000C2E54"/>
    <w:rsid w:val="000C3FFB"/>
    <w:rsid w:val="000C43D2"/>
    <w:rsid w:val="000C5DF3"/>
    <w:rsid w:val="000C5EB7"/>
    <w:rsid w:val="000C73AB"/>
    <w:rsid w:val="000C78C9"/>
    <w:rsid w:val="000D06FA"/>
    <w:rsid w:val="000D0F7B"/>
    <w:rsid w:val="000D154C"/>
    <w:rsid w:val="000D3613"/>
    <w:rsid w:val="000D3E1E"/>
    <w:rsid w:val="000D431B"/>
    <w:rsid w:val="000D477E"/>
    <w:rsid w:val="000D5566"/>
    <w:rsid w:val="000E1182"/>
    <w:rsid w:val="000E1473"/>
    <w:rsid w:val="000E1D1F"/>
    <w:rsid w:val="000E20BC"/>
    <w:rsid w:val="000E3A50"/>
    <w:rsid w:val="000E3D2B"/>
    <w:rsid w:val="000E49B9"/>
    <w:rsid w:val="000E4D7E"/>
    <w:rsid w:val="000E5145"/>
    <w:rsid w:val="000E5794"/>
    <w:rsid w:val="000E764D"/>
    <w:rsid w:val="000E7C71"/>
    <w:rsid w:val="000E7EAB"/>
    <w:rsid w:val="000F0697"/>
    <w:rsid w:val="000F3CC8"/>
    <w:rsid w:val="000F4904"/>
    <w:rsid w:val="000F4BC1"/>
    <w:rsid w:val="000F4D32"/>
    <w:rsid w:val="000F7153"/>
    <w:rsid w:val="000F7771"/>
    <w:rsid w:val="001005B7"/>
    <w:rsid w:val="00100901"/>
    <w:rsid w:val="00101407"/>
    <w:rsid w:val="00103F58"/>
    <w:rsid w:val="001078F8"/>
    <w:rsid w:val="00110264"/>
    <w:rsid w:val="00110522"/>
    <w:rsid w:val="00110EEC"/>
    <w:rsid w:val="001136D9"/>
    <w:rsid w:val="001142E4"/>
    <w:rsid w:val="00114331"/>
    <w:rsid w:val="00115643"/>
    <w:rsid w:val="00117C16"/>
    <w:rsid w:val="001201B6"/>
    <w:rsid w:val="00120C37"/>
    <w:rsid w:val="00121752"/>
    <w:rsid w:val="00122583"/>
    <w:rsid w:val="0012550F"/>
    <w:rsid w:val="00126F60"/>
    <w:rsid w:val="00127A34"/>
    <w:rsid w:val="001308FD"/>
    <w:rsid w:val="00130EE0"/>
    <w:rsid w:val="00131901"/>
    <w:rsid w:val="00131B6A"/>
    <w:rsid w:val="001324ED"/>
    <w:rsid w:val="00132A4A"/>
    <w:rsid w:val="00133036"/>
    <w:rsid w:val="001348E3"/>
    <w:rsid w:val="00134C59"/>
    <w:rsid w:val="001353EA"/>
    <w:rsid w:val="00135F2B"/>
    <w:rsid w:val="00136CB8"/>
    <w:rsid w:val="00140748"/>
    <w:rsid w:val="00141691"/>
    <w:rsid w:val="001425E7"/>
    <w:rsid w:val="00143CAA"/>
    <w:rsid w:val="001455DB"/>
    <w:rsid w:val="0014563C"/>
    <w:rsid w:val="0015001E"/>
    <w:rsid w:val="00150A63"/>
    <w:rsid w:val="0015167E"/>
    <w:rsid w:val="00152459"/>
    <w:rsid w:val="001526C7"/>
    <w:rsid w:val="0015532D"/>
    <w:rsid w:val="001553F0"/>
    <w:rsid w:val="0015549A"/>
    <w:rsid w:val="0015755E"/>
    <w:rsid w:val="00157C9A"/>
    <w:rsid w:val="00160D92"/>
    <w:rsid w:val="00162125"/>
    <w:rsid w:val="00162AFE"/>
    <w:rsid w:val="0016327A"/>
    <w:rsid w:val="0016544C"/>
    <w:rsid w:val="00166D50"/>
    <w:rsid w:val="00166FD2"/>
    <w:rsid w:val="001702CB"/>
    <w:rsid w:val="001713B3"/>
    <w:rsid w:val="00171D77"/>
    <w:rsid w:val="001722B8"/>
    <w:rsid w:val="00172357"/>
    <w:rsid w:val="00173283"/>
    <w:rsid w:val="0017435B"/>
    <w:rsid w:val="00175643"/>
    <w:rsid w:val="00176CEC"/>
    <w:rsid w:val="00176E74"/>
    <w:rsid w:val="00177C80"/>
    <w:rsid w:val="00180ED9"/>
    <w:rsid w:val="00182551"/>
    <w:rsid w:val="00183069"/>
    <w:rsid w:val="001836E5"/>
    <w:rsid w:val="00183F66"/>
    <w:rsid w:val="001850FE"/>
    <w:rsid w:val="00187E06"/>
    <w:rsid w:val="00191698"/>
    <w:rsid w:val="00192378"/>
    <w:rsid w:val="00192C92"/>
    <w:rsid w:val="00193E18"/>
    <w:rsid w:val="00196612"/>
    <w:rsid w:val="00197444"/>
    <w:rsid w:val="001A24C9"/>
    <w:rsid w:val="001A2750"/>
    <w:rsid w:val="001A2A81"/>
    <w:rsid w:val="001A2BCA"/>
    <w:rsid w:val="001A3053"/>
    <w:rsid w:val="001A385F"/>
    <w:rsid w:val="001A6A36"/>
    <w:rsid w:val="001A721B"/>
    <w:rsid w:val="001B1FAA"/>
    <w:rsid w:val="001B2042"/>
    <w:rsid w:val="001B57E9"/>
    <w:rsid w:val="001B6BB7"/>
    <w:rsid w:val="001C04E6"/>
    <w:rsid w:val="001C08C8"/>
    <w:rsid w:val="001C22F2"/>
    <w:rsid w:val="001C23A1"/>
    <w:rsid w:val="001C38AE"/>
    <w:rsid w:val="001C6F6F"/>
    <w:rsid w:val="001C74B8"/>
    <w:rsid w:val="001D02C2"/>
    <w:rsid w:val="001D0512"/>
    <w:rsid w:val="001D47CB"/>
    <w:rsid w:val="001D4B71"/>
    <w:rsid w:val="001D5A37"/>
    <w:rsid w:val="001D6511"/>
    <w:rsid w:val="001D6F20"/>
    <w:rsid w:val="001D72DE"/>
    <w:rsid w:val="001D768A"/>
    <w:rsid w:val="001D799C"/>
    <w:rsid w:val="001E193C"/>
    <w:rsid w:val="001E1CE3"/>
    <w:rsid w:val="001E3029"/>
    <w:rsid w:val="001E37C1"/>
    <w:rsid w:val="001E4167"/>
    <w:rsid w:val="001E7D14"/>
    <w:rsid w:val="001F0321"/>
    <w:rsid w:val="001F1432"/>
    <w:rsid w:val="001F1B9D"/>
    <w:rsid w:val="001F2F3A"/>
    <w:rsid w:val="001F35C8"/>
    <w:rsid w:val="001F41B4"/>
    <w:rsid w:val="001F6CB4"/>
    <w:rsid w:val="001F7F76"/>
    <w:rsid w:val="00200688"/>
    <w:rsid w:val="00200C96"/>
    <w:rsid w:val="00200EE6"/>
    <w:rsid w:val="002025E9"/>
    <w:rsid w:val="002033D4"/>
    <w:rsid w:val="002038AE"/>
    <w:rsid w:val="002040FD"/>
    <w:rsid w:val="00205799"/>
    <w:rsid w:val="0020641A"/>
    <w:rsid w:val="002137D1"/>
    <w:rsid w:val="00213A42"/>
    <w:rsid w:val="0021414A"/>
    <w:rsid w:val="002152CE"/>
    <w:rsid w:val="0021548E"/>
    <w:rsid w:val="002161A0"/>
    <w:rsid w:val="00216D5E"/>
    <w:rsid w:val="00217C12"/>
    <w:rsid w:val="00220E84"/>
    <w:rsid w:val="00225A99"/>
    <w:rsid w:val="00231C75"/>
    <w:rsid w:val="002325A4"/>
    <w:rsid w:val="00232C5B"/>
    <w:rsid w:val="0023315E"/>
    <w:rsid w:val="00233203"/>
    <w:rsid w:val="002334CC"/>
    <w:rsid w:val="00234262"/>
    <w:rsid w:val="002343E9"/>
    <w:rsid w:val="002357D6"/>
    <w:rsid w:val="0023589C"/>
    <w:rsid w:val="002361A0"/>
    <w:rsid w:val="0023748D"/>
    <w:rsid w:val="00237EF2"/>
    <w:rsid w:val="00240DCC"/>
    <w:rsid w:val="0024175F"/>
    <w:rsid w:val="00241F87"/>
    <w:rsid w:val="00243AF6"/>
    <w:rsid w:val="00244391"/>
    <w:rsid w:val="00246DF2"/>
    <w:rsid w:val="00250480"/>
    <w:rsid w:val="0025084A"/>
    <w:rsid w:val="002516B4"/>
    <w:rsid w:val="00253969"/>
    <w:rsid w:val="00254177"/>
    <w:rsid w:val="00254822"/>
    <w:rsid w:val="00257D30"/>
    <w:rsid w:val="0026027E"/>
    <w:rsid w:val="00260B59"/>
    <w:rsid w:val="00260ED8"/>
    <w:rsid w:val="00261773"/>
    <w:rsid w:val="002628BB"/>
    <w:rsid w:val="00263E47"/>
    <w:rsid w:val="00266442"/>
    <w:rsid w:val="00267C0F"/>
    <w:rsid w:val="0027067F"/>
    <w:rsid w:val="0027090C"/>
    <w:rsid w:val="00271089"/>
    <w:rsid w:val="00273349"/>
    <w:rsid w:val="00274698"/>
    <w:rsid w:val="00277C44"/>
    <w:rsid w:val="00281AD7"/>
    <w:rsid w:val="002828FC"/>
    <w:rsid w:val="00282BAE"/>
    <w:rsid w:val="00283820"/>
    <w:rsid w:val="00283A2A"/>
    <w:rsid w:val="00285627"/>
    <w:rsid w:val="002862D9"/>
    <w:rsid w:val="00286748"/>
    <w:rsid w:val="00290180"/>
    <w:rsid w:val="002917AA"/>
    <w:rsid w:val="00291A59"/>
    <w:rsid w:val="0029316E"/>
    <w:rsid w:val="002960FD"/>
    <w:rsid w:val="00296FC3"/>
    <w:rsid w:val="002A1409"/>
    <w:rsid w:val="002A1595"/>
    <w:rsid w:val="002A2045"/>
    <w:rsid w:val="002A2064"/>
    <w:rsid w:val="002A21EB"/>
    <w:rsid w:val="002A2214"/>
    <w:rsid w:val="002A3930"/>
    <w:rsid w:val="002A3B95"/>
    <w:rsid w:val="002A6420"/>
    <w:rsid w:val="002A6B59"/>
    <w:rsid w:val="002A729A"/>
    <w:rsid w:val="002A7B5E"/>
    <w:rsid w:val="002A7F65"/>
    <w:rsid w:val="002B1A4B"/>
    <w:rsid w:val="002B213A"/>
    <w:rsid w:val="002B2263"/>
    <w:rsid w:val="002B3770"/>
    <w:rsid w:val="002B7250"/>
    <w:rsid w:val="002B7F6B"/>
    <w:rsid w:val="002C1491"/>
    <w:rsid w:val="002C19F3"/>
    <w:rsid w:val="002C1B6B"/>
    <w:rsid w:val="002C2D84"/>
    <w:rsid w:val="002C3D65"/>
    <w:rsid w:val="002C4868"/>
    <w:rsid w:val="002C4BCA"/>
    <w:rsid w:val="002C5860"/>
    <w:rsid w:val="002C5E5F"/>
    <w:rsid w:val="002C723A"/>
    <w:rsid w:val="002C7328"/>
    <w:rsid w:val="002C7AD2"/>
    <w:rsid w:val="002D08DF"/>
    <w:rsid w:val="002D0B41"/>
    <w:rsid w:val="002D4DCD"/>
    <w:rsid w:val="002D7391"/>
    <w:rsid w:val="002D78AA"/>
    <w:rsid w:val="002D7CEB"/>
    <w:rsid w:val="002E05EC"/>
    <w:rsid w:val="002E093E"/>
    <w:rsid w:val="002E102D"/>
    <w:rsid w:val="002E227E"/>
    <w:rsid w:val="002E2D1D"/>
    <w:rsid w:val="002E3A75"/>
    <w:rsid w:val="002E4F15"/>
    <w:rsid w:val="002F082A"/>
    <w:rsid w:val="002F0CDD"/>
    <w:rsid w:val="002F102C"/>
    <w:rsid w:val="002F2C39"/>
    <w:rsid w:val="002F46B3"/>
    <w:rsid w:val="002F598E"/>
    <w:rsid w:val="002F5A43"/>
    <w:rsid w:val="002F769B"/>
    <w:rsid w:val="0030295B"/>
    <w:rsid w:val="003038F8"/>
    <w:rsid w:val="003048A8"/>
    <w:rsid w:val="0030508B"/>
    <w:rsid w:val="0030535A"/>
    <w:rsid w:val="0030684E"/>
    <w:rsid w:val="00307CA2"/>
    <w:rsid w:val="00311DBB"/>
    <w:rsid w:val="003120D8"/>
    <w:rsid w:val="0031789A"/>
    <w:rsid w:val="00317CA5"/>
    <w:rsid w:val="00320319"/>
    <w:rsid w:val="0032154C"/>
    <w:rsid w:val="0032499B"/>
    <w:rsid w:val="00325904"/>
    <w:rsid w:val="003265FB"/>
    <w:rsid w:val="00331093"/>
    <w:rsid w:val="003319FD"/>
    <w:rsid w:val="0033227F"/>
    <w:rsid w:val="00333F40"/>
    <w:rsid w:val="00334C38"/>
    <w:rsid w:val="003356AC"/>
    <w:rsid w:val="0033591A"/>
    <w:rsid w:val="003413ED"/>
    <w:rsid w:val="00341557"/>
    <w:rsid w:val="0034165E"/>
    <w:rsid w:val="003430D4"/>
    <w:rsid w:val="00343FC6"/>
    <w:rsid w:val="00344D62"/>
    <w:rsid w:val="0034639D"/>
    <w:rsid w:val="00346E7E"/>
    <w:rsid w:val="003473DB"/>
    <w:rsid w:val="003477F2"/>
    <w:rsid w:val="00350573"/>
    <w:rsid w:val="003540C7"/>
    <w:rsid w:val="00354453"/>
    <w:rsid w:val="003563D9"/>
    <w:rsid w:val="0036156A"/>
    <w:rsid w:val="00362461"/>
    <w:rsid w:val="00367337"/>
    <w:rsid w:val="00367C7B"/>
    <w:rsid w:val="00370494"/>
    <w:rsid w:val="00370F9D"/>
    <w:rsid w:val="00371125"/>
    <w:rsid w:val="0037167F"/>
    <w:rsid w:val="0037173A"/>
    <w:rsid w:val="00373D19"/>
    <w:rsid w:val="00373E7D"/>
    <w:rsid w:val="00373F5D"/>
    <w:rsid w:val="003742E3"/>
    <w:rsid w:val="00374BD9"/>
    <w:rsid w:val="00374E66"/>
    <w:rsid w:val="003754D0"/>
    <w:rsid w:val="00377524"/>
    <w:rsid w:val="00380CAC"/>
    <w:rsid w:val="00381ABC"/>
    <w:rsid w:val="003829FF"/>
    <w:rsid w:val="00382AE9"/>
    <w:rsid w:val="00382E2E"/>
    <w:rsid w:val="00383894"/>
    <w:rsid w:val="00384C7E"/>
    <w:rsid w:val="0038645D"/>
    <w:rsid w:val="00387D1E"/>
    <w:rsid w:val="00390F8D"/>
    <w:rsid w:val="00391A22"/>
    <w:rsid w:val="00391B92"/>
    <w:rsid w:val="00392924"/>
    <w:rsid w:val="00394216"/>
    <w:rsid w:val="003944D6"/>
    <w:rsid w:val="00394CF8"/>
    <w:rsid w:val="00395475"/>
    <w:rsid w:val="00395B3F"/>
    <w:rsid w:val="003962BF"/>
    <w:rsid w:val="00396824"/>
    <w:rsid w:val="00397856"/>
    <w:rsid w:val="003A0603"/>
    <w:rsid w:val="003A1221"/>
    <w:rsid w:val="003A31FD"/>
    <w:rsid w:val="003A4D95"/>
    <w:rsid w:val="003A5393"/>
    <w:rsid w:val="003A5488"/>
    <w:rsid w:val="003A5C2F"/>
    <w:rsid w:val="003A682C"/>
    <w:rsid w:val="003B2D6A"/>
    <w:rsid w:val="003B397F"/>
    <w:rsid w:val="003C055A"/>
    <w:rsid w:val="003C3352"/>
    <w:rsid w:val="003C3693"/>
    <w:rsid w:val="003C37C2"/>
    <w:rsid w:val="003C4126"/>
    <w:rsid w:val="003C502F"/>
    <w:rsid w:val="003C5519"/>
    <w:rsid w:val="003C5AE3"/>
    <w:rsid w:val="003C6105"/>
    <w:rsid w:val="003C6A12"/>
    <w:rsid w:val="003C75F6"/>
    <w:rsid w:val="003D1452"/>
    <w:rsid w:val="003D189A"/>
    <w:rsid w:val="003D2342"/>
    <w:rsid w:val="003D2F8C"/>
    <w:rsid w:val="003D5481"/>
    <w:rsid w:val="003D6323"/>
    <w:rsid w:val="003D684E"/>
    <w:rsid w:val="003D6EF5"/>
    <w:rsid w:val="003D73BF"/>
    <w:rsid w:val="003D79A1"/>
    <w:rsid w:val="003E0056"/>
    <w:rsid w:val="003E00F7"/>
    <w:rsid w:val="003E02BB"/>
    <w:rsid w:val="003E33AF"/>
    <w:rsid w:val="003E3833"/>
    <w:rsid w:val="003E44F6"/>
    <w:rsid w:val="003E51E2"/>
    <w:rsid w:val="003E676A"/>
    <w:rsid w:val="003E7906"/>
    <w:rsid w:val="003E7977"/>
    <w:rsid w:val="003F03C4"/>
    <w:rsid w:val="003F03E7"/>
    <w:rsid w:val="003F20FB"/>
    <w:rsid w:val="003F371F"/>
    <w:rsid w:val="003F5739"/>
    <w:rsid w:val="003F6AB6"/>
    <w:rsid w:val="003F6E87"/>
    <w:rsid w:val="00401F0F"/>
    <w:rsid w:val="0040231F"/>
    <w:rsid w:val="00402474"/>
    <w:rsid w:val="00402874"/>
    <w:rsid w:val="00403468"/>
    <w:rsid w:val="00404CDB"/>
    <w:rsid w:val="00405235"/>
    <w:rsid w:val="00405424"/>
    <w:rsid w:val="0040742C"/>
    <w:rsid w:val="004125D1"/>
    <w:rsid w:val="00413004"/>
    <w:rsid w:val="004137E5"/>
    <w:rsid w:val="0041492E"/>
    <w:rsid w:val="00414AC0"/>
    <w:rsid w:val="00414F89"/>
    <w:rsid w:val="0042286D"/>
    <w:rsid w:val="004243F7"/>
    <w:rsid w:val="004258D6"/>
    <w:rsid w:val="00425ED1"/>
    <w:rsid w:val="00427335"/>
    <w:rsid w:val="00427F08"/>
    <w:rsid w:val="004306CC"/>
    <w:rsid w:val="00430BB2"/>
    <w:rsid w:val="00431555"/>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2B6B"/>
    <w:rsid w:val="00453713"/>
    <w:rsid w:val="00454686"/>
    <w:rsid w:val="00455B3C"/>
    <w:rsid w:val="00455BF9"/>
    <w:rsid w:val="00456DE8"/>
    <w:rsid w:val="00457042"/>
    <w:rsid w:val="0046001D"/>
    <w:rsid w:val="004603E1"/>
    <w:rsid w:val="004649DC"/>
    <w:rsid w:val="00466819"/>
    <w:rsid w:val="00467616"/>
    <w:rsid w:val="004714F2"/>
    <w:rsid w:val="004718C1"/>
    <w:rsid w:val="00473348"/>
    <w:rsid w:val="00474686"/>
    <w:rsid w:val="00474D0D"/>
    <w:rsid w:val="004778FC"/>
    <w:rsid w:val="00477B93"/>
    <w:rsid w:val="00482460"/>
    <w:rsid w:val="004827F7"/>
    <w:rsid w:val="00482B21"/>
    <w:rsid w:val="0048506F"/>
    <w:rsid w:val="00485CD4"/>
    <w:rsid w:val="00485D3F"/>
    <w:rsid w:val="0048619B"/>
    <w:rsid w:val="004865E4"/>
    <w:rsid w:val="00486F37"/>
    <w:rsid w:val="00490522"/>
    <w:rsid w:val="00490E59"/>
    <w:rsid w:val="00491FDF"/>
    <w:rsid w:val="004922F6"/>
    <w:rsid w:val="00492742"/>
    <w:rsid w:val="00493A9F"/>
    <w:rsid w:val="004955E2"/>
    <w:rsid w:val="00495F1D"/>
    <w:rsid w:val="00496401"/>
    <w:rsid w:val="004A0BAE"/>
    <w:rsid w:val="004A11C8"/>
    <w:rsid w:val="004A1DEC"/>
    <w:rsid w:val="004A4529"/>
    <w:rsid w:val="004A6E86"/>
    <w:rsid w:val="004B0926"/>
    <w:rsid w:val="004B1B92"/>
    <w:rsid w:val="004B2100"/>
    <w:rsid w:val="004B36B0"/>
    <w:rsid w:val="004B37FB"/>
    <w:rsid w:val="004B659E"/>
    <w:rsid w:val="004B684C"/>
    <w:rsid w:val="004B6F8B"/>
    <w:rsid w:val="004C1701"/>
    <w:rsid w:val="004C2444"/>
    <w:rsid w:val="004C2DB8"/>
    <w:rsid w:val="004C550F"/>
    <w:rsid w:val="004C5738"/>
    <w:rsid w:val="004C6573"/>
    <w:rsid w:val="004C7B70"/>
    <w:rsid w:val="004D0BDE"/>
    <w:rsid w:val="004D1DCF"/>
    <w:rsid w:val="004D2B7A"/>
    <w:rsid w:val="004D6158"/>
    <w:rsid w:val="004D773C"/>
    <w:rsid w:val="004E10A4"/>
    <w:rsid w:val="004E2A2B"/>
    <w:rsid w:val="004E2CEB"/>
    <w:rsid w:val="004E491E"/>
    <w:rsid w:val="004E4A88"/>
    <w:rsid w:val="004E59D9"/>
    <w:rsid w:val="004E5B10"/>
    <w:rsid w:val="004E648C"/>
    <w:rsid w:val="004E72FD"/>
    <w:rsid w:val="004E7BAD"/>
    <w:rsid w:val="004F0044"/>
    <w:rsid w:val="004F0831"/>
    <w:rsid w:val="004F3671"/>
    <w:rsid w:val="004F4237"/>
    <w:rsid w:val="004F4278"/>
    <w:rsid w:val="004F4C58"/>
    <w:rsid w:val="004F5679"/>
    <w:rsid w:val="004F6B67"/>
    <w:rsid w:val="005015E4"/>
    <w:rsid w:val="00501E01"/>
    <w:rsid w:val="00501EBD"/>
    <w:rsid w:val="00502359"/>
    <w:rsid w:val="005025DD"/>
    <w:rsid w:val="00504B6B"/>
    <w:rsid w:val="00505405"/>
    <w:rsid w:val="00506D4E"/>
    <w:rsid w:val="0050746B"/>
    <w:rsid w:val="005105C2"/>
    <w:rsid w:val="00512EC7"/>
    <w:rsid w:val="00513B0D"/>
    <w:rsid w:val="00513EFC"/>
    <w:rsid w:val="00514F79"/>
    <w:rsid w:val="00517261"/>
    <w:rsid w:val="005209B8"/>
    <w:rsid w:val="00521C06"/>
    <w:rsid w:val="00525B7D"/>
    <w:rsid w:val="00526642"/>
    <w:rsid w:val="00526F1D"/>
    <w:rsid w:val="00527ED5"/>
    <w:rsid w:val="00530A3D"/>
    <w:rsid w:val="00530B74"/>
    <w:rsid w:val="0053146F"/>
    <w:rsid w:val="0053156B"/>
    <w:rsid w:val="0054074E"/>
    <w:rsid w:val="00541932"/>
    <w:rsid w:val="00542A06"/>
    <w:rsid w:val="00542C0A"/>
    <w:rsid w:val="00543138"/>
    <w:rsid w:val="005436A6"/>
    <w:rsid w:val="005442DF"/>
    <w:rsid w:val="005453ED"/>
    <w:rsid w:val="00546695"/>
    <w:rsid w:val="005470ED"/>
    <w:rsid w:val="005471D8"/>
    <w:rsid w:val="00547515"/>
    <w:rsid w:val="00550F68"/>
    <w:rsid w:val="00551C9D"/>
    <w:rsid w:val="00551EBF"/>
    <w:rsid w:val="00551FAE"/>
    <w:rsid w:val="0055286A"/>
    <w:rsid w:val="00552DD1"/>
    <w:rsid w:val="0055343C"/>
    <w:rsid w:val="0055476A"/>
    <w:rsid w:val="00554E3A"/>
    <w:rsid w:val="005568A6"/>
    <w:rsid w:val="00557701"/>
    <w:rsid w:val="00560940"/>
    <w:rsid w:val="005614DF"/>
    <w:rsid w:val="00561AEA"/>
    <w:rsid w:val="00561BA6"/>
    <w:rsid w:val="005624C3"/>
    <w:rsid w:val="00562990"/>
    <w:rsid w:val="00564D1F"/>
    <w:rsid w:val="005652A9"/>
    <w:rsid w:val="00565602"/>
    <w:rsid w:val="0056690C"/>
    <w:rsid w:val="00566D47"/>
    <w:rsid w:val="00567926"/>
    <w:rsid w:val="00567FCD"/>
    <w:rsid w:val="00571BCE"/>
    <w:rsid w:val="00574307"/>
    <w:rsid w:val="005746F5"/>
    <w:rsid w:val="00575170"/>
    <w:rsid w:val="00577313"/>
    <w:rsid w:val="0058034D"/>
    <w:rsid w:val="00580AF0"/>
    <w:rsid w:val="00580B4E"/>
    <w:rsid w:val="00581E13"/>
    <w:rsid w:val="00582227"/>
    <w:rsid w:val="005827DA"/>
    <w:rsid w:val="005827EA"/>
    <w:rsid w:val="0058351D"/>
    <w:rsid w:val="00583BFC"/>
    <w:rsid w:val="00583E53"/>
    <w:rsid w:val="005852B2"/>
    <w:rsid w:val="00586ED7"/>
    <w:rsid w:val="005871DB"/>
    <w:rsid w:val="005911E8"/>
    <w:rsid w:val="005920A0"/>
    <w:rsid w:val="00592591"/>
    <w:rsid w:val="00592609"/>
    <w:rsid w:val="00592F96"/>
    <w:rsid w:val="00595E4F"/>
    <w:rsid w:val="00595E7F"/>
    <w:rsid w:val="005A148F"/>
    <w:rsid w:val="005A209F"/>
    <w:rsid w:val="005A3BF8"/>
    <w:rsid w:val="005A3D08"/>
    <w:rsid w:val="005A3D33"/>
    <w:rsid w:val="005A4D25"/>
    <w:rsid w:val="005A5928"/>
    <w:rsid w:val="005A5CF8"/>
    <w:rsid w:val="005A5EFE"/>
    <w:rsid w:val="005A629E"/>
    <w:rsid w:val="005A76F3"/>
    <w:rsid w:val="005B01AC"/>
    <w:rsid w:val="005B06C3"/>
    <w:rsid w:val="005B1EAC"/>
    <w:rsid w:val="005B46A5"/>
    <w:rsid w:val="005B48BB"/>
    <w:rsid w:val="005B694C"/>
    <w:rsid w:val="005B6A2E"/>
    <w:rsid w:val="005B7517"/>
    <w:rsid w:val="005C00F0"/>
    <w:rsid w:val="005C1D28"/>
    <w:rsid w:val="005C3DE8"/>
    <w:rsid w:val="005C5058"/>
    <w:rsid w:val="005C66B7"/>
    <w:rsid w:val="005C6E37"/>
    <w:rsid w:val="005C758D"/>
    <w:rsid w:val="005C76EE"/>
    <w:rsid w:val="005D1902"/>
    <w:rsid w:val="005D1BD6"/>
    <w:rsid w:val="005D1CBA"/>
    <w:rsid w:val="005D2143"/>
    <w:rsid w:val="005D28B8"/>
    <w:rsid w:val="005D3A47"/>
    <w:rsid w:val="005D51C1"/>
    <w:rsid w:val="005D6E01"/>
    <w:rsid w:val="005E0A51"/>
    <w:rsid w:val="005E1382"/>
    <w:rsid w:val="005E168D"/>
    <w:rsid w:val="005E1A81"/>
    <w:rsid w:val="005E2FBD"/>
    <w:rsid w:val="005E3C39"/>
    <w:rsid w:val="005E52FB"/>
    <w:rsid w:val="005E559F"/>
    <w:rsid w:val="005E63B0"/>
    <w:rsid w:val="005E6722"/>
    <w:rsid w:val="005E754D"/>
    <w:rsid w:val="005E7E6A"/>
    <w:rsid w:val="005F0E00"/>
    <w:rsid w:val="005F29F5"/>
    <w:rsid w:val="005F2CBA"/>
    <w:rsid w:val="005F305F"/>
    <w:rsid w:val="005F4770"/>
    <w:rsid w:val="005F6053"/>
    <w:rsid w:val="005F6EBC"/>
    <w:rsid w:val="006002F3"/>
    <w:rsid w:val="0060100F"/>
    <w:rsid w:val="0060141E"/>
    <w:rsid w:val="00602A84"/>
    <w:rsid w:val="00603160"/>
    <w:rsid w:val="00603414"/>
    <w:rsid w:val="00603449"/>
    <w:rsid w:val="006041F7"/>
    <w:rsid w:val="006042D1"/>
    <w:rsid w:val="0060457E"/>
    <w:rsid w:val="0060519F"/>
    <w:rsid w:val="00606865"/>
    <w:rsid w:val="00610D98"/>
    <w:rsid w:val="00610EA0"/>
    <w:rsid w:val="006117FD"/>
    <w:rsid w:val="00613BB9"/>
    <w:rsid w:val="00615B2A"/>
    <w:rsid w:val="006169BE"/>
    <w:rsid w:val="00616B0A"/>
    <w:rsid w:val="0061794F"/>
    <w:rsid w:val="00617CE2"/>
    <w:rsid w:val="00617DFC"/>
    <w:rsid w:val="00617FD2"/>
    <w:rsid w:val="00620585"/>
    <w:rsid w:val="00620C78"/>
    <w:rsid w:val="00624899"/>
    <w:rsid w:val="00626A85"/>
    <w:rsid w:val="00627AD1"/>
    <w:rsid w:val="00627E1F"/>
    <w:rsid w:val="00631AD7"/>
    <w:rsid w:val="00632A6B"/>
    <w:rsid w:val="00633269"/>
    <w:rsid w:val="0063352C"/>
    <w:rsid w:val="0063442C"/>
    <w:rsid w:val="006350A3"/>
    <w:rsid w:val="006351DF"/>
    <w:rsid w:val="00635A38"/>
    <w:rsid w:val="00635E6E"/>
    <w:rsid w:val="00635EB8"/>
    <w:rsid w:val="00636058"/>
    <w:rsid w:val="00636511"/>
    <w:rsid w:val="00642559"/>
    <w:rsid w:val="00642F45"/>
    <w:rsid w:val="00645962"/>
    <w:rsid w:val="00647202"/>
    <w:rsid w:val="006515C5"/>
    <w:rsid w:val="0065219C"/>
    <w:rsid w:val="00652798"/>
    <w:rsid w:val="00652E32"/>
    <w:rsid w:val="0065392C"/>
    <w:rsid w:val="00653BB6"/>
    <w:rsid w:val="00654463"/>
    <w:rsid w:val="0065482B"/>
    <w:rsid w:val="006549EB"/>
    <w:rsid w:val="00654A37"/>
    <w:rsid w:val="00654BCA"/>
    <w:rsid w:val="00654C0C"/>
    <w:rsid w:val="00655851"/>
    <w:rsid w:val="0065703E"/>
    <w:rsid w:val="00660BF1"/>
    <w:rsid w:val="00662E92"/>
    <w:rsid w:val="00662F7B"/>
    <w:rsid w:val="006644EE"/>
    <w:rsid w:val="0066498C"/>
    <w:rsid w:val="00665DEA"/>
    <w:rsid w:val="006667CA"/>
    <w:rsid w:val="00670383"/>
    <w:rsid w:val="0067137C"/>
    <w:rsid w:val="0067215C"/>
    <w:rsid w:val="0067287E"/>
    <w:rsid w:val="006735D1"/>
    <w:rsid w:val="006751E9"/>
    <w:rsid w:val="00675264"/>
    <w:rsid w:val="006772F4"/>
    <w:rsid w:val="00681F0D"/>
    <w:rsid w:val="00682AFD"/>
    <w:rsid w:val="00683EB1"/>
    <w:rsid w:val="0068468A"/>
    <w:rsid w:val="006860D0"/>
    <w:rsid w:val="00686E61"/>
    <w:rsid w:val="00690DC4"/>
    <w:rsid w:val="006922FB"/>
    <w:rsid w:val="00692772"/>
    <w:rsid w:val="006928F8"/>
    <w:rsid w:val="00695AE4"/>
    <w:rsid w:val="006978CE"/>
    <w:rsid w:val="006A1DBC"/>
    <w:rsid w:val="006A23A6"/>
    <w:rsid w:val="006A2492"/>
    <w:rsid w:val="006A2BE5"/>
    <w:rsid w:val="006A2D1B"/>
    <w:rsid w:val="006A6AEA"/>
    <w:rsid w:val="006A6B54"/>
    <w:rsid w:val="006A7103"/>
    <w:rsid w:val="006A7A91"/>
    <w:rsid w:val="006B0566"/>
    <w:rsid w:val="006B1316"/>
    <w:rsid w:val="006B2A85"/>
    <w:rsid w:val="006B333D"/>
    <w:rsid w:val="006B4774"/>
    <w:rsid w:val="006B5427"/>
    <w:rsid w:val="006B598A"/>
    <w:rsid w:val="006B6AF5"/>
    <w:rsid w:val="006C0008"/>
    <w:rsid w:val="006C06F7"/>
    <w:rsid w:val="006C3330"/>
    <w:rsid w:val="006C44F9"/>
    <w:rsid w:val="006C51E2"/>
    <w:rsid w:val="006C7610"/>
    <w:rsid w:val="006D1287"/>
    <w:rsid w:val="006D3671"/>
    <w:rsid w:val="006D46BC"/>
    <w:rsid w:val="006D4F9C"/>
    <w:rsid w:val="006D5947"/>
    <w:rsid w:val="006D5E8F"/>
    <w:rsid w:val="006D5FC9"/>
    <w:rsid w:val="006D6102"/>
    <w:rsid w:val="006D636A"/>
    <w:rsid w:val="006D69D1"/>
    <w:rsid w:val="006D75D7"/>
    <w:rsid w:val="006E19D8"/>
    <w:rsid w:val="006E1C6B"/>
    <w:rsid w:val="006E2848"/>
    <w:rsid w:val="006E44FA"/>
    <w:rsid w:val="006E50E7"/>
    <w:rsid w:val="006E6038"/>
    <w:rsid w:val="006F02AD"/>
    <w:rsid w:val="006F1D5A"/>
    <w:rsid w:val="006F3442"/>
    <w:rsid w:val="006F3E59"/>
    <w:rsid w:val="006F3E96"/>
    <w:rsid w:val="006F4D00"/>
    <w:rsid w:val="006F50C5"/>
    <w:rsid w:val="006F5832"/>
    <w:rsid w:val="006F6822"/>
    <w:rsid w:val="0070017E"/>
    <w:rsid w:val="00701E76"/>
    <w:rsid w:val="00702016"/>
    <w:rsid w:val="007022BF"/>
    <w:rsid w:val="0070247E"/>
    <w:rsid w:val="00704AD1"/>
    <w:rsid w:val="007055A3"/>
    <w:rsid w:val="007056D0"/>
    <w:rsid w:val="0070664E"/>
    <w:rsid w:val="00706F5E"/>
    <w:rsid w:val="00710153"/>
    <w:rsid w:val="00710914"/>
    <w:rsid w:val="00712E36"/>
    <w:rsid w:val="00713124"/>
    <w:rsid w:val="00713702"/>
    <w:rsid w:val="00713D2C"/>
    <w:rsid w:val="0071407B"/>
    <w:rsid w:val="00715279"/>
    <w:rsid w:val="00715D61"/>
    <w:rsid w:val="007161D3"/>
    <w:rsid w:val="00717673"/>
    <w:rsid w:val="00720E3D"/>
    <w:rsid w:val="00721833"/>
    <w:rsid w:val="00724C25"/>
    <w:rsid w:val="00725975"/>
    <w:rsid w:val="00725B0D"/>
    <w:rsid w:val="00726C4D"/>
    <w:rsid w:val="007276C0"/>
    <w:rsid w:val="00727B0E"/>
    <w:rsid w:val="00732AA9"/>
    <w:rsid w:val="00733115"/>
    <w:rsid w:val="0073368E"/>
    <w:rsid w:val="007343A9"/>
    <w:rsid w:val="007351D5"/>
    <w:rsid w:val="007357CF"/>
    <w:rsid w:val="00736162"/>
    <w:rsid w:val="007369E2"/>
    <w:rsid w:val="007444CE"/>
    <w:rsid w:val="00744D3A"/>
    <w:rsid w:val="007452FA"/>
    <w:rsid w:val="007465A2"/>
    <w:rsid w:val="00746725"/>
    <w:rsid w:val="00746D40"/>
    <w:rsid w:val="0074770F"/>
    <w:rsid w:val="00747BCE"/>
    <w:rsid w:val="007500DB"/>
    <w:rsid w:val="00750168"/>
    <w:rsid w:val="007510CF"/>
    <w:rsid w:val="0075174F"/>
    <w:rsid w:val="007526F1"/>
    <w:rsid w:val="00753E8F"/>
    <w:rsid w:val="0075609C"/>
    <w:rsid w:val="00757846"/>
    <w:rsid w:val="00757E1F"/>
    <w:rsid w:val="007620E8"/>
    <w:rsid w:val="0076265A"/>
    <w:rsid w:val="00763D26"/>
    <w:rsid w:val="00763D75"/>
    <w:rsid w:val="00764FC2"/>
    <w:rsid w:val="007658B3"/>
    <w:rsid w:val="007664F6"/>
    <w:rsid w:val="00766F65"/>
    <w:rsid w:val="00767394"/>
    <w:rsid w:val="00771AA3"/>
    <w:rsid w:val="00773A93"/>
    <w:rsid w:val="0077460F"/>
    <w:rsid w:val="00776D47"/>
    <w:rsid w:val="007777AF"/>
    <w:rsid w:val="00777DAA"/>
    <w:rsid w:val="007806E1"/>
    <w:rsid w:val="007809E0"/>
    <w:rsid w:val="00780E1E"/>
    <w:rsid w:val="0078207D"/>
    <w:rsid w:val="00782A42"/>
    <w:rsid w:val="0078345B"/>
    <w:rsid w:val="00783524"/>
    <w:rsid w:val="00783C1E"/>
    <w:rsid w:val="00786280"/>
    <w:rsid w:val="0078647A"/>
    <w:rsid w:val="00786BDC"/>
    <w:rsid w:val="00790114"/>
    <w:rsid w:val="007902DC"/>
    <w:rsid w:val="007922D4"/>
    <w:rsid w:val="007928BD"/>
    <w:rsid w:val="007935E2"/>
    <w:rsid w:val="007936EE"/>
    <w:rsid w:val="00794535"/>
    <w:rsid w:val="00794DCC"/>
    <w:rsid w:val="0079532D"/>
    <w:rsid w:val="007958B8"/>
    <w:rsid w:val="00795D94"/>
    <w:rsid w:val="007961D3"/>
    <w:rsid w:val="00796ADB"/>
    <w:rsid w:val="00796EA0"/>
    <w:rsid w:val="007976E4"/>
    <w:rsid w:val="00797A74"/>
    <w:rsid w:val="007A07C5"/>
    <w:rsid w:val="007A186C"/>
    <w:rsid w:val="007A204E"/>
    <w:rsid w:val="007A34F4"/>
    <w:rsid w:val="007A3CFC"/>
    <w:rsid w:val="007A4CC6"/>
    <w:rsid w:val="007A59B3"/>
    <w:rsid w:val="007A625E"/>
    <w:rsid w:val="007B0045"/>
    <w:rsid w:val="007B06B7"/>
    <w:rsid w:val="007B3F45"/>
    <w:rsid w:val="007B454F"/>
    <w:rsid w:val="007B5A67"/>
    <w:rsid w:val="007B5D49"/>
    <w:rsid w:val="007B6B9F"/>
    <w:rsid w:val="007B73D5"/>
    <w:rsid w:val="007B780D"/>
    <w:rsid w:val="007C033B"/>
    <w:rsid w:val="007C070D"/>
    <w:rsid w:val="007C0792"/>
    <w:rsid w:val="007C12DE"/>
    <w:rsid w:val="007C23A7"/>
    <w:rsid w:val="007C2425"/>
    <w:rsid w:val="007C28DB"/>
    <w:rsid w:val="007C2F1B"/>
    <w:rsid w:val="007C365C"/>
    <w:rsid w:val="007C5126"/>
    <w:rsid w:val="007C6AA3"/>
    <w:rsid w:val="007D54EC"/>
    <w:rsid w:val="007D6829"/>
    <w:rsid w:val="007D6E00"/>
    <w:rsid w:val="007E3625"/>
    <w:rsid w:val="007E4DBC"/>
    <w:rsid w:val="007E5CCE"/>
    <w:rsid w:val="007F0E7E"/>
    <w:rsid w:val="007F1E98"/>
    <w:rsid w:val="007F5EF1"/>
    <w:rsid w:val="007F68CB"/>
    <w:rsid w:val="0080092E"/>
    <w:rsid w:val="00803188"/>
    <w:rsid w:val="00804B0D"/>
    <w:rsid w:val="008059A5"/>
    <w:rsid w:val="00807691"/>
    <w:rsid w:val="0081122F"/>
    <w:rsid w:val="00811AAE"/>
    <w:rsid w:val="00813605"/>
    <w:rsid w:val="00816367"/>
    <w:rsid w:val="008164DA"/>
    <w:rsid w:val="0081662E"/>
    <w:rsid w:val="008177B1"/>
    <w:rsid w:val="008201B3"/>
    <w:rsid w:val="00820687"/>
    <w:rsid w:val="00821169"/>
    <w:rsid w:val="008217A9"/>
    <w:rsid w:val="00825820"/>
    <w:rsid w:val="00826B97"/>
    <w:rsid w:val="00830AC3"/>
    <w:rsid w:val="00831363"/>
    <w:rsid w:val="00832624"/>
    <w:rsid w:val="00832939"/>
    <w:rsid w:val="00833A71"/>
    <w:rsid w:val="00833BEF"/>
    <w:rsid w:val="00834092"/>
    <w:rsid w:val="00834C8A"/>
    <w:rsid w:val="0083649E"/>
    <w:rsid w:val="00837387"/>
    <w:rsid w:val="00837D98"/>
    <w:rsid w:val="00840EC2"/>
    <w:rsid w:val="0084217D"/>
    <w:rsid w:val="008421B3"/>
    <w:rsid w:val="008423EA"/>
    <w:rsid w:val="0084257B"/>
    <w:rsid w:val="00842584"/>
    <w:rsid w:val="008430E9"/>
    <w:rsid w:val="008455CF"/>
    <w:rsid w:val="008464AB"/>
    <w:rsid w:val="00846E6A"/>
    <w:rsid w:val="0085013C"/>
    <w:rsid w:val="00850F10"/>
    <w:rsid w:val="00851618"/>
    <w:rsid w:val="00851B2F"/>
    <w:rsid w:val="00852377"/>
    <w:rsid w:val="008525B1"/>
    <w:rsid w:val="008529E2"/>
    <w:rsid w:val="008537EA"/>
    <w:rsid w:val="0085447D"/>
    <w:rsid w:val="00854C43"/>
    <w:rsid w:val="00854D7E"/>
    <w:rsid w:val="00854DFA"/>
    <w:rsid w:val="008569FB"/>
    <w:rsid w:val="00856C3E"/>
    <w:rsid w:val="00861702"/>
    <w:rsid w:val="008620F7"/>
    <w:rsid w:val="00863BEF"/>
    <w:rsid w:val="008646ED"/>
    <w:rsid w:val="008654D3"/>
    <w:rsid w:val="00865B81"/>
    <w:rsid w:val="00873A37"/>
    <w:rsid w:val="008740E7"/>
    <w:rsid w:val="0087438E"/>
    <w:rsid w:val="00880DD3"/>
    <w:rsid w:val="00882647"/>
    <w:rsid w:val="008835F3"/>
    <w:rsid w:val="008840A1"/>
    <w:rsid w:val="00886A68"/>
    <w:rsid w:val="00890AB7"/>
    <w:rsid w:val="00890CD7"/>
    <w:rsid w:val="00891892"/>
    <w:rsid w:val="00891F97"/>
    <w:rsid w:val="008938CF"/>
    <w:rsid w:val="00893C67"/>
    <w:rsid w:val="0089509C"/>
    <w:rsid w:val="00895302"/>
    <w:rsid w:val="00896B56"/>
    <w:rsid w:val="0089702B"/>
    <w:rsid w:val="008A0EAE"/>
    <w:rsid w:val="008A3229"/>
    <w:rsid w:val="008A339E"/>
    <w:rsid w:val="008A34A5"/>
    <w:rsid w:val="008A36A9"/>
    <w:rsid w:val="008A5330"/>
    <w:rsid w:val="008A58F1"/>
    <w:rsid w:val="008B2027"/>
    <w:rsid w:val="008B2C28"/>
    <w:rsid w:val="008B32ED"/>
    <w:rsid w:val="008B371A"/>
    <w:rsid w:val="008B3A3A"/>
    <w:rsid w:val="008B5A98"/>
    <w:rsid w:val="008B60D9"/>
    <w:rsid w:val="008B754A"/>
    <w:rsid w:val="008B7652"/>
    <w:rsid w:val="008C03D1"/>
    <w:rsid w:val="008C1ACF"/>
    <w:rsid w:val="008C2CD6"/>
    <w:rsid w:val="008C3D45"/>
    <w:rsid w:val="008C44B8"/>
    <w:rsid w:val="008C4809"/>
    <w:rsid w:val="008C49ED"/>
    <w:rsid w:val="008C59DF"/>
    <w:rsid w:val="008C639C"/>
    <w:rsid w:val="008C65D2"/>
    <w:rsid w:val="008C6EC6"/>
    <w:rsid w:val="008C7648"/>
    <w:rsid w:val="008C78BD"/>
    <w:rsid w:val="008D004A"/>
    <w:rsid w:val="008D048C"/>
    <w:rsid w:val="008D2BCF"/>
    <w:rsid w:val="008D4E6B"/>
    <w:rsid w:val="008D5744"/>
    <w:rsid w:val="008E1916"/>
    <w:rsid w:val="008E29D4"/>
    <w:rsid w:val="008E3D35"/>
    <w:rsid w:val="008E4632"/>
    <w:rsid w:val="008E520E"/>
    <w:rsid w:val="008E5FD9"/>
    <w:rsid w:val="008E6715"/>
    <w:rsid w:val="008E6EF9"/>
    <w:rsid w:val="008E795F"/>
    <w:rsid w:val="008F0649"/>
    <w:rsid w:val="008F1B05"/>
    <w:rsid w:val="008F3A34"/>
    <w:rsid w:val="008F5247"/>
    <w:rsid w:val="008F64CF"/>
    <w:rsid w:val="00900193"/>
    <w:rsid w:val="00901E82"/>
    <w:rsid w:val="00902A72"/>
    <w:rsid w:val="0091275E"/>
    <w:rsid w:val="00913B31"/>
    <w:rsid w:val="009165B1"/>
    <w:rsid w:val="00921EBA"/>
    <w:rsid w:val="009234BB"/>
    <w:rsid w:val="00924AC6"/>
    <w:rsid w:val="0092562B"/>
    <w:rsid w:val="00925651"/>
    <w:rsid w:val="0092566E"/>
    <w:rsid w:val="00925E43"/>
    <w:rsid w:val="00926D28"/>
    <w:rsid w:val="00927E71"/>
    <w:rsid w:val="009309D5"/>
    <w:rsid w:val="00930D24"/>
    <w:rsid w:val="00931D3F"/>
    <w:rsid w:val="00933E77"/>
    <w:rsid w:val="00934888"/>
    <w:rsid w:val="009368ED"/>
    <w:rsid w:val="00937E27"/>
    <w:rsid w:val="009430F5"/>
    <w:rsid w:val="00943723"/>
    <w:rsid w:val="00944102"/>
    <w:rsid w:val="0094413F"/>
    <w:rsid w:val="0094416A"/>
    <w:rsid w:val="00944295"/>
    <w:rsid w:val="00945302"/>
    <w:rsid w:val="00952BCD"/>
    <w:rsid w:val="00952BDA"/>
    <w:rsid w:val="00953AA6"/>
    <w:rsid w:val="00954411"/>
    <w:rsid w:val="00955F81"/>
    <w:rsid w:val="00956AA6"/>
    <w:rsid w:val="00957B8D"/>
    <w:rsid w:val="00961562"/>
    <w:rsid w:val="009620DD"/>
    <w:rsid w:val="0096344E"/>
    <w:rsid w:val="0096690D"/>
    <w:rsid w:val="00970506"/>
    <w:rsid w:val="009721FC"/>
    <w:rsid w:val="009746A0"/>
    <w:rsid w:val="009766AC"/>
    <w:rsid w:val="0097761A"/>
    <w:rsid w:val="00977B8A"/>
    <w:rsid w:val="00980487"/>
    <w:rsid w:val="00980CBC"/>
    <w:rsid w:val="00981610"/>
    <w:rsid w:val="00984423"/>
    <w:rsid w:val="00984554"/>
    <w:rsid w:val="00985FE9"/>
    <w:rsid w:val="00986D97"/>
    <w:rsid w:val="00987B82"/>
    <w:rsid w:val="00987CB6"/>
    <w:rsid w:val="009905B1"/>
    <w:rsid w:val="00991CA2"/>
    <w:rsid w:val="00992160"/>
    <w:rsid w:val="00992959"/>
    <w:rsid w:val="00993AEC"/>
    <w:rsid w:val="00996BB1"/>
    <w:rsid w:val="009974FD"/>
    <w:rsid w:val="00997952"/>
    <w:rsid w:val="009A095D"/>
    <w:rsid w:val="009A1DBB"/>
    <w:rsid w:val="009A239F"/>
    <w:rsid w:val="009A24B2"/>
    <w:rsid w:val="009A38C4"/>
    <w:rsid w:val="009A4114"/>
    <w:rsid w:val="009A47E6"/>
    <w:rsid w:val="009A5A31"/>
    <w:rsid w:val="009A5E65"/>
    <w:rsid w:val="009A6335"/>
    <w:rsid w:val="009A68D0"/>
    <w:rsid w:val="009A69BB"/>
    <w:rsid w:val="009A79B3"/>
    <w:rsid w:val="009B08CA"/>
    <w:rsid w:val="009B0AF0"/>
    <w:rsid w:val="009B14AC"/>
    <w:rsid w:val="009B32A4"/>
    <w:rsid w:val="009B408D"/>
    <w:rsid w:val="009B7311"/>
    <w:rsid w:val="009C2378"/>
    <w:rsid w:val="009C2842"/>
    <w:rsid w:val="009C4A41"/>
    <w:rsid w:val="009C5032"/>
    <w:rsid w:val="009C5E39"/>
    <w:rsid w:val="009C69CB"/>
    <w:rsid w:val="009C7462"/>
    <w:rsid w:val="009D34C0"/>
    <w:rsid w:val="009D4F0D"/>
    <w:rsid w:val="009D6D88"/>
    <w:rsid w:val="009E0AD0"/>
    <w:rsid w:val="009E11B3"/>
    <w:rsid w:val="009E1E3B"/>
    <w:rsid w:val="009E20D1"/>
    <w:rsid w:val="009E2C06"/>
    <w:rsid w:val="009E3C5E"/>
    <w:rsid w:val="009E4974"/>
    <w:rsid w:val="009E4D3B"/>
    <w:rsid w:val="009E4DD2"/>
    <w:rsid w:val="009E59BC"/>
    <w:rsid w:val="009E59D6"/>
    <w:rsid w:val="009E79DB"/>
    <w:rsid w:val="009F07E3"/>
    <w:rsid w:val="009F0E76"/>
    <w:rsid w:val="009F1993"/>
    <w:rsid w:val="009F2FD1"/>
    <w:rsid w:val="009F471E"/>
    <w:rsid w:val="009F5253"/>
    <w:rsid w:val="009F54C0"/>
    <w:rsid w:val="009F5816"/>
    <w:rsid w:val="00A01DB8"/>
    <w:rsid w:val="00A0205D"/>
    <w:rsid w:val="00A0658C"/>
    <w:rsid w:val="00A06F5B"/>
    <w:rsid w:val="00A071FB"/>
    <w:rsid w:val="00A11690"/>
    <w:rsid w:val="00A11BB8"/>
    <w:rsid w:val="00A13880"/>
    <w:rsid w:val="00A1587E"/>
    <w:rsid w:val="00A15951"/>
    <w:rsid w:val="00A23A0B"/>
    <w:rsid w:val="00A23F7A"/>
    <w:rsid w:val="00A24CA9"/>
    <w:rsid w:val="00A24F97"/>
    <w:rsid w:val="00A2662C"/>
    <w:rsid w:val="00A27E9E"/>
    <w:rsid w:val="00A30E3A"/>
    <w:rsid w:val="00A32DB0"/>
    <w:rsid w:val="00A331A0"/>
    <w:rsid w:val="00A33724"/>
    <w:rsid w:val="00A35A6F"/>
    <w:rsid w:val="00A36B22"/>
    <w:rsid w:val="00A36C68"/>
    <w:rsid w:val="00A3741A"/>
    <w:rsid w:val="00A37AFC"/>
    <w:rsid w:val="00A40938"/>
    <w:rsid w:val="00A4184E"/>
    <w:rsid w:val="00A429E0"/>
    <w:rsid w:val="00A44DA0"/>
    <w:rsid w:val="00A46BEC"/>
    <w:rsid w:val="00A47873"/>
    <w:rsid w:val="00A524BD"/>
    <w:rsid w:val="00A53438"/>
    <w:rsid w:val="00A56291"/>
    <w:rsid w:val="00A56B86"/>
    <w:rsid w:val="00A57421"/>
    <w:rsid w:val="00A57BB0"/>
    <w:rsid w:val="00A603D5"/>
    <w:rsid w:val="00A6138F"/>
    <w:rsid w:val="00A61A7A"/>
    <w:rsid w:val="00A64CED"/>
    <w:rsid w:val="00A654A2"/>
    <w:rsid w:val="00A6616C"/>
    <w:rsid w:val="00A6756B"/>
    <w:rsid w:val="00A7007F"/>
    <w:rsid w:val="00A70278"/>
    <w:rsid w:val="00A70A9E"/>
    <w:rsid w:val="00A70F07"/>
    <w:rsid w:val="00A72490"/>
    <w:rsid w:val="00A72733"/>
    <w:rsid w:val="00A735E6"/>
    <w:rsid w:val="00A73DA9"/>
    <w:rsid w:val="00A7453E"/>
    <w:rsid w:val="00A75D76"/>
    <w:rsid w:val="00A76AD1"/>
    <w:rsid w:val="00A8012B"/>
    <w:rsid w:val="00A8194D"/>
    <w:rsid w:val="00A82F7B"/>
    <w:rsid w:val="00A845C7"/>
    <w:rsid w:val="00A854C1"/>
    <w:rsid w:val="00A86B68"/>
    <w:rsid w:val="00A870CA"/>
    <w:rsid w:val="00A87217"/>
    <w:rsid w:val="00A872F0"/>
    <w:rsid w:val="00A90758"/>
    <w:rsid w:val="00A91A73"/>
    <w:rsid w:val="00A92D9B"/>
    <w:rsid w:val="00A94E6A"/>
    <w:rsid w:val="00A97A29"/>
    <w:rsid w:val="00A97A68"/>
    <w:rsid w:val="00A97CE9"/>
    <w:rsid w:val="00AA0311"/>
    <w:rsid w:val="00AA0C0C"/>
    <w:rsid w:val="00AA0E96"/>
    <w:rsid w:val="00AA2EF3"/>
    <w:rsid w:val="00AA45AC"/>
    <w:rsid w:val="00AA5C50"/>
    <w:rsid w:val="00AA79D8"/>
    <w:rsid w:val="00AB2360"/>
    <w:rsid w:val="00AB3E0B"/>
    <w:rsid w:val="00AB4BE6"/>
    <w:rsid w:val="00AB531F"/>
    <w:rsid w:val="00AB6656"/>
    <w:rsid w:val="00AC22BF"/>
    <w:rsid w:val="00AC2600"/>
    <w:rsid w:val="00AC3CF1"/>
    <w:rsid w:val="00AC4AFF"/>
    <w:rsid w:val="00AC65A1"/>
    <w:rsid w:val="00AC6D66"/>
    <w:rsid w:val="00AC709B"/>
    <w:rsid w:val="00AC76B9"/>
    <w:rsid w:val="00AC7AF4"/>
    <w:rsid w:val="00AD03F7"/>
    <w:rsid w:val="00AD1E0C"/>
    <w:rsid w:val="00AD475B"/>
    <w:rsid w:val="00AE0153"/>
    <w:rsid w:val="00AE1349"/>
    <w:rsid w:val="00AE3239"/>
    <w:rsid w:val="00AE4560"/>
    <w:rsid w:val="00AE5041"/>
    <w:rsid w:val="00AE7C32"/>
    <w:rsid w:val="00AF27A9"/>
    <w:rsid w:val="00AF2CF1"/>
    <w:rsid w:val="00AF2D32"/>
    <w:rsid w:val="00AF360B"/>
    <w:rsid w:val="00AF48FB"/>
    <w:rsid w:val="00AF641C"/>
    <w:rsid w:val="00AF66E6"/>
    <w:rsid w:val="00AF7C45"/>
    <w:rsid w:val="00AF7D2E"/>
    <w:rsid w:val="00B00624"/>
    <w:rsid w:val="00B015E3"/>
    <w:rsid w:val="00B01B3E"/>
    <w:rsid w:val="00B05A15"/>
    <w:rsid w:val="00B05B5A"/>
    <w:rsid w:val="00B10C9F"/>
    <w:rsid w:val="00B13479"/>
    <w:rsid w:val="00B13BB1"/>
    <w:rsid w:val="00B15C91"/>
    <w:rsid w:val="00B21801"/>
    <w:rsid w:val="00B22A79"/>
    <w:rsid w:val="00B22D45"/>
    <w:rsid w:val="00B23127"/>
    <w:rsid w:val="00B260AF"/>
    <w:rsid w:val="00B26218"/>
    <w:rsid w:val="00B27E66"/>
    <w:rsid w:val="00B31250"/>
    <w:rsid w:val="00B31398"/>
    <w:rsid w:val="00B31D7F"/>
    <w:rsid w:val="00B32385"/>
    <w:rsid w:val="00B37D85"/>
    <w:rsid w:val="00B410C8"/>
    <w:rsid w:val="00B41A2D"/>
    <w:rsid w:val="00B41ACE"/>
    <w:rsid w:val="00B41FA8"/>
    <w:rsid w:val="00B427E9"/>
    <w:rsid w:val="00B43E3E"/>
    <w:rsid w:val="00B44ABC"/>
    <w:rsid w:val="00B44BC5"/>
    <w:rsid w:val="00B45404"/>
    <w:rsid w:val="00B46566"/>
    <w:rsid w:val="00B465D6"/>
    <w:rsid w:val="00B4770F"/>
    <w:rsid w:val="00B505E2"/>
    <w:rsid w:val="00B51BDC"/>
    <w:rsid w:val="00B539DE"/>
    <w:rsid w:val="00B53D41"/>
    <w:rsid w:val="00B54E65"/>
    <w:rsid w:val="00B550CF"/>
    <w:rsid w:val="00B55968"/>
    <w:rsid w:val="00B566D9"/>
    <w:rsid w:val="00B56AF8"/>
    <w:rsid w:val="00B60E0C"/>
    <w:rsid w:val="00B61516"/>
    <w:rsid w:val="00B6161E"/>
    <w:rsid w:val="00B62657"/>
    <w:rsid w:val="00B62FCE"/>
    <w:rsid w:val="00B65BA0"/>
    <w:rsid w:val="00B6659E"/>
    <w:rsid w:val="00B669D1"/>
    <w:rsid w:val="00B67DF7"/>
    <w:rsid w:val="00B75517"/>
    <w:rsid w:val="00B763AB"/>
    <w:rsid w:val="00B77489"/>
    <w:rsid w:val="00B80202"/>
    <w:rsid w:val="00B82BDE"/>
    <w:rsid w:val="00B82CE2"/>
    <w:rsid w:val="00B82D7E"/>
    <w:rsid w:val="00B83BAD"/>
    <w:rsid w:val="00B84903"/>
    <w:rsid w:val="00B854CC"/>
    <w:rsid w:val="00B86E79"/>
    <w:rsid w:val="00B877AB"/>
    <w:rsid w:val="00B902D0"/>
    <w:rsid w:val="00B90620"/>
    <w:rsid w:val="00B92E45"/>
    <w:rsid w:val="00B93393"/>
    <w:rsid w:val="00B94457"/>
    <w:rsid w:val="00B95893"/>
    <w:rsid w:val="00B9700A"/>
    <w:rsid w:val="00B97A86"/>
    <w:rsid w:val="00B97CF9"/>
    <w:rsid w:val="00B97E0D"/>
    <w:rsid w:val="00BA0583"/>
    <w:rsid w:val="00BA0664"/>
    <w:rsid w:val="00BA06AF"/>
    <w:rsid w:val="00BA282A"/>
    <w:rsid w:val="00BA2F5B"/>
    <w:rsid w:val="00BA3EF9"/>
    <w:rsid w:val="00BA4082"/>
    <w:rsid w:val="00BA4B09"/>
    <w:rsid w:val="00BA591D"/>
    <w:rsid w:val="00BB0122"/>
    <w:rsid w:val="00BB07FC"/>
    <w:rsid w:val="00BB099F"/>
    <w:rsid w:val="00BB307D"/>
    <w:rsid w:val="00BB5895"/>
    <w:rsid w:val="00BB74A5"/>
    <w:rsid w:val="00BB75AF"/>
    <w:rsid w:val="00BC195E"/>
    <w:rsid w:val="00BC1CD5"/>
    <w:rsid w:val="00BC261C"/>
    <w:rsid w:val="00BC34B3"/>
    <w:rsid w:val="00BC3BFA"/>
    <w:rsid w:val="00BC40EC"/>
    <w:rsid w:val="00BC496E"/>
    <w:rsid w:val="00BC4FA2"/>
    <w:rsid w:val="00BC5DD5"/>
    <w:rsid w:val="00BC6DA5"/>
    <w:rsid w:val="00BD20D2"/>
    <w:rsid w:val="00BD242A"/>
    <w:rsid w:val="00BD29C8"/>
    <w:rsid w:val="00BD31D0"/>
    <w:rsid w:val="00BD3764"/>
    <w:rsid w:val="00BD5387"/>
    <w:rsid w:val="00BD66BA"/>
    <w:rsid w:val="00BD7ECC"/>
    <w:rsid w:val="00BE2385"/>
    <w:rsid w:val="00BE32DE"/>
    <w:rsid w:val="00BE4424"/>
    <w:rsid w:val="00BE4680"/>
    <w:rsid w:val="00BE5341"/>
    <w:rsid w:val="00BE5D13"/>
    <w:rsid w:val="00BE64BF"/>
    <w:rsid w:val="00BE70A4"/>
    <w:rsid w:val="00BE7C01"/>
    <w:rsid w:val="00BE7E9F"/>
    <w:rsid w:val="00BF1617"/>
    <w:rsid w:val="00BF1ADD"/>
    <w:rsid w:val="00BF2EF2"/>
    <w:rsid w:val="00BF2FC2"/>
    <w:rsid w:val="00BF381D"/>
    <w:rsid w:val="00BF3E8E"/>
    <w:rsid w:val="00BF542A"/>
    <w:rsid w:val="00BF5C75"/>
    <w:rsid w:val="00BF602F"/>
    <w:rsid w:val="00BF68EE"/>
    <w:rsid w:val="00BF69D8"/>
    <w:rsid w:val="00BF77DF"/>
    <w:rsid w:val="00BF79FE"/>
    <w:rsid w:val="00C001D3"/>
    <w:rsid w:val="00C007BA"/>
    <w:rsid w:val="00C00A9C"/>
    <w:rsid w:val="00C01BB5"/>
    <w:rsid w:val="00C0285D"/>
    <w:rsid w:val="00C048EF"/>
    <w:rsid w:val="00C05CBD"/>
    <w:rsid w:val="00C05F41"/>
    <w:rsid w:val="00C063A1"/>
    <w:rsid w:val="00C07899"/>
    <w:rsid w:val="00C113F3"/>
    <w:rsid w:val="00C11C6C"/>
    <w:rsid w:val="00C15011"/>
    <w:rsid w:val="00C15065"/>
    <w:rsid w:val="00C15285"/>
    <w:rsid w:val="00C174B3"/>
    <w:rsid w:val="00C213D1"/>
    <w:rsid w:val="00C21A25"/>
    <w:rsid w:val="00C2295C"/>
    <w:rsid w:val="00C22C2C"/>
    <w:rsid w:val="00C23E66"/>
    <w:rsid w:val="00C24169"/>
    <w:rsid w:val="00C242DD"/>
    <w:rsid w:val="00C2477F"/>
    <w:rsid w:val="00C26A69"/>
    <w:rsid w:val="00C27038"/>
    <w:rsid w:val="00C30A17"/>
    <w:rsid w:val="00C30AB5"/>
    <w:rsid w:val="00C31CDB"/>
    <w:rsid w:val="00C31F9D"/>
    <w:rsid w:val="00C33442"/>
    <w:rsid w:val="00C35A93"/>
    <w:rsid w:val="00C40C63"/>
    <w:rsid w:val="00C41427"/>
    <w:rsid w:val="00C41571"/>
    <w:rsid w:val="00C43493"/>
    <w:rsid w:val="00C435FE"/>
    <w:rsid w:val="00C44DCF"/>
    <w:rsid w:val="00C46366"/>
    <w:rsid w:val="00C468BD"/>
    <w:rsid w:val="00C509C0"/>
    <w:rsid w:val="00C50DBF"/>
    <w:rsid w:val="00C52194"/>
    <w:rsid w:val="00C540CC"/>
    <w:rsid w:val="00C54D04"/>
    <w:rsid w:val="00C55759"/>
    <w:rsid w:val="00C55E01"/>
    <w:rsid w:val="00C56D16"/>
    <w:rsid w:val="00C6243F"/>
    <w:rsid w:val="00C62970"/>
    <w:rsid w:val="00C62DB0"/>
    <w:rsid w:val="00C6387C"/>
    <w:rsid w:val="00C65C86"/>
    <w:rsid w:val="00C727C3"/>
    <w:rsid w:val="00C740F8"/>
    <w:rsid w:val="00C748C2"/>
    <w:rsid w:val="00C74BA9"/>
    <w:rsid w:val="00C7580C"/>
    <w:rsid w:val="00C77CF4"/>
    <w:rsid w:val="00C81DDE"/>
    <w:rsid w:val="00C82F40"/>
    <w:rsid w:val="00C83FA4"/>
    <w:rsid w:val="00C86B11"/>
    <w:rsid w:val="00C86C43"/>
    <w:rsid w:val="00C86EA7"/>
    <w:rsid w:val="00C86FB2"/>
    <w:rsid w:val="00C87C38"/>
    <w:rsid w:val="00C90C77"/>
    <w:rsid w:val="00C90FA5"/>
    <w:rsid w:val="00C912FB"/>
    <w:rsid w:val="00C92BAA"/>
    <w:rsid w:val="00C9302B"/>
    <w:rsid w:val="00C933FD"/>
    <w:rsid w:val="00C93EEC"/>
    <w:rsid w:val="00C9417E"/>
    <w:rsid w:val="00C944DA"/>
    <w:rsid w:val="00C94D20"/>
    <w:rsid w:val="00C97186"/>
    <w:rsid w:val="00CA040E"/>
    <w:rsid w:val="00CA0E9F"/>
    <w:rsid w:val="00CA28DC"/>
    <w:rsid w:val="00CA2F1D"/>
    <w:rsid w:val="00CA2FDE"/>
    <w:rsid w:val="00CA33EC"/>
    <w:rsid w:val="00CA41FB"/>
    <w:rsid w:val="00CA429C"/>
    <w:rsid w:val="00CA547F"/>
    <w:rsid w:val="00CA62FA"/>
    <w:rsid w:val="00CA6A71"/>
    <w:rsid w:val="00CA6D27"/>
    <w:rsid w:val="00CB0403"/>
    <w:rsid w:val="00CB34DC"/>
    <w:rsid w:val="00CB4711"/>
    <w:rsid w:val="00CB4A3F"/>
    <w:rsid w:val="00CB5FB8"/>
    <w:rsid w:val="00CB659D"/>
    <w:rsid w:val="00CB66E1"/>
    <w:rsid w:val="00CB7608"/>
    <w:rsid w:val="00CB7A06"/>
    <w:rsid w:val="00CB7AFB"/>
    <w:rsid w:val="00CB7C32"/>
    <w:rsid w:val="00CC08C3"/>
    <w:rsid w:val="00CC0F7B"/>
    <w:rsid w:val="00CC1226"/>
    <w:rsid w:val="00CC160E"/>
    <w:rsid w:val="00CC3062"/>
    <w:rsid w:val="00CC42CC"/>
    <w:rsid w:val="00CC61D4"/>
    <w:rsid w:val="00CC650D"/>
    <w:rsid w:val="00CC70AE"/>
    <w:rsid w:val="00CD0F2D"/>
    <w:rsid w:val="00CD1568"/>
    <w:rsid w:val="00CD270A"/>
    <w:rsid w:val="00CD456C"/>
    <w:rsid w:val="00CD53FC"/>
    <w:rsid w:val="00CD54FB"/>
    <w:rsid w:val="00CD6895"/>
    <w:rsid w:val="00CD77CC"/>
    <w:rsid w:val="00CD7B26"/>
    <w:rsid w:val="00CD7BE9"/>
    <w:rsid w:val="00CD7C3C"/>
    <w:rsid w:val="00CE0083"/>
    <w:rsid w:val="00CE0435"/>
    <w:rsid w:val="00CE20F7"/>
    <w:rsid w:val="00CE272B"/>
    <w:rsid w:val="00CE3301"/>
    <w:rsid w:val="00CE4F4E"/>
    <w:rsid w:val="00CE52B3"/>
    <w:rsid w:val="00CE56DF"/>
    <w:rsid w:val="00CE5C4D"/>
    <w:rsid w:val="00CE62AE"/>
    <w:rsid w:val="00CE6ED0"/>
    <w:rsid w:val="00CF0525"/>
    <w:rsid w:val="00CF1B2A"/>
    <w:rsid w:val="00CF2E35"/>
    <w:rsid w:val="00CF53AD"/>
    <w:rsid w:val="00CF6100"/>
    <w:rsid w:val="00CF6D33"/>
    <w:rsid w:val="00CF767D"/>
    <w:rsid w:val="00CF7773"/>
    <w:rsid w:val="00CF7B45"/>
    <w:rsid w:val="00D0000E"/>
    <w:rsid w:val="00D013A5"/>
    <w:rsid w:val="00D01468"/>
    <w:rsid w:val="00D01708"/>
    <w:rsid w:val="00D01D38"/>
    <w:rsid w:val="00D02DE5"/>
    <w:rsid w:val="00D03B5C"/>
    <w:rsid w:val="00D047DE"/>
    <w:rsid w:val="00D05FF5"/>
    <w:rsid w:val="00D06636"/>
    <w:rsid w:val="00D06CB1"/>
    <w:rsid w:val="00D06E8C"/>
    <w:rsid w:val="00D10025"/>
    <w:rsid w:val="00D11F9D"/>
    <w:rsid w:val="00D142DF"/>
    <w:rsid w:val="00D159B2"/>
    <w:rsid w:val="00D159C4"/>
    <w:rsid w:val="00D15CDE"/>
    <w:rsid w:val="00D15E55"/>
    <w:rsid w:val="00D178A8"/>
    <w:rsid w:val="00D17B0A"/>
    <w:rsid w:val="00D20380"/>
    <w:rsid w:val="00D21C80"/>
    <w:rsid w:val="00D21CEF"/>
    <w:rsid w:val="00D227C1"/>
    <w:rsid w:val="00D2582C"/>
    <w:rsid w:val="00D25ADF"/>
    <w:rsid w:val="00D25D7B"/>
    <w:rsid w:val="00D27445"/>
    <w:rsid w:val="00D27C1F"/>
    <w:rsid w:val="00D31719"/>
    <w:rsid w:val="00D343C2"/>
    <w:rsid w:val="00D34A62"/>
    <w:rsid w:val="00D34BF2"/>
    <w:rsid w:val="00D34FD8"/>
    <w:rsid w:val="00D36967"/>
    <w:rsid w:val="00D40395"/>
    <w:rsid w:val="00D40489"/>
    <w:rsid w:val="00D408E6"/>
    <w:rsid w:val="00D40CED"/>
    <w:rsid w:val="00D40D21"/>
    <w:rsid w:val="00D43508"/>
    <w:rsid w:val="00D44877"/>
    <w:rsid w:val="00D44AA1"/>
    <w:rsid w:val="00D461F0"/>
    <w:rsid w:val="00D46FD6"/>
    <w:rsid w:val="00D47103"/>
    <w:rsid w:val="00D4713C"/>
    <w:rsid w:val="00D50BB8"/>
    <w:rsid w:val="00D5165B"/>
    <w:rsid w:val="00D52C3E"/>
    <w:rsid w:val="00D52FA8"/>
    <w:rsid w:val="00D53B11"/>
    <w:rsid w:val="00D54540"/>
    <w:rsid w:val="00D54F33"/>
    <w:rsid w:val="00D5555D"/>
    <w:rsid w:val="00D5583E"/>
    <w:rsid w:val="00D559C5"/>
    <w:rsid w:val="00D563BD"/>
    <w:rsid w:val="00D56991"/>
    <w:rsid w:val="00D5737C"/>
    <w:rsid w:val="00D574EC"/>
    <w:rsid w:val="00D57852"/>
    <w:rsid w:val="00D57A20"/>
    <w:rsid w:val="00D60400"/>
    <w:rsid w:val="00D605FA"/>
    <w:rsid w:val="00D6175C"/>
    <w:rsid w:val="00D629F2"/>
    <w:rsid w:val="00D6384C"/>
    <w:rsid w:val="00D64536"/>
    <w:rsid w:val="00D649BC"/>
    <w:rsid w:val="00D662A0"/>
    <w:rsid w:val="00D669AA"/>
    <w:rsid w:val="00D71980"/>
    <w:rsid w:val="00D739A9"/>
    <w:rsid w:val="00D73AEC"/>
    <w:rsid w:val="00D7474C"/>
    <w:rsid w:val="00D75FED"/>
    <w:rsid w:val="00D82802"/>
    <w:rsid w:val="00D86C38"/>
    <w:rsid w:val="00D872DE"/>
    <w:rsid w:val="00D879A3"/>
    <w:rsid w:val="00D87A91"/>
    <w:rsid w:val="00D90610"/>
    <w:rsid w:val="00D92359"/>
    <w:rsid w:val="00D9235C"/>
    <w:rsid w:val="00D92DBB"/>
    <w:rsid w:val="00D931AC"/>
    <w:rsid w:val="00D9428D"/>
    <w:rsid w:val="00D95D4A"/>
    <w:rsid w:val="00D96E48"/>
    <w:rsid w:val="00D972B1"/>
    <w:rsid w:val="00D97734"/>
    <w:rsid w:val="00D97F80"/>
    <w:rsid w:val="00DA01A3"/>
    <w:rsid w:val="00DA05CA"/>
    <w:rsid w:val="00DA0AC5"/>
    <w:rsid w:val="00DA2633"/>
    <w:rsid w:val="00DA4ED7"/>
    <w:rsid w:val="00DA547F"/>
    <w:rsid w:val="00DA5729"/>
    <w:rsid w:val="00DA67EF"/>
    <w:rsid w:val="00DA701D"/>
    <w:rsid w:val="00DA70BA"/>
    <w:rsid w:val="00DA7AFB"/>
    <w:rsid w:val="00DB2D94"/>
    <w:rsid w:val="00DB2E6B"/>
    <w:rsid w:val="00DB3494"/>
    <w:rsid w:val="00DB4B7D"/>
    <w:rsid w:val="00DC0193"/>
    <w:rsid w:val="00DC097B"/>
    <w:rsid w:val="00DC0AE9"/>
    <w:rsid w:val="00DC257B"/>
    <w:rsid w:val="00DC29C1"/>
    <w:rsid w:val="00DC2AA9"/>
    <w:rsid w:val="00DC4C41"/>
    <w:rsid w:val="00DC5A64"/>
    <w:rsid w:val="00DC645C"/>
    <w:rsid w:val="00DD0318"/>
    <w:rsid w:val="00DD0B87"/>
    <w:rsid w:val="00DD1324"/>
    <w:rsid w:val="00DD2224"/>
    <w:rsid w:val="00DD3074"/>
    <w:rsid w:val="00DD30AA"/>
    <w:rsid w:val="00DD36E6"/>
    <w:rsid w:val="00DD37AC"/>
    <w:rsid w:val="00DD4609"/>
    <w:rsid w:val="00DD6BBD"/>
    <w:rsid w:val="00DD7B6D"/>
    <w:rsid w:val="00DD7D6A"/>
    <w:rsid w:val="00DD7F38"/>
    <w:rsid w:val="00DE065E"/>
    <w:rsid w:val="00DE18C3"/>
    <w:rsid w:val="00DE27E9"/>
    <w:rsid w:val="00DE5094"/>
    <w:rsid w:val="00DE5818"/>
    <w:rsid w:val="00DE7BB3"/>
    <w:rsid w:val="00DF1B0C"/>
    <w:rsid w:val="00DF1E8F"/>
    <w:rsid w:val="00DF341F"/>
    <w:rsid w:val="00DF3470"/>
    <w:rsid w:val="00DF3FBD"/>
    <w:rsid w:val="00DF4011"/>
    <w:rsid w:val="00DF45DC"/>
    <w:rsid w:val="00DF4DBC"/>
    <w:rsid w:val="00DF5C95"/>
    <w:rsid w:val="00E0134D"/>
    <w:rsid w:val="00E013D5"/>
    <w:rsid w:val="00E016B7"/>
    <w:rsid w:val="00E030B1"/>
    <w:rsid w:val="00E0570F"/>
    <w:rsid w:val="00E06970"/>
    <w:rsid w:val="00E07D47"/>
    <w:rsid w:val="00E109A5"/>
    <w:rsid w:val="00E12060"/>
    <w:rsid w:val="00E12199"/>
    <w:rsid w:val="00E1246F"/>
    <w:rsid w:val="00E13118"/>
    <w:rsid w:val="00E13B65"/>
    <w:rsid w:val="00E13EBD"/>
    <w:rsid w:val="00E13F2A"/>
    <w:rsid w:val="00E14E49"/>
    <w:rsid w:val="00E15353"/>
    <w:rsid w:val="00E17C9F"/>
    <w:rsid w:val="00E202CC"/>
    <w:rsid w:val="00E202F4"/>
    <w:rsid w:val="00E205BA"/>
    <w:rsid w:val="00E210FE"/>
    <w:rsid w:val="00E21E9B"/>
    <w:rsid w:val="00E22360"/>
    <w:rsid w:val="00E23335"/>
    <w:rsid w:val="00E234F9"/>
    <w:rsid w:val="00E24CC2"/>
    <w:rsid w:val="00E253EA"/>
    <w:rsid w:val="00E2781A"/>
    <w:rsid w:val="00E301A5"/>
    <w:rsid w:val="00E3614C"/>
    <w:rsid w:val="00E36A0C"/>
    <w:rsid w:val="00E36A1A"/>
    <w:rsid w:val="00E3716F"/>
    <w:rsid w:val="00E371C8"/>
    <w:rsid w:val="00E37373"/>
    <w:rsid w:val="00E40A6C"/>
    <w:rsid w:val="00E40BF5"/>
    <w:rsid w:val="00E432F5"/>
    <w:rsid w:val="00E43818"/>
    <w:rsid w:val="00E442FC"/>
    <w:rsid w:val="00E44E50"/>
    <w:rsid w:val="00E45366"/>
    <w:rsid w:val="00E511A0"/>
    <w:rsid w:val="00E53835"/>
    <w:rsid w:val="00E53DD6"/>
    <w:rsid w:val="00E54DD0"/>
    <w:rsid w:val="00E55C04"/>
    <w:rsid w:val="00E55DF2"/>
    <w:rsid w:val="00E56819"/>
    <w:rsid w:val="00E570E8"/>
    <w:rsid w:val="00E573C8"/>
    <w:rsid w:val="00E5748E"/>
    <w:rsid w:val="00E5753C"/>
    <w:rsid w:val="00E57F11"/>
    <w:rsid w:val="00E6063A"/>
    <w:rsid w:val="00E61D67"/>
    <w:rsid w:val="00E61E1E"/>
    <w:rsid w:val="00E65978"/>
    <w:rsid w:val="00E65B69"/>
    <w:rsid w:val="00E7495E"/>
    <w:rsid w:val="00E749F0"/>
    <w:rsid w:val="00E75715"/>
    <w:rsid w:val="00E76BE8"/>
    <w:rsid w:val="00E8020F"/>
    <w:rsid w:val="00E82596"/>
    <w:rsid w:val="00E8269C"/>
    <w:rsid w:val="00E833E7"/>
    <w:rsid w:val="00E907F4"/>
    <w:rsid w:val="00E939A9"/>
    <w:rsid w:val="00E955F5"/>
    <w:rsid w:val="00E960C0"/>
    <w:rsid w:val="00E97ABB"/>
    <w:rsid w:val="00EA014C"/>
    <w:rsid w:val="00EA0226"/>
    <w:rsid w:val="00EA1687"/>
    <w:rsid w:val="00EA241E"/>
    <w:rsid w:val="00EA287A"/>
    <w:rsid w:val="00EA2C69"/>
    <w:rsid w:val="00EA2C7B"/>
    <w:rsid w:val="00EA330F"/>
    <w:rsid w:val="00EA3913"/>
    <w:rsid w:val="00EA492C"/>
    <w:rsid w:val="00EA546F"/>
    <w:rsid w:val="00EB068F"/>
    <w:rsid w:val="00EB21F6"/>
    <w:rsid w:val="00EB2A2E"/>
    <w:rsid w:val="00EB2A90"/>
    <w:rsid w:val="00EB2CEA"/>
    <w:rsid w:val="00EB34FB"/>
    <w:rsid w:val="00EB39C6"/>
    <w:rsid w:val="00EB3A35"/>
    <w:rsid w:val="00EB3F70"/>
    <w:rsid w:val="00EB4577"/>
    <w:rsid w:val="00EB4672"/>
    <w:rsid w:val="00EB6602"/>
    <w:rsid w:val="00EB7C38"/>
    <w:rsid w:val="00EC192C"/>
    <w:rsid w:val="00EC1D0C"/>
    <w:rsid w:val="00EC4084"/>
    <w:rsid w:val="00EC4E54"/>
    <w:rsid w:val="00EC6A01"/>
    <w:rsid w:val="00EC6C95"/>
    <w:rsid w:val="00ED1C78"/>
    <w:rsid w:val="00ED2C80"/>
    <w:rsid w:val="00ED2ECA"/>
    <w:rsid w:val="00ED3065"/>
    <w:rsid w:val="00ED34D4"/>
    <w:rsid w:val="00ED45F2"/>
    <w:rsid w:val="00ED673D"/>
    <w:rsid w:val="00ED6A70"/>
    <w:rsid w:val="00ED6BCA"/>
    <w:rsid w:val="00ED6FFA"/>
    <w:rsid w:val="00EE0020"/>
    <w:rsid w:val="00EE0128"/>
    <w:rsid w:val="00EE0CF4"/>
    <w:rsid w:val="00EE1B7B"/>
    <w:rsid w:val="00EE1C9E"/>
    <w:rsid w:val="00EE2346"/>
    <w:rsid w:val="00EE2D7A"/>
    <w:rsid w:val="00EE3143"/>
    <w:rsid w:val="00EE3470"/>
    <w:rsid w:val="00EE35D4"/>
    <w:rsid w:val="00EE4179"/>
    <w:rsid w:val="00EE75AF"/>
    <w:rsid w:val="00EE7A56"/>
    <w:rsid w:val="00EF2E52"/>
    <w:rsid w:val="00EF3129"/>
    <w:rsid w:val="00EF3B15"/>
    <w:rsid w:val="00EF45E5"/>
    <w:rsid w:val="00EF4832"/>
    <w:rsid w:val="00EF4BC6"/>
    <w:rsid w:val="00EF64C7"/>
    <w:rsid w:val="00EF6574"/>
    <w:rsid w:val="00EF69A0"/>
    <w:rsid w:val="00EF78D5"/>
    <w:rsid w:val="00EF7CD8"/>
    <w:rsid w:val="00EF7FF3"/>
    <w:rsid w:val="00F00046"/>
    <w:rsid w:val="00F00172"/>
    <w:rsid w:val="00F010C6"/>
    <w:rsid w:val="00F034B2"/>
    <w:rsid w:val="00F03A3A"/>
    <w:rsid w:val="00F044D3"/>
    <w:rsid w:val="00F066BF"/>
    <w:rsid w:val="00F06E37"/>
    <w:rsid w:val="00F06F67"/>
    <w:rsid w:val="00F10C04"/>
    <w:rsid w:val="00F10FEA"/>
    <w:rsid w:val="00F11255"/>
    <w:rsid w:val="00F11498"/>
    <w:rsid w:val="00F11C72"/>
    <w:rsid w:val="00F124E7"/>
    <w:rsid w:val="00F13AF5"/>
    <w:rsid w:val="00F1544B"/>
    <w:rsid w:val="00F156B4"/>
    <w:rsid w:val="00F15772"/>
    <w:rsid w:val="00F2131E"/>
    <w:rsid w:val="00F22381"/>
    <w:rsid w:val="00F24F51"/>
    <w:rsid w:val="00F26967"/>
    <w:rsid w:val="00F27178"/>
    <w:rsid w:val="00F276D3"/>
    <w:rsid w:val="00F27C26"/>
    <w:rsid w:val="00F30049"/>
    <w:rsid w:val="00F31290"/>
    <w:rsid w:val="00F31D6B"/>
    <w:rsid w:val="00F3313D"/>
    <w:rsid w:val="00F33841"/>
    <w:rsid w:val="00F348C4"/>
    <w:rsid w:val="00F36FF2"/>
    <w:rsid w:val="00F41228"/>
    <w:rsid w:val="00F413EE"/>
    <w:rsid w:val="00F41C75"/>
    <w:rsid w:val="00F41E01"/>
    <w:rsid w:val="00F42493"/>
    <w:rsid w:val="00F42FD9"/>
    <w:rsid w:val="00F44E85"/>
    <w:rsid w:val="00F4543B"/>
    <w:rsid w:val="00F46053"/>
    <w:rsid w:val="00F46CDD"/>
    <w:rsid w:val="00F470B1"/>
    <w:rsid w:val="00F470C9"/>
    <w:rsid w:val="00F506B7"/>
    <w:rsid w:val="00F52460"/>
    <w:rsid w:val="00F53DCC"/>
    <w:rsid w:val="00F54BD7"/>
    <w:rsid w:val="00F55FD9"/>
    <w:rsid w:val="00F572EE"/>
    <w:rsid w:val="00F5748F"/>
    <w:rsid w:val="00F57B5E"/>
    <w:rsid w:val="00F6425E"/>
    <w:rsid w:val="00F651C3"/>
    <w:rsid w:val="00F66195"/>
    <w:rsid w:val="00F66D9A"/>
    <w:rsid w:val="00F70596"/>
    <w:rsid w:val="00F7068F"/>
    <w:rsid w:val="00F752FE"/>
    <w:rsid w:val="00F800F8"/>
    <w:rsid w:val="00F8043E"/>
    <w:rsid w:val="00F808E7"/>
    <w:rsid w:val="00F82570"/>
    <w:rsid w:val="00F82AAE"/>
    <w:rsid w:val="00F83D3C"/>
    <w:rsid w:val="00F8410F"/>
    <w:rsid w:val="00F84DCA"/>
    <w:rsid w:val="00F85D65"/>
    <w:rsid w:val="00F862CB"/>
    <w:rsid w:val="00F86D96"/>
    <w:rsid w:val="00F8784F"/>
    <w:rsid w:val="00F90F96"/>
    <w:rsid w:val="00F91B9F"/>
    <w:rsid w:val="00F92ACC"/>
    <w:rsid w:val="00F92BED"/>
    <w:rsid w:val="00F94AAD"/>
    <w:rsid w:val="00F955DB"/>
    <w:rsid w:val="00F967D5"/>
    <w:rsid w:val="00FA145B"/>
    <w:rsid w:val="00FA400D"/>
    <w:rsid w:val="00FA69BC"/>
    <w:rsid w:val="00FB12F1"/>
    <w:rsid w:val="00FB1F12"/>
    <w:rsid w:val="00FB475F"/>
    <w:rsid w:val="00FB54FA"/>
    <w:rsid w:val="00FB65E5"/>
    <w:rsid w:val="00FB7A2A"/>
    <w:rsid w:val="00FB7AFE"/>
    <w:rsid w:val="00FC0646"/>
    <w:rsid w:val="00FC194E"/>
    <w:rsid w:val="00FC2A5D"/>
    <w:rsid w:val="00FC30C6"/>
    <w:rsid w:val="00FC39F7"/>
    <w:rsid w:val="00FC3A2C"/>
    <w:rsid w:val="00FC63C7"/>
    <w:rsid w:val="00FC7146"/>
    <w:rsid w:val="00FC76A2"/>
    <w:rsid w:val="00FD0511"/>
    <w:rsid w:val="00FD057D"/>
    <w:rsid w:val="00FD11ED"/>
    <w:rsid w:val="00FD1414"/>
    <w:rsid w:val="00FD18F5"/>
    <w:rsid w:val="00FD40B4"/>
    <w:rsid w:val="00FD5F9B"/>
    <w:rsid w:val="00FD6BD8"/>
    <w:rsid w:val="00FE1B44"/>
    <w:rsid w:val="00FE3495"/>
    <w:rsid w:val="00FE4758"/>
    <w:rsid w:val="00FE5296"/>
    <w:rsid w:val="00FE55F1"/>
    <w:rsid w:val="00FE63B2"/>
    <w:rsid w:val="00FE6725"/>
    <w:rsid w:val="00FF2BE3"/>
    <w:rsid w:val="00FF3B3C"/>
    <w:rsid w:val="00FF3DD8"/>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C87C38"/>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EE3143"/>
    <w:pPr>
      <w:numPr>
        <w:numId w:val="12"/>
      </w:numPr>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EE3143"/>
    <w:rPr>
      <w:color w:val="000000"/>
      <w:sz w:val="24"/>
      <w:szCs w:val="24"/>
      <w:lang w:val="en-AU" w:eastAsia="en-AU"/>
    </w:rPr>
  </w:style>
  <w:style w:type="paragraph" w:customStyle="1" w:styleId="Chapter8Char">
    <w:name w:val="Chapter8 Char"/>
    <w:basedOn w:val="Normal"/>
    <w:link w:val="Chapter8CharChar"/>
    <w:rsid w:val="00311DBB"/>
    <w:pPr>
      <w:numPr>
        <w:numId w:val="14"/>
      </w:numPr>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2E4F15"/>
    <w:pPr>
      <w:numPr>
        <w:numId w:val="4"/>
      </w:numPr>
    </w:pPr>
    <w:rPr>
      <w:szCs w:val="24"/>
      <w:lang w:val="en-AU"/>
    </w:rPr>
  </w:style>
  <w:style w:type="character" w:customStyle="1" w:styleId="Chapter9CharChar">
    <w:name w:val="Chapter9 Char Char"/>
    <w:basedOn w:val="DefaultParagraphFont"/>
    <w:link w:val="Chapter9Char"/>
    <w:rsid w:val="002E4F15"/>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A76AD1"/>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qFormat/>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qFormat/>
    <w:rsid w:val="001850FE"/>
    <w:pPr>
      <w:tabs>
        <w:tab w:val="left" w:pos="1701"/>
        <w:tab w:val="right" w:pos="8301"/>
      </w:tabs>
      <w:spacing w:before="40" w:after="40"/>
      <w:ind w:left="1701"/>
      <w:jc w:val="left"/>
    </w:pPr>
    <w:rPr>
      <w:noProof/>
      <w:sz w:val="22"/>
      <w:szCs w:val="24"/>
      <w:lang w:val="en-NZ"/>
    </w:rPr>
  </w:style>
  <w:style w:type="paragraph" w:styleId="TOC3">
    <w:name w:val="toc 3"/>
    <w:basedOn w:val="Normal"/>
    <w:next w:val="Normal"/>
    <w:autoRedefine/>
    <w:uiPriority w:val="39"/>
    <w:qFormat/>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87C38"/>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customStyle="1" w:styleId="TRBodyTextChar">
    <w:name w:val="_TRBody Text Char"/>
    <w:link w:val="TRBodyTextCharChar"/>
    <w:rsid w:val="00D21C80"/>
    <w:pPr>
      <w:spacing w:line="300" w:lineRule="atLeast"/>
      <w:jc w:val="both"/>
    </w:pPr>
    <w:rPr>
      <w:sz w:val="24"/>
      <w:lang w:eastAsia="en-AU"/>
    </w:rPr>
  </w:style>
  <w:style w:type="character" w:customStyle="1" w:styleId="TRBodyTextCharChar">
    <w:name w:val="_TRBody Text Char Char"/>
    <w:basedOn w:val="DefaultParagraphFont"/>
    <w:link w:val="TRBodyTextChar"/>
    <w:rsid w:val="00D21C80"/>
    <w:rPr>
      <w:sz w:val="24"/>
      <w:lang w:eastAsia="en-AU"/>
    </w:rPr>
  </w:style>
  <w:style w:type="paragraph" w:styleId="ListParagraph">
    <w:name w:val="List Paragraph"/>
    <w:basedOn w:val="Normal"/>
    <w:uiPriority w:val="34"/>
    <w:qFormat/>
    <w:rsid w:val="006B6AF5"/>
    <w:pPr>
      <w:ind w:left="720"/>
      <w:contextualSpacing/>
    </w:pPr>
  </w:style>
  <w:style w:type="paragraph" w:customStyle="1" w:styleId="TRHeading2">
    <w:name w:val="_TRHeading 2"/>
    <w:basedOn w:val="Normal"/>
    <w:next w:val="TRNormal"/>
    <w:rsid w:val="00CD456C"/>
    <w:pPr>
      <w:keepNext/>
      <w:widowControl w:val="0"/>
      <w:spacing w:before="560" w:after="360"/>
      <w:jc w:val="left"/>
    </w:pPr>
    <w:rPr>
      <w:b/>
      <w:lang w:val="en-NZ"/>
    </w:rPr>
  </w:style>
  <w:style w:type="paragraph" w:customStyle="1" w:styleId="Default">
    <w:name w:val="Default"/>
    <w:rsid w:val="00767394"/>
    <w:pPr>
      <w:autoSpaceDE w:val="0"/>
      <w:autoSpaceDN w:val="0"/>
      <w:adjustRightInd w:val="0"/>
    </w:pPr>
    <w:rPr>
      <w:color w:val="000000"/>
      <w:sz w:val="24"/>
      <w:szCs w:val="24"/>
    </w:rPr>
  </w:style>
  <w:style w:type="paragraph" w:customStyle="1" w:styleId="BodyText1">
    <w:name w:val="Body Text1"/>
    <w:rsid w:val="00DF341F"/>
    <w:rPr>
      <w:rFonts w:ascii="Verdana" w:hAnsi="Verdana" w:cs="Arial"/>
      <w:lang w:eastAsia="en-AU"/>
    </w:rPr>
  </w:style>
  <w:style w:type="character" w:customStyle="1" w:styleId="FootnoteTextChar">
    <w:name w:val="Footnote Text Char"/>
    <w:basedOn w:val="DefaultParagraphFont"/>
    <w:link w:val="FootnoteText"/>
    <w:uiPriority w:val="99"/>
    <w:semiHidden/>
    <w:rsid w:val="005827EA"/>
    <w:rPr>
      <w:rFonts w:eastAsia="MS Mincho"/>
      <w:sz w:val="18"/>
      <w:szCs w:val="18"/>
      <w:lang w:eastAsia="ja-JP"/>
    </w:rPr>
  </w:style>
  <w:style w:type="numbering" w:customStyle="1" w:styleId="Style1">
    <w:name w:val="Style1"/>
    <w:uiPriority w:val="99"/>
    <w:rsid w:val="00D50BB8"/>
    <w:pPr>
      <w:numPr>
        <w:numId w:val="19"/>
      </w:numPr>
    </w:pPr>
  </w:style>
  <w:style w:type="numbering" w:customStyle="1" w:styleId="Style2">
    <w:name w:val="Style2"/>
    <w:uiPriority w:val="99"/>
    <w:rsid w:val="00EC6A01"/>
    <w:pPr>
      <w:numPr>
        <w:numId w:val="20"/>
      </w:numPr>
    </w:pPr>
  </w:style>
  <w:style w:type="paragraph" w:styleId="TOCHeading">
    <w:name w:val="TOC Heading"/>
    <w:basedOn w:val="Heading1"/>
    <w:next w:val="Normal"/>
    <w:uiPriority w:val="39"/>
    <w:semiHidden/>
    <w:unhideWhenUsed/>
    <w:qFormat/>
    <w:rsid w:val="00C87C38"/>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Revision">
    <w:name w:val="Revision"/>
    <w:hidden/>
    <w:uiPriority w:val="99"/>
    <w:semiHidden/>
    <w:rsid w:val="00C6243F"/>
    <w:rPr>
      <w:sz w:val="24"/>
      <w:lang w:val="en-GB" w:eastAsia="en-AU"/>
    </w:rPr>
  </w:style>
  <w:style w:type="paragraph" w:customStyle="1" w:styleId="List-Bullet-Noindent">
    <w:name w:val="List - Bullet - No indent"/>
    <w:basedOn w:val="Normal"/>
    <w:qFormat/>
    <w:rsid w:val="00B05A15"/>
    <w:pPr>
      <w:numPr>
        <w:numId w:val="72"/>
      </w:numPr>
      <w:tabs>
        <w:tab w:val="left" w:pos="567"/>
      </w:tabs>
      <w:spacing w:after="140"/>
      <w:ind w:left="567" w:hanging="567"/>
    </w:pPr>
    <w:rPr>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C87C38"/>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EE3143"/>
    <w:pPr>
      <w:numPr>
        <w:numId w:val="12"/>
      </w:numPr>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EE3143"/>
    <w:rPr>
      <w:color w:val="000000"/>
      <w:sz w:val="24"/>
      <w:szCs w:val="24"/>
      <w:lang w:val="en-AU" w:eastAsia="en-AU"/>
    </w:rPr>
  </w:style>
  <w:style w:type="paragraph" w:customStyle="1" w:styleId="Chapter8Char">
    <w:name w:val="Chapter8 Char"/>
    <w:basedOn w:val="Normal"/>
    <w:link w:val="Chapter8CharChar"/>
    <w:rsid w:val="00311DBB"/>
    <w:pPr>
      <w:numPr>
        <w:numId w:val="14"/>
      </w:numPr>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2E4F15"/>
    <w:pPr>
      <w:numPr>
        <w:numId w:val="4"/>
      </w:numPr>
    </w:pPr>
    <w:rPr>
      <w:szCs w:val="24"/>
      <w:lang w:val="en-AU"/>
    </w:rPr>
  </w:style>
  <w:style w:type="character" w:customStyle="1" w:styleId="Chapter9CharChar">
    <w:name w:val="Chapter9 Char Char"/>
    <w:basedOn w:val="DefaultParagraphFont"/>
    <w:link w:val="Chapter9Char"/>
    <w:rsid w:val="002E4F15"/>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A76AD1"/>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qFormat/>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qFormat/>
    <w:rsid w:val="001850FE"/>
    <w:pPr>
      <w:tabs>
        <w:tab w:val="left" w:pos="1701"/>
        <w:tab w:val="right" w:pos="8301"/>
      </w:tabs>
      <w:spacing w:before="40" w:after="40"/>
      <w:ind w:left="1701"/>
      <w:jc w:val="left"/>
    </w:pPr>
    <w:rPr>
      <w:noProof/>
      <w:sz w:val="22"/>
      <w:szCs w:val="24"/>
      <w:lang w:val="en-NZ"/>
    </w:rPr>
  </w:style>
  <w:style w:type="paragraph" w:styleId="TOC3">
    <w:name w:val="toc 3"/>
    <w:basedOn w:val="Normal"/>
    <w:next w:val="Normal"/>
    <w:autoRedefine/>
    <w:uiPriority w:val="39"/>
    <w:qFormat/>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87C38"/>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customStyle="1" w:styleId="TRBodyTextChar">
    <w:name w:val="_TRBody Text Char"/>
    <w:link w:val="TRBodyTextCharChar"/>
    <w:rsid w:val="00D21C80"/>
    <w:pPr>
      <w:spacing w:line="300" w:lineRule="atLeast"/>
      <w:jc w:val="both"/>
    </w:pPr>
    <w:rPr>
      <w:sz w:val="24"/>
      <w:lang w:eastAsia="en-AU"/>
    </w:rPr>
  </w:style>
  <w:style w:type="character" w:customStyle="1" w:styleId="TRBodyTextCharChar">
    <w:name w:val="_TRBody Text Char Char"/>
    <w:basedOn w:val="DefaultParagraphFont"/>
    <w:link w:val="TRBodyTextChar"/>
    <w:rsid w:val="00D21C80"/>
    <w:rPr>
      <w:sz w:val="24"/>
      <w:lang w:eastAsia="en-AU"/>
    </w:rPr>
  </w:style>
  <w:style w:type="paragraph" w:styleId="ListParagraph">
    <w:name w:val="List Paragraph"/>
    <w:basedOn w:val="Normal"/>
    <w:uiPriority w:val="34"/>
    <w:qFormat/>
    <w:rsid w:val="006B6AF5"/>
    <w:pPr>
      <w:ind w:left="720"/>
      <w:contextualSpacing/>
    </w:pPr>
  </w:style>
  <w:style w:type="paragraph" w:customStyle="1" w:styleId="TRHeading2">
    <w:name w:val="_TRHeading 2"/>
    <w:basedOn w:val="Normal"/>
    <w:next w:val="TRNormal"/>
    <w:rsid w:val="00CD456C"/>
    <w:pPr>
      <w:keepNext/>
      <w:widowControl w:val="0"/>
      <w:spacing w:before="560" w:after="360"/>
      <w:jc w:val="left"/>
    </w:pPr>
    <w:rPr>
      <w:b/>
      <w:lang w:val="en-NZ"/>
    </w:rPr>
  </w:style>
  <w:style w:type="paragraph" w:customStyle="1" w:styleId="Default">
    <w:name w:val="Default"/>
    <w:rsid w:val="00767394"/>
    <w:pPr>
      <w:autoSpaceDE w:val="0"/>
      <w:autoSpaceDN w:val="0"/>
      <w:adjustRightInd w:val="0"/>
    </w:pPr>
    <w:rPr>
      <w:color w:val="000000"/>
      <w:sz w:val="24"/>
      <w:szCs w:val="24"/>
    </w:rPr>
  </w:style>
  <w:style w:type="paragraph" w:customStyle="1" w:styleId="BodyText1">
    <w:name w:val="Body Text1"/>
    <w:rsid w:val="00DF341F"/>
    <w:rPr>
      <w:rFonts w:ascii="Verdana" w:hAnsi="Verdana" w:cs="Arial"/>
      <w:lang w:eastAsia="en-AU"/>
    </w:rPr>
  </w:style>
  <w:style w:type="character" w:customStyle="1" w:styleId="FootnoteTextChar">
    <w:name w:val="Footnote Text Char"/>
    <w:basedOn w:val="DefaultParagraphFont"/>
    <w:link w:val="FootnoteText"/>
    <w:uiPriority w:val="99"/>
    <w:semiHidden/>
    <w:rsid w:val="005827EA"/>
    <w:rPr>
      <w:rFonts w:eastAsia="MS Mincho"/>
      <w:sz w:val="18"/>
      <w:szCs w:val="18"/>
      <w:lang w:eastAsia="ja-JP"/>
    </w:rPr>
  </w:style>
  <w:style w:type="numbering" w:customStyle="1" w:styleId="Style1">
    <w:name w:val="Style1"/>
    <w:uiPriority w:val="99"/>
    <w:rsid w:val="00D50BB8"/>
    <w:pPr>
      <w:numPr>
        <w:numId w:val="19"/>
      </w:numPr>
    </w:pPr>
  </w:style>
  <w:style w:type="numbering" w:customStyle="1" w:styleId="Style2">
    <w:name w:val="Style2"/>
    <w:uiPriority w:val="99"/>
    <w:rsid w:val="00EC6A01"/>
    <w:pPr>
      <w:numPr>
        <w:numId w:val="20"/>
      </w:numPr>
    </w:pPr>
  </w:style>
  <w:style w:type="paragraph" w:styleId="TOCHeading">
    <w:name w:val="TOC Heading"/>
    <w:basedOn w:val="Heading1"/>
    <w:next w:val="Normal"/>
    <w:uiPriority w:val="39"/>
    <w:semiHidden/>
    <w:unhideWhenUsed/>
    <w:qFormat/>
    <w:rsid w:val="00C87C38"/>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Revision">
    <w:name w:val="Revision"/>
    <w:hidden/>
    <w:uiPriority w:val="99"/>
    <w:semiHidden/>
    <w:rsid w:val="00C6243F"/>
    <w:rPr>
      <w:sz w:val="24"/>
      <w:lang w:val="en-GB" w:eastAsia="en-AU"/>
    </w:rPr>
  </w:style>
  <w:style w:type="paragraph" w:customStyle="1" w:styleId="List-Bullet-Noindent">
    <w:name w:val="List - Bullet - No indent"/>
    <w:basedOn w:val="Normal"/>
    <w:qFormat/>
    <w:rsid w:val="00B05A15"/>
    <w:pPr>
      <w:numPr>
        <w:numId w:val="72"/>
      </w:numPr>
      <w:tabs>
        <w:tab w:val="left" w:pos="567"/>
      </w:tabs>
      <w:spacing w:after="140"/>
      <w:ind w:left="567" w:hanging="567"/>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534854181">
      <w:bodyDiv w:val="1"/>
      <w:marLeft w:val="0"/>
      <w:marRight w:val="0"/>
      <w:marTop w:val="0"/>
      <w:marBottom w:val="0"/>
      <w:divBdr>
        <w:top w:val="none" w:sz="0" w:space="0" w:color="auto"/>
        <w:left w:val="none" w:sz="0" w:space="0" w:color="auto"/>
        <w:bottom w:val="none" w:sz="0" w:space="0" w:color="auto"/>
        <w:right w:val="none" w:sz="0" w:space="0" w:color="auto"/>
      </w:divBdr>
    </w:div>
    <w:div w:id="534855889">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264604302">
      <w:bodyDiv w:val="1"/>
      <w:marLeft w:val="0"/>
      <w:marRight w:val="0"/>
      <w:marTop w:val="0"/>
      <w:marBottom w:val="0"/>
      <w:divBdr>
        <w:top w:val="none" w:sz="0" w:space="0" w:color="auto"/>
        <w:left w:val="none" w:sz="0" w:space="0" w:color="auto"/>
        <w:bottom w:val="none" w:sz="0" w:space="0" w:color="auto"/>
        <w:right w:val="none" w:sz="0" w:space="0" w:color="auto"/>
      </w:divBdr>
    </w:div>
    <w:div w:id="1383165912">
      <w:bodyDiv w:val="1"/>
      <w:marLeft w:val="0"/>
      <w:marRight w:val="0"/>
      <w:marTop w:val="0"/>
      <w:marBottom w:val="0"/>
      <w:divBdr>
        <w:top w:val="none" w:sz="0" w:space="0" w:color="auto"/>
        <w:left w:val="none" w:sz="0" w:space="0" w:color="auto"/>
        <w:bottom w:val="none" w:sz="0" w:space="0" w:color="auto"/>
        <w:right w:val="none" w:sz="0" w:space="0" w:color="auto"/>
      </w:divBdr>
    </w:div>
    <w:div w:id="1571309649">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699352470">
      <w:bodyDiv w:val="1"/>
      <w:marLeft w:val="0"/>
      <w:marRight w:val="0"/>
      <w:marTop w:val="0"/>
      <w:marBottom w:val="0"/>
      <w:divBdr>
        <w:top w:val="none" w:sz="0" w:space="0" w:color="auto"/>
        <w:left w:val="none" w:sz="0" w:space="0" w:color="auto"/>
        <w:bottom w:val="none" w:sz="0" w:space="0" w:color="auto"/>
        <w:right w:val="none" w:sz="0" w:space="0" w:color="auto"/>
      </w:divBdr>
    </w:div>
    <w:div w:id="1715541806">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webmaster@ird.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D20D-FB62-488A-B68A-356197DD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9175</Words>
  <Characters>45787</Characters>
  <Application>Microsoft Office Word</Application>
  <DocSecurity>0</DocSecurity>
  <Lines>1308</Lines>
  <Paragraphs>384</Paragraphs>
  <ScaleCrop>false</ScaleCrop>
  <HeadingPairs>
    <vt:vector size="2" baseType="variant">
      <vt:variant>
        <vt:lpstr>Title</vt:lpstr>
      </vt:variant>
      <vt:variant>
        <vt:i4>1</vt:i4>
      </vt:variant>
    </vt:vector>
  </HeadingPairs>
  <TitlesOfParts>
    <vt:vector size="1" baseType="lpstr">
      <vt:lpstr>Taxation of employee share schemes: start-up companies (May 2017)</vt:lpstr>
    </vt:vector>
  </TitlesOfParts>
  <Company>Inland Revenue</Company>
  <LinksUpToDate>false</LinksUpToDate>
  <CharactersWithSpaces>54578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employee share schemes: start-up companies (May 2017)</dc:title>
  <dc:creator>Policy and Strategy</dc:creator>
  <cp:lastModifiedBy>Wendy Watkin</cp:lastModifiedBy>
  <cp:revision>2</cp:revision>
  <dcterms:created xsi:type="dcterms:W3CDTF">2017-05-29T04:51:00Z</dcterms:created>
  <dcterms:modified xsi:type="dcterms:W3CDTF">2017-05-29T04:51:00Z</dcterms:modified>
</cp:coreProperties>
</file>