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D8" w:rsidRPr="00F64C06" w:rsidRDefault="00CD281B" w:rsidP="005A3CD8">
      <w:pPr>
        <w:autoSpaceDE w:val="0"/>
        <w:autoSpaceDN w:val="0"/>
        <w:adjustRightInd w:val="0"/>
        <w:jc w:val="left"/>
        <w:rPr>
          <w:szCs w:val="24"/>
        </w:rPr>
      </w:pPr>
      <w:bookmarkStart w:id="0" w:name="_GoBack"/>
      <w:bookmarkEnd w:id="0"/>
      <w:r>
        <w:rPr>
          <w:szCs w:val="24"/>
        </w:rPr>
        <w:t>July</w:t>
      </w:r>
      <w:r w:rsidR="00931BCF">
        <w:rPr>
          <w:szCs w:val="24"/>
        </w:rPr>
        <w:t xml:space="preserve"> </w:t>
      </w:r>
      <w:r w:rsidR="003107A4">
        <w:rPr>
          <w:szCs w:val="24"/>
        </w:rPr>
        <w:t>201</w:t>
      </w:r>
      <w:r w:rsidR="00F06C3F">
        <w:rPr>
          <w:szCs w:val="24"/>
        </w:rPr>
        <w:t>6</w:t>
      </w:r>
    </w:p>
    <w:p w:rsidR="005A3CD8" w:rsidRPr="00F64C06" w:rsidRDefault="005A3CD8" w:rsidP="005A3CD8">
      <w:pPr>
        <w:autoSpaceDE w:val="0"/>
        <w:autoSpaceDN w:val="0"/>
        <w:adjustRightInd w:val="0"/>
        <w:rPr>
          <w:i/>
          <w:iCs/>
          <w:sz w:val="28"/>
          <w:szCs w:val="28"/>
        </w:rPr>
      </w:pPr>
    </w:p>
    <w:p w:rsidR="005A3CD8" w:rsidRPr="00F64C06" w:rsidRDefault="005A3CD8" w:rsidP="005A3CD8">
      <w:pPr>
        <w:autoSpaceDE w:val="0"/>
        <w:autoSpaceDN w:val="0"/>
        <w:adjustRightInd w:val="0"/>
        <w:rPr>
          <w:i/>
          <w:iCs/>
          <w:sz w:val="28"/>
          <w:szCs w:val="28"/>
        </w:rPr>
      </w:pPr>
      <w:r w:rsidRPr="00F64C06">
        <w:rPr>
          <w:i/>
          <w:iCs/>
          <w:sz w:val="28"/>
          <w:szCs w:val="28"/>
        </w:rPr>
        <w:t>A special report from</w:t>
      </w:r>
    </w:p>
    <w:p w:rsidR="005A3CD8" w:rsidRPr="00F64C06" w:rsidRDefault="005A3CD8" w:rsidP="005A3CD8">
      <w:pPr>
        <w:rPr>
          <w:sz w:val="28"/>
          <w:szCs w:val="28"/>
        </w:rPr>
      </w:pPr>
      <w:r w:rsidRPr="00F64C06">
        <w:rPr>
          <w:sz w:val="28"/>
          <w:szCs w:val="28"/>
        </w:rPr>
        <w:t>Policy and Strategy, Inland Revenue</w:t>
      </w:r>
    </w:p>
    <w:p w:rsidR="005A3CD8" w:rsidRPr="00F64C06" w:rsidRDefault="005A3CD8" w:rsidP="005A3CD8">
      <w:pPr>
        <w:rPr>
          <w:sz w:val="28"/>
          <w:szCs w:val="28"/>
        </w:rPr>
      </w:pPr>
    </w:p>
    <w:p w:rsidR="005A3CD8" w:rsidRDefault="005A3CD8" w:rsidP="005A3CD8">
      <w:pPr>
        <w:rPr>
          <w:szCs w:val="24"/>
        </w:rPr>
      </w:pPr>
    </w:p>
    <w:p w:rsidR="005A3CD8" w:rsidRPr="00CE6886" w:rsidRDefault="0068372C" w:rsidP="00CE6886">
      <w:pPr>
        <w:pStyle w:val="Title"/>
      </w:pPr>
      <w:r w:rsidRPr="00CE6886">
        <w:t>Simplifying the collection of tax on employee share schemes</w:t>
      </w:r>
    </w:p>
    <w:p w:rsidR="005A3CD8" w:rsidRDefault="005A3CD8" w:rsidP="005A3CD8">
      <w:pPr>
        <w:rPr>
          <w:szCs w:val="24"/>
        </w:rPr>
      </w:pPr>
    </w:p>
    <w:p w:rsidR="00736E7B" w:rsidRPr="000509C9" w:rsidRDefault="00736E7B" w:rsidP="00736E7B">
      <w:pPr>
        <w:rPr>
          <w:szCs w:val="24"/>
        </w:rPr>
      </w:pPr>
    </w:p>
    <w:p w:rsidR="00736E7B" w:rsidRPr="00CE6886" w:rsidRDefault="00736E7B" w:rsidP="00CE6886">
      <w:pPr>
        <w:pStyle w:val="Amendmentreferences"/>
      </w:pPr>
      <w:r w:rsidRPr="00CE6886">
        <w:t>Sections CE 2, RD 6, RD 7, RD 7B, of the Income Tax Act 2007; section 46</w:t>
      </w:r>
      <w:r w:rsidR="00352B3C" w:rsidRPr="00CE6886">
        <w:t>(6B)</w:t>
      </w:r>
      <w:r w:rsidRPr="00CE6886">
        <w:t xml:space="preserve"> of the Tax Administration Act 1994; section 4 of the Kiwi</w:t>
      </w:r>
      <w:r w:rsidR="008A1762" w:rsidRPr="00CE6886">
        <w:t>S</w:t>
      </w:r>
      <w:r w:rsidRPr="00CE6886">
        <w:t>aver Act 2006; sections 11 and 15 of the Accident Compensation Act 2001</w:t>
      </w:r>
    </w:p>
    <w:p w:rsidR="006777CA" w:rsidRDefault="006777CA" w:rsidP="005A3CD8">
      <w:pPr>
        <w:rPr>
          <w:szCs w:val="24"/>
        </w:rPr>
      </w:pPr>
    </w:p>
    <w:p w:rsidR="003F6F85" w:rsidRDefault="000509C9" w:rsidP="005A3CD8">
      <w:pPr>
        <w:rPr>
          <w:szCs w:val="24"/>
        </w:rPr>
      </w:pPr>
      <w:r w:rsidRPr="00F06C3F">
        <w:rPr>
          <w:szCs w:val="24"/>
        </w:rPr>
        <w:t xml:space="preserve">This special report provides early information on changes to the tax rules </w:t>
      </w:r>
      <w:r w:rsidR="0068372C">
        <w:rPr>
          <w:szCs w:val="24"/>
        </w:rPr>
        <w:t>affect</w:t>
      </w:r>
      <w:r w:rsidR="00A5726E">
        <w:rPr>
          <w:szCs w:val="24"/>
        </w:rPr>
        <w:t>ing</w:t>
      </w:r>
      <w:r w:rsidR="0068372C">
        <w:rPr>
          <w:szCs w:val="24"/>
        </w:rPr>
        <w:t xml:space="preserve"> the collection of tax on benefit</w:t>
      </w:r>
      <w:r w:rsidR="0032473F">
        <w:rPr>
          <w:szCs w:val="24"/>
        </w:rPr>
        <w:t>s</w:t>
      </w:r>
      <w:r w:rsidR="00A44FB7">
        <w:rPr>
          <w:szCs w:val="24"/>
        </w:rPr>
        <w:t xml:space="preserve"> </w:t>
      </w:r>
      <w:r w:rsidR="0032473F">
        <w:rPr>
          <w:szCs w:val="24"/>
        </w:rPr>
        <w:t>an employee receives from a</w:t>
      </w:r>
      <w:r w:rsidR="00A44FB7">
        <w:rPr>
          <w:szCs w:val="24"/>
        </w:rPr>
        <w:t>n employee share scheme.</w:t>
      </w:r>
      <w:r w:rsidRPr="008E0B86">
        <w:rPr>
          <w:szCs w:val="24"/>
        </w:rPr>
        <w:t xml:space="preserve">  </w:t>
      </w:r>
      <w:r w:rsidR="0032473F">
        <w:t>Benefits provided to an employee under a share purchase agreement are “employment income”</w:t>
      </w:r>
      <w:r w:rsidR="001C602E">
        <w:t xml:space="preserve"> for income t</w:t>
      </w:r>
      <w:r w:rsidR="00015188">
        <w:t>ax purposes.</w:t>
      </w:r>
    </w:p>
    <w:p w:rsidR="003F6F85" w:rsidRDefault="003F6F85" w:rsidP="005A3CD8">
      <w:pPr>
        <w:rPr>
          <w:szCs w:val="24"/>
        </w:rPr>
      </w:pPr>
    </w:p>
    <w:p w:rsidR="00A10436" w:rsidRPr="000509C9" w:rsidRDefault="00736E7B" w:rsidP="005A3CD8">
      <w:pPr>
        <w:rPr>
          <w:szCs w:val="24"/>
        </w:rPr>
      </w:pPr>
      <w:r>
        <w:t xml:space="preserve">The </w:t>
      </w:r>
      <w:r w:rsidRPr="0044103C">
        <w:t>Income Tax Act 200</w:t>
      </w:r>
      <w:r>
        <w:t xml:space="preserve">7 and Tax Administration Act 1994 have been amended by integrating employment income in the form of employee share benefits into the PAYE (pay as you earn) system.  </w:t>
      </w:r>
      <w:r w:rsidR="000509C9" w:rsidRPr="008E0B86">
        <w:rPr>
          <w:szCs w:val="24"/>
        </w:rPr>
        <w:t>The changes were introduced in the Taxation (</w:t>
      </w:r>
      <w:r w:rsidR="0068372C">
        <w:rPr>
          <w:szCs w:val="24"/>
        </w:rPr>
        <w:t>Transformation: First Phase Simplification and Other Measures</w:t>
      </w:r>
      <w:r w:rsidR="003107A4" w:rsidRPr="00993DBD">
        <w:rPr>
          <w:szCs w:val="24"/>
        </w:rPr>
        <w:t>) Bill</w:t>
      </w:r>
      <w:r w:rsidR="000509C9" w:rsidRPr="00993DBD">
        <w:rPr>
          <w:szCs w:val="24"/>
        </w:rPr>
        <w:t xml:space="preserve"> enacted on</w:t>
      </w:r>
      <w:r w:rsidR="00AE5D54">
        <w:rPr>
          <w:szCs w:val="24"/>
        </w:rPr>
        <w:t xml:space="preserve"> </w:t>
      </w:r>
      <w:r w:rsidR="006B486F">
        <w:rPr>
          <w:szCs w:val="24"/>
        </w:rPr>
        <w:t>2</w:t>
      </w:r>
      <w:r w:rsidR="000509C9" w:rsidRPr="00993DBD">
        <w:rPr>
          <w:szCs w:val="24"/>
        </w:rPr>
        <w:t xml:space="preserve"> </w:t>
      </w:r>
      <w:r w:rsidR="0068372C">
        <w:rPr>
          <w:szCs w:val="24"/>
        </w:rPr>
        <w:t>June</w:t>
      </w:r>
      <w:r w:rsidR="00457F35" w:rsidRPr="00993DBD">
        <w:rPr>
          <w:szCs w:val="24"/>
        </w:rPr>
        <w:t xml:space="preserve"> 2016</w:t>
      </w:r>
      <w:r w:rsidR="000509C9" w:rsidRPr="00993DBD">
        <w:rPr>
          <w:szCs w:val="24"/>
        </w:rPr>
        <w:t xml:space="preserve">.  Information in this special report precedes full coverage of the new legislation that will be published in the </w:t>
      </w:r>
      <w:r w:rsidR="006B486F">
        <w:rPr>
          <w:szCs w:val="24"/>
        </w:rPr>
        <w:t>August</w:t>
      </w:r>
      <w:r w:rsidR="000509C9" w:rsidRPr="00993DBD">
        <w:rPr>
          <w:szCs w:val="24"/>
        </w:rPr>
        <w:t xml:space="preserve"> edition of the </w:t>
      </w:r>
      <w:r w:rsidR="000509C9" w:rsidRPr="00993DBD">
        <w:rPr>
          <w:i/>
          <w:szCs w:val="24"/>
        </w:rPr>
        <w:t>Tax Information Bulletin</w:t>
      </w:r>
      <w:r w:rsidR="000509C9" w:rsidRPr="00993DBD">
        <w:rPr>
          <w:szCs w:val="24"/>
        </w:rPr>
        <w:t>.</w:t>
      </w:r>
    </w:p>
    <w:p w:rsidR="004F144D" w:rsidRDefault="004F144D" w:rsidP="007A58C4">
      <w:bookmarkStart w:id="1" w:name="_Toc381807317"/>
    </w:p>
    <w:p w:rsidR="00736E7B" w:rsidRDefault="00987F9F" w:rsidP="007A58C4">
      <w:r>
        <w:t xml:space="preserve">Employers are now responsible for </w:t>
      </w:r>
      <w:r w:rsidR="00D66C89">
        <w:t>reporting</w:t>
      </w:r>
      <w:r>
        <w:t xml:space="preserve"> </w:t>
      </w:r>
      <w:r w:rsidR="00E7646B">
        <w:t>share benefit</w:t>
      </w:r>
      <w:r w:rsidR="00D66C89">
        <w:t>s</w:t>
      </w:r>
      <w:r w:rsidR="00E7646B">
        <w:t xml:space="preserve"> under an employee share scheme.</w:t>
      </w:r>
    </w:p>
    <w:p w:rsidR="00736E7B" w:rsidRDefault="00736E7B" w:rsidP="007A58C4"/>
    <w:p w:rsidR="004F144D" w:rsidRDefault="00A34C53" w:rsidP="007A58C4">
      <w:r>
        <w:t xml:space="preserve">Employers have a choice about whether tax is withheld on such </w:t>
      </w:r>
      <w:r w:rsidR="00E7646B">
        <w:t>benefits</w:t>
      </w:r>
      <w:r>
        <w:t>.</w:t>
      </w:r>
    </w:p>
    <w:p w:rsidR="004F144D" w:rsidRDefault="004F144D" w:rsidP="007A58C4"/>
    <w:p w:rsidR="004F144D" w:rsidRDefault="00841978" w:rsidP="007A58C4">
      <w:r>
        <w:t xml:space="preserve">The changes are designed to </w:t>
      </w:r>
      <w:r w:rsidR="004F144D">
        <w:t xml:space="preserve">remove </w:t>
      </w:r>
      <w:r>
        <w:t xml:space="preserve">problems </w:t>
      </w:r>
      <w:r w:rsidR="004F144D">
        <w:t xml:space="preserve">facing </w:t>
      </w:r>
      <w:r>
        <w:t xml:space="preserve">some employees </w:t>
      </w:r>
      <w:r w:rsidR="004B2CAA">
        <w:t xml:space="preserve">with </w:t>
      </w:r>
      <w:r>
        <w:t xml:space="preserve">meeting their tax </w:t>
      </w:r>
      <w:r w:rsidR="004F144D">
        <w:t>obligations</w:t>
      </w:r>
      <w:r>
        <w:t xml:space="preserve"> in </w:t>
      </w:r>
      <w:r w:rsidR="008A1762">
        <w:t>relation to these</w:t>
      </w:r>
      <w:r>
        <w:t xml:space="preserve"> benefits</w:t>
      </w:r>
      <w:r w:rsidR="00544E6E">
        <w:t>,</w:t>
      </w:r>
      <w:r>
        <w:t xml:space="preserve"> and </w:t>
      </w:r>
      <w:r w:rsidR="00E7646B">
        <w:t xml:space="preserve">improve the </w:t>
      </w:r>
      <w:r>
        <w:t xml:space="preserve">integrity </w:t>
      </w:r>
      <w:r w:rsidR="00E7646B">
        <w:t xml:space="preserve">of the tax system by </w:t>
      </w:r>
      <w:r w:rsidR="00D66C89">
        <w:t>reporting</w:t>
      </w:r>
      <w:r w:rsidR="00E7646B">
        <w:t xml:space="preserve"> income information at its source.</w:t>
      </w:r>
    </w:p>
    <w:p w:rsidR="00F622A3" w:rsidRDefault="00F622A3" w:rsidP="007A58C4"/>
    <w:p w:rsidR="006777CA" w:rsidRDefault="006777CA" w:rsidP="007A58C4"/>
    <w:p w:rsidR="008E0B86" w:rsidRDefault="008E0B86" w:rsidP="002D1D08">
      <w:pPr>
        <w:pStyle w:val="Heading1"/>
      </w:pPr>
      <w:r>
        <w:t xml:space="preserve">Key </w:t>
      </w:r>
      <w:r w:rsidRPr="00926B77">
        <w:t>features</w:t>
      </w:r>
    </w:p>
    <w:p w:rsidR="00292DEA" w:rsidRDefault="00292DEA" w:rsidP="00292DEA"/>
    <w:p w:rsidR="00292DEA" w:rsidRDefault="00736E7B" w:rsidP="00292DEA">
      <w:r>
        <w:t>The</w:t>
      </w:r>
      <w:r w:rsidR="00292DEA">
        <w:t xml:space="preserve"> general PAYE collection rules in the Income Tax Act and disclosure rules i</w:t>
      </w:r>
      <w:r w:rsidR="004B2CAA">
        <w:t xml:space="preserve">n the Tax Administration Act </w:t>
      </w:r>
      <w:r>
        <w:t>have been changed to</w:t>
      </w:r>
      <w:r w:rsidR="004B2CAA">
        <w:t>:</w:t>
      </w:r>
    </w:p>
    <w:p w:rsidR="00292DEA" w:rsidRDefault="00292DEA" w:rsidP="00292DEA"/>
    <w:p w:rsidR="00292DEA" w:rsidRDefault="00292DEA" w:rsidP="00CB590C">
      <w:pPr>
        <w:pStyle w:val="Bullets"/>
      </w:pPr>
      <w:r>
        <w:t>allow employer</w:t>
      </w:r>
      <w:r w:rsidR="006C53CD">
        <w:t>s</w:t>
      </w:r>
      <w:r>
        <w:t xml:space="preserve"> to choose to </w:t>
      </w:r>
      <w:r w:rsidR="0006298A">
        <w:t xml:space="preserve">use the PAYE system and </w:t>
      </w:r>
      <w:r>
        <w:t>withhold tax on any employment income an employee receives under a share purchase agreement using the PAYE system; and</w:t>
      </w:r>
    </w:p>
    <w:p w:rsidR="00292DEA" w:rsidRDefault="006565FE" w:rsidP="00CB590C">
      <w:pPr>
        <w:pStyle w:val="Bullets"/>
        <w:spacing w:after="0"/>
      </w:pPr>
      <w:proofErr w:type="gramStart"/>
      <w:r>
        <w:t>require</w:t>
      </w:r>
      <w:proofErr w:type="gramEnd"/>
      <w:r>
        <w:t xml:space="preserve"> employers to report the value of any benefits an employee receives under a share purchase agreement via the employer monthly schedule (EMS).</w:t>
      </w:r>
    </w:p>
    <w:p w:rsidR="00CB590C" w:rsidRDefault="00CB590C" w:rsidP="00D84566"/>
    <w:p w:rsidR="00D84566" w:rsidRDefault="00B768A6" w:rsidP="00D84566">
      <w:r>
        <w:lastRenderedPageBreak/>
        <w:t xml:space="preserve">Consequential changes </w:t>
      </w:r>
      <w:r w:rsidR="00825696">
        <w:t xml:space="preserve">have </w:t>
      </w:r>
      <w:r>
        <w:t xml:space="preserve">also </w:t>
      </w:r>
      <w:r w:rsidR="00825696">
        <w:t xml:space="preserve">been </w:t>
      </w:r>
      <w:r>
        <w:t>made to the Accident Compensation Act 2001 and the KiwiSaver Act 2006</w:t>
      </w:r>
      <w:r w:rsidR="007F0A4E">
        <w:t xml:space="preserve"> to ensure that share benefits are not counted as employment income under these Acts</w:t>
      </w:r>
      <w:r>
        <w:t>.</w:t>
      </w:r>
    </w:p>
    <w:p w:rsidR="00352B3C" w:rsidRDefault="00352B3C" w:rsidP="00D84566"/>
    <w:p w:rsidR="00352B3C" w:rsidRDefault="00352B3C" w:rsidP="00D84566"/>
    <w:p w:rsidR="00BC71CE" w:rsidRDefault="00BC71CE" w:rsidP="002D1D08">
      <w:pPr>
        <w:pStyle w:val="Heading1"/>
      </w:pPr>
      <w:r>
        <w:t>Background</w:t>
      </w:r>
      <w:bookmarkEnd w:id="1"/>
    </w:p>
    <w:p w:rsidR="006073D4" w:rsidRDefault="006073D4" w:rsidP="005A3CD8">
      <w:pPr>
        <w:tabs>
          <w:tab w:val="left" w:pos="567"/>
        </w:tabs>
        <w:rPr>
          <w:szCs w:val="24"/>
        </w:rPr>
      </w:pPr>
    </w:p>
    <w:p w:rsidR="00613735" w:rsidRDefault="00613735" w:rsidP="00613735">
      <w:pPr>
        <w:autoSpaceDE w:val="0"/>
        <w:autoSpaceDN w:val="0"/>
        <w:adjustRightInd w:val="0"/>
        <w:rPr>
          <w:rFonts w:cs="Arial"/>
        </w:rPr>
      </w:pPr>
      <w:r>
        <w:rPr>
          <w:rFonts w:cs="Arial"/>
        </w:rPr>
        <w:t>Benefits an employee receives under a share purchase agreement are treated as employment income under the Income Tax Act 2007.</w:t>
      </w:r>
    </w:p>
    <w:p w:rsidR="00613735" w:rsidRDefault="00613735" w:rsidP="00613735"/>
    <w:p w:rsidR="00613735" w:rsidRDefault="00613735" w:rsidP="00613735">
      <w:r w:rsidRPr="00021D2F">
        <w:t>Under the old rules, unlike most employment income or benefits (such as salary and wages or the use of a company car), such share benefits were not subject to tax at source under either the PAYE or FBT rules.  This meant employee recipients of a benefit under a share purchase agreement had to file an individual tax return including the benefit as income and pay the tax on those benefits themselves.</w:t>
      </w:r>
    </w:p>
    <w:p w:rsidR="00613735" w:rsidRDefault="00613735" w:rsidP="00613735"/>
    <w:p w:rsidR="00613735" w:rsidRPr="00327FC0" w:rsidRDefault="00613735" w:rsidP="00613735">
      <w:r>
        <w:t>For employees unused to filing returns and paying tax directly to Inland Revenue, these obligations were not always well understood and imposed compliance costs.  These compliance costs could affect voluntary compliance and perceptions about the integrity of the tax system.</w:t>
      </w:r>
    </w:p>
    <w:p w:rsidR="00613735" w:rsidRDefault="00613735" w:rsidP="00613735"/>
    <w:p w:rsidR="00613735" w:rsidRDefault="00613735" w:rsidP="00613735">
      <w:r>
        <w:t>From Inland Revenue’s perspective, the rules imposed a number of administrative costs.  If an individual employee did not return the income from an employee share scheme, the Commissioner had to expend resources to collect a potentially small amount of tax from an individual.</w:t>
      </w:r>
    </w:p>
    <w:p w:rsidR="00613735" w:rsidRDefault="00613735" w:rsidP="00613735"/>
    <w:p w:rsidR="00613735" w:rsidRDefault="00613735" w:rsidP="00613735">
      <w:pPr>
        <w:rPr>
          <w:szCs w:val="24"/>
        </w:rPr>
      </w:pPr>
      <w:r>
        <w:t xml:space="preserve">In April 2015, officials released an issues paper, </w:t>
      </w:r>
      <w:proofErr w:type="gramStart"/>
      <w:r>
        <w:rPr>
          <w:i/>
        </w:rPr>
        <w:t>Simplifying</w:t>
      </w:r>
      <w:proofErr w:type="gramEnd"/>
      <w:r>
        <w:rPr>
          <w:i/>
        </w:rPr>
        <w:t xml:space="preserve"> the collection of tax on employee share schemes, </w:t>
      </w:r>
      <w:r>
        <w:t xml:space="preserve">which discussed the problems with the collection of tax on benefits received under an employee share scheme.  </w:t>
      </w:r>
      <w:r w:rsidRPr="00AA0325">
        <w:rPr>
          <w:szCs w:val="24"/>
        </w:rPr>
        <w:t xml:space="preserve">The issues paper discussed changing the collection of tax </w:t>
      </w:r>
      <w:r>
        <w:rPr>
          <w:szCs w:val="24"/>
        </w:rPr>
        <w:t>on employment income received under a share purchase agreement</w:t>
      </w:r>
      <w:r w:rsidRPr="00AA0325">
        <w:rPr>
          <w:szCs w:val="24"/>
        </w:rPr>
        <w:t xml:space="preserve"> using the PAYE system</w:t>
      </w:r>
      <w:r>
        <w:rPr>
          <w:szCs w:val="24"/>
        </w:rPr>
        <w:t>,</w:t>
      </w:r>
      <w:r w:rsidRPr="00AA0325">
        <w:rPr>
          <w:szCs w:val="24"/>
        </w:rPr>
        <w:t xml:space="preserve"> the FBT rules</w:t>
      </w:r>
      <w:r>
        <w:rPr>
          <w:szCs w:val="24"/>
        </w:rPr>
        <w:t xml:space="preserve"> or a separate withholding tax</w:t>
      </w:r>
      <w:r w:rsidRPr="00AA0325">
        <w:rPr>
          <w:szCs w:val="24"/>
        </w:rPr>
        <w:t>.</w:t>
      </w:r>
    </w:p>
    <w:p w:rsidR="00613735" w:rsidRDefault="00613735" w:rsidP="00613735">
      <w:pPr>
        <w:autoSpaceDE w:val="0"/>
        <w:autoSpaceDN w:val="0"/>
        <w:adjustRightInd w:val="0"/>
        <w:rPr>
          <w:rFonts w:cs="Arial"/>
        </w:rPr>
      </w:pPr>
    </w:p>
    <w:p w:rsidR="00B768A6" w:rsidRDefault="00613735" w:rsidP="00613735">
      <w:r>
        <w:t>Inland Revenue considered a number of ways information about employee share benefits could be collected under the PAYE system and concluded that the employer monthly schedule (EMS) was the best option as the necessary information is captured in a timely and administratively efficient manner.</w:t>
      </w:r>
    </w:p>
    <w:p w:rsidR="00B768A6" w:rsidRDefault="00B768A6" w:rsidP="00B768A6">
      <w:pPr>
        <w:rPr>
          <w:szCs w:val="24"/>
        </w:rPr>
      </w:pPr>
    </w:p>
    <w:p w:rsidR="004679A9" w:rsidRPr="004679A9" w:rsidDel="00AF7A57" w:rsidRDefault="004679A9" w:rsidP="004679A9">
      <w:bookmarkStart w:id="2" w:name="_Toc381807318"/>
    </w:p>
    <w:p w:rsidR="00C53E3A" w:rsidRPr="00926B77" w:rsidRDefault="00C53E3A" w:rsidP="002D1D08">
      <w:pPr>
        <w:pStyle w:val="Heading1"/>
      </w:pPr>
      <w:bookmarkStart w:id="3" w:name="_Toc381807319"/>
      <w:bookmarkEnd w:id="2"/>
      <w:r w:rsidRPr="00926B77">
        <w:t xml:space="preserve">Application </w:t>
      </w:r>
      <w:r w:rsidR="00754603" w:rsidRPr="00926B77">
        <w:t>d</w:t>
      </w:r>
      <w:r w:rsidRPr="00926B77">
        <w:t>ate</w:t>
      </w:r>
      <w:bookmarkEnd w:id="3"/>
    </w:p>
    <w:p w:rsidR="004679A9" w:rsidRDefault="004679A9" w:rsidP="005A3CD8"/>
    <w:p w:rsidR="00C71CDA" w:rsidRDefault="00C53E3A" w:rsidP="005A3CD8">
      <w:r>
        <w:t xml:space="preserve">The new rules apply </w:t>
      </w:r>
      <w:r w:rsidR="005F11F5">
        <w:t>to</w:t>
      </w:r>
      <w:r w:rsidR="00AB0FA6">
        <w:t xml:space="preserve"> income years beginning</w:t>
      </w:r>
      <w:r w:rsidR="006073D4">
        <w:t xml:space="preserve"> on or after 1 April </w:t>
      </w:r>
      <w:r w:rsidR="00363E92">
        <w:t>2017</w:t>
      </w:r>
      <w:r w:rsidR="006073D4">
        <w:t>.</w:t>
      </w:r>
      <w:r w:rsidR="00363E92">
        <w:t xml:space="preserve">  Validation rules apply if employers have withheld and paid tax in a return of income</w:t>
      </w:r>
      <w:r w:rsidR="00EF247D">
        <w:t xml:space="preserve"> in earlier income years</w:t>
      </w:r>
      <w:r w:rsidR="00363E92">
        <w:t>.</w:t>
      </w:r>
    </w:p>
    <w:p w:rsidR="004104F4" w:rsidRDefault="004104F4" w:rsidP="005A3CD8"/>
    <w:p w:rsidR="004104F4" w:rsidRDefault="004104F4" w:rsidP="005A3CD8">
      <w:r>
        <w:t xml:space="preserve">Benefits </w:t>
      </w:r>
      <w:r w:rsidR="00472E20">
        <w:t xml:space="preserve">treated as income </w:t>
      </w:r>
      <w:r>
        <w:t xml:space="preserve">under section CE 2 </w:t>
      </w:r>
      <w:r w:rsidR="00472E20">
        <w:t xml:space="preserve">and </w:t>
      </w:r>
      <w:r>
        <w:t xml:space="preserve">received on or before 31 March 2017 </w:t>
      </w:r>
      <w:r w:rsidR="00730B4F">
        <w:t xml:space="preserve">should be returned by the </w:t>
      </w:r>
      <w:r>
        <w:t>employee</w:t>
      </w:r>
      <w:r w:rsidR="00D35470">
        <w:t>.</w:t>
      </w:r>
    </w:p>
    <w:p w:rsidR="00617F9A" w:rsidRDefault="00617F9A" w:rsidP="005A3CD8"/>
    <w:p w:rsidR="002054B3" w:rsidRDefault="002054B3">
      <w:pPr>
        <w:jc w:val="left"/>
        <w:rPr>
          <w:b/>
          <w:bCs/>
          <w:sz w:val="28"/>
          <w:szCs w:val="28"/>
        </w:rPr>
      </w:pPr>
      <w:bookmarkStart w:id="4" w:name="_Toc381807320"/>
      <w:r>
        <w:br w:type="page"/>
      </w:r>
    </w:p>
    <w:p w:rsidR="00855AF4" w:rsidRPr="00D971A5" w:rsidRDefault="000509C9" w:rsidP="002D1D08">
      <w:pPr>
        <w:pStyle w:val="Heading1"/>
      </w:pPr>
      <w:r>
        <w:lastRenderedPageBreak/>
        <w:t>D</w:t>
      </w:r>
      <w:r w:rsidR="00855AF4" w:rsidRPr="00D971A5">
        <w:t>etailed analysis</w:t>
      </w:r>
      <w:bookmarkEnd w:id="4"/>
    </w:p>
    <w:p w:rsidR="00B768A6" w:rsidRPr="00180061" w:rsidRDefault="00B768A6" w:rsidP="00B768A6">
      <w:bookmarkStart w:id="5" w:name="_Toc381807321"/>
    </w:p>
    <w:p w:rsidR="003927DC" w:rsidRPr="00CE6886" w:rsidRDefault="00750C4C" w:rsidP="00CE6886">
      <w:pPr>
        <w:pStyle w:val="Heading2"/>
      </w:pPr>
      <w:r w:rsidRPr="00CE6886">
        <w:t xml:space="preserve">The basic rule: </w:t>
      </w:r>
      <w:r w:rsidR="00427FE8" w:rsidRPr="00CE6886">
        <w:t>w</w:t>
      </w:r>
      <w:r w:rsidR="003927DC" w:rsidRPr="00CE6886">
        <w:t xml:space="preserve">hat </w:t>
      </w:r>
      <w:r w:rsidR="00A37E75" w:rsidRPr="00CE6886">
        <w:t xml:space="preserve">employee share </w:t>
      </w:r>
      <w:r w:rsidR="003927DC" w:rsidRPr="00CE6886">
        <w:t>benefits are covered by the new rules?</w:t>
      </w:r>
    </w:p>
    <w:p w:rsidR="003927DC" w:rsidRDefault="003927DC" w:rsidP="003927DC"/>
    <w:p w:rsidR="003927DC" w:rsidRDefault="003927DC" w:rsidP="003927DC">
      <w:r>
        <w:t xml:space="preserve">Under the Income Tax Act, </w:t>
      </w:r>
      <w:r w:rsidR="00D35470">
        <w:t>employment</w:t>
      </w:r>
      <w:r>
        <w:t xml:space="preserve"> income from an employee share scheme arises in the specific circumst</w:t>
      </w:r>
      <w:r w:rsidR="00C61072">
        <w:t>ances set out in section CE 2</w:t>
      </w:r>
      <w:r w:rsidR="00BB26EC">
        <w:t xml:space="preserve">.  Table 1 </w:t>
      </w:r>
      <w:r>
        <w:t>illustrate</w:t>
      </w:r>
      <w:r w:rsidR="00BB26EC">
        <w:t xml:space="preserve">s the responsibilities under the tax Acts for employers and employers to </w:t>
      </w:r>
      <w:r w:rsidR="001C602E">
        <w:t>report</w:t>
      </w:r>
      <w:r w:rsidR="00BB26EC">
        <w:t xml:space="preserve"> </w:t>
      </w:r>
      <w:r w:rsidR="00B5077E">
        <w:t xml:space="preserve">and </w:t>
      </w:r>
      <w:r w:rsidR="00FA1E7A">
        <w:t>pay</w:t>
      </w:r>
      <w:r w:rsidR="00B5077E">
        <w:t xml:space="preserve"> tax on </w:t>
      </w:r>
      <w:r w:rsidR="00BB26EC">
        <w:t>income from an employee share scheme from 1 April 2017.</w:t>
      </w:r>
    </w:p>
    <w:p w:rsidR="003927DC" w:rsidRDefault="003927DC" w:rsidP="003927DC"/>
    <w:p w:rsidR="002D1D08" w:rsidRDefault="002D1D08" w:rsidP="003927DC"/>
    <w:p w:rsidR="003927DC" w:rsidRPr="00D3708F" w:rsidRDefault="003927DC" w:rsidP="00CE6886">
      <w:pPr>
        <w:pStyle w:val="Tabletitle"/>
      </w:pPr>
      <w:r w:rsidRPr="00D3708F">
        <w:t>Table 1: When income arises from an employee share scheme</w:t>
      </w:r>
      <w:r w:rsidR="00B2645B">
        <w:t xml:space="preserve"> and compliance obligations on the employer and employee</w:t>
      </w:r>
    </w:p>
    <w:p w:rsidR="003927DC" w:rsidRDefault="003927DC" w:rsidP="003927DC"/>
    <w:tbl>
      <w:tblPr>
        <w:tblStyle w:val="TableGrid"/>
        <w:tblW w:w="0" w:type="auto"/>
        <w:tblCellMar>
          <w:top w:w="57" w:type="dxa"/>
          <w:left w:w="57" w:type="dxa"/>
          <w:bottom w:w="57" w:type="dxa"/>
          <w:right w:w="57" w:type="dxa"/>
        </w:tblCellMar>
        <w:tblLook w:val="04A0" w:firstRow="1" w:lastRow="0" w:firstColumn="1" w:lastColumn="0" w:noHBand="0" w:noVBand="1"/>
        <w:tblCaption w:val="Table 1: When income arises from an employee share scheme and compliance obligations on the employer and employee"/>
        <w:tblDescription w:val="Information about the compliance obligations for employee share schemes before and after 1 April 2017."/>
      </w:tblPr>
      <w:tblGrid>
        <w:gridCol w:w="2842"/>
        <w:gridCol w:w="2843"/>
        <w:gridCol w:w="3354"/>
      </w:tblGrid>
      <w:tr w:rsidR="00A903D0" w:rsidRPr="0073460A" w:rsidTr="00A30B9A">
        <w:trPr>
          <w:tblHeader/>
        </w:trPr>
        <w:tc>
          <w:tcPr>
            <w:tcW w:w="2842" w:type="dxa"/>
          </w:tcPr>
          <w:p w:rsidR="00A903D0" w:rsidRPr="00D275E0" w:rsidRDefault="00A903D0" w:rsidP="00A903D0">
            <w:pPr>
              <w:spacing w:before="60" w:after="60"/>
              <w:jc w:val="left"/>
              <w:rPr>
                <w:b/>
                <w:sz w:val="20"/>
                <w:szCs w:val="20"/>
              </w:rPr>
            </w:pPr>
            <w:r w:rsidRPr="00D275E0">
              <w:rPr>
                <w:b/>
                <w:sz w:val="20"/>
                <w:szCs w:val="20"/>
              </w:rPr>
              <w:t>When income arises</w:t>
            </w:r>
          </w:p>
        </w:tc>
        <w:tc>
          <w:tcPr>
            <w:tcW w:w="2843" w:type="dxa"/>
          </w:tcPr>
          <w:p w:rsidR="00A903D0" w:rsidRPr="00D275E0" w:rsidRDefault="00A903D0" w:rsidP="00A903D0">
            <w:pPr>
              <w:spacing w:before="60" w:after="60"/>
              <w:jc w:val="left"/>
              <w:rPr>
                <w:b/>
                <w:sz w:val="20"/>
                <w:szCs w:val="20"/>
              </w:rPr>
            </w:pPr>
            <w:r>
              <w:rPr>
                <w:b/>
                <w:sz w:val="20"/>
                <w:szCs w:val="20"/>
              </w:rPr>
              <w:t>Pre 1 April 2017</w:t>
            </w:r>
          </w:p>
        </w:tc>
        <w:tc>
          <w:tcPr>
            <w:tcW w:w="3354" w:type="dxa"/>
          </w:tcPr>
          <w:p w:rsidR="00A903D0" w:rsidRPr="00D275E0" w:rsidRDefault="00A903D0" w:rsidP="00A903D0">
            <w:pPr>
              <w:spacing w:before="60" w:after="60"/>
              <w:jc w:val="left"/>
              <w:rPr>
                <w:b/>
                <w:sz w:val="20"/>
                <w:szCs w:val="20"/>
              </w:rPr>
            </w:pPr>
            <w:r>
              <w:rPr>
                <w:b/>
                <w:sz w:val="20"/>
                <w:szCs w:val="20"/>
              </w:rPr>
              <w:t>Post 1 April 2017</w:t>
            </w:r>
          </w:p>
        </w:tc>
      </w:tr>
      <w:tr w:rsidR="00A903D0" w:rsidRPr="0073460A" w:rsidTr="002D1D08">
        <w:tc>
          <w:tcPr>
            <w:tcW w:w="2842" w:type="dxa"/>
          </w:tcPr>
          <w:p w:rsidR="00A903D0" w:rsidRPr="00D275E0" w:rsidRDefault="00A903D0" w:rsidP="00A903D0">
            <w:pPr>
              <w:spacing w:before="60" w:after="60"/>
              <w:jc w:val="left"/>
              <w:rPr>
                <w:sz w:val="20"/>
                <w:szCs w:val="20"/>
              </w:rPr>
            </w:pPr>
            <w:r w:rsidRPr="00D275E0">
              <w:rPr>
                <w:sz w:val="20"/>
                <w:szCs w:val="20"/>
              </w:rPr>
              <w:t>When the employee acquires shares</w:t>
            </w:r>
            <w:r>
              <w:rPr>
                <w:sz w:val="20"/>
                <w:szCs w:val="20"/>
              </w:rPr>
              <w:t xml:space="preserve"> – section CE 2(2)</w:t>
            </w:r>
          </w:p>
        </w:tc>
        <w:tc>
          <w:tcPr>
            <w:tcW w:w="2843" w:type="dxa"/>
          </w:tcPr>
          <w:p w:rsidR="00A903D0" w:rsidRPr="00D275E0" w:rsidRDefault="00A903D0" w:rsidP="00A903D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w:t>
            </w:r>
            <w:r w:rsidR="001C602E">
              <w:rPr>
                <w:sz w:val="20"/>
                <w:szCs w:val="20"/>
              </w:rPr>
              <w:t>report</w:t>
            </w:r>
            <w:r w:rsidRPr="00D275E0">
              <w:rPr>
                <w:sz w:val="20"/>
                <w:szCs w:val="20"/>
              </w:rPr>
              <w:t xml:space="preserve"> income and pay tax.</w:t>
            </w:r>
          </w:p>
        </w:tc>
        <w:tc>
          <w:tcPr>
            <w:tcW w:w="3354" w:type="dxa"/>
          </w:tcPr>
          <w:p w:rsidR="00A903D0" w:rsidRPr="00D275E0" w:rsidRDefault="00A903D0" w:rsidP="00A903D0">
            <w:pPr>
              <w:pStyle w:val="ListParagraph"/>
              <w:numPr>
                <w:ilvl w:val="0"/>
                <w:numId w:val="42"/>
              </w:numPr>
              <w:spacing w:before="60" w:after="60"/>
              <w:ind w:left="411" w:hanging="411"/>
              <w:contextualSpacing w:val="0"/>
              <w:jc w:val="left"/>
              <w:rPr>
                <w:sz w:val="20"/>
                <w:szCs w:val="20"/>
              </w:rPr>
            </w:pPr>
            <w:r w:rsidRPr="00D275E0">
              <w:rPr>
                <w:sz w:val="20"/>
                <w:szCs w:val="20"/>
              </w:rPr>
              <w:t xml:space="preserve">Employer </w:t>
            </w:r>
            <w:r w:rsidR="001C602E">
              <w:rPr>
                <w:sz w:val="20"/>
                <w:szCs w:val="20"/>
              </w:rPr>
              <w:t>report</w:t>
            </w:r>
            <w:r w:rsidRPr="00D275E0">
              <w:rPr>
                <w:sz w:val="20"/>
                <w:szCs w:val="20"/>
              </w:rPr>
              <w:t>s income for current employees</w:t>
            </w:r>
            <w:r>
              <w:rPr>
                <w:sz w:val="20"/>
                <w:szCs w:val="20"/>
              </w:rPr>
              <w:t>.</w:t>
            </w:r>
          </w:p>
          <w:p w:rsidR="00A903D0" w:rsidRPr="00D275E0" w:rsidRDefault="00A903D0" w:rsidP="00A903D0">
            <w:pPr>
              <w:pStyle w:val="ListParagraph"/>
              <w:numPr>
                <w:ilvl w:val="0"/>
                <w:numId w:val="42"/>
              </w:numPr>
              <w:spacing w:before="60" w:after="60"/>
              <w:ind w:left="411" w:hanging="411"/>
              <w:contextualSpacing w:val="0"/>
              <w:jc w:val="left"/>
              <w:rPr>
                <w:sz w:val="20"/>
                <w:szCs w:val="20"/>
              </w:rPr>
            </w:pPr>
            <w:r w:rsidRPr="00D275E0">
              <w:rPr>
                <w:sz w:val="20"/>
                <w:szCs w:val="20"/>
              </w:rPr>
              <w:t>Employer may choose to withhold tax.</w:t>
            </w:r>
          </w:p>
          <w:p w:rsidR="00A903D0" w:rsidRDefault="00A903D0" w:rsidP="00A903D0">
            <w:pPr>
              <w:pStyle w:val="ListParagraph"/>
              <w:numPr>
                <w:ilvl w:val="0"/>
                <w:numId w:val="42"/>
              </w:numPr>
              <w:spacing w:before="60" w:after="60"/>
              <w:ind w:left="411" w:hanging="411"/>
              <w:contextualSpacing w:val="0"/>
              <w:jc w:val="left"/>
              <w:rPr>
                <w:sz w:val="20"/>
                <w:szCs w:val="20"/>
              </w:rPr>
            </w:pPr>
            <w:r w:rsidRPr="00D275E0">
              <w:rPr>
                <w:sz w:val="20"/>
                <w:szCs w:val="20"/>
              </w:rPr>
              <w:t xml:space="preserve">Employee </w:t>
            </w:r>
            <w:r>
              <w:rPr>
                <w:sz w:val="20"/>
                <w:szCs w:val="20"/>
              </w:rPr>
              <w:t xml:space="preserve">must pay </w:t>
            </w:r>
            <w:r w:rsidRPr="00D275E0">
              <w:rPr>
                <w:sz w:val="20"/>
                <w:szCs w:val="20"/>
              </w:rPr>
              <w:t>tax if (ii) does not apply.</w:t>
            </w:r>
          </w:p>
          <w:p w:rsidR="00A903D0" w:rsidRPr="00D275E0" w:rsidRDefault="00A903D0" w:rsidP="00A903D0">
            <w:pPr>
              <w:pStyle w:val="ListParagraph"/>
              <w:numPr>
                <w:ilvl w:val="0"/>
                <w:numId w:val="42"/>
              </w:numPr>
              <w:spacing w:before="60" w:after="60"/>
              <w:ind w:left="411" w:hanging="411"/>
              <w:contextualSpacing w:val="0"/>
              <w:jc w:val="left"/>
              <w:rPr>
                <w:sz w:val="20"/>
                <w:szCs w:val="20"/>
              </w:rPr>
            </w:pPr>
            <w:r>
              <w:rPr>
                <w:sz w:val="20"/>
                <w:szCs w:val="20"/>
              </w:rPr>
              <w:t>Former</w:t>
            </w:r>
            <w:r w:rsidRPr="00D275E0">
              <w:rPr>
                <w:sz w:val="20"/>
                <w:szCs w:val="20"/>
              </w:rPr>
              <w:t xml:space="preserve"> employees </w:t>
            </w:r>
            <w:r>
              <w:rPr>
                <w:sz w:val="20"/>
                <w:szCs w:val="20"/>
              </w:rPr>
              <w:t>must</w:t>
            </w:r>
            <w:r w:rsidRPr="00D275E0">
              <w:rPr>
                <w:sz w:val="20"/>
                <w:szCs w:val="20"/>
              </w:rPr>
              <w:t xml:space="preserve"> </w:t>
            </w:r>
            <w:r w:rsidR="001C602E">
              <w:rPr>
                <w:sz w:val="20"/>
                <w:szCs w:val="20"/>
              </w:rPr>
              <w:t>report</w:t>
            </w:r>
            <w:r w:rsidRPr="00D275E0">
              <w:rPr>
                <w:sz w:val="20"/>
                <w:szCs w:val="20"/>
              </w:rPr>
              <w:t xml:space="preserve"> and pay tax unless (ii) applies.</w:t>
            </w:r>
          </w:p>
        </w:tc>
      </w:tr>
      <w:tr w:rsidR="00A903D0" w:rsidRPr="0073460A" w:rsidTr="002D1D08">
        <w:tc>
          <w:tcPr>
            <w:tcW w:w="2842" w:type="dxa"/>
          </w:tcPr>
          <w:p w:rsidR="00A903D0" w:rsidRPr="00D275E0" w:rsidRDefault="00A903D0" w:rsidP="00A903D0">
            <w:pPr>
              <w:spacing w:before="60" w:after="60"/>
              <w:jc w:val="left"/>
              <w:rPr>
                <w:sz w:val="20"/>
                <w:szCs w:val="20"/>
              </w:rPr>
            </w:pPr>
            <w:r w:rsidRPr="00D275E0">
              <w:rPr>
                <w:sz w:val="20"/>
                <w:szCs w:val="20"/>
              </w:rPr>
              <w:t>When employee disposes of rights to acquire shares to non-associates</w:t>
            </w:r>
            <w:r>
              <w:rPr>
                <w:sz w:val="20"/>
                <w:szCs w:val="20"/>
              </w:rPr>
              <w:t xml:space="preserve"> – section CE 2(3)</w:t>
            </w:r>
          </w:p>
        </w:tc>
        <w:tc>
          <w:tcPr>
            <w:tcW w:w="2843" w:type="dxa"/>
          </w:tcPr>
          <w:p w:rsidR="00A903D0" w:rsidRPr="00D275E0" w:rsidRDefault="00A903D0" w:rsidP="00A903D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w:t>
            </w:r>
            <w:r w:rsidR="001C602E">
              <w:rPr>
                <w:sz w:val="20"/>
                <w:szCs w:val="20"/>
              </w:rPr>
              <w:t>report</w:t>
            </w:r>
            <w:r w:rsidRPr="00D275E0">
              <w:rPr>
                <w:sz w:val="20"/>
                <w:szCs w:val="20"/>
              </w:rPr>
              <w:t xml:space="preserve"> income and pay tax.</w:t>
            </w:r>
          </w:p>
        </w:tc>
        <w:tc>
          <w:tcPr>
            <w:tcW w:w="3354" w:type="dxa"/>
          </w:tcPr>
          <w:p w:rsidR="00A903D0" w:rsidRPr="00D275E0" w:rsidRDefault="00A903D0" w:rsidP="00A903D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w:t>
            </w:r>
            <w:r w:rsidR="001C602E">
              <w:rPr>
                <w:sz w:val="20"/>
                <w:szCs w:val="20"/>
              </w:rPr>
              <w:t>report</w:t>
            </w:r>
            <w:r w:rsidRPr="00D275E0">
              <w:rPr>
                <w:sz w:val="20"/>
                <w:szCs w:val="20"/>
              </w:rPr>
              <w:t xml:space="preserve"> income and pay tax.</w:t>
            </w:r>
          </w:p>
        </w:tc>
      </w:tr>
      <w:tr w:rsidR="00A903D0" w:rsidRPr="0073460A" w:rsidTr="002D1D08">
        <w:tc>
          <w:tcPr>
            <w:tcW w:w="2842" w:type="dxa"/>
          </w:tcPr>
          <w:p w:rsidR="00A903D0" w:rsidRPr="00D275E0" w:rsidRDefault="00A903D0" w:rsidP="00A903D0">
            <w:pPr>
              <w:spacing w:before="60" w:after="60"/>
              <w:jc w:val="left"/>
              <w:rPr>
                <w:sz w:val="20"/>
                <w:szCs w:val="20"/>
              </w:rPr>
            </w:pPr>
            <w:r w:rsidRPr="00D275E0">
              <w:rPr>
                <w:sz w:val="20"/>
                <w:szCs w:val="20"/>
              </w:rPr>
              <w:t>When an associate of the employee acquires shares</w:t>
            </w:r>
            <w:r>
              <w:rPr>
                <w:sz w:val="20"/>
                <w:szCs w:val="20"/>
              </w:rPr>
              <w:t xml:space="preserve"> – section CE 2(4)</w:t>
            </w:r>
          </w:p>
        </w:tc>
        <w:tc>
          <w:tcPr>
            <w:tcW w:w="2843" w:type="dxa"/>
          </w:tcPr>
          <w:p w:rsidR="00A903D0" w:rsidRPr="00D275E0" w:rsidRDefault="00A903D0" w:rsidP="00A903D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w:t>
            </w:r>
            <w:r w:rsidR="001C602E">
              <w:rPr>
                <w:sz w:val="20"/>
                <w:szCs w:val="20"/>
              </w:rPr>
              <w:t>report</w:t>
            </w:r>
            <w:r w:rsidRPr="00D275E0">
              <w:rPr>
                <w:sz w:val="20"/>
                <w:szCs w:val="20"/>
              </w:rPr>
              <w:t xml:space="preserve"> income and pay tax.</w:t>
            </w:r>
          </w:p>
        </w:tc>
        <w:tc>
          <w:tcPr>
            <w:tcW w:w="3354" w:type="dxa"/>
          </w:tcPr>
          <w:p w:rsidR="00A903D0" w:rsidRPr="00D275E0" w:rsidRDefault="00A903D0" w:rsidP="00A903D0">
            <w:pPr>
              <w:pStyle w:val="ListParagraph"/>
              <w:numPr>
                <w:ilvl w:val="0"/>
                <w:numId w:val="43"/>
              </w:numPr>
              <w:spacing w:before="60" w:after="60"/>
              <w:ind w:left="411"/>
              <w:contextualSpacing w:val="0"/>
              <w:jc w:val="left"/>
              <w:rPr>
                <w:sz w:val="20"/>
                <w:szCs w:val="20"/>
              </w:rPr>
            </w:pPr>
            <w:r w:rsidRPr="00D275E0">
              <w:rPr>
                <w:sz w:val="20"/>
                <w:szCs w:val="20"/>
              </w:rPr>
              <w:t xml:space="preserve">Employer </w:t>
            </w:r>
            <w:r w:rsidR="001C602E">
              <w:rPr>
                <w:sz w:val="20"/>
                <w:szCs w:val="20"/>
              </w:rPr>
              <w:t>report</w:t>
            </w:r>
            <w:r w:rsidRPr="00D275E0">
              <w:rPr>
                <w:sz w:val="20"/>
                <w:szCs w:val="20"/>
              </w:rPr>
              <w:t>s income for current employees</w:t>
            </w:r>
            <w:r>
              <w:rPr>
                <w:sz w:val="20"/>
                <w:szCs w:val="20"/>
              </w:rPr>
              <w:t>.</w:t>
            </w:r>
          </w:p>
          <w:p w:rsidR="00A903D0" w:rsidRPr="00D275E0" w:rsidRDefault="00A903D0" w:rsidP="00A903D0">
            <w:pPr>
              <w:pStyle w:val="ListParagraph"/>
              <w:numPr>
                <w:ilvl w:val="0"/>
                <w:numId w:val="43"/>
              </w:numPr>
              <w:spacing w:before="60" w:after="60"/>
              <w:ind w:left="411"/>
              <w:contextualSpacing w:val="0"/>
              <w:jc w:val="left"/>
              <w:rPr>
                <w:sz w:val="20"/>
                <w:szCs w:val="20"/>
              </w:rPr>
            </w:pPr>
            <w:r w:rsidRPr="00D275E0">
              <w:rPr>
                <w:sz w:val="20"/>
                <w:szCs w:val="20"/>
              </w:rPr>
              <w:t>Employer may choose to withhold tax.</w:t>
            </w:r>
          </w:p>
          <w:p w:rsidR="00A903D0" w:rsidRPr="00D275E0" w:rsidRDefault="00A903D0" w:rsidP="00A903D0">
            <w:pPr>
              <w:pStyle w:val="ListParagraph"/>
              <w:numPr>
                <w:ilvl w:val="0"/>
                <w:numId w:val="43"/>
              </w:numPr>
              <w:spacing w:before="60" w:after="60"/>
              <w:ind w:left="411"/>
              <w:contextualSpacing w:val="0"/>
              <w:jc w:val="left"/>
              <w:rPr>
                <w:sz w:val="20"/>
                <w:szCs w:val="20"/>
              </w:rPr>
            </w:pPr>
            <w:r w:rsidRPr="00D275E0">
              <w:rPr>
                <w:sz w:val="20"/>
                <w:szCs w:val="20"/>
              </w:rPr>
              <w:t xml:space="preserve">Employee </w:t>
            </w:r>
            <w:r>
              <w:rPr>
                <w:sz w:val="20"/>
                <w:szCs w:val="20"/>
              </w:rPr>
              <w:t>must pay</w:t>
            </w:r>
            <w:r w:rsidRPr="00D275E0">
              <w:rPr>
                <w:sz w:val="20"/>
                <w:szCs w:val="20"/>
              </w:rPr>
              <w:t xml:space="preserve"> tax if (ii) does not apply.</w:t>
            </w:r>
          </w:p>
          <w:p w:rsidR="00A903D0" w:rsidRPr="00D275E0" w:rsidRDefault="00A903D0" w:rsidP="00A903D0">
            <w:pPr>
              <w:pStyle w:val="ListParagraph"/>
              <w:numPr>
                <w:ilvl w:val="0"/>
                <w:numId w:val="43"/>
              </w:numPr>
              <w:spacing w:before="60" w:after="60"/>
              <w:ind w:left="411"/>
              <w:contextualSpacing w:val="0"/>
              <w:jc w:val="left"/>
              <w:rPr>
                <w:sz w:val="20"/>
                <w:szCs w:val="20"/>
              </w:rPr>
            </w:pPr>
            <w:r w:rsidRPr="00D275E0">
              <w:rPr>
                <w:sz w:val="20"/>
                <w:szCs w:val="20"/>
              </w:rPr>
              <w:t xml:space="preserve">Former employees </w:t>
            </w:r>
            <w:r>
              <w:rPr>
                <w:sz w:val="20"/>
                <w:szCs w:val="20"/>
              </w:rPr>
              <w:t>must</w:t>
            </w:r>
            <w:r w:rsidRPr="00D275E0">
              <w:rPr>
                <w:sz w:val="20"/>
                <w:szCs w:val="20"/>
              </w:rPr>
              <w:t xml:space="preserve"> </w:t>
            </w:r>
            <w:r w:rsidR="001C602E">
              <w:rPr>
                <w:sz w:val="20"/>
                <w:szCs w:val="20"/>
              </w:rPr>
              <w:t>report</w:t>
            </w:r>
            <w:r w:rsidRPr="00D275E0">
              <w:rPr>
                <w:sz w:val="20"/>
                <w:szCs w:val="20"/>
              </w:rPr>
              <w:t xml:space="preserve"> and pay tax unless (ii) applies.</w:t>
            </w:r>
          </w:p>
        </w:tc>
      </w:tr>
      <w:tr w:rsidR="00A903D0" w:rsidRPr="0073460A" w:rsidTr="002D1D08">
        <w:tc>
          <w:tcPr>
            <w:tcW w:w="2842" w:type="dxa"/>
          </w:tcPr>
          <w:p w:rsidR="00A903D0" w:rsidRPr="00D275E0" w:rsidRDefault="00A903D0" w:rsidP="00A903D0">
            <w:pPr>
              <w:spacing w:before="60" w:after="60"/>
              <w:jc w:val="left"/>
              <w:rPr>
                <w:sz w:val="20"/>
                <w:szCs w:val="20"/>
              </w:rPr>
            </w:pPr>
            <w:r w:rsidRPr="00D275E0">
              <w:rPr>
                <w:sz w:val="20"/>
                <w:szCs w:val="20"/>
              </w:rPr>
              <w:t>When an associate disposes of rights to acquire shares to non-associates</w:t>
            </w:r>
            <w:r>
              <w:rPr>
                <w:sz w:val="20"/>
                <w:szCs w:val="20"/>
              </w:rPr>
              <w:t xml:space="preserve"> – section CE 2(5)</w:t>
            </w:r>
          </w:p>
        </w:tc>
        <w:tc>
          <w:tcPr>
            <w:tcW w:w="2843" w:type="dxa"/>
          </w:tcPr>
          <w:p w:rsidR="00A903D0" w:rsidRPr="00D275E0" w:rsidRDefault="00A903D0" w:rsidP="00A903D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w:t>
            </w:r>
            <w:r w:rsidR="001C602E">
              <w:rPr>
                <w:sz w:val="20"/>
                <w:szCs w:val="20"/>
              </w:rPr>
              <w:t>report</w:t>
            </w:r>
            <w:r w:rsidRPr="00D275E0">
              <w:rPr>
                <w:sz w:val="20"/>
                <w:szCs w:val="20"/>
              </w:rPr>
              <w:t xml:space="preserve"> income and pay tax.</w:t>
            </w:r>
          </w:p>
        </w:tc>
        <w:tc>
          <w:tcPr>
            <w:tcW w:w="3354" w:type="dxa"/>
          </w:tcPr>
          <w:p w:rsidR="00A903D0" w:rsidRPr="00D275E0" w:rsidRDefault="00A903D0" w:rsidP="00A903D0">
            <w:pPr>
              <w:spacing w:before="60" w:after="60"/>
              <w:jc w:val="left"/>
              <w:rPr>
                <w:sz w:val="20"/>
                <w:szCs w:val="20"/>
              </w:rPr>
            </w:pPr>
            <w:r w:rsidRPr="00D275E0">
              <w:rPr>
                <w:sz w:val="20"/>
                <w:szCs w:val="20"/>
              </w:rPr>
              <w:t xml:space="preserve">Employee </w:t>
            </w:r>
            <w:r>
              <w:rPr>
                <w:sz w:val="20"/>
                <w:szCs w:val="20"/>
              </w:rPr>
              <w:t>must</w:t>
            </w:r>
            <w:r w:rsidRPr="00D275E0">
              <w:rPr>
                <w:sz w:val="20"/>
                <w:szCs w:val="20"/>
              </w:rPr>
              <w:t xml:space="preserve"> </w:t>
            </w:r>
            <w:r w:rsidR="001C602E">
              <w:rPr>
                <w:sz w:val="20"/>
                <w:szCs w:val="20"/>
              </w:rPr>
              <w:t>report</w:t>
            </w:r>
            <w:r w:rsidRPr="00D275E0">
              <w:rPr>
                <w:sz w:val="20"/>
                <w:szCs w:val="20"/>
              </w:rPr>
              <w:t xml:space="preserve"> income and pay tax.</w:t>
            </w:r>
          </w:p>
        </w:tc>
      </w:tr>
    </w:tbl>
    <w:p w:rsidR="003927DC" w:rsidRDefault="003927DC" w:rsidP="003927DC"/>
    <w:p w:rsidR="002D1D08" w:rsidRDefault="002D1D08" w:rsidP="003927DC"/>
    <w:p w:rsidR="00750C4C" w:rsidRDefault="006F7DB8" w:rsidP="003927DC">
      <w:r>
        <w:t>The s</w:t>
      </w:r>
      <w:r w:rsidR="00E85CF5">
        <w:t>ection CE 7 definition of “share purchase agreement”</w:t>
      </w:r>
      <w:r w:rsidR="00A70A07">
        <w:t>,</w:t>
      </w:r>
      <w:r w:rsidR="00E85CF5">
        <w:t xml:space="preserve"> </w:t>
      </w:r>
      <w:r w:rsidR="000069B7">
        <w:t xml:space="preserve">which applies to income in the form of share benefits under section CE 2, </w:t>
      </w:r>
      <w:r w:rsidR="00A70A07">
        <w:t xml:space="preserve">means </w:t>
      </w:r>
      <w:r w:rsidR="00E85CF5">
        <w:t xml:space="preserve">the employer </w:t>
      </w:r>
      <w:r w:rsidR="00FE7FF7">
        <w:t>is</w:t>
      </w:r>
      <w:r w:rsidR="00713190">
        <w:t xml:space="preserve"> </w:t>
      </w:r>
      <w:r w:rsidR="00E85CF5">
        <w:t xml:space="preserve">responsible for </w:t>
      </w:r>
      <w:r w:rsidR="00863881">
        <w:t>reporting</w:t>
      </w:r>
      <w:r w:rsidR="00E85CF5">
        <w:t xml:space="preserve"> the value of </w:t>
      </w:r>
      <w:r>
        <w:t xml:space="preserve">the </w:t>
      </w:r>
      <w:r w:rsidR="00E85CF5">
        <w:t>benefit received under a scheme offered by an associate of the employer if the benefit is in connection with the employee’s employment or service.</w:t>
      </w:r>
    </w:p>
    <w:p w:rsidR="00750C4C" w:rsidRDefault="00750C4C" w:rsidP="003927DC"/>
    <w:p w:rsidR="003927DC" w:rsidRDefault="00335878" w:rsidP="003927DC">
      <w:r>
        <w:t xml:space="preserve">The obligation to </w:t>
      </w:r>
      <w:r w:rsidR="006565FE">
        <w:t>report</w:t>
      </w:r>
      <w:r>
        <w:t xml:space="preserve"> the value of a share benefit and the election to withhold PAYE is </w:t>
      </w:r>
      <w:r w:rsidR="00E94501">
        <w:t xml:space="preserve">therefore limited to </w:t>
      </w:r>
      <w:r w:rsidR="00247279">
        <w:t>situations where income arises under section CE 2(2) and CE 2(4)</w:t>
      </w:r>
      <w:r>
        <w:t xml:space="preserve"> – situations when there</w:t>
      </w:r>
      <w:r w:rsidR="00F97D0B">
        <w:t xml:space="preserve"> is a transfer of shares to the employee or an associate of the employee.</w:t>
      </w:r>
    </w:p>
    <w:p w:rsidR="002158FB" w:rsidRDefault="002158FB" w:rsidP="003927DC"/>
    <w:p w:rsidR="00D25E4A" w:rsidRDefault="00D25E4A">
      <w:pPr>
        <w:jc w:val="left"/>
        <w:rPr>
          <w:b/>
          <w:i/>
        </w:rPr>
      </w:pPr>
      <w:r>
        <w:rPr>
          <w:b/>
          <w:i/>
        </w:rPr>
        <w:br w:type="page"/>
      </w:r>
    </w:p>
    <w:p w:rsidR="002158FB" w:rsidRPr="00CE6886" w:rsidRDefault="002054B3" w:rsidP="00CE6886">
      <w:pPr>
        <w:pStyle w:val="Heading2"/>
      </w:pPr>
      <w:r w:rsidRPr="00CE6886">
        <w:t>E</w:t>
      </w:r>
      <w:r w:rsidR="002158FB" w:rsidRPr="00CE6886">
        <w:t xml:space="preserve">xceptions </w:t>
      </w:r>
      <w:r w:rsidR="00750C4C" w:rsidRPr="00CE6886">
        <w:t>to the basic rule</w:t>
      </w:r>
    </w:p>
    <w:p w:rsidR="002158FB" w:rsidRDefault="002158FB" w:rsidP="003927DC"/>
    <w:p w:rsidR="002158FB" w:rsidRDefault="002158FB" w:rsidP="003927DC">
      <w:r>
        <w:t xml:space="preserve">The new </w:t>
      </w:r>
      <w:r w:rsidR="0074175A">
        <w:t>reporting and payment</w:t>
      </w:r>
      <w:r w:rsidR="003170E3">
        <w:t xml:space="preserve"> </w:t>
      </w:r>
      <w:r>
        <w:t xml:space="preserve">rules have two </w:t>
      </w:r>
      <w:r w:rsidR="00875DE6">
        <w:t>important</w:t>
      </w:r>
      <w:r>
        <w:t xml:space="preserve"> exclusions from the basic </w:t>
      </w:r>
      <w:r w:rsidR="006F0279">
        <w:t>rule</w:t>
      </w:r>
      <w:r>
        <w:t>.</w:t>
      </w:r>
    </w:p>
    <w:p w:rsidR="00750C4C" w:rsidRDefault="00750C4C" w:rsidP="003927DC"/>
    <w:p w:rsidR="004C5AB3" w:rsidRDefault="00D3708F" w:rsidP="00D3708F">
      <w:pPr>
        <w:pStyle w:val="Bullets"/>
      </w:pPr>
      <w:r w:rsidRPr="00D3708F">
        <w:rPr>
          <w:rStyle w:val="BulletsChar"/>
          <w:b/>
          <w:i/>
        </w:rPr>
        <w:t>Former employees:</w:t>
      </w:r>
      <w:r w:rsidRPr="00D3708F">
        <w:rPr>
          <w:rStyle w:val="BulletsChar"/>
        </w:rPr>
        <w:t xml:space="preserve"> When an employer’s PAYE obligations </w:t>
      </w:r>
      <w:r w:rsidR="009C6D04">
        <w:rPr>
          <w:rStyle w:val="BulletsChar"/>
        </w:rPr>
        <w:t>for</w:t>
      </w:r>
      <w:r w:rsidRPr="00D3708F">
        <w:rPr>
          <w:rStyle w:val="BulletsChar"/>
        </w:rPr>
        <w:t xml:space="preserve"> an employee </w:t>
      </w:r>
      <w:r w:rsidR="007A5F61">
        <w:rPr>
          <w:rStyle w:val="BulletsChar"/>
        </w:rPr>
        <w:t>have</w:t>
      </w:r>
      <w:r w:rsidR="009C6D04">
        <w:rPr>
          <w:rStyle w:val="BulletsChar"/>
        </w:rPr>
        <w:t xml:space="preserve"> ended</w:t>
      </w:r>
      <w:r w:rsidRPr="00D3708F">
        <w:rPr>
          <w:rStyle w:val="BulletsChar"/>
        </w:rPr>
        <w:t>, as</w:t>
      </w:r>
      <w:r>
        <w:t xml:space="preserve"> set out in the definition of “employee” in section 46(7) of the Tax Administration Act, any benefits accruing to the employee do not need to be </w:t>
      </w:r>
      <w:r w:rsidR="006565FE">
        <w:t>reported</w:t>
      </w:r>
      <w:r>
        <w:t xml:space="preserve"> by the employer.  Consider the examples below:</w:t>
      </w:r>
    </w:p>
    <w:p w:rsidR="00B25F2D" w:rsidRDefault="00B25F2D" w:rsidP="00CB590C">
      <w:pPr>
        <w:pStyle w:val="Bullets"/>
        <w:numPr>
          <w:ilvl w:val="0"/>
          <w:numId w:val="44"/>
        </w:numPr>
        <w:ind w:left="1134" w:hanging="567"/>
      </w:pPr>
      <w:r>
        <w:t xml:space="preserve">Employee ceases employment from 1 October 2017.  A cash bonus is paid to the former employee in March 2018.  The employee has their incentive shares </w:t>
      </w:r>
      <w:r w:rsidRPr="00730B4F">
        <w:t>vest</w:t>
      </w:r>
      <w:r w:rsidR="00730B4F" w:rsidRPr="00730B4F">
        <w:t>ed</w:t>
      </w:r>
      <w:r>
        <w:t xml:space="preserve"> in November 2017.  In this situation, the employer has an obligation to </w:t>
      </w:r>
      <w:r w:rsidR="00F96FC6">
        <w:t>report</w:t>
      </w:r>
      <w:r>
        <w:t xml:space="preserve"> the value of benefits received by the former employee.</w:t>
      </w:r>
    </w:p>
    <w:p w:rsidR="004C5AB3" w:rsidRDefault="00B25F2D" w:rsidP="00CB590C">
      <w:pPr>
        <w:pStyle w:val="Bullets"/>
        <w:numPr>
          <w:ilvl w:val="0"/>
          <w:numId w:val="44"/>
        </w:numPr>
        <w:ind w:left="1134" w:hanging="567"/>
      </w:pPr>
      <w:r>
        <w:t xml:space="preserve">Employee ceases employment from 1 October 2017.  A cash bonus is paid to the former employee in March 2018.  The employee has their incentive shares </w:t>
      </w:r>
      <w:r w:rsidRPr="00730B4F">
        <w:t>vest</w:t>
      </w:r>
      <w:r w:rsidR="00730B4F" w:rsidRPr="00730B4F">
        <w:t>ed</w:t>
      </w:r>
      <w:r>
        <w:t xml:space="preserve"> in April 2018.  In this situation, the employer has no obligation to </w:t>
      </w:r>
      <w:r w:rsidR="006565FE">
        <w:t>report</w:t>
      </w:r>
      <w:r>
        <w:t xml:space="preserve"> the value of benefits received by the former employee.  </w:t>
      </w:r>
      <w:r w:rsidR="00871C92">
        <w:t>The employer can still ch</w:t>
      </w:r>
      <w:r>
        <w:t>o</w:t>
      </w:r>
      <w:r w:rsidR="00871C92">
        <w:t xml:space="preserve">ose to </w:t>
      </w:r>
      <w:r w:rsidR="00F96FC6">
        <w:t>report</w:t>
      </w:r>
      <w:r>
        <w:t xml:space="preserve"> and </w:t>
      </w:r>
      <w:r w:rsidR="00871C92">
        <w:t>withhold tax on any benefit</w:t>
      </w:r>
      <w:r w:rsidR="00D25E4A">
        <w:t>, however.</w:t>
      </w:r>
    </w:p>
    <w:p w:rsidR="00D3708F" w:rsidRDefault="00D3568E" w:rsidP="002D1D08">
      <w:pPr>
        <w:pStyle w:val="Bullets"/>
        <w:spacing w:after="0"/>
      </w:pPr>
      <w:r>
        <w:rPr>
          <w:b/>
          <w:i/>
        </w:rPr>
        <w:t>Commissioner-</w:t>
      </w:r>
      <w:r w:rsidR="00D3708F" w:rsidRPr="008E7E51">
        <w:rPr>
          <w:b/>
          <w:i/>
        </w:rPr>
        <w:t xml:space="preserve">approved schemes: </w:t>
      </w:r>
      <w:r w:rsidR="00D3708F">
        <w:t>Benefits received from an employee sh</w:t>
      </w:r>
      <w:r w:rsidR="00366919">
        <w:t>are scheme to which sections DC 12 and DC </w:t>
      </w:r>
      <w:r w:rsidR="00D3708F">
        <w:t>13 of the Income Tax Act apply, known as “Commis</w:t>
      </w:r>
      <w:r>
        <w:t>sioner-</w:t>
      </w:r>
      <w:r w:rsidR="006565FE">
        <w:t>a</w:t>
      </w:r>
      <w:r w:rsidR="00D3708F">
        <w:t xml:space="preserve">pproved </w:t>
      </w:r>
      <w:r w:rsidR="006565FE">
        <w:t>s</w:t>
      </w:r>
      <w:r w:rsidR="00D3708F">
        <w:t xml:space="preserve">chemes”, are not required to be </w:t>
      </w:r>
      <w:r w:rsidR="006565FE">
        <w:t>reported</w:t>
      </w:r>
      <w:r>
        <w:t>.  Under section CE </w:t>
      </w:r>
      <w:r w:rsidR="00D3708F">
        <w:t>2(7) of the Income Tax Act, these benefits are treated as having a nil value.</w:t>
      </w:r>
    </w:p>
    <w:p w:rsidR="004106F8" w:rsidRDefault="004106F8" w:rsidP="003927DC"/>
    <w:p w:rsidR="002A68DD" w:rsidRPr="00CE6886" w:rsidRDefault="001F2D90" w:rsidP="00CE6886">
      <w:pPr>
        <w:pStyle w:val="Heading2"/>
      </w:pPr>
      <w:r w:rsidRPr="00CE6886">
        <w:t>Disclosing share benefits in the employer monthly schedule</w:t>
      </w:r>
    </w:p>
    <w:p w:rsidR="002A68DD" w:rsidRDefault="002A68DD" w:rsidP="003927DC"/>
    <w:p w:rsidR="004106F8" w:rsidRDefault="009B6C35" w:rsidP="003927DC">
      <w:r>
        <w:t xml:space="preserve">Section CE 2 specifies the income year in which an employee derives a share benefit from an employee share scheme.  For most employers, they will be responsible for reporting the </w:t>
      </w:r>
      <w:r w:rsidR="000C5B58">
        <w:t xml:space="preserve">value of the share </w:t>
      </w:r>
      <w:r>
        <w:t>benefit in the relevant employer monthly schedule</w:t>
      </w:r>
      <w:r w:rsidR="006C26EA">
        <w:t xml:space="preserve"> </w:t>
      </w:r>
      <w:r w:rsidR="000C5B58">
        <w:t xml:space="preserve">(EMS) </w:t>
      </w:r>
      <w:r w:rsidR="00D3568E">
        <w:t>for</w:t>
      </w:r>
      <w:r w:rsidR="006C26EA">
        <w:t xml:space="preserve"> which the share benefit accrues to the employee.  </w:t>
      </w:r>
      <w:r w:rsidR="000C5B58">
        <w:t xml:space="preserve">For example, a share benefit that accrues to an employee in August 2017 would be included in the employer’s EMS </w:t>
      </w:r>
      <w:r w:rsidR="008639D8">
        <w:t xml:space="preserve">for the period </w:t>
      </w:r>
      <w:r w:rsidR="006D48E2">
        <w:t xml:space="preserve">ending </w:t>
      </w:r>
      <w:r w:rsidR="008639D8">
        <w:t xml:space="preserve">31 </w:t>
      </w:r>
      <w:proofErr w:type="gramStart"/>
      <w:r w:rsidR="008639D8">
        <w:t>August,</w:t>
      </w:r>
      <w:proofErr w:type="gramEnd"/>
      <w:r w:rsidR="008639D8">
        <w:t xml:space="preserve"> and due on</w:t>
      </w:r>
      <w:r w:rsidR="000C5B58">
        <w:t xml:space="preserve"> 20 September 2017.</w:t>
      </w:r>
    </w:p>
    <w:p w:rsidR="002A68DD" w:rsidRDefault="002A68DD" w:rsidP="003927DC"/>
    <w:p w:rsidR="002A68DD" w:rsidRPr="00CE6886" w:rsidRDefault="00FE2E07" w:rsidP="00CE6886">
      <w:pPr>
        <w:pStyle w:val="Heading2"/>
      </w:pPr>
      <w:r w:rsidRPr="00CE6886">
        <w:t>S</w:t>
      </w:r>
      <w:r w:rsidR="002A68DD" w:rsidRPr="00CE6886">
        <w:t>pecial income recognition rule for “large” employers</w:t>
      </w:r>
    </w:p>
    <w:p w:rsidR="002A68DD" w:rsidRDefault="002A68DD" w:rsidP="003927DC"/>
    <w:p w:rsidR="004106F8" w:rsidRDefault="00BA7E39" w:rsidP="003927DC">
      <w:r>
        <w:t xml:space="preserve">For employers that have annual withholding obligations under the PAYE system of $500,000 or more (including employer </w:t>
      </w:r>
      <w:r w:rsidR="00C41FE3">
        <w:t>superannuation contribution tax – ESCT)</w:t>
      </w:r>
      <w:r w:rsidR="005A4F69">
        <w:t xml:space="preserve">, the </w:t>
      </w:r>
      <w:r w:rsidR="00ED755B">
        <w:t>disclosure</w:t>
      </w:r>
      <w:r w:rsidR="005A4F69">
        <w:t xml:space="preserve"> of income </w:t>
      </w:r>
      <w:r w:rsidR="009D0F18">
        <w:t xml:space="preserve">from a share benefit </w:t>
      </w:r>
      <w:r w:rsidR="005A4F69">
        <w:t xml:space="preserve">has been modified.  Under section RD 22(2), employers with this level of withholding are considered to be </w:t>
      </w:r>
      <w:r w:rsidR="000D22DE">
        <w:t xml:space="preserve">“large” employers, </w:t>
      </w:r>
      <w:r w:rsidR="006D48E2">
        <w:t xml:space="preserve">and </w:t>
      </w:r>
      <w:r w:rsidR="000D22DE">
        <w:t>n</w:t>
      </w:r>
      <w:r w:rsidR="005A4F69">
        <w:t xml:space="preserve">ew section CE 2(11) shifts </w:t>
      </w:r>
      <w:r w:rsidR="00E10493">
        <w:t xml:space="preserve">the recognition of employment income to the next </w:t>
      </w:r>
      <w:r w:rsidR="00ED755B">
        <w:t xml:space="preserve">PAYE </w:t>
      </w:r>
      <w:r w:rsidR="00926CD3">
        <w:t xml:space="preserve">payment </w:t>
      </w:r>
      <w:r w:rsidR="0002621B">
        <w:t>period</w:t>
      </w:r>
      <w:r w:rsidR="00D55D9E">
        <w:t xml:space="preserve">.  </w:t>
      </w:r>
      <w:r w:rsidR="00926CD3">
        <w:t xml:space="preserve">This rule applies whether or not the employer has withheld tax on the </w:t>
      </w:r>
      <w:r w:rsidR="004B2694">
        <w:t>share benefit.</w:t>
      </w:r>
    </w:p>
    <w:p w:rsidR="009D0F18" w:rsidRDefault="009D0F18" w:rsidP="003927DC"/>
    <w:p w:rsidR="00436DCA" w:rsidRDefault="00436DCA" w:rsidP="00CE6886">
      <w:r w:rsidRPr="00C066D1">
        <w:t xml:space="preserve">Under </w:t>
      </w:r>
      <w:r w:rsidR="00E11411">
        <w:t>this</w:t>
      </w:r>
      <w:r w:rsidRPr="00C066D1">
        <w:t xml:space="preserve"> new rule, income </w:t>
      </w:r>
      <w:r w:rsidR="00D95E0D">
        <w:t xml:space="preserve">from the share benefit </w:t>
      </w:r>
      <w:r w:rsidR="00646B61">
        <w:t>is</w:t>
      </w:r>
      <w:r w:rsidRPr="00C066D1">
        <w:t xml:space="preserve"> shifted to the next </w:t>
      </w:r>
      <w:r>
        <w:t>PAYE</w:t>
      </w:r>
      <w:r w:rsidRPr="00C066D1">
        <w:t xml:space="preserve"> </w:t>
      </w:r>
      <w:r>
        <w:t>payment</w:t>
      </w:r>
      <w:r w:rsidRPr="00C066D1">
        <w:t xml:space="preserve"> period</w:t>
      </w:r>
      <w:r w:rsidR="00920242">
        <w:t>.</w:t>
      </w:r>
    </w:p>
    <w:p w:rsidR="00CE6886" w:rsidRDefault="00CE6886" w:rsidP="00CE6886"/>
    <w:p w:rsidR="00D66FEC" w:rsidRDefault="00D66FEC" w:rsidP="00D66FEC">
      <w:r w:rsidRPr="00C066D1">
        <w:t xml:space="preserve">The implications </w:t>
      </w:r>
      <w:r w:rsidR="00D55D9E">
        <w:t xml:space="preserve">for employers </w:t>
      </w:r>
      <w:r w:rsidRPr="00C066D1">
        <w:t>of this new rule are as follows:</w:t>
      </w:r>
    </w:p>
    <w:p w:rsidR="00D66FEC" w:rsidRDefault="00D66FEC" w:rsidP="00D66FEC"/>
    <w:p w:rsidR="00D66FEC" w:rsidRPr="00C066D1" w:rsidRDefault="00D55D9E" w:rsidP="00243C8C">
      <w:pPr>
        <w:pStyle w:val="Bullets"/>
      </w:pPr>
      <w:r>
        <w:t>Recognition of share b</w:t>
      </w:r>
      <w:r w:rsidR="001878D9">
        <w:t>enefits</w:t>
      </w:r>
      <w:r w:rsidR="00D66FEC" w:rsidRPr="00C066D1">
        <w:t xml:space="preserve"> </w:t>
      </w:r>
      <w:r>
        <w:t xml:space="preserve">that vest to the employee in </w:t>
      </w:r>
      <w:r w:rsidR="00D66FEC" w:rsidRPr="00C066D1">
        <w:t xml:space="preserve">the first half of the month </w:t>
      </w:r>
      <w:r>
        <w:t xml:space="preserve">is shifted to the </w:t>
      </w:r>
      <w:r w:rsidR="00D66FEC" w:rsidRPr="00C066D1">
        <w:t xml:space="preserve">second half of the same month </w:t>
      </w:r>
      <w:r>
        <w:t xml:space="preserve">and </w:t>
      </w:r>
      <w:r w:rsidR="00D66FEC" w:rsidRPr="00C066D1">
        <w:t xml:space="preserve">reported </w:t>
      </w:r>
      <w:r w:rsidR="001878D9">
        <w:t xml:space="preserve">by the employer </w:t>
      </w:r>
      <w:r w:rsidR="00D66FEC" w:rsidRPr="00C066D1">
        <w:t>in the employer monthly schedule for that month.</w:t>
      </w:r>
    </w:p>
    <w:p w:rsidR="00D66FEC" w:rsidRPr="00C066D1" w:rsidRDefault="00D55D9E" w:rsidP="00243C8C">
      <w:pPr>
        <w:pStyle w:val="Bullets"/>
        <w:spacing w:after="0"/>
      </w:pPr>
      <w:r>
        <w:t>Recognition of share b</w:t>
      </w:r>
      <w:r w:rsidR="001878D9">
        <w:t xml:space="preserve">enefits </w:t>
      </w:r>
      <w:r>
        <w:t xml:space="preserve">that vest to the employee in </w:t>
      </w:r>
      <w:r w:rsidR="00D66FEC" w:rsidRPr="00C066D1">
        <w:t xml:space="preserve">the second half of the month </w:t>
      </w:r>
      <w:r>
        <w:t>is shifted t</w:t>
      </w:r>
      <w:r w:rsidR="00D66FEC" w:rsidRPr="00C066D1">
        <w:t xml:space="preserve">o the first half of the following month </w:t>
      </w:r>
      <w:r w:rsidR="001876DE">
        <w:t xml:space="preserve">and </w:t>
      </w:r>
      <w:r w:rsidR="00D66FEC" w:rsidRPr="00C066D1">
        <w:t>would be reported in the employer monthly schedule for that following month.</w:t>
      </w:r>
    </w:p>
    <w:p w:rsidR="00243C8C" w:rsidRDefault="00243C8C" w:rsidP="003927DC"/>
    <w:p w:rsidR="009D0F18" w:rsidRDefault="00C61072" w:rsidP="003927DC">
      <w:r>
        <w:t>This</w:t>
      </w:r>
      <w:r w:rsidR="00C33D88">
        <w:t xml:space="preserve"> rule does not affect the date </w:t>
      </w:r>
      <w:r w:rsidR="001876DE">
        <w:t xml:space="preserve">that the </w:t>
      </w:r>
      <w:r w:rsidR="00C33D88">
        <w:t xml:space="preserve">share </w:t>
      </w:r>
      <w:r>
        <w:t xml:space="preserve">benefit should be valued.  It does, however, affect when </w:t>
      </w:r>
      <w:r w:rsidR="007F5543">
        <w:t>share benefits are</w:t>
      </w:r>
      <w:r>
        <w:t xml:space="preserve"> </w:t>
      </w:r>
      <w:r w:rsidR="006565FE">
        <w:t>reported</w:t>
      </w:r>
      <w:r w:rsidR="005A23D0">
        <w:t xml:space="preserve"> to Inland Revenue</w:t>
      </w:r>
      <w:r w:rsidR="00D95E0D">
        <w:t>.  I</w:t>
      </w:r>
      <w:r>
        <w:t>n some cases</w:t>
      </w:r>
      <w:r w:rsidR="00565E34">
        <w:t>,</w:t>
      </w:r>
      <w:r>
        <w:t xml:space="preserve"> such as when a benefit arises between the 16</w:t>
      </w:r>
      <w:r w:rsidRPr="00C61072">
        <w:rPr>
          <w:vertAlign w:val="superscript"/>
        </w:rPr>
        <w:t>th</w:t>
      </w:r>
      <w:r>
        <w:t xml:space="preserve"> and the last </w:t>
      </w:r>
      <w:r w:rsidR="00D66FEC">
        <w:t xml:space="preserve">day </w:t>
      </w:r>
      <w:r>
        <w:t>of March</w:t>
      </w:r>
      <w:r w:rsidR="00574545">
        <w:t>,</w:t>
      </w:r>
      <w:r>
        <w:t xml:space="preserve"> </w:t>
      </w:r>
      <w:r w:rsidR="00942B3A">
        <w:t xml:space="preserve">the rule </w:t>
      </w:r>
      <w:r>
        <w:t>shift</w:t>
      </w:r>
      <w:r w:rsidR="00942B3A">
        <w:t>s</w:t>
      </w:r>
      <w:r>
        <w:t xml:space="preserve"> employee income into the next </w:t>
      </w:r>
      <w:r w:rsidR="002E47DC">
        <w:t>tax</w:t>
      </w:r>
      <w:r>
        <w:t xml:space="preserve"> year.  </w:t>
      </w:r>
      <w:r w:rsidR="00D66FEC">
        <w:t>I</w:t>
      </w:r>
      <w:r w:rsidR="00D66FEC" w:rsidRPr="00391D37">
        <w:t xml:space="preserve">nland Revenue </w:t>
      </w:r>
      <w:r w:rsidR="005A23D0">
        <w:t>may</w:t>
      </w:r>
      <w:r w:rsidR="00D66FEC" w:rsidRPr="00391D37">
        <w:t xml:space="preserve"> investigate </w:t>
      </w:r>
      <w:r w:rsidR="00D66FEC" w:rsidRPr="00EB14E9">
        <w:t>instances where employees seek to exploit for personal advantage the deferred recognition of income for share benefit</w:t>
      </w:r>
      <w:r w:rsidR="00D66FEC">
        <w:t>s</w:t>
      </w:r>
      <w:r w:rsidR="00D66FEC" w:rsidRPr="00EB14E9">
        <w:t xml:space="preserve"> provided between 16 and 31 March if those share benefits are provided out of pattern with previous years or the decision to acquire shares is out of step with market conditions.</w:t>
      </w:r>
    </w:p>
    <w:p w:rsidR="009D0F18" w:rsidRDefault="009D0F18" w:rsidP="003927DC"/>
    <w:p w:rsidR="00995578" w:rsidRDefault="004104F4" w:rsidP="003927DC">
      <w:r>
        <w:t>Affected e</w:t>
      </w:r>
      <w:r w:rsidR="00995578">
        <w:t xml:space="preserve">mployers should raise </w:t>
      </w:r>
      <w:r>
        <w:t xml:space="preserve">the effect of this </w:t>
      </w:r>
      <w:r w:rsidR="004671C2">
        <w:t xml:space="preserve">new timing </w:t>
      </w:r>
      <w:r>
        <w:t>rule</w:t>
      </w:r>
      <w:r w:rsidR="00995578">
        <w:t xml:space="preserve"> with </w:t>
      </w:r>
      <w:r w:rsidR="00D66FEC">
        <w:t xml:space="preserve">their </w:t>
      </w:r>
      <w:r w:rsidR="00995578">
        <w:t>employees</w:t>
      </w:r>
      <w:r w:rsidR="00FC61D4">
        <w:t xml:space="preserve"> as it may affect </w:t>
      </w:r>
      <w:r w:rsidR="00455EB6">
        <w:t>their</w:t>
      </w:r>
      <w:r w:rsidR="00E50850">
        <w:t xml:space="preserve"> tax </w:t>
      </w:r>
      <w:r w:rsidR="00455EB6">
        <w:t>obligations</w:t>
      </w:r>
      <w:r w:rsidR="00E50850">
        <w:t xml:space="preserve"> for the income year and any associated</w:t>
      </w:r>
      <w:r w:rsidR="00FC61D4">
        <w:t xml:space="preserve"> social policy obligations and entitlements</w:t>
      </w:r>
      <w:r w:rsidR="00995578">
        <w:t>.</w:t>
      </w:r>
    </w:p>
    <w:p w:rsidR="004106F8" w:rsidRDefault="004106F8" w:rsidP="003927DC"/>
    <w:p w:rsidR="00B768A6" w:rsidRPr="00CE6886" w:rsidRDefault="00EE0DD8" w:rsidP="00CE6886">
      <w:pPr>
        <w:pStyle w:val="Heading2"/>
      </w:pPr>
      <w:r w:rsidRPr="00CE6886">
        <w:t>Withholding tax on employee share benefits under the PAYE system</w:t>
      </w:r>
    </w:p>
    <w:p w:rsidR="00B768A6" w:rsidRPr="00A342F6" w:rsidRDefault="00B768A6" w:rsidP="00243C8C"/>
    <w:p w:rsidR="00D471C7" w:rsidRDefault="00D471C7" w:rsidP="00D471C7">
      <w:r>
        <w:t>If the employer elects to withhold under new section RD 7B, share benefits received from a share purchase agreement are treated as an “extra pay” for the purposes of section RD 7 of the PAYE rules.  Such benefits are treated as a “PAYE income payment” under section RD 3.  This ensures that the obligation to pay tax is transferred from the employee to the employer under the PAYE rules.  The applicable rate of tax on the benefit will be determined by:</w:t>
      </w:r>
    </w:p>
    <w:p w:rsidR="00D471C7" w:rsidRDefault="00D471C7" w:rsidP="00D471C7"/>
    <w:p w:rsidR="00D471C7" w:rsidRDefault="00D471C7" w:rsidP="00D471C7">
      <w:pPr>
        <w:pStyle w:val="Bullets"/>
      </w:pPr>
      <w:r>
        <w:t>section RD 10, if the employee has made an election with their employer to fix the rate of tax on extra pays; or</w:t>
      </w:r>
    </w:p>
    <w:p w:rsidR="00D471C7" w:rsidRDefault="00D471C7" w:rsidP="00D471C7">
      <w:pPr>
        <w:pStyle w:val="Bullets"/>
        <w:spacing w:after="0"/>
      </w:pPr>
      <w:proofErr w:type="gramStart"/>
      <w:r>
        <w:t>section</w:t>
      </w:r>
      <w:proofErr w:type="gramEnd"/>
      <w:r>
        <w:t xml:space="preserve"> RD 17.</w:t>
      </w:r>
    </w:p>
    <w:p w:rsidR="001F367A" w:rsidRDefault="001F367A" w:rsidP="00B768A6"/>
    <w:p w:rsidR="00EE0DD8" w:rsidRDefault="0001468E" w:rsidP="00B768A6">
      <w:r>
        <w:t xml:space="preserve">For the purposes of section 33A of the Tax Administration Act, the employee is treated as a non-filing taxpayer </w:t>
      </w:r>
      <w:r w:rsidR="00656FDC">
        <w:t>when</w:t>
      </w:r>
      <w:r>
        <w:t xml:space="preserve"> the employer returns and pays tax </w:t>
      </w:r>
      <w:r w:rsidR="00B85413">
        <w:t>for the employee</w:t>
      </w:r>
      <w:r>
        <w:t>.</w:t>
      </w:r>
    </w:p>
    <w:p w:rsidR="0001468E" w:rsidRDefault="0001468E" w:rsidP="00B768A6"/>
    <w:p w:rsidR="000A623C" w:rsidRPr="00CE6886" w:rsidRDefault="000A623C" w:rsidP="00CE6886">
      <w:pPr>
        <w:pStyle w:val="Heading2"/>
      </w:pPr>
      <w:r w:rsidRPr="00CE6886">
        <w:t>Selling shares to meet PAYE withholding</w:t>
      </w:r>
    </w:p>
    <w:p w:rsidR="000A623C" w:rsidRDefault="000A623C" w:rsidP="00B768A6"/>
    <w:p w:rsidR="0056630E" w:rsidRDefault="00384686" w:rsidP="0056630E">
      <w:r>
        <w:t xml:space="preserve">Employers who sell shares to meet an employee’s tax liability will be acting on the employee’s behalf.  The tax treatment of the sale </w:t>
      </w:r>
      <w:r w:rsidR="0056630E">
        <w:t xml:space="preserve">of shares to meet employees’ tax obligations under the PAYE rules should not create a different outcome from the situation if the employee </w:t>
      </w:r>
      <w:r w:rsidR="00FE256B">
        <w:t>were</w:t>
      </w:r>
      <w:r w:rsidR="0056630E">
        <w:t xml:space="preserve"> to sell the shares themselves to meet a tax obligation.  If the shares vested in the employee were held on capital account then, in principle, any share disposal to meet tax obligations (independent of whether tax is withheld under PAYE) should not </w:t>
      </w:r>
      <w:r w:rsidR="0053311D">
        <w:t xml:space="preserve">result in those shares being </w:t>
      </w:r>
      <w:r w:rsidR="001807F7">
        <w:t xml:space="preserve">“tainted” and </w:t>
      </w:r>
      <w:r w:rsidR="00F37A24">
        <w:t xml:space="preserve">treated as </w:t>
      </w:r>
      <w:r w:rsidR="001807F7">
        <w:t>held</w:t>
      </w:r>
      <w:r w:rsidR="0053311D">
        <w:t xml:space="preserve"> on revenue account.</w:t>
      </w:r>
    </w:p>
    <w:p w:rsidR="000641F7" w:rsidRDefault="000641F7" w:rsidP="00B768A6"/>
    <w:p w:rsidR="007E43E5" w:rsidRPr="00CE6886" w:rsidRDefault="007E43E5" w:rsidP="00CE6886">
      <w:pPr>
        <w:pStyle w:val="Heading2"/>
      </w:pPr>
      <w:r w:rsidRPr="00CE6886">
        <w:t>Compliance obligations on employees</w:t>
      </w:r>
    </w:p>
    <w:p w:rsidR="007E43E5" w:rsidRDefault="007E43E5" w:rsidP="00B768A6"/>
    <w:p w:rsidR="007E43E5" w:rsidRDefault="0095182D" w:rsidP="00B768A6">
      <w:r>
        <w:t xml:space="preserve">The overarching purpose of the changes is to reduce the need for employees to complete an IR3 </w:t>
      </w:r>
      <w:r w:rsidR="00B85413">
        <w:t>return</w:t>
      </w:r>
      <w:r>
        <w:t xml:space="preserve"> or request </w:t>
      </w:r>
      <w:r w:rsidR="009E3FAB">
        <w:t xml:space="preserve">a </w:t>
      </w:r>
      <w:r w:rsidR="000D6D86">
        <w:t>personal t</w:t>
      </w:r>
      <w:r w:rsidR="009E3FAB">
        <w:t xml:space="preserve">ax </w:t>
      </w:r>
      <w:r w:rsidR="000D6D86">
        <w:t>s</w:t>
      </w:r>
      <w:r w:rsidR="009E3FAB">
        <w:t xml:space="preserve">ummary (PTS).  For employees whose employers have elected to withhold PAYE, there should be no further tax to pay on that share benefit income.  </w:t>
      </w:r>
      <w:r w:rsidR="00945480" w:rsidRPr="00456A23">
        <w:t xml:space="preserve">Employees </w:t>
      </w:r>
      <w:r w:rsidR="00456A23" w:rsidRPr="00456A23">
        <w:t>may</w:t>
      </w:r>
      <w:r w:rsidR="00945480" w:rsidRPr="00456A23">
        <w:t xml:space="preserve"> still have filing obligations if they have other </w:t>
      </w:r>
      <w:r w:rsidR="00A30FFB" w:rsidRPr="00456A23">
        <w:t>income</w:t>
      </w:r>
      <w:r w:rsidR="00945480" w:rsidRPr="00456A23">
        <w:t>.</w:t>
      </w:r>
    </w:p>
    <w:p w:rsidR="006D277F" w:rsidRDefault="006D277F" w:rsidP="00B768A6"/>
    <w:p w:rsidR="002D1D08" w:rsidRDefault="002D1D08">
      <w:pPr>
        <w:jc w:val="left"/>
      </w:pPr>
      <w:r>
        <w:br w:type="page"/>
      </w:r>
    </w:p>
    <w:p w:rsidR="007E43E5" w:rsidRDefault="00D64391" w:rsidP="00B768A6">
      <w:r>
        <w:t>Employees</w:t>
      </w:r>
      <w:r w:rsidR="009E215E">
        <w:t xml:space="preserve"> whose employer has </w:t>
      </w:r>
      <w:r w:rsidR="006565FE">
        <w:t>reported</w:t>
      </w:r>
      <w:r w:rsidR="0059645D">
        <w:t xml:space="preserve"> only</w:t>
      </w:r>
      <w:r w:rsidR="009E215E">
        <w:t xml:space="preserve"> the value </w:t>
      </w:r>
      <w:r w:rsidR="0059645D">
        <w:t xml:space="preserve">of </w:t>
      </w:r>
      <w:r w:rsidR="009E215E">
        <w:t xml:space="preserve">any share benefit will </w:t>
      </w:r>
      <w:r w:rsidR="00164096">
        <w:t>h</w:t>
      </w:r>
      <w:r w:rsidR="00A30FFB">
        <w:t xml:space="preserve">ave tax owing and should </w:t>
      </w:r>
      <w:r w:rsidR="000B0313">
        <w:t>arrange payment</w:t>
      </w:r>
      <w:r w:rsidR="00D25E4A">
        <w:t>.</w:t>
      </w:r>
    </w:p>
    <w:p w:rsidR="00A30FFB" w:rsidRDefault="00A30FFB" w:rsidP="00B768A6"/>
    <w:p w:rsidR="00305C65" w:rsidRDefault="00305C65" w:rsidP="00B768A6">
      <w:r>
        <w:t>Employees who receive employment income from a share benefit by way of selling share rights to another party</w:t>
      </w:r>
      <w:r w:rsidR="0059645D">
        <w:t>,</w:t>
      </w:r>
      <w:r>
        <w:t xml:space="preserve"> </w:t>
      </w:r>
      <w:r w:rsidR="00A7640C">
        <w:t>or an associate disposes of the share rights</w:t>
      </w:r>
      <w:r w:rsidR="0059645D">
        <w:t>,</w:t>
      </w:r>
      <w:r w:rsidR="00A7640C">
        <w:t xml:space="preserve"> </w:t>
      </w:r>
      <w:r>
        <w:t xml:space="preserve">will </w:t>
      </w:r>
      <w:r w:rsidR="00A7640C">
        <w:t xml:space="preserve">continue to have obligations </w:t>
      </w:r>
      <w:r>
        <w:t xml:space="preserve">to </w:t>
      </w:r>
      <w:r w:rsidR="001C602E">
        <w:t>report</w:t>
      </w:r>
      <w:r>
        <w:t xml:space="preserve"> that income to Inland Revenue.</w:t>
      </w:r>
    </w:p>
    <w:p w:rsidR="00305C65" w:rsidRDefault="00305C65" w:rsidP="00B768A6"/>
    <w:p w:rsidR="00305C65" w:rsidRDefault="00305C65" w:rsidP="00B768A6">
      <w:r>
        <w:t>Former emp</w:t>
      </w:r>
      <w:r w:rsidR="003A3F21">
        <w:t>loyees will need to be aware that their tax obligations ma</w:t>
      </w:r>
      <w:r w:rsidR="00AF61E6">
        <w:t>y be affected by their employer’s disclosure obligations and whether tax has been withheld on any share benefit that vests in the former employee</w:t>
      </w:r>
      <w:r w:rsidR="002C570E">
        <w:t>.</w:t>
      </w:r>
    </w:p>
    <w:p w:rsidR="00305C65" w:rsidRDefault="00305C65" w:rsidP="00B768A6"/>
    <w:p w:rsidR="00035CC4" w:rsidRPr="00CE6886" w:rsidRDefault="00035CC4" w:rsidP="00CE6886">
      <w:pPr>
        <w:pStyle w:val="Heading2"/>
      </w:pPr>
      <w:r w:rsidRPr="00CE6886">
        <w:t>Examples</w:t>
      </w:r>
    </w:p>
    <w:p w:rsidR="00035CC4" w:rsidRDefault="00035CC4" w:rsidP="00B768A6"/>
    <w:p w:rsidR="00035CC4" w:rsidRDefault="00035CC4" w:rsidP="00B768A6">
      <w:r>
        <w:t xml:space="preserve">Table </w:t>
      </w:r>
      <w:r w:rsidR="00B6019D">
        <w:t>2</w:t>
      </w:r>
      <w:r>
        <w:t xml:space="preserve"> sets out the </w:t>
      </w:r>
      <w:r w:rsidR="004745FB">
        <w:t xml:space="preserve">compliance </w:t>
      </w:r>
      <w:r>
        <w:t>implications for large and “small” employers in connection with the new rules</w:t>
      </w:r>
      <w:r w:rsidR="002C570E">
        <w:t xml:space="preserve"> for current employees</w:t>
      </w:r>
      <w:r>
        <w:t>.</w:t>
      </w:r>
    </w:p>
    <w:p w:rsidR="00A342F6" w:rsidRDefault="00A342F6" w:rsidP="00B768A6"/>
    <w:p w:rsidR="002D1D08" w:rsidRDefault="002D1D08" w:rsidP="002D1D08"/>
    <w:p w:rsidR="000A623C" w:rsidRPr="002D1D08" w:rsidRDefault="000A623C" w:rsidP="002D1D08">
      <w:pPr>
        <w:sectPr w:rsidR="000A623C" w:rsidRPr="002D1D08" w:rsidSect="00D84566">
          <w:footerReference w:type="default" r:id="rId9"/>
          <w:pgSz w:w="11906" w:h="16838"/>
          <w:pgMar w:top="1440" w:right="1440" w:bottom="1276" w:left="1440" w:header="708" w:footer="708" w:gutter="0"/>
          <w:cols w:space="708"/>
          <w:docGrid w:linePitch="360"/>
        </w:sectPr>
      </w:pPr>
    </w:p>
    <w:p w:rsidR="005B08B0" w:rsidRPr="00243C8C" w:rsidRDefault="00540F0B" w:rsidP="00CE6886">
      <w:pPr>
        <w:pStyle w:val="Tabletitle"/>
      </w:pPr>
      <w:r w:rsidRPr="00243C8C">
        <w:t xml:space="preserve">Table 2: </w:t>
      </w:r>
      <w:r w:rsidR="00C12832" w:rsidRPr="00243C8C">
        <w:t>Examples</w:t>
      </w:r>
    </w:p>
    <w:p w:rsidR="005B08B0" w:rsidRPr="00A342F6" w:rsidRDefault="005B08B0" w:rsidP="00617F9A">
      <w:pPr>
        <w:rPr>
          <w:szCs w:val="24"/>
        </w:rPr>
      </w:pPr>
    </w:p>
    <w:tbl>
      <w:tblPr>
        <w:tblStyle w:val="TableGrid"/>
        <w:tblW w:w="0" w:type="auto"/>
        <w:tblCellMar>
          <w:top w:w="57" w:type="dxa"/>
          <w:left w:w="57" w:type="dxa"/>
          <w:bottom w:w="57" w:type="dxa"/>
          <w:right w:w="57" w:type="dxa"/>
        </w:tblCellMar>
        <w:tblLook w:val="04A0" w:firstRow="1" w:lastRow="0" w:firstColumn="1" w:lastColumn="0" w:noHBand="0" w:noVBand="1"/>
        <w:tblCaption w:val="Table 2: Examples"/>
        <w:tblDescription w:val="Compliance implications for large and small employers."/>
      </w:tblPr>
      <w:tblGrid>
        <w:gridCol w:w="3878"/>
        <w:gridCol w:w="3878"/>
        <w:gridCol w:w="3878"/>
        <w:gridCol w:w="3878"/>
      </w:tblGrid>
      <w:tr w:rsidR="00B8080E" w:rsidRPr="002D1D08" w:rsidTr="00A30B9A">
        <w:trPr>
          <w:tblHeader/>
        </w:trPr>
        <w:tc>
          <w:tcPr>
            <w:tcW w:w="3889" w:type="dxa"/>
            <w:vAlign w:val="center"/>
          </w:tcPr>
          <w:p w:rsidR="00B8080E" w:rsidRPr="002D1D08" w:rsidRDefault="00B8080E" w:rsidP="002D1D08">
            <w:pPr>
              <w:jc w:val="center"/>
              <w:rPr>
                <w:b/>
                <w:sz w:val="22"/>
              </w:rPr>
            </w:pPr>
            <w:r w:rsidRPr="002D1D08">
              <w:rPr>
                <w:b/>
                <w:sz w:val="22"/>
              </w:rPr>
              <w:t>Facts</w:t>
            </w:r>
          </w:p>
        </w:tc>
        <w:tc>
          <w:tcPr>
            <w:tcW w:w="3890" w:type="dxa"/>
            <w:vAlign w:val="center"/>
          </w:tcPr>
          <w:p w:rsidR="00B8080E" w:rsidRPr="002D1D08" w:rsidRDefault="00B8080E" w:rsidP="002D1D08">
            <w:pPr>
              <w:jc w:val="center"/>
              <w:rPr>
                <w:b/>
                <w:sz w:val="22"/>
              </w:rPr>
            </w:pPr>
            <w:r w:rsidRPr="002D1D08">
              <w:rPr>
                <w:b/>
                <w:sz w:val="22"/>
              </w:rPr>
              <w:t xml:space="preserve">When employer reports </w:t>
            </w:r>
            <w:r w:rsidR="002D1D08" w:rsidRPr="002D1D08">
              <w:rPr>
                <w:b/>
                <w:sz w:val="22"/>
              </w:rPr>
              <w:br/>
            </w:r>
            <w:r w:rsidRPr="002D1D08">
              <w:rPr>
                <w:b/>
                <w:sz w:val="22"/>
              </w:rPr>
              <w:t>benefit</w:t>
            </w:r>
            <w:r w:rsidR="007F5022" w:rsidRPr="002D1D08">
              <w:rPr>
                <w:b/>
                <w:sz w:val="22"/>
              </w:rPr>
              <w:t>/pays tax</w:t>
            </w:r>
          </w:p>
        </w:tc>
        <w:tc>
          <w:tcPr>
            <w:tcW w:w="3890" w:type="dxa"/>
            <w:vAlign w:val="center"/>
          </w:tcPr>
          <w:p w:rsidR="00B8080E" w:rsidRPr="002D1D08" w:rsidRDefault="00B8080E" w:rsidP="002D1D08">
            <w:pPr>
              <w:jc w:val="center"/>
              <w:rPr>
                <w:b/>
                <w:sz w:val="22"/>
              </w:rPr>
            </w:pPr>
            <w:r w:rsidRPr="002D1D08">
              <w:rPr>
                <w:b/>
                <w:sz w:val="22"/>
              </w:rPr>
              <w:t xml:space="preserve">When treated as derived </w:t>
            </w:r>
            <w:r w:rsidR="002D1D08" w:rsidRPr="002D1D08">
              <w:rPr>
                <w:b/>
                <w:sz w:val="22"/>
              </w:rPr>
              <w:br/>
            </w:r>
            <w:r w:rsidRPr="002D1D08">
              <w:rPr>
                <w:b/>
                <w:sz w:val="22"/>
              </w:rPr>
              <w:t>by employee</w:t>
            </w:r>
          </w:p>
        </w:tc>
        <w:tc>
          <w:tcPr>
            <w:tcW w:w="3890" w:type="dxa"/>
            <w:vAlign w:val="center"/>
          </w:tcPr>
          <w:p w:rsidR="00B8080E" w:rsidRPr="002D1D08" w:rsidRDefault="00B8080E" w:rsidP="002D1D08">
            <w:pPr>
              <w:jc w:val="center"/>
              <w:rPr>
                <w:b/>
                <w:sz w:val="22"/>
              </w:rPr>
            </w:pPr>
            <w:r w:rsidRPr="002D1D08">
              <w:rPr>
                <w:b/>
                <w:sz w:val="22"/>
              </w:rPr>
              <w:t>Tax outcome</w:t>
            </w:r>
          </w:p>
        </w:tc>
      </w:tr>
      <w:tr w:rsidR="00B8080E" w:rsidRPr="003C5645" w:rsidTr="002D1D08">
        <w:tc>
          <w:tcPr>
            <w:tcW w:w="3889" w:type="dxa"/>
          </w:tcPr>
          <w:p w:rsidR="00B8080E" w:rsidRPr="003C5645" w:rsidRDefault="00B8080E" w:rsidP="002D1D08">
            <w:pPr>
              <w:spacing w:before="60" w:after="60"/>
              <w:ind w:left="284" w:hanging="284"/>
              <w:jc w:val="left"/>
              <w:rPr>
                <w:b/>
                <w:sz w:val="20"/>
                <w:szCs w:val="20"/>
              </w:rPr>
            </w:pPr>
            <w:r w:rsidRPr="003C5645">
              <w:rPr>
                <w:b/>
                <w:sz w:val="20"/>
                <w:szCs w:val="20"/>
              </w:rPr>
              <w:t>Large employer</w:t>
            </w:r>
          </w:p>
          <w:p w:rsidR="00B8080E" w:rsidRPr="003C5645" w:rsidRDefault="00B8080E" w:rsidP="002D1D08">
            <w:pPr>
              <w:pStyle w:val="ListParagraph"/>
              <w:numPr>
                <w:ilvl w:val="0"/>
                <w:numId w:val="49"/>
              </w:numPr>
              <w:spacing w:before="60" w:after="60"/>
              <w:ind w:left="284" w:hanging="284"/>
              <w:contextualSpacing w:val="0"/>
              <w:jc w:val="left"/>
              <w:rPr>
                <w:sz w:val="20"/>
                <w:szCs w:val="20"/>
              </w:rPr>
            </w:pPr>
            <w:r w:rsidRPr="003C5645">
              <w:rPr>
                <w:sz w:val="20"/>
                <w:szCs w:val="20"/>
              </w:rPr>
              <w:t>Share benefit v</w:t>
            </w:r>
            <w:r w:rsidR="00C820A8">
              <w:rPr>
                <w:sz w:val="20"/>
                <w:szCs w:val="20"/>
              </w:rPr>
              <w:t>ests in employee on 25 March 20</w:t>
            </w:r>
            <w:r w:rsidRPr="003C5645">
              <w:rPr>
                <w:sz w:val="20"/>
                <w:szCs w:val="20"/>
              </w:rPr>
              <w:t>1</w:t>
            </w:r>
            <w:r w:rsidR="00C820A8">
              <w:rPr>
                <w:sz w:val="20"/>
                <w:szCs w:val="20"/>
              </w:rPr>
              <w:t>8</w:t>
            </w:r>
            <w:r w:rsidR="003C5645">
              <w:rPr>
                <w:sz w:val="20"/>
                <w:szCs w:val="20"/>
              </w:rPr>
              <w:t>.</w:t>
            </w:r>
          </w:p>
          <w:p w:rsidR="00B8080E" w:rsidRPr="003C5645" w:rsidRDefault="00B8080E" w:rsidP="002D1D08">
            <w:pPr>
              <w:pStyle w:val="ListParagraph"/>
              <w:numPr>
                <w:ilvl w:val="0"/>
                <w:numId w:val="49"/>
              </w:numPr>
              <w:spacing w:before="60" w:after="60"/>
              <w:ind w:left="284" w:hanging="284"/>
              <w:contextualSpacing w:val="0"/>
              <w:jc w:val="left"/>
              <w:rPr>
                <w:sz w:val="20"/>
                <w:szCs w:val="20"/>
              </w:rPr>
            </w:pPr>
            <w:r w:rsidRPr="003C5645">
              <w:rPr>
                <w:sz w:val="20"/>
                <w:szCs w:val="20"/>
              </w:rPr>
              <w:t>Employer elects to withhold tax under section RD 7B of the Income Tax Act</w:t>
            </w:r>
            <w:r w:rsidR="003C5645">
              <w:rPr>
                <w:sz w:val="20"/>
                <w:szCs w:val="20"/>
              </w:rPr>
              <w:t>.</w:t>
            </w:r>
          </w:p>
        </w:tc>
        <w:tc>
          <w:tcPr>
            <w:tcW w:w="3890" w:type="dxa"/>
          </w:tcPr>
          <w:p w:rsidR="00F740DA" w:rsidRPr="003C5645" w:rsidRDefault="00F740DA" w:rsidP="002D1D08">
            <w:pPr>
              <w:spacing w:before="60" w:after="60"/>
              <w:ind w:left="284" w:hanging="284"/>
              <w:jc w:val="left"/>
              <w:rPr>
                <w:sz w:val="20"/>
                <w:szCs w:val="20"/>
              </w:rPr>
            </w:pPr>
          </w:p>
          <w:p w:rsidR="00B8080E" w:rsidRPr="003C5645" w:rsidRDefault="00B8080E" w:rsidP="002D1D08">
            <w:pPr>
              <w:pStyle w:val="ListParagraph"/>
              <w:numPr>
                <w:ilvl w:val="0"/>
                <w:numId w:val="49"/>
              </w:numPr>
              <w:spacing w:before="60" w:after="60"/>
              <w:ind w:left="284" w:hanging="284"/>
              <w:contextualSpacing w:val="0"/>
              <w:jc w:val="left"/>
              <w:rPr>
                <w:sz w:val="20"/>
                <w:szCs w:val="20"/>
              </w:rPr>
            </w:pPr>
            <w:r w:rsidRPr="003C5645">
              <w:rPr>
                <w:sz w:val="20"/>
                <w:szCs w:val="20"/>
              </w:rPr>
              <w:t>Employer records the benefit in the EMS for A</w:t>
            </w:r>
            <w:r w:rsidR="00D25E4A">
              <w:rPr>
                <w:sz w:val="20"/>
                <w:szCs w:val="20"/>
              </w:rPr>
              <w:t>pril</w:t>
            </w:r>
            <w:r w:rsidR="000C2116">
              <w:rPr>
                <w:sz w:val="20"/>
                <w:szCs w:val="20"/>
              </w:rPr>
              <w:t>, which</w:t>
            </w:r>
            <w:r w:rsidR="00D25E4A">
              <w:rPr>
                <w:sz w:val="20"/>
                <w:szCs w:val="20"/>
              </w:rPr>
              <w:t xml:space="preserve"> is returned on 5 May.</w:t>
            </w:r>
          </w:p>
          <w:p w:rsidR="00B8080E" w:rsidRPr="003C5645" w:rsidRDefault="00B8080E" w:rsidP="002D1D08">
            <w:pPr>
              <w:pStyle w:val="ListParagraph"/>
              <w:numPr>
                <w:ilvl w:val="0"/>
                <w:numId w:val="49"/>
              </w:numPr>
              <w:spacing w:before="60" w:after="60"/>
              <w:ind w:left="284" w:hanging="284"/>
              <w:contextualSpacing w:val="0"/>
              <w:jc w:val="left"/>
              <w:rPr>
                <w:sz w:val="20"/>
                <w:szCs w:val="20"/>
              </w:rPr>
            </w:pPr>
            <w:r w:rsidRPr="003C5645">
              <w:rPr>
                <w:sz w:val="20"/>
                <w:szCs w:val="20"/>
              </w:rPr>
              <w:t xml:space="preserve">Tax on the benefit is paid in the PAYE payment period </w:t>
            </w:r>
            <w:r w:rsidR="004E1B6B">
              <w:rPr>
                <w:sz w:val="20"/>
                <w:szCs w:val="20"/>
              </w:rPr>
              <w:t>due</w:t>
            </w:r>
            <w:r w:rsidR="00D25E4A">
              <w:rPr>
                <w:sz w:val="20"/>
                <w:szCs w:val="20"/>
              </w:rPr>
              <w:t xml:space="preserve"> 20 April.</w:t>
            </w:r>
          </w:p>
        </w:tc>
        <w:tc>
          <w:tcPr>
            <w:tcW w:w="3890" w:type="dxa"/>
          </w:tcPr>
          <w:p w:rsidR="00F740DA" w:rsidRPr="003C5645" w:rsidRDefault="00F740DA" w:rsidP="002D1D08">
            <w:pPr>
              <w:spacing w:before="60" w:after="60"/>
              <w:ind w:left="284" w:hanging="284"/>
              <w:jc w:val="left"/>
              <w:rPr>
                <w:sz w:val="20"/>
                <w:szCs w:val="20"/>
              </w:rPr>
            </w:pPr>
          </w:p>
          <w:p w:rsidR="00B8080E" w:rsidRPr="003C5645" w:rsidRDefault="00B8080E" w:rsidP="002D1D08">
            <w:pPr>
              <w:pStyle w:val="ListParagraph"/>
              <w:numPr>
                <w:ilvl w:val="0"/>
                <w:numId w:val="49"/>
              </w:numPr>
              <w:spacing w:before="60" w:after="60"/>
              <w:ind w:left="284" w:hanging="284"/>
              <w:contextualSpacing w:val="0"/>
              <w:jc w:val="left"/>
              <w:rPr>
                <w:sz w:val="20"/>
                <w:szCs w:val="20"/>
              </w:rPr>
            </w:pPr>
            <w:r w:rsidRPr="003C5645">
              <w:rPr>
                <w:sz w:val="20"/>
                <w:szCs w:val="20"/>
              </w:rPr>
              <w:t xml:space="preserve">Employee </w:t>
            </w:r>
            <w:r w:rsidR="00EC4F84">
              <w:rPr>
                <w:sz w:val="20"/>
                <w:szCs w:val="20"/>
              </w:rPr>
              <w:t>treats</w:t>
            </w:r>
            <w:r w:rsidRPr="003C5645">
              <w:rPr>
                <w:sz w:val="20"/>
                <w:szCs w:val="20"/>
              </w:rPr>
              <w:t xml:space="preserve"> the income as derived in April 20</w:t>
            </w:r>
            <w:r w:rsidR="00C820A8">
              <w:rPr>
                <w:sz w:val="20"/>
                <w:szCs w:val="20"/>
              </w:rPr>
              <w:t>18</w:t>
            </w:r>
            <w:r w:rsidRPr="003C5645">
              <w:rPr>
                <w:sz w:val="20"/>
                <w:szCs w:val="20"/>
              </w:rPr>
              <w:t xml:space="preserve">, the next </w:t>
            </w:r>
            <w:r w:rsidR="00C820A8">
              <w:rPr>
                <w:sz w:val="20"/>
                <w:szCs w:val="20"/>
              </w:rPr>
              <w:t>tax</w:t>
            </w:r>
            <w:r w:rsidRPr="003C5645">
              <w:rPr>
                <w:sz w:val="20"/>
                <w:szCs w:val="20"/>
              </w:rPr>
              <w:t xml:space="preserve"> year </w:t>
            </w:r>
            <w:r w:rsidR="00E84ACA">
              <w:rPr>
                <w:sz w:val="20"/>
                <w:szCs w:val="20"/>
              </w:rPr>
              <w:t>after the year in which</w:t>
            </w:r>
            <w:r w:rsidR="00F71012">
              <w:rPr>
                <w:sz w:val="20"/>
                <w:szCs w:val="20"/>
              </w:rPr>
              <w:t xml:space="preserve"> </w:t>
            </w:r>
            <w:r w:rsidRPr="003C5645">
              <w:rPr>
                <w:sz w:val="20"/>
                <w:szCs w:val="20"/>
              </w:rPr>
              <w:t>the benefit</w:t>
            </w:r>
            <w:r w:rsidR="000C2116">
              <w:rPr>
                <w:sz w:val="20"/>
                <w:szCs w:val="20"/>
              </w:rPr>
              <w:t xml:space="preserve"> is</w:t>
            </w:r>
            <w:r w:rsidRPr="003C5645">
              <w:rPr>
                <w:sz w:val="20"/>
                <w:szCs w:val="20"/>
              </w:rPr>
              <w:t xml:space="preserve"> vest</w:t>
            </w:r>
            <w:r w:rsidR="000C2116">
              <w:rPr>
                <w:sz w:val="20"/>
                <w:szCs w:val="20"/>
              </w:rPr>
              <w:t>ed</w:t>
            </w:r>
            <w:r w:rsidR="008B3E5C" w:rsidRPr="003C5645">
              <w:rPr>
                <w:sz w:val="20"/>
                <w:szCs w:val="20"/>
              </w:rPr>
              <w:t>.</w:t>
            </w:r>
          </w:p>
        </w:tc>
        <w:tc>
          <w:tcPr>
            <w:tcW w:w="3890" w:type="dxa"/>
          </w:tcPr>
          <w:p w:rsidR="00F740DA" w:rsidRPr="003C5645" w:rsidRDefault="00F740DA" w:rsidP="002D1D08">
            <w:pPr>
              <w:spacing w:before="60" w:after="60"/>
              <w:ind w:left="273" w:hanging="273"/>
              <w:jc w:val="left"/>
              <w:rPr>
                <w:sz w:val="20"/>
                <w:szCs w:val="20"/>
              </w:rPr>
            </w:pPr>
          </w:p>
          <w:p w:rsidR="00B8080E" w:rsidRPr="003C5645" w:rsidRDefault="00B8080E" w:rsidP="002D1D08">
            <w:pPr>
              <w:pStyle w:val="ListParagraph"/>
              <w:numPr>
                <w:ilvl w:val="0"/>
                <w:numId w:val="49"/>
              </w:numPr>
              <w:spacing w:before="60" w:after="60"/>
              <w:ind w:left="273" w:hanging="273"/>
              <w:contextualSpacing w:val="0"/>
              <w:jc w:val="left"/>
              <w:rPr>
                <w:sz w:val="20"/>
                <w:szCs w:val="20"/>
              </w:rPr>
            </w:pPr>
            <w:r w:rsidRPr="003C5645">
              <w:rPr>
                <w:sz w:val="20"/>
                <w:szCs w:val="20"/>
              </w:rPr>
              <w:t>Share benefit is treated as an extra pay under section RD 7.</w:t>
            </w:r>
          </w:p>
          <w:p w:rsidR="00B8080E" w:rsidRPr="003C5645" w:rsidRDefault="00B8080E" w:rsidP="002D1D08">
            <w:pPr>
              <w:pStyle w:val="ListParagraph"/>
              <w:numPr>
                <w:ilvl w:val="0"/>
                <w:numId w:val="49"/>
              </w:numPr>
              <w:spacing w:before="60" w:after="60"/>
              <w:ind w:left="273" w:hanging="273"/>
              <w:contextualSpacing w:val="0"/>
              <w:jc w:val="left"/>
              <w:rPr>
                <w:sz w:val="20"/>
                <w:szCs w:val="20"/>
              </w:rPr>
            </w:pPr>
            <w:r w:rsidRPr="003C5645">
              <w:rPr>
                <w:sz w:val="20"/>
                <w:szCs w:val="20"/>
              </w:rPr>
              <w:t>Tax is withheld</w:t>
            </w:r>
            <w:r w:rsidR="000C2116">
              <w:rPr>
                <w:sz w:val="20"/>
                <w:szCs w:val="20"/>
              </w:rPr>
              <w:t>,</w:t>
            </w:r>
            <w:r w:rsidRPr="003C5645">
              <w:rPr>
                <w:sz w:val="20"/>
                <w:szCs w:val="20"/>
              </w:rPr>
              <w:t xml:space="preserve"> assuming for the purposes of section RD 6</w:t>
            </w:r>
            <w:r w:rsidR="000C2116">
              <w:rPr>
                <w:sz w:val="20"/>
                <w:szCs w:val="20"/>
              </w:rPr>
              <w:t>,</w:t>
            </w:r>
            <w:r w:rsidRPr="003C5645">
              <w:rPr>
                <w:sz w:val="20"/>
                <w:szCs w:val="20"/>
              </w:rPr>
              <w:t xml:space="preserve"> that the benefit was paid on 1 April on the basis of the value of the share benefit as at 25 March</w:t>
            </w:r>
            <w:r w:rsidR="003C5645">
              <w:rPr>
                <w:sz w:val="20"/>
                <w:szCs w:val="20"/>
              </w:rPr>
              <w:t>.</w:t>
            </w:r>
          </w:p>
          <w:p w:rsidR="00B8080E" w:rsidRPr="003C5645" w:rsidRDefault="00B8080E" w:rsidP="002D1D08">
            <w:pPr>
              <w:pStyle w:val="ListParagraph"/>
              <w:numPr>
                <w:ilvl w:val="0"/>
                <w:numId w:val="49"/>
              </w:numPr>
              <w:spacing w:before="60" w:after="60"/>
              <w:ind w:left="273" w:hanging="273"/>
              <w:contextualSpacing w:val="0"/>
              <w:jc w:val="left"/>
              <w:rPr>
                <w:sz w:val="20"/>
                <w:szCs w:val="20"/>
              </w:rPr>
            </w:pPr>
            <w:r w:rsidRPr="003C5645">
              <w:rPr>
                <w:sz w:val="20"/>
                <w:szCs w:val="20"/>
              </w:rPr>
              <w:t xml:space="preserve">Employee has no obligation to separately </w:t>
            </w:r>
            <w:r w:rsidR="001C602E">
              <w:rPr>
                <w:sz w:val="20"/>
                <w:szCs w:val="20"/>
              </w:rPr>
              <w:t>report</w:t>
            </w:r>
            <w:r w:rsidRPr="003C5645">
              <w:rPr>
                <w:sz w:val="20"/>
                <w:szCs w:val="20"/>
              </w:rPr>
              <w:t xml:space="preserve"> the income or pay tax as these h</w:t>
            </w:r>
            <w:r w:rsidR="00D25E4A">
              <w:rPr>
                <w:sz w:val="20"/>
                <w:szCs w:val="20"/>
              </w:rPr>
              <w:t>ave been done by the employer.</w:t>
            </w:r>
          </w:p>
        </w:tc>
      </w:tr>
      <w:tr w:rsidR="00225D23" w:rsidRPr="003C5645" w:rsidTr="002D1D08">
        <w:tc>
          <w:tcPr>
            <w:tcW w:w="3889" w:type="dxa"/>
          </w:tcPr>
          <w:p w:rsidR="00225D23" w:rsidRPr="003C5645" w:rsidRDefault="00225D23" w:rsidP="002D1D08">
            <w:pPr>
              <w:spacing w:before="60" w:after="60"/>
              <w:ind w:left="284" w:hanging="284"/>
              <w:jc w:val="left"/>
              <w:rPr>
                <w:b/>
                <w:sz w:val="20"/>
                <w:szCs w:val="20"/>
              </w:rPr>
            </w:pPr>
            <w:r w:rsidRPr="003C5645">
              <w:rPr>
                <w:b/>
                <w:sz w:val="20"/>
                <w:szCs w:val="20"/>
              </w:rPr>
              <w:t>Large employer</w:t>
            </w:r>
          </w:p>
          <w:p w:rsidR="00225D23" w:rsidRPr="003C5645" w:rsidRDefault="00225D23" w:rsidP="002D1D08">
            <w:pPr>
              <w:pStyle w:val="ListParagraph"/>
              <w:numPr>
                <w:ilvl w:val="0"/>
                <w:numId w:val="50"/>
              </w:numPr>
              <w:spacing w:before="60" w:after="60"/>
              <w:ind w:left="284" w:hanging="284"/>
              <w:contextualSpacing w:val="0"/>
              <w:jc w:val="left"/>
              <w:rPr>
                <w:sz w:val="20"/>
                <w:szCs w:val="20"/>
              </w:rPr>
            </w:pPr>
            <w:r w:rsidRPr="003C5645">
              <w:rPr>
                <w:sz w:val="20"/>
                <w:szCs w:val="20"/>
              </w:rPr>
              <w:t>Share benefit vests in employee on 25 March 201</w:t>
            </w:r>
            <w:r w:rsidR="000D7EBC">
              <w:rPr>
                <w:sz w:val="20"/>
                <w:szCs w:val="20"/>
              </w:rPr>
              <w:t>8</w:t>
            </w:r>
            <w:r w:rsidR="003C5645">
              <w:rPr>
                <w:sz w:val="20"/>
                <w:szCs w:val="20"/>
              </w:rPr>
              <w:t>.</w:t>
            </w:r>
          </w:p>
          <w:p w:rsidR="00225D23" w:rsidRPr="003C5645" w:rsidRDefault="00225D23" w:rsidP="002D1D08">
            <w:pPr>
              <w:pStyle w:val="ListParagraph"/>
              <w:numPr>
                <w:ilvl w:val="0"/>
                <w:numId w:val="50"/>
              </w:numPr>
              <w:spacing w:before="60" w:after="60"/>
              <w:ind w:left="284" w:hanging="284"/>
              <w:contextualSpacing w:val="0"/>
              <w:jc w:val="left"/>
              <w:rPr>
                <w:sz w:val="20"/>
                <w:szCs w:val="20"/>
              </w:rPr>
            </w:pPr>
            <w:r w:rsidRPr="003C5645">
              <w:rPr>
                <w:sz w:val="20"/>
                <w:szCs w:val="20"/>
              </w:rPr>
              <w:t>Employer chooses not to withhold tax on the benefit</w:t>
            </w:r>
            <w:r w:rsidR="003C5645">
              <w:rPr>
                <w:sz w:val="20"/>
                <w:szCs w:val="20"/>
              </w:rPr>
              <w:t>.</w:t>
            </w:r>
          </w:p>
        </w:tc>
        <w:tc>
          <w:tcPr>
            <w:tcW w:w="3890" w:type="dxa"/>
          </w:tcPr>
          <w:p w:rsidR="00F740DA" w:rsidRPr="003C5645" w:rsidRDefault="00F740DA" w:rsidP="002D1D08">
            <w:pPr>
              <w:spacing w:before="60" w:after="60"/>
              <w:ind w:left="284" w:hanging="284"/>
              <w:jc w:val="left"/>
              <w:rPr>
                <w:sz w:val="20"/>
                <w:szCs w:val="20"/>
              </w:rPr>
            </w:pPr>
          </w:p>
          <w:p w:rsidR="00225D23" w:rsidRPr="003C5645" w:rsidRDefault="00225D23" w:rsidP="002D1D08">
            <w:pPr>
              <w:pStyle w:val="ListParagraph"/>
              <w:numPr>
                <w:ilvl w:val="0"/>
                <w:numId w:val="49"/>
              </w:numPr>
              <w:spacing w:before="60" w:after="60"/>
              <w:ind w:left="284" w:hanging="284"/>
              <w:contextualSpacing w:val="0"/>
              <w:jc w:val="left"/>
              <w:rPr>
                <w:sz w:val="20"/>
                <w:szCs w:val="20"/>
              </w:rPr>
            </w:pPr>
            <w:r w:rsidRPr="003C5645">
              <w:rPr>
                <w:sz w:val="20"/>
                <w:szCs w:val="20"/>
              </w:rPr>
              <w:t>Employer records the benefit in the EMS for April</w:t>
            </w:r>
            <w:r w:rsidR="00425C3E">
              <w:rPr>
                <w:sz w:val="20"/>
                <w:szCs w:val="20"/>
              </w:rPr>
              <w:t>,</w:t>
            </w:r>
            <w:r w:rsidRPr="003C5645">
              <w:rPr>
                <w:sz w:val="20"/>
                <w:szCs w:val="20"/>
              </w:rPr>
              <w:t xml:space="preserve"> </w:t>
            </w:r>
            <w:r w:rsidR="004E1B6B">
              <w:rPr>
                <w:sz w:val="20"/>
                <w:szCs w:val="20"/>
              </w:rPr>
              <w:t>which is due</w:t>
            </w:r>
            <w:r w:rsidR="00D25E4A">
              <w:rPr>
                <w:sz w:val="20"/>
                <w:szCs w:val="20"/>
              </w:rPr>
              <w:t xml:space="preserve"> on 5 May.</w:t>
            </w:r>
          </w:p>
        </w:tc>
        <w:tc>
          <w:tcPr>
            <w:tcW w:w="3890" w:type="dxa"/>
          </w:tcPr>
          <w:p w:rsidR="00F740DA" w:rsidRPr="003C5645" w:rsidRDefault="00F740DA" w:rsidP="002D1D08">
            <w:pPr>
              <w:spacing w:before="60" w:after="60"/>
              <w:ind w:left="284" w:hanging="284"/>
              <w:jc w:val="left"/>
              <w:rPr>
                <w:sz w:val="20"/>
                <w:szCs w:val="20"/>
              </w:rPr>
            </w:pPr>
          </w:p>
          <w:p w:rsidR="00225D23" w:rsidRPr="003C5645" w:rsidRDefault="00225D23" w:rsidP="002D1D08">
            <w:pPr>
              <w:pStyle w:val="ListParagraph"/>
              <w:numPr>
                <w:ilvl w:val="0"/>
                <w:numId w:val="49"/>
              </w:numPr>
              <w:spacing w:before="60" w:after="60"/>
              <w:ind w:left="284" w:hanging="284"/>
              <w:contextualSpacing w:val="0"/>
              <w:jc w:val="left"/>
              <w:rPr>
                <w:sz w:val="20"/>
                <w:szCs w:val="20"/>
              </w:rPr>
            </w:pPr>
            <w:r w:rsidRPr="003C5645">
              <w:rPr>
                <w:sz w:val="20"/>
                <w:szCs w:val="20"/>
              </w:rPr>
              <w:t xml:space="preserve">Employee </w:t>
            </w:r>
            <w:r w:rsidR="00EC4F84">
              <w:rPr>
                <w:sz w:val="20"/>
                <w:szCs w:val="20"/>
              </w:rPr>
              <w:t>treats</w:t>
            </w:r>
            <w:r w:rsidRPr="003C5645">
              <w:rPr>
                <w:sz w:val="20"/>
                <w:szCs w:val="20"/>
              </w:rPr>
              <w:t xml:space="preserve"> the income as derived in April 20</w:t>
            </w:r>
            <w:r w:rsidR="000D7EBC">
              <w:rPr>
                <w:sz w:val="20"/>
                <w:szCs w:val="20"/>
              </w:rPr>
              <w:t>18</w:t>
            </w:r>
            <w:r w:rsidRPr="003C5645">
              <w:rPr>
                <w:sz w:val="20"/>
                <w:szCs w:val="20"/>
              </w:rPr>
              <w:t xml:space="preserve">, the next </w:t>
            </w:r>
            <w:r w:rsidR="000D7EBC">
              <w:rPr>
                <w:sz w:val="20"/>
                <w:szCs w:val="20"/>
              </w:rPr>
              <w:t>tax</w:t>
            </w:r>
            <w:r w:rsidRPr="003C5645">
              <w:rPr>
                <w:sz w:val="20"/>
                <w:szCs w:val="20"/>
              </w:rPr>
              <w:t xml:space="preserve"> year </w:t>
            </w:r>
            <w:r w:rsidR="00F71012">
              <w:rPr>
                <w:sz w:val="20"/>
                <w:szCs w:val="20"/>
              </w:rPr>
              <w:t>after the year in which</w:t>
            </w:r>
            <w:r w:rsidR="00DB515F">
              <w:rPr>
                <w:sz w:val="20"/>
                <w:szCs w:val="20"/>
              </w:rPr>
              <w:t xml:space="preserve"> the</w:t>
            </w:r>
            <w:r w:rsidRPr="003C5645">
              <w:rPr>
                <w:sz w:val="20"/>
                <w:szCs w:val="20"/>
              </w:rPr>
              <w:t xml:space="preserve"> benefit </w:t>
            </w:r>
            <w:r w:rsidR="00425C3E">
              <w:rPr>
                <w:sz w:val="20"/>
                <w:szCs w:val="20"/>
              </w:rPr>
              <w:t xml:space="preserve">is </w:t>
            </w:r>
            <w:r w:rsidRPr="003C5645">
              <w:rPr>
                <w:sz w:val="20"/>
                <w:szCs w:val="20"/>
              </w:rPr>
              <w:t>vest</w:t>
            </w:r>
            <w:r w:rsidR="00425C3E">
              <w:rPr>
                <w:sz w:val="20"/>
                <w:szCs w:val="20"/>
              </w:rPr>
              <w:t>ed</w:t>
            </w:r>
            <w:r w:rsidR="008B3E5C" w:rsidRPr="003C5645">
              <w:rPr>
                <w:sz w:val="20"/>
                <w:szCs w:val="20"/>
              </w:rPr>
              <w:t>.</w:t>
            </w:r>
          </w:p>
        </w:tc>
        <w:tc>
          <w:tcPr>
            <w:tcW w:w="3890" w:type="dxa"/>
          </w:tcPr>
          <w:p w:rsidR="00F740DA" w:rsidRPr="003C5645" w:rsidRDefault="00F740DA" w:rsidP="002D1D08">
            <w:pPr>
              <w:spacing w:before="60" w:after="60"/>
              <w:ind w:left="273" w:hanging="273"/>
              <w:jc w:val="left"/>
              <w:rPr>
                <w:sz w:val="20"/>
                <w:szCs w:val="20"/>
              </w:rPr>
            </w:pPr>
          </w:p>
          <w:p w:rsidR="00225D23" w:rsidRPr="003C5645" w:rsidRDefault="00225D23" w:rsidP="002D1D08">
            <w:pPr>
              <w:pStyle w:val="ListParagraph"/>
              <w:numPr>
                <w:ilvl w:val="0"/>
                <w:numId w:val="49"/>
              </w:numPr>
              <w:spacing w:before="60" w:after="60"/>
              <w:ind w:left="273" w:hanging="273"/>
              <w:contextualSpacing w:val="0"/>
              <w:jc w:val="left"/>
              <w:rPr>
                <w:sz w:val="20"/>
                <w:szCs w:val="20"/>
              </w:rPr>
            </w:pPr>
            <w:r w:rsidRPr="003C5645">
              <w:rPr>
                <w:sz w:val="20"/>
                <w:szCs w:val="20"/>
              </w:rPr>
              <w:t xml:space="preserve">Employee has no obligation to </w:t>
            </w:r>
            <w:r w:rsidR="001C602E">
              <w:rPr>
                <w:sz w:val="20"/>
                <w:szCs w:val="20"/>
              </w:rPr>
              <w:t>report</w:t>
            </w:r>
            <w:r w:rsidRPr="003C5645">
              <w:rPr>
                <w:sz w:val="20"/>
                <w:szCs w:val="20"/>
              </w:rPr>
              <w:t xml:space="preserve"> the income</w:t>
            </w:r>
            <w:r w:rsidR="00425C3E">
              <w:rPr>
                <w:sz w:val="20"/>
                <w:szCs w:val="20"/>
              </w:rPr>
              <w:t xml:space="preserve"> </w:t>
            </w:r>
            <w:r w:rsidR="00425C3E" w:rsidRPr="003C5645">
              <w:rPr>
                <w:sz w:val="20"/>
                <w:szCs w:val="20"/>
              </w:rPr>
              <w:t>separately</w:t>
            </w:r>
            <w:r w:rsidRPr="003C5645">
              <w:rPr>
                <w:sz w:val="20"/>
                <w:szCs w:val="20"/>
              </w:rPr>
              <w:t xml:space="preserve"> but will need to pay tax</w:t>
            </w:r>
            <w:r w:rsidR="00D25E4A">
              <w:rPr>
                <w:sz w:val="20"/>
                <w:szCs w:val="20"/>
              </w:rPr>
              <w:t xml:space="preserve"> on the value of share benefit.</w:t>
            </w:r>
          </w:p>
        </w:tc>
      </w:tr>
      <w:tr w:rsidR="008B3E5C" w:rsidRPr="003C5645" w:rsidTr="002D1D08">
        <w:tc>
          <w:tcPr>
            <w:tcW w:w="3889" w:type="dxa"/>
          </w:tcPr>
          <w:p w:rsidR="008B3E5C" w:rsidRPr="003C5645" w:rsidRDefault="008B3E5C" w:rsidP="002D1D08">
            <w:pPr>
              <w:spacing w:before="60" w:after="60"/>
              <w:ind w:left="284" w:hanging="284"/>
              <w:jc w:val="left"/>
              <w:rPr>
                <w:b/>
                <w:sz w:val="20"/>
                <w:szCs w:val="20"/>
              </w:rPr>
            </w:pPr>
            <w:r w:rsidRPr="003C5645">
              <w:rPr>
                <w:b/>
                <w:sz w:val="20"/>
                <w:szCs w:val="20"/>
              </w:rPr>
              <w:t>“Small” employer</w:t>
            </w:r>
          </w:p>
          <w:p w:rsidR="008B3E5C" w:rsidRPr="003C5645" w:rsidRDefault="008B3E5C" w:rsidP="002D1D08">
            <w:pPr>
              <w:pStyle w:val="ListParagraph"/>
              <w:numPr>
                <w:ilvl w:val="0"/>
                <w:numId w:val="49"/>
              </w:numPr>
              <w:spacing w:before="60" w:after="60"/>
              <w:ind w:left="284" w:hanging="284"/>
              <w:contextualSpacing w:val="0"/>
              <w:jc w:val="left"/>
              <w:rPr>
                <w:sz w:val="20"/>
                <w:szCs w:val="20"/>
              </w:rPr>
            </w:pPr>
            <w:r w:rsidRPr="003C5645">
              <w:rPr>
                <w:sz w:val="20"/>
                <w:szCs w:val="20"/>
              </w:rPr>
              <w:t xml:space="preserve">Share benefit vests in employee on 25 March </w:t>
            </w:r>
            <w:r w:rsidR="00BE68CB">
              <w:rPr>
                <w:sz w:val="20"/>
                <w:szCs w:val="20"/>
              </w:rPr>
              <w:t>2018</w:t>
            </w:r>
            <w:r w:rsidR="003C5645">
              <w:rPr>
                <w:sz w:val="20"/>
                <w:szCs w:val="20"/>
              </w:rPr>
              <w:t>.</w:t>
            </w:r>
          </w:p>
          <w:p w:rsidR="008B3E5C" w:rsidRPr="003C5645" w:rsidRDefault="008B3E5C" w:rsidP="002D1D08">
            <w:pPr>
              <w:pStyle w:val="ListParagraph"/>
              <w:numPr>
                <w:ilvl w:val="0"/>
                <w:numId w:val="49"/>
              </w:numPr>
              <w:spacing w:before="60" w:after="60"/>
              <w:ind w:left="284" w:hanging="284"/>
              <w:contextualSpacing w:val="0"/>
              <w:jc w:val="left"/>
              <w:rPr>
                <w:sz w:val="20"/>
                <w:szCs w:val="20"/>
              </w:rPr>
            </w:pPr>
            <w:r w:rsidRPr="003C5645">
              <w:rPr>
                <w:sz w:val="20"/>
                <w:szCs w:val="20"/>
              </w:rPr>
              <w:t>Employer elects to withhold tax under section RD 7B of the Income Tax Act</w:t>
            </w:r>
            <w:r w:rsidR="003C5645">
              <w:rPr>
                <w:sz w:val="20"/>
                <w:szCs w:val="20"/>
              </w:rPr>
              <w:t>.</w:t>
            </w:r>
          </w:p>
        </w:tc>
        <w:tc>
          <w:tcPr>
            <w:tcW w:w="3890" w:type="dxa"/>
          </w:tcPr>
          <w:p w:rsidR="008B3E5C" w:rsidRPr="003C5645" w:rsidRDefault="008B3E5C" w:rsidP="002D1D08">
            <w:pPr>
              <w:spacing w:before="60" w:after="60"/>
              <w:ind w:left="284" w:hanging="284"/>
              <w:jc w:val="left"/>
              <w:rPr>
                <w:sz w:val="20"/>
                <w:szCs w:val="20"/>
              </w:rPr>
            </w:pPr>
          </w:p>
          <w:p w:rsidR="008B3E5C" w:rsidRPr="003C5645" w:rsidRDefault="008B3E5C" w:rsidP="002D1D08">
            <w:pPr>
              <w:pStyle w:val="ListParagraph"/>
              <w:numPr>
                <w:ilvl w:val="0"/>
                <w:numId w:val="49"/>
              </w:numPr>
              <w:spacing w:before="60" w:after="60"/>
              <w:ind w:left="284" w:hanging="284"/>
              <w:contextualSpacing w:val="0"/>
              <w:jc w:val="left"/>
              <w:rPr>
                <w:sz w:val="20"/>
                <w:szCs w:val="20"/>
              </w:rPr>
            </w:pPr>
            <w:r w:rsidRPr="003C5645">
              <w:rPr>
                <w:sz w:val="20"/>
                <w:szCs w:val="20"/>
              </w:rPr>
              <w:t>Employer records the benefit in the EMS for March</w:t>
            </w:r>
            <w:r w:rsidR="00425C3E">
              <w:rPr>
                <w:sz w:val="20"/>
                <w:szCs w:val="20"/>
              </w:rPr>
              <w:t>, which</w:t>
            </w:r>
            <w:r w:rsidRPr="003C5645">
              <w:rPr>
                <w:sz w:val="20"/>
                <w:szCs w:val="20"/>
              </w:rPr>
              <w:t xml:space="preserve"> is returned on 20 April.</w:t>
            </w:r>
          </w:p>
          <w:p w:rsidR="008B3E5C" w:rsidRPr="003C5645" w:rsidRDefault="008B3E5C" w:rsidP="002D1D08">
            <w:pPr>
              <w:pStyle w:val="ListParagraph"/>
              <w:numPr>
                <w:ilvl w:val="0"/>
                <w:numId w:val="49"/>
              </w:numPr>
              <w:spacing w:before="60" w:after="60"/>
              <w:ind w:left="284" w:hanging="284"/>
              <w:contextualSpacing w:val="0"/>
              <w:jc w:val="left"/>
              <w:rPr>
                <w:sz w:val="20"/>
                <w:szCs w:val="20"/>
              </w:rPr>
            </w:pPr>
            <w:r w:rsidRPr="003C5645">
              <w:rPr>
                <w:sz w:val="20"/>
                <w:szCs w:val="20"/>
              </w:rPr>
              <w:t xml:space="preserve">Tax on the benefit is paid in the PAYE payment period </w:t>
            </w:r>
            <w:r w:rsidR="004E1B6B">
              <w:rPr>
                <w:sz w:val="20"/>
                <w:szCs w:val="20"/>
              </w:rPr>
              <w:t>due</w:t>
            </w:r>
            <w:r w:rsidR="00D25E4A">
              <w:rPr>
                <w:sz w:val="20"/>
                <w:szCs w:val="20"/>
              </w:rPr>
              <w:t xml:space="preserve"> 20 April.</w:t>
            </w:r>
          </w:p>
        </w:tc>
        <w:tc>
          <w:tcPr>
            <w:tcW w:w="3890" w:type="dxa"/>
          </w:tcPr>
          <w:p w:rsidR="008B3E5C" w:rsidRPr="003C5645" w:rsidRDefault="008B3E5C" w:rsidP="002D1D08">
            <w:pPr>
              <w:pStyle w:val="ListParagraph"/>
              <w:spacing w:before="60" w:after="60"/>
              <w:ind w:left="284" w:hanging="284"/>
              <w:contextualSpacing w:val="0"/>
              <w:jc w:val="left"/>
              <w:rPr>
                <w:sz w:val="20"/>
                <w:szCs w:val="20"/>
              </w:rPr>
            </w:pPr>
          </w:p>
          <w:p w:rsidR="008B3E5C" w:rsidRPr="003C5645" w:rsidRDefault="008B3E5C" w:rsidP="002D1D08">
            <w:pPr>
              <w:pStyle w:val="ListParagraph"/>
              <w:numPr>
                <w:ilvl w:val="0"/>
                <w:numId w:val="49"/>
              </w:numPr>
              <w:spacing w:before="60" w:after="60"/>
              <w:ind w:left="284" w:hanging="284"/>
              <w:contextualSpacing w:val="0"/>
              <w:jc w:val="left"/>
              <w:rPr>
                <w:sz w:val="20"/>
                <w:szCs w:val="20"/>
              </w:rPr>
            </w:pPr>
            <w:r w:rsidRPr="003C5645">
              <w:rPr>
                <w:sz w:val="20"/>
                <w:szCs w:val="20"/>
              </w:rPr>
              <w:t xml:space="preserve">Employee </w:t>
            </w:r>
            <w:r w:rsidR="00EC4F84">
              <w:rPr>
                <w:sz w:val="20"/>
                <w:szCs w:val="20"/>
              </w:rPr>
              <w:t>treats</w:t>
            </w:r>
            <w:r w:rsidRPr="003C5645">
              <w:rPr>
                <w:sz w:val="20"/>
                <w:szCs w:val="20"/>
              </w:rPr>
              <w:t xml:space="preserve"> the income as derived in March 20</w:t>
            </w:r>
            <w:r w:rsidR="00730B4F">
              <w:rPr>
                <w:sz w:val="20"/>
                <w:szCs w:val="20"/>
              </w:rPr>
              <w:t>18</w:t>
            </w:r>
            <w:r w:rsidRPr="003C5645">
              <w:rPr>
                <w:sz w:val="20"/>
                <w:szCs w:val="20"/>
              </w:rPr>
              <w:t>.</w:t>
            </w:r>
          </w:p>
        </w:tc>
        <w:tc>
          <w:tcPr>
            <w:tcW w:w="3890" w:type="dxa"/>
          </w:tcPr>
          <w:p w:rsidR="008B3E5C" w:rsidRPr="003C5645" w:rsidRDefault="008B3E5C" w:rsidP="002D1D08">
            <w:pPr>
              <w:spacing w:before="60" w:after="60"/>
              <w:ind w:left="273" w:hanging="273"/>
              <w:jc w:val="left"/>
              <w:rPr>
                <w:sz w:val="20"/>
                <w:szCs w:val="20"/>
              </w:rPr>
            </w:pPr>
          </w:p>
          <w:p w:rsidR="008B3E5C" w:rsidRPr="003C5645" w:rsidRDefault="008B3E5C" w:rsidP="002D1D08">
            <w:pPr>
              <w:pStyle w:val="ListParagraph"/>
              <w:numPr>
                <w:ilvl w:val="0"/>
                <w:numId w:val="49"/>
              </w:numPr>
              <w:spacing w:before="60" w:after="60"/>
              <w:ind w:left="273" w:hanging="273"/>
              <w:contextualSpacing w:val="0"/>
              <w:jc w:val="left"/>
              <w:rPr>
                <w:sz w:val="20"/>
                <w:szCs w:val="20"/>
              </w:rPr>
            </w:pPr>
            <w:r w:rsidRPr="003C5645">
              <w:rPr>
                <w:sz w:val="20"/>
                <w:szCs w:val="20"/>
              </w:rPr>
              <w:t>Share benefit is treated as an extra pay under section RD 7.</w:t>
            </w:r>
          </w:p>
          <w:p w:rsidR="008B3E5C" w:rsidRPr="003C5645" w:rsidRDefault="008B3E5C" w:rsidP="002D1D08">
            <w:pPr>
              <w:pStyle w:val="ListParagraph"/>
              <w:numPr>
                <w:ilvl w:val="0"/>
                <w:numId w:val="49"/>
              </w:numPr>
              <w:spacing w:before="60" w:after="60"/>
              <w:ind w:left="273" w:hanging="273"/>
              <w:contextualSpacing w:val="0"/>
              <w:jc w:val="left"/>
              <w:rPr>
                <w:sz w:val="20"/>
                <w:szCs w:val="20"/>
              </w:rPr>
            </w:pPr>
            <w:r w:rsidRPr="003C5645">
              <w:rPr>
                <w:sz w:val="20"/>
                <w:szCs w:val="20"/>
              </w:rPr>
              <w:t xml:space="preserve">Tax is withheld for the purposes of section RD 6 </w:t>
            </w:r>
            <w:r w:rsidR="00141118">
              <w:rPr>
                <w:sz w:val="20"/>
                <w:szCs w:val="20"/>
              </w:rPr>
              <w:t>when</w:t>
            </w:r>
            <w:r w:rsidRPr="003C5645">
              <w:rPr>
                <w:sz w:val="20"/>
                <w:szCs w:val="20"/>
              </w:rPr>
              <w:t xml:space="preserve"> the benefit was paid on </w:t>
            </w:r>
            <w:r w:rsidR="00141118">
              <w:rPr>
                <w:sz w:val="20"/>
                <w:szCs w:val="20"/>
              </w:rPr>
              <w:t>25</w:t>
            </w:r>
            <w:r w:rsidRPr="003C5645">
              <w:rPr>
                <w:sz w:val="20"/>
                <w:szCs w:val="20"/>
              </w:rPr>
              <w:t xml:space="preserve"> </w:t>
            </w:r>
            <w:r w:rsidR="00141118">
              <w:rPr>
                <w:sz w:val="20"/>
                <w:szCs w:val="20"/>
              </w:rPr>
              <w:t xml:space="preserve">March </w:t>
            </w:r>
            <w:r w:rsidR="000401C2">
              <w:rPr>
                <w:sz w:val="20"/>
                <w:szCs w:val="20"/>
              </w:rPr>
              <w:t xml:space="preserve">using the </w:t>
            </w:r>
            <w:r w:rsidRPr="003C5645">
              <w:rPr>
                <w:sz w:val="20"/>
                <w:szCs w:val="20"/>
              </w:rPr>
              <w:t>value of the share benefit as at 25 March</w:t>
            </w:r>
            <w:r w:rsidR="003C5645">
              <w:rPr>
                <w:sz w:val="20"/>
                <w:szCs w:val="20"/>
              </w:rPr>
              <w:t>.</w:t>
            </w:r>
          </w:p>
          <w:p w:rsidR="008B3E5C" w:rsidRPr="003C5645" w:rsidRDefault="008B3E5C" w:rsidP="002D1D08">
            <w:pPr>
              <w:pStyle w:val="ListParagraph"/>
              <w:numPr>
                <w:ilvl w:val="0"/>
                <w:numId w:val="49"/>
              </w:numPr>
              <w:spacing w:before="60" w:after="60"/>
              <w:ind w:left="273" w:hanging="273"/>
              <w:contextualSpacing w:val="0"/>
              <w:jc w:val="left"/>
              <w:rPr>
                <w:sz w:val="20"/>
                <w:szCs w:val="20"/>
              </w:rPr>
            </w:pPr>
            <w:r w:rsidRPr="003C5645">
              <w:rPr>
                <w:sz w:val="20"/>
                <w:szCs w:val="20"/>
              </w:rPr>
              <w:t xml:space="preserve">Employee has no obligation to separately </w:t>
            </w:r>
            <w:r w:rsidR="001C602E">
              <w:rPr>
                <w:sz w:val="20"/>
                <w:szCs w:val="20"/>
              </w:rPr>
              <w:t>report</w:t>
            </w:r>
            <w:r w:rsidRPr="003C5645">
              <w:rPr>
                <w:sz w:val="20"/>
                <w:szCs w:val="20"/>
              </w:rPr>
              <w:t xml:space="preserve"> the income or pay tax as these h</w:t>
            </w:r>
            <w:r w:rsidR="00D25E4A">
              <w:rPr>
                <w:sz w:val="20"/>
                <w:szCs w:val="20"/>
              </w:rPr>
              <w:t>ave been done by the employer.</w:t>
            </w:r>
          </w:p>
        </w:tc>
      </w:tr>
      <w:tr w:rsidR="008B3E5C" w:rsidRPr="003C5645" w:rsidTr="002D1D08">
        <w:tc>
          <w:tcPr>
            <w:tcW w:w="3889" w:type="dxa"/>
          </w:tcPr>
          <w:p w:rsidR="008B3E5C" w:rsidRPr="003C5645" w:rsidRDefault="008B3E5C" w:rsidP="002D1D08">
            <w:pPr>
              <w:spacing w:before="60" w:after="60"/>
              <w:ind w:left="284" w:hanging="284"/>
              <w:jc w:val="left"/>
              <w:rPr>
                <w:b/>
                <w:sz w:val="20"/>
                <w:szCs w:val="20"/>
              </w:rPr>
            </w:pPr>
            <w:r w:rsidRPr="003C5645">
              <w:rPr>
                <w:b/>
                <w:sz w:val="20"/>
                <w:szCs w:val="20"/>
              </w:rPr>
              <w:t>“Small” employer</w:t>
            </w:r>
          </w:p>
          <w:p w:rsidR="008B3E5C" w:rsidRPr="003C5645" w:rsidRDefault="008B3E5C" w:rsidP="002D1D08">
            <w:pPr>
              <w:pStyle w:val="ListParagraph"/>
              <w:numPr>
                <w:ilvl w:val="0"/>
                <w:numId w:val="50"/>
              </w:numPr>
              <w:spacing w:before="60" w:after="60"/>
              <w:ind w:left="284" w:hanging="284"/>
              <w:contextualSpacing w:val="0"/>
              <w:jc w:val="left"/>
              <w:rPr>
                <w:sz w:val="20"/>
                <w:szCs w:val="20"/>
              </w:rPr>
            </w:pPr>
            <w:r w:rsidRPr="003C5645">
              <w:rPr>
                <w:sz w:val="20"/>
                <w:szCs w:val="20"/>
              </w:rPr>
              <w:t>Share benefit vests in employee on 25 March 20</w:t>
            </w:r>
            <w:r w:rsidR="00BE68CB">
              <w:rPr>
                <w:sz w:val="20"/>
                <w:szCs w:val="20"/>
              </w:rPr>
              <w:t>18</w:t>
            </w:r>
            <w:r w:rsidR="003C5645">
              <w:rPr>
                <w:sz w:val="20"/>
                <w:szCs w:val="20"/>
              </w:rPr>
              <w:t>.</w:t>
            </w:r>
          </w:p>
          <w:p w:rsidR="008B3E5C" w:rsidRPr="003C5645" w:rsidRDefault="008B3E5C" w:rsidP="002D1D08">
            <w:pPr>
              <w:pStyle w:val="ListParagraph"/>
              <w:numPr>
                <w:ilvl w:val="0"/>
                <w:numId w:val="50"/>
              </w:numPr>
              <w:spacing w:before="60" w:after="60"/>
              <w:ind w:left="284" w:hanging="284"/>
              <w:contextualSpacing w:val="0"/>
              <w:jc w:val="left"/>
              <w:rPr>
                <w:sz w:val="20"/>
                <w:szCs w:val="20"/>
              </w:rPr>
            </w:pPr>
            <w:r w:rsidRPr="003C5645">
              <w:rPr>
                <w:sz w:val="20"/>
                <w:szCs w:val="20"/>
              </w:rPr>
              <w:t>Employer chooses not to withhold tax on the benefit</w:t>
            </w:r>
            <w:r w:rsidR="003C5645">
              <w:rPr>
                <w:sz w:val="20"/>
                <w:szCs w:val="20"/>
              </w:rPr>
              <w:t>.</w:t>
            </w:r>
          </w:p>
        </w:tc>
        <w:tc>
          <w:tcPr>
            <w:tcW w:w="3890" w:type="dxa"/>
          </w:tcPr>
          <w:p w:rsidR="008B3E5C" w:rsidRPr="003C5645" w:rsidRDefault="008B3E5C" w:rsidP="002D1D08">
            <w:pPr>
              <w:pStyle w:val="ListParagraph"/>
              <w:spacing w:before="60" w:after="60"/>
              <w:ind w:left="284" w:hanging="284"/>
              <w:contextualSpacing w:val="0"/>
              <w:jc w:val="left"/>
              <w:rPr>
                <w:sz w:val="20"/>
                <w:szCs w:val="20"/>
              </w:rPr>
            </w:pPr>
          </w:p>
          <w:p w:rsidR="008B3E5C" w:rsidRPr="003C5645" w:rsidRDefault="008B3E5C" w:rsidP="002D1D08">
            <w:pPr>
              <w:pStyle w:val="ListParagraph"/>
              <w:numPr>
                <w:ilvl w:val="0"/>
                <w:numId w:val="49"/>
              </w:numPr>
              <w:spacing w:before="60" w:after="60"/>
              <w:ind w:left="284" w:hanging="284"/>
              <w:contextualSpacing w:val="0"/>
              <w:jc w:val="left"/>
              <w:rPr>
                <w:sz w:val="20"/>
                <w:szCs w:val="20"/>
              </w:rPr>
            </w:pPr>
            <w:r w:rsidRPr="003C5645">
              <w:rPr>
                <w:sz w:val="20"/>
                <w:szCs w:val="20"/>
              </w:rPr>
              <w:t>Employer records the benefit in the EMS for March</w:t>
            </w:r>
            <w:r w:rsidR="00425C3E">
              <w:rPr>
                <w:sz w:val="20"/>
                <w:szCs w:val="20"/>
              </w:rPr>
              <w:t>,</w:t>
            </w:r>
            <w:r w:rsidRPr="003C5645">
              <w:rPr>
                <w:sz w:val="20"/>
                <w:szCs w:val="20"/>
              </w:rPr>
              <w:t xml:space="preserve"> </w:t>
            </w:r>
            <w:r w:rsidR="004E1B6B">
              <w:rPr>
                <w:sz w:val="20"/>
                <w:szCs w:val="20"/>
              </w:rPr>
              <w:t>which is due</w:t>
            </w:r>
            <w:r w:rsidR="00D25E4A">
              <w:rPr>
                <w:sz w:val="20"/>
                <w:szCs w:val="20"/>
              </w:rPr>
              <w:t xml:space="preserve"> on 20 April.</w:t>
            </w:r>
          </w:p>
        </w:tc>
        <w:tc>
          <w:tcPr>
            <w:tcW w:w="3890" w:type="dxa"/>
          </w:tcPr>
          <w:p w:rsidR="008B3E5C" w:rsidRPr="003C5645" w:rsidRDefault="008B3E5C" w:rsidP="002D1D08">
            <w:pPr>
              <w:pStyle w:val="ListParagraph"/>
              <w:spacing w:before="60" w:after="60"/>
              <w:ind w:left="284" w:hanging="284"/>
              <w:contextualSpacing w:val="0"/>
              <w:jc w:val="left"/>
              <w:rPr>
                <w:sz w:val="20"/>
                <w:szCs w:val="20"/>
              </w:rPr>
            </w:pPr>
          </w:p>
          <w:p w:rsidR="008B3E5C" w:rsidRPr="003C5645" w:rsidRDefault="008B3E5C" w:rsidP="002D1D08">
            <w:pPr>
              <w:pStyle w:val="ListParagraph"/>
              <w:numPr>
                <w:ilvl w:val="0"/>
                <w:numId w:val="49"/>
              </w:numPr>
              <w:spacing w:before="60" w:after="60"/>
              <w:ind w:left="284" w:hanging="284"/>
              <w:contextualSpacing w:val="0"/>
              <w:jc w:val="left"/>
              <w:rPr>
                <w:sz w:val="20"/>
                <w:szCs w:val="20"/>
              </w:rPr>
            </w:pPr>
            <w:r w:rsidRPr="003C5645">
              <w:rPr>
                <w:sz w:val="20"/>
                <w:szCs w:val="20"/>
              </w:rPr>
              <w:t xml:space="preserve">Employee </w:t>
            </w:r>
            <w:r w:rsidR="00EC4F84">
              <w:rPr>
                <w:sz w:val="20"/>
                <w:szCs w:val="20"/>
              </w:rPr>
              <w:t>treats</w:t>
            </w:r>
            <w:r w:rsidRPr="003C5645">
              <w:rPr>
                <w:sz w:val="20"/>
                <w:szCs w:val="20"/>
              </w:rPr>
              <w:t xml:space="preserve"> the income as derived in March 20</w:t>
            </w:r>
            <w:r w:rsidR="00730B4F">
              <w:rPr>
                <w:sz w:val="20"/>
                <w:szCs w:val="20"/>
              </w:rPr>
              <w:t>18</w:t>
            </w:r>
            <w:r w:rsidRPr="003C5645">
              <w:rPr>
                <w:sz w:val="20"/>
                <w:szCs w:val="20"/>
              </w:rPr>
              <w:t>.</w:t>
            </w:r>
          </w:p>
        </w:tc>
        <w:tc>
          <w:tcPr>
            <w:tcW w:w="3890" w:type="dxa"/>
          </w:tcPr>
          <w:p w:rsidR="008B3E5C" w:rsidRPr="003C5645" w:rsidRDefault="008B3E5C" w:rsidP="002D1D08">
            <w:pPr>
              <w:spacing w:before="60" w:after="60"/>
              <w:ind w:left="273" w:hanging="273"/>
              <w:jc w:val="left"/>
              <w:rPr>
                <w:sz w:val="20"/>
                <w:szCs w:val="20"/>
              </w:rPr>
            </w:pPr>
          </w:p>
          <w:p w:rsidR="00E357AD" w:rsidRPr="003C5645" w:rsidRDefault="008B3E5C" w:rsidP="00A342F6">
            <w:pPr>
              <w:pStyle w:val="ListParagraph"/>
              <w:numPr>
                <w:ilvl w:val="0"/>
                <w:numId w:val="49"/>
              </w:numPr>
              <w:spacing w:before="60" w:after="60"/>
              <w:ind w:left="273" w:hanging="273"/>
              <w:contextualSpacing w:val="0"/>
              <w:jc w:val="left"/>
              <w:rPr>
                <w:sz w:val="20"/>
                <w:szCs w:val="20"/>
              </w:rPr>
            </w:pPr>
            <w:r w:rsidRPr="003C5645">
              <w:rPr>
                <w:sz w:val="20"/>
                <w:szCs w:val="20"/>
              </w:rPr>
              <w:t xml:space="preserve">Employee has no obligation to separately </w:t>
            </w:r>
            <w:r w:rsidR="001C602E">
              <w:rPr>
                <w:sz w:val="20"/>
                <w:szCs w:val="20"/>
              </w:rPr>
              <w:t>report</w:t>
            </w:r>
            <w:r w:rsidRPr="003C5645">
              <w:rPr>
                <w:sz w:val="20"/>
                <w:szCs w:val="20"/>
              </w:rPr>
              <w:t xml:space="preserve"> the income but will need to pay tax </w:t>
            </w:r>
            <w:r w:rsidR="00D25E4A">
              <w:rPr>
                <w:sz w:val="20"/>
                <w:szCs w:val="20"/>
              </w:rPr>
              <w:t>on the value of</w:t>
            </w:r>
            <w:r w:rsidR="00425C3E">
              <w:rPr>
                <w:sz w:val="20"/>
                <w:szCs w:val="20"/>
              </w:rPr>
              <w:t xml:space="preserve"> the</w:t>
            </w:r>
            <w:r w:rsidR="00D25E4A">
              <w:rPr>
                <w:sz w:val="20"/>
                <w:szCs w:val="20"/>
              </w:rPr>
              <w:t xml:space="preserve"> share benefit.</w:t>
            </w:r>
          </w:p>
        </w:tc>
      </w:tr>
      <w:bookmarkEnd w:id="5"/>
    </w:tbl>
    <w:p w:rsidR="00070833" w:rsidRPr="002D1D08" w:rsidRDefault="00070833" w:rsidP="00617F9A">
      <w:pPr>
        <w:rPr>
          <w:sz w:val="2"/>
          <w:szCs w:val="2"/>
        </w:rPr>
      </w:pPr>
    </w:p>
    <w:sectPr w:rsidR="00070833" w:rsidRPr="002D1D08" w:rsidSect="008B3E5C">
      <w:pgSz w:w="16838" w:h="11906" w:orient="landscape"/>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34">
      <wne:acd wne:acdName="acd4"/>
    </wne:keymap>
    <wne:keymap wne:kcmPrimary="02BE">
      <wne:acd wne:acdName="acd1"/>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 wne:argValue="AQAAAAQ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37" w:rsidRDefault="005F2537" w:rsidP="00855AF4">
      <w:r>
        <w:separator/>
      </w:r>
    </w:p>
  </w:endnote>
  <w:endnote w:type="continuationSeparator" w:id="0">
    <w:p w:rsidR="005F2537" w:rsidRDefault="005F2537" w:rsidP="0085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21" w:rsidRDefault="003A3F21" w:rsidP="00515963">
    <w:pPr>
      <w:pStyle w:val="Footer"/>
      <w:jc w:val="center"/>
      <w:rPr>
        <w:noProof/>
      </w:rPr>
    </w:pPr>
    <w:r>
      <w:fldChar w:fldCharType="begin"/>
    </w:r>
    <w:r>
      <w:instrText xml:space="preserve"> PAGE   \* MERGEFORMAT </w:instrText>
    </w:r>
    <w:r>
      <w:fldChar w:fldCharType="separate"/>
    </w:r>
    <w:r w:rsidR="00F15A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37" w:rsidRDefault="005F2537" w:rsidP="00855AF4">
      <w:r>
        <w:separator/>
      </w:r>
    </w:p>
  </w:footnote>
  <w:footnote w:type="continuationSeparator" w:id="0">
    <w:p w:rsidR="005F2537" w:rsidRDefault="005F2537" w:rsidP="00855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CB1"/>
    <w:multiLevelType w:val="hybridMultilevel"/>
    <w:tmpl w:val="903019D2"/>
    <w:lvl w:ilvl="0" w:tplc="0D84026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1B5FD6"/>
    <w:multiLevelType w:val="hybridMultilevel"/>
    <w:tmpl w:val="36C0C664"/>
    <w:lvl w:ilvl="0" w:tplc="826C131C">
      <w:start w:val="1"/>
      <w:numFmt w:val="bullet"/>
      <w:lvlText w:val=""/>
      <w:lvlJc w:val="left"/>
      <w:pPr>
        <w:tabs>
          <w:tab w:val="num" w:pos="596"/>
        </w:tabs>
        <w:ind w:left="596" w:hanging="170"/>
      </w:pPr>
      <w:rPr>
        <w:rFonts w:ascii="Symbol" w:hAnsi="Symbol" w:hint="default"/>
        <w:color w:val="auto"/>
      </w:rPr>
    </w:lvl>
    <w:lvl w:ilvl="1" w:tplc="E5AECBA6">
      <w:start w:val="1"/>
      <w:numFmt w:val="bullet"/>
      <w:lvlText w:val=""/>
      <w:lvlJc w:val="left"/>
      <w:pPr>
        <w:tabs>
          <w:tab w:val="num" w:pos="1305"/>
        </w:tabs>
        <w:ind w:left="1305" w:hanging="170"/>
      </w:pPr>
      <w:rPr>
        <w:rFonts w:ascii="Symbol" w:hAnsi="Symbol" w:hint="default"/>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072E222F"/>
    <w:multiLevelType w:val="hybridMultilevel"/>
    <w:tmpl w:val="1CF2EB30"/>
    <w:lvl w:ilvl="0" w:tplc="9C748F8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3">
    <w:nsid w:val="07B00A5E"/>
    <w:multiLevelType w:val="hybridMultilevel"/>
    <w:tmpl w:val="DCFEBB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nsid w:val="08817B8A"/>
    <w:multiLevelType w:val="hybridMultilevel"/>
    <w:tmpl w:val="BE487612"/>
    <w:lvl w:ilvl="0" w:tplc="9634B9E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8D1669E"/>
    <w:multiLevelType w:val="hybridMultilevel"/>
    <w:tmpl w:val="301E7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AAE5D24"/>
    <w:multiLevelType w:val="hybridMultilevel"/>
    <w:tmpl w:val="30AEFE22"/>
    <w:lvl w:ilvl="0" w:tplc="18723136">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D961E6"/>
    <w:multiLevelType w:val="hybridMultilevel"/>
    <w:tmpl w:val="89B8DFF4"/>
    <w:lvl w:ilvl="0" w:tplc="4770092E">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2E16468"/>
    <w:multiLevelType w:val="hybridMultilevel"/>
    <w:tmpl w:val="696A7B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nsid w:val="13182C5F"/>
    <w:multiLevelType w:val="hybridMultilevel"/>
    <w:tmpl w:val="CD70DAD4"/>
    <w:lvl w:ilvl="0" w:tplc="81F893F4">
      <w:start w:val="1"/>
      <w:numFmt w:val="bullet"/>
      <w:lvlText w:val="­"/>
      <w:lvlJc w:val="left"/>
      <w:pPr>
        <w:ind w:left="4122" w:hanging="360"/>
      </w:pPr>
      <w:rPr>
        <w:rFonts w:ascii="Courier New" w:hAnsi="Courier New" w:hint="default"/>
      </w:rPr>
    </w:lvl>
    <w:lvl w:ilvl="1" w:tplc="14090003" w:tentative="1">
      <w:start w:val="1"/>
      <w:numFmt w:val="bullet"/>
      <w:lvlText w:val="o"/>
      <w:lvlJc w:val="left"/>
      <w:pPr>
        <w:ind w:left="4842" w:hanging="360"/>
      </w:pPr>
      <w:rPr>
        <w:rFonts w:ascii="Courier New" w:hAnsi="Courier New" w:cs="Courier New" w:hint="default"/>
      </w:rPr>
    </w:lvl>
    <w:lvl w:ilvl="2" w:tplc="14090005" w:tentative="1">
      <w:start w:val="1"/>
      <w:numFmt w:val="bullet"/>
      <w:lvlText w:val=""/>
      <w:lvlJc w:val="left"/>
      <w:pPr>
        <w:ind w:left="5562" w:hanging="360"/>
      </w:pPr>
      <w:rPr>
        <w:rFonts w:ascii="Wingdings" w:hAnsi="Wingdings" w:hint="default"/>
      </w:rPr>
    </w:lvl>
    <w:lvl w:ilvl="3" w:tplc="14090001" w:tentative="1">
      <w:start w:val="1"/>
      <w:numFmt w:val="bullet"/>
      <w:lvlText w:val=""/>
      <w:lvlJc w:val="left"/>
      <w:pPr>
        <w:ind w:left="6282" w:hanging="360"/>
      </w:pPr>
      <w:rPr>
        <w:rFonts w:ascii="Symbol" w:hAnsi="Symbol" w:hint="default"/>
      </w:rPr>
    </w:lvl>
    <w:lvl w:ilvl="4" w:tplc="14090003" w:tentative="1">
      <w:start w:val="1"/>
      <w:numFmt w:val="bullet"/>
      <w:lvlText w:val="o"/>
      <w:lvlJc w:val="left"/>
      <w:pPr>
        <w:ind w:left="7002" w:hanging="360"/>
      </w:pPr>
      <w:rPr>
        <w:rFonts w:ascii="Courier New" w:hAnsi="Courier New" w:cs="Courier New" w:hint="default"/>
      </w:rPr>
    </w:lvl>
    <w:lvl w:ilvl="5" w:tplc="14090005" w:tentative="1">
      <w:start w:val="1"/>
      <w:numFmt w:val="bullet"/>
      <w:lvlText w:val=""/>
      <w:lvlJc w:val="left"/>
      <w:pPr>
        <w:ind w:left="7722" w:hanging="360"/>
      </w:pPr>
      <w:rPr>
        <w:rFonts w:ascii="Wingdings" w:hAnsi="Wingdings" w:hint="default"/>
      </w:rPr>
    </w:lvl>
    <w:lvl w:ilvl="6" w:tplc="14090001" w:tentative="1">
      <w:start w:val="1"/>
      <w:numFmt w:val="bullet"/>
      <w:lvlText w:val=""/>
      <w:lvlJc w:val="left"/>
      <w:pPr>
        <w:ind w:left="8442" w:hanging="360"/>
      </w:pPr>
      <w:rPr>
        <w:rFonts w:ascii="Symbol" w:hAnsi="Symbol" w:hint="default"/>
      </w:rPr>
    </w:lvl>
    <w:lvl w:ilvl="7" w:tplc="14090003" w:tentative="1">
      <w:start w:val="1"/>
      <w:numFmt w:val="bullet"/>
      <w:lvlText w:val="o"/>
      <w:lvlJc w:val="left"/>
      <w:pPr>
        <w:ind w:left="9162" w:hanging="360"/>
      </w:pPr>
      <w:rPr>
        <w:rFonts w:ascii="Courier New" w:hAnsi="Courier New" w:cs="Courier New" w:hint="default"/>
      </w:rPr>
    </w:lvl>
    <w:lvl w:ilvl="8" w:tplc="14090005" w:tentative="1">
      <w:start w:val="1"/>
      <w:numFmt w:val="bullet"/>
      <w:lvlText w:val=""/>
      <w:lvlJc w:val="left"/>
      <w:pPr>
        <w:ind w:left="9882" w:hanging="360"/>
      </w:pPr>
      <w:rPr>
        <w:rFonts w:ascii="Wingdings" w:hAnsi="Wingdings" w:hint="default"/>
      </w:rPr>
    </w:lvl>
  </w:abstractNum>
  <w:abstractNum w:abstractNumId="10">
    <w:nsid w:val="13FA1B41"/>
    <w:multiLevelType w:val="hybridMultilevel"/>
    <w:tmpl w:val="67E65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1271D4"/>
    <w:multiLevelType w:val="hybridMultilevel"/>
    <w:tmpl w:val="3D288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B454A7C"/>
    <w:multiLevelType w:val="hybridMultilevel"/>
    <w:tmpl w:val="53DED0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14">
    <w:nsid w:val="1BFF327A"/>
    <w:multiLevelType w:val="hybridMultilevel"/>
    <w:tmpl w:val="579C5C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F0B1470"/>
    <w:multiLevelType w:val="hybridMultilevel"/>
    <w:tmpl w:val="67E42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F53756D"/>
    <w:multiLevelType w:val="hybridMultilevel"/>
    <w:tmpl w:val="2A22CD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nsid w:val="200223F0"/>
    <w:multiLevelType w:val="hybridMultilevel"/>
    <w:tmpl w:val="C30ACBA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nsid w:val="26331C3C"/>
    <w:multiLevelType w:val="hybridMultilevel"/>
    <w:tmpl w:val="CB2E4CEE"/>
    <w:lvl w:ilvl="0" w:tplc="6980F398">
      <w:numFmt w:val="bullet"/>
      <w:lvlText w:val="•"/>
      <w:lvlJc w:val="left"/>
      <w:pPr>
        <w:ind w:left="1440" w:hanging="72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27301FDD"/>
    <w:multiLevelType w:val="hybridMultilevel"/>
    <w:tmpl w:val="1D547D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2DD9139C"/>
    <w:multiLevelType w:val="hybridMultilevel"/>
    <w:tmpl w:val="A800B8C2"/>
    <w:lvl w:ilvl="0" w:tplc="0268A054">
      <w:start w:val="1"/>
      <w:numFmt w:val="decimal"/>
      <w:pStyle w:val="Numberedparagraph"/>
      <w:lvlText w:val="%1."/>
      <w:lvlJc w:val="left"/>
      <w:pPr>
        <w:tabs>
          <w:tab w:val="num" w:pos="993"/>
        </w:tabs>
        <w:ind w:left="993" w:hanging="567"/>
      </w:pPr>
      <w:rPr>
        <w:rFonts w:ascii="Verdana" w:hAnsi="Verdana" w:hint="default"/>
        <w:b w:val="0"/>
        <w:sz w:val="20"/>
        <w:szCs w:val="20"/>
      </w:rPr>
    </w:lvl>
    <w:lvl w:ilvl="1" w:tplc="1409000F">
      <w:start w:val="1"/>
      <w:numFmt w:val="decimal"/>
      <w:lvlText w:val="%2."/>
      <w:lvlJc w:val="left"/>
      <w:pPr>
        <w:tabs>
          <w:tab w:val="num" w:pos="2008"/>
        </w:tabs>
        <w:ind w:left="2008" w:hanging="360"/>
      </w:pPr>
      <w:rPr>
        <w:rFonts w:hint="default"/>
        <w:b w:val="0"/>
        <w:sz w:val="20"/>
        <w:szCs w:val="20"/>
      </w:rPr>
    </w:lvl>
    <w:lvl w:ilvl="2" w:tplc="1409001B" w:tentative="1">
      <w:start w:val="1"/>
      <w:numFmt w:val="lowerRoman"/>
      <w:lvlText w:val="%3."/>
      <w:lvlJc w:val="right"/>
      <w:pPr>
        <w:tabs>
          <w:tab w:val="num" w:pos="2728"/>
        </w:tabs>
        <w:ind w:left="2728" w:hanging="180"/>
      </w:pPr>
    </w:lvl>
    <w:lvl w:ilvl="3" w:tplc="1409000F" w:tentative="1">
      <w:start w:val="1"/>
      <w:numFmt w:val="decimal"/>
      <w:lvlText w:val="%4."/>
      <w:lvlJc w:val="left"/>
      <w:pPr>
        <w:tabs>
          <w:tab w:val="num" w:pos="3448"/>
        </w:tabs>
        <w:ind w:left="3448" w:hanging="360"/>
      </w:pPr>
    </w:lvl>
    <w:lvl w:ilvl="4" w:tplc="14090019" w:tentative="1">
      <w:start w:val="1"/>
      <w:numFmt w:val="lowerLetter"/>
      <w:lvlText w:val="%5."/>
      <w:lvlJc w:val="left"/>
      <w:pPr>
        <w:tabs>
          <w:tab w:val="num" w:pos="4168"/>
        </w:tabs>
        <w:ind w:left="4168" w:hanging="360"/>
      </w:pPr>
    </w:lvl>
    <w:lvl w:ilvl="5" w:tplc="1409001B" w:tentative="1">
      <w:start w:val="1"/>
      <w:numFmt w:val="lowerRoman"/>
      <w:lvlText w:val="%6."/>
      <w:lvlJc w:val="right"/>
      <w:pPr>
        <w:tabs>
          <w:tab w:val="num" w:pos="4888"/>
        </w:tabs>
        <w:ind w:left="4888" w:hanging="180"/>
      </w:pPr>
    </w:lvl>
    <w:lvl w:ilvl="6" w:tplc="1409000F" w:tentative="1">
      <w:start w:val="1"/>
      <w:numFmt w:val="decimal"/>
      <w:lvlText w:val="%7."/>
      <w:lvlJc w:val="left"/>
      <w:pPr>
        <w:tabs>
          <w:tab w:val="num" w:pos="5608"/>
        </w:tabs>
        <w:ind w:left="5608" w:hanging="360"/>
      </w:pPr>
    </w:lvl>
    <w:lvl w:ilvl="7" w:tplc="14090019" w:tentative="1">
      <w:start w:val="1"/>
      <w:numFmt w:val="lowerLetter"/>
      <w:lvlText w:val="%8."/>
      <w:lvlJc w:val="left"/>
      <w:pPr>
        <w:tabs>
          <w:tab w:val="num" w:pos="6328"/>
        </w:tabs>
        <w:ind w:left="6328" w:hanging="360"/>
      </w:pPr>
    </w:lvl>
    <w:lvl w:ilvl="8" w:tplc="1409001B" w:tentative="1">
      <w:start w:val="1"/>
      <w:numFmt w:val="lowerRoman"/>
      <w:lvlText w:val="%9."/>
      <w:lvlJc w:val="right"/>
      <w:pPr>
        <w:tabs>
          <w:tab w:val="num" w:pos="7048"/>
        </w:tabs>
        <w:ind w:left="7048" w:hanging="180"/>
      </w:pPr>
    </w:lvl>
  </w:abstractNum>
  <w:abstractNum w:abstractNumId="21">
    <w:nsid w:val="34D74C9D"/>
    <w:multiLevelType w:val="hybridMultilevel"/>
    <w:tmpl w:val="CED66F02"/>
    <w:lvl w:ilvl="0" w:tplc="5B46201A">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4ED139A"/>
    <w:multiLevelType w:val="hybridMultilevel"/>
    <w:tmpl w:val="79A40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6CC6608"/>
    <w:multiLevelType w:val="singleLevel"/>
    <w:tmpl w:val="D05E6476"/>
    <w:lvl w:ilvl="0">
      <w:start w:val="1"/>
      <w:numFmt w:val="bullet"/>
      <w:pStyle w:val="Indentbullet"/>
      <w:lvlText w:val=""/>
      <w:lvlJc w:val="left"/>
      <w:pPr>
        <w:tabs>
          <w:tab w:val="num" w:pos="567"/>
        </w:tabs>
        <w:ind w:left="567" w:hanging="567"/>
      </w:pPr>
      <w:rPr>
        <w:rFonts w:ascii="Symbol" w:hAnsi="Symbol" w:hint="default"/>
        <w:sz w:val="21"/>
      </w:rPr>
    </w:lvl>
  </w:abstractNum>
  <w:abstractNum w:abstractNumId="25">
    <w:nsid w:val="371D0029"/>
    <w:multiLevelType w:val="hybridMultilevel"/>
    <w:tmpl w:val="70D2AB5E"/>
    <w:lvl w:ilvl="0" w:tplc="6980F398">
      <w:numFmt w:val="bullet"/>
      <w:lvlText w:val="•"/>
      <w:lvlJc w:val="left"/>
      <w:pPr>
        <w:ind w:left="144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BC47B54"/>
    <w:multiLevelType w:val="hybridMultilevel"/>
    <w:tmpl w:val="27764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E336275"/>
    <w:multiLevelType w:val="hybridMultilevel"/>
    <w:tmpl w:val="CCBCFEA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nsid w:val="425901E2"/>
    <w:multiLevelType w:val="hybridMultilevel"/>
    <w:tmpl w:val="144646EA"/>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05212AC"/>
    <w:multiLevelType w:val="hybridMultilevel"/>
    <w:tmpl w:val="FEBADF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0E4760F"/>
    <w:multiLevelType w:val="hybridMultilevel"/>
    <w:tmpl w:val="EA4E3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200058B"/>
    <w:multiLevelType w:val="multilevel"/>
    <w:tmpl w:val="A61E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AA51A7"/>
    <w:multiLevelType w:val="hybridMultilevel"/>
    <w:tmpl w:val="525AB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58B0D7E"/>
    <w:multiLevelType w:val="hybridMultilevel"/>
    <w:tmpl w:val="A66E77DA"/>
    <w:lvl w:ilvl="0" w:tplc="4A52B37C">
      <w:start w:val="1"/>
      <w:numFmt w:val="lowerRoman"/>
      <w:lvlText w:val="(%1)"/>
      <w:lvlJc w:val="left"/>
      <w:pPr>
        <w:ind w:left="2202" w:hanging="360"/>
      </w:pPr>
      <w:rPr>
        <w:rFonts w:hint="default"/>
      </w:rPr>
    </w:lvl>
    <w:lvl w:ilvl="1" w:tplc="14090003" w:tentative="1">
      <w:start w:val="1"/>
      <w:numFmt w:val="bullet"/>
      <w:lvlText w:val="o"/>
      <w:lvlJc w:val="left"/>
      <w:pPr>
        <w:ind w:left="2922" w:hanging="360"/>
      </w:pPr>
      <w:rPr>
        <w:rFonts w:ascii="Courier New" w:hAnsi="Courier New" w:cs="Courier New" w:hint="default"/>
      </w:rPr>
    </w:lvl>
    <w:lvl w:ilvl="2" w:tplc="14090005" w:tentative="1">
      <w:start w:val="1"/>
      <w:numFmt w:val="bullet"/>
      <w:lvlText w:val=""/>
      <w:lvlJc w:val="left"/>
      <w:pPr>
        <w:ind w:left="3642" w:hanging="360"/>
      </w:pPr>
      <w:rPr>
        <w:rFonts w:ascii="Wingdings" w:hAnsi="Wingdings" w:hint="default"/>
      </w:rPr>
    </w:lvl>
    <w:lvl w:ilvl="3" w:tplc="14090001" w:tentative="1">
      <w:start w:val="1"/>
      <w:numFmt w:val="bullet"/>
      <w:lvlText w:val=""/>
      <w:lvlJc w:val="left"/>
      <w:pPr>
        <w:ind w:left="4362" w:hanging="360"/>
      </w:pPr>
      <w:rPr>
        <w:rFonts w:ascii="Symbol" w:hAnsi="Symbol" w:hint="default"/>
      </w:rPr>
    </w:lvl>
    <w:lvl w:ilvl="4" w:tplc="14090003" w:tentative="1">
      <w:start w:val="1"/>
      <w:numFmt w:val="bullet"/>
      <w:lvlText w:val="o"/>
      <w:lvlJc w:val="left"/>
      <w:pPr>
        <w:ind w:left="5082" w:hanging="360"/>
      </w:pPr>
      <w:rPr>
        <w:rFonts w:ascii="Courier New" w:hAnsi="Courier New" w:cs="Courier New" w:hint="default"/>
      </w:rPr>
    </w:lvl>
    <w:lvl w:ilvl="5" w:tplc="14090005" w:tentative="1">
      <w:start w:val="1"/>
      <w:numFmt w:val="bullet"/>
      <w:lvlText w:val=""/>
      <w:lvlJc w:val="left"/>
      <w:pPr>
        <w:ind w:left="5802" w:hanging="360"/>
      </w:pPr>
      <w:rPr>
        <w:rFonts w:ascii="Wingdings" w:hAnsi="Wingdings" w:hint="default"/>
      </w:rPr>
    </w:lvl>
    <w:lvl w:ilvl="6" w:tplc="14090001" w:tentative="1">
      <w:start w:val="1"/>
      <w:numFmt w:val="bullet"/>
      <w:lvlText w:val=""/>
      <w:lvlJc w:val="left"/>
      <w:pPr>
        <w:ind w:left="6522" w:hanging="360"/>
      </w:pPr>
      <w:rPr>
        <w:rFonts w:ascii="Symbol" w:hAnsi="Symbol" w:hint="default"/>
      </w:rPr>
    </w:lvl>
    <w:lvl w:ilvl="7" w:tplc="14090003" w:tentative="1">
      <w:start w:val="1"/>
      <w:numFmt w:val="bullet"/>
      <w:lvlText w:val="o"/>
      <w:lvlJc w:val="left"/>
      <w:pPr>
        <w:ind w:left="7242" w:hanging="360"/>
      </w:pPr>
      <w:rPr>
        <w:rFonts w:ascii="Courier New" w:hAnsi="Courier New" w:cs="Courier New" w:hint="default"/>
      </w:rPr>
    </w:lvl>
    <w:lvl w:ilvl="8" w:tplc="14090005" w:tentative="1">
      <w:start w:val="1"/>
      <w:numFmt w:val="bullet"/>
      <w:lvlText w:val=""/>
      <w:lvlJc w:val="left"/>
      <w:pPr>
        <w:ind w:left="7962" w:hanging="360"/>
      </w:pPr>
      <w:rPr>
        <w:rFonts w:ascii="Wingdings" w:hAnsi="Wingdings" w:hint="default"/>
      </w:rPr>
    </w:lvl>
  </w:abstractNum>
  <w:abstractNum w:abstractNumId="34">
    <w:nsid w:val="55D34C49"/>
    <w:multiLevelType w:val="hybridMultilevel"/>
    <w:tmpl w:val="AFAE55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7733262"/>
    <w:multiLevelType w:val="hybridMultilevel"/>
    <w:tmpl w:val="29C2664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58DA62B4"/>
    <w:multiLevelType w:val="hybridMultilevel"/>
    <w:tmpl w:val="BE487612"/>
    <w:lvl w:ilvl="0" w:tplc="9634B9E8">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B064169"/>
    <w:multiLevelType w:val="hybridMultilevel"/>
    <w:tmpl w:val="1938E6F0"/>
    <w:lvl w:ilvl="0" w:tplc="6BD2C80C">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1485F17"/>
    <w:multiLevelType w:val="hybridMultilevel"/>
    <w:tmpl w:val="DF5C79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2151460"/>
    <w:multiLevelType w:val="hybridMultilevel"/>
    <w:tmpl w:val="53EAB5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8B47C83"/>
    <w:multiLevelType w:val="hybridMultilevel"/>
    <w:tmpl w:val="E3EEE7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1">
    <w:nsid w:val="6FBD037E"/>
    <w:multiLevelType w:val="hybridMultilevel"/>
    <w:tmpl w:val="2B385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1406745"/>
    <w:multiLevelType w:val="hybridMultilevel"/>
    <w:tmpl w:val="1248BC8C"/>
    <w:lvl w:ilvl="0" w:tplc="804A0A0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4">
    <w:nsid w:val="768E644B"/>
    <w:multiLevelType w:val="hybridMultilevel"/>
    <w:tmpl w:val="708AE008"/>
    <w:lvl w:ilvl="0" w:tplc="298C4C64">
      <w:start w:val="1"/>
      <w:numFmt w:val="bullet"/>
      <w:pStyle w:val="Bullets"/>
      <w:lvlText w:val=""/>
      <w:lvlJc w:val="left"/>
      <w:pPr>
        <w:ind w:left="4122" w:hanging="360"/>
      </w:pPr>
      <w:rPr>
        <w:rFonts w:ascii="Symbol" w:hAnsi="Symbol" w:hint="default"/>
      </w:rPr>
    </w:lvl>
    <w:lvl w:ilvl="1" w:tplc="14090003" w:tentative="1">
      <w:start w:val="1"/>
      <w:numFmt w:val="bullet"/>
      <w:lvlText w:val="o"/>
      <w:lvlJc w:val="left"/>
      <w:pPr>
        <w:ind w:left="4842" w:hanging="360"/>
      </w:pPr>
      <w:rPr>
        <w:rFonts w:ascii="Courier New" w:hAnsi="Courier New" w:cs="Courier New" w:hint="default"/>
      </w:rPr>
    </w:lvl>
    <w:lvl w:ilvl="2" w:tplc="14090005" w:tentative="1">
      <w:start w:val="1"/>
      <w:numFmt w:val="bullet"/>
      <w:lvlText w:val=""/>
      <w:lvlJc w:val="left"/>
      <w:pPr>
        <w:ind w:left="5562" w:hanging="360"/>
      </w:pPr>
      <w:rPr>
        <w:rFonts w:ascii="Wingdings" w:hAnsi="Wingdings" w:hint="default"/>
      </w:rPr>
    </w:lvl>
    <w:lvl w:ilvl="3" w:tplc="14090001" w:tentative="1">
      <w:start w:val="1"/>
      <w:numFmt w:val="bullet"/>
      <w:lvlText w:val=""/>
      <w:lvlJc w:val="left"/>
      <w:pPr>
        <w:ind w:left="6282" w:hanging="360"/>
      </w:pPr>
      <w:rPr>
        <w:rFonts w:ascii="Symbol" w:hAnsi="Symbol" w:hint="default"/>
      </w:rPr>
    </w:lvl>
    <w:lvl w:ilvl="4" w:tplc="14090003" w:tentative="1">
      <w:start w:val="1"/>
      <w:numFmt w:val="bullet"/>
      <w:lvlText w:val="o"/>
      <w:lvlJc w:val="left"/>
      <w:pPr>
        <w:ind w:left="7002" w:hanging="360"/>
      </w:pPr>
      <w:rPr>
        <w:rFonts w:ascii="Courier New" w:hAnsi="Courier New" w:cs="Courier New" w:hint="default"/>
      </w:rPr>
    </w:lvl>
    <w:lvl w:ilvl="5" w:tplc="14090005" w:tentative="1">
      <w:start w:val="1"/>
      <w:numFmt w:val="bullet"/>
      <w:lvlText w:val=""/>
      <w:lvlJc w:val="left"/>
      <w:pPr>
        <w:ind w:left="7722" w:hanging="360"/>
      </w:pPr>
      <w:rPr>
        <w:rFonts w:ascii="Wingdings" w:hAnsi="Wingdings" w:hint="default"/>
      </w:rPr>
    </w:lvl>
    <w:lvl w:ilvl="6" w:tplc="14090001" w:tentative="1">
      <w:start w:val="1"/>
      <w:numFmt w:val="bullet"/>
      <w:lvlText w:val=""/>
      <w:lvlJc w:val="left"/>
      <w:pPr>
        <w:ind w:left="8442" w:hanging="360"/>
      </w:pPr>
      <w:rPr>
        <w:rFonts w:ascii="Symbol" w:hAnsi="Symbol" w:hint="default"/>
      </w:rPr>
    </w:lvl>
    <w:lvl w:ilvl="7" w:tplc="14090003" w:tentative="1">
      <w:start w:val="1"/>
      <w:numFmt w:val="bullet"/>
      <w:lvlText w:val="o"/>
      <w:lvlJc w:val="left"/>
      <w:pPr>
        <w:ind w:left="9162" w:hanging="360"/>
      </w:pPr>
      <w:rPr>
        <w:rFonts w:ascii="Courier New" w:hAnsi="Courier New" w:cs="Courier New" w:hint="default"/>
      </w:rPr>
    </w:lvl>
    <w:lvl w:ilvl="8" w:tplc="14090005" w:tentative="1">
      <w:start w:val="1"/>
      <w:numFmt w:val="bullet"/>
      <w:lvlText w:val=""/>
      <w:lvlJc w:val="left"/>
      <w:pPr>
        <w:ind w:left="9882" w:hanging="360"/>
      </w:pPr>
      <w:rPr>
        <w:rFonts w:ascii="Wingdings" w:hAnsi="Wingdings" w:hint="default"/>
      </w:rPr>
    </w:lvl>
  </w:abstractNum>
  <w:abstractNum w:abstractNumId="45">
    <w:nsid w:val="774E2D5E"/>
    <w:multiLevelType w:val="hybridMultilevel"/>
    <w:tmpl w:val="35D6C4EE"/>
    <w:lvl w:ilvl="0" w:tplc="C6926C4C">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A6C5E6E"/>
    <w:multiLevelType w:val="hybridMultilevel"/>
    <w:tmpl w:val="E088466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7">
    <w:nsid w:val="7B536B51"/>
    <w:multiLevelType w:val="hybridMultilevel"/>
    <w:tmpl w:val="7DB048E4"/>
    <w:lvl w:ilvl="0" w:tplc="38DE2994">
      <w:start w:val="20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D767A57"/>
    <w:multiLevelType w:val="hybridMultilevel"/>
    <w:tmpl w:val="5CCC8DBC"/>
    <w:lvl w:ilvl="0" w:tplc="60062E8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FEA02C0"/>
    <w:multiLevelType w:val="hybridMultilevel"/>
    <w:tmpl w:val="C5108BC0"/>
    <w:lvl w:ilvl="0" w:tplc="423A1458">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8"/>
  </w:num>
  <w:num w:numId="2">
    <w:abstractNumId w:val="22"/>
  </w:num>
  <w:num w:numId="3">
    <w:abstractNumId w:val="49"/>
  </w:num>
  <w:num w:numId="4">
    <w:abstractNumId w:val="6"/>
  </w:num>
  <w:num w:numId="5">
    <w:abstractNumId w:val="42"/>
  </w:num>
  <w:num w:numId="6">
    <w:abstractNumId w:val="15"/>
  </w:num>
  <w:num w:numId="7">
    <w:abstractNumId w:val="12"/>
  </w:num>
  <w:num w:numId="8">
    <w:abstractNumId w:val="13"/>
  </w:num>
  <w:num w:numId="9">
    <w:abstractNumId w:val="45"/>
  </w:num>
  <w:num w:numId="10">
    <w:abstractNumId w:val="44"/>
  </w:num>
  <w:num w:numId="11">
    <w:abstractNumId w:val="20"/>
  </w:num>
  <w:num w:numId="12">
    <w:abstractNumId w:val="1"/>
  </w:num>
  <w:num w:numId="13">
    <w:abstractNumId w:val="31"/>
  </w:num>
  <w:num w:numId="14">
    <w:abstractNumId w:val="28"/>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7"/>
  </w:num>
  <w:num w:numId="19">
    <w:abstractNumId w:val="18"/>
  </w:num>
  <w:num w:numId="20">
    <w:abstractNumId w:val="25"/>
  </w:num>
  <w:num w:numId="21">
    <w:abstractNumId w:val="10"/>
  </w:num>
  <w:num w:numId="22">
    <w:abstractNumId w:val="11"/>
  </w:num>
  <w:num w:numId="23">
    <w:abstractNumId w:val="39"/>
  </w:num>
  <w:num w:numId="24">
    <w:abstractNumId w:val="8"/>
  </w:num>
  <w:num w:numId="25">
    <w:abstractNumId w:val="30"/>
  </w:num>
  <w:num w:numId="26">
    <w:abstractNumId w:val="35"/>
  </w:num>
  <w:num w:numId="27">
    <w:abstractNumId w:val="47"/>
  </w:num>
  <w:num w:numId="28">
    <w:abstractNumId w:val="7"/>
  </w:num>
  <w:num w:numId="29">
    <w:abstractNumId w:val="37"/>
  </w:num>
  <w:num w:numId="30">
    <w:abstractNumId w:val="21"/>
  </w:num>
  <w:num w:numId="31">
    <w:abstractNumId w:val="46"/>
  </w:num>
  <w:num w:numId="32">
    <w:abstractNumId w:val="26"/>
  </w:num>
  <w:num w:numId="33">
    <w:abstractNumId w:val="38"/>
  </w:num>
  <w:num w:numId="34">
    <w:abstractNumId w:val="32"/>
  </w:num>
  <w:num w:numId="35">
    <w:abstractNumId w:val="3"/>
  </w:num>
  <w:num w:numId="36">
    <w:abstractNumId w:val="16"/>
  </w:num>
  <w:num w:numId="37">
    <w:abstractNumId w:val="2"/>
  </w:num>
  <w:num w:numId="38">
    <w:abstractNumId w:val="27"/>
  </w:num>
  <w:num w:numId="39">
    <w:abstractNumId w:val="9"/>
  </w:num>
  <w:num w:numId="40">
    <w:abstractNumId w:val="43"/>
  </w:num>
  <w:num w:numId="41">
    <w:abstractNumId w:val="24"/>
  </w:num>
  <w:num w:numId="42">
    <w:abstractNumId w:val="36"/>
  </w:num>
  <w:num w:numId="43">
    <w:abstractNumId w:val="4"/>
  </w:num>
  <w:num w:numId="44">
    <w:abstractNumId w:val="33"/>
  </w:num>
  <w:num w:numId="45">
    <w:abstractNumId w:val="41"/>
  </w:num>
  <w:num w:numId="46">
    <w:abstractNumId w:val="23"/>
  </w:num>
  <w:num w:numId="47">
    <w:abstractNumId w:val="34"/>
  </w:num>
  <w:num w:numId="48">
    <w:abstractNumId w:val="14"/>
  </w:num>
  <w:num w:numId="49">
    <w:abstractNumId w:val="2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74"/>
    <w:rsid w:val="0000163F"/>
    <w:rsid w:val="00001CC9"/>
    <w:rsid w:val="000028AC"/>
    <w:rsid w:val="000062FF"/>
    <w:rsid w:val="000069B7"/>
    <w:rsid w:val="000073C9"/>
    <w:rsid w:val="0001178C"/>
    <w:rsid w:val="0001402D"/>
    <w:rsid w:val="0001468E"/>
    <w:rsid w:val="00015020"/>
    <w:rsid w:val="0001504B"/>
    <w:rsid w:val="00015188"/>
    <w:rsid w:val="00017B30"/>
    <w:rsid w:val="0002621B"/>
    <w:rsid w:val="00030D20"/>
    <w:rsid w:val="00034A48"/>
    <w:rsid w:val="00034F39"/>
    <w:rsid w:val="000352C3"/>
    <w:rsid w:val="000353B1"/>
    <w:rsid w:val="00035CC4"/>
    <w:rsid w:val="000401C2"/>
    <w:rsid w:val="00041BAD"/>
    <w:rsid w:val="0004295A"/>
    <w:rsid w:val="00042EA4"/>
    <w:rsid w:val="000458DC"/>
    <w:rsid w:val="000477AD"/>
    <w:rsid w:val="00050642"/>
    <w:rsid w:val="000509C9"/>
    <w:rsid w:val="00053031"/>
    <w:rsid w:val="00056A4F"/>
    <w:rsid w:val="0005766C"/>
    <w:rsid w:val="000577E5"/>
    <w:rsid w:val="00060B82"/>
    <w:rsid w:val="000621AA"/>
    <w:rsid w:val="0006298A"/>
    <w:rsid w:val="000641F7"/>
    <w:rsid w:val="00065A06"/>
    <w:rsid w:val="00066CBD"/>
    <w:rsid w:val="00070615"/>
    <w:rsid w:val="00070833"/>
    <w:rsid w:val="00070AFB"/>
    <w:rsid w:val="000753F5"/>
    <w:rsid w:val="00076A9D"/>
    <w:rsid w:val="00076FD0"/>
    <w:rsid w:val="000831CE"/>
    <w:rsid w:val="00083A44"/>
    <w:rsid w:val="00084B38"/>
    <w:rsid w:val="00086655"/>
    <w:rsid w:val="00090A73"/>
    <w:rsid w:val="0009267A"/>
    <w:rsid w:val="00092DA0"/>
    <w:rsid w:val="00095DBF"/>
    <w:rsid w:val="0009686A"/>
    <w:rsid w:val="0009739D"/>
    <w:rsid w:val="000A30A8"/>
    <w:rsid w:val="000A4303"/>
    <w:rsid w:val="000A5E79"/>
    <w:rsid w:val="000A623C"/>
    <w:rsid w:val="000B0313"/>
    <w:rsid w:val="000B0718"/>
    <w:rsid w:val="000B0AC8"/>
    <w:rsid w:val="000B0FA6"/>
    <w:rsid w:val="000B14A8"/>
    <w:rsid w:val="000B225C"/>
    <w:rsid w:val="000B42D4"/>
    <w:rsid w:val="000B7326"/>
    <w:rsid w:val="000B7F5E"/>
    <w:rsid w:val="000C0E25"/>
    <w:rsid w:val="000C2116"/>
    <w:rsid w:val="000C2C1A"/>
    <w:rsid w:val="000C5B58"/>
    <w:rsid w:val="000C5EBC"/>
    <w:rsid w:val="000C60C8"/>
    <w:rsid w:val="000C6EC4"/>
    <w:rsid w:val="000C784B"/>
    <w:rsid w:val="000D0CD8"/>
    <w:rsid w:val="000D22DE"/>
    <w:rsid w:val="000D4B58"/>
    <w:rsid w:val="000D6D86"/>
    <w:rsid w:val="000D7EB1"/>
    <w:rsid w:val="000D7EBC"/>
    <w:rsid w:val="000D7EE0"/>
    <w:rsid w:val="000E17E1"/>
    <w:rsid w:val="000F0FEF"/>
    <w:rsid w:val="000F36E8"/>
    <w:rsid w:val="000F4C3B"/>
    <w:rsid w:val="000F699A"/>
    <w:rsid w:val="000F6CCE"/>
    <w:rsid w:val="000F6E19"/>
    <w:rsid w:val="0010000B"/>
    <w:rsid w:val="00100D93"/>
    <w:rsid w:val="00101152"/>
    <w:rsid w:val="00101286"/>
    <w:rsid w:val="00101373"/>
    <w:rsid w:val="001015F4"/>
    <w:rsid w:val="001070DF"/>
    <w:rsid w:val="00110FB3"/>
    <w:rsid w:val="00111392"/>
    <w:rsid w:val="0011398B"/>
    <w:rsid w:val="00123A50"/>
    <w:rsid w:val="00124BB3"/>
    <w:rsid w:val="001258AB"/>
    <w:rsid w:val="0013037B"/>
    <w:rsid w:val="00134BE1"/>
    <w:rsid w:val="001410C7"/>
    <w:rsid w:val="00141118"/>
    <w:rsid w:val="00145237"/>
    <w:rsid w:val="00146797"/>
    <w:rsid w:val="001536AD"/>
    <w:rsid w:val="00157C4C"/>
    <w:rsid w:val="00161E41"/>
    <w:rsid w:val="00163114"/>
    <w:rsid w:val="00164096"/>
    <w:rsid w:val="0016492F"/>
    <w:rsid w:val="00164F61"/>
    <w:rsid w:val="00171065"/>
    <w:rsid w:val="00173144"/>
    <w:rsid w:val="0017410F"/>
    <w:rsid w:val="001755FA"/>
    <w:rsid w:val="001758DE"/>
    <w:rsid w:val="001778E3"/>
    <w:rsid w:val="001807F7"/>
    <w:rsid w:val="00181BA5"/>
    <w:rsid w:val="001843CA"/>
    <w:rsid w:val="0018613C"/>
    <w:rsid w:val="001876DE"/>
    <w:rsid w:val="001878AC"/>
    <w:rsid w:val="001878D9"/>
    <w:rsid w:val="00191D11"/>
    <w:rsid w:val="0019245A"/>
    <w:rsid w:val="001929CE"/>
    <w:rsid w:val="00192E80"/>
    <w:rsid w:val="00194E6C"/>
    <w:rsid w:val="00195247"/>
    <w:rsid w:val="00196984"/>
    <w:rsid w:val="001A1703"/>
    <w:rsid w:val="001A277B"/>
    <w:rsid w:val="001A28E8"/>
    <w:rsid w:val="001A4240"/>
    <w:rsid w:val="001A6710"/>
    <w:rsid w:val="001A7B64"/>
    <w:rsid w:val="001B13AC"/>
    <w:rsid w:val="001B1637"/>
    <w:rsid w:val="001B4C96"/>
    <w:rsid w:val="001B7463"/>
    <w:rsid w:val="001C034C"/>
    <w:rsid w:val="001C05D7"/>
    <w:rsid w:val="001C2177"/>
    <w:rsid w:val="001C254D"/>
    <w:rsid w:val="001C355C"/>
    <w:rsid w:val="001C4E70"/>
    <w:rsid w:val="001C5C22"/>
    <w:rsid w:val="001C602E"/>
    <w:rsid w:val="001D38EA"/>
    <w:rsid w:val="001D3BC1"/>
    <w:rsid w:val="001D48F8"/>
    <w:rsid w:val="001D49EE"/>
    <w:rsid w:val="001D4AFA"/>
    <w:rsid w:val="001D5EDE"/>
    <w:rsid w:val="001E058B"/>
    <w:rsid w:val="001E1DB3"/>
    <w:rsid w:val="001E2B13"/>
    <w:rsid w:val="001E5015"/>
    <w:rsid w:val="001E6238"/>
    <w:rsid w:val="001F0AF1"/>
    <w:rsid w:val="001F2BDF"/>
    <w:rsid w:val="001F2D90"/>
    <w:rsid w:val="001F367A"/>
    <w:rsid w:val="001F394C"/>
    <w:rsid w:val="001F6FE6"/>
    <w:rsid w:val="00201331"/>
    <w:rsid w:val="00201DA1"/>
    <w:rsid w:val="00202374"/>
    <w:rsid w:val="00202C73"/>
    <w:rsid w:val="00204A3F"/>
    <w:rsid w:val="002054B3"/>
    <w:rsid w:val="00212EBE"/>
    <w:rsid w:val="00213E61"/>
    <w:rsid w:val="00214962"/>
    <w:rsid w:val="002158FB"/>
    <w:rsid w:val="00221EC8"/>
    <w:rsid w:val="00225D23"/>
    <w:rsid w:val="002347EF"/>
    <w:rsid w:val="0023662E"/>
    <w:rsid w:val="00236707"/>
    <w:rsid w:val="00237D3C"/>
    <w:rsid w:val="00240A40"/>
    <w:rsid w:val="00243C8C"/>
    <w:rsid w:val="00245DB6"/>
    <w:rsid w:val="00246B6C"/>
    <w:rsid w:val="00247279"/>
    <w:rsid w:val="00250369"/>
    <w:rsid w:val="00250FEA"/>
    <w:rsid w:val="00251ADD"/>
    <w:rsid w:val="0025339B"/>
    <w:rsid w:val="00257BC5"/>
    <w:rsid w:val="00263A3F"/>
    <w:rsid w:val="0026456C"/>
    <w:rsid w:val="00267CB1"/>
    <w:rsid w:val="00270F66"/>
    <w:rsid w:val="00272E8D"/>
    <w:rsid w:val="00273338"/>
    <w:rsid w:val="002740CF"/>
    <w:rsid w:val="0027420F"/>
    <w:rsid w:val="002759AA"/>
    <w:rsid w:val="0027692C"/>
    <w:rsid w:val="002779C5"/>
    <w:rsid w:val="00277CB2"/>
    <w:rsid w:val="00277DED"/>
    <w:rsid w:val="00281167"/>
    <w:rsid w:val="00281AF7"/>
    <w:rsid w:val="00284A1A"/>
    <w:rsid w:val="0028699B"/>
    <w:rsid w:val="00287320"/>
    <w:rsid w:val="00290A9E"/>
    <w:rsid w:val="00292DEA"/>
    <w:rsid w:val="00293137"/>
    <w:rsid w:val="00294520"/>
    <w:rsid w:val="002945E5"/>
    <w:rsid w:val="0029585C"/>
    <w:rsid w:val="00295D52"/>
    <w:rsid w:val="002A10C5"/>
    <w:rsid w:val="002A17BE"/>
    <w:rsid w:val="002A1811"/>
    <w:rsid w:val="002A28C5"/>
    <w:rsid w:val="002A3243"/>
    <w:rsid w:val="002A43DC"/>
    <w:rsid w:val="002A68DD"/>
    <w:rsid w:val="002A6CBD"/>
    <w:rsid w:val="002A72C2"/>
    <w:rsid w:val="002A7365"/>
    <w:rsid w:val="002A793A"/>
    <w:rsid w:val="002B0C7F"/>
    <w:rsid w:val="002B3BCB"/>
    <w:rsid w:val="002B4D4E"/>
    <w:rsid w:val="002B5148"/>
    <w:rsid w:val="002B5245"/>
    <w:rsid w:val="002C1903"/>
    <w:rsid w:val="002C1974"/>
    <w:rsid w:val="002C1992"/>
    <w:rsid w:val="002C570E"/>
    <w:rsid w:val="002C5718"/>
    <w:rsid w:val="002C5A81"/>
    <w:rsid w:val="002D0C11"/>
    <w:rsid w:val="002D1D08"/>
    <w:rsid w:val="002D2BC7"/>
    <w:rsid w:val="002D5E30"/>
    <w:rsid w:val="002E0267"/>
    <w:rsid w:val="002E0F30"/>
    <w:rsid w:val="002E126E"/>
    <w:rsid w:val="002E39EE"/>
    <w:rsid w:val="002E47DC"/>
    <w:rsid w:val="002E4AF7"/>
    <w:rsid w:val="002F0DBD"/>
    <w:rsid w:val="002F1154"/>
    <w:rsid w:val="002F2958"/>
    <w:rsid w:val="002F3257"/>
    <w:rsid w:val="002F374A"/>
    <w:rsid w:val="002F60DF"/>
    <w:rsid w:val="002F68A9"/>
    <w:rsid w:val="003025B4"/>
    <w:rsid w:val="00305C65"/>
    <w:rsid w:val="003107A4"/>
    <w:rsid w:val="00310BEB"/>
    <w:rsid w:val="00311BFD"/>
    <w:rsid w:val="003134E2"/>
    <w:rsid w:val="0031474C"/>
    <w:rsid w:val="00315070"/>
    <w:rsid w:val="00315346"/>
    <w:rsid w:val="00315EBC"/>
    <w:rsid w:val="003170E3"/>
    <w:rsid w:val="00321315"/>
    <w:rsid w:val="0032473F"/>
    <w:rsid w:val="003253B3"/>
    <w:rsid w:val="003258C5"/>
    <w:rsid w:val="003263AE"/>
    <w:rsid w:val="003265B9"/>
    <w:rsid w:val="00327609"/>
    <w:rsid w:val="00331CE5"/>
    <w:rsid w:val="003327B8"/>
    <w:rsid w:val="00334A23"/>
    <w:rsid w:val="00335878"/>
    <w:rsid w:val="003362C1"/>
    <w:rsid w:val="0033673B"/>
    <w:rsid w:val="0033792D"/>
    <w:rsid w:val="0034013B"/>
    <w:rsid w:val="003418F3"/>
    <w:rsid w:val="00344BFE"/>
    <w:rsid w:val="00345D06"/>
    <w:rsid w:val="00347762"/>
    <w:rsid w:val="00351D45"/>
    <w:rsid w:val="00352594"/>
    <w:rsid w:val="0035263A"/>
    <w:rsid w:val="00352A10"/>
    <w:rsid w:val="00352B3C"/>
    <w:rsid w:val="00352B5B"/>
    <w:rsid w:val="00353769"/>
    <w:rsid w:val="0035488F"/>
    <w:rsid w:val="00355BE0"/>
    <w:rsid w:val="003563F0"/>
    <w:rsid w:val="003564C5"/>
    <w:rsid w:val="00360167"/>
    <w:rsid w:val="00360A89"/>
    <w:rsid w:val="00361698"/>
    <w:rsid w:val="00361A49"/>
    <w:rsid w:val="00363984"/>
    <w:rsid w:val="00363E92"/>
    <w:rsid w:val="00364341"/>
    <w:rsid w:val="003662FC"/>
    <w:rsid w:val="00366919"/>
    <w:rsid w:val="003722BA"/>
    <w:rsid w:val="00374096"/>
    <w:rsid w:val="00375B8C"/>
    <w:rsid w:val="0037647C"/>
    <w:rsid w:val="003771F0"/>
    <w:rsid w:val="00377953"/>
    <w:rsid w:val="0038193A"/>
    <w:rsid w:val="00383B9F"/>
    <w:rsid w:val="00384686"/>
    <w:rsid w:val="003855D9"/>
    <w:rsid w:val="00386BE0"/>
    <w:rsid w:val="00390621"/>
    <w:rsid w:val="003927DC"/>
    <w:rsid w:val="00392DF3"/>
    <w:rsid w:val="003937D5"/>
    <w:rsid w:val="00395490"/>
    <w:rsid w:val="00395D1F"/>
    <w:rsid w:val="00396D10"/>
    <w:rsid w:val="003A1330"/>
    <w:rsid w:val="003A3F21"/>
    <w:rsid w:val="003A6920"/>
    <w:rsid w:val="003A6D19"/>
    <w:rsid w:val="003A714E"/>
    <w:rsid w:val="003B03A6"/>
    <w:rsid w:val="003B2319"/>
    <w:rsid w:val="003B237B"/>
    <w:rsid w:val="003B3A97"/>
    <w:rsid w:val="003B6623"/>
    <w:rsid w:val="003C0E29"/>
    <w:rsid w:val="003C24FF"/>
    <w:rsid w:val="003C2B07"/>
    <w:rsid w:val="003C5645"/>
    <w:rsid w:val="003C5B7B"/>
    <w:rsid w:val="003D4FB2"/>
    <w:rsid w:val="003D5974"/>
    <w:rsid w:val="003E3A7C"/>
    <w:rsid w:val="003E3AFB"/>
    <w:rsid w:val="003E5A1B"/>
    <w:rsid w:val="003E7A5E"/>
    <w:rsid w:val="003F26D1"/>
    <w:rsid w:val="003F30E7"/>
    <w:rsid w:val="003F520C"/>
    <w:rsid w:val="003F67DC"/>
    <w:rsid w:val="003F6F85"/>
    <w:rsid w:val="0040067F"/>
    <w:rsid w:val="00400D20"/>
    <w:rsid w:val="00401330"/>
    <w:rsid w:val="00401F9E"/>
    <w:rsid w:val="004020C5"/>
    <w:rsid w:val="00404388"/>
    <w:rsid w:val="00404DE1"/>
    <w:rsid w:val="00407206"/>
    <w:rsid w:val="004104F4"/>
    <w:rsid w:val="004106F8"/>
    <w:rsid w:val="00410CD0"/>
    <w:rsid w:val="00410DBB"/>
    <w:rsid w:val="00410F05"/>
    <w:rsid w:val="00411E54"/>
    <w:rsid w:val="00420782"/>
    <w:rsid w:val="004232DE"/>
    <w:rsid w:val="00424697"/>
    <w:rsid w:val="004247A1"/>
    <w:rsid w:val="00425C3E"/>
    <w:rsid w:val="004271DB"/>
    <w:rsid w:val="00427FE8"/>
    <w:rsid w:val="00431420"/>
    <w:rsid w:val="00432F56"/>
    <w:rsid w:val="004333A1"/>
    <w:rsid w:val="00436DCA"/>
    <w:rsid w:val="0044103C"/>
    <w:rsid w:val="00441B59"/>
    <w:rsid w:val="004438C6"/>
    <w:rsid w:val="00443E41"/>
    <w:rsid w:val="00444872"/>
    <w:rsid w:val="00444E28"/>
    <w:rsid w:val="00445820"/>
    <w:rsid w:val="00452D4D"/>
    <w:rsid w:val="004545A7"/>
    <w:rsid w:val="00455803"/>
    <w:rsid w:val="00455EB6"/>
    <w:rsid w:val="00456458"/>
    <w:rsid w:val="00456A23"/>
    <w:rsid w:val="00457F35"/>
    <w:rsid w:val="004601E6"/>
    <w:rsid w:val="00463A61"/>
    <w:rsid w:val="00465095"/>
    <w:rsid w:val="004671C2"/>
    <w:rsid w:val="004679A9"/>
    <w:rsid w:val="00472E20"/>
    <w:rsid w:val="004745FB"/>
    <w:rsid w:val="00474879"/>
    <w:rsid w:val="00475636"/>
    <w:rsid w:val="004758BF"/>
    <w:rsid w:val="00482D69"/>
    <w:rsid w:val="0048330D"/>
    <w:rsid w:val="00483A0A"/>
    <w:rsid w:val="00484DE3"/>
    <w:rsid w:val="004858D7"/>
    <w:rsid w:val="00492819"/>
    <w:rsid w:val="00496419"/>
    <w:rsid w:val="00497AEE"/>
    <w:rsid w:val="00497EDF"/>
    <w:rsid w:val="004A0EA4"/>
    <w:rsid w:val="004A121E"/>
    <w:rsid w:val="004A4FF3"/>
    <w:rsid w:val="004A640E"/>
    <w:rsid w:val="004A6E49"/>
    <w:rsid w:val="004A7667"/>
    <w:rsid w:val="004B2694"/>
    <w:rsid w:val="004B2CAA"/>
    <w:rsid w:val="004B50A5"/>
    <w:rsid w:val="004B60A3"/>
    <w:rsid w:val="004B60BF"/>
    <w:rsid w:val="004B6EED"/>
    <w:rsid w:val="004C4F7F"/>
    <w:rsid w:val="004C5AB3"/>
    <w:rsid w:val="004C727E"/>
    <w:rsid w:val="004D10F8"/>
    <w:rsid w:val="004D2100"/>
    <w:rsid w:val="004D2BE5"/>
    <w:rsid w:val="004D5A6A"/>
    <w:rsid w:val="004E1B6B"/>
    <w:rsid w:val="004E290A"/>
    <w:rsid w:val="004E35D3"/>
    <w:rsid w:val="004E5892"/>
    <w:rsid w:val="004E63DC"/>
    <w:rsid w:val="004F144D"/>
    <w:rsid w:val="004F31F2"/>
    <w:rsid w:val="004F46F7"/>
    <w:rsid w:val="004F51CF"/>
    <w:rsid w:val="004F5856"/>
    <w:rsid w:val="005033C0"/>
    <w:rsid w:val="00504058"/>
    <w:rsid w:val="00504641"/>
    <w:rsid w:val="00504F89"/>
    <w:rsid w:val="0050519F"/>
    <w:rsid w:val="0050796E"/>
    <w:rsid w:val="00511BB2"/>
    <w:rsid w:val="00512B49"/>
    <w:rsid w:val="00513D15"/>
    <w:rsid w:val="00514CF1"/>
    <w:rsid w:val="00515963"/>
    <w:rsid w:val="00516A4E"/>
    <w:rsid w:val="00517BEA"/>
    <w:rsid w:val="00524522"/>
    <w:rsid w:val="00524E97"/>
    <w:rsid w:val="00525B08"/>
    <w:rsid w:val="00531577"/>
    <w:rsid w:val="00533091"/>
    <w:rsid w:val="0053311D"/>
    <w:rsid w:val="00535951"/>
    <w:rsid w:val="00536352"/>
    <w:rsid w:val="00536E76"/>
    <w:rsid w:val="00537B8B"/>
    <w:rsid w:val="00537FC0"/>
    <w:rsid w:val="00540F0B"/>
    <w:rsid w:val="0054224B"/>
    <w:rsid w:val="00542A50"/>
    <w:rsid w:val="00543035"/>
    <w:rsid w:val="005431FF"/>
    <w:rsid w:val="00544E6E"/>
    <w:rsid w:val="0055011E"/>
    <w:rsid w:val="00550F33"/>
    <w:rsid w:val="005521B1"/>
    <w:rsid w:val="005521FF"/>
    <w:rsid w:val="00552AD3"/>
    <w:rsid w:val="0055346B"/>
    <w:rsid w:val="00553BF8"/>
    <w:rsid w:val="005547A3"/>
    <w:rsid w:val="00556709"/>
    <w:rsid w:val="00556F3A"/>
    <w:rsid w:val="00557882"/>
    <w:rsid w:val="00560AC4"/>
    <w:rsid w:val="00560DF8"/>
    <w:rsid w:val="005629B3"/>
    <w:rsid w:val="00562CA4"/>
    <w:rsid w:val="00563FA5"/>
    <w:rsid w:val="00565617"/>
    <w:rsid w:val="00565E34"/>
    <w:rsid w:val="0056630E"/>
    <w:rsid w:val="00567637"/>
    <w:rsid w:val="00570D37"/>
    <w:rsid w:val="005717BE"/>
    <w:rsid w:val="00573360"/>
    <w:rsid w:val="00573AC7"/>
    <w:rsid w:val="005740A4"/>
    <w:rsid w:val="005743E7"/>
    <w:rsid w:val="00574545"/>
    <w:rsid w:val="0057560E"/>
    <w:rsid w:val="00575D5B"/>
    <w:rsid w:val="00577221"/>
    <w:rsid w:val="0058706F"/>
    <w:rsid w:val="00587821"/>
    <w:rsid w:val="005926B6"/>
    <w:rsid w:val="005952D9"/>
    <w:rsid w:val="0059554D"/>
    <w:rsid w:val="0059645D"/>
    <w:rsid w:val="005A0224"/>
    <w:rsid w:val="005A027F"/>
    <w:rsid w:val="005A1169"/>
    <w:rsid w:val="005A23D0"/>
    <w:rsid w:val="005A3CD8"/>
    <w:rsid w:val="005A4DC2"/>
    <w:rsid w:val="005A4F69"/>
    <w:rsid w:val="005B00CA"/>
    <w:rsid w:val="005B0844"/>
    <w:rsid w:val="005B08B0"/>
    <w:rsid w:val="005B16F4"/>
    <w:rsid w:val="005B2B88"/>
    <w:rsid w:val="005B5578"/>
    <w:rsid w:val="005B7D13"/>
    <w:rsid w:val="005C066B"/>
    <w:rsid w:val="005C1653"/>
    <w:rsid w:val="005C17D7"/>
    <w:rsid w:val="005C4A5B"/>
    <w:rsid w:val="005C6E41"/>
    <w:rsid w:val="005C7013"/>
    <w:rsid w:val="005C70B5"/>
    <w:rsid w:val="005D0F76"/>
    <w:rsid w:val="005D213B"/>
    <w:rsid w:val="005D3E6D"/>
    <w:rsid w:val="005D664C"/>
    <w:rsid w:val="005D7793"/>
    <w:rsid w:val="005E243A"/>
    <w:rsid w:val="005E454D"/>
    <w:rsid w:val="005E56F2"/>
    <w:rsid w:val="005F0626"/>
    <w:rsid w:val="005F11F5"/>
    <w:rsid w:val="005F2537"/>
    <w:rsid w:val="005F3407"/>
    <w:rsid w:val="005F6221"/>
    <w:rsid w:val="00600A77"/>
    <w:rsid w:val="00601038"/>
    <w:rsid w:val="00601788"/>
    <w:rsid w:val="006046C7"/>
    <w:rsid w:val="00604706"/>
    <w:rsid w:val="0060513C"/>
    <w:rsid w:val="006073D4"/>
    <w:rsid w:val="006074EC"/>
    <w:rsid w:val="00612A40"/>
    <w:rsid w:val="00613735"/>
    <w:rsid w:val="006138AC"/>
    <w:rsid w:val="00613DEE"/>
    <w:rsid w:val="006147FE"/>
    <w:rsid w:val="00615D2F"/>
    <w:rsid w:val="00617C37"/>
    <w:rsid w:val="00617F9A"/>
    <w:rsid w:val="00622D81"/>
    <w:rsid w:val="00623F73"/>
    <w:rsid w:val="00624C4C"/>
    <w:rsid w:val="00624D5D"/>
    <w:rsid w:val="00624DD7"/>
    <w:rsid w:val="00624DF4"/>
    <w:rsid w:val="0062799A"/>
    <w:rsid w:val="00630DEA"/>
    <w:rsid w:val="00630EE4"/>
    <w:rsid w:val="006324D1"/>
    <w:rsid w:val="00633032"/>
    <w:rsid w:val="006339C4"/>
    <w:rsid w:val="0063572B"/>
    <w:rsid w:val="0064023C"/>
    <w:rsid w:val="00641556"/>
    <w:rsid w:val="0064195B"/>
    <w:rsid w:val="00646B61"/>
    <w:rsid w:val="00647917"/>
    <w:rsid w:val="006508C7"/>
    <w:rsid w:val="00651137"/>
    <w:rsid w:val="006521C5"/>
    <w:rsid w:val="00652F0F"/>
    <w:rsid w:val="006543EE"/>
    <w:rsid w:val="006565FE"/>
    <w:rsid w:val="00656FDC"/>
    <w:rsid w:val="006577B2"/>
    <w:rsid w:val="0066015F"/>
    <w:rsid w:val="00660389"/>
    <w:rsid w:val="00660588"/>
    <w:rsid w:val="006664F2"/>
    <w:rsid w:val="00670A6F"/>
    <w:rsid w:val="0067266D"/>
    <w:rsid w:val="0067295E"/>
    <w:rsid w:val="00673802"/>
    <w:rsid w:val="006777CA"/>
    <w:rsid w:val="006832B5"/>
    <w:rsid w:val="0068372C"/>
    <w:rsid w:val="00684566"/>
    <w:rsid w:val="00692599"/>
    <w:rsid w:val="006957BB"/>
    <w:rsid w:val="006A1AA8"/>
    <w:rsid w:val="006A47DA"/>
    <w:rsid w:val="006A502B"/>
    <w:rsid w:val="006A5046"/>
    <w:rsid w:val="006B08C7"/>
    <w:rsid w:val="006B0B0A"/>
    <w:rsid w:val="006B369D"/>
    <w:rsid w:val="006B47FE"/>
    <w:rsid w:val="006B486F"/>
    <w:rsid w:val="006C11F7"/>
    <w:rsid w:val="006C159D"/>
    <w:rsid w:val="006C26EA"/>
    <w:rsid w:val="006C2975"/>
    <w:rsid w:val="006C3C6C"/>
    <w:rsid w:val="006C53CD"/>
    <w:rsid w:val="006C6882"/>
    <w:rsid w:val="006C6B54"/>
    <w:rsid w:val="006D21A3"/>
    <w:rsid w:val="006D277F"/>
    <w:rsid w:val="006D3D16"/>
    <w:rsid w:val="006D48E2"/>
    <w:rsid w:val="006E2842"/>
    <w:rsid w:val="006E7D3E"/>
    <w:rsid w:val="006F0279"/>
    <w:rsid w:val="006F1651"/>
    <w:rsid w:val="006F3428"/>
    <w:rsid w:val="006F3BAC"/>
    <w:rsid w:val="006F460C"/>
    <w:rsid w:val="006F7C57"/>
    <w:rsid w:val="006F7DB8"/>
    <w:rsid w:val="007050AE"/>
    <w:rsid w:val="00705707"/>
    <w:rsid w:val="007079C0"/>
    <w:rsid w:val="00710A86"/>
    <w:rsid w:val="00710E88"/>
    <w:rsid w:val="00712D6B"/>
    <w:rsid w:val="00713190"/>
    <w:rsid w:val="00714A7E"/>
    <w:rsid w:val="00715E4B"/>
    <w:rsid w:val="007165ED"/>
    <w:rsid w:val="00720131"/>
    <w:rsid w:val="007218A3"/>
    <w:rsid w:val="00730B4F"/>
    <w:rsid w:val="00731850"/>
    <w:rsid w:val="007352F9"/>
    <w:rsid w:val="00736DE8"/>
    <w:rsid w:val="00736E7B"/>
    <w:rsid w:val="0074175A"/>
    <w:rsid w:val="00742138"/>
    <w:rsid w:val="00743C7D"/>
    <w:rsid w:val="00745C2E"/>
    <w:rsid w:val="007500E4"/>
    <w:rsid w:val="00750C4C"/>
    <w:rsid w:val="0075435E"/>
    <w:rsid w:val="00754603"/>
    <w:rsid w:val="007603C6"/>
    <w:rsid w:val="00760BF3"/>
    <w:rsid w:val="0076528A"/>
    <w:rsid w:val="00770E5E"/>
    <w:rsid w:val="00771030"/>
    <w:rsid w:val="00771B07"/>
    <w:rsid w:val="00772612"/>
    <w:rsid w:val="0077363F"/>
    <w:rsid w:val="00773FAE"/>
    <w:rsid w:val="00775D6D"/>
    <w:rsid w:val="00776D78"/>
    <w:rsid w:val="00781799"/>
    <w:rsid w:val="00783066"/>
    <w:rsid w:val="00785ED6"/>
    <w:rsid w:val="007910A0"/>
    <w:rsid w:val="007932E9"/>
    <w:rsid w:val="0079427D"/>
    <w:rsid w:val="00796673"/>
    <w:rsid w:val="007968E6"/>
    <w:rsid w:val="007A1140"/>
    <w:rsid w:val="007A1C97"/>
    <w:rsid w:val="007A2EDD"/>
    <w:rsid w:val="007A51BD"/>
    <w:rsid w:val="007A58C4"/>
    <w:rsid w:val="007A5F61"/>
    <w:rsid w:val="007B027F"/>
    <w:rsid w:val="007B3321"/>
    <w:rsid w:val="007B40F7"/>
    <w:rsid w:val="007C2D46"/>
    <w:rsid w:val="007C6822"/>
    <w:rsid w:val="007D23D3"/>
    <w:rsid w:val="007D25B5"/>
    <w:rsid w:val="007D3428"/>
    <w:rsid w:val="007D6E9D"/>
    <w:rsid w:val="007D7378"/>
    <w:rsid w:val="007E06F3"/>
    <w:rsid w:val="007E43E5"/>
    <w:rsid w:val="007E46FC"/>
    <w:rsid w:val="007E52AF"/>
    <w:rsid w:val="007E71FF"/>
    <w:rsid w:val="007F0A4E"/>
    <w:rsid w:val="007F0D7A"/>
    <w:rsid w:val="007F2729"/>
    <w:rsid w:val="007F274C"/>
    <w:rsid w:val="007F28E5"/>
    <w:rsid w:val="007F34D9"/>
    <w:rsid w:val="007F3B90"/>
    <w:rsid w:val="007F5022"/>
    <w:rsid w:val="007F5543"/>
    <w:rsid w:val="007F6EE5"/>
    <w:rsid w:val="007F7278"/>
    <w:rsid w:val="00804579"/>
    <w:rsid w:val="008045DB"/>
    <w:rsid w:val="00805F35"/>
    <w:rsid w:val="0081259B"/>
    <w:rsid w:val="00814FF1"/>
    <w:rsid w:val="008165FA"/>
    <w:rsid w:val="00816AED"/>
    <w:rsid w:val="00820238"/>
    <w:rsid w:val="008219E6"/>
    <w:rsid w:val="00821E5E"/>
    <w:rsid w:val="00825696"/>
    <w:rsid w:val="00827787"/>
    <w:rsid w:val="00830DCC"/>
    <w:rsid w:val="00831E1B"/>
    <w:rsid w:val="00837AEB"/>
    <w:rsid w:val="008413B5"/>
    <w:rsid w:val="0084143F"/>
    <w:rsid w:val="00841978"/>
    <w:rsid w:val="0084531A"/>
    <w:rsid w:val="00845DF4"/>
    <w:rsid w:val="00846FCB"/>
    <w:rsid w:val="00847A19"/>
    <w:rsid w:val="008529FA"/>
    <w:rsid w:val="00855AF4"/>
    <w:rsid w:val="00856C7F"/>
    <w:rsid w:val="00857121"/>
    <w:rsid w:val="00857171"/>
    <w:rsid w:val="00861CE8"/>
    <w:rsid w:val="008624C8"/>
    <w:rsid w:val="00862574"/>
    <w:rsid w:val="00863881"/>
    <w:rsid w:val="008639D8"/>
    <w:rsid w:val="0086427E"/>
    <w:rsid w:val="00864686"/>
    <w:rsid w:val="00865164"/>
    <w:rsid w:val="00866F51"/>
    <w:rsid w:val="0086719A"/>
    <w:rsid w:val="0086724B"/>
    <w:rsid w:val="00870175"/>
    <w:rsid w:val="0087063D"/>
    <w:rsid w:val="008711BC"/>
    <w:rsid w:val="00871C92"/>
    <w:rsid w:val="00872666"/>
    <w:rsid w:val="00874E4E"/>
    <w:rsid w:val="008754E3"/>
    <w:rsid w:val="00875DE6"/>
    <w:rsid w:val="0088082E"/>
    <w:rsid w:val="00881EBF"/>
    <w:rsid w:val="00884577"/>
    <w:rsid w:val="0088766D"/>
    <w:rsid w:val="00890C4D"/>
    <w:rsid w:val="00892476"/>
    <w:rsid w:val="0089452B"/>
    <w:rsid w:val="008960E3"/>
    <w:rsid w:val="008A0483"/>
    <w:rsid w:val="008A09E8"/>
    <w:rsid w:val="008A1397"/>
    <w:rsid w:val="008A13B8"/>
    <w:rsid w:val="008A1762"/>
    <w:rsid w:val="008A2A5F"/>
    <w:rsid w:val="008A63C6"/>
    <w:rsid w:val="008B0347"/>
    <w:rsid w:val="008B0DA9"/>
    <w:rsid w:val="008B111E"/>
    <w:rsid w:val="008B2F3B"/>
    <w:rsid w:val="008B3084"/>
    <w:rsid w:val="008B308B"/>
    <w:rsid w:val="008B309C"/>
    <w:rsid w:val="008B3E5C"/>
    <w:rsid w:val="008C0857"/>
    <w:rsid w:val="008C2130"/>
    <w:rsid w:val="008C5CDF"/>
    <w:rsid w:val="008C656F"/>
    <w:rsid w:val="008D09E9"/>
    <w:rsid w:val="008D0A3D"/>
    <w:rsid w:val="008D641E"/>
    <w:rsid w:val="008E0B86"/>
    <w:rsid w:val="008E0EAD"/>
    <w:rsid w:val="008E316E"/>
    <w:rsid w:val="008E3AE2"/>
    <w:rsid w:val="008E3FF9"/>
    <w:rsid w:val="008E7D4A"/>
    <w:rsid w:val="008E7E51"/>
    <w:rsid w:val="008F07C0"/>
    <w:rsid w:val="008F2054"/>
    <w:rsid w:val="008F3FDC"/>
    <w:rsid w:val="008F5A52"/>
    <w:rsid w:val="00900AF6"/>
    <w:rsid w:val="0090317C"/>
    <w:rsid w:val="009038F9"/>
    <w:rsid w:val="00904024"/>
    <w:rsid w:val="00907173"/>
    <w:rsid w:val="0091384D"/>
    <w:rsid w:val="00914956"/>
    <w:rsid w:val="00916C51"/>
    <w:rsid w:val="00920242"/>
    <w:rsid w:val="00921B0A"/>
    <w:rsid w:val="00921D27"/>
    <w:rsid w:val="00923B38"/>
    <w:rsid w:val="009240FD"/>
    <w:rsid w:val="00925549"/>
    <w:rsid w:val="00925F21"/>
    <w:rsid w:val="00926B77"/>
    <w:rsid w:val="00926CD3"/>
    <w:rsid w:val="009278FE"/>
    <w:rsid w:val="00930E38"/>
    <w:rsid w:val="00931BCF"/>
    <w:rsid w:val="00932D23"/>
    <w:rsid w:val="00932FB5"/>
    <w:rsid w:val="00934301"/>
    <w:rsid w:val="00936442"/>
    <w:rsid w:val="00941C3C"/>
    <w:rsid w:val="00942374"/>
    <w:rsid w:val="00942B3A"/>
    <w:rsid w:val="00943A3A"/>
    <w:rsid w:val="00945269"/>
    <w:rsid w:val="00945480"/>
    <w:rsid w:val="0094666C"/>
    <w:rsid w:val="00947804"/>
    <w:rsid w:val="00947A74"/>
    <w:rsid w:val="00947AEE"/>
    <w:rsid w:val="00947E56"/>
    <w:rsid w:val="0095182D"/>
    <w:rsid w:val="00954886"/>
    <w:rsid w:val="009548FF"/>
    <w:rsid w:val="0095582E"/>
    <w:rsid w:val="00960DC1"/>
    <w:rsid w:val="00967F3A"/>
    <w:rsid w:val="00971ACB"/>
    <w:rsid w:val="0097231F"/>
    <w:rsid w:val="00972CE6"/>
    <w:rsid w:val="009739D4"/>
    <w:rsid w:val="00973E4D"/>
    <w:rsid w:val="00977071"/>
    <w:rsid w:val="009772CE"/>
    <w:rsid w:val="00987F9F"/>
    <w:rsid w:val="00990051"/>
    <w:rsid w:val="009910D0"/>
    <w:rsid w:val="00993DBD"/>
    <w:rsid w:val="0099519A"/>
    <w:rsid w:val="00995578"/>
    <w:rsid w:val="00996050"/>
    <w:rsid w:val="00996813"/>
    <w:rsid w:val="00997A1A"/>
    <w:rsid w:val="009A385F"/>
    <w:rsid w:val="009A3E40"/>
    <w:rsid w:val="009A427A"/>
    <w:rsid w:val="009A44AE"/>
    <w:rsid w:val="009A46CE"/>
    <w:rsid w:val="009A4C21"/>
    <w:rsid w:val="009A603E"/>
    <w:rsid w:val="009A7434"/>
    <w:rsid w:val="009B4FEF"/>
    <w:rsid w:val="009B6C35"/>
    <w:rsid w:val="009C0A03"/>
    <w:rsid w:val="009C0ECE"/>
    <w:rsid w:val="009C15C6"/>
    <w:rsid w:val="009C2EEB"/>
    <w:rsid w:val="009C42D2"/>
    <w:rsid w:val="009C68F1"/>
    <w:rsid w:val="009C6D04"/>
    <w:rsid w:val="009C6E16"/>
    <w:rsid w:val="009C737F"/>
    <w:rsid w:val="009D04E2"/>
    <w:rsid w:val="009D0F18"/>
    <w:rsid w:val="009D2CE2"/>
    <w:rsid w:val="009D43E7"/>
    <w:rsid w:val="009D6F33"/>
    <w:rsid w:val="009D796F"/>
    <w:rsid w:val="009E215E"/>
    <w:rsid w:val="009E23FB"/>
    <w:rsid w:val="009E3FAB"/>
    <w:rsid w:val="009E5EB3"/>
    <w:rsid w:val="009E6040"/>
    <w:rsid w:val="009E61F0"/>
    <w:rsid w:val="009E684D"/>
    <w:rsid w:val="009E6F7A"/>
    <w:rsid w:val="009F0F6A"/>
    <w:rsid w:val="009F1560"/>
    <w:rsid w:val="009F209D"/>
    <w:rsid w:val="009F2E5E"/>
    <w:rsid w:val="009F5586"/>
    <w:rsid w:val="009F6278"/>
    <w:rsid w:val="009F63C3"/>
    <w:rsid w:val="009F6A50"/>
    <w:rsid w:val="00A00FF9"/>
    <w:rsid w:val="00A01937"/>
    <w:rsid w:val="00A035AA"/>
    <w:rsid w:val="00A0383D"/>
    <w:rsid w:val="00A04EC9"/>
    <w:rsid w:val="00A10436"/>
    <w:rsid w:val="00A11796"/>
    <w:rsid w:val="00A12E00"/>
    <w:rsid w:val="00A15CF4"/>
    <w:rsid w:val="00A16104"/>
    <w:rsid w:val="00A30B9A"/>
    <w:rsid w:val="00A30FFB"/>
    <w:rsid w:val="00A342F6"/>
    <w:rsid w:val="00A34C53"/>
    <w:rsid w:val="00A35AC4"/>
    <w:rsid w:val="00A37E75"/>
    <w:rsid w:val="00A400EC"/>
    <w:rsid w:val="00A40455"/>
    <w:rsid w:val="00A42077"/>
    <w:rsid w:val="00A43750"/>
    <w:rsid w:val="00A44FB7"/>
    <w:rsid w:val="00A47F49"/>
    <w:rsid w:val="00A51F66"/>
    <w:rsid w:val="00A56B94"/>
    <w:rsid w:val="00A5726E"/>
    <w:rsid w:val="00A578C5"/>
    <w:rsid w:val="00A635CD"/>
    <w:rsid w:val="00A65434"/>
    <w:rsid w:val="00A65F03"/>
    <w:rsid w:val="00A668A7"/>
    <w:rsid w:val="00A670DF"/>
    <w:rsid w:val="00A67FF1"/>
    <w:rsid w:val="00A70A07"/>
    <w:rsid w:val="00A71E56"/>
    <w:rsid w:val="00A72333"/>
    <w:rsid w:val="00A72C0C"/>
    <w:rsid w:val="00A75515"/>
    <w:rsid w:val="00A7640C"/>
    <w:rsid w:val="00A76483"/>
    <w:rsid w:val="00A7728E"/>
    <w:rsid w:val="00A81E46"/>
    <w:rsid w:val="00A829E5"/>
    <w:rsid w:val="00A860D4"/>
    <w:rsid w:val="00A86122"/>
    <w:rsid w:val="00A8768A"/>
    <w:rsid w:val="00A903D0"/>
    <w:rsid w:val="00A904CC"/>
    <w:rsid w:val="00A90D81"/>
    <w:rsid w:val="00A964DA"/>
    <w:rsid w:val="00A97F93"/>
    <w:rsid w:val="00AA01CC"/>
    <w:rsid w:val="00AA0429"/>
    <w:rsid w:val="00AA4989"/>
    <w:rsid w:val="00AA5B5E"/>
    <w:rsid w:val="00AB0E4C"/>
    <w:rsid w:val="00AB0ED8"/>
    <w:rsid w:val="00AB0FA6"/>
    <w:rsid w:val="00AB200B"/>
    <w:rsid w:val="00AB292E"/>
    <w:rsid w:val="00AB319F"/>
    <w:rsid w:val="00AB32D0"/>
    <w:rsid w:val="00AB37E9"/>
    <w:rsid w:val="00AB7046"/>
    <w:rsid w:val="00AB7239"/>
    <w:rsid w:val="00AC0146"/>
    <w:rsid w:val="00AC1645"/>
    <w:rsid w:val="00AC428D"/>
    <w:rsid w:val="00AC65D6"/>
    <w:rsid w:val="00AC6954"/>
    <w:rsid w:val="00AD0053"/>
    <w:rsid w:val="00AD29F3"/>
    <w:rsid w:val="00AD7C82"/>
    <w:rsid w:val="00AE0A6E"/>
    <w:rsid w:val="00AE4138"/>
    <w:rsid w:val="00AE48BA"/>
    <w:rsid w:val="00AE5D54"/>
    <w:rsid w:val="00AE7A3A"/>
    <w:rsid w:val="00AF0A23"/>
    <w:rsid w:val="00AF32AF"/>
    <w:rsid w:val="00AF46C9"/>
    <w:rsid w:val="00AF60FA"/>
    <w:rsid w:val="00AF61E6"/>
    <w:rsid w:val="00AF6ABC"/>
    <w:rsid w:val="00AF70E7"/>
    <w:rsid w:val="00AF7A57"/>
    <w:rsid w:val="00B03964"/>
    <w:rsid w:val="00B05EE7"/>
    <w:rsid w:val="00B06DDC"/>
    <w:rsid w:val="00B07150"/>
    <w:rsid w:val="00B12C0E"/>
    <w:rsid w:val="00B15CFC"/>
    <w:rsid w:val="00B16B05"/>
    <w:rsid w:val="00B23E2D"/>
    <w:rsid w:val="00B25F2D"/>
    <w:rsid w:val="00B2645B"/>
    <w:rsid w:val="00B2715D"/>
    <w:rsid w:val="00B27AAE"/>
    <w:rsid w:val="00B27E65"/>
    <w:rsid w:val="00B31978"/>
    <w:rsid w:val="00B32B2D"/>
    <w:rsid w:val="00B353BB"/>
    <w:rsid w:val="00B35723"/>
    <w:rsid w:val="00B37143"/>
    <w:rsid w:val="00B4671A"/>
    <w:rsid w:val="00B505D1"/>
    <w:rsid w:val="00B5077E"/>
    <w:rsid w:val="00B50C4B"/>
    <w:rsid w:val="00B52081"/>
    <w:rsid w:val="00B526CE"/>
    <w:rsid w:val="00B538BF"/>
    <w:rsid w:val="00B53F6C"/>
    <w:rsid w:val="00B549B9"/>
    <w:rsid w:val="00B54C2C"/>
    <w:rsid w:val="00B5671C"/>
    <w:rsid w:val="00B6019D"/>
    <w:rsid w:val="00B612D7"/>
    <w:rsid w:val="00B646DB"/>
    <w:rsid w:val="00B65A72"/>
    <w:rsid w:val="00B66E4B"/>
    <w:rsid w:val="00B67045"/>
    <w:rsid w:val="00B67176"/>
    <w:rsid w:val="00B67A4B"/>
    <w:rsid w:val="00B73919"/>
    <w:rsid w:val="00B7552F"/>
    <w:rsid w:val="00B75822"/>
    <w:rsid w:val="00B76267"/>
    <w:rsid w:val="00B768A6"/>
    <w:rsid w:val="00B8003E"/>
    <w:rsid w:val="00B8080E"/>
    <w:rsid w:val="00B80CC4"/>
    <w:rsid w:val="00B8101A"/>
    <w:rsid w:val="00B8108F"/>
    <w:rsid w:val="00B83460"/>
    <w:rsid w:val="00B84760"/>
    <w:rsid w:val="00B85413"/>
    <w:rsid w:val="00B90EAD"/>
    <w:rsid w:val="00B9172F"/>
    <w:rsid w:val="00B91FB7"/>
    <w:rsid w:val="00B9363F"/>
    <w:rsid w:val="00B938F5"/>
    <w:rsid w:val="00B93E76"/>
    <w:rsid w:val="00B95B77"/>
    <w:rsid w:val="00B97992"/>
    <w:rsid w:val="00BA09C4"/>
    <w:rsid w:val="00BA17E0"/>
    <w:rsid w:val="00BA292B"/>
    <w:rsid w:val="00BA4481"/>
    <w:rsid w:val="00BA6998"/>
    <w:rsid w:val="00BA7E39"/>
    <w:rsid w:val="00BA7F3F"/>
    <w:rsid w:val="00BB0969"/>
    <w:rsid w:val="00BB202F"/>
    <w:rsid w:val="00BB26EC"/>
    <w:rsid w:val="00BB2D4D"/>
    <w:rsid w:val="00BB2F94"/>
    <w:rsid w:val="00BB4B0B"/>
    <w:rsid w:val="00BB6BAA"/>
    <w:rsid w:val="00BC193A"/>
    <w:rsid w:val="00BC1B14"/>
    <w:rsid w:val="00BC2680"/>
    <w:rsid w:val="00BC3200"/>
    <w:rsid w:val="00BC45D4"/>
    <w:rsid w:val="00BC71CE"/>
    <w:rsid w:val="00BD120D"/>
    <w:rsid w:val="00BD2CA3"/>
    <w:rsid w:val="00BD32BB"/>
    <w:rsid w:val="00BD3506"/>
    <w:rsid w:val="00BD3537"/>
    <w:rsid w:val="00BD59EE"/>
    <w:rsid w:val="00BD6042"/>
    <w:rsid w:val="00BD614F"/>
    <w:rsid w:val="00BD62BC"/>
    <w:rsid w:val="00BE365E"/>
    <w:rsid w:val="00BE4D99"/>
    <w:rsid w:val="00BE65F6"/>
    <w:rsid w:val="00BE68CB"/>
    <w:rsid w:val="00BE7740"/>
    <w:rsid w:val="00BE782F"/>
    <w:rsid w:val="00BE7FBD"/>
    <w:rsid w:val="00BF289A"/>
    <w:rsid w:val="00BF2A52"/>
    <w:rsid w:val="00BF40C1"/>
    <w:rsid w:val="00BF47F6"/>
    <w:rsid w:val="00BF5CD2"/>
    <w:rsid w:val="00C0022C"/>
    <w:rsid w:val="00C00A36"/>
    <w:rsid w:val="00C00D98"/>
    <w:rsid w:val="00C026C4"/>
    <w:rsid w:val="00C028BD"/>
    <w:rsid w:val="00C02D27"/>
    <w:rsid w:val="00C03713"/>
    <w:rsid w:val="00C039ED"/>
    <w:rsid w:val="00C0453A"/>
    <w:rsid w:val="00C04895"/>
    <w:rsid w:val="00C04E22"/>
    <w:rsid w:val="00C0514F"/>
    <w:rsid w:val="00C124CB"/>
    <w:rsid w:val="00C12832"/>
    <w:rsid w:val="00C17319"/>
    <w:rsid w:val="00C21F3A"/>
    <w:rsid w:val="00C22BFA"/>
    <w:rsid w:val="00C23BA3"/>
    <w:rsid w:val="00C23BB9"/>
    <w:rsid w:val="00C2504C"/>
    <w:rsid w:val="00C25F1D"/>
    <w:rsid w:val="00C30B36"/>
    <w:rsid w:val="00C33D88"/>
    <w:rsid w:val="00C3554D"/>
    <w:rsid w:val="00C35E7B"/>
    <w:rsid w:val="00C36ED4"/>
    <w:rsid w:val="00C370FA"/>
    <w:rsid w:val="00C41C99"/>
    <w:rsid w:val="00C41FE3"/>
    <w:rsid w:val="00C4283B"/>
    <w:rsid w:val="00C440E0"/>
    <w:rsid w:val="00C44F9D"/>
    <w:rsid w:val="00C45925"/>
    <w:rsid w:val="00C50326"/>
    <w:rsid w:val="00C5143E"/>
    <w:rsid w:val="00C51802"/>
    <w:rsid w:val="00C53807"/>
    <w:rsid w:val="00C53E3A"/>
    <w:rsid w:val="00C53E4F"/>
    <w:rsid w:val="00C57913"/>
    <w:rsid w:val="00C61072"/>
    <w:rsid w:val="00C640AB"/>
    <w:rsid w:val="00C640EE"/>
    <w:rsid w:val="00C70813"/>
    <w:rsid w:val="00C70C98"/>
    <w:rsid w:val="00C71390"/>
    <w:rsid w:val="00C71CDA"/>
    <w:rsid w:val="00C73D24"/>
    <w:rsid w:val="00C73F69"/>
    <w:rsid w:val="00C742A2"/>
    <w:rsid w:val="00C75965"/>
    <w:rsid w:val="00C75E7E"/>
    <w:rsid w:val="00C779A7"/>
    <w:rsid w:val="00C8129E"/>
    <w:rsid w:val="00C81DE6"/>
    <w:rsid w:val="00C81DF4"/>
    <w:rsid w:val="00C820A8"/>
    <w:rsid w:val="00C83D24"/>
    <w:rsid w:val="00C84650"/>
    <w:rsid w:val="00C84BAF"/>
    <w:rsid w:val="00C8514A"/>
    <w:rsid w:val="00C85A80"/>
    <w:rsid w:val="00C8638C"/>
    <w:rsid w:val="00C8662A"/>
    <w:rsid w:val="00C90077"/>
    <w:rsid w:val="00C90CCD"/>
    <w:rsid w:val="00C92FB7"/>
    <w:rsid w:val="00C93740"/>
    <w:rsid w:val="00CA0354"/>
    <w:rsid w:val="00CA3C80"/>
    <w:rsid w:val="00CA5378"/>
    <w:rsid w:val="00CA579F"/>
    <w:rsid w:val="00CA5E4D"/>
    <w:rsid w:val="00CA63B5"/>
    <w:rsid w:val="00CA6A1F"/>
    <w:rsid w:val="00CB259B"/>
    <w:rsid w:val="00CB2A96"/>
    <w:rsid w:val="00CB450A"/>
    <w:rsid w:val="00CB452E"/>
    <w:rsid w:val="00CB590C"/>
    <w:rsid w:val="00CB76AF"/>
    <w:rsid w:val="00CC1E98"/>
    <w:rsid w:val="00CC4082"/>
    <w:rsid w:val="00CC5D2E"/>
    <w:rsid w:val="00CD102C"/>
    <w:rsid w:val="00CD281B"/>
    <w:rsid w:val="00CD4BE8"/>
    <w:rsid w:val="00CD7D38"/>
    <w:rsid w:val="00CE18FF"/>
    <w:rsid w:val="00CE20AE"/>
    <w:rsid w:val="00CE6886"/>
    <w:rsid w:val="00CF0027"/>
    <w:rsid w:val="00CF0520"/>
    <w:rsid w:val="00CF1B05"/>
    <w:rsid w:val="00CF3C8E"/>
    <w:rsid w:val="00CF418A"/>
    <w:rsid w:val="00CF4B37"/>
    <w:rsid w:val="00D0059B"/>
    <w:rsid w:val="00D01ECB"/>
    <w:rsid w:val="00D025DE"/>
    <w:rsid w:val="00D02855"/>
    <w:rsid w:val="00D0566D"/>
    <w:rsid w:val="00D07BA8"/>
    <w:rsid w:val="00D13170"/>
    <w:rsid w:val="00D147E1"/>
    <w:rsid w:val="00D15EDA"/>
    <w:rsid w:val="00D16B74"/>
    <w:rsid w:val="00D201AF"/>
    <w:rsid w:val="00D22993"/>
    <w:rsid w:val="00D22C00"/>
    <w:rsid w:val="00D232B8"/>
    <w:rsid w:val="00D250C0"/>
    <w:rsid w:val="00D25E4A"/>
    <w:rsid w:val="00D262D6"/>
    <w:rsid w:val="00D26BB2"/>
    <w:rsid w:val="00D26C3E"/>
    <w:rsid w:val="00D302F2"/>
    <w:rsid w:val="00D30FD5"/>
    <w:rsid w:val="00D3125E"/>
    <w:rsid w:val="00D32F50"/>
    <w:rsid w:val="00D3403B"/>
    <w:rsid w:val="00D3412D"/>
    <w:rsid w:val="00D3474A"/>
    <w:rsid w:val="00D347CD"/>
    <w:rsid w:val="00D35470"/>
    <w:rsid w:val="00D3568E"/>
    <w:rsid w:val="00D36D7C"/>
    <w:rsid w:val="00D3708F"/>
    <w:rsid w:val="00D44914"/>
    <w:rsid w:val="00D46939"/>
    <w:rsid w:val="00D471C7"/>
    <w:rsid w:val="00D51053"/>
    <w:rsid w:val="00D51BC4"/>
    <w:rsid w:val="00D55D9E"/>
    <w:rsid w:val="00D55EFA"/>
    <w:rsid w:val="00D57F9B"/>
    <w:rsid w:val="00D6116D"/>
    <w:rsid w:val="00D62811"/>
    <w:rsid w:val="00D62A1B"/>
    <w:rsid w:val="00D62D7B"/>
    <w:rsid w:val="00D638A3"/>
    <w:rsid w:val="00D64391"/>
    <w:rsid w:val="00D66C89"/>
    <w:rsid w:val="00D66FEC"/>
    <w:rsid w:val="00D673B0"/>
    <w:rsid w:val="00D67772"/>
    <w:rsid w:val="00D73500"/>
    <w:rsid w:val="00D76104"/>
    <w:rsid w:val="00D766D6"/>
    <w:rsid w:val="00D77B68"/>
    <w:rsid w:val="00D8013D"/>
    <w:rsid w:val="00D81D80"/>
    <w:rsid w:val="00D82B52"/>
    <w:rsid w:val="00D83748"/>
    <w:rsid w:val="00D837EB"/>
    <w:rsid w:val="00D84566"/>
    <w:rsid w:val="00D8484E"/>
    <w:rsid w:val="00D86A23"/>
    <w:rsid w:val="00D86E0B"/>
    <w:rsid w:val="00D92679"/>
    <w:rsid w:val="00D931F9"/>
    <w:rsid w:val="00D95E0D"/>
    <w:rsid w:val="00DA09AB"/>
    <w:rsid w:val="00DA0AE3"/>
    <w:rsid w:val="00DA187D"/>
    <w:rsid w:val="00DA209F"/>
    <w:rsid w:val="00DA588F"/>
    <w:rsid w:val="00DA780C"/>
    <w:rsid w:val="00DA7AD1"/>
    <w:rsid w:val="00DB1C3D"/>
    <w:rsid w:val="00DB4C50"/>
    <w:rsid w:val="00DB515F"/>
    <w:rsid w:val="00DC1317"/>
    <w:rsid w:val="00DC35C5"/>
    <w:rsid w:val="00DC3C6F"/>
    <w:rsid w:val="00DC6AE2"/>
    <w:rsid w:val="00DC7BEA"/>
    <w:rsid w:val="00DD3EC7"/>
    <w:rsid w:val="00DD5A66"/>
    <w:rsid w:val="00DD5D9B"/>
    <w:rsid w:val="00DE09DA"/>
    <w:rsid w:val="00DE0B21"/>
    <w:rsid w:val="00DE176C"/>
    <w:rsid w:val="00DE217E"/>
    <w:rsid w:val="00DE2752"/>
    <w:rsid w:val="00DE2F25"/>
    <w:rsid w:val="00DE41D9"/>
    <w:rsid w:val="00DE5371"/>
    <w:rsid w:val="00DE6821"/>
    <w:rsid w:val="00DE7105"/>
    <w:rsid w:val="00DF1597"/>
    <w:rsid w:val="00DF2D9A"/>
    <w:rsid w:val="00DF2E24"/>
    <w:rsid w:val="00DF377E"/>
    <w:rsid w:val="00DF45B9"/>
    <w:rsid w:val="00E0073D"/>
    <w:rsid w:val="00E00EFA"/>
    <w:rsid w:val="00E0152D"/>
    <w:rsid w:val="00E01B5D"/>
    <w:rsid w:val="00E03711"/>
    <w:rsid w:val="00E07E1F"/>
    <w:rsid w:val="00E10493"/>
    <w:rsid w:val="00E1065C"/>
    <w:rsid w:val="00E11112"/>
    <w:rsid w:val="00E11411"/>
    <w:rsid w:val="00E12BD3"/>
    <w:rsid w:val="00E154FB"/>
    <w:rsid w:val="00E17C30"/>
    <w:rsid w:val="00E25589"/>
    <w:rsid w:val="00E271F1"/>
    <w:rsid w:val="00E31583"/>
    <w:rsid w:val="00E31D71"/>
    <w:rsid w:val="00E33802"/>
    <w:rsid w:val="00E357AD"/>
    <w:rsid w:val="00E3788E"/>
    <w:rsid w:val="00E40C9A"/>
    <w:rsid w:val="00E43AD5"/>
    <w:rsid w:val="00E453AD"/>
    <w:rsid w:val="00E50850"/>
    <w:rsid w:val="00E563D0"/>
    <w:rsid w:val="00E5703F"/>
    <w:rsid w:val="00E616F8"/>
    <w:rsid w:val="00E6225C"/>
    <w:rsid w:val="00E66C8B"/>
    <w:rsid w:val="00E66CF4"/>
    <w:rsid w:val="00E70144"/>
    <w:rsid w:val="00E71798"/>
    <w:rsid w:val="00E74ADD"/>
    <w:rsid w:val="00E756A0"/>
    <w:rsid w:val="00E7646B"/>
    <w:rsid w:val="00E815E6"/>
    <w:rsid w:val="00E81982"/>
    <w:rsid w:val="00E84ACA"/>
    <w:rsid w:val="00E85CF5"/>
    <w:rsid w:val="00E85CF6"/>
    <w:rsid w:val="00E860B2"/>
    <w:rsid w:val="00E8714F"/>
    <w:rsid w:val="00E94501"/>
    <w:rsid w:val="00E957E2"/>
    <w:rsid w:val="00E97861"/>
    <w:rsid w:val="00E97FC0"/>
    <w:rsid w:val="00EA1F3A"/>
    <w:rsid w:val="00EA2CC5"/>
    <w:rsid w:val="00EA2D8F"/>
    <w:rsid w:val="00EA3080"/>
    <w:rsid w:val="00EA59A9"/>
    <w:rsid w:val="00EB4A21"/>
    <w:rsid w:val="00EB4D95"/>
    <w:rsid w:val="00EB6BBD"/>
    <w:rsid w:val="00EB7981"/>
    <w:rsid w:val="00EC2B7D"/>
    <w:rsid w:val="00EC382D"/>
    <w:rsid w:val="00EC4F84"/>
    <w:rsid w:val="00EC7705"/>
    <w:rsid w:val="00EC7F52"/>
    <w:rsid w:val="00ED12B0"/>
    <w:rsid w:val="00ED169B"/>
    <w:rsid w:val="00ED1737"/>
    <w:rsid w:val="00ED5EC5"/>
    <w:rsid w:val="00ED6183"/>
    <w:rsid w:val="00ED6EAE"/>
    <w:rsid w:val="00ED7249"/>
    <w:rsid w:val="00ED755B"/>
    <w:rsid w:val="00ED75A2"/>
    <w:rsid w:val="00EE0DD8"/>
    <w:rsid w:val="00EE1BAB"/>
    <w:rsid w:val="00EE1C24"/>
    <w:rsid w:val="00EE6FFB"/>
    <w:rsid w:val="00EE7430"/>
    <w:rsid w:val="00EF0516"/>
    <w:rsid w:val="00EF247D"/>
    <w:rsid w:val="00EF6014"/>
    <w:rsid w:val="00EF6E8E"/>
    <w:rsid w:val="00EF7EF2"/>
    <w:rsid w:val="00EF7F20"/>
    <w:rsid w:val="00F01512"/>
    <w:rsid w:val="00F05D80"/>
    <w:rsid w:val="00F06185"/>
    <w:rsid w:val="00F06427"/>
    <w:rsid w:val="00F064AD"/>
    <w:rsid w:val="00F06C3F"/>
    <w:rsid w:val="00F1230B"/>
    <w:rsid w:val="00F14508"/>
    <w:rsid w:val="00F15A09"/>
    <w:rsid w:val="00F15A8A"/>
    <w:rsid w:val="00F16628"/>
    <w:rsid w:val="00F20934"/>
    <w:rsid w:val="00F20E0F"/>
    <w:rsid w:val="00F20F59"/>
    <w:rsid w:val="00F23910"/>
    <w:rsid w:val="00F24360"/>
    <w:rsid w:val="00F24784"/>
    <w:rsid w:val="00F31837"/>
    <w:rsid w:val="00F31F47"/>
    <w:rsid w:val="00F37A24"/>
    <w:rsid w:val="00F4000B"/>
    <w:rsid w:val="00F40D89"/>
    <w:rsid w:val="00F414A9"/>
    <w:rsid w:val="00F4449E"/>
    <w:rsid w:val="00F44F38"/>
    <w:rsid w:val="00F45A7D"/>
    <w:rsid w:val="00F4684C"/>
    <w:rsid w:val="00F50F49"/>
    <w:rsid w:val="00F512DE"/>
    <w:rsid w:val="00F518AB"/>
    <w:rsid w:val="00F53281"/>
    <w:rsid w:val="00F554BF"/>
    <w:rsid w:val="00F56D1F"/>
    <w:rsid w:val="00F622A3"/>
    <w:rsid w:val="00F62A7E"/>
    <w:rsid w:val="00F64C06"/>
    <w:rsid w:val="00F6548A"/>
    <w:rsid w:val="00F66B1E"/>
    <w:rsid w:val="00F66EED"/>
    <w:rsid w:val="00F70D5D"/>
    <w:rsid w:val="00F71012"/>
    <w:rsid w:val="00F7145F"/>
    <w:rsid w:val="00F72840"/>
    <w:rsid w:val="00F740DA"/>
    <w:rsid w:val="00F74C65"/>
    <w:rsid w:val="00F810FC"/>
    <w:rsid w:val="00F81F48"/>
    <w:rsid w:val="00F845F6"/>
    <w:rsid w:val="00F846F4"/>
    <w:rsid w:val="00F848DE"/>
    <w:rsid w:val="00F87C83"/>
    <w:rsid w:val="00F87FC3"/>
    <w:rsid w:val="00F9013D"/>
    <w:rsid w:val="00F90B06"/>
    <w:rsid w:val="00F96FC6"/>
    <w:rsid w:val="00F97D0B"/>
    <w:rsid w:val="00F97FF5"/>
    <w:rsid w:val="00FA1E7A"/>
    <w:rsid w:val="00FA4C3A"/>
    <w:rsid w:val="00FA6264"/>
    <w:rsid w:val="00FA6FAC"/>
    <w:rsid w:val="00FB0300"/>
    <w:rsid w:val="00FB2CB1"/>
    <w:rsid w:val="00FB307F"/>
    <w:rsid w:val="00FC1B68"/>
    <w:rsid w:val="00FC5C29"/>
    <w:rsid w:val="00FC61D4"/>
    <w:rsid w:val="00FC63BB"/>
    <w:rsid w:val="00FC6519"/>
    <w:rsid w:val="00FC693A"/>
    <w:rsid w:val="00FC6A2A"/>
    <w:rsid w:val="00FC6FA8"/>
    <w:rsid w:val="00FD3E70"/>
    <w:rsid w:val="00FD7780"/>
    <w:rsid w:val="00FE256B"/>
    <w:rsid w:val="00FE2D5F"/>
    <w:rsid w:val="00FE2E07"/>
    <w:rsid w:val="00FE42A1"/>
    <w:rsid w:val="00FE49D3"/>
    <w:rsid w:val="00FE4A1A"/>
    <w:rsid w:val="00FE773B"/>
    <w:rsid w:val="00FE7FF7"/>
    <w:rsid w:val="00FF1607"/>
    <w:rsid w:val="00FF7B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2D1D08"/>
    <w:pPr>
      <w:keepNext/>
      <w:keepLines/>
      <w:spacing w:before="60" w:after="60"/>
      <w:ind w:left="284" w:hanging="284"/>
      <w:jc w:val="left"/>
      <w:outlineLvl w:val="0"/>
    </w:pPr>
    <w:rPr>
      <w:b/>
      <w:bCs/>
      <w:sz w:val="28"/>
      <w:szCs w:val="28"/>
    </w:rPr>
  </w:style>
  <w:style w:type="paragraph" w:styleId="Heading2">
    <w:name w:val="heading 2"/>
    <w:basedOn w:val="Heading3"/>
    <w:next w:val="Normal"/>
    <w:link w:val="Heading2Char"/>
    <w:autoRedefine/>
    <w:uiPriority w:val="9"/>
    <w:unhideWhenUsed/>
    <w:qFormat/>
    <w:rsid w:val="00CE6886"/>
    <w:pPr>
      <w:outlineLvl w:val="1"/>
    </w:pPr>
    <w:rPr>
      <w:i w:val="0"/>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D08"/>
    <w:rPr>
      <w:b/>
      <w:bCs/>
      <w:sz w:val="28"/>
      <w:szCs w:val="28"/>
      <w:lang w:eastAsia="en-US"/>
    </w:rPr>
  </w:style>
  <w:style w:type="character" w:customStyle="1" w:styleId="Heading2Char">
    <w:name w:val="Heading 2 Char"/>
    <w:link w:val="Heading2"/>
    <w:uiPriority w:val="9"/>
    <w:rsid w:val="00CE6886"/>
    <w:rPr>
      <w:b/>
      <w:bCs/>
      <w:sz w:val="24"/>
      <w:szCs w:val="22"/>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paragraph" w:styleId="ListParagraph">
    <w:name w:val="List Paragraph"/>
    <w:basedOn w:val="Normal"/>
    <w:link w:val="ListParagraphChar"/>
    <w:uiPriority w:val="34"/>
    <w:qFormat/>
    <w:rsid w:val="00BD32BB"/>
    <w:pPr>
      <w:ind w:left="720"/>
      <w:contextualSpacing/>
    </w:pPr>
  </w:style>
  <w:style w:type="paragraph" w:styleId="FootnoteText">
    <w:name w:val="footnote text"/>
    <w:basedOn w:val="Normal"/>
    <w:link w:val="FootnoteTextChar"/>
    <w:semiHidden/>
    <w:rsid w:val="00855AF4"/>
    <w:rPr>
      <w:sz w:val="20"/>
      <w:szCs w:val="20"/>
      <w:lang w:val="en-GB" w:eastAsia="en-AU"/>
    </w:rPr>
  </w:style>
  <w:style w:type="character" w:customStyle="1" w:styleId="FootnoteTextChar">
    <w:name w:val="Footnote Text Char"/>
    <w:link w:val="FootnoteText"/>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itle">
    <w:name w:val="Title"/>
    <w:basedOn w:val="BodyText"/>
    <w:next w:val="Normal"/>
    <w:link w:val="TitleChar"/>
    <w:uiPriority w:val="10"/>
    <w:qFormat/>
    <w:rsid w:val="00CE6886"/>
    <w:pPr>
      <w:pBdr>
        <w:top w:val="single" w:sz="18" w:space="10" w:color="auto"/>
        <w:bottom w:val="single" w:sz="8" w:space="10" w:color="auto"/>
      </w:pBdr>
      <w:jc w:val="left"/>
    </w:pPr>
    <w:rPr>
      <w:b/>
      <w:sz w:val="36"/>
      <w:szCs w:val="36"/>
    </w:rPr>
  </w:style>
  <w:style w:type="character" w:customStyle="1" w:styleId="TitleChar">
    <w:name w:val="Title Char"/>
    <w:link w:val="Title"/>
    <w:uiPriority w:val="10"/>
    <w:rsid w:val="00CE6886"/>
    <w:rPr>
      <w:b/>
      <w:sz w:val="36"/>
      <w:szCs w:val="36"/>
      <w:lang w:val="en-GB" w:eastAsia="en-AU"/>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customStyle="1" w:styleId="Amendmentreferences">
    <w:name w:val="Amendment reference(s)"/>
    <w:basedOn w:val="Normal"/>
    <w:qFormat/>
    <w:rsid w:val="00CE6886"/>
    <w:rPr>
      <w:b/>
      <w:i/>
    </w:rPr>
  </w:style>
  <w:style w:type="paragraph" w:customStyle="1" w:styleId="Tabletitle">
    <w:name w:val="Table title"/>
    <w:basedOn w:val="Normal"/>
    <w:qFormat/>
    <w:rsid w:val="00CE6886"/>
    <w:rPr>
      <w:b/>
    </w:rPr>
  </w:style>
  <w:style w:type="paragraph" w:styleId="CommentSubject">
    <w:name w:val="annotation subject"/>
    <w:basedOn w:val="Normal"/>
    <w:next w:val="Amendmentreferences"/>
    <w:link w:val="CommentSubjectChar"/>
    <w:uiPriority w:val="99"/>
    <w:semiHidden/>
    <w:unhideWhenUsed/>
    <w:rsid w:val="00A342F6"/>
    <w:rPr>
      <w:b/>
      <w:bCs/>
      <w:sz w:val="20"/>
      <w:szCs w:val="20"/>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paragraph" w:customStyle="1" w:styleId="Numberedparagraph">
    <w:name w:val="Numbered paragraph"/>
    <w:basedOn w:val="Normal"/>
    <w:link w:val="NumberedparagraphChar"/>
    <w:rsid w:val="00D81D80"/>
    <w:pPr>
      <w:numPr>
        <w:numId w:val="11"/>
      </w:numPr>
      <w:spacing w:before="120"/>
    </w:pPr>
    <w:rPr>
      <w:rFonts w:ascii="Verdana" w:hAnsi="Verdana"/>
      <w:sz w:val="20"/>
      <w:szCs w:val="20"/>
      <w:lang w:eastAsia="en-AU"/>
    </w:rPr>
  </w:style>
  <w:style w:type="character" w:customStyle="1" w:styleId="NumberedparagraphChar">
    <w:name w:val="Numbered paragraph Char"/>
    <w:link w:val="Numberedparagraph"/>
    <w:rsid w:val="00D81D80"/>
    <w:rPr>
      <w:rFonts w:ascii="Verdana" w:eastAsia="Times New Roman" w:hAnsi="Verdana" w:cs="Times New Roman"/>
      <w:sz w:val="20"/>
      <w:szCs w:val="20"/>
      <w:lang w:eastAsia="en-AU"/>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character" w:styleId="HTMLDefinition">
    <w:name w:val="HTML Definition"/>
    <w:uiPriority w:val="99"/>
    <w:semiHidden/>
    <w:unhideWhenUsed/>
    <w:rsid w:val="00537B8B"/>
    <w:rPr>
      <w:i/>
      <w:iCs/>
    </w:rPr>
  </w:style>
  <w:style w:type="paragraph" w:styleId="Revision">
    <w:name w:val="Revision"/>
    <w:hidden/>
    <w:uiPriority w:val="99"/>
    <w:semiHidden/>
    <w:rsid w:val="0005766C"/>
    <w:rPr>
      <w:sz w:val="22"/>
      <w:szCs w:val="22"/>
      <w:lang w:eastAsia="en-US"/>
    </w:rPr>
  </w:style>
  <w:style w:type="paragraph" w:styleId="NoSpacing">
    <w:name w:val="No Spacing"/>
    <w:uiPriority w:val="1"/>
    <w:qFormat/>
    <w:rsid w:val="0013037B"/>
    <w:rPr>
      <w:sz w:val="24"/>
      <w:szCs w:val="22"/>
      <w:lang w:eastAsia="en-US"/>
    </w:rPr>
  </w:style>
  <w:style w:type="paragraph" w:styleId="BodyText">
    <w:name w:val="Body Text"/>
    <w:basedOn w:val="Normal"/>
    <w:link w:val="BodyTextChar"/>
    <w:rsid w:val="005A3CD8"/>
    <w:rPr>
      <w:szCs w:val="20"/>
      <w:lang w:val="en-GB" w:eastAsia="en-AU"/>
    </w:rPr>
  </w:style>
  <w:style w:type="character" w:customStyle="1" w:styleId="BodyTextChar">
    <w:name w:val="Body Text Char"/>
    <w:link w:val="BodyText"/>
    <w:rsid w:val="005A3CD8"/>
    <w:rPr>
      <w:rFonts w:eastAsia="Times New Roman" w:cs="Times New Roman"/>
      <w:sz w:val="24"/>
      <w:szCs w:val="20"/>
      <w:lang w:val="en-GB" w:eastAsia="en-AU"/>
    </w:rPr>
  </w:style>
  <w:style w:type="paragraph" w:customStyle="1" w:styleId="Bullets">
    <w:name w:val="Bullets"/>
    <w:basedOn w:val="ListParagraph"/>
    <w:link w:val="BulletsChar"/>
    <w:qFormat/>
    <w:rsid w:val="005A3CD8"/>
    <w:pPr>
      <w:numPr>
        <w:numId w:val="10"/>
      </w:numPr>
      <w:spacing w:after="140"/>
      <w:ind w:left="567" w:hanging="567"/>
      <w:contextualSpacing w:val="0"/>
    </w:pPr>
  </w:style>
  <w:style w:type="character" w:customStyle="1" w:styleId="ListParagraphChar">
    <w:name w:val="List Paragraph Char"/>
    <w:link w:val="ListParagraph"/>
    <w:uiPriority w:val="34"/>
    <w:rsid w:val="005A3CD8"/>
    <w:rPr>
      <w:sz w:val="24"/>
    </w:rPr>
  </w:style>
  <w:style w:type="character" w:customStyle="1" w:styleId="BulletsChar">
    <w:name w:val="Bullets Char"/>
    <w:link w:val="Bullets"/>
    <w:rsid w:val="005A3CD8"/>
    <w:rPr>
      <w:sz w:val="24"/>
    </w:rPr>
  </w:style>
  <w:style w:type="character" w:styleId="BookTitle">
    <w:name w:val="Book Title"/>
    <w:uiPriority w:val="33"/>
    <w:rsid w:val="00134BE1"/>
    <w:rPr>
      <w:b/>
      <w:bCs/>
      <w:smallCaps/>
      <w:spacing w:val="5"/>
    </w:rPr>
  </w:style>
  <w:style w:type="character" w:styleId="Strong">
    <w:name w:val="Strong"/>
    <w:uiPriority w:val="22"/>
    <w:rsid w:val="00134BE1"/>
    <w:rPr>
      <w:b/>
      <w:bCs/>
    </w:rPr>
  </w:style>
  <w:style w:type="table" w:styleId="TableGrid">
    <w:name w:val="Table Grid"/>
    <w:basedOn w:val="TableNormal"/>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bullet">
    <w:name w:val="Indent bullet"/>
    <w:basedOn w:val="BodyText"/>
    <w:rsid w:val="00B768A6"/>
    <w:pPr>
      <w:numPr>
        <w:numId w:val="41"/>
      </w:numPr>
      <w:spacing w:after="140"/>
    </w:pPr>
    <w:rPr>
      <w:lang w:val="en-NZ"/>
    </w:rPr>
  </w:style>
  <w:style w:type="paragraph" w:customStyle="1" w:styleId="BulletsText">
    <w:name w:val="BulletsText"/>
    <w:basedOn w:val="BodyText"/>
    <w:qFormat/>
    <w:rsid w:val="00D66FEC"/>
    <w:pPr>
      <w:numPr>
        <w:numId w:val="46"/>
      </w:numPr>
      <w:spacing w:after="140"/>
      <w:ind w:left="567" w:hanging="567"/>
    </w:pPr>
    <w:rPr>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A3CD8"/>
    <w:pPr>
      <w:jc w:val="both"/>
    </w:pPr>
    <w:rPr>
      <w:sz w:val="24"/>
      <w:szCs w:val="22"/>
      <w:lang w:eastAsia="en-US"/>
    </w:rPr>
  </w:style>
  <w:style w:type="paragraph" w:styleId="Heading1">
    <w:name w:val="heading 1"/>
    <w:basedOn w:val="Normal"/>
    <w:next w:val="Normal"/>
    <w:link w:val="Heading1Char"/>
    <w:autoRedefine/>
    <w:uiPriority w:val="9"/>
    <w:qFormat/>
    <w:rsid w:val="002D1D08"/>
    <w:pPr>
      <w:keepNext/>
      <w:keepLines/>
      <w:spacing w:before="60" w:after="60"/>
      <w:ind w:left="284" w:hanging="284"/>
      <w:jc w:val="left"/>
      <w:outlineLvl w:val="0"/>
    </w:pPr>
    <w:rPr>
      <w:b/>
      <w:bCs/>
      <w:sz w:val="28"/>
      <w:szCs w:val="28"/>
    </w:rPr>
  </w:style>
  <w:style w:type="paragraph" w:styleId="Heading2">
    <w:name w:val="heading 2"/>
    <w:basedOn w:val="Heading3"/>
    <w:next w:val="Normal"/>
    <w:link w:val="Heading2Char"/>
    <w:autoRedefine/>
    <w:uiPriority w:val="9"/>
    <w:unhideWhenUsed/>
    <w:qFormat/>
    <w:rsid w:val="00CE6886"/>
    <w:pPr>
      <w:outlineLvl w:val="1"/>
    </w:pPr>
    <w:rPr>
      <w:i w:val="0"/>
    </w:rPr>
  </w:style>
  <w:style w:type="paragraph" w:styleId="Heading3">
    <w:name w:val="heading 3"/>
    <w:basedOn w:val="Normal"/>
    <w:next w:val="Normal"/>
    <w:link w:val="Heading3Char"/>
    <w:uiPriority w:val="9"/>
    <w:unhideWhenUsed/>
    <w:qFormat/>
    <w:rsid w:val="005D664C"/>
    <w:pPr>
      <w:keepNext/>
      <w:keepLines/>
      <w:outlineLvl w:val="2"/>
    </w:pPr>
    <w:rPr>
      <w:b/>
      <w:bCs/>
      <w:i/>
    </w:rPr>
  </w:style>
  <w:style w:type="paragraph" w:styleId="Heading4">
    <w:name w:val="heading 4"/>
    <w:basedOn w:val="Normal"/>
    <w:next w:val="Normal"/>
    <w:link w:val="Heading4Char"/>
    <w:uiPriority w:val="9"/>
    <w:unhideWhenUsed/>
    <w:qFormat/>
    <w:rsid w:val="00267CB1"/>
    <w:pPr>
      <w:keepNext/>
      <w:keepLines/>
      <w:outlineLvl w:val="3"/>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1D08"/>
    <w:rPr>
      <w:b/>
      <w:bCs/>
      <w:sz w:val="28"/>
      <w:szCs w:val="28"/>
      <w:lang w:eastAsia="en-US"/>
    </w:rPr>
  </w:style>
  <w:style w:type="character" w:customStyle="1" w:styleId="Heading2Char">
    <w:name w:val="Heading 2 Char"/>
    <w:link w:val="Heading2"/>
    <w:uiPriority w:val="9"/>
    <w:rsid w:val="00CE6886"/>
    <w:rPr>
      <w:b/>
      <w:bCs/>
      <w:sz w:val="24"/>
      <w:szCs w:val="22"/>
      <w:lang w:eastAsia="en-US"/>
    </w:rPr>
  </w:style>
  <w:style w:type="character" w:customStyle="1" w:styleId="Heading3Char">
    <w:name w:val="Heading 3 Char"/>
    <w:link w:val="Heading3"/>
    <w:uiPriority w:val="9"/>
    <w:rsid w:val="005D664C"/>
    <w:rPr>
      <w:rFonts w:ascii="Times New Roman" w:eastAsia="Times New Roman" w:hAnsi="Times New Roman" w:cs="Times New Roman"/>
      <w:b/>
      <w:bCs/>
      <w:i/>
      <w:sz w:val="24"/>
    </w:rPr>
  </w:style>
  <w:style w:type="paragraph" w:styleId="ListParagraph">
    <w:name w:val="List Paragraph"/>
    <w:basedOn w:val="Normal"/>
    <w:link w:val="ListParagraphChar"/>
    <w:uiPriority w:val="34"/>
    <w:qFormat/>
    <w:rsid w:val="00BD32BB"/>
    <w:pPr>
      <w:ind w:left="720"/>
      <w:contextualSpacing/>
    </w:pPr>
  </w:style>
  <w:style w:type="paragraph" w:styleId="FootnoteText">
    <w:name w:val="footnote text"/>
    <w:basedOn w:val="Normal"/>
    <w:link w:val="FootnoteTextChar"/>
    <w:semiHidden/>
    <w:rsid w:val="00855AF4"/>
    <w:rPr>
      <w:sz w:val="20"/>
      <w:szCs w:val="20"/>
      <w:lang w:val="en-GB" w:eastAsia="en-AU"/>
    </w:rPr>
  </w:style>
  <w:style w:type="character" w:customStyle="1" w:styleId="FootnoteTextChar">
    <w:name w:val="Footnote Text Char"/>
    <w:link w:val="FootnoteText"/>
    <w:semiHidden/>
    <w:rsid w:val="00855AF4"/>
    <w:rPr>
      <w:rFonts w:eastAsia="Times New Roman" w:cs="Times New Roman"/>
      <w:sz w:val="20"/>
      <w:szCs w:val="20"/>
      <w:lang w:val="en-GB" w:eastAsia="en-AU"/>
    </w:rPr>
  </w:style>
  <w:style w:type="character" w:styleId="FootnoteReference">
    <w:name w:val="footnote reference"/>
    <w:semiHidden/>
    <w:rsid w:val="00855AF4"/>
    <w:rPr>
      <w:rFonts w:ascii="Times New Roman" w:hAnsi="Times New Roman"/>
      <w:vertAlign w:val="superscript"/>
    </w:rPr>
  </w:style>
  <w:style w:type="paragraph" w:styleId="Title">
    <w:name w:val="Title"/>
    <w:basedOn w:val="BodyText"/>
    <w:next w:val="Normal"/>
    <w:link w:val="TitleChar"/>
    <w:uiPriority w:val="10"/>
    <w:qFormat/>
    <w:rsid w:val="00CE6886"/>
    <w:pPr>
      <w:pBdr>
        <w:top w:val="single" w:sz="18" w:space="10" w:color="auto"/>
        <w:bottom w:val="single" w:sz="8" w:space="10" w:color="auto"/>
      </w:pBdr>
      <w:jc w:val="left"/>
    </w:pPr>
    <w:rPr>
      <w:b/>
      <w:sz w:val="36"/>
      <w:szCs w:val="36"/>
    </w:rPr>
  </w:style>
  <w:style w:type="character" w:customStyle="1" w:styleId="TitleChar">
    <w:name w:val="Title Char"/>
    <w:link w:val="Title"/>
    <w:uiPriority w:val="10"/>
    <w:rsid w:val="00CE6886"/>
    <w:rPr>
      <w:b/>
      <w:sz w:val="36"/>
      <w:szCs w:val="36"/>
      <w:lang w:val="en-GB" w:eastAsia="en-AU"/>
    </w:rPr>
  </w:style>
  <w:style w:type="paragraph" w:styleId="TOCHeading">
    <w:name w:val="TOC Heading"/>
    <w:basedOn w:val="Heading1"/>
    <w:next w:val="Normal"/>
    <w:uiPriority w:val="39"/>
    <w:semiHidden/>
    <w:unhideWhenUsed/>
    <w:qFormat/>
    <w:rsid w:val="00BC3200"/>
    <w:pPr>
      <w:outlineLvl w:val="9"/>
    </w:pPr>
    <w:rPr>
      <w:lang w:val="en-US" w:eastAsia="ja-JP"/>
    </w:rPr>
  </w:style>
  <w:style w:type="paragraph" w:styleId="TOC1">
    <w:name w:val="toc 1"/>
    <w:basedOn w:val="Normal"/>
    <w:next w:val="Normal"/>
    <w:autoRedefine/>
    <w:uiPriority w:val="39"/>
    <w:unhideWhenUsed/>
    <w:rsid w:val="00BC3200"/>
    <w:pPr>
      <w:spacing w:after="100"/>
    </w:pPr>
  </w:style>
  <w:style w:type="paragraph" w:styleId="TOC2">
    <w:name w:val="toc 2"/>
    <w:basedOn w:val="Normal"/>
    <w:next w:val="Normal"/>
    <w:autoRedefine/>
    <w:uiPriority w:val="39"/>
    <w:unhideWhenUsed/>
    <w:rsid w:val="00BC3200"/>
    <w:pPr>
      <w:spacing w:after="100"/>
      <w:ind w:left="220"/>
    </w:pPr>
  </w:style>
  <w:style w:type="paragraph" w:styleId="TOC3">
    <w:name w:val="toc 3"/>
    <w:basedOn w:val="Normal"/>
    <w:next w:val="Normal"/>
    <w:autoRedefine/>
    <w:uiPriority w:val="39"/>
    <w:unhideWhenUsed/>
    <w:rsid w:val="00BC3200"/>
    <w:pPr>
      <w:spacing w:after="100"/>
      <w:ind w:left="440"/>
    </w:pPr>
  </w:style>
  <w:style w:type="character" w:styleId="Hyperlink">
    <w:name w:val="Hyperlink"/>
    <w:uiPriority w:val="99"/>
    <w:unhideWhenUsed/>
    <w:rsid w:val="00BC3200"/>
    <w:rPr>
      <w:color w:val="0000FF"/>
      <w:u w:val="single"/>
    </w:rPr>
  </w:style>
  <w:style w:type="paragraph" w:styleId="BalloonText">
    <w:name w:val="Balloon Text"/>
    <w:basedOn w:val="Normal"/>
    <w:link w:val="BalloonTextChar"/>
    <w:uiPriority w:val="99"/>
    <w:semiHidden/>
    <w:unhideWhenUsed/>
    <w:rsid w:val="00BC3200"/>
    <w:rPr>
      <w:rFonts w:ascii="Tahoma" w:hAnsi="Tahoma" w:cs="Tahoma"/>
      <w:sz w:val="16"/>
      <w:szCs w:val="16"/>
    </w:rPr>
  </w:style>
  <w:style w:type="character" w:customStyle="1" w:styleId="BalloonTextChar">
    <w:name w:val="Balloon Text Char"/>
    <w:link w:val="BalloonText"/>
    <w:uiPriority w:val="99"/>
    <w:semiHidden/>
    <w:rsid w:val="00BC3200"/>
    <w:rPr>
      <w:rFonts w:ascii="Tahoma" w:hAnsi="Tahoma" w:cs="Tahoma"/>
      <w:sz w:val="16"/>
      <w:szCs w:val="16"/>
    </w:rPr>
  </w:style>
  <w:style w:type="character" w:styleId="CommentReference">
    <w:name w:val="annotation reference"/>
    <w:semiHidden/>
    <w:unhideWhenUsed/>
    <w:rsid w:val="00293137"/>
    <w:rPr>
      <w:sz w:val="16"/>
      <w:szCs w:val="16"/>
    </w:rPr>
  </w:style>
  <w:style w:type="paragraph" w:customStyle="1" w:styleId="Amendmentreferences">
    <w:name w:val="Amendment reference(s)"/>
    <w:basedOn w:val="Normal"/>
    <w:qFormat/>
    <w:rsid w:val="00CE6886"/>
    <w:rPr>
      <w:b/>
      <w:i/>
    </w:rPr>
  </w:style>
  <w:style w:type="paragraph" w:customStyle="1" w:styleId="Tabletitle">
    <w:name w:val="Table title"/>
    <w:basedOn w:val="Normal"/>
    <w:qFormat/>
    <w:rsid w:val="00CE6886"/>
    <w:rPr>
      <w:b/>
    </w:rPr>
  </w:style>
  <w:style w:type="paragraph" w:styleId="CommentSubject">
    <w:name w:val="annotation subject"/>
    <w:basedOn w:val="Normal"/>
    <w:next w:val="Amendmentreferences"/>
    <w:link w:val="CommentSubjectChar"/>
    <w:uiPriority w:val="99"/>
    <w:semiHidden/>
    <w:unhideWhenUsed/>
    <w:rsid w:val="00A342F6"/>
    <w:rPr>
      <w:b/>
      <w:bCs/>
      <w:sz w:val="20"/>
      <w:szCs w:val="20"/>
    </w:rPr>
  </w:style>
  <w:style w:type="character" w:customStyle="1" w:styleId="CommentSubjectChar">
    <w:name w:val="Comment Subject Char"/>
    <w:link w:val="CommentSubject"/>
    <w:uiPriority w:val="99"/>
    <w:semiHidden/>
    <w:rsid w:val="00293137"/>
    <w:rPr>
      <w:b/>
      <w:bCs/>
      <w:sz w:val="20"/>
      <w:szCs w:val="20"/>
    </w:rPr>
  </w:style>
  <w:style w:type="paragraph" w:styleId="NormalWeb">
    <w:name w:val="Normal (Web)"/>
    <w:basedOn w:val="Normal"/>
    <w:uiPriority w:val="99"/>
    <w:unhideWhenUsed/>
    <w:rsid w:val="00FB0300"/>
    <w:pPr>
      <w:spacing w:before="100" w:beforeAutospacing="1" w:after="100" w:afterAutospacing="1"/>
    </w:pPr>
    <w:rPr>
      <w:szCs w:val="24"/>
      <w:lang w:eastAsia="en-NZ"/>
    </w:rPr>
  </w:style>
  <w:style w:type="character" w:styleId="PlaceholderText">
    <w:name w:val="Placeholder Text"/>
    <w:uiPriority w:val="99"/>
    <w:semiHidden/>
    <w:rsid w:val="00B91FB7"/>
    <w:rPr>
      <w:color w:val="808080"/>
    </w:rPr>
  </w:style>
  <w:style w:type="paragraph" w:styleId="Header">
    <w:name w:val="header"/>
    <w:basedOn w:val="Normal"/>
    <w:link w:val="HeaderChar"/>
    <w:uiPriority w:val="99"/>
    <w:unhideWhenUsed/>
    <w:rsid w:val="00B91FB7"/>
    <w:pPr>
      <w:tabs>
        <w:tab w:val="center" w:pos="4513"/>
        <w:tab w:val="right" w:pos="9026"/>
      </w:tabs>
    </w:pPr>
  </w:style>
  <w:style w:type="character" w:customStyle="1" w:styleId="HeaderChar">
    <w:name w:val="Header Char"/>
    <w:basedOn w:val="DefaultParagraphFont"/>
    <w:link w:val="Header"/>
    <w:uiPriority w:val="99"/>
    <w:rsid w:val="00B91FB7"/>
  </w:style>
  <w:style w:type="paragraph" w:styleId="Footer">
    <w:name w:val="footer"/>
    <w:basedOn w:val="Normal"/>
    <w:link w:val="FooterChar"/>
    <w:uiPriority w:val="99"/>
    <w:unhideWhenUsed/>
    <w:rsid w:val="00B91FB7"/>
    <w:pPr>
      <w:tabs>
        <w:tab w:val="center" w:pos="4513"/>
        <w:tab w:val="right" w:pos="9026"/>
      </w:tabs>
    </w:pPr>
  </w:style>
  <w:style w:type="character" w:customStyle="1" w:styleId="FooterChar">
    <w:name w:val="Footer Char"/>
    <w:basedOn w:val="DefaultParagraphFont"/>
    <w:link w:val="Footer"/>
    <w:uiPriority w:val="99"/>
    <w:rsid w:val="00B91FB7"/>
  </w:style>
  <w:style w:type="paragraph" w:customStyle="1" w:styleId="Numberedparagraph">
    <w:name w:val="Numbered paragraph"/>
    <w:basedOn w:val="Normal"/>
    <w:link w:val="NumberedparagraphChar"/>
    <w:rsid w:val="00D81D80"/>
    <w:pPr>
      <w:numPr>
        <w:numId w:val="11"/>
      </w:numPr>
      <w:spacing w:before="120"/>
    </w:pPr>
    <w:rPr>
      <w:rFonts w:ascii="Verdana" w:hAnsi="Verdana"/>
      <w:sz w:val="20"/>
      <w:szCs w:val="20"/>
      <w:lang w:eastAsia="en-AU"/>
    </w:rPr>
  </w:style>
  <w:style w:type="character" w:customStyle="1" w:styleId="NumberedparagraphChar">
    <w:name w:val="Numbered paragraph Char"/>
    <w:link w:val="Numberedparagraph"/>
    <w:rsid w:val="00D81D80"/>
    <w:rPr>
      <w:rFonts w:ascii="Verdana" w:eastAsia="Times New Roman" w:hAnsi="Verdana" w:cs="Times New Roman"/>
      <w:sz w:val="20"/>
      <w:szCs w:val="20"/>
      <w:lang w:eastAsia="en-AU"/>
    </w:rPr>
  </w:style>
  <w:style w:type="character" w:customStyle="1" w:styleId="Heading4Char">
    <w:name w:val="Heading 4 Char"/>
    <w:link w:val="Heading4"/>
    <w:uiPriority w:val="9"/>
    <w:rsid w:val="00267CB1"/>
    <w:rPr>
      <w:rFonts w:ascii="Times New Roman" w:eastAsia="Times New Roman" w:hAnsi="Times New Roman" w:cs="Times New Roman"/>
      <w:bCs/>
      <w:i/>
      <w:iCs/>
      <w:sz w:val="24"/>
    </w:rPr>
  </w:style>
  <w:style w:type="character" w:styleId="HTMLDefinition">
    <w:name w:val="HTML Definition"/>
    <w:uiPriority w:val="99"/>
    <w:semiHidden/>
    <w:unhideWhenUsed/>
    <w:rsid w:val="00537B8B"/>
    <w:rPr>
      <w:i/>
      <w:iCs/>
    </w:rPr>
  </w:style>
  <w:style w:type="paragraph" w:styleId="Revision">
    <w:name w:val="Revision"/>
    <w:hidden/>
    <w:uiPriority w:val="99"/>
    <w:semiHidden/>
    <w:rsid w:val="0005766C"/>
    <w:rPr>
      <w:sz w:val="22"/>
      <w:szCs w:val="22"/>
      <w:lang w:eastAsia="en-US"/>
    </w:rPr>
  </w:style>
  <w:style w:type="paragraph" w:styleId="NoSpacing">
    <w:name w:val="No Spacing"/>
    <w:uiPriority w:val="1"/>
    <w:qFormat/>
    <w:rsid w:val="0013037B"/>
    <w:rPr>
      <w:sz w:val="24"/>
      <w:szCs w:val="22"/>
      <w:lang w:eastAsia="en-US"/>
    </w:rPr>
  </w:style>
  <w:style w:type="paragraph" w:styleId="BodyText">
    <w:name w:val="Body Text"/>
    <w:basedOn w:val="Normal"/>
    <w:link w:val="BodyTextChar"/>
    <w:rsid w:val="005A3CD8"/>
    <w:rPr>
      <w:szCs w:val="20"/>
      <w:lang w:val="en-GB" w:eastAsia="en-AU"/>
    </w:rPr>
  </w:style>
  <w:style w:type="character" w:customStyle="1" w:styleId="BodyTextChar">
    <w:name w:val="Body Text Char"/>
    <w:link w:val="BodyText"/>
    <w:rsid w:val="005A3CD8"/>
    <w:rPr>
      <w:rFonts w:eastAsia="Times New Roman" w:cs="Times New Roman"/>
      <w:sz w:val="24"/>
      <w:szCs w:val="20"/>
      <w:lang w:val="en-GB" w:eastAsia="en-AU"/>
    </w:rPr>
  </w:style>
  <w:style w:type="paragraph" w:customStyle="1" w:styleId="Bullets">
    <w:name w:val="Bullets"/>
    <w:basedOn w:val="ListParagraph"/>
    <w:link w:val="BulletsChar"/>
    <w:qFormat/>
    <w:rsid w:val="005A3CD8"/>
    <w:pPr>
      <w:numPr>
        <w:numId w:val="10"/>
      </w:numPr>
      <w:spacing w:after="140"/>
      <w:ind w:left="567" w:hanging="567"/>
      <w:contextualSpacing w:val="0"/>
    </w:pPr>
  </w:style>
  <w:style w:type="character" w:customStyle="1" w:styleId="ListParagraphChar">
    <w:name w:val="List Paragraph Char"/>
    <w:link w:val="ListParagraph"/>
    <w:uiPriority w:val="34"/>
    <w:rsid w:val="005A3CD8"/>
    <w:rPr>
      <w:sz w:val="24"/>
    </w:rPr>
  </w:style>
  <w:style w:type="character" w:customStyle="1" w:styleId="BulletsChar">
    <w:name w:val="Bullets Char"/>
    <w:link w:val="Bullets"/>
    <w:rsid w:val="005A3CD8"/>
    <w:rPr>
      <w:sz w:val="24"/>
    </w:rPr>
  </w:style>
  <w:style w:type="character" w:styleId="BookTitle">
    <w:name w:val="Book Title"/>
    <w:uiPriority w:val="33"/>
    <w:rsid w:val="00134BE1"/>
    <w:rPr>
      <w:b/>
      <w:bCs/>
      <w:smallCaps/>
      <w:spacing w:val="5"/>
    </w:rPr>
  </w:style>
  <w:style w:type="character" w:styleId="Strong">
    <w:name w:val="Strong"/>
    <w:uiPriority w:val="22"/>
    <w:rsid w:val="00134BE1"/>
    <w:rPr>
      <w:b/>
      <w:bCs/>
    </w:rPr>
  </w:style>
  <w:style w:type="table" w:styleId="TableGrid">
    <w:name w:val="Table Grid"/>
    <w:basedOn w:val="TableNormal"/>
    <w:rsid w:val="00BA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bullet">
    <w:name w:val="Indent bullet"/>
    <w:basedOn w:val="BodyText"/>
    <w:rsid w:val="00B768A6"/>
    <w:pPr>
      <w:numPr>
        <w:numId w:val="41"/>
      </w:numPr>
      <w:spacing w:after="140"/>
    </w:pPr>
    <w:rPr>
      <w:lang w:val="en-NZ"/>
    </w:rPr>
  </w:style>
  <w:style w:type="paragraph" w:customStyle="1" w:styleId="BulletsText">
    <w:name w:val="BulletsText"/>
    <w:basedOn w:val="BodyText"/>
    <w:qFormat/>
    <w:rsid w:val="00D66FEC"/>
    <w:pPr>
      <w:numPr>
        <w:numId w:val="46"/>
      </w:numPr>
      <w:spacing w:after="140"/>
      <w:ind w:left="567" w:hanging="567"/>
    </w:pPr>
    <w:rPr>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594">
      <w:bodyDiv w:val="1"/>
      <w:marLeft w:val="0"/>
      <w:marRight w:val="0"/>
      <w:marTop w:val="0"/>
      <w:marBottom w:val="0"/>
      <w:divBdr>
        <w:top w:val="none" w:sz="0" w:space="0" w:color="auto"/>
        <w:left w:val="none" w:sz="0" w:space="0" w:color="auto"/>
        <w:bottom w:val="none" w:sz="0" w:space="0" w:color="auto"/>
        <w:right w:val="none" w:sz="0" w:space="0" w:color="auto"/>
      </w:divBdr>
    </w:div>
    <w:div w:id="289366972">
      <w:bodyDiv w:val="1"/>
      <w:marLeft w:val="0"/>
      <w:marRight w:val="0"/>
      <w:marTop w:val="0"/>
      <w:marBottom w:val="0"/>
      <w:divBdr>
        <w:top w:val="none" w:sz="0" w:space="0" w:color="auto"/>
        <w:left w:val="none" w:sz="0" w:space="0" w:color="auto"/>
        <w:bottom w:val="none" w:sz="0" w:space="0" w:color="auto"/>
        <w:right w:val="none" w:sz="0" w:space="0" w:color="auto"/>
      </w:divBdr>
      <w:divsChild>
        <w:div w:id="1952515530">
          <w:marLeft w:val="0"/>
          <w:marRight w:val="0"/>
          <w:marTop w:val="0"/>
          <w:marBottom w:val="0"/>
          <w:divBdr>
            <w:top w:val="none" w:sz="0" w:space="0" w:color="auto"/>
            <w:left w:val="none" w:sz="0" w:space="0" w:color="auto"/>
            <w:bottom w:val="none" w:sz="0" w:space="0" w:color="auto"/>
            <w:right w:val="none" w:sz="0" w:space="0" w:color="auto"/>
          </w:divBdr>
          <w:divsChild>
            <w:div w:id="1900944279">
              <w:marLeft w:val="0"/>
              <w:marRight w:val="0"/>
              <w:marTop w:val="0"/>
              <w:marBottom w:val="0"/>
              <w:divBdr>
                <w:top w:val="none" w:sz="0" w:space="0" w:color="auto"/>
                <w:left w:val="none" w:sz="0" w:space="0" w:color="auto"/>
                <w:bottom w:val="none" w:sz="0" w:space="0" w:color="auto"/>
                <w:right w:val="none" w:sz="0" w:space="0" w:color="auto"/>
              </w:divBdr>
              <w:divsChild>
                <w:div w:id="654262056">
                  <w:marLeft w:val="0"/>
                  <w:marRight w:val="0"/>
                  <w:marTop w:val="105"/>
                  <w:marBottom w:val="0"/>
                  <w:divBdr>
                    <w:top w:val="none" w:sz="0" w:space="0" w:color="auto"/>
                    <w:left w:val="none" w:sz="0" w:space="0" w:color="auto"/>
                    <w:bottom w:val="none" w:sz="0" w:space="0" w:color="auto"/>
                    <w:right w:val="none" w:sz="0" w:space="0" w:color="auto"/>
                  </w:divBdr>
                  <w:divsChild>
                    <w:div w:id="979533530">
                      <w:marLeft w:val="450"/>
                      <w:marRight w:val="225"/>
                      <w:marTop w:val="0"/>
                      <w:marBottom w:val="0"/>
                      <w:divBdr>
                        <w:top w:val="none" w:sz="0" w:space="0" w:color="auto"/>
                        <w:left w:val="none" w:sz="0" w:space="0" w:color="auto"/>
                        <w:bottom w:val="none" w:sz="0" w:space="0" w:color="auto"/>
                        <w:right w:val="none" w:sz="0" w:space="0" w:color="auto"/>
                      </w:divBdr>
                      <w:divsChild>
                        <w:div w:id="724910596">
                          <w:marLeft w:val="0"/>
                          <w:marRight w:val="0"/>
                          <w:marTop w:val="0"/>
                          <w:marBottom w:val="600"/>
                          <w:divBdr>
                            <w:top w:val="single" w:sz="6" w:space="0" w:color="314664"/>
                            <w:left w:val="single" w:sz="6" w:space="0" w:color="314664"/>
                            <w:bottom w:val="single" w:sz="6" w:space="0" w:color="314664"/>
                            <w:right w:val="single" w:sz="6" w:space="0" w:color="314664"/>
                          </w:divBdr>
                          <w:divsChild>
                            <w:div w:id="1254169002">
                              <w:marLeft w:val="0"/>
                              <w:marRight w:val="0"/>
                              <w:marTop w:val="0"/>
                              <w:marBottom w:val="0"/>
                              <w:divBdr>
                                <w:top w:val="none" w:sz="0" w:space="0" w:color="auto"/>
                                <w:left w:val="none" w:sz="0" w:space="0" w:color="auto"/>
                                <w:bottom w:val="none" w:sz="0" w:space="0" w:color="auto"/>
                                <w:right w:val="none" w:sz="0" w:space="0" w:color="auto"/>
                              </w:divBdr>
                              <w:divsChild>
                                <w:div w:id="1053429943">
                                  <w:marLeft w:val="0"/>
                                  <w:marRight w:val="0"/>
                                  <w:marTop w:val="0"/>
                                  <w:marBottom w:val="0"/>
                                  <w:divBdr>
                                    <w:top w:val="none" w:sz="0" w:space="0" w:color="auto"/>
                                    <w:left w:val="none" w:sz="0" w:space="0" w:color="auto"/>
                                    <w:bottom w:val="none" w:sz="0" w:space="0" w:color="auto"/>
                                    <w:right w:val="none" w:sz="0" w:space="0" w:color="auto"/>
                                  </w:divBdr>
                                  <w:divsChild>
                                    <w:div w:id="2007662469">
                                      <w:marLeft w:val="0"/>
                                      <w:marRight w:val="0"/>
                                      <w:marTop w:val="0"/>
                                      <w:marBottom w:val="0"/>
                                      <w:divBdr>
                                        <w:top w:val="none" w:sz="0" w:space="0" w:color="auto"/>
                                        <w:left w:val="none" w:sz="0" w:space="0" w:color="auto"/>
                                        <w:bottom w:val="none" w:sz="0" w:space="0" w:color="auto"/>
                                        <w:right w:val="none" w:sz="0" w:space="0" w:color="auto"/>
                                      </w:divBdr>
                                      <w:divsChild>
                                        <w:div w:id="1314219138">
                                          <w:marLeft w:val="0"/>
                                          <w:marRight w:val="0"/>
                                          <w:marTop w:val="0"/>
                                          <w:marBottom w:val="0"/>
                                          <w:divBdr>
                                            <w:top w:val="none" w:sz="0" w:space="0" w:color="auto"/>
                                            <w:left w:val="none" w:sz="0" w:space="0" w:color="auto"/>
                                            <w:bottom w:val="none" w:sz="0" w:space="0" w:color="auto"/>
                                            <w:right w:val="none" w:sz="0" w:space="0" w:color="auto"/>
                                          </w:divBdr>
                                          <w:divsChild>
                                            <w:div w:id="1344864802">
                                              <w:marLeft w:val="0"/>
                                              <w:marRight w:val="0"/>
                                              <w:marTop w:val="0"/>
                                              <w:marBottom w:val="0"/>
                                              <w:divBdr>
                                                <w:top w:val="none" w:sz="0" w:space="0" w:color="auto"/>
                                                <w:left w:val="none" w:sz="0" w:space="0" w:color="auto"/>
                                                <w:bottom w:val="none" w:sz="0" w:space="0" w:color="auto"/>
                                                <w:right w:val="none" w:sz="0" w:space="0" w:color="auto"/>
                                              </w:divBdr>
                                              <w:divsChild>
                                                <w:div w:id="474834886">
                                                  <w:marLeft w:val="0"/>
                                                  <w:marRight w:val="0"/>
                                                  <w:marTop w:val="0"/>
                                                  <w:marBottom w:val="0"/>
                                                  <w:divBdr>
                                                    <w:top w:val="none" w:sz="0" w:space="0" w:color="auto"/>
                                                    <w:left w:val="none" w:sz="0" w:space="0" w:color="auto"/>
                                                    <w:bottom w:val="none" w:sz="0" w:space="0" w:color="auto"/>
                                                    <w:right w:val="none" w:sz="0" w:space="0" w:color="auto"/>
                                                  </w:divBdr>
                                                  <w:divsChild>
                                                    <w:div w:id="489952765">
                                                      <w:marLeft w:val="0"/>
                                                      <w:marRight w:val="0"/>
                                                      <w:marTop w:val="0"/>
                                                      <w:marBottom w:val="0"/>
                                                      <w:divBdr>
                                                        <w:top w:val="none" w:sz="0" w:space="0" w:color="auto"/>
                                                        <w:left w:val="none" w:sz="0" w:space="0" w:color="auto"/>
                                                        <w:bottom w:val="none" w:sz="0" w:space="0" w:color="auto"/>
                                                        <w:right w:val="none" w:sz="0" w:space="0" w:color="auto"/>
                                                      </w:divBdr>
                                                      <w:divsChild>
                                                        <w:div w:id="1295066279">
                                                          <w:marLeft w:val="-720"/>
                                                          <w:marRight w:val="0"/>
                                                          <w:marTop w:val="0"/>
                                                          <w:marBottom w:val="0"/>
                                                          <w:divBdr>
                                                            <w:top w:val="none" w:sz="0" w:space="0" w:color="auto"/>
                                                            <w:left w:val="none" w:sz="0" w:space="0" w:color="auto"/>
                                                            <w:bottom w:val="none" w:sz="0" w:space="0" w:color="auto"/>
                                                            <w:right w:val="none" w:sz="0" w:space="0" w:color="auto"/>
                                                          </w:divBdr>
                                                          <w:divsChild>
                                                            <w:div w:id="1621182898">
                                                              <w:blockQuote w:val="1"/>
                                                              <w:marLeft w:val="0"/>
                                                              <w:marRight w:val="0"/>
                                                              <w:marTop w:val="0"/>
                                                              <w:marBottom w:val="0"/>
                                                              <w:divBdr>
                                                                <w:top w:val="none" w:sz="0" w:space="0" w:color="auto"/>
                                                                <w:left w:val="none" w:sz="0" w:space="0" w:color="auto"/>
                                                                <w:bottom w:val="none" w:sz="0" w:space="0" w:color="auto"/>
                                                                <w:right w:val="none" w:sz="0" w:space="0" w:color="auto"/>
                                                              </w:divBdr>
                                                              <w:divsChild>
                                                                <w:div w:id="115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044839">
      <w:bodyDiv w:val="1"/>
      <w:marLeft w:val="0"/>
      <w:marRight w:val="0"/>
      <w:marTop w:val="0"/>
      <w:marBottom w:val="0"/>
      <w:divBdr>
        <w:top w:val="none" w:sz="0" w:space="0" w:color="auto"/>
        <w:left w:val="none" w:sz="0" w:space="0" w:color="auto"/>
        <w:bottom w:val="none" w:sz="0" w:space="0" w:color="auto"/>
        <w:right w:val="none" w:sz="0" w:space="0" w:color="auto"/>
      </w:divBdr>
    </w:div>
    <w:div w:id="349259691">
      <w:bodyDiv w:val="1"/>
      <w:marLeft w:val="0"/>
      <w:marRight w:val="0"/>
      <w:marTop w:val="0"/>
      <w:marBottom w:val="0"/>
      <w:divBdr>
        <w:top w:val="none" w:sz="0" w:space="0" w:color="auto"/>
        <w:left w:val="none" w:sz="0" w:space="0" w:color="auto"/>
        <w:bottom w:val="none" w:sz="0" w:space="0" w:color="auto"/>
        <w:right w:val="none" w:sz="0" w:space="0" w:color="auto"/>
      </w:divBdr>
      <w:divsChild>
        <w:div w:id="2131121165">
          <w:marLeft w:val="0"/>
          <w:marRight w:val="0"/>
          <w:marTop w:val="0"/>
          <w:marBottom w:val="0"/>
          <w:divBdr>
            <w:top w:val="none" w:sz="0" w:space="0" w:color="auto"/>
            <w:left w:val="none" w:sz="0" w:space="0" w:color="auto"/>
            <w:bottom w:val="none" w:sz="0" w:space="0" w:color="auto"/>
            <w:right w:val="none" w:sz="0" w:space="0" w:color="auto"/>
          </w:divBdr>
          <w:divsChild>
            <w:div w:id="692918567">
              <w:marLeft w:val="0"/>
              <w:marRight w:val="0"/>
              <w:marTop w:val="0"/>
              <w:marBottom w:val="0"/>
              <w:divBdr>
                <w:top w:val="none" w:sz="0" w:space="0" w:color="auto"/>
                <w:left w:val="none" w:sz="0" w:space="0" w:color="auto"/>
                <w:bottom w:val="none" w:sz="0" w:space="0" w:color="auto"/>
                <w:right w:val="none" w:sz="0" w:space="0" w:color="auto"/>
              </w:divBdr>
              <w:divsChild>
                <w:div w:id="1117678350">
                  <w:marLeft w:val="0"/>
                  <w:marRight w:val="0"/>
                  <w:marTop w:val="105"/>
                  <w:marBottom w:val="0"/>
                  <w:divBdr>
                    <w:top w:val="none" w:sz="0" w:space="0" w:color="auto"/>
                    <w:left w:val="none" w:sz="0" w:space="0" w:color="auto"/>
                    <w:bottom w:val="none" w:sz="0" w:space="0" w:color="auto"/>
                    <w:right w:val="none" w:sz="0" w:space="0" w:color="auto"/>
                  </w:divBdr>
                  <w:divsChild>
                    <w:div w:id="1467159391">
                      <w:marLeft w:val="450"/>
                      <w:marRight w:val="225"/>
                      <w:marTop w:val="0"/>
                      <w:marBottom w:val="0"/>
                      <w:divBdr>
                        <w:top w:val="none" w:sz="0" w:space="0" w:color="auto"/>
                        <w:left w:val="none" w:sz="0" w:space="0" w:color="auto"/>
                        <w:bottom w:val="none" w:sz="0" w:space="0" w:color="auto"/>
                        <w:right w:val="none" w:sz="0" w:space="0" w:color="auto"/>
                      </w:divBdr>
                      <w:divsChild>
                        <w:div w:id="654917905">
                          <w:marLeft w:val="0"/>
                          <w:marRight w:val="0"/>
                          <w:marTop w:val="0"/>
                          <w:marBottom w:val="600"/>
                          <w:divBdr>
                            <w:top w:val="single" w:sz="6" w:space="0" w:color="314664"/>
                            <w:left w:val="single" w:sz="6" w:space="0" w:color="314664"/>
                            <w:bottom w:val="single" w:sz="6" w:space="0" w:color="314664"/>
                            <w:right w:val="single" w:sz="6" w:space="0" w:color="314664"/>
                          </w:divBdr>
                          <w:divsChild>
                            <w:div w:id="1612516340">
                              <w:marLeft w:val="0"/>
                              <w:marRight w:val="0"/>
                              <w:marTop w:val="0"/>
                              <w:marBottom w:val="0"/>
                              <w:divBdr>
                                <w:top w:val="none" w:sz="0" w:space="0" w:color="auto"/>
                                <w:left w:val="none" w:sz="0" w:space="0" w:color="auto"/>
                                <w:bottom w:val="none" w:sz="0" w:space="0" w:color="auto"/>
                                <w:right w:val="none" w:sz="0" w:space="0" w:color="auto"/>
                              </w:divBdr>
                              <w:divsChild>
                                <w:div w:id="1169752727">
                                  <w:marLeft w:val="0"/>
                                  <w:marRight w:val="0"/>
                                  <w:marTop w:val="0"/>
                                  <w:marBottom w:val="0"/>
                                  <w:divBdr>
                                    <w:top w:val="none" w:sz="0" w:space="0" w:color="auto"/>
                                    <w:left w:val="none" w:sz="0" w:space="0" w:color="auto"/>
                                    <w:bottom w:val="none" w:sz="0" w:space="0" w:color="auto"/>
                                    <w:right w:val="none" w:sz="0" w:space="0" w:color="auto"/>
                                  </w:divBdr>
                                  <w:divsChild>
                                    <w:div w:id="116411616">
                                      <w:marLeft w:val="0"/>
                                      <w:marRight w:val="0"/>
                                      <w:marTop w:val="0"/>
                                      <w:marBottom w:val="0"/>
                                      <w:divBdr>
                                        <w:top w:val="none" w:sz="0" w:space="0" w:color="auto"/>
                                        <w:left w:val="none" w:sz="0" w:space="0" w:color="auto"/>
                                        <w:bottom w:val="none" w:sz="0" w:space="0" w:color="auto"/>
                                        <w:right w:val="none" w:sz="0" w:space="0" w:color="auto"/>
                                      </w:divBdr>
                                      <w:divsChild>
                                        <w:div w:id="1795169342">
                                          <w:marLeft w:val="0"/>
                                          <w:marRight w:val="0"/>
                                          <w:marTop w:val="0"/>
                                          <w:marBottom w:val="0"/>
                                          <w:divBdr>
                                            <w:top w:val="none" w:sz="0" w:space="0" w:color="auto"/>
                                            <w:left w:val="none" w:sz="0" w:space="0" w:color="auto"/>
                                            <w:bottom w:val="none" w:sz="0" w:space="0" w:color="auto"/>
                                            <w:right w:val="none" w:sz="0" w:space="0" w:color="auto"/>
                                          </w:divBdr>
                                          <w:divsChild>
                                            <w:div w:id="1921987891">
                                              <w:marLeft w:val="0"/>
                                              <w:marRight w:val="0"/>
                                              <w:marTop w:val="0"/>
                                              <w:marBottom w:val="0"/>
                                              <w:divBdr>
                                                <w:top w:val="none" w:sz="0" w:space="0" w:color="auto"/>
                                                <w:left w:val="none" w:sz="0" w:space="0" w:color="auto"/>
                                                <w:bottom w:val="none" w:sz="0" w:space="0" w:color="auto"/>
                                                <w:right w:val="none" w:sz="0" w:space="0" w:color="auto"/>
                                              </w:divBdr>
                                              <w:divsChild>
                                                <w:div w:id="662049609">
                                                  <w:marLeft w:val="0"/>
                                                  <w:marRight w:val="0"/>
                                                  <w:marTop w:val="0"/>
                                                  <w:marBottom w:val="0"/>
                                                  <w:divBdr>
                                                    <w:top w:val="none" w:sz="0" w:space="0" w:color="auto"/>
                                                    <w:left w:val="none" w:sz="0" w:space="0" w:color="auto"/>
                                                    <w:bottom w:val="none" w:sz="0" w:space="0" w:color="auto"/>
                                                    <w:right w:val="none" w:sz="0" w:space="0" w:color="auto"/>
                                                  </w:divBdr>
                                                  <w:divsChild>
                                                    <w:div w:id="1221356663">
                                                      <w:marLeft w:val="0"/>
                                                      <w:marRight w:val="0"/>
                                                      <w:marTop w:val="0"/>
                                                      <w:marBottom w:val="0"/>
                                                      <w:divBdr>
                                                        <w:top w:val="none" w:sz="0" w:space="0" w:color="auto"/>
                                                        <w:left w:val="none" w:sz="0" w:space="0" w:color="auto"/>
                                                        <w:bottom w:val="none" w:sz="0" w:space="0" w:color="auto"/>
                                                        <w:right w:val="none" w:sz="0" w:space="0" w:color="auto"/>
                                                      </w:divBdr>
                                                      <w:divsChild>
                                                        <w:div w:id="560360814">
                                                          <w:marLeft w:val="0"/>
                                                          <w:marRight w:val="0"/>
                                                          <w:marTop w:val="0"/>
                                                          <w:marBottom w:val="0"/>
                                                          <w:divBdr>
                                                            <w:top w:val="none" w:sz="0" w:space="0" w:color="auto"/>
                                                            <w:left w:val="none" w:sz="0" w:space="0" w:color="auto"/>
                                                            <w:bottom w:val="none" w:sz="0" w:space="0" w:color="auto"/>
                                                            <w:right w:val="none" w:sz="0" w:space="0" w:color="auto"/>
                                                          </w:divBdr>
                                                          <w:divsChild>
                                                            <w:div w:id="1935479346">
                                                              <w:marLeft w:val="0"/>
                                                              <w:marRight w:val="0"/>
                                                              <w:marTop w:val="0"/>
                                                              <w:marBottom w:val="0"/>
                                                              <w:divBdr>
                                                                <w:top w:val="none" w:sz="0" w:space="0" w:color="auto"/>
                                                                <w:left w:val="none" w:sz="0" w:space="0" w:color="auto"/>
                                                                <w:bottom w:val="none" w:sz="0" w:space="0" w:color="auto"/>
                                                                <w:right w:val="none" w:sz="0" w:space="0" w:color="auto"/>
                                                              </w:divBdr>
                                                              <w:divsChild>
                                                                <w:div w:id="1485318974">
                                                                  <w:marLeft w:val="0"/>
                                                                  <w:marRight w:val="0"/>
                                                                  <w:marTop w:val="83"/>
                                                                  <w:marBottom w:val="0"/>
                                                                  <w:divBdr>
                                                                    <w:top w:val="none" w:sz="0" w:space="0" w:color="auto"/>
                                                                    <w:left w:val="none" w:sz="0" w:space="0" w:color="auto"/>
                                                                    <w:bottom w:val="none" w:sz="0" w:space="0" w:color="auto"/>
                                                                    <w:right w:val="none" w:sz="0" w:space="0" w:color="auto"/>
                                                                  </w:divBdr>
                                                                  <w:divsChild>
                                                                    <w:div w:id="1551460685">
                                                                      <w:marLeft w:val="-626"/>
                                                                      <w:marRight w:val="0"/>
                                                                      <w:marTop w:val="0"/>
                                                                      <w:marBottom w:val="0"/>
                                                                      <w:divBdr>
                                                                        <w:top w:val="single" w:sz="6" w:space="0" w:color="E5E5E5"/>
                                                                        <w:left w:val="single" w:sz="6" w:space="0" w:color="E5E5E5"/>
                                                                        <w:bottom w:val="single" w:sz="6" w:space="0" w:color="E5E5E5"/>
                                                                        <w:right w:val="single" w:sz="6" w:space="0" w:color="E5E5E5"/>
                                                                      </w:divBdr>
                                                                      <w:divsChild>
                                                                        <w:div w:id="1902908807">
                                                                          <w:marLeft w:val="0"/>
                                                                          <w:marRight w:val="0"/>
                                                                          <w:marTop w:val="0"/>
                                                                          <w:marBottom w:val="0"/>
                                                                          <w:divBdr>
                                                                            <w:top w:val="none" w:sz="0" w:space="0" w:color="auto"/>
                                                                            <w:left w:val="none" w:sz="0" w:space="0" w:color="auto"/>
                                                                            <w:bottom w:val="none" w:sz="0" w:space="0" w:color="auto"/>
                                                                            <w:right w:val="none" w:sz="0" w:space="0" w:color="auto"/>
                                                                          </w:divBdr>
                                                                          <w:divsChild>
                                                                            <w:div w:id="1556962807">
                                                                              <w:marLeft w:val="0"/>
                                                                              <w:marRight w:val="0"/>
                                                                              <w:marTop w:val="0"/>
                                                                              <w:marBottom w:val="0"/>
                                                                              <w:divBdr>
                                                                                <w:top w:val="none" w:sz="0" w:space="0" w:color="auto"/>
                                                                                <w:left w:val="none" w:sz="0" w:space="0" w:color="auto"/>
                                                                                <w:bottom w:val="none" w:sz="0" w:space="0" w:color="auto"/>
                                                                                <w:right w:val="none" w:sz="0" w:space="0" w:color="auto"/>
                                                                              </w:divBdr>
                                                                              <w:divsChild>
                                                                                <w:div w:id="89282769">
                                                                                  <w:marLeft w:val="0"/>
                                                                                  <w:marRight w:val="0"/>
                                                                                  <w:marTop w:val="0"/>
                                                                                  <w:marBottom w:val="0"/>
                                                                                  <w:divBdr>
                                                                                    <w:top w:val="none" w:sz="0" w:space="0" w:color="auto"/>
                                                                                    <w:left w:val="none" w:sz="0" w:space="0" w:color="auto"/>
                                                                                    <w:bottom w:val="none" w:sz="0" w:space="0" w:color="auto"/>
                                                                                    <w:right w:val="none" w:sz="0" w:space="0" w:color="auto"/>
                                                                                  </w:divBdr>
                                                                                  <w:divsChild>
                                                                                    <w:div w:id="1141970295">
                                                                                      <w:marLeft w:val="0"/>
                                                                                      <w:marRight w:val="0"/>
                                                                                      <w:marTop w:val="83"/>
                                                                                      <w:marBottom w:val="0"/>
                                                                                      <w:divBdr>
                                                                                        <w:top w:val="none" w:sz="0" w:space="0" w:color="auto"/>
                                                                                        <w:left w:val="none" w:sz="0" w:space="0" w:color="auto"/>
                                                                                        <w:bottom w:val="none" w:sz="0" w:space="0" w:color="auto"/>
                                                                                        <w:right w:val="none" w:sz="0" w:space="0" w:color="auto"/>
                                                                                      </w:divBdr>
                                                                                      <w:divsChild>
                                                                                        <w:div w:id="756095467">
                                                                                          <w:marLeft w:val="0"/>
                                                                                          <w:marRight w:val="0"/>
                                                                                          <w:marTop w:val="0"/>
                                                                                          <w:marBottom w:val="0"/>
                                                                                          <w:divBdr>
                                                                                            <w:top w:val="none" w:sz="0" w:space="0" w:color="auto"/>
                                                                                            <w:left w:val="none" w:sz="0" w:space="0" w:color="auto"/>
                                                                                            <w:bottom w:val="none" w:sz="0" w:space="0" w:color="auto"/>
                                                                                            <w:right w:val="none" w:sz="0" w:space="0" w:color="auto"/>
                                                                                          </w:divBdr>
                                                                                          <w:divsChild>
                                                                                            <w:div w:id="2139300624">
                                                                                              <w:marLeft w:val="0"/>
                                                                                              <w:marRight w:val="0"/>
                                                                                              <w:marTop w:val="83"/>
                                                                                              <w:marBottom w:val="0"/>
                                                                                              <w:divBdr>
                                                                                                <w:top w:val="none" w:sz="0" w:space="0" w:color="auto"/>
                                                                                                <w:left w:val="none" w:sz="0" w:space="0" w:color="auto"/>
                                                                                                <w:bottom w:val="none" w:sz="0" w:space="0" w:color="auto"/>
                                                                                                <w:right w:val="none" w:sz="0" w:space="0" w:color="auto"/>
                                                                                              </w:divBdr>
                                                                                              <w:divsChild>
                                                                                                <w:div w:id="1170634401">
                                                                                                  <w:marLeft w:val="0"/>
                                                                                                  <w:marRight w:val="0"/>
                                                                                                  <w:marTop w:val="0"/>
                                                                                                  <w:marBottom w:val="0"/>
                                                                                                  <w:divBdr>
                                                                                                    <w:top w:val="none" w:sz="0" w:space="0" w:color="auto"/>
                                                                                                    <w:left w:val="none" w:sz="0" w:space="0" w:color="auto"/>
                                                                                                    <w:bottom w:val="none" w:sz="0" w:space="0" w:color="auto"/>
                                                                                                    <w:right w:val="none" w:sz="0" w:space="0" w:color="auto"/>
                                                                                                  </w:divBdr>
                                                                                                  <w:divsChild>
                                                                                                    <w:div w:id="1832526308">
                                                                                                      <w:marLeft w:val="0"/>
                                                                                                      <w:marRight w:val="0"/>
                                                                                                      <w:marTop w:val="83"/>
                                                                                                      <w:marBottom w:val="0"/>
                                                                                                      <w:divBdr>
                                                                                                        <w:top w:val="none" w:sz="0" w:space="0" w:color="auto"/>
                                                                                                        <w:left w:val="none" w:sz="0" w:space="0" w:color="auto"/>
                                                                                                        <w:bottom w:val="none" w:sz="0" w:space="0" w:color="auto"/>
                                                                                                        <w:right w:val="none" w:sz="0" w:space="0" w:color="auto"/>
                                                                                                      </w:divBdr>
                                                                                                    </w:div>
                                                                                                  </w:divsChild>
                                                                                                </w:div>
                                                                                                <w:div w:id="65886211">
                                                                                                  <w:marLeft w:val="0"/>
                                                                                                  <w:marRight w:val="0"/>
                                                                                                  <w:marTop w:val="0"/>
                                                                                                  <w:marBottom w:val="0"/>
                                                                                                  <w:divBdr>
                                                                                                    <w:top w:val="none" w:sz="0" w:space="0" w:color="auto"/>
                                                                                                    <w:left w:val="none" w:sz="0" w:space="0" w:color="auto"/>
                                                                                                    <w:bottom w:val="none" w:sz="0" w:space="0" w:color="auto"/>
                                                                                                    <w:right w:val="none" w:sz="0" w:space="0" w:color="auto"/>
                                                                                                  </w:divBdr>
                                                                                                  <w:divsChild>
                                                                                                    <w:div w:id="92484851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339894911">
                                                                                          <w:marLeft w:val="0"/>
                                                                                          <w:marRight w:val="0"/>
                                                                                          <w:marTop w:val="0"/>
                                                                                          <w:marBottom w:val="0"/>
                                                                                          <w:divBdr>
                                                                                            <w:top w:val="none" w:sz="0" w:space="0" w:color="auto"/>
                                                                                            <w:left w:val="none" w:sz="0" w:space="0" w:color="auto"/>
                                                                                            <w:bottom w:val="none" w:sz="0" w:space="0" w:color="auto"/>
                                                                                            <w:right w:val="none" w:sz="0" w:space="0" w:color="auto"/>
                                                                                          </w:divBdr>
                                                                                          <w:divsChild>
                                                                                            <w:div w:id="1643732158">
                                                                                              <w:marLeft w:val="0"/>
                                                                                              <w:marRight w:val="0"/>
                                                                                              <w:marTop w:val="83"/>
                                                                                              <w:marBottom w:val="0"/>
                                                                                              <w:divBdr>
                                                                                                <w:top w:val="none" w:sz="0" w:space="0" w:color="auto"/>
                                                                                                <w:left w:val="none" w:sz="0" w:space="0" w:color="auto"/>
                                                                                                <w:bottom w:val="none" w:sz="0" w:space="0" w:color="auto"/>
                                                                                                <w:right w:val="none" w:sz="0" w:space="0" w:color="auto"/>
                                                                                              </w:divBdr>
                                                                                            </w:div>
                                                                                          </w:divsChild>
                                                                                        </w:div>
                                                                                        <w:div w:id="909073009">
                                                                                          <w:marLeft w:val="0"/>
                                                                                          <w:marRight w:val="0"/>
                                                                                          <w:marTop w:val="0"/>
                                                                                          <w:marBottom w:val="0"/>
                                                                                          <w:divBdr>
                                                                                            <w:top w:val="none" w:sz="0" w:space="0" w:color="auto"/>
                                                                                            <w:left w:val="none" w:sz="0" w:space="0" w:color="auto"/>
                                                                                            <w:bottom w:val="none" w:sz="0" w:space="0" w:color="auto"/>
                                                                                            <w:right w:val="none" w:sz="0" w:space="0" w:color="auto"/>
                                                                                          </w:divBdr>
                                                                                          <w:divsChild>
                                                                                            <w:div w:id="586959371">
                                                                                              <w:marLeft w:val="0"/>
                                                                                              <w:marRight w:val="0"/>
                                                                                              <w:marTop w:val="83"/>
                                                                                              <w:marBottom w:val="0"/>
                                                                                              <w:divBdr>
                                                                                                <w:top w:val="none" w:sz="0" w:space="0" w:color="auto"/>
                                                                                                <w:left w:val="none" w:sz="0" w:space="0" w:color="auto"/>
                                                                                                <w:bottom w:val="none" w:sz="0" w:space="0" w:color="auto"/>
                                                                                                <w:right w:val="none" w:sz="0" w:space="0" w:color="auto"/>
                                                                                              </w:divBdr>
                                                                                              <w:divsChild>
                                                                                                <w:div w:id="583607693">
                                                                                                  <w:marLeft w:val="0"/>
                                                                                                  <w:marRight w:val="0"/>
                                                                                                  <w:marTop w:val="0"/>
                                                                                                  <w:marBottom w:val="0"/>
                                                                                                  <w:divBdr>
                                                                                                    <w:top w:val="none" w:sz="0" w:space="0" w:color="auto"/>
                                                                                                    <w:left w:val="none" w:sz="0" w:space="0" w:color="auto"/>
                                                                                                    <w:bottom w:val="none" w:sz="0" w:space="0" w:color="auto"/>
                                                                                                    <w:right w:val="none" w:sz="0" w:space="0" w:color="auto"/>
                                                                                                  </w:divBdr>
                                                                                                  <w:divsChild>
                                                                                                    <w:div w:id="1174035306">
                                                                                                      <w:marLeft w:val="0"/>
                                                                                                      <w:marRight w:val="0"/>
                                                                                                      <w:marTop w:val="83"/>
                                                                                                      <w:marBottom w:val="0"/>
                                                                                                      <w:divBdr>
                                                                                                        <w:top w:val="none" w:sz="0" w:space="0" w:color="auto"/>
                                                                                                        <w:left w:val="none" w:sz="0" w:space="0" w:color="auto"/>
                                                                                                        <w:bottom w:val="none" w:sz="0" w:space="0" w:color="auto"/>
                                                                                                        <w:right w:val="none" w:sz="0" w:space="0" w:color="auto"/>
                                                                                                      </w:divBdr>
                                                                                                    </w:div>
                                                                                                  </w:divsChild>
                                                                                                </w:div>
                                                                                                <w:div w:id="1922640811">
                                                                                                  <w:marLeft w:val="0"/>
                                                                                                  <w:marRight w:val="0"/>
                                                                                                  <w:marTop w:val="0"/>
                                                                                                  <w:marBottom w:val="0"/>
                                                                                                  <w:divBdr>
                                                                                                    <w:top w:val="none" w:sz="0" w:space="0" w:color="auto"/>
                                                                                                    <w:left w:val="none" w:sz="0" w:space="0" w:color="auto"/>
                                                                                                    <w:bottom w:val="none" w:sz="0" w:space="0" w:color="auto"/>
                                                                                                    <w:right w:val="none" w:sz="0" w:space="0" w:color="auto"/>
                                                                                                  </w:divBdr>
                                                                                                  <w:divsChild>
                                                                                                    <w:div w:id="542715336">
                                                                                                      <w:marLeft w:val="0"/>
                                                                                                      <w:marRight w:val="0"/>
                                                                                                      <w:marTop w:val="83"/>
                                                                                                      <w:marBottom w:val="0"/>
                                                                                                      <w:divBdr>
                                                                                                        <w:top w:val="none" w:sz="0" w:space="0" w:color="auto"/>
                                                                                                        <w:left w:val="none" w:sz="0" w:space="0" w:color="auto"/>
                                                                                                        <w:bottom w:val="none" w:sz="0" w:space="0" w:color="auto"/>
                                                                                                        <w:right w:val="none" w:sz="0" w:space="0" w:color="auto"/>
                                                                                                      </w:divBdr>
                                                                                                    </w:div>
                                                                                                  </w:divsChild>
                                                                                                </w:div>
                                                                                                <w:div w:id="1924994888">
                                                                                                  <w:marLeft w:val="0"/>
                                                                                                  <w:marRight w:val="0"/>
                                                                                                  <w:marTop w:val="0"/>
                                                                                                  <w:marBottom w:val="0"/>
                                                                                                  <w:divBdr>
                                                                                                    <w:top w:val="none" w:sz="0" w:space="0" w:color="auto"/>
                                                                                                    <w:left w:val="none" w:sz="0" w:space="0" w:color="auto"/>
                                                                                                    <w:bottom w:val="none" w:sz="0" w:space="0" w:color="auto"/>
                                                                                                    <w:right w:val="none" w:sz="0" w:space="0" w:color="auto"/>
                                                                                                  </w:divBdr>
                                                                                                  <w:divsChild>
                                                                                                    <w:div w:id="118837213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846863">
      <w:bodyDiv w:val="1"/>
      <w:marLeft w:val="0"/>
      <w:marRight w:val="0"/>
      <w:marTop w:val="0"/>
      <w:marBottom w:val="0"/>
      <w:divBdr>
        <w:top w:val="none" w:sz="0" w:space="0" w:color="auto"/>
        <w:left w:val="none" w:sz="0" w:space="0" w:color="auto"/>
        <w:bottom w:val="none" w:sz="0" w:space="0" w:color="auto"/>
        <w:right w:val="none" w:sz="0" w:space="0" w:color="auto"/>
      </w:divBdr>
    </w:div>
    <w:div w:id="1527913879">
      <w:bodyDiv w:val="1"/>
      <w:marLeft w:val="0"/>
      <w:marRight w:val="0"/>
      <w:marTop w:val="0"/>
      <w:marBottom w:val="0"/>
      <w:divBdr>
        <w:top w:val="none" w:sz="0" w:space="0" w:color="auto"/>
        <w:left w:val="none" w:sz="0" w:space="0" w:color="auto"/>
        <w:bottom w:val="none" w:sz="0" w:space="0" w:color="auto"/>
        <w:right w:val="none" w:sz="0" w:space="0" w:color="auto"/>
      </w:divBdr>
    </w:div>
    <w:div w:id="1790121137">
      <w:bodyDiv w:val="1"/>
      <w:marLeft w:val="0"/>
      <w:marRight w:val="0"/>
      <w:marTop w:val="0"/>
      <w:marBottom w:val="0"/>
      <w:divBdr>
        <w:top w:val="none" w:sz="0" w:space="0" w:color="auto"/>
        <w:left w:val="none" w:sz="0" w:space="0" w:color="auto"/>
        <w:bottom w:val="none" w:sz="0" w:space="0" w:color="auto"/>
        <w:right w:val="none" w:sz="0" w:space="0" w:color="auto"/>
      </w:divBdr>
      <w:divsChild>
        <w:div w:id="1442459510">
          <w:marLeft w:val="0"/>
          <w:marRight w:val="0"/>
          <w:marTop w:val="0"/>
          <w:marBottom w:val="0"/>
          <w:divBdr>
            <w:top w:val="none" w:sz="0" w:space="0" w:color="auto"/>
            <w:left w:val="none" w:sz="0" w:space="0" w:color="auto"/>
            <w:bottom w:val="none" w:sz="0" w:space="0" w:color="auto"/>
            <w:right w:val="none" w:sz="0" w:space="0" w:color="auto"/>
          </w:divBdr>
          <w:divsChild>
            <w:div w:id="622268122">
              <w:marLeft w:val="0"/>
              <w:marRight w:val="0"/>
              <w:marTop w:val="0"/>
              <w:marBottom w:val="0"/>
              <w:divBdr>
                <w:top w:val="none" w:sz="0" w:space="0" w:color="auto"/>
                <w:left w:val="none" w:sz="0" w:space="0" w:color="auto"/>
                <w:bottom w:val="none" w:sz="0" w:space="0" w:color="auto"/>
                <w:right w:val="none" w:sz="0" w:space="0" w:color="auto"/>
              </w:divBdr>
              <w:divsChild>
                <w:div w:id="49691660">
                  <w:marLeft w:val="0"/>
                  <w:marRight w:val="0"/>
                  <w:marTop w:val="105"/>
                  <w:marBottom w:val="0"/>
                  <w:divBdr>
                    <w:top w:val="none" w:sz="0" w:space="0" w:color="auto"/>
                    <w:left w:val="none" w:sz="0" w:space="0" w:color="auto"/>
                    <w:bottom w:val="none" w:sz="0" w:space="0" w:color="auto"/>
                    <w:right w:val="none" w:sz="0" w:space="0" w:color="auto"/>
                  </w:divBdr>
                  <w:divsChild>
                    <w:div w:id="1543206797">
                      <w:marLeft w:val="450"/>
                      <w:marRight w:val="225"/>
                      <w:marTop w:val="0"/>
                      <w:marBottom w:val="0"/>
                      <w:divBdr>
                        <w:top w:val="none" w:sz="0" w:space="0" w:color="auto"/>
                        <w:left w:val="none" w:sz="0" w:space="0" w:color="auto"/>
                        <w:bottom w:val="none" w:sz="0" w:space="0" w:color="auto"/>
                        <w:right w:val="none" w:sz="0" w:space="0" w:color="auto"/>
                      </w:divBdr>
                      <w:divsChild>
                        <w:div w:id="1367367949">
                          <w:marLeft w:val="0"/>
                          <w:marRight w:val="0"/>
                          <w:marTop w:val="0"/>
                          <w:marBottom w:val="600"/>
                          <w:divBdr>
                            <w:top w:val="single" w:sz="6" w:space="0" w:color="314664"/>
                            <w:left w:val="single" w:sz="6" w:space="0" w:color="314664"/>
                            <w:bottom w:val="single" w:sz="6" w:space="0" w:color="314664"/>
                            <w:right w:val="single" w:sz="6" w:space="0" w:color="314664"/>
                          </w:divBdr>
                          <w:divsChild>
                            <w:div w:id="1648705636">
                              <w:marLeft w:val="0"/>
                              <w:marRight w:val="0"/>
                              <w:marTop w:val="0"/>
                              <w:marBottom w:val="0"/>
                              <w:divBdr>
                                <w:top w:val="none" w:sz="0" w:space="0" w:color="auto"/>
                                <w:left w:val="none" w:sz="0" w:space="0" w:color="auto"/>
                                <w:bottom w:val="none" w:sz="0" w:space="0" w:color="auto"/>
                                <w:right w:val="none" w:sz="0" w:space="0" w:color="auto"/>
                              </w:divBdr>
                              <w:divsChild>
                                <w:div w:id="952708839">
                                  <w:marLeft w:val="0"/>
                                  <w:marRight w:val="0"/>
                                  <w:marTop w:val="0"/>
                                  <w:marBottom w:val="0"/>
                                  <w:divBdr>
                                    <w:top w:val="none" w:sz="0" w:space="0" w:color="auto"/>
                                    <w:left w:val="none" w:sz="0" w:space="0" w:color="auto"/>
                                    <w:bottom w:val="none" w:sz="0" w:space="0" w:color="auto"/>
                                    <w:right w:val="none" w:sz="0" w:space="0" w:color="auto"/>
                                  </w:divBdr>
                                  <w:divsChild>
                                    <w:div w:id="1253709517">
                                      <w:marLeft w:val="0"/>
                                      <w:marRight w:val="0"/>
                                      <w:marTop w:val="0"/>
                                      <w:marBottom w:val="0"/>
                                      <w:divBdr>
                                        <w:top w:val="none" w:sz="0" w:space="0" w:color="auto"/>
                                        <w:left w:val="none" w:sz="0" w:space="0" w:color="auto"/>
                                        <w:bottom w:val="none" w:sz="0" w:space="0" w:color="auto"/>
                                        <w:right w:val="none" w:sz="0" w:space="0" w:color="auto"/>
                                      </w:divBdr>
                                      <w:divsChild>
                                        <w:div w:id="1274171259">
                                          <w:marLeft w:val="0"/>
                                          <w:marRight w:val="0"/>
                                          <w:marTop w:val="0"/>
                                          <w:marBottom w:val="0"/>
                                          <w:divBdr>
                                            <w:top w:val="none" w:sz="0" w:space="0" w:color="auto"/>
                                            <w:left w:val="none" w:sz="0" w:space="0" w:color="auto"/>
                                            <w:bottom w:val="none" w:sz="0" w:space="0" w:color="auto"/>
                                            <w:right w:val="none" w:sz="0" w:space="0" w:color="auto"/>
                                          </w:divBdr>
                                          <w:divsChild>
                                            <w:div w:id="1288466275">
                                              <w:marLeft w:val="0"/>
                                              <w:marRight w:val="0"/>
                                              <w:marTop w:val="0"/>
                                              <w:marBottom w:val="0"/>
                                              <w:divBdr>
                                                <w:top w:val="none" w:sz="0" w:space="0" w:color="auto"/>
                                                <w:left w:val="none" w:sz="0" w:space="0" w:color="auto"/>
                                                <w:bottom w:val="none" w:sz="0" w:space="0" w:color="auto"/>
                                                <w:right w:val="none" w:sz="0" w:space="0" w:color="auto"/>
                                              </w:divBdr>
                                              <w:divsChild>
                                                <w:div w:id="1920292015">
                                                  <w:marLeft w:val="0"/>
                                                  <w:marRight w:val="0"/>
                                                  <w:marTop w:val="0"/>
                                                  <w:marBottom w:val="0"/>
                                                  <w:divBdr>
                                                    <w:top w:val="none" w:sz="0" w:space="0" w:color="auto"/>
                                                    <w:left w:val="none" w:sz="0" w:space="0" w:color="auto"/>
                                                    <w:bottom w:val="none" w:sz="0" w:space="0" w:color="auto"/>
                                                    <w:right w:val="none" w:sz="0" w:space="0" w:color="auto"/>
                                                  </w:divBdr>
                                                  <w:divsChild>
                                                    <w:div w:id="710687190">
                                                      <w:marLeft w:val="0"/>
                                                      <w:marRight w:val="0"/>
                                                      <w:marTop w:val="0"/>
                                                      <w:marBottom w:val="0"/>
                                                      <w:divBdr>
                                                        <w:top w:val="none" w:sz="0" w:space="0" w:color="auto"/>
                                                        <w:left w:val="none" w:sz="0" w:space="0" w:color="auto"/>
                                                        <w:bottom w:val="none" w:sz="0" w:space="0" w:color="auto"/>
                                                        <w:right w:val="none" w:sz="0" w:space="0" w:color="auto"/>
                                                      </w:divBdr>
                                                    </w:div>
                                                    <w:div w:id="1870491006">
                                                      <w:marLeft w:val="0"/>
                                                      <w:marRight w:val="0"/>
                                                      <w:marTop w:val="0"/>
                                                      <w:marBottom w:val="0"/>
                                                      <w:divBdr>
                                                        <w:top w:val="none" w:sz="0" w:space="0" w:color="auto"/>
                                                        <w:left w:val="none" w:sz="0" w:space="0" w:color="auto"/>
                                                        <w:bottom w:val="none" w:sz="0" w:space="0" w:color="auto"/>
                                                        <w:right w:val="none" w:sz="0" w:space="0" w:color="auto"/>
                                                      </w:divBdr>
                                                      <w:divsChild>
                                                        <w:div w:id="700670592">
                                                          <w:marLeft w:val="-720"/>
                                                          <w:marRight w:val="0"/>
                                                          <w:marTop w:val="0"/>
                                                          <w:marBottom w:val="0"/>
                                                          <w:divBdr>
                                                            <w:top w:val="none" w:sz="0" w:space="0" w:color="auto"/>
                                                            <w:left w:val="none" w:sz="0" w:space="0" w:color="auto"/>
                                                            <w:bottom w:val="none" w:sz="0" w:space="0" w:color="auto"/>
                                                            <w:right w:val="none" w:sz="0" w:space="0" w:color="auto"/>
                                                          </w:divBdr>
                                                          <w:divsChild>
                                                            <w:div w:id="100417928">
                                                              <w:blockQuote w:val="1"/>
                                                              <w:marLeft w:val="0"/>
                                                              <w:marRight w:val="0"/>
                                                              <w:marTop w:val="0"/>
                                                              <w:marBottom w:val="0"/>
                                                              <w:divBdr>
                                                                <w:top w:val="none" w:sz="0" w:space="0" w:color="auto"/>
                                                                <w:left w:val="none" w:sz="0" w:space="0" w:color="auto"/>
                                                                <w:bottom w:val="none" w:sz="0" w:space="0" w:color="auto"/>
                                                                <w:right w:val="none" w:sz="0" w:space="0" w:color="auto"/>
                                                              </w:divBdr>
                                                              <w:divsChild>
                                                                <w:div w:id="11326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236804">
      <w:bodyDiv w:val="1"/>
      <w:marLeft w:val="0"/>
      <w:marRight w:val="0"/>
      <w:marTop w:val="0"/>
      <w:marBottom w:val="0"/>
      <w:divBdr>
        <w:top w:val="none" w:sz="0" w:space="0" w:color="auto"/>
        <w:left w:val="none" w:sz="0" w:space="0" w:color="auto"/>
        <w:bottom w:val="none" w:sz="0" w:space="0" w:color="auto"/>
        <w:right w:val="none" w:sz="0" w:space="0" w:color="auto"/>
      </w:divBdr>
    </w:div>
    <w:div w:id="18359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2566</Words>
  <Characters>12679</Characters>
  <Application>Microsoft Office Word</Application>
  <DocSecurity>0</DocSecurity>
  <Lines>362</Lines>
  <Paragraphs>139</Paragraphs>
  <ScaleCrop>false</ScaleCrop>
  <HeadingPairs>
    <vt:vector size="2" baseType="variant">
      <vt:variant>
        <vt:lpstr>Title</vt:lpstr>
      </vt:variant>
      <vt:variant>
        <vt:i4>1</vt:i4>
      </vt:variant>
    </vt:vector>
  </HeadingPairs>
  <TitlesOfParts>
    <vt:vector size="1" baseType="lpstr">
      <vt:lpstr>Simplifying the collection of tax on employee share schemes (special report) (July 2016)</vt:lpstr>
    </vt:vector>
  </TitlesOfParts>
  <Company>Inland Revenue</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Simplifying the collection of tax on employee share schemes (special report) (July 2016)</dc:title>
  <dc:creator>Policy and Strategy</dc:creator>
  <dc:description>Published on 14 July 2016.</dc:description>
  <cp:lastModifiedBy>David Nind</cp:lastModifiedBy>
  <cp:revision>2</cp:revision>
  <dcterms:created xsi:type="dcterms:W3CDTF">2016-07-14T01:05:00Z</dcterms:created>
  <dcterms:modified xsi:type="dcterms:W3CDTF">2016-07-14T01:06:00Z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