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D243" w14:textId="77777777" w:rsidR="000545DC" w:rsidRPr="007C737B"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14:paraId="4F725418" w14:textId="6A15387C" w:rsidR="000545DC" w:rsidRPr="004342F0" w:rsidRDefault="000A7385" w:rsidP="004342F0">
      <w:pPr>
        <w:pStyle w:val="RISheading"/>
        <w:rPr>
          <w:spacing w:val="0"/>
          <w:w w:val="100"/>
        </w:rPr>
      </w:pPr>
      <w:r>
        <w:rPr>
          <w:spacing w:val="0"/>
          <w:w w:val="100"/>
        </w:rPr>
        <w:t>Transitional regulations during Inland Revenue’s business transformation</w:t>
      </w:r>
    </w:p>
    <w:p w14:paraId="7010EB04" w14:textId="77777777" w:rsidR="000545DC" w:rsidRPr="004342F0" w:rsidRDefault="001C6912" w:rsidP="004342F0">
      <w:pPr>
        <w:pStyle w:val="RISheading"/>
        <w:rPr>
          <w:spacing w:val="0"/>
          <w:w w:val="100"/>
        </w:rPr>
      </w:pPr>
      <w:r w:rsidRPr="004342F0">
        <w:rPr>
          <w:spacing w:val="0"/>
          <w:w w:val="100"/>
        </w:rPr>
        <w:t xml:space="preserve">Agency </w:t>
      </w:r>
      <w:r w:rsidR="000545DC" w:rsidRPr="004342F0">
        <w:rPr>
          <w:spacing w:val="0"/>
          <w:w w:val="100"/>
        </w:rPr>
        <w:t xml:space="preserve">Disclosure Statement </w:t>
      </w:r>
    </w:p>
    <w:p w14:paraId="5414F189" w14:textId="77777777" w:rsidR="000545DC" w:rsidRPr="004342F0"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This Regulatory Impact Statement</w:t>
      </w:r>
      <w:r w:rsidR="005A1262">
        <w:rPr>
          <w:rFonts w:ascii="Times New Roman" w:hAnsi="Times New Roman"/>
          <w:sz w:val="24"/>
          <w:szCs w:val="24"/>
        </w:rPr>
        <w:t xml:space="preserve"> (RIS)</w:t>
      </w:r>
      <w:r w:rsidRPr="004342F0">
        <w:rPr>
          <w:rFonts w:ascii="Times New Roman" w:hAnsi="Times New Roman"/>
          <w:sz w:val="24"/>
          <w:szCs w:val="24"/>
        </w:rPr>
        <w:t xml:space="preserve">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14:paraId="428302FD" w14:textId="77777777" w:rsidR="004342F0" w:rsidRPr="004342F0" w:rsidRDefault="004342F0" w:rsidP="009A23EE">
      <w:pPr>
        <w:pStyle w:val="ListParagraph"/>
        <w:ind w:left="0" w:right="170"/>
        <w:contextualSpacing w:val="0"/>
        <w:rPr>
          <w:rFonts w:ascii="Times New Roman" w:hAnsi="Times New Roman"/>
          <w:sz w:val="24"/>
          <w:szCs w:val="24"/>
        </w:rPr>
      </w:pPr>
    </w:p>
    <w:p w14:paraId="70F6B828" w14:textId="0C54F72D" w:rsidR="00DF5446" w:rsidRDefault="000545DC" w:rsidP="0065318C">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w:t>
      </w:r>
      <w:r w:rsidR="0065318C" w:rsidRPr="0065318C">
        <w:rPr>
          <w:rFonts w:ascii="Times New Roman" w:hAnsi="Times New Roman"/>
          <w:sz w:val="24"/>
          <w:szCs w:val="24"/>
        </w:rPr>
        <w:t>to deal with</w:t>
      </w:r>
      <w:r w:rsidR="00765A14">
        <w:rPr>
          <w:rFonts w:ascii="Times New Roman" w:hAnsi="Times New Roman"/>
          <w:sz w:val="24"/>
          <w:szCs w:val="24"/>
        </w:rPr>
        <w:t xml:space="preserve"> the potential for delays to Inland Revenue’s transformation process caused by the need for </w:t>
      </w:r>
      <w:r w:rsidR="0007377C">
        <w:rPr>
          <w:rFonts w:ascii="Times New Roman" w:hAnsi="Times New Roman"/>
          <w:sz w:val="24"/>
          <w:szCs w:val="24"/>
        </w:rPr>
        <w:t xml:space="preserve">prompt regulatory </w:t>
      </w:r>
      <w:r w:rsidR="00765A14">
        <w:rPr>
          <w:rFonts w:ascii="Times New Roman" w:hAnsi="Times New Roman"/>
          <w:sz w:val="24"/>
          <w:szCs w:val="24"/>
        </w:rPr>
        <w:t>change.</w:t>
      </w:r>
    </w:p>
    <w:p w14:paraId="4B7F043D" w14:textId="77777777" w:rsidR="0065318C" w:rsidRDefault="0065318C" w:rsidP="0065318C">
      <w:pPr>
        <w:pStyle w:val="ListParagraph"/>
        <w:ind w:left="0" w:right="170"/>
        <w:contextualSpacing w:val="0"/>
        <w:rPr>
          <w:rFonts w:ascii="Times New Roman" w:hAnsi="Times New Roman"/>
          <w:sz w:val="24"/>
          <w:szCs w:val="24"/>
        </w:rPr>
      </w:pPr>
    </w:p>
    <w:p w14:paraId="3D0114E0" w14:textId="36229896" w:rsidR="0065318C" w:rsidRPr="0065318C" w:rsidRDefault="0065318C" w:rsidP="0065318C">
      <w:pPr>
        <w:pStyle w:val="ListParagraph"/>
        <w:ind w:left="0" w:right="170"/>
        <w:contextualSpacing w:val="0"/>
        <w:rPr>
          <w:rFonts w:ascii="Times New Roman" w:hAnsi="Times New Roman"/>
          <w:sz w:val="24"/>
          <w:szCs w:val="24"/>
        </w:rPr>
      </w:pPr>
      <w:r w:rsidRPr="0065318C">
        <w:rPr>
          <w:rFonts w:ascii="Times New Roman" w:hAnsi="Times New Roman"/>
          <w:sz w:val="24"/>
          <w:szCs w:val="24"/>
        </w:rPr>
        <w:t>In developing options to deal with the issue, analysis was undertaken of previous transitional regulations, the Legislation Advisory Committee Guidelines</w:t>
      </w:r>
      <w:r w:rsidR="006C4AF5">
        <w:rPr>
          <w:rFonts w:ascii="Times New Roman" w:hAnsi="Times New Roman"/>
          <w:sz w:val="24"/>
          <w:szCs w:val="24"/>
        </w:rPr>
        <w:t xml:space="preserve">, the Cabinet Manual and </w:t>
      </w:r>
      <w:r w:rsidRPr="0065318C">
        <w:rPr>
          <w:rFonts w:ascii="Times New Roman" w:hAnsi="Times New Roman"/>
          <w:sz w:val="24"/>
          <w:szCs w:val="24"/>
        </w:rPr>
        <w:t xml:space="preserve">various reports of the Regulations Review Committee.  None of the previous transitional regulations had considered the option of allowing delegated regulations to be made to remedy transitional issues.  </w:t>
      </w:r>
    </w:p>
    <w:p w14:paraId="6D8A9D01" w14:textId="77777777" w:rsidR="0065318C" w:rsidRPr="0065318C" w:rsidRDefault="0065318C" w:rsidP="0065318C">
      <w:pPr>
        <w:pStyle w:val="ListParagraph"/>
        <w:ind w:left="0" w:right="170"/>
        <w:contextualSpacing w:val="0"/>
        <w:rPr>
          <w:rFonts w:ascii="Times New Roman" w:hAnsi="Times New Roman"/>
          <w:sz w:val="24"/>
          <w:szCs w:val="24"/>
        </w:rPr>
      </w:pPr>
    </w:p>
    <w:p w14:paraId="79B62213" w14:textId="779A5867" w:rsidR="0065318C" w:rsidRPr="0065318C" w:rsidRDefault="0065318C" w:rsidP="0065318C">
      <w:pPr>
        <w:pStyle w:val="ListParagraph"/>
        <w:ind w:left="0" w:right="170"/>
        <w:contextualSpacing w:val="0"/>
        <w:rPr>
          <w:rFonts w:ascii="Times New Roman" w:hAnsi="Times New Roman"/>
          <w:sz w:val="24"/>
          <w:szCs w:val="24"/>
        </w:rPr>
      </w:pPr>
      <w:r w:rsidRPr="0065318C">
        <w:rPr>
          <w:rFonts w:ascii="Times New Roman" w:hAnsi="Times New Roman"/>
          <w:sz w:val="24"/>
          <w:szCs w:val="24"/>
        </w:rPr>
        <w:t xml:space="preserve">Consultation was undertaken with </w:t>
      </w:r>
      <w:r w:rsidR="00871E58">
        <w:rPr>
          <w:rFonts w:ascii="Times New Roman" w:hAnsi="Times New Roman"/>
          <w:sz w:val="24"/>
          <w:szCs w:val="24"/>
        </w:rPr>
        <w:t xml:space="preserve">the </w:t>
      </w:r>
      <w:r w:rsidRPr="0065318C">
        <w:rPr>
          <w:rFonts w:ascii="Times New Roman" w:hAnsi="Times New Roman"/>
          <w:sz w:val="24"/>
          <w:szCs w:val="24"/>
        </w:rPr>
        <w:t>Legislation Design and Advisory Committee</w:t>
      </w:r>
      <w:r w:rsidR="00871E58">
        <w:rPr>
          <w:rFonts w:ascii="Times New Roman" w:hAnsi="Times New Roman"/>
          <w:sz w:val="24"/>
          <w:szCs w:val="24"/>
        </w:rPr>
        <w:t xml:space="preserve"> (LDAC)</w:t>
      </w:r>
      <w:r w:rsidRPr="0065318C">
        <w:rPr>
          <w:rFonts w:ascii="Times New Roman" w:hAnsi="Times New Roman"/>
          <w:sz w:val="24"/>
          <w:szCs w:val="24"/>
        </w:rPr>
        <w:t>, Crown Law, the Minist</w:t>
      </w:r>
      <w:r w:rsidR="00871E58">
        <w:rPr>
          <w:rFonts w:ascii="Times New Roman" w:hAnsi="Times New Roman"/>
          <w:sz w:val="24"/>
          <w:szCs w:val="24"/>
        </w:rPr>
        <w:t xml:space="preserve">ry of Justice and </w:t>
      </w:r>
      <w:r w:rsidR="0061033B">
        <w:rPr>
          <w:rFonts w:ascii="Times New Roman" w:hAnsi="Times New Roman"/>
          <w:sz w:val="24"/>
          <w:szCs w:val="24"/>
        </w:rPr>
        <w:t xml:space="preserve">the </w:t>
      </w:r>
      <w:r w:rsidR="00871E58">
        <w:rPr>
          <w:rFonts w:ascii="Times New Roman" w:hAnsi="Times New Roman"/>
          <w:sz w:val="24"/>
          <w:szCs w:val="24"/>
        </w:rPr>
        <w:t>Treasury.</w:t>
      </w:r>
      <w:r w:rsidR="00871E58" w:rsidRPr="00826109">
        <w:rPr>
          <w:rFonts w:ascii="Times New Roman" w:hAnsi="Times New Roman"/>
          <w:sz w:val="24"/>
          <w:szCs w:val="24"/>
        </w:rPr>
        <w:t xml:space="preserve">  </w:t>
      </w:r>
      <w:r w:rsidR="0061033B">
        <w:rPr>
          <w:rFonts w:ascii="Times New Roman" w:hAnsi="Times New Roman"/>
          <w:sz w:val="24"/>
          <w:szCs w:val="24"/>
        </w:rPr>
        <w:t>T</w:t>
      </w:r>
      <w:r w:rsidR="00104CD3">
        <w:rPr>
          <w:rFonts w:ascii="Times New Roman" w:hAnsi="Times New Roman"/>
          <w:sz w:val="24"/>
          <w:szCs w:val="24"/>
        </w:rPr>
        <w:t>his</w:t>
      </w:r>
      <w:r w:rsidR="0061033B">
        <w:rPr>
          <w:rFonts w:ascii="Times New Roman" w:hAnsi="Times New Roman"/>
          <w:sz w:val="24"/>
          <w:szCs w:val="24"/>
        </w:rPr>
        <w:t xml:space="preserve"> consultation resulted in </w:t>
      </w:r>
      <w:r w:rsidR="00826109">
        <w:rPr>
          <w:rFonts w:ascii="Times New Roman" w:hAnsi="Times New Roman"/>
          <w:sz w:val="24"/>
          <w:szCs w:val="24"/>
        </w:rPr>
        <w:t xml:space="preserve">the </w:t>
      </w:r>
      <w:r w:rsidR="0061033B">
        <w:rPr>
          <w:rFonts w:ascii="Times New Roman" w:hAnsi="Times New Roman"/>
          <w:sz w:val="24"/>
          <w:szCs w:val="24"/>
        </w:rPr>
        <w:t xml:space="preserve">clarification in </w:t>
      </w:r>
      <w:r w:rsidR="00826109">
        <w:rPr>
          <w:rFonts w:ascii="Times New Roman" w:hAnsi="Times New Roman"/>
          <w:sz w:val="24"/>
          <w:szCs w:val="24"/>
        </w:rPr>
        <w:t xml:space="preserve">the </w:t>
      </w:r>
      <w:r w:rsidR="0061033B">
        <w:rPr>
          <w:rFonts w:ascii="Times New Roman" w:hAnsi="Times New Roman"/>
          <w:sz w:val="24"/>
          <w:szCs w:val="24"/>
        </w:rPr>
        <w:t>scope of the empowering provision under option 2 (the preferred option)</w:t>
      </w:r>
      <w:r w:rsidR="00826109">
        <w:rPr>
          <w:rFonts w:ascii="Times New Roman" w:hAnsi="Times New Roman"/>
          <w:sz w:val="24"/>
          <w:szCs w:val="24"/>
        </w:rPr>
        <w:t>.</w:t>
      </w:r>
      <w:r w:rsidR="00D40BD3">
        <w:rPr>
          <w:rFonts w:ascii="Times New Roman" w:hAnsi="Times New Roman"/>
          <w:sz w:val="24"/>
          <w:szCs w:val="24"/>
        </w:rPr>
        <w:t xml:space="preserve">  No wider consultation was undertaken on the proposal because of time constraints.  The time constraints resulted from the need to have the proposal enacted as soon as possible given the </w:t>
      </w:r>
      <w:r w:rsidR="00D40BD3" w:rsidRPr="00D40BD3">
        <w:rPr>
          <w:rFonts w:ascii="Times New Roman" w:hAnsi="Times New Roman"/>
          <w:sz w:val="24"/>
          <w:szCs w:val="24"/>
        </w:rPr>
        <w:t xml:space="preserve">benefits of the transitional regulation-making provision and the timing of the </w:t>
      </w:r>
      <w:r w:rsidR="00D40BD3">
        <w:rPr>
          <w:rFonts w:ascii="Times New Roman" w:hAnsi="Times New Roman"/>
          <w:sz w:val="24"/>
          <w:szCs w:val="24"/>
        </w:rPr>
        <w:t xml:space="preserve">transformation process. </w:t>
      </w:r>
      <w:r w:rsidR="0061033B">
        <w:rPr>
          <w:rFonts w:ascii="Times New Roman" w:hAnsi="Times New Roman"/>
          <w:sz w:val="24"/>
          <w:szCs w:val="24"/>
        </w:rPr>
        <w:t xml:space="preserve"> The lack of wider consultation raises a risk that potential problems with the proposals have not been fully </w:t>
      </w:r>
      <w:r w:rsidR="00630F1B">
        <w:rPr>
          <w:rFonts w:ascii="Times New Roman" w:hAnsi="Times New Roman"/>
          <w:sz w:val="24"/>
          <w:szCs w:val="24"/>
        </w:rPr>
        <w:t>identified</w:t>
      </w:r>
      <w:r w:rsidR="0061033B">
        <w:rPr>
          <w:rFonts w:ascii="Times New Roman" w:hAnsi="Times New Roman"/>
          <w:sz w:val="24"/>
          <w:szCs w:val="24"/>
        </w:rPr>
        <w:t>.</w:t>
      </w:r>
      <w:r w:rsidR="00FB6FF0">
        <w:rPr>
          <w:rFonts w:ascii="Times New Roman" w:hAnsi="Times New Roman"/>
          <w:sz w:val="24"/>
          <w:szCs w:val="24"/>
        </w:rPr>
        <w:t xml:space="preserve">  However, consultation during the select committee process will mitigate this risk to some extent.</w:t>
      </w:r>
    </w:p>
    <w:p w14:paraId="62D2876E" w14:textId="77777777" w:rsidR="0065318C" w:rsidRDefault="0065318C" w:rsidP="0065318C">
      <w:pPr>
        <w:pStyle w:val="ListParagraph"/>
        <w:ind w:left="0" w:right="170"/>
        <w:contextualSpacing w:val="0"/>
        <w:rPr>
          <w:rFonts w:ascii="Times New Roman" w:hAnsi="Times New Roman"/>
          <w:sz w:val="24"/>
          <w:szCs w:val="24"/>
        </w:rPr>
      </w:pPr>
    </w:p>
    <w:p w14:paraId="611B4A02" w14:textId="02913477" w:rsidR="00085660" w:rsidRDefault="00B97D3F" w:rsidP="00782395">
      <w:pPr>
        <w:pStyle w:val="ListParagraph"/>
        <w:ind w:left="0" w:right="170"/>
        <w:contextualSpacing w:val="0"/>
        <w:rPr>
          <w:rFonts w:ascii="Times New Roman" w:hAnsi="Times New Roman"/>
          <w:sz w:val="24"/>
          <w:szCs w:val="24"/>
        </w:rPr>
      </w:pPr>
      <w:r>
        <w:rPr>
          <w:rFonts w:ascii="Times New Roman" w:hAnsi="Times New Roman"/>
          <w:sz w:val="24"/>
          <w:szCs w:val="24"/>
        </w:rPr>
        <w:t xml:space="preserve">Parliament delegating the power to the executive </w:t>
      </w:r>
      <w:r w:rsidR="00565AAB">
        <w:rPr>
          <w:rFonts w:ascii="Times New Roman" w:hAnsi="Times New Roman"/>
          <w:sz w:val="24"/>
          <w:szCs w:val="24"/>
        </w:rPr>
        <w:t>to make regulations that c</w:t>
      </w:r>
      <w:r w:rsidR="006A3C79">
        <w:rPr>
          <w:rFonts w:ascii="Times New Roman" w:hAnsi="Times New Roman"/>
          <w:sz w:val="24"/>
          <w:szCs w:val="24"/>
        </w:rPr>
        <w:t>an override primary legislation</w:t>
      </w:r>
      <w:r w:rsidR="00565AAB">
        <w:rPr>
          <w:rFonts w:ascii="Times New Roman" w:hAnsi="Times New Roman"/>
          <w:sz w:val="24"/>
          <w:szCs w:val="24"/>
        </w:rPr>
        <w:t xml:space="preserve"> </w:t>
      </w:r>
      <w:r w:rsidR="00FB6FF0">
        <w:rPr>
          <w:rFonts w:ascii="Times New Roman" w:hAnsi="Times New Roman"/>
          <w:sz w:val="24"/>
          <w:szCs w:val="24"/>
        </w:rPr>
        <w:t>(</w:t>
      </w:r>
      <w:r w:rsidR="00CE24C7">
        <w:rPr>
          <w:rFonts w:ascii="Times New Roman" w:hAnsi="Times New Roman"/>
          <w:sz w:val="24"/>
          <w:szCs w:val="24"/>
        </w:rPr>
        <w:t>under options 2 and 3</w:t>
      </w:r>
      <w:r w:rsidR="00FB6FF0">
        <w:rPr>
          <w:rFonts w:ascii="Times New Roman" w:hAnsi="Times New Roman"/>
          <w:sz w:val="24"/>
          <w:szCs w:val="24"/>
        </w:rPr>
        <w:t>)</w:t>
      </w:r>
      <w:r w:rsidR="00CE24C7">
        <w:rPr>
          <w:rFonts w:ascii="Times New Roman" w:hAnsi="Times New Roman"/>
          <w:sz w:val="24"/>
          <w:szCs w:val="24"/>
        </w:rPr>
        <w:t xml:space="preserve"> risks</w:t>
      </w:r>
      <w:r w:rsidR="00565AAB">
        <w:rPr>
          <w:rFonts w:ascii="Times New Roman" w:hAnsi="Times New Roman"/>
          <w:sz w:val="24"/>
          <w:szCs w:val="24"/>
        </w:rPr>
        <w:t xml:space="preserve"> the separation of powers and fundamental common law principles.  </w:t>
      </w:r>
      <w:r w:rsidR="00CE24C7">
        <w:rPr>
          <w:rFonts w:ascii="Times New Roman" w:hAnsi="Times New Roman"/>
          <w:sz w:val="24"/>
          <w:szCs w:val="24"/>
        </w:rPr>
        <w:t xml:space="preserve">However, the proposed safeguards will moderate those risks.  Further, </w:t>
      </w:r>
      <w:r w:rsidR="00994ED0">
        <w:rPr>
          <w:rFonts w:ascii="Times New Roman" w:hAnsi="Times New Roman"/>
          <w:sz w:val="24"/>
          <w:szCs w:val="24"/>
        </w:rPr>
        <w:t>Inland Revenue</w:t>
      </w:r>
      <w:r w:rsidR="00CE24C7">
        <w:rPr>
          <w:rFonts w:ascii="Times New Roman" w:hAnsi="Times New Roman"/>
          <w:sz w:val="24"/>
          <w:szCs w:val="24"/>
        </w:rPr>
        <w:t xml:space="preserve"> consider</w:t>
      </w:r>
      <w:r w:rsidR="0007377C">
        <w:rPr>
          <w:rFonts w:ascii="Times New Roman" w:hAnsi="Times New Roman"/>
          <w:sz w:val="24"/>
          <w:szCs w:val="24"/>
        </w:rPr>
        <w:t>s</w:t>
      </w:r>
      <w:r w:rsidR="00CE24C7">
        <w:rPr>
          <w:rFonts w:ascii="Times New Roman" w:hAnsi="Times New Roman"/>
          <w:sz w:val="24"/>
          <w:szCs w:val="24"/>
        </w:rPr>
        <w:t xml:space="preserve"> that the risks </w:t>
      </w:r>
      <w:r w:rsidR="00FB6FF0">
        <w:rPr>
          <w:rFonts w:ascii="Times New Roman" w:hAnsi="Times New Roman"/>
          <w:sz w:val="24"/>
          <w:szCs w:val="24"/>
        </w:rPr>
        <w:t xml:space="preserve">from option 2 </w:t>
      </w:r>
      <w:r w:rsidR="0007377C">
        <w:rPr>
          <w:rFonts w:ascii="Times New Roman" w:hAnsi="Times New Roman"/>
          <w:sz w:val="24"/>
          <w:szCs w:val="24"/>
        </w:rPr>
        <w:t>a</w:t>
      </w:r>
      <w:r w:rsidR="00CE24C7">
        <w:rPr>
          <w:rFonts w:ascii="Times New Roman" w:hAnsi="Times New Roman"/>
          <w:sz w:val="24"/>
          <w:szCs w:val="24"/>
        </w:rPr>
        <w:t>re less than the risks to the rule of law from the status quo.</w:t>
      </w:r>
      <w:r w:rsidR="004174E2">
        <w:rPr>
          <w:rFonts w:ascii="Times New Roman" w:hAnsi="Times New Roman"/>
          <w:sz w:val="24"/>
          <w:szCs w:val="24"/>
        </w:rPr>
        <w:t xml:space="preserve"> Making changes to the tax administration rules and process</w:t>
      </w:r>
      <w:r w:rsidR="00CE24C7">
        <w:rPr>
          <w:rFonts w:ascii="Times New Roman" w:hAnsi="Times New Roman"/>
          <w:sz w:val="24"/>
          <w:szCs w:val="24"/>
        </w:rPr>
        <w:t>es</w:t>
      </w:r>
      <w:r w:rsidR="004174E2">
        <w:rPr>
          <w:rFonts w:ascii="Times New Roman" w:hAnsi="Times New Roman"/>
          <w:sz w:val="24"/>
          <w:szCs w:val="24"/>
        </w:rPr>
        <w:t xml:space="preserve"> by way of </w:t>
      </w:r>
      <w:r w:rsidR="006A3C79">
        <w:rPr>
          <w:rFonts w:ascii="Times New Roman" w:hAnsi="Times New Roman"/>
          <w:sz w:val="24"/>
          <w:szCs w:val="24"/>
        </w:rPr>
        <w:t xml:space="preserve">delegated </w:t>
      </w:r>
      <w:r w:rsidR="004174E2">
        <w:rPr>
          <w:rFonts w:ascii="Times New Roman" w:hAnsi="Times New Roman"/>
          <w:sz w:val="24"/>
          <w:szCs w:val="24"/>
        </w:rPr>
        <w:t xml:space="preserve">regulations </w:t>
      </w:r>
      <w:r w:rsidR="00CE24C7">
        <w:rPr>
          <w:rFonts w:ascii="Times New Roman" w:hAnsi="Times New Roman"/>
          <w:sz w:val="24"/>
          <w:szCs w:val="24"/>
        </w:rPr>
        <w:t xml:space="preserve">under option 3 </w:t>
      </w:r>
      <w:r w:rsidR="006A3C79">
        <w:rPr>
          <w:rFonts w:ascii="Times New Roman" w:hAnsi="Times New Roman"/>
          <w:sz w:val="24"/>
          <w:szCs w:val="24"/>
        </w:rPr>
        <w:t>could</w:t>
      </w:r>
      <w:r w:rsidR="004174E2">
        <w:rPr>
          <w:rFonts w:ascii="Times New Roman" w:hAnsi="Times New Roman"/>
          <w:sz w:val="24"/>
          <w:szCs w:val="24"/>
        </w:rPr>
        <w:t xml:space="preserve"> adversely impact taxpayers’ perceptions of the integrity of the tax system</w:t>
      </w:r>
      <w:r w:rsidR="005B7592">
        <w:rPr>
          <w:rFonts w:ascii="Times New Roman" w:hAnsi="Times New Roman"/>
          <w:sz w:val="24"/>
          <w:szCs w:val="24"/>
        </w:rPr>
        <w:t xml:space="preserve"> (as opposed to making any changes by </w:t>
      </w:r>
      <w:r w:rsidR="006A3C79">
        <w:rPr>
          <w:rFonts w:ascii="Times New Roman" w:hAnsi="Times New Roman"/>
          <w:sz w:val="24"/>
          <w:szCs w:val="24"/>
        </w:rPr>
        <w:t xml:space="preserve">Orders in Council or </w:t>
      </w:r>
      <w:r w:rsidR="005B7592">
        <w:rPr>
          <w:rFonts w:ascii="Times New Roman" w:hAnsi="Times New Roman"/>
          <w:sz w:val="24"/>
          <w:szCs w:val="24"/>
        </w:rPr>
        <w:t>legislative amendments)</w:t>
      </w:r>
      <w:r w:rsidR="004174E2">
        <w:rPr>
          <w:rFonts w:ascii="Times New Roman" w:hAnsi="Times New Roman"/>
          <w:sz w:val="24"/>
          <w:szCs w:val="24"/>
        </w:rPr>
        <w:t xml:space="preserve">. </w:t>
      </w:r>
    </w:p>
    <w:p w14:paraId="17598B84" w14:textId="77777777" w:rsidR="00630F1B" w:rsidRDefault="00630F1B" w:rsidP="00782395">
      <w:pPr>
        <w:pStyle w:val="ListParagraph"/>
        <w:ind w:left="0" w:right="170"/>
        <w:contextualSpacing w:val="0"/>
        <w:rPr>
          <w:rFonts w:ascii="Times New Roman" w:hAnsi="Times New Roman"/>
          <w:sz w:val="24"/>
          <w:szCs w:val="24"/>
        </w:rPr>
      </w:pPr>
    </w:p>
    <w:p w14:paraId="6EF32629" w14:textId="76F5BBEF" w:rsidR="00385EC1" w:rsidRDefault="0061033B" w:rsidP="009A23EE">
      <w:pPr>
        <w:pStyle w:val="Text"/>
        <w:spacing w:before="0" w:after="0" w:line="240" w:lineRule="auto"/>
        <w:ind w:right="170"/>
        <w:rPr>
          <w:rFonts w:ascii="Times New Roman" w:hAnsi="Times New Roman"/>
          <w:sz w:val="24"/>
          <w:szCs w:val="24"/>
        </w:rPr>
      </w:pPr>
      <w:r>
        <w:rPr>
          <w:rFonts w:ascii="Times New Roman" w:hAnsi="Times New Roman"/>
          <w:sz w:val="24"/>
          <w:szCs w:val="24"/>
        </w:rPr>
        <w:t xml:space="preserve">None of the policy options would impair private property rights or restrict market competition.  </w:t>
      </w:r>
    </w:p>
    <w:p w14:paraId="4A723150" w14:textId="77777777" w:rsidR="00CE24C7" w:rsidRDefault="00CE24C7" w:rsidP="009A23EE">
      <w:pPr>
        <w:pStyle w:val="Text"/>
        <w:spacing w:before="0" w:after="0" w:line="240" w:lineRule="auto"/>
        <w:ind w:right="170"/>
        <w:rPr>
          <w:rFonts w:ascii="Times New Roman" w:hAnsi="Times New Roman"/>
          <w:sz w:val="24"/>
          <w:szCs w:val="24"/>
        </w:rPr>
      </w:pPr>
    </w:p>
    <w:p w14:paraId="19DAA52E" w14:textId="27E8A577" w:rsidR="00CE24C7" w:rsidRDefault="00FB6FF0" w:rsidP="009A23EE">
      <w:pPr>
        <w:pStyle w:val="Text"/>
        <w:spacing w:before="0" w:after="0" w:line="240" w:lineRule="auto"/>
        <w:ind w:right="170"/>
        <w:rPr>
          <w:rFonts w:ascii="Times New Roman" w:hAnsi="Times New Roman"/>
          <w:sz w:val="24"/>
          <w:szCs w:val="24"/>
        </w:rPr>
      </w:pPr>
      <w:r>
        <w:rPr>
          <w:rFonts w:ascii="Times New Roman" w:hAnsi="Times New Roman"/>
          <w:sz w:val="24"/>
          <w:szCs w:val="24"/>
        </w:rPr>
        <w:t>The impact of any regulations made under the empowering provision would need to be considered at the time.</w:t>
      </w:r>
    </w:p>
    <w:p w14:paraId="23209283" w14:textId="77777777" w:rsidR="00FB6FF0" w:rsidRDefault="00FB6FF0" w:rsidP="009A23EE">
      <w:pPr>
        <w:pStyle w:val="Text"/>
        <w:spacing w:before="0" w:after="0" w:line="240" w:lineRule="auto"/>
        <w:ind w:right="170"/>
        <w:rPr>
          <w:rFonts w:ascii="Times New Roman" w:hAnsi="Times New Roman"/>
          <w:sz w:val="24"/>
          <w:szCs w:val="24"/>
          <w:lang w:val="en-NZ"/>
        </w:rPr>
      </w:pPr>
    </w:p>
    <w:p w14:paraId="124BB71C" w14:textId="77777777" w:rsidR="00854598" w:rsidRDefault="00854598" w:rsidP="009A23EE">
      <w:pPr>
        <w:pStyle w:val="Text"/>
        <w:spacing w:before="0" w:after="0" w:line="240" w:lineRule="auto"/>
        <w:ind w:right="170"/>
        <w:rPr>
          <w:rFonts w:ascii="Times New Roman" w:hAnsi="Times New Roman"/>
          <w:sz w:val="24"/>
          <w:szCs w:val="24"/>
          <w:lang w:val="en-NZ"/>
        </w:rPr>
      </w:pPr>
    </w:p>
    <w:p w14:paraId="7DBC660A" w14:textId="77777777" w:rsidR="00854598" w:rsidRDefault="00854598" w:rsidP="009A23EE">
      <w:pPr>
        <w:pStyle w:val="Text"/>
        <w:spacing w:before="0" w:after="0" w:line="240" w:lineRule="auto"/>
        <w:ind w:right="170"/>
        <w:rPr>
          <w:rFonts w:ascii="Times New Roman" w:hAnsi="Times New Roman"/>
          <w:sz w:val="24"/>
          <w:szCs w:val="24"/>
          <w:lang w:val="en-NZ"/>
        </w:rPr>
      </w:pPr>
    </w:p>
    <w:p w14:paraId="3FA388AA" w14:textId="77777777" w:rsidR="00854598" w:rsidRDefault="00854598" w:rsidP="009A23EE">
      <w:pPr>
        <w:pStyle w:val="Text"/>
        <w:spacing w:before="0" w:after="0" w:line="240" w:lineRule="auto"/>
        <w:ind w:right="170"/>
        <w:rPr>
          <w:rFonts w:ascii="Times New Roman" w:hAnsi="Times New Roman"/>
          <w:sz w:val="24"/>
          <w:szCs w:val="24"/>
          <w:lang w:val="en-NZ"/>
        </w:rPr>
      </w:pPr>
    </w:p>
    <w:p w14:paraId="18436830" w14:textId="7930D08D" w:rsidR="00085660" w:rsidRPr="004342F0" w:rsidRDefault="00347B91"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Charles Ngaki</w:t>
      </w:r>
    </w:p>
    <w:p w14:paraId="6D00B7B3" w14:textId="77777777" w:rsidR="009F7B9A" w:rsidRPr="004342F0" w:rsidRDefault="005A1262"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14:paraId="4F944C0E" w14:textId="77777777" w:rsidR="001C6912" w:rsidRPr="004342F0" w:rsidRDefault="001C6912" w:rsidP="004342F0">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14:paraId="5618491C" w14:textId="17967999" w:rsidR="000545DC" w:rsidRPr="004342F0" w:rsidRDefault="008357C4" w:rsidP="004342F0">
      <w:pPr>
        <w:pStyle w:val="Text"/>
        <w:tabs>
          <w:tab w:val="left" w:pos="567"/>
        </w:tabs>
        <w:spacing w:before="0" w:after="0" w:line="240" w:lineRule="auto"/>
        <w:ind w:right="170"/>
        <w:rPr>
          <w:rFonts w:ascii="Times New Roman" w:hAnsi="Times New Roman"/>
          <w:sz w:val="24"/>
          <w:szCs w:val="24"/>
          <w:lang w:val="en-NZ"/>
        </w:rPr>
      </w:pPr>
      <w:r w:rsidRPr="004F48E6">
        <w:rPr>
          <w:rFonts w:ascii="Times New Roman" w:hAnsi="Times New Roman"/>
          <w:sz w:val="24"/>
          <w:szCs w:val="24"/>
          <w:lang w:val="en-NZ"/>
        </w:rPr>
        <w:t xml:space="preserve">4 </w:t>
      </w:r>
      <w:r w:rsidR="00347B91" w:rsidRPr="004F48E6">
        <w:rPr>
          <w:rFonts w:ascii="Times New Roman" w:hAnsi="Times New Roman"/>
          <w:sz w:val="24"/>
          <w:szCs w:val="24"/>
          <w:lang w:val="en-NZ"/>
        </w:rPr>
        <w:t>August</w:t>
      </w:r>
      <w:r w:rsidR="005A1262" w:rsidRPr="004F48E6">
        <w:rPr>
          <w:rFonts w:ascii="Times New Roman" w:hAnsi="Times New Roman"/>
          <w:sz w:val="24"/>
          <w:szCs w:val="24"/>
          <w:lang w:val="en-NZ"/>
        </w:rPr>
        <w:t xml:space="preserve"> 2016</w:t>
      </w:r>
    </w:p>
    <w:p w14:paraId="6555F396" w14:textId="77777777" w:rsidR="00F62F91" w:rsidRDefault="001C6912" w:rsidP="001125C4">
      <w:pPr>
        <w:pStyle w:val="RISheading"/>
        <w:spacing w:before="0" w:after="0" w:line="240" w:lineRule="auto"/>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p>
    <w:p w14:paraId="09608580" w14:textId="06D5CA14" w:rsidR="00F62F91" w:rsidRDefault="00F62F91" w:rsidP="001125C4">
      <w:pPr>
        <w:pStyle w:val="RISheading"/>
        <w:spacing w:before="0" w:after="0" w:line="240" w:lineRule="auto"/>
        <w:rPr>
          <w:spacing w:val="0"/>
          <w:w w:val="100"/>
        </w:rPr>
      </w:pPr>
      <w:r>
        <w:rPr>
          <w:spacing w:val="0"/>
          <w:w w:val="100"/>
        </w:rPr>
        <w:lastRenderedPageBreak/>
        <w:t>EXECUTIVE SUMMARY</w:t>
      </w:r>
    </w:p>
    <w:p w14:paraId="56EE3346" w14:textId="77777777" w:rsidR="00F62F91" w:rsidRDefault="00F62F91" w:rsidP="001125C4">
      <w:pPr>
        <w:pStyle w:val="RISheading"/>
        <w:spacing w:before="0" w:after="0" w:line="240" w:lineRule="auto"/>
        <w:rPr>
          <w:spacing w:val="0"/>
          <w:w w:val="100"/>
        </w:rPr>
      </w:pPr>
    </w:p>
    <w:p w14:paraId="3A4F9746" w14:textId="1ED45DAB" w:rsidR="00F62F91" w:rsidRPr="00863F13" w:rsidRDefault="00F62F91" w:rsidP="00AB456E">
      <w:pPr>
        <w:pStyle w:val="Bullet-list"/>
        <w:numPr>
          <w:ilvl w:val="0"/>
          <w:numId w:val="12"/>
        </w:numPr>
        <w:spacing w:after="0" w:line="240" w:lineRule="auto"/>
        <w:ind w:left="0" w:firstLine="0"/>
        <w:jc w:val="both"/>
      </w:pPr>
      <w:r w:rsidRPr="00F62F91">
        <w:rPr>
          <w:rFonts w:ascii="Times New Roman" w:hAnsi="Times New Roman"/>
          <w:sz w:val="24"/>
          <w:szCs w:val="24"/>
        </w:rPr>
        <w:t xml:space="preserve">As part of Inland Revenue’s business transformation, changes to legislation and administrative processes will be required in a range of areas, including supporting the upgrade to new technology. </w:t>
      </w:r>
      <w:r>
        <w:rPr>
          <w:rFonts w:ascii="Times New Roman" w:hAnsi="Times New Roman"/>
          <w:sz w:val="24"/>
          <w:szCs w:val="24"/>
        </w:rPr>
        <w:t xml:space="preserve"> Some of these issues will require a prompt regulatory response to avoid</w:t>
      </w:r>
      <w:r w:rsidRPr="00AB456E">
        <w:rPr>
          <w:rFonts w:ascii="Times New Roman" w:hAnsi="Times New Roman"/>
          <w:sz w:val="24"/>
          <w:szCs w:val="24"/>
        </w:rPr>
        <w:t xml:space="preserve"> the potential for delays to </w:t>
      </w:r>
      <w:r>
        <w:rPr>
          <w:rFonts w:ascii="Times New Roman" w:hAnsi="Times New Roman"/>
          <w:sz w:val="24"/>
          <w:szCs w:val="24"/>
        </w:rPr>
        <w:t>the</w:t>
      </w:r>
      <w:r w:rsidRPr="00AB456E">
        <w:rPr>
          <w:rFonts w:ascii="Times New Roman" w:hAnsi="Times New Roman"/>
          <w:sz w:val="24"/>
          <w:szCs w:val="24"/>
        </w:rPr>
        <w:t xml:space="preserve"> transformation process.</w:t>
      </w:r>
    </w:p>
    <w:p w14:paraId="1A6B1A5F" w14:textId="77777777" w:rsidR="00F62F91" w:rsidRPr="0040678E" w:rsidRDefault="00F62F91" w:rsidP="00AB456E">
      <w:pPr>
        <w:pStyle w:val="Bullet-list"/>
        <w:spacing w:after="0" w:line="240" w:lineRule="auto"/>
        <w:jc w:val="both"/>
      </w:pPr>
    </w:p>
    <w:p w14:paraId="19DF5BFF" w14:textId="14735ED0" w:rsidR="00F62F91" w:rsidRPr="00863F13" w:rsidRDefault="00F62F91" w:rsidP="00AB456E">
      <w:pPr>
        <w:pStyle w:val="Bullet-list"/>
        <w:numPr>
          <w:ilvl w:val="0"/>
          <w:numId w:val="12"/>
        </w:numPr>
        <w:spacing w:after="0" w:line="240" w:lineRule="auto"/>
        <w:ind w:left="0" w:firstLine="0"/>
        <w:jc w:val="both"/>
      </w:pPr>
      <w:r w:rsidRPr="00F62F91">
        <w:rPr>
          <w:rFonts w:ascii="Times New Roman" w:hAnsi="Times New Roman"/>
          <w:sz w:val="24"/>
          <w:szCs w:val="24"/>
        </w:rPr>
        <w:t xml:space="preserve">Ideally any issues arising from the transformation would be remedied by an amending Act, given the constitutional importance of tax and the certainty that primary legislation gives to both taxpayers and Inland Revenue.  In some cases this will be both necessary and achievable, as it is anticipated that tax bills will be introduced in each year during the transformation process.  </w:t>
      </w:r>
      <w:r w:rsidRPr="00AB456E">
        <w:rPr>
          <w:rFonts w:ascii="Times New Roman" w:hAnsi="Times New Roman"/>
          <w:sz w:val="24"/>
          <w:szCs w:val="24"/>
        </w:rPr>
        <w:t xml:space="preserve">The problem is that the process leading up to when a bill can be introduced can be complex and time-consuming.  This risks valuable taxpayer and Commissioner </w:t>
      </w:r>
      <w:proofErr w:type="gramStart"/>
      <w:r w:rsidRPr="00AB456E">
        <w:rPr>
          <w:rFonts w:ascii="Times New Roman" w:hAnsi="Times New Roman"/>
          <w:sz w:val="24"/>
          <w:szCs w:val="24"/>
        </w:rPr>
        <w:t>resources</w:t>
      </w:r>
      <w:proofErr w:type="gramEnd"/>
      <w:r w:rsidRPr="00AB456E">
        <w:rPr>
          <w:rFonts w:ascii="Times New Roman" w:hAnsi="Times New Roman"/>
          <w:sz w:val="24"/>
          <w:szCs w:val="24"/>
        </w:rPr>
        <w:t xml:space="preserve"> being tied up pursuing outcomes that are not consistent with the policy intent, when a remedy for the issue cannot be achieved quickly.  The delays prior to enactment also risk causing uncertainty for taxpayers.  There is also a risk that the process could create hurdles that may delay the business transformation process, impede the orderly transition from </w:t>
      </w:r>
      <w:r w:rsidR="00E467E4">
        <w:rPr>
          <w:rFonts w:ascii="Times New Roman" w:hAnsi="Times New Roman"/>
          <w:sz w:val="24"/>
          <w:szCs w:val="24"/>
        </w:rPr>
        <w:t xml:space="preserve">the </w:t>
      </w:r>
      <w:r w:rsidR="00E467E4" w:rsidRPr="000C315F">
        <w:rPr>
          <w:rFonts w:ascii="Times New Roman" w:hAnsi="Times New Roman"/>
          <w:sz w:val="24"/>
          <w:szCs w:val="24"/>
        </w:rPr>
        <w:t xml:space="preserve">old system </w:t>
      </w:r>
      <w:r w:rsidR="00E467E4">
        <w:rPr>
          <w:rFonts w:ascii="Times New Roman" w:hAnsi="Times New Roman"/>
          <w:sz w:val="24"/>
          <w:szCs w:val="24"/>
        </w:rPr>
        <w:t xml:space="preserve">(FIRST) </w:t>
      </w:r>
      <w:r w:rsidR="00E467E4" w:rsidRPr="000C315F">
        <w:rPr>
          <w:rFonts w:ascii="Times New Roman" w:hAnsi="Times New Roman"/>
          <w:sz w:val="24"/>
          <w:szCs w:val="24"/>
        </w:rPr>
        <w:t>to the new system</w:t>
      </w:r>
      <w:r w:rsidR="00E467E4">
        <w:rPr>
          <w:rFonts w:ascii="Times New Roman" w:hAnsi="Times New Roman"/>
          <w:sz w:val="24"/>
          <w:szCs w:val="24"/>
        </w:rPr>
        <w:t xml:space="preserve"> (START)</w:t>
      </w:r>
      <w:r w:rsidRPr="00AB456E">
        <w:rPr>
          <w:rFonts w:ascii="Times New Roman" w:hAnsi="Times New Roman"/>
          <w:sz w:val="24"/>
          <w:szCs w:val="24"/>
        </w:rPr>
        <w:t xml:space="preserve"> and increase the cost of the transformation.</w:t>
      </w:r>
    </w:p>
    <w:p w14:paraId="28D902EE" w14:textId="77777777" w:rsidR="00F62F91" w:rsidRPr="0040678E" w:rsidRDefault="00F62F91" w:rsidP="00AB456E">
      <w:pPr>
        <w:pStyle w:val="Bullet-list"/>
        <w:spacing w:after="0" w:line="240" w:lineRule="auto"/>
        <w:jc w:val="both"/>
      </w:pPr>
    </w:p>
    <w:p w14:paraId="28522E44" w14:textId="77777777" w:rsidR="00F62F91" w:rsidRPr="00863F13" w:rsidRDefault="00F62F91" w:rsidP="00AB456E">
      <w:pPr>
        <w:pStyle w:val="Bullet-list"/>
        <w:numPr>
          <w:ilvl w:val="0"/>
          <w:numId w:val="12"/>
        </w:numPr>
        <w:spacing w:after="0" w:line="240" w:lineRule="auto"/>
        <w:ind w:left="0" w:firstLine="0"/>
        <w:jc w:val="both"/>
      </w:pPr>
      <w:r w:rsidRPr="00AB456E">
        <w:rPr>
          <w:rFonts w:ascii="Times New Roman" w:hAnsi="Times New Roman"/>
          <w:sz w:val="24"/>
          <w:szCs w:val="24"/>
        </w:rPr>
        <w:t xml:space="preserve">In developing options to deal with the issue, analysis was undertaken of previous transitional regulations, the Legislation Advisory Committee Guidelines, the Cabinet Manual and various reports of the Regulations Review Committee.  None of the previous transitional regulations had considered the option of allowing delegated regulations to be made to remedy transitional issues.  </w:t>
      </w:r>
    </w:p>
    <w:p w14:paraId="73C5BD51" w14:textId="77777777" w:rsidR="00F62F91" w:rsidRPr="0040678E" w:rsidRDefault="00F62F91" w:rsidP="00AB456E">
      <w:pPr>
        <w:pStyle w:val="Bullet-list"/>
        <w:spacing w:after="0" w:line="240" w:lineRule="auto"/>
        <w:jc w:val="both"/>
      </w:pPr>
    </w:p>
    <w:p w14:paraId="03FCCBBC" w14:textId="7B69D4C0" w:rsidR="00F62F91" w:rsidRPr="00863F13" w:rsidRDefault="00F62F91" w:rsidP="00AB456E">
      <w:pPr>
        <w:pStyle w:val="Bullet-list"/>
        <w:numPr>
          <w:ilvl w:val="0"/>
          <w:numId w:val="12"/>
        </w:numPr>
        <w:spacing w:after="0" w:line="240" w:lineRule="auto"/>
        <w:ind w:left="0" w:firstLine="0"/>
        <w:jc w:val="both"/>
      </w:pPr>
      <w:r w:rsidRPr="00AB456E">
        <w:rPr>
          <w:rFonts w:ascii="Times New Roman" w:hAnsi="Times New Roman"/>
          <w:sz w:val="24"/>
          <w:szCs w:val="24"/>
        </w:rPr>
        <w:t xml:space="preserve">Consultation was undertaken with the Legislation Design and Advisory Committee (LDAC), Crown Law, the Ministry of Justice and Treasury.  No wider consultation was undertaken on the proposal because of time constraints.  The time constraints resulted from the need to have the proposal enacted as soon as possible given the benefits of the transitional regulation-making provision and the timing of the transformation process. </w:t>
      </w:r>
    </w:p>
    <w:p w14:paraId="52B62347" w14:textId="77777777" w:rsidR="00F62F91" w:rsidRDefault="00F62F91" w:rsidP="00AB456E">
      <w:pPr>
        <w:pStyle w:val="Bullet-list"/>
        <w:spacing w:after="0" w:line="240" w:lineRule="auto"/>
        <w:ind w:left="0" w:firstLine="0"/>
        <w:jc w:val="both"/>
      </w:pPr>
    </w:p>
    <w:p w14:paraId="5F9314D7" w14:textId="553A067E" w:rsidR="00104CD3" w:rsidRDefault="00104CD3" w:rsidP="00104CD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preferred option is to enact </w:t>
      </w:r>
      <w:r w:rsidRPr="00104CD3">
        <w:rPr>
          <w:rFonts w:ascii="Times New Roman" w:hAnsi="Times New Roman"/>
          <w:sz w:val="24"/>
          <w:szCs w:val="24"/>
        </w:rPr>
        <w:t>an empowering provision to provide for transitional regulations and exemptions to be made by Order in Council during the business transformation process.</w:t>
      </w:r>
      <w:r>
        <w:rPr>
          <w:rFonts w:ascii="Times New Roman" w:hAnsi="Times New Roman"/>
          <w:sz w:val="24"/>
          <w:szCs w:val="24"/>
        </w:rPr>
        <w:t xml:space="preserve">  Inland Revenue considers this would support an </w:t>
      </w:r>
      <w:r w:rsidRPr="000C315F">
        <w:rPr>
          <w:rFonts w:ascii="Times New Roman" w:hAnsi="Times New Roman"/>
          <w:sz w:val="24"/>
          <w:szCs w:val="24"/>
        </w:rPr>
        <w:t xml:space="preserve">orderly transition from </w:t>
      </w:r>
      <w:r w:rsidR="00E467E4">
        <w:rPr>
          <w:rFonts w:ascii="Times New Roman" w:hAnsi="Times New Roman"/>
          <w:sz w:val="24"/>
          <w:szCs w:val="24"/>
        </w:rPr>
        <w:t>FIRST</w:t>
      </w:r>
      <w:r>
        <w:rPr>
          <w:rFonts w:ascii="Times New Roman" w:hAnsi="Times New Roman"/>
          <w:sz w:val="24"/>
          <w:szCs w:val="24"/>
        </w:rPr>
        <w:t xml:space="preserve"> </w:t>
      </w:r>
      <w:r w:rsidRPr="000C315F">
        <w:rPr>
          <w:rFonts w:ascii="Times New Roman" w:hAnsi="Times New Roman"/>
          <w:sz w:val="24"/>
          <w:szCs w:val="24"/>
        </w:rPr>
        <w:t xml:space="preserve">to </w:t>
      </w:r>
      <w:r w:rsidR="00E467E4">
        <w:rPr>
          <w:rFonts w:ascii="Times New Roman" w:hAnsi="Times New Roman"/>
          <w:sz w:val="24"/>
          <w:szCs w:val="24"/>
        </w:rPr>
        <w:t>START</w:t>
      </w:r>
      <w:r>
        <w:rPr>
          <w:rFonts w:ascii="Times New Roman" w:hAnsi="Times New Roman"/>
          <w:sz w:val="24"/>
          <w:szCs w:val="24"/>
        </w:rPr>
        <w:t xml:space="preserve">, and avoid </w:t>
      </w:r>
      <w:r w:rsidRPr="000C315F">
        <w:rPr>
          <w:rFonts w:ascii="Times New Roman" w:hAnsi="Times New Roman"/>
          <w:sz w:val="24"/>
          <w:szCs w:val="24"/>
        </w:rPr>
        <w:t>delay</w:t>
      </w:r>
      <w:r>
        <w:rPr>
          <w:rFonts w:ascii="Times New Roman" w:hAnsi="Times New Roman"/>
          <w:sz w:val="24"/>
          <w:szCs w:val="24"/>
        </w:rPr>
        <w:t xml:space="preserve">s and increased </w:t>
      </w:r>
      <w:r w:rsidR="00E467E4">
        <w:rPr>
          <w:rFonts w:ascii="Times New Roman" w:hAnsi="Times New Roman"/>
          <w:sz w:val="24"/>
          <w:szCs w:val="24"/>
        </w:rPr>
        <w:t>c</w:t>
      </w:r>
      <w:r>
        <w:rPr>
          <w:rFonts w:ascii="Times New Roman" w:hAnsi="Times New Roman"/>
          <w:sz w:val="24"/>
          <w:szCs w:val="24"/>
        </w:rPr>
        <w:t>osts for</w:t>
      </w:r>
      <w:r w:rsidRPr="000C315F">
        <w:rPr>
          <w:rFonts w:ascii="Times New Roman" w:hAnsi="Times New Roman"/>
          <w:sz w:val="24"/>
          <w:szCs w:val="24"/>
        </w:rPr>
        <w:t xml:space="preserve"> the business transformation process</w:t>
      </w:r>
      <w:r>
        <w:rPr>
          <w:rFonts w:ascii="Times New Roman" w:hAnsi="Times New Roman"/>
          <w:sz w:val="24"/>
          <w:szCs w:val="24"/>
        </w:rPr>
        <w:t>, while minimising the administrative costs and compliance costs.  Inland Revenue also considers that while there are some risks associated with using transitional regulations to remedy transitory issues, the use of regulations is a more sustainable option than the status quo.</w:t>
      </w:r>
    </w:p>
    <w:p w14:paraId="3262B84C" w14:textId="77777777" w:rsidR="00104CD3" w:rsidRDefault="00104CD3" w:rsidP="00AB456E">
      <w:pPr>
        <w:pStyle w:val="ListParagraph"/>
        <w:rPr>
          <w:rFonts w:ascii="Times New Roman" w:hAnsi="Times New Roman"/>
          <w:sz w:val="24"/>
          <w:szCs w:val="24"/>
        </w:rPr>
      </w:pPr>
    </w:p>
    <w:p w14:paraId="7275F5C7" w14:textId="10450FC2" w:rsidR="00104CD3" w:rsidRDefault="00104CD3">
      <w:pPr>
        <w:spacing w:after="0" w:line="240" w:lineRule="auto"/>
        <w:rPr>
          <w:rFonts w:ascii="Times New Roman" w:hAnsi="Times New Roman"/>
          <w:sz w:val="24"/>
          <w:szCs w:val="24"/>
          <w:lang w:val="en-AU" w:eastAsia="en-US"/>
        </w:rPr>
      </w:pPr>
      <w:r>
        <w:rPr>
          <w:rFonts w:ascii="Times New Roman" w:hAnsi="Times New Roman"/>
          <w:sz w:val="24"/>
          <w:szCs w:val="24"/>
        </w:rPr>
        <w:br w:type="page"/>
      </w:r>
    </w:p>
    <w:p w14:paraId="7CB998A6" w14:textId="2D6EA945" w:rsidR="000545DC" w:rsidRDefault="001C6912" w:rsidP="001125C4">
      <w:pPr>
        <w:pStyle w:val="RISheading"/>
        <w:spacing w:before="0" w:after="0" w:line="240" w:lineRule="auto"/>
        <w:rPr>
          <w:spacing w:val="0"/>
          <w:w w:val="100"/>
        </w:rPr>
      </w:pPr>
      <w:r w:rsidRPr="004342F0">
        <w:rPr>
          <w:spacing w:val="0"/>
          <w:w w:val="100"/>
        </w:rPr>
        <w:t>STATUS QUO AND PROBLEM DEFINITION</w:t>
      </w:r>
      <w:bookmarkEnd w:id="7"/>
      <w:bookmarkEnd w:id="8"/>
      <w:bookmarkEnd w:id="9"/>
      <w:bookmarkEnd w:id="10"/>
      <w:bookmarkEnd w:id="11"/>
    </w:p>
    <w:p w14:paraId="77222491" w14:textId="77777777" w:rsidR="001125C4" w:rsidRDefault="001125C4" w:rsidP="00782395">
      <w:pPr>
        <w:pStyle w:val="TRNormal"/>
        <w:tabs>
          <w:tab w:val="left" w:pos="0"/>
        </w:tabs>
        <w:spacing w:line="240" w:lineRule="atLeast"/>
      </w:pPr>
    </w:p>
    <w:p w14:paraId="15CA7C9C" w14:textId="77777777" w:rsidR="00001073" w:rsidRDefault="00001073" w:rsidP="00A42944">
      <w:pPr>
        <w:pStyle w:val="Bullet-list"/>
        <w:spacing w:after="0" w:line="240" w:lineRule="auto"/>
        <w:ind w:left="0" w:firstLine="0"/>
        <w:jc w:val="both"/>
        <w:rPr>
          <w:rFonts w:ascii="Times New Roman" w:hAnsi="Times New Roman"/>
          <w:b/>
          <w:sz w:val="24"/>
          <w:szCs w:val="24"/>
        </w:rPr>
      </w:pPr>
      <w:r w:rsidRPr="00A42944">
        <w:rPr>
          <w:rFonts w:ascii="Times New Roman" w:hAnsi="Times New Roman"/>
          <w:b/>
          <w:sz w:val="24"/>
          <w:szCs w:val="24"/>
        </w:rPr>
        <w:t>Inland</w:t>
      </w:r>
      <w:r w:rsidRPr="00001073">
        <w:rPr>
          <w:rFonts w:ascii="Times New Roman" w:hAnsi="Times New Roman"/>
          <w:sz w:val="24"/>
          <w:szCs w:val="24"/>
        </w:rPr>
        <w:t xml:space="preserve"> </w:t>
      </w:r>
      <w:r w:rsidRPr="00A42944">
        <w:rPr>
          <w:rFonts w:ascii="Times New Roman" w:hAnsi="Times New Roman"/>
          <w:b/>
          <w:sz w:val="24"/>
          <w:szCs w:val="24"/>
        </w:rPr>
        <w:t>Revenue’s</w:t>
      </w:r>
      <w:r w:rsidRPr="00001073">
        <w:rPr>
          <w:rFonts w:ascii="Times New Roman" w:hAnsi="Times New Roman"/>
          <w:sz w:val="24"/>
          <w:szCs w:val="24"/>
        </w:rPr>
        <w:t xml:space="preserve"> </w:t>
      </w:r>
      <w:r w:rsidRPr="00A42944">
        <w:rPr>
          <w:rFonts w:ascii="Times New Roman" w:hAnsi="Times New Roman"/>
          <w:b/>
          <w:sz w:val="24"/>
          <w:szCs w:val="24"/>
        </w:rPr>
        <w:t>transformation</w:t>
      </w:r>
      <w:r w:rsidRPr="00001073">
        <w:rPr>
          <w:rFonts w:ascii="Times New Roman" w:hAnsi="Times New Roman"/>
          <w:sz w:val="24"/>
          <w:szCs w:val="24"/>
        </w:rPr>
        <w:t xml:space="preserve"> </w:t>
      </w:r>
      <w:r w:rsidRPr="00A42944">
        <w:rPr>
          <w:rFonts w:ascii="Times New Roman" w:hAnsi="Times New Roman"/>
          <w:b/>
          <w:sz w:val="24"/>
          <w:szCs w:val="24"/>
        </w:rPr>
        <w:t>programme</w:t>
      </w:r>
    </w:p>
    <w:p w14:paraId="07AE74BE" w14:textId="77777777" w:rsidR="005B7592" w:rsidRPr="00001073" w:rsidRDefault="005B7592" w:rsidP="00A42944">
      <w:pPr>
        <w:pStyle w:val="Bullet-list"/>
        <w:spacing w:after="0" w:line="240" w:lineRule="auto"/>
        <w:ind w:left="0" w:firstLine="0"/>
        <w:jc w:val="both"/>
        <w:rPr>
          <w:rFonts w:ascii="Times New Roman" w:hAnsi="Times New Roman"/>
          <w:sz w:val="24"/>
          <w:szCs w:val="24"/>
        </w:rPr>
      </w:pPr>
    </w:p>
    <w:p w14:paraId="6E657238" w14:textId="457EF63D"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The Government’s objective for the revenue system is for it to be as fair and efficient as possible in raising the revenue required to meet the Government’s needs. For taxpayers the tax system should be simple to comply with, making it easy to get right and difficult to get wrong. It should serve the needs of all New Zealanders, put customers at the centre and help them from the start, rather than when things go wrong.</w:t>
      </w:r>
    </w:p>
    <w:p w14:paraId="44DBB12D" w14:textId="77777777" w:rsidR="00001073" w:rsidRPr="00001073" w:rsidRDefault="00001073" w:rsidP="00001073">
      <w:pPr>
        <w:pStyle w:val="Bullet-list"/>
        <w:spacing w:after="0" w:line="240" w:lineRule="auto"/>
        <w:jc w:val="both"/>
        <w:rPr>
          <w:rFonts w:ascii="Times New Roman" w:hAnsi="Times New Roman"/>
          <w:sz w:val="24"/>
          <w:szCs w:val="24"/>
        </w:rPr>
      </w:pPr>
    </w:p>
    <w:p w14:paraId="3B28D54D" w14:textId="0CF2B6B6"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The shift to digital and greater globalisation has reshaped how businesses and individuals interact and connect, and their expectations of government.</w:t>
      </w:r>
    </w:p>
    <w:p w14:paraId="288BCF87" w14:textId="77777777" w:rsidR="00001073" w:rsidRPr="00001073" w:rsidRDefault="00001073" w:rsidP="00001073">
      <w:pPr>
        <w:pStyle w:val="Bullet-list"/>
        <w:spacing w:after="0" w:line="240" w:lineRule="auto"/>
        <w:jc w:val="both"/>
        <w:rPr>
          <w:rFonts w:ascii="Times New Roman" w:hAnsi="Times New Roman"/>
          <w:sz w:val="24"/>
          <w:szCs w:val="24"/>
        </w:rPr>
      </w:pPr>
    </w:p>
    <w:p w14:paraId="16A53EBE" w14:textId="6CB7CA7E"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 xml:space="preserve">Businesses are increasingly using software packages to automate processes and reduce their compliance burden. Businesses have consistently ranked tax as their highest compliance priority, and it often contributes the most to their overall compliance burden. Compliance costs could be reduced by making better use of businesses’ everyday processes and systems to meet tax obligations. Enabling businesses to spend less time on tax and more time on running their business will support Government’s wider goals of building a more competitive economy and delivering better public services. </w:t>
      </w:r>
    </w:p>
    <w:p w14:paraId="5C64CA8D" w14:textId="77777777" w:rsidR="00001073" w:rsidRPr="00001073" w:rsidRDefault="00001073" w:rsidP="00001073">
      <w:pPr>
        <w:pStyle w:val="Bullet-list"/>
        <w:spacing w:after="0" w:line="240" w:lineRule="auto"/>
        <w:jc w:val="both"/>
        <w:rPr>
          <w:rFonts w:ascii="Times New Roman" w:hAnsi="Times New Roman"/>
          <w:sz w:val="24"/>
          <w:szCs w:val="24"/>
        </w:rPr>
      </w:pPr>
    </w:p>
    <w:p w14:paraId="21BB60A9" w14:textId="31AB0AA7"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 xml:space="preserve">The ways in which individuals work has changed with different types of employment and working arrangements. The New Zealand workforce has become more </w:t>
      </w:r>
      <w:proofErr w:type="spellStart"/>
      <w:r w:rsidRPr="00001073">
        <w:rPr>
          <w:rFonts w:ascii="Times New Roman" w:hAnsi="Times New Roman"/>
          <w:sz w:val="24"/>
          <w:szCs w:val="24"/>
        </w:rPr>
        <w:t>casualised</w:t>
      </w:r>
      <w:proofErr w:type="spellEnd"/>
      <w:r w:rsidRPr="00001073">
        <w:rPr>
          <w:rFonts w:ascii="Times New Roman" w:hAnsi="Times New Roman"/>
          <w:sz w:val="24"/>
          <w:szCs w:val="24"/>
        </w:rPr>
        <w:t xml:space="preserve"> as permanent employment has become less common, and temporary, casual and contract work has become more prominent. Other trends include part-time and temporary workers increasingly holding multiple jobs, and more self-employment and small businesses. Many of the current tax policies and administrative processes were designed for an era when New Zealand’s workforce was more strongly characterised by salary and wage earners in permanent full-time employment arrangements.</w:t>
      </w:r>
    </w:p>
    <w:p w14:paraId="2C77FA47" w14:textId="77777777" w:rsidR="00001073" w:rsidRPr="00001073" w:rsidRDefault="00001073" w:rsidP="00A42944">
      <w:pPr>
        <w:pStyle w:val="Bullet-list"/>
        <w:spacing w:after="0" w:line="240" w:lineRule="auto"/>
        <w:jc w:val="both"/>
        <w:rPr>
          <w:rFonts w:ascii="Times New Roman" w:hAnsi="Times New Roman"/>
          <w:sz w:val="24"/>
          <w:szCs w:val="24"/>
        </w:rPr>
      </w:pPr>
    </w:p>
    <w:p w14:paraId="11C94931" w14:textId="62F90089"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To protect the Government’s ability to collect sufficient revenue to keep providing services, it is important that New Zealand’s revenue system keeps pace with change and is as efficient as possible. The fiscal challenges associated with an ageing population and associated demand for high quality healthcare and other services will add impetus to the need for a highly efficient and responsive revenue system. To meet these challenges, Inland Revenue requires a fundamental shift in the way it thinks, designs, and operates.</w:t>
      </w:r>
    </w:p>
    <w:p w14:paraId="720996A5" w14:textId="77777777" w:rsidR="00001073" w:rsidRPr="00001073" w:rsidRDefault="00001073" w:rsidP="00A42944">
      <w:pPr>
        <w:pStyle w:val="Bullet-list"/>
        <w:spacing w:after="0" w:line="240" w:lineRule="auto"/>
        <w:jc w:val="both"/>
        <w:rPr>
          <w:rFonts w:ascii="Times New Roman" w:hAnsi="Times New Roman"/>
          <w:sz w:val="24"/>
          <w:szCs w:val="24"/>
        </w:rPr>
      </w:pPr>
    </w:p>
    <w:p w14:paraId="74E51A78" w14:textId="58E45AD7"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The Government has agreed to change the revenue system through business process and technology change. A digitally-based revenue system, simplified policies, and better use of data and intelligence to better understand customers will simplify how services are delivered and change how customers interact with the revenue system.</w:t>
      </w:r>
    </w:p>
    <w:p w14:paraId="14356867" w14:textId="77777777" w:rsidR="00001073" w:rsidRPr="00001073" w:rsidRDefault="00001073" w:rsidP="00A42944">
      <w:pPr>
        <w:pStyle w:val="Bullet-list"/>
        <w:spacing w:after="0" w:line="240" w:lineRule="auto"/>
        <w:jc w:val="both"/>
        <w:rPr>
          <w:rFonts w:ascii="Times New Roman" w:hAnsi="Times New Roman"/>
          <w:sz w:val="24"/>
          <w:szCs w:val="24"/>
        </w:rPr>
      </w:pPr>
    </w:p>
    <w:p w14:paraId="5FF3062A" w14:textId="20DFFAD3"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Having a good overall revenue system means having both good policies and good administration. While the policy framework is fundamentally sound, there is an opportunity to review current policy and legislative settings as levers to help modernise the revenue system and ensure it is responsive to global changes.</w:t>
      </w:r>
    </w:p>
    <w:p w14:paraId="094075CB" w14:textId="77777777" w:rsidR="00001073" w:rsidRPr="00001073" w:rsidRDefault="00001073" w:rsidP="00A42944">
      <w:pPr>
        <w:pStyle w:val="Bullet-list"/>
        <w:spacing w:after="0" w:line="240" w:lineRule="auto"/>
        <w:jc w:val="both"/>
        <w:rPr>
          <w:rFonts w:ascii="Times New Roman" w:hAnsi="Times New Roman"/>
          <w:sz w:val="24"/>
          <w:szCs w:val="24"/>
        </w:rPr>
      </w:pPr>
    </w:p>
    <w:p w14:paraId="56CF0EC4" w14:textId="77777777" w:rsidR="00140F9B"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 xml:space="preserve">There is no doubt that Inland Revenue’s computer systems (known as FIRST) need replacement to improve resilience and agility. They have reached the end of their life and are not sustainable in the medium to long term. The FIRST systems are aging, extremely complex, very difficult and costly to maintain, and inflexible. </w:t>
      </w:r>
    </w:p>
    <w:p w14:paraId="3A2CD7D8" w14:textId="77777777" w:rsidR="00140F9B" w:rsidRDefault="00140F9B" w:rsidP="00AB456E">
      <w:pPr>
        <w:pStyle w:val="ListParagraph"/>
        <w:rPr>
          <w:rFonts w:ascii="Times New Roman" w:hAnsi="Times New Roman"/>
          <w:sz w:val="24"/>
          <w:szCs w:val="24"/>
        </w:rPr>
      </w:pPr>
    </w:p>
    <w:p w14:paraId="08F39BE1" w14:textId="60766C7D" w:rsid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Since FIRST was implemented, a number of income-related social policies have been added to the platform. Implementing social policies within a platform designed for tax administration has added layers of complexity and risk to Inland Revenue’s business processes and technology infrastructure. This in turn limits the department’s ability to respond to government policy priorities.</w:t>
      </w:r>
    </w:p>
    <w:p w14:paraId="45617C2F" w14:textId="77777777" w:rsidR="00D40BD3" w:rsidRDefault="00D40BD3" w:rsidP="00D40BD3">
      <w:pPr>
        <w:pStyle w:val="ListParagraph"/>
        <w:rPr>
          <w:rFonts w:ascii="Times New Roman" w:hAnsi="Times New Roman"/>
          <w:sz w:val="24"/>
          <w:szCs w:val="24"/>
        </w:rPr>
      </w:pPr>
    </w:p>
    <w:p w14:paraId="51E00DDA" w14:textId="248BC430" w:rsidR="00001073" w:rsidRPr="00001073" w:rsidRDefault="00001073" w:rsidP="00001073">
      <w:pPr>
        <w:pStyle w:val="Bullet-list"/>
        <w:numPr>
          <w:ilvl w:val="0"/>
          <w:numId w:val="12"/>
        </w:numPr>
        <w:spacing w:after="0" w:line="240" w:lineRule="auto"/>
        <w:ind w:left="0" w:firstLine="0"/>
        <w:jc w:val="both"/>
        <w:rPr>
          <w:rFonts w:ascii="Times New Roman" w:hAnsi="Times New Roman"/>
          <w:sz w:val="24"/>
          <w:szCs w:val="24"/>
        </w:rPr>
      </w:pPr>
      <w:r w:rsidRPr="00001073">
        <w:rPr>
          <w:rFonts w:ascii="Times New Roman" w:hAnsi="Times New Roman"/>
          <w:sz w:val="24"/>
          <w:szCs w:val="24"/>
        </w:rPr>
        <w:t xml:space="preserve">However, </w:t>
      </w:r>
      <w:r w:rsidR="00CE24C7">
        <w:rPr>
          <w:rFonts w:ascii="Times New Roman" w:hAnsi="Times New Roman"/>
          <w:sz w:val="24"/>
          <w:szCs w:val="24"/>
        </w:rPr>
        <w:t>b</w:t>
      </w:r>
      <w:r w:rsidRPr="00001073">
        <w:rPr>
          <w:rFonts w:ascii="Times New Roman" w:hAnsi="Times New Roman"/>
          <w:sz w:val="24"/>
          <w:szCs w:val="24"/>
        </w:rPr>
        <w:t xml:space="preserve">usiness </w:t>
      </w:r>
      <w:r w:rsidR="00CE24C7">
        <w:rPr>
          <w:rFonts w:ascii="Times New Roman" w:hAnsi="Times New Roman"/>
          <w:sz w:val="24"/>
          <w:szCs w:val="24"/>
        </w:rPr>
        <w:t>t</w:t>
      </w:r>
      <w:r w:rsidR="00CE24C7" w:rsidRPr="00001073">
        <w:rPr>
          <w:rFonts w:ascii="Times New Roman" w:hAnsi="Times New Roman"/>
          <w:sz w:val="24"/>
          <w:szCs w:val="24"/>
        </w:rPr>
        <w:t xml:space="preserve">ransformation </w:t>
      </w:r>
      <w:r w:rsidRPr="00001073">
        <w:rPr>
          <w:rFonts w:ascii="Times New Roman" w:hAnsi="Times New Roman"/>
          <w:sz w:val="24"/>
          <w:szCs w:val="24"/>
        </w:rPr>
        <w:t>is far more than just updating a computer system. It is a long-term programme to modernise New Zealand’s revenue system, and will re-shape the way Inland Revenue works with customers, including improvements to policy and legislative settings and enabling more timely policy changes. A new operating model and new systems will be the catalysts for these changes.</w:t>
      </w:r>
    </w:p>
    <w:p w14:paraId="1B804D19" w14:textId="77777777" w:rsidR="00001073" w:rsidRDefault="00001073" w:rsidP="00A42944">
      <w:pPr>
        <w:pStyle w:val="Bullet-list"/>
        <w:spacing w:after="0" w:line="240" w:lineRule="auto"/>
        <w:jc w:val="both"/>
        <w:rPr>
          <w:rFonts w:ascii="Times New Roman" w:hAnsi="Times New Roman"/>
          <w:sz w:val="24"/>
          <w:szCs w:val="24"/>
        </w:rPr>
      </w:pPr>
    </w:p>
    <w:p w14:paraId="4DFBF339" w14:textId="65C4E59D" w:rsidR="00A42944" w:rsidRDefault="00A42944" w:rsidP="00A42944">
      <w:pPr>
        <w:pStyle w:val="Bullet-list"/>
        <w:spacing w:after="0" w:line="240" w:lineRule="auto"/>
        <w:ind w:left="0" w:firstLine="0"/>
        <w:jc w:val="both"/>
        <w:rPr>
          <w:rFonts w:ascii="Times New Roman" w:hAnsi="Times New Roman"/>
          <w:sz w:val="24"/>
          <w:szCs w:val="24"/>
        </w:rPr>
      </w:pPr>
      <w:r w:rsidRPr="00A42944">
        <w:rPr>
          <w:rFonts w:ascii="Times New Roman" w:hAnsi="Times New Roman"/>
          <w:b/>
          <w:sz w:val="24"/>
          <w:szCs w:val="24"/>
        </w:rPr>
        <w:t>Dealing</w:t>
      </w:r>
      <w:r>
        <w:rPr>
          <w:rFonts w:ascii="Times New Roman" w:hAnsi="Times New Roman"/>
          <w:sz w:val="24"/>
          <w:szCs w:val="24"/>
        </w:rPr>
        <w:t xml:space="preserve"> </w:t>
      </w:r>
      <w:r w:rsidRPr="00A42944">
        <w:rPr>
          <w:rFonts w:ascii="Times New Roman" w:hAnsi="Times New Roman"/>
          <w:b/>
          <w:sz w:val="24"/>
          <w:szCs w:val="24"/>
        </w:rPr>
        <w:t>with</w:t>
      </w:r>
      <w:r>
        <w:rPr>
          <w:rFonts w:ascii="Times New Roman" w:hAnsi="Times New Roman"/>
          <w:sz w:val="24"/>
          <w:szCs w:val="24"/>
        </w:rPr>
        <w:t xml:space="preserve"> </w:t>
      </w:r>
      <w:r w:rsidRPr="00A42944">
        <w:rPr>
          <w:rFonts w:ascii="Times New Roman" w:hAnsi="Times New Roman"/>
          <w:b/>
          <w:sz w:val="24"/>
          <w:szCs w:val="24"/>
        </w:rPr>
        <w:t>legislative</w:t>
      </w:r>
      <w:r>
        <w:rPr>
          <w:rFonts w:ascii="Times New Roman" w:hAnsi="Times New Roman"/>
          <w:sz w:val="24"/>
          <w:szCs w:val="24"/>
        </w:rPr>
        <w:t xml:space="preserve"> </w:t>
      </w:r>
      <w:r w:rsidRPr="00A42944">
        <w:rPr>
          <w:rFonts w:ascii="Times New Roman" w:hAnsi="Times New Roman"/>
          <w:b/>
          <w:sz w:val="24"/>
          <w:szCs w:val="24"/>
        </w:rPr>
        <w:t>issues</w:t>
      </w:r>
      <w:r>
        <w:rPr>
          <w:rFonts w:ascii="Times New Roman" w:hAnsi="Times New Roman"/>
          <w:sz w:val="24"/>
          <w:szCs w:val="24"/>
        </w:rPr>
        <w:t xml:space="preserve"> </w:t>
      </w:r>
      <w:r w:rsidRPr="00A42944">
        <w:rPr>
          <w:rFonts w:ascii="Times New Roman" w:hAnsi="Times New Roman"/>
          <w:b/>
          <w:sz w:val="24"/>
          <w:szCs w:val="24"/>
        </w:rPr>
        <w:t>during</w:t>
      </w:r>
      <w:r>
        <w:rPr>
          <w:rFonts w:ascii="Times New Roman" w:hAnsi="Times New Roman"/>
          <w:sz w:val="24"/>
          <w:szCs w:val="24"/>
        </w:rPr>
        <w:t xml:space="preserve"> </w:t>
      </w:r>
      <w:r w:rsidRPr="00A42944">
        <w:rPr>
          <w:rFonts w:ascii="Times New Roman" w:hAnsi="Times New Roman"/>
          <w:b/>
          <w:sz w:val="24"/>
          <w:szCs w:val="24"/>
        </w:rPr>
        <w:t>business</w:t>
      </w:r>
      <w:r>
        <w:rPr>
          <w:rFonts w:ascii="Times New Roman" w:hAnsi="Times New Roman"/>
          <w:sz w:val="24"/>
          <w:szCs w:val="24"/>
        </w:rPr>
        <w:t xml:space="preserve"> </w:t>
      </w:r>
      <w:r w:rsidRPr="00A42944">
        <w:rPr>
          <w:rFonts w:ascii="Times New Roman" w:hAnsi="Times New Roman"/>
          <w:b/>
          <w:sz w:val="24"/>
          <w:szCs w:val="24"/>
        </w:rPr>
        <w:t>transformation</w:t>
      </w:r>
    </w:p>
    <w:p w14:paraId="55AEBB48" w14:textId="77777777" w:rsidR="00A42944" w:rsidRDefault="00A42944" w:rsidP="00A42944">
      <w:pPr>
        <w:pStyle w:val="Bullet-list"/>
        <w:spacing w:after="0" w:line="240" w:lineRule="auto"/>
        <w:jc w:val="both"/>
        <w:rPr>
          <w:rFonts w:ascii="Times New Roman" w:hAnsi="Times New Roman"/>
          <w:sz w:val="24"/>
          <w:szCs w:val="24"/>
        </w:rPr>
      </w:pPr>
    </w:p>
    <w:p w14:paraId="536EB2B3" w14:textId="2E9D1271" w:rsidR="0024510F" w:rsidRDefault="0024510F" w:rsidP="0024510F">
      <w:pPr>
        <w:pStyle w:val="Bullet-list"/>
        <w:numPr>
          <w:ilvl w:val="0"/>
          <w:numId w:val="12"/>
        </w:numPr>
        <w:spacing w:after="0" w:line="240" w:lineRule="auto"/>
        <w:ind w:left="0" w:firstLine="0"/>
        <w:jc w:val="both"/>
        <w:rPr>
          <w:rFonts w:ascii="Times New Roman" w:hAnsi="Times New Roman"/>
          <w:sz w:val="24"/>
          <w:szCs w:val="24"/>
        </w:rPr>
      </w:pPr>
      <w:r w:rsidRPr="0024510F">
        <w:rPr>
          <w:rFonts w:ascii="Times New Roman" w:hAnsi="Times New Roman"/>
          <w:sz w:val="24"/>
          <w:szCs w:val="24"/>
        </w:rPr>
        <w:t xml:space="preserve">As part of Inland Revenue’s business transformation, changes to legislation and administrative processes will be required in a range of areas, including supporting the upgrade to new technology.  Part of the transition will involve migrating information to the new processing system.  The way this information is migrated between the old and new system will mitigate as much as possible the risk of transitional legislative issues occurring.  However, it is likely that through the process of this large and complex change programme (including the migration process) issues may arise that </w:t>
      </w:r>
      <w:proofErr w:type="gramStart"/>
      <w:r w:rsidRPr="0024510F">
        <w:rPr>
          <w:rFonts w:ascii="Times New Roman" w:hAnsi="Times New Roman"/>
          <w:sz w:val="24"/>
          <w:szCs w:val="24"/>
        </w:rPr>
        <w:t>require</w:t>
      </w:r>
      <w:proofErr w:type="gramEnd"/>
      <w:r w:rsidRPr="0024510F">
        <w:rPr>
          <w:rFonts w:ascii="Times New Roman" w:hAnsi="Times New Roman"/>
          <w:sz w:val="24"/>
          <w:szCs w:val="24"/>
        </w:rPr>
        <w:t xml:space="preserve"> a prompt regulatory response.</w:t>
      </w:r>
    </w:p>
    <w:p w14:paraId="58CA5E5C" w14:textId="77777777" w:rsidR="0024510F" w:rsidRDefault="0024510F" w:rsidP="00A42944">
      <w:pPr>
        <w:pStyle w:val="Bullet-list"/>
        <w:spacing w:after="0" w:line="240" w:lineRule="auto"/>
        <w:jc w:val="both"/>
        <w:rPr>
          <w:rFonts w:ascii="Times New Roman" w:hAnsi="Times New Roman"/>
          <w:sz w:val="24"/>
          <w:szCs w:val="24"/>
        </w:rPr>
      </w:pPr>
    </w:p>
    <w:p w14:paraId="723DFF6D" w14:textId="6DBB1023" w:rsidR="005B7592" w:rsidRDefault="005B7592" w:rsidP="005B7592">
      <w:pPr>
        <w:pStyle w:val="Bullet-list"/>
        <w:numPr>
          <w:ilvl w:val="0"/>
          <w:numId w:val="12"/>
        </w:numPr>
        <w:spacing w:after="0" w:line="240" w:lineRule="auto"/>
        <w:ind w:left="0" w:firstLine="0"/>
        <w:jc w:val="both"/>
        <w:rPr>
          <w:rFonts w:ascii="Times New Roman" w:hAnsi="Times New Roman"/>
          <w:sz w:val="24"/>
          <w:szCs w:val="24"/>
        </w:rPr>
      </w:pPr>
      <w:r w:rsidRPr="000E3345">
        <w:rPr>
          <w:rFonts w:ascii="Times New Roman" w:hAnsi="Times New Roman"/>
          <w:sz w:val="24"/>
          <w:szCs w:val="24"/>
        </w:rPr>
        <w:t xml:space="preserve">The </w:t>
      </w:r>
      <w:r>
        <w:rPr>
          <w:rFonts w:ascii="Times New Roman" w:hAnsi="Times New Roman"/>
          <w:sz w:val="24"/>
          <w:szCs w:val="24"/>
        </w:rPr>
        <w:t>current issue</w:t>
      </w:r>
      <w:r w:rsidRPr="000E3345">
        <w:rPr>
          <w:rFonts w:ascii="Times New Roman" w:hAnsi="Times New Roman"/>
          <w:sz w:val="24"/>
          <w:szCs w:val="24"/>
        </w:rPr>
        <w:t xml:space="preserve"> relate</w:t>
      </w:r>
      <w:r>
        <w:rPr>
          <w:rFonts w:ascii="Times New Roman" w:hAnsi="Times New Roman"/>
          <w:sz w:val="24"/>
          <w:szCs w:val="24"/>
        </w:rPr>
        <w:t>s</w:t>
      </w:r>
      <w:r w:rsidRPr="000E3345">
        <w:rPr>
          <w:rFonts w:ascii="Times New Roman" w:hAnsi="Times New Roman"/>
          <w:sz w:val="24"/>
          <w:szCs w:val="24"/>
        </w:rPr>
        <w:t xml:space="preserve"> to the administration of tax, rather than the substantive quantification of a taxpayer’s tax liability.</w:t>
      </w:r>
      <w:r>
        <w:rPr>
          <w:rFonts w:ascii="Times New Roman" w:hAnsi="Times New Roman"/>
          <w:sz w:val="24"/>
          <w:szCs w:val="24"/>
        </w:rPr>
        <w:t xml:space="preserve">  In other words, it relates to the process</w:t>
      </w:r>
      <w:r w:rsidR="008357C4">
        <w:rPr>
          <w:rFonts w:ascii="Times New Roman" w:hAnsi="Times New Roman"/>
          <w:sz w:val="24"/>
          <w:szCs w:val="24"/>
        </w:rPr>
        <w:t>es</w:t>
      </w:r>
      <w:r>
        <w:rPr>
          <w:rFonts w:ascii="Times New Roman" w:hAnsi="Times New Roman"/>
          <w:sz w:val="24"/>
          <w:szCs w:val="24"/>
        </w:rPr>
        <w:t xml:space="preserve"> and administration of the tax system under the Tax Administration Act 1994 and not the quantification of tax liabilities under the Income Tax Act 2007.  </w:t>
      </w:r>
      <w:r w:rsidR="008357C4">
        <w:rPr>
          <w:rFonts w:ascii="Times New Roman" w:hAnsi="Times New Roman"/>
          <w:sz w:val="24"/>
          <w:szCs w:val="24"/>
        </w:rPr>
        <w:t>The Tax Administration Act 1994 covers a wide range of tax administration processes and rules including:</w:t>
      </w:r>
    </w:p>
    <w:p w14:paraId="1D7DA023" w14:textId="77777777" w:rsidR="008357C4" w:rsidRDefault="008357C4" w:rsidP="00AB456E">
      <w:pPr>
        <w:pStyle w:val="ListParagraph"/>
        <w:rPr>
          <w:rFonts w:ascii="Times New Roman" w:hAnsi="Times New Roman"/>
          <w:sz w:val="24"/>
          <w:szCs w:val="24"/>
        </w:rPr>
      </w:pPr>
    </w:p>
    <w:p w14:paraId="5BDE8B8B" w14:textId="0E2C4313"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Rules relating to the role of the Commissioner, taxpayers and intermediaries;</w:t>
      </w:r>
    </w:p>
    <w:p w14:paraId="084562FC" w14:textId="77777777" w:rsidR="008357C4" w:rsidRDefault="008357C4" w:rsidP="00AB456E">
      <w:pPr>
        <w:pStyle w:val="Bullet-list"/>
        <w:spacing w:after="0" w:line="240" w:lineRule="auto"/>
        <w:jc w:val="both"/>
        <w:rPr>
          <w:rFonts w:ascii="Times New Roman" w:hAnsi="Times New Roman"/>
          <w:sz w:val="24"/>
          <w:szCs w:val="24"/>
        </w:rPr>
      </w:pPr>
    </w:p>
    <w:p w14:paraId="5315D97D" w14:textId="733C2633"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Processes around information col</w:t>
      </w:r>
      <w:r w:rsidR="00F83427">
        <w:rPr>
          <w:rFonts w:ascii="Times New Roman" w:hAnsi="Times New Roman"/>
          <w:sz w:val="24"/>
          <w:szCs w:val="24"/>
        </w:rPr>
        <w:t xml:space="preserve">lection, record-keeping and </w:t>
      </w:r>
      <w:r>
        <w:rPr>
          <w:rFonts w:ascii="Times New Roman" w:hAnsi="Times New Roman"/>
          <w:sz w:val="24"/>
          <w:szCs w:val="24"/>
        </w:rPr>
        <w:t>tax returns;</w:t>
      </w:r>
    </w:p>
    <w:p w14:paraId="0866F855" w14:textId="77777777" w:rsidR="008357C4" w:rsidRDefault="008357C4" w:rsidP="00AB456E">
      <w:pPr>
        <w:pStyle w:val="Bullet-list"/>
        <w:spacing w:after="0" w:line="240" w:lineRule="auto"/>
        <w:jc w:val="both"/>
        <w:rPr>
          <w:rFonts w:ascii="Times New Roman" w:hAnsi="Times New Roman"/>
          <w:sz w:val="24"/>
          <w:szCs w:val="24"/>
        </w:rPr>
      </w:pPr>
    </w:p>
    <w:p w14:paraId="0D5FEB2F" w14:textId="6796F164"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Secrecy rules;</w:t>
      </w:r>
    </w:p>
    <w:p w14:paraId="2865845D" w14:textId="77777777" w:rsidR="008357C4" w:rsidRDefault="008357C4" w:rsidP="00AB456E">
      <w:pPr>
        <w:pStyle w:val="Bullet-list"/>
        <w:spacing w:after="0" w:line="240" w:lineRule="auto"/>
        <w:jc w:val="both"/>
        <w:rPr>
          <w:rFonts w:ascii="Times New Roman" w:hAnsi="Times New Roman"/>
          <w:sz w:val="24"/>
          <w:szCs w:val="24"/>
        </w:rPr>
      </w:pPr>
    </w:p>
    <w:p w14:paraId="71519983" w14:textId="7AE613EA"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Disputes procedures;</w:t>
      </w:r>
    </w:p>
    <w:p w14:paraId="2DBA86FA" w14:textId="77777777" w:rsidR="008357C4" w:rsidRDefault="008357C4" w:rsidP="00AB456E">
      <w:pPr>
        <w:pStyle w:val="Bullet-list"/>
        <w:spacing w:after="0" w:line="240" w:lineRule="auto"/>
        <w:jc w:val="both"/>
        <w:rPr>
          <w:rFonts w:ascii="Times New Roman" w:hAnsi="Times New Roman"/>
          <w:sz w:val="24"/>
          <w:szCs w:val="24"/>
        </w:rPr>
      </w:pPr>
    </w:p>
    <w:p w14:paraId="302F9D83" w14:textId="0A77CD87"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Assessment processes and rules;</w:t>
      </w:r>
    </w:p>
    <w:p w14:paraId="2D6EB2A6" w14:textId="77777777" w:rsidR="008357C4" w:rsidRDefault="008357C4" w:rsidP="00AB456E">
      <w:pPr>
        <w:pStyle w:val="ListParagraph"/>
        <w:rPr>
          <w:rFonts w:ascii="Times New Roman" w:hAnsi="Times New Roman"/>
          <w:sz w:val="24"/>
          <w:szCs w:val="24"/>
        </w:rPr>
      </w:pPr>
    </w:p>
    <w:p w14:paraId="542513A0" w14:textId="0AC855C3"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The processes for binding rulings and determinations;</w:t>
      </w:r>
    </w:p>
    <w:p w14:paraId="311468A5" w14:textId="77777777" w:rsidR="008357C4" w:rsidRDefault="008357C4" w:rsidP="00AB456E">
      <w:pPr>
        <w:pStyle w:val="Bullet-list"/>
        <w:spacing w:after="0" w:line="240" w:lineRule="auto"/>
        <w:jc w:val="both"/>
        <w:rPr>
          <w:rFonts w:ascii="Times New Roman" w:hAnsi="Times New Roman"/>
          <w:sz w:val="24"/>
          <w:szCs w:val="24"/>
        </w:rPr>
      </w:pPr>
    </w:p>
    <w:p w14:paraId="67D8FD3C" w14:textId="428EC9F2"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The rules around the charging of interest and penalties;</w:t>
      </w:r>
    </w:p>
    <w:p w14:paraId="762FF3D0" w14:textId="77777777" w:rsidR="008357C4" w:rsidRDefault="008357C4" w:rsidP="00AB456E">
      <w:pPr>
        <w:pStyle w:val="Bullet-list"/>
        <w:spacing w:after="0" w:line="240" w:lineRule="auto"/>
        <w:jc w:val="both"/>
        <w:rPr>
          <w:rFonts w:ascii="Times New Roman" w:hAnsi="Times New Roman"/>
          <w:sz w:val="24"/>
          <w:szCs w:val="24"/>
        </w:rPr>
      </w:pPr>
    </w:p>
    <w:p w14:paraId="3AA239A9" w14:textId="7C3B4617"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The process for challenging a tax assessment; and</w:t>
      </w:r>
    </w:p>
    <w:p w14:paraId="21FCB809" w14:textId="77777777" w:rsidR="008357C4" w:rsidRDefault="008357C4" w:rsidP="00AB456E">
      <w:pPr>
        <w:pStyle w:val="Bullet-list"/>
        <w:spacing w:after="0" w:line="240" w:lineRule="auto"/>
        <w:jc w:val="both"/>
        <w:rPr>
          <w:rFonts w:ascii="Times New Roman" w:hAnsi="Times New Roman"/>
          <w:sz w:val="24"/>
          <w:szCs w:val="24"/>
        </w:rPr>
      </w:pPr>
    </w:p>
    <w:p w14:paraId="28A962BB" w14:textId="3C66F07F" w:rsidR="008357C4" w:rsidRDefault="008357C4" w:rsidP="00AB456E">
      <w:pPr>
        <w:pStyle w:val="Bullet-list"/>
        <w:numPr>
          <w:ilvl w:val="0"/>
          <w:numId w:val="8"/>
        </w:numPr>
        <w:spacing w:after="0" w:line="240" w:lineRule="auto"/>
        <w:jc w:val="both"/>
        <w:rPr>
          <w:rFonts w:ascii="Times New Roman" w:hAnsi="Times New Roman"/>
          <w:sz w:val="24"/>
          <w:szCs w:val="24"/>
        </w:rPr>
      </w:pPr>
      <w:r>
        <w:rPr>
          <w:rFonts w:ascii="Times New Roman" w:hAnsi="Times New Roman"/>
          <w:sz w:val="24"/>
          <w:szCs w:val="24"/>
        </w:rPr>
        <w:t>The rules for recovering and transferring tax.</w:t>
      </w:r>
    </w:p>
    <w:p w14:paraId="4F7CE10C" w14:textId="77777777" w:rsidR="005B7592" w:rsidRDefault="005B7592" w:rsidP="005B7592">
      <w:pPr>
        <w:pStyle w:val="Bullet-list"/>
        <w:spacing w:after="0" w:line="240" w:lineRule="auto"/>
        <w:jc w:val="both"/>
        <w:rPr>
          <w:rFonts w:ascii="Times New Roman" w:hAnsi="Times New Roman"/>
          <w:sz w:val="24"/>
          <w:szCs w:val="24"/>
        </w:rPr>
      </w:pPr>
    </w:p>
    <w:p w14:paraId="4B92358B" w14:textId="04F5A0ED" w:rsidR="00555104" w:rsidRDefault="00CF18D0"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w:t>
      </w:r>
      <w:r w:rsidRPr="00CF18D0">
        <w:rPr>
          <w:rFonts w:ascii="Times New Roman" w:hAnsi="Times New Roman"/>
          <w:sz w:val="24"/>
          <w:szCs w:val="24"/>
        </w:rPr>
        <w:t>he transformation is intended to affect a large proportion of the tax administration rules and processes, and it is impossible to anticipate where any issues might arise.</w:t>
      </w:r>
    </w:p>
    <w:p w14:paraId="60757E80" w14:textId="77777777" w:rsidR="00140F9B" w:rsidRDefault="00140F9B" w:rsidP="00AB456E">
      <w:pPr>
        <w:pStyle w:val="Bullet-list"/>
        <w:spacing w:after="0" w:line="240" w:lineRule="auto"/>
        <w:jc w:val="both"/>
        <w:rPr>
          <w:rFonts w:ascii="Times New Roman" w:hAnsi="Times New Roman"/>
          <w:sz w:val="24"/>
          <w:szCs w:val="24"/>
        </w:rPr>
      </w:pPr>
    </w:p>
    <w:p w14:paraId="013A0F35" w14:textId="77777777" w:rsidR="00511D58" w:rsidRDefault="00511D58" w:rsidP="00AB456E">
      <w:pPr>
        <w:pStyle w:val="Bullet-list"/>
        <w:spacing w:after="0" w:line="240" w:lineRule="auto"/>
        <w:jc w:val="both"/>
        <w:rPr>
          <w:rFonts w:ascii="Times New Roman" w:hAnsi="Times New Roman"/>
          <w:sz w:val="24"/>
          <w:szCs w:val="24"/>
        </w:rPr>
      </w:pPr>
    </w:p>
    <w:p w14:paraId="2B661110" w14:textId="77777777" w:rsidR="00511D58" w:rsidRDefault="00511D58" w:rsidP="00AB456E">
      <w:pPr>
        <w:pStyle w:val="Bullet-list"/>
        <w:spacing w:after="0" w:line="240" w:lineRule="auto"/>
        <w:jc w:val="both"/>
        <w:rPr>
          <w:rFonts w:ascii="Times New Roman" w:hAnsi="Times New Roman"/>
          <w:sz w:val="24"/>
          <w:szCs w:val="24"/>
        </w:rPr>
      </w:pPr>
    </w:p>
    <w:p w14:paraId="50C19E83" w14:textId="4B241334" w:rsidR="006B4705" w:rsidRDefault="00CE24C7" w:rsidP="000E3345">
      <w:pPr>
        <w:pStyle w:val="Bullet-list"/>
        <w:numPr>
          <w:ilvl w:val="0"/>
          <w:numId w:val="12"/>
        </w:numPr>
        <w:spacing w:after="0" w:line="240" w:lineRule="auto"/>
        <w:ind w:left="0" w:firstLine="0"/>
        <w:jc w:val="both"/>
        <w:rPr>
          <w:rFonts w:ascii="Times New Roman" w:hAnsi="Times New Roman"/>
          <w:sz w:val="24"/>
          <w:szCs w:val="24"/>
        </w:rPr>
      </w:pPr>
      <w:r w:rsidRPr="00CF18D0">
        <w:rPr>
          <w:rFonts w:ascii="Times New Roman" w:hAnsi="Times New Roman"/>
          <w:sz w:val="24"/>
          <w:szCs w:val="24"/>
        </w:rPr>
        <w:t>L</w:t>
      </w:r>
      <w:r w:rsidR="00871E58" w:rsidRPr="00CF18D0">
        <w:rPr>
          <w:rFonts w:ascii="Times New Roman" w:hAnsi="Times New Roman"/>
          <w:sz w:val="24"/>
          <w:szCs w:val="24"/>
        </w:rPr>
        <w:t xml:space="preserve">egislation can be made either </w:t>
      </w:r>
      <w:r w:rsidR="00533EBD" w:rsidRPr="00CF18D0">
        <w:rPr>
          <w:rFonts w:ascii="Times New Roman" w:hAnsi="Times New Roman"/>
          <w:sz w:val="24"/>
          <w:szCs w:val="24"/>
        </w:rPr>
        <w:t>through the enactment of an Act (primary legislation</w:t>
      </w:r>
      <w:r w:rsidR="000E3345" w:rsidRPr="00CF18D0">
        <w:rPr>
          <w:rFonts w:ascii="Times New Roman" w:hAnsi="Times New Roman"/>
          <w:sz w:val="24"/>
          <w:szCs w:val="24"/>
        </w:rPr>
        <w:t>)</w:t>
      </w:r>
      <w:r w:rsidR="00533EBD" w:rsidRPr="00CF18D0">
        <w:rPr>
          <w:rFonts w:ascii="Times New Roman" w:hAnsi="Times New Roman"/>
          <w:sz w:val="24"/>
          <w:szCs w:val="24"/>
        </w:rPr>
        <w:t xml:space="preserve">, through </w:t>
      </w:r>
      <w:r w:rsidR="000E3345" w:rsidRPr="00CF18D0">
        <w:rPr>
          <w:rFonts w:ascii="Times New Roman" w:hAnsi="Times New Roman"/>
          <w:sz w:val="24"/>
          <w:szCs w:val="24"/>
        </w:rPr>
        <w:t xml:space="preserve">an Order in Council (secondary legislation) or through a regulation made by an official or </w:t>
      </w:r>
      <w:r w:rsidRPr="00CF18D0">
        <w:rPr>
          <w:rFonts w:ascii="Times New Roman" w:hAnsi="Times New Roman"/>
          <w:sz w:val="24"/>
          <w:szCs w:val="24"/>
        </w:rPr>
        <w:t xml:space="preserve">government </w:t>
      </w:r>
      <w:r w:rsidR="000E3345" w:rsidRPr="00CF18D0">
        <w:rPr>
          <w:rFonts w:ascii="Times New Roman" w:hAnsi="Times New Roman"/>
          <w:sz w:val="24"/>
          <w:szCs w:val="24"/>
        </w:rPr>
        <w:t>agency (tert</w:t>
      </w:r>
      <w:r w:rsidR="005F27D5" w:rsidRPr="00CF18D0">
        <w:rPr>
          <w:rFonts w:ascii="Times New Roman" w:hAnsi="Times New Roman"/>
          <w:sz w:val="24"/>
          <w:szCs w:val="24"/>
        </w:rPr>
        <w:t>iary legislation</w:t>
      </w:r>
      <w:r w:rsidR="00F83427">
        <w:rPr>
          <w:rFonts w:ascii="Times New Roman" w:hAnsi="Times New Roman"/>
          <w:sz w:val="24"/>
          <w:szCs w:val="24"/>
        </w:rPr>
        <w:t xml:space="preserve"> or delegated regulation</w:t>
      </w:r>
      <w:r w:rsidR="00E467E4">
        <w:rPr>
          <w:rFonts w:ascii="Times New Roman" w:hAnsi="Times New Roman"/>
          <w:sz w:val="24"/>
          <w:szCs w:val="24"/>
        </w:rPr>
        <w:t>s</w:t>
      </w:r>
      <w:r w:rsidR="005F27D5" w:rsidRPr="00CF18D0">
        <w:rPr>
          <w:rFonts w:ascii="Times New Roman" w:hAnsi="Times New Roman"/>
          <w:sz w:val="24"/>
          <w:szCs w:val="24"/>
        </w:rPr>
        <w:t xml:space="preserve">).  </w:t>
      </w:r>
      <w:r w:rsidR="005F27D5">
        <w:rPr>
          <w:rFonts w:ascii="Times New Roman" w:hAnsi="Times New Roman"/>
          <w:sz w:val="24"/>
          <w:szCs w:val="24"/>
        </w:rPr>
        <w:t xml:space="preserve">Generally, changes to the Tax Administration Act 1994 are made by amendment </w:t>
      </w:r>
      <w:r w:rsidR="00863D9B">
        <w:rPr>
          <w:rFonts w:ascii="Times New Roman" w:hAnsi="Times New Roman"/>
          <w:sz w:val="24"/>
          <w:szCs w:val="24"/>
        </w:rPr>
        <w:t>Acts</w:t>
      </w:r>
      <w:r w:rsidR="00722402">
        <w:rPr>
          <w:rFonts w:ascii="Times New Roman" w:hAnsi="Times New Roman"/>
          <w:sz w:val="24"/>
          <w:szCs w:val="24"/>
        </w:rPr>
        <w:t>,</w:t>
      </w:r>
      <w:r w:rsidR="00863D9B">
        <w:rPr>
          <w:rFonts w:ascii="Times New Roman" w:hAnsi="Times New Roman"/>
          <w:sz w:val="24"/>
          <w:szCs w:val="24"/>
        </w:rPr>
        <w:t xml:space="preserve"> but there are </w:t>
      </w:r>
      <w:r w:rsidR="00C95035">
        <w:rPr>
          <w:rFonts w:ascii="Times New Roman" w:hAnsi="Times New Roman"/>
          <w:sz w:val="24"/>
          <w:szCs w:val="24"/>
        </w:rPr>
        <w:t>a limited number of</w:t>
      </w:r>
      <w:r w:rsidR="00863D9B">
        <w:rPr>
          <w:rFonts w:ascii="Times New Roman" w:hAnsi="Times New Roman"/>
          <w:sz w:val="24"/>
          <w:szCs w:val="24"/>
        </w:rPr>
        <w:t xml:space="preserve"> </w:t>
      </w:r>
      <w:r w:rsidR="00C95035">
        <w:rPr>
          <w:rFonts w:ascii="Times New Roman" w:hAnsi="Times New Roman"/>
          <w:sz w:val="24"/>
          <w:szCs w:val="24"/>
        </w:rPr>
        <w:t>regulations covering tax administration.</w:t>
      </w:r>
      <w:r w:rsidR="001C57B6">
        <w:rPr>
          <w:rFonts w:ascii="Times New Roman" w:hAnsi="Times New Roman"/>
          <w:sz w:val="24"/>
          <w:szCs w:val="24"/>
        </w:rPr>
        <w:t xml:space="preserve">  </w:t>
      </w:r>
      <w:r w:rsidR="00667518">
        <w:rPr>
          <w:rFonts w:ascii="Times New Roman" w:hAnsi="Times New Roman"/>
          <w:sz w:val="24"/>
          <w:szCs w:val="24"/>
        </w:rPr>
        <w:t>The working party that recommended the enactment of the Tax Administration Act (separate from the Income Tax Act), also recommended that the</w:t>
      </w:r>
      <w:r w:rsidR="00F83427">
        <w:rPr>
          <w:rFonts w:ascii="Times New Roman" w:hAnsi="Times New Roman"/>
          <w:sz w:val="24"/>
          <w:szCs w:val="24"/>
        </w:rPr>
        <w:t xml:space="preserve"> Act should be rewritten with </w:t>
      </w:r>
      <w:r w:rsidR="00667518">
        <w:rPr>
          <w:rFonts w:ascii="Times New Roman" w:hAnsi="Times New Roman"/>
          <w:sz w:val="24"/>
          <w:szCs w:val="24"/>
        </w:rPr>
        <w:t>greater attention given to the use of regulations for tax administration.</w:t>
      </w:r>
      <w:r w:rsidR="000A3D4B" w:rsidRPr="00AB456E">
        <w:rPr>
          <w:rStyle w:val="FootnoteReference"/>
          <w:rFonts w:ascii="Times New Roman" w:hAnsi="Times New Roman"/>
          <w:szCs w:val="24"/>
        </w:rPr>
        <w:footnoteReference w:id="1"/>
      </w:r>
      <w:r w:rsidR="00667518">
        <w:rPr>
          <w:rFonts w:ascii="Times New Roman" w:hAnsi="Times New Roman"/>
          <w:sz w:val="24"/>
          <w:szCs w:val="24"/>
        </w:rPr>
        <w:t xml:space="preserve">  The working party recommended that provisions that were of a mechanical or administrative nature should be contained in regulations.</w:t>
      </w:r>
      <w:r w:rsidR="000A3D4B" w:rsidRPr="00AB456E">
        <w:rPr>
          <w:rStyle w:val="FootnoteReference"/>
          <w:rFonts w:ascii="Times New Roman" w:hAnsi="Times New Roman"/>
          <w:szCs w:val="24"/>
        </w:rPr>
        <w:footnoteReference w:id="2"/>
      </w:r>
      <w:r w:rsidR="00667518" w:rsidRPr="000A3D4B">
        <w:rPr>
          <w:rFonts w:ascii="Times New Roman" w:hAnsi="Times New Roman"/>
          <w:sz w:val="24"/>
          <w:szCs w:val="24"/>
        </w:rPr>
        <w:t xml:space="preserve"> </w:t>
      </w:r>
      <w:r w:rsidR="00667518">
        <w:rPr>
          <w:rFonts w:ascii="Times New Roman" w:hAnsi="Times New Roman"/>
          <w:sz w:val="24"/>
          <w:szCs w:val="24"/>
        </w:rPr>
        <w:t xml:space="preserve"> The recommended rewrite has not been undertaken.  </w:t>
      </w:r>
      <w:r w:rsidR="000A3D4B">
        <w:rPr>
          <w:rFonts w:ascii="Times New Roman" w:hAnsi="Times New Roman"/>
          <w:sz w:val="24"/>
          <w:szCs w:val="24"/>
        </w:rPr>
        <w:t>However, t</w:t>
      </w:r>
      <w:r w:rsidR="00667518">
        <w:rPr>
          <w:rFonts w:ascii="Times New Roman" w:hAnsi="Times New Roman"/>
          <w:sz w:val="24"/>
          <w:szCs w:val="24"/>
        </w:rPr>
        <w:t xml:space="preserve">he </w:t>
      </w:r>
      <w:r w:rsidR="00F83427">
        <w:rPr>
          <w:rFonts w:ascii="Times New Roman" w:hAnsi="Times New Roman"/>
          <w:sz w:val="24"/>
          <w:szCs w:val="24"/>
        </w:rPr>
        <w:t xml:space="preserve">wider </w:t>
      </w:r>
      <w:r w:rsidR="00667518">
        <w:rPr>
          <w:rFonts w:ascii="Times New Roman" w:hAnsi="Times New Roman"/>
          <w:sz w:val="24"/>
          <w:szCs w:val="24"/>
        </w:rPr>
        <w:t>role of regulations in tax administration is being reviewed as part of the business transformation process.</w:t>
      </w:r>
    </w:p>
    <w:p w14:paraId="0258BBD6" w14:textId="77777777" w:rsidR="006B4705" w:rsidRDefault="006B4705" w:rsidP="00AB456E">
      <w:pPr>
        <w:pStyle w:val="ListParagraph"/>
        <w:rPr>
          <w:rFonts w:ascii="Times New Roman" w:hAnsi="Times New Roman"/>
          <w:sz w:val="24"/>
          <w:szCs w:val="24"/>
        </w:rPr>
      </w:pPr>
    </w:p>
    <w:p w14:paraId="2ED4A1AB" w14:textId="68108AB2" w:rsidR="008D2E76" w:rsidRDefault="008D2E76" w:rsidP="00551BFE">
      <w:pPr>
        <w:pStyle w:val="Bullet-list"/>
        <w:numPr>
          <w:ilvl w:val="0"/>
          <w:numId w:val="12"/>
        </w:numPr>
        <w:spacing w:after="0" w:line="240" w:lineRule="auto"/>
        <w:ind w:left="0" w:firstLine="0"/>
        <w:jc w:val="both"/>
        <w:rPr>
          <w:rFonts w:ascii="Times New Roman" w:hAnsi="Times New Roman"/>
          <w:sz w:val="24"/>
          <w:szCs w:val="24"/>
        </w:rPr>
      </w:pPr>
      <w:r w:rsidRPr="008D2E76">
        <w:rPr>
          <w:rFonts w:ascii="Times New Roman" w:hAnsi="Times New Roman"/>
          <w:sz w:val="24"/>
          <w:szCs w:val="24"/>
        </w:rPr>
        <w:t xml:space="preserve">Ideally any issues arising from the transformation would be remedied by an amending Act, given the constitutional importance of tax and the certainty that primary legislation gives to both taxpayers and Inland Revenue.  In some cases this will be both necessary and achievable, as it is anticipated that tax bills will be introduced in each year during the transformation process.  </w:t>
      </w:r>
    </w:p>
    <w:p w14:paraId="2E4AF6BD" w14:textId="77777777" w:rsidR="008D2E76" w:rsidRDefault="008D2E76" w:rsidP="00AB456E">
      <w:pPr>
        <w:pStyle w:val="Bullet-list"/>
        <w:spacing w:after="0" w:line="240" w:lineRule="auto"/>
        <w:jc w:val="both"/>
        <w:rPr>
          <w:rFonts w:ascii="Times New Roman" w:hAnsi="Times New Roman"/>
          <w:sz w:val="24"/>
          <w:szCs w:val="24"/>
        </w:rPr>
      </w:pPr>
    </w:p>
    <w:p w14:paraId="4BA19BF0" w14:textId="00F221CC" w:rsidR="000A7385" w:rsidRDefault="0065318C" w:rsidP="00551BF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benefits </w:t>
      </w:r>
      <w:r w:rsidR="000A7385">
        <w:rPr>
          <w:rFonts w:ascii="Times New Roman" w:hAnsi="Times New Roman"/>
          <w:sz w:val="24"/>
          <w:szCs w:val="24"/>
        </w:rPr>
        <w:t>of</w:t>
      </w:r>
      <w:r>
        <w:rPr>
          <w:rFonts w:ascii="Times New Roman" w:hAnsi="Times New Roman"/>
          <w:sz w:val="24"/>
          <w:szCs w:val="24"/>
        </w:rPr>
        <w:t xml:space="preserve"> </w:t>
      </w:r>
      <w:r w:rsidR="00104CD3">
        <w:rPr>
          <w:rFonts w:ascii="Times New Roman" w:hAnsi="Times New Roman"/>
          <w:sz w:val="24"/>
          <w:szCs w:val="24"/>
        </w:rPr>
        <w:t>using</w:t>
      </w:r>
      <w:r w:rsidR="00104CD3" w:rsidRPr="003D326D">
        <w:rPr>
          <w:rFonts w:ascii="Times New Roman" w:hAnsi="Times New Roman"/>
          <w:sz w:val="24"/>
          <w:szCs w:val="24"/>
        </w:rPr>
        <w:t xml:space="preserve"> </w:t>
      </w:r>
      <w:r w:rsidRPr="003D326D">
        <w:rPr>
          <w:rFonts w:ascii="Times New Roman" w:hAnsi="Times New Roman"/>
          <w:sz w:val="24"/>
          <w:szCs w:val="24"/>
        </w:rPr>
        <w:t>the legisla</w:t>
      </w:r>
      <w:r>
        <w:rPr>
          <w:rFonts w:ascii="Times New Roman" w:hAnsi="Times New Roman"/>
          <w:sz w:val="24"/>
          <w:szCs w:val="24"/>
        </w:rPr>
        <w:t xml:space="preserve">tive process </w:t>
      </w:r>
      <w:r w:rsidR="000A7385">
        <w:rPr>
          <w:rFonts w:ascii="Times New Roman" w:hAnsi="Times New Roman"/>
          <w:sz w:val="24"/>
          <w:szCs w:val="24"/>
        </w:rPr>
        <w:t>include:</w:t>
      </w:r>
    </w:p>
    <w:p w14:paraId="7F17EE44" w14:textId="77777777" w:rsidR="000A7385" w:rsidRDefault="000A7385" w:rsidP="000A7385">
      <w:pPr>
        <w:pStyle w:val="Bullet-list"/>
        <w:spacing w:after="0" w:line="240" w:lineRule="auto"/>
        <w:jc w:val="both"/>
        <w:rPr>
          <w:rFonts w:ascii="Times New Roman" w:hAnsi="Times New Roman"/>
          <w:sz w:val="24"/>
          <w:szCs w:val="24"/>
        </w:rPr>
      </w:pPr>
    </w:p>
    <w:p w14:paraId="46584086" w14:textId="64073000" w:rsidR="000A7385" w:rsidRDefault="00237BF7" w:rsidP="000A7385">
      <w:pPr>
        <w:pStyle w:val="Bullet-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t</w:t>
      </w:r>
      <w:r w:rsidR="0065318C" w:rsidRPr="003D326D">
        <w:rPr>
          <w:rFonts w:ascii="Times New Roman" w:hAnsi="Times New Roman"/>
          <w:sz w:val="24"/>
          <w:szCs w:val="24"/>
        </w:rPr>
        <w:t xml:space="preserve">he issue </w:t>
      </w:r>
      <w:r w:rsidR="00104CD3">
        <w:rPr>
          <w:rFonts w:ascii="Times New Roman" w:hAnsi="Times New Roman"/>
          <w:sz w:val="24"/>
          <w:szCs w:val="24"/>
        </w:rPr>
        <w:t>would be</w:t>
      </w:r>
      <w:r w:rsidR="00104CD3" w:rsidRPr="003D326D">
        <w:rPr>
          <w:rFonts w:ascii="Times New Roman" w:hAnsi="Times New Roman"/>
          <w:sz w:val="24"/>
          <w:szCs w:val="24"/>
        </w:rPr>
        <w:t xml:space="preserve"> </w:t>
      </w:r>
      <w:r w:rsidR="0065318C" w:rsidRPr="003D326D">
        <w:rPr>
          <w:rFonts w:ascii="Times New Roman" w:hAnsi="Times New Roman"/>
          <w:sz w:val="24"/>
          <w:szCs w:val="24"/>
        </w:rPr>
        <w:t>subject to significant parliamentary scrutiny (including through</w:t>
      </w:r>
      <w:r w:rsidR="000A7385">
        <w:rPr>
          <w:rFonts w:ascii="Times New Roman" w:hAnsi="Times New Roman"/>
          <w:sz w:val="24"/>
          <w:szCs w:val="24"/>
        </w:rPr>
        <w:t xml:space="preserve"> the select committee process);</w:t>
      </w:r>
    </w:p>
    <w:p w14:paraId="05EBA8E5" w14:textId="0364093B" w:rsidR="000A7385" w:rsidRDefault="00237BF7" w:rsidP="000A7385">
      <w:pPr>
        <w:pStyle w:val="Bullet-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t</w:t>
      </w:r>
      <w:r w:rsidR="0065318C" w:rsidRPr="003D326D">
        <w:rPr>
          <w:rFonts w:ascii="Times New Roman" w:hAnsi="Times New Roman"/>
          <w:sz w:val="24"/>
          <w:szCs w:val="24"/>
        </w:rPr>
        <w:t xml:space="preserve">he process </w:t>
      </w:r>
      <w:r w:rsidR="00104CD3">
        <w:rPr>
          <w:rFonts w:ascii="Times New Roman" w:hAnsi="Times New Roman"/>
          <w:sz w:val="24"/>
          <w:szCs w:val="24"/>
        </w:rPr>
        <w:t>would</w:t>
      </w:r>
      <w:r w:rsidR="00104CD3" w:rsidRPr="003D326D">
        <w:rPr>
          <w:rFonts w:ascii="Times New Roman" w:hAnsi="Times New Roman"/>
          <w:sz w:val="24"/>
          <w:szCs w:val="24"/>
        </w:rPr>
        <w:t xml:space="preserve"> </w:t>
      </w:r>
      <w:r w:rsidR="0065318C" w:rsidRPr="003D326D">
        <w:rPr>
          <w:rFonts w:ascii="Times New Roman" w:hAnsi="Times New Roman"/>
          <w:sz w:val="24"/>
          <w:szCs w:val="24"/>
        </w:rPr>
        <w:t>a</w:t>
      </w:r>
      <w:r w:rsidR="000A7385">
        <w:rPr>
          <w:rFonts w:ascii="Times New Roman" w:hAnsi="Times New Roman"/>
          <w:sz w:val="24"/>
          <w:szCs w:val="24"/>
        </w:rPr>
        <w:t>llow for p</w:t>
      </w:r>
      <w:r>
        <w:rPr>
          <w:rFonts w:ascii="Times New Roman" w:hAnsi="Times New Roman"/>
          <w:sz w:val="24"/>
          <w:szCs w:val="24"/>
        </w:rPr>
        <w:t>ublic consultation; and</w:t>
      </w:r>
    </w:p>
    <w:p w14:paraId="00720883" w14:textId="6010C1EA" w:rsidR="000A7385" w:rsidRDefault="00237BF7" w:rsidP="000A7385">
      <w:pPr>
        <w:pStyle w:val="Bullet-list"/>
        <w:numPr>
          <w:ilvl w:val="0"/>
          <w:numId w:val="18"/>
        </w:numPr>
        <w:spacing w:after="0" w:line="240" w:lineRule="auto"/>
        <w:jc w:val="both"/>
        <w:rPr>
          <w:rFonts w:ascii="Times New Roman" w:hAnsi="Times New Roman"/>
          <w:sz w:val="24"/>
          <w:szCs w:val="24"/>
        </w:rPr>
      </w:pPr>
      <w:proofErr w:type="gramStart"/>
      <w:r>
        <w:rPr>
          <w:rFonts w:ascii="Times New Roman" w:hAnsi="Times New Roman"/>
          <w:sz w:val="24"/>
          <w:szCs w:val="24"/>
        </w:rPr>
        <w:t>a</w:t>
      </w:r>
      <w:r w:rsidR="0065318C">
        <w:rPr>
          <w:rFonts w:ascii="Times New Roman" w:hAnsi="Times New Roman"/>
          <w:sz w:val="24"/>
          <w:szCs w:val="24"/>
        </w:rPr>
        <w:t>ny</w:t>
      </w:r>
      <w:proofErr w:type="gramEnd"/>
      <w:r w:rsidR="0065318C" w:rsidRPr="003D326D">
        <w:rPr>
          <w:rFonts w:ascii="Times New Roman" w:hAnsi="Times New Roman"/>
          <w:sz w:val="24"/>
          <w:szCs w:val="24"/>
        </w:rPr>
        <w:t xml:space="preserve"> amendment</w:t>
      </w:r>
      <w:r w:rsidR="0065318C">
        <w:rPr>
          <w:rFonts w:ascii="Times New Roman" w:hAnsi="Times New Roman"/>
          <w:sz w:val="24"/>
          <w:szCs w:val="24"/>
        </w:rPr>
        <w:t>s</w:t>
      </w:r>
      <w:r w:rsidR="0065318C" w:rsidRPr="003D326D">
        <w:rPr>
          <w:rFonts w:ascii="Times New Roman" w:hAnsi="Times New Roman"/>
          <w:sz w:val="24"/>
          <w:szCs w:val="24"/>
        </w:rPr>
        <w:t xml:space="preserve"> </w:t>
      </w:r>
      <w:r w:rsidR="00104CD3">
        <w:rPr>
          <w:rFonts w:ascii="Times New Roman" w:hAnsi="Times New Roman"/>
          <w:sz w:val="24"/>
          <w:szCs w:val="24"/>
        </w:rPr>
        <w:t>would be</w:t>
      </w:r>
      <w:r w:rsidR="00104CD3" w:rsidRPr="003D326D">
        <w:rPr>
          <w:rFonts w:ascii="Times New Roman" w:hAnsi="Times New Roman"/>
          <w:sz w:val="24"/>
          <w:szCs w:val="24"/>
        </w:rPr>
        <w:t xml:space="preserve"> </w:t>
      </w:r>
      <w:r w:rsidR="0065318C" w:rsidRPr="003D326D">
        <w:rPr>
          <w:rFonts w:ascii="Times New Roman" w:hAnsi="Times New Roman"/>
          <w:sz w:val="24"/>
          <w:szCs w:val="24"/>
        </w:rPr>
        <w:t xml:space="preserve">formally published </w:t>
      </w:r>
      <w:r w:rsidR="000A7385">
        <w:rPr>
          <w:rFonts w:ascii="Times New Roman" w:hAnsi="Times New Roman"/>
          <w:sz w:val="24"/>
          <w:szCs w:val="24"/>
        </w:rPr>
        <w:t>as part of the principal Act.</w:t>
      </w:r>
    </w:p>
    <w:p w14:paraId="541CA9E7" w14:textId="77777777" w:rsidR="000A7385" w:rsidRDefault="000A7385" w:rsidP="000A7385">
      <w:pPr>
        <w:pStyle w:val="Bullet-list"/>
        <w:spacing w:after="0" w:line="240" w:lineRule="auto"/>
        <w:jc w:val="both"/>
        <w:rPr>
          <w:rFonts w:ascii="Times New Roman" w:hAnsi="Times New Roman"/>
          <w:sz w:val="24"/>
          <w:szCs w:val="24"/>
        </w:rPr>
      </w:pPr>
    </w:p>
    <w:p w14:paraId="171A979F" w14:textId="1336D1AC" w:rsidR="0065318C" w:rsidRPr="003D326D" w:rsidRDefault="00093600" w:rsidP="0065318C">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Legislative amendments offer a wide range of </w:t>
      </w:r>
      <w:r w:rsidR="0065318C">
        <w:rPr>
          <w:rFonts w:ascii="Times New Roman" w:hAnsi="Times New Roman"/>
          <w:sz w:val="24"/>
          <w:szCs w:val="24"/>
        </w:rPr>
        <w:t xml:space="preserve">options, including amendments that have a fiscal impact, retrospective application, are unfavourable to taxpayers, and such amendments are not subject to any time limits.  Legislative amendments also provide taxpayers with a high-level of certainty once they are enacted because they </w:t>
      </w:r>
      <w:r w:rsidR="00B82FF5">
        <w:rPr>
          <w:rFonts w:ascii="Times New Roman" w:hAnsi="Times New Roman"/>
          <w:sz w:val="24"/>
          <w:szCs w:val="24"/>
        </w:rPr>
        <w:t>c</w:t>
      </w:r>
      <w:r w:rsidR="0024510F">
        <w:rPr>
          <w:rFonts w:ascii="Times New Roman" w:hAnsi="Times New Roman"/>
          <w:sz w:val="24"/>
          <w:szCs w:val="24"/>
        </w:rPr>
        <w:t>annot</w:t>
      </w:r>
      <w:r w:rsidR="0065318C">
        <w:rPr>
          <w:rFonts w:ascii="Times New Roman" w:hAnsi="Times New Roman"/>
          <w:sz w:val="24"/>
          <w:szCs w:val="24"/>
        </w:rPr>
        <w:t xml:space="preserve"> generally be judicially reviewed and can only be amended through the legislative process.</w:t>
      </w:r>
    </w:p>
    <w:p w14:paraId="72377604" w14:textId="77777777" w:rsidR="0065318C" w:rsidRPr="004342F0" w:rsidRDefault="0065318C" w:rsidP="0065318C">
      <w:pPr>
        <w:pStyle w:val="Bullet-list"/>
        <w:spacing w:after="0" w:line="240" w:lineRule="auto"/>
        <w:jc w:val="both"/>
        <w:rPr>
          <w:rFonts w:ascii="Times New Roman" w:hAnsi="Times New Roman"/>
          <w:sz w:val="24"/>
          <w:szCs w:val="24"/>
        </w:rPr>
      </w:pPr>
    </w:p>
    <w:p w14:paraId="43429F65" w14:textId="25D988AB" w:rsidR="00C317C4" w:rsidRDefault="0065318C"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The problem is that</w:t>
      </w:r>
      <w:r w:rsidRPr="008A77A2">
        <w:rPr>
          <w:rFonts w:ascii="Times New Roman" w:hAnsi="Times New Roman"/>
          <w:sz w:val="24"/>
          <w:szCs w:val="24"/>
        </w:rPr>
        <w:t xml:space="preserve"> the process leading up to when a bill can be introduced can be complex and time-consuming.  </w:t>
      </w:r>
      <w:r w:rsidR="0007377C" w:rsidRPr="0007377C">
        <w:rPr>
          <w:rFonts w:ascii="Times New Roman" w:hAnsi="Times New Roman"/>
          <w:sz w:val="24"/>
          <w:szCs w:val="24"/>
        </w:rPr>
        <w:t>The process can be further complicated when it spans an election period</w:t>
      </w:r>
      <w:r w:rsidR="0007377C">
        <w:rPr>
          <w:rFonts w:ascii="Times New Roman" w:hAnsi="Times New Roman"/>
          <w:sz w:val="24"/>
          <w:szCs w:val="24"/>
        </w:rPr>
        <w:t xml:space="preserve">.  </w:t>
      </w:r>
      <w:r w:rsidRPr="008A77A2">
        <w:rPr>
          <w:rFonts w:ascii="Times New Roman" w:hAnsi="Times New Roman"/>
          <w:sz w:val="24"/>
          <w:szCs w:val="24"/>
        </w:rPr>
        <w:t xml:space="preserve">When a remedy </w:t>
      </w:r>
      <w:r w:rsidR="00CF1345">
        <w:rPr>
          <w:rFonts w:ascii="Times New Roman" w:hAnsi="Times New Roman"/>
          <w:sz w:val="24"/>
          <w:szCs w:val="24"/>
        </w:rPr>
        <w:t>for a transitional</w:t>
      </w:r>
      <w:r w:rsidR="00093600">
        <w:rPr>
          <w:rFonts w:ascii="Times New Roman" w:hAnsi="Times New Roman"/>
          <w:sz w:val="24"/>
          <w:szCs w:val="24"/>
        </w:rPr>
        <w:t xml:space="preserve"> issue </w:t>
      </w:r>
      <w:r w:rsidR="00B82FF5">
        <w:rPr>
          <w:rFonts w:ascii="Times New Roman" w:hAnsi="Times New Roman"/>
          <w:sz w:val="24"/>
          <w:szCs w:val="24"/>
        </w:rPr>
        <w:t>c</w:t>
      </w:r>
      <w:r w:rsidR="00CF1345">
        <w:rPr>
          <w:rFonts w:ascii="Times New Roman" w:hAnsi="Times New Roman"/>
          <w:sz w:val="24"/>
          <w:szCs w:val="24"/>
        </w:rPr>
        <w:t>an</w:t>
      </w:r>
      <w:r w:rsidR="00B82FF5">
        <w:rPr>
          <w:rFonts w:ascii="Times New Roman" w:hAnsi="Times New Roman"/>
          <w:sz w:val="24"/>
          <w:szCs w:val="24"/>
        </w:rPr>
        <w:t>not</w:t>
      </w:r>
      <w:r w:rsidRPr="008A77A2">
        <w:rPr>
          <w:rFonts w:ascii="Times New Roman" w:hAnsi="Times New Roman"/>
          <w:sz w:val="24"/>
          <w:szCs w:val="24"/>
        </w:rPr>
        <w:t xml:space="preserve"> be achieved quickly, valuable taxpayer and Commissioner </w:t>
      </w:r>
      <w:proofErr w:type="gramStart"/>
      <w:r w:rsidRPr="008A77A2">
        <w:rPr>
          <w:rFonts w:ascii="Times New Roman" w:hAnsi="Times New Roman"/>
          <w:sz w:val="24"/>
          <w:szCs w:val="24"/>
        </w:rPr>
        <w:t>resources</w:t>
      </w:r>
      <w:proofErr w:type="gramEnd"/>
      <w:r w:rsidRPr="008A77A2">
        <w:rPr>
          <w:rFonts w:ascii="Times New Roman" w:hAnsi="Times New Roman"/>
          <w:sz w:val="24"/>
          <w:szCs w:val="24"/>
        </w:rPr>
        <w:t xml:space="preserve"> can be tied up pursuing outcomes that are not consistent with the </w:t>
      </w:r>
      <w:r w:rsidR="00CF1345">
        <w:rPr>
          <w:rFonts w:ascii="Times New Roman" w:hAnsi="Times New Roman"/>
          <w:sz w:val="24"/>
          <w:szCs w:val="24"/>
        </w:rPr>
        <w:t xml:space="preserve">existing </w:t>
      </w:r>
      <w:r w:rsidRPr="008A77A2">
        <w:rPr>
          <w:rFonts w:ascii="Times New Roman" w:hAnsi="Times New Roman"/>
          <w:sz w:val="24"/>
          <w:szCs w:val="24"/>
        </w:rPr>
        <w:t xml:space="preserve">policy intent.  </w:t>
      </w:r>
      <w:r>
        <w:rPr>
          <w:rFonts w:ascii="Times New Roman" w:hAnsi="Times New Roman"/>
          <w:sz w:val="24"/>
          <w:szCs w:val="24"/>
        </w:rPr>
        <w:t xml:space="preserve">The delays prior to enactment can cause uncertainty for taxpayers.  </w:t>
      </w:r>
      <w:r w:rsidRPr="008A77A2">
        <w:rPr>
          <w:rFonts w:ascii="Times New Roman" w:hAnsi="Times New Roman"/>
          <w:sz w:val="24"/>
          <w:szCs w:val="24"/>
        </w:rPr>
        <w:t xml:space="preserve">The process can also create hurdles that </w:t>
      </w:r>
      <w:r w:rsidR="00960A43">
        <w:rPr>
          <w:rFonts w:ascii="Times New Roman" w:hAnsi="Times New Roman"/>
          <w:sz w:val="24"/>
          <w:szCs w:val="24"/>
        </w:rPr>
        <w:t xml:space="preserve">may </w:t>
      </w:r>
      <w:r w:rsidRPr="008A77A2">
        <w:rPr>
          <w:rFonts w:ascii="Times New Roman" w:hAnsi="Times New Roman"/>
          <w:sz w:val="24"/>
          <w:szCs w:val="24"/>
        </w:rPr>
        <w:t>delay the busin</w:t>
      </w:r>
      <w:r w:rsidR="00237BF7">
        <w:rPr>
          <w:rFonts w:ascii="Times New Roman" w:hAnsi="Times New Roman"/>
          <w:sz w:val="24"/>
          <w:szCs w:val="24"/>
        </w:rPr>
        <w:t xml:space="preserve">ess transformation process, </w:t>
      </w:r>
      <w:r w:rsidRPr="008A77A2">
        <w:rPr>
          <w:rFonts w:ascii="Times New Roman" w:hAnsi="Times New Roman"/>
          <w:sz w:val="24"/>
          <w:szCs w:val="24"/>
        </w:rPr>
        <w:t xml:space="preserve">impede the orderly transition from </w:t>
      </w:r>
      <w:r w:rsidR="005519A2">
        <w:rPr>
          <w:rFonts w:ascii="Times New Roman" w:hAnsi="Times New Roman"/>
          <w:sz w:val="24"/>
          <w:szCs w:val="24"/>
        </w:rPr>
        <w:t xml:space="preserve">FIRST </w:t>
      </w:r>
      <w:r w:rsidR="00570600">
        <w:rPr>
          <w:rFonts w:ascii="Times New Roman" w:hAnsi="Times New Roman"/>
          <w:sz w:val="24"/>
          <w:szCs w:val="24"/>
        </w:rPr>
        <w:t xml:space="preserve">to </w:t>
      </w:r>
      <w:r w:rsidR="005519A2">
        <w:rPr>
          <w:rFonts w:ascii="Times New Roman" w:hAnsi="Times New Roman"/>
          <w:sz w:val="24"/>
          <w:szCs w:val="24"/>
        </w:rPr>
        <w:t xml:space="preserve">START </w:t>
      </w:r>
      <w:r w:rsidR="00237BF7">
        <w:rPr>
          <w:rFonts w:ascii="Times New Roman" w:hAnsi="Times New Roman"/>
          <w:sz w:val="24"/>
          <w:szCs w:val="24"/>
        </w:rPr>
        <w:t>and increase the cost of the transformation</w:t>
      </w:r>
      <w:r w:rsidR="00237BF7" w:rsidRPr="00871E58">
        <w:rPr>
          <w:rFonts w:ascii="Times New Roman" w:hAnsi="Times New Roman"/>
          <w:sz w:val="24"/>
          <w:szCs w:val="24"/>
        </w:rPr>
        <w:t>.</w:t>
      </w:r>
    </w:p>
    <w:p w14:paraId="0A00617E" w14:textId="77777777" w:rsidR="00555104" w:rsidRDefault="00555104" w:rsidP="00AB456E">
      <w:pPr>
        <w:pStyle w:val="ListParagraph"/>
        <w:rPr>
          <w:rFonts w:ascii="Times New Roman" w:hAnsi="Times New Roman"/>
          <w:sz w:val="24"/>
          <w:szCs w:val="24"/>
        </w:rPr>
      </w:pPr>
    </w:p>
    <w:p w14:paraId="2F772CDA" w14:textId="6F4C0FDA" w:rsidR="00555104" w:rsidRDefault="00555104">
      <w:pPr>
        <w:pStyle w:val="Bullet-list"/>
        <w:numPr>
          <w:ilvl w:val="0"/>
          <w:numId w:val="12"/>
        </w:numPr>
        <w:spacing w:after="0" w:line="240" w:lineRule="auto"/>
        <w:ind w:left="0" w:firstLine="0"/>
        <w:jc w:val="both"/>
        <w:rPr>
          <w:rFonts w:ascii="Times New Roman" w:hAnsi="Times New Roman"/>
          <w:sz w:val="24"/>
          <w:szCs w:val="24"/>
        </w:rPr>
      </w:pPr>
      <w:r w:rsidRPr="00555104">
        <w:rPr>
          <w:rFonts w:ascii="Times New Roman" w:hAnsi="Times New Roman"/>
          <w:sz w:val="24"/>
          <w:szCs w:val="24"/>
        </w:rPr>
        <w:t xml:space="preserve">It is envisaged there would be two main situations when </w:t>
      </w:r>
      <w:r w:rsidR="00EC55F7">
        <w:rPr>
          <w:rFonts w:ascii="Times New Roman" w:hAnsi="Times New Roman"/>
          <w:sz w:val="24"/>
          <w:szCs w:val="24"/>
        </w:rPr>
        <w:t>a prompt regulatory response may be needed</w:t>
      </w:r>
      <w:r w:rsidRPr="00555104">
        <w:rPr>
          <w:rFonts w:ascii="Times New Roman" w:hAnsi="Times New Roman"/>
          <w:sz w:val="24"/>
          <w:szCs w:val="24"/>
        </w:rPr>
        <w:t xml:space="preserve">.  The first situation is when a process aligned with the current computer system is examined and found to be inconsistent with the current law because of the limitations of the current system.  A </w:t>
      </w:r>
      <w:r w:rsidR="00EC55F7">
        <w:rPr>
          <w:rFonts w:ascii="Times New Roman" w:hAnsi="Times New Roman"/>
          <w:sz w:val="24"/>
          <w:szCs w:val="24"/>
        </w:rPr>
        <w:t>regulatory response would be needed to</w:t>
      </w:r>
      <w:r w:rsidRPr="00555104">
        <w:rPr>
          <w:rFonts w:ascii="Times New Roman" w:hAnsi="Times New Roman"/>
          <w:sz w:val="24"/>
          <w:szCs w:val="24"/>
        </w:rPr>
        <w:t xml:space="preserve"> provide a bridge between the current process and the correct process in the new computer system.  The second situation is when the new computer system offers a more efficient or different process to that currently legislated.  A </w:t>
      </w:r>
      <w:r w:rsidR="00EC55F7">
        <w:rPr>
          <w:rFonts w:ascii="Times New Roman" w:hAnsi="Times New Roman"/>
          <w:sz w:val="24"/>
          <w:szCs w:val="24"/>
        </w:rPr>
        <w:t>prompt regulatory re</w:t>
      </w:r>
      <w:r w:rsidR="0007377C">
        <w:rPr>
          <w:rFonts w:ascii="Times New Roman" w:hAnsi="Times New Roman"/>
          <w:sz w:val="24"/>
          <w:szCs w:val="24"/>
        </w:rPr>
        <w:t>s</w:t>
      </w:r>
      <w:r w:rsidR="00EC55F7">
        <w:rPr>
          <w:rFonts w:ascii="Times New Roman" w:hAnsi="Times New Roman"/>
          <w:sz w:val="24"/>
          <w:szCs w:val="24"/>
        </w:rPr>
        <w:t>ponse</w:t>
      </w:r>
      <w:r w:rsidRPr="00555104">
        <w:rPr>
          <w:rFonts w:ascii="Times New Roman" w:hAnsi="Times New Roman"/>
          <w:sz w:val="24"/>
          <w:szCs w:val="24"/>
        </w:rPr>
        <w:t xml:space="preserve"> could reduce the delay in getting the law to line up with the new process, so as to provide a smooth transition from the old law to the new law</w:t>
      </w:r>
      <w:r w:rsidR="00CF18D0">
        <w:rPr>
          <w:rFonts w:ascii="Times New Roman" w:hAnsi="Times New Roman"/>
          <w:sz w:val="24"/>
          <w:szCs w:val="24"/>
        </w:rPr>
        <w:t>.</w:t>
      </w:r>
      <w:r w:rsidR="005804FA" w:rsidRPr="00AB456E">
        <w:rPr>
          <w:rStyle w:val="FootnoteReference"/>
          <w:rFonts w:ascii="Times New Roman" w:hAnsi="Times New Roman"/>
          <w:szCs w:val="24"/>
        </w:rPr>
        <w:footnoteReference w:id="3"/>
      </w:r>
    </w:p>
    <w:p w14:paraId="7E84402F" w14:textId="77777777" w:rsidR="00A92231" w:rsidRDefault="00A92231" w:rsidP="00A92231">
      <w:pPr>
        <w:pStyle w:val="ListParagraph"/>
        <w:rPr>
          <w:rFonts w:ascii="Times New Roman" w:hAnsi="Times New Roman"/>
          <w:sz w:val="24"/>
          <w:szCs w:val="24"/>
        </w:rPr>
      </w:pPr>
    </w:p>
    <w:p w14:paraId="20449EDE" w14:textId="77777777" w:rsidR="000545DC" w:rsidRDefault="00D943DD" w:rsidP="00FC1D7B">
      <w:pPr>
        <w:pStyle w:val="RISheading"/>
        <w:spacing w:before="0" w:after="0" w:line="240" w:lineRule="auto"/>
        <w:jc w:val="both"/>
        <w:rPr>
          <w:spacing w:val="0"/>
          <w:w w:val="100"/>
        </w:rPr>
      </w:pPr>
      <w:bookmarkStart w:id="12" w:name="_Toc244580364"/>
      <w:bookmarkStart w:id="13" w:name="_Toc244587040"/>
      <w:bookmarkStart w:id="14" w:name="_Toc244857274"/>
      <w:bookmarkStart w:id="15" w:name="_Toc244912539"/>
      <w:bookmarkStart w:id="16" w:name="_Toc244916996"/>
      <w:r w:rsidRPr="004342F0">
        <w:rPr>
          <w:spacing w:val="0"/>
          <w:w w:val="100"/>
        </w:rPr>
        <w:t>OBJECTIVES</w:t>
      </w:r>
      <w:bookmarkEnd w:id="12"/>
      <w:bookmarkEnd w:id="13"/>
      <w:bookmarkEnd w:id="14"/>
      <w:bookmarkEnd w:id="15"/>
      <w:bookmarkEnd w:id="16"/>
    </w:p>
    <w:p w14:paraId="038F64F2" w14:textId="77777777" w:rsidR="000E1ED6" w:rsidRPr="00883F7F" w:rsidRDefault="000E1ED6" w:rsidP="00782395">
      <w:pPr>
        <w:pStyle w:val="Bullet-list"/>
        <w:spacing w:after="0" w:line="240" w:lineRule="auto"/>
        <w:ind w:left="0" w:firstLine="0"/>
        <w:jc w:val="both"/>
      </w:pPr>
    </w:p>
    <w:p w14:paraId="2F205788" w14:textId="11A8032E" w:rsidR="00D934FF" w:rsidRDefault="002D4A7B" w:rsidP="000C315F">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b/>
          <w:sz w:val="24"/>
          <w:szCs w:val="24"/>
        </w:rPr>
        <w:t>main objective</w:t>
      </w:r>
      <w:r>
        <w:rPr>
          <w:rFonts w:ascii="Times New Roman" w:hAnsi="Times New Roman"/>
          <w:sz w:val="24"/>
          <w:szCs w:val="24"/>
        </w:rPr>
        <w:t xml:space="preserve"> is to</w:t>
      </w:r>
      <w:r w:rsidR="000C315F">
        <w:rPr>
          <w:rFonts w:ascii="Times New Roman" w:hAnsi="Times New Roman"/>
          <w:sz w:val="24"/>
          <w:szCs w:val="24"/>
        </w:rPr>
        <w:t xml:space="preserve"> support an </w:t>
      </w:r>
      <w:r w:rsidR="000C315F" w:rsidRPr="000C315F">
        <w:rPr>
          <w:rFonts w:ascii="Times New Roman" w:hAnsi="Times New Roman"/>
          <w:sz w:val="24"/>
          <w:szCs w:val="24"/>
        </w:rPr>
        <w:t xml:space="preserve">orderly transition from the old system </w:t>
      </w:r>
      <w:r w:rsidR="001F4595">
        <w:rPr>
          <w:rFonts w:ascii="Times New Roman" w:hAnsi="Times New Roman"/>
          <w:sz w:val="24"/>
          <w:szCs w:val="24"/>
        </w:rPr>
        <w:t xml:space="preserve">(FIRST) </w:t>
      </w:r>
      <w:r w:rsidR="000C315F" w:rsidRPr="000C315F">
        <w:rPr>
          <w:rFonts w:ascii="Times New Roman" w:hAnsi="Times New Roman"/>
          <w:sz w:val="24"/>
          <w:szCs w:val="24"/>
        </w:rPr>
        <w:t>to the new system</w:t>
      </w:r>
      <w:r w:rsidR="001F4595">
        <w:rPr>
          <w:rFonts w:ascii="Times New Roman" w:hAnsi="Times New Roman"/>
          <w:sz w:val="24"/>
          <w:szCs w:val="24"/>
        </w:rPr>
        <w:t xml:space="preserve"> (START)</w:t>
      </w:r>
      <w:r w:rsidR="000C315F">
        <w:rPr>
          <w:rFonts w:ascii="Times New Roman" w:hAnsi="Times New Roman"/>
          <w:sz w:val="24"/>
          <w:szCs w:val="24"/>
        </w:rPr>
        <w:t xml:space="preserve">, and avoid </w:t>
      </w:r>
      <w:r w:rsidR="000C315F" w:rsidRPr="000C315F">
        <w:rPr>
          <w:rFonts w:ascii="Times New Roman" w:hAnsi="Times New Roman"/>
          <w:sz w:val="24"/>
          <w:szCs w:val="24"/>
        </w:rPr>
        <w:t>delay</w:t>
      </w:r>
      <w:r w:rsidR="000C315F">
        <w:rPr>
          <w:rFonts w:ascii="Times New Roman" w:hAnsi="Times New Roman"/>
          <w:sz w:val="24"/>
          <w:szCs w:val="24"/>
        </w:rPr>
        <w:t xml:space="preserve">s </w:t>
      </w:r>
      <w:r w:rsidR="00630F1B">
        <w:rPr>
          <w:rFonts w:ascii="Times New Roman" w:hAnsi="Times New Roman"/>
          <w:sz w:val="24"/>
          <w:szCs w:val="24"/>
        </w:rPr>
        <w:t>and increased costs for</w:t>
      </w:r>
      <w:r w:rsidR="00630F1B" w:rsidRPr="000C315F">
        <w:rPr>
          <w:rFonts w:ascii="Times New Roman" w:hAnsi="Times New Roman"/>
          <w:sz w:val="24"/>
          <w:szCs w:val="24"/>
        </w:rPr>
        <w:t xml:space="preserve"> </w:t>
      </w:r>
      <w:r w:rsidR="000C315F" w:rsidRPr="000C315F">
        <w:rPr>
          <w:rFonts w:ascii="Times New Roman" w:hAnsi="Times New Roman"/>
          <w:sz w:val="24"/>
          <w:szCs w:val="24"/>
        </w:rPr>
        <w:t>the business transformation process</w:t>
      </w:r>
      <w:r w:rsidR="00630F1B">
        <w:rPr>
          <w:rFonts w:ascii="Times New Roman" w:hAnsi="Times New Roman"/>
          <w:sz w:val="24"/>
          <w:szCs w:val="24"/>
        </w:rPr>
        <w:t>.</w:t>
      </w:r>
    </w:p>
    <w:p w14:paraId="06CAB80E" w14:textId="77777777" w:rsidR="00073EA9" w:rsidRDefault="00073EA9" w:rsidP="00836D63">
      <w:pPr>
        <w:pStyle w:val="Bullet-list"/>
        <w:spacing w:after="0" w:line="240" w:lineRule="auto"/>
        <w:ind w:left="0" w:firstLine="0"/>
        <w:jc w:val="both"/>
        <w:rPr>
          <w:rFonts w:ascii="Times New Roman" w:hAnsi="Times New Roman"/>
          <w:sz w:val="24"/>
          <w:szCs w:val="24"/>
        </w:rPr>
      </w:pPr>
    </w:p>
    <w:p w14:paraId="2A0394AE" w14:textId="77777777" w:rsidR="000E1ED6" w:rsidRDefault="000E1ED6" w:rsidP="00836D6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All options are assessed against </w:t>
      </w:r>
      <w:r w:rsidR="00B168FE">
        <w:rPr>
          <w:rFonts w:ascii="Times New Roman" w:hAnsi="Times New Roman"/>
          <w:sz w:val="24"/>
          <w:szCs w:val="24"/>
        </w:rPr>
        <w:t xml:space="preserve">the status quo in relation to the main objective and </w:t>
      </w:r>
      <w:r>
        <w:rPr>
          <w:rFonts w:ascii="Times New Roman" w:hAnsi="Times New Roman"/>
          <w:sz w:val="24"/>
          <w:szCs w:val="24"/>
        </w:rPr>
        <w:t>the following criteria:</w:t>
      </w:r>
    </w:p>
    <w:p w14:paraId="666B9566" w14:textId="77777777" w:rsidR="000E1ED6" w:rsidRDefault="000E1ED6" w:rsidP="00836D63">
      <w:pPr>
        <w:pStyle w:val="ListParagraph"/>
        <w:ind w:left="0"/>
        <w:rPr>
          <w:rFonts w:ascii="Times New Roman" w:hAnsi="Times New Roman"/>
          <w:sz w:val="24"/>
          <w:szCs w:val="24"/>
        </w:rPr>
      </w:pPr>
    </w:p>
    <w:p w14:paraId="1E6957A2" w14:textId="118BC365" w:rsidR="00360B9F" w:rsidRPr="000E1ED6" w:rsidRDefault="008C30AA" w:rsidP="00360B9F">
      <w:pPr>
        <w:pStyle w:val="ListParagraph"/>
        <w:numPr>
          <w:ilvl w:val="0"/>
          <w:numId w:val="6"/>
        </w:numPr>
        <w:spacing w:line="300" w:lineRule="atLeast"/>
        <w:ind w:left="567" w:firstLine="0"/>
        <w:rPr>
          <w:rFonts w:ascii="Times New Roman" w:hAnsi="Times New Roman"/>
          <w:sz w:val="24"/>
          <w:szCs w:val="24"/>
        </w:rPr>
      </w:pPr>
      <w:r>
        <w:rPr>
          <w:rFonts w:ascii="Times New Roman" w:hAnsi="Times New Roman"/>
          <w:b/>
          <w:sz w:val="24"/>
          <w:szCs w:val="24"/>
        </w:rPr>
        <w:t>C</w:t>
      </w:r>
      <w:r w:rsidR="00360B9F" w:rsidRPr="000E1ED6">
        <w:rPr>
          <w:rFonts w:ascii="Times New Roman" w:hAnsi="Times New Roman"/>
          <w:b/>
          <w:sz w:val="24"/>
          <w:szCs w:val="24"/>
        </w:rPr>
        <w:t xml:space="preserve">ompliance </w:t>
      </w:r>
      <w:r>
        <w:rPr>
          <w:rFonts w:ascii="Times New Roman" w:hAnsi="Times New Roman"/>
          <w:b/>
          <w:sz w:val="24"/>
          <w:szCs w:val="24"/>
        </w:rPr>
        <w:t>efficiency</w:t>
      </w:r>
      <w:r w:rsidR="00893683">
        <w:rPr>
          <w:rFonts w:ascii="Times New Roman" w:hAnsi="Times New Roman"/>
          <w:b/>
          <w:sz w:val="24"/>
          <w:szCs w:val="24"/>
        </w:rPr>
        <w:t xml:space="preserve">: </w:t>
      </w:r>
      <w:r w:rsidR="00360B9F" w:rsidRPr="000E1ED6">
        <w:rPr>
          <w:rFonts w:ascii="Times New Roman" w:hAnsi="Times New Roman"/>
          <w:sz w:val="24"/>
          <w:szCs w:val="24"/>
        </w:rPr>
        <w:t>the compliance cost impacts on taxpayers</w:t>
      </w:r>
      <w:r w:rsidR="00893683">
        <w:rPr>
          <w:rFonts w:ascii="Times New Roman" w:hAnsi="Times New Roman"/>
          <w:sz w:val="24"/>
          <w:szCs w:val="24"/>
        </w:rPr>
        <w:t xml:space="preserve"> </w:t>
      </w:r>
      <w:r w:rsidR="00893683" w:rsidRPr="000E1ED6">
        <w:rPr>
          <w:rFonts w:ascii="Times New Roman" w:hAnsi="Times New Roman"/>
          <w:sz w:val="24"/>
          <w:szCs w:val="24"/>
        </w:rPr>
        <w:t>should be minimised as far as possible</w:t>
      </w:r>
      <w:r w:rsidR="00893683">
        <w:rPr>
          <w:rFonts w:ascii="Times New Roman" w:hAnsi="Times New Roman"/>
          <w:sz w:val="24"/>
          <w:szCs w:val="24"/>
        </w:rPr>
        <w:t>;</w:t>
      </w:r>
      <w:r w:rsidR="001F4595">
        <w:rPr>
          <w:rFonts w:ascii="Times New Roman" w:hAnsi="Times New Roman"/>
          <w:sz w:val="24"/>
          <w:szCs w:val="24"/>
        </w:rPr>
        <w:t xml:space="preserve"> </w:t>
      </w:r>
    </w:p>
    <w:p w14:paraId="2D217BF0" w14:textId="544E68FF" w:rsidR="00893683" w:rsidRDefault="008C30AA" w:rsidP="00775ED6">
      <w:pPr>
        <w:pStyle w:val="ListParagraph"/>
        <w:numPr>
          <w:ilvl w:val="0"/>
          <w:numId w:val="6"/>
        </w:numPr>
        <w:spacing w:line="300" w:lineRule="atLeast"/>
        <w:ind w:left="567" w:firstLine="0"/>
        <w:rPr>
          <w:rFonts w:ascii="Times New Roman" w:hAnsi="Times New Roman"/>
          <w:sz w:val="24"/>
          <w:szCs w:val="24"/>
        </w:rPr>
      </w:pPr>
      <w:r>
        <w:rPr>
          <w:rFonts w:ascii="Times New Roman" w:hAnsi="Times New Roman"/>
          <w:b/>
          <w:sz w:val="24"/>
          <w:szCs w:val="24"/>
        </w:rPr>
        <w:t>A</w:t>
      </w:r>
      <w:r w:rsidR="00893683" w:rsidRPr="00893683">
        <w:rPr>
          <w:rFonts w:ascii="Times New Roman" w:hAnsi="Times New Roman"/>
          <w:b/>
          <w:sz w:val="24"/>
          <w:szCs w:val="24"/>
        </w:rPr>
        <w:t xml:space="preserve">dministrative </w:t>
      </w:r>
      <w:r>
        <w:rPr>
          <w:rFonts w:ascii="Times New Roman" w:hAnsi="Times New Roman"/>
          <w:b/>
          <w:sz w:val="24"/>
          <w:szCs w:val="24"/>
        </w:rPr>
        <w:t>efficiency</w:t>
      </w:r>
      <w:r w:rsidR="00893683" w:rsidRPr="00893683">
        <w:rPr>
          <w:rFonts w:ascii="Times New Roman" w:hAnsi="Times New Roman"/>
          <w:b/>
          <w:sz w:val="24"/>
          <w:szCs w:val="24"/>
        </w:rPr>
        <w:t>:</w:t>
      </w:r>
      <w:r w:rsidR="00893683" w:rsidRPr="00893683">
        <w:rPr>
          <w:rFonts w:ascii="Times New Roman" w:hAnsi="Times New Roman"/>
          <w:sz w:val="24"/>
          <w:szCs w:val="24"/>
        </w:rPr>
        <w:t xml:space="preserve"> </w:t>
      </w:r>
      <w:r w:rsidR="00893683" w:rsidRPr="000E1ED6">
        <w:rPr>
          <w:rFonts w:ascii="Times New Roman" w:hAnsi="Times New Roman"/>
          <w:sz w:val="24"/>
          <w:szCs w:val="24"/>
        </w:rPr>
        <w:t xml:space="preserve">administrative costs </w:t>
      </w:r>
      <w:r w:rsidR="00551BFE">
        <w:rPr>
          <w:rFonts w:ascii="Times New Roman" w:hAnsi="Times New Roman"/>
          <w:sz w:val="24"/>
          <w:szCs w:val="24"/>
        </w:rPr>
        <w:t xml:space="preserve">to the Government </w:t>
      </w:r>
      <w:r w:rsidR="00893683" w:rsidRPr="000E1ED6">
        <w:rPr>
          <w:rFonts w:ascii="Times New Roman" w:hAnsi="Times New Roman"/>
          <w:sz w:val="24"/>
          <w:szCs w:val="24"/>
        </w:rPr>
        <w:t>should be minimised as far as possible</w:t>
      </w:r>
      <w:r w:rsidR="00893683">
        <w:rPr>
          <w:rFonts w:ascii="Times New Roman" w:hAnsi="Times New Roman"/>
          <w:sz w:val="24"/>
          <w:szCs w:val="24"/>
        </w:rPr>
        <w:t>;</w:t>
      </w:r>
    </w:p>
    <w:p w14:paraId="5DF30D80" w14:textId="458A639B" w:rsidR="00360B9F" w:rsidRPr="00360B9F" w:rsidRDefault="00822774" w:rsidP="00775ED6">
      <w:pPr>
        <w:pStyle w:val="ListParagraph"/>
        <w:numPr>
          <w:ilvl w:val="0"/>
          <w:numId w:val="6"/>
        </w:numPr>
        <w:spacing w:line="300" w:lineRule="atLeast"/>
        <w:ind w:left="567" w:firstLine="0"/>
        <w:rPr>
          <w:rFonts w:ascii="Times New Roman" w:hAnsi="Times New Roman"/>
          <w:sz w:val="24"/>
          <w:szCs w:val="24"/>
        </w:rPr>
      </w:pPr>
      <w:r w:rsidRPr="00822774">
        <w:rPr>
          <w:rFonts w:ascii="Times New Roman" w:hAnsi="Times New Roman"/>
          <w:b/>
          <w:sz w:val="24"/>
          <w:szCs w:val="24"/>
        </w:rPr>
        <w:t>S</w:t>
      </w:r>
      <w:r w:rsidR="00360B9F" w:rsidRPr="00822774">
        <w:rPr>
          <w:rFonts w:ascii="Times New Roman" w:hAnsi="Times New Roman"/>
          <w:b/>
          <w:sz w:val="24"/>
          <w:szCs w:val="24"/>
        </w:rPr>
        <w:t>ustainability:</w:t>
      </w:r>
      <w:r w:rsidR="00360B9F">
        <w:rPr>
          <w:rFonts w:ascii="Times New Roman" w:hAnsi="Times New Roman"/>
          <w:sz w:val="24"/>
          <w:szCs w:val="24"/>
        </w:rPr>
        <w:t xml:space="preserve"> the option </w:t>
      </w:r>
      <w:r w:rsidR="001F4595">
        <w:rPr>
          <w:rFonts w:ascii="Times New Roman" w:hAnsi="Times New Roman"/>
          <w:sz w:val="24"/>
          <w:szCs w:val="24"/>
        </w:rPr>
        <w:t>should</w:t>
      </w:r>
      <w:r w:rsidR="00360B9F">
        <w:rPr>
          <w:rFonts w:ascii="Times New Roman" w:hAnsi="Times New Roman"/>
          <w:sz w:val="24"/>
          <w:szCs w:val="24"/>
        </w:rPr>
        <w:t xml:space="preserve"> support the </w:t>
      </w:r>
      <w:r w:rsidR="000A7385">
        <w:rPr>
          <w:rFonts w:ascii="Times New Roman" w:hAnsi="Times New Roman"/>
          <w:sz w:val="24"/>
          <w:szCs w:val="24"/>
        </w:rPr>
        <w:t xml:space="preserve">coherence and </w:t>
      </w:r>
      <w:r w:rsidR="00360B9F">
        <w:rPr>
          <w:rFonts w:ascii="Times New Roman" w:hAnsi="Times New Roman"/>
          <w:sz w:val="24"/>
          <w:szCs w:val="24"/>
        </w:rPr>
        <w:t xml:space="preserve">integrity of the </w:t>
      </w:r>
      <w:r w:rsidR="00305B03">
        <w:rPr>
          <w:rFonts w:ascii="Times New Roman" w:hAnsi="Times New Roman"/>
          <w:sz w:val="24"/>
          <w:szCs w:val="24"/>
        </w:rPr>
        <w:t>tax system</w:t>
      </w:r>
      <w:r>
        <w:rPr>
          <w:rFonts w:ascii="Times New Roman" w:hAnsi="Times New Roman"/>
          <w:sz w:val="24"/>
          <w:szCs w:val="24"/>
        </w:rPr>
        <w:t xml:space="preserve"> and the rule of law.</w:t>
      </w:r>
    </w:p>
    <w:p w14:paraId="64C5A626" w14:textId="77777777" w:rsidR="00B168FE" w:rsidRDefault="00B168FE" w:rsidP="00836D63">
      <w:pPr>
        <w:pStyle w:val="Bullet-list"/>
        <w:spacing w:after="0" w:line="240" w:lineRule="auto"/>
        <w:ind w:left="0" w:firstLine="0"/>
        <w:jc w:val="both"/>
        <w:rPr>
          <w:rFonts w:ascii="Times New Roman" w:hAnsi="Times New Roman"/>
          <w:sz w:val="24"/>
          <w:szCs w:val="24"/>
        </w:rPr>
      </w:pPr>
    </w:p>
    <w:p w14:paraId="6EDC41E3" w14:textId="00A7B275" w:rsidR="00696C7E" w:rsidRDefault="00854FA9"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The criteria have equal weighting</w:t>
      </w:r>
      <w:r w:rsidR="002B4468">
        <w:rPr>
          <w:rFonts w:ascii="Times New Roman" w:hAnsi="Times New Roman"/>
          <w:sz w:val="24"/>
          <w:szCs w:val="24"/>
        </w:rPr>
        <w:t xml:space="preserve"> because they are considered to be equally important</w:t>
      </w:r>
      <w:r>
        <w:rPr>
          <w:rFonts w:ascii="Times New Roman" w:hAnsi="Times New Roman"/>
          <w:sz w:val="24"/>
          <w:szCs w:val="24"/>
        </w:rPr>
        <w:t>.  There are trade-offs between the different criteria and the main objective.</w:t>
      </w:r>
      <w:r w:rsidR="00CE24C7">
        <w:rPr>
          <w:rFonts w:ascii="Times New Roman" w:hAnsi="Times New Roman"/>
          <w:sz w:val="24"/>
          <w:szCs w:val="24"/>
        </w:rPr>
        <w:t xml:space="preserve">  For example, option 3 meets the main objective and reduces both compliance and administrative costs, but in doing so undermines the rule of law and the integrity of the tax system.</w:t>
      </w:r>
    </w:p>
    <w:p w14:paraId="12D8A1D2" w14:textId="77777777" w:rsidR="00696C7E" w:rsidRDefault="00696C7E" w:rsidP="00836D63">
      <w:pPr>
        <w:pStyle w:val="Bullet-list"/>
        <w:spacing w:after="0" w:line="240" w:lineRule="auto"/>
        <w:ind w:left="0" w:firstLine="0"/>
        <w:jc w:val="both"/>
        <w:rPr>
          <w:rFonts w:ascii="Times New Roman" w:hAnsi="Times New Roman"/>
          <w:sz w:val="24"/>
          <w:szCs w:val="24"/>
        </w:rPr>
      </w:pPr>
    </w:p>
    <w:p w14:paraId="6855D8CA" w14:textId="2C82060A" w:rsidR="00630F1B" w:rsidRDefault="002B4468"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The main objective could be seen to overlap with the criteria</w:t>
      </w:r>
      <w:r w:rsidR="005213B4">
        <w:rPr>
          <w:rFonts w:ascii="Times New Roman" w:hAnsi="Times New Roman"/>
          <w:sz w:val="24"/>
          <w:szCs w:val="24"/>
        </w:rPr>
        <w:t xml:space="preserve"> to some extent</w:t>
      </w:r>
      <w:r>
        <w:rPr>
          <w:rFonts w:ascii="Times New Roman" w:hAnsi="Times New Roman"/>
          <w:sz w:val="24"/>
          <w:szCs w:val="24"/>
        </w:rPr>
        <w:t xml:space="preserve">, in that any </w:t>
      </w:r>
      <w:r w:rsidR="005213B4">
        <w:rPr>
          <w:rFonts w:ascii="Times New Roman" w:hAnsi="Times New Roman"/>
          <w:sz w:val="24"/>
          <w:szCs w:val="24"/>
        </w:rPr>
        <w:t xml:space="preserve">reduction in delays in the transformation process </w:t>
      </w:r>
      <w:r w:rsidR="00630F1B">
        <w:rPr>
          <w:rFonts w:ascii="Times New Roman" w:hAnsi="Times New Roman"/>
          <w:sz w:val="24"/>
          <w:szCs w:val="24"/>
        </w:rPr>
        <w:t>would generally</w:t>
      </w:r>
      <w:r w:rsidR="005213B4">
        <w:rPr>
          <w:rFonts w:ascii="Times New Roman" w:hAnsi="Times New Roman"/>
          <w:sz w:val="24"/>
          <w:szCs w:val="24"/>
        </w:rPr>
        <w:t xml:space="preserve"> have a consequent reduction in compliance costs for taxpayers and administrative costs for </w:t>
      </w:r>
      <w:r w:rsidR="00E467E4">
        <w:rPr>
          <w:rFonts w:ascii="Times New Roman" w:hAnsi="Times New Roman"/>
          <w:sz w:val="24"/>
          <w:szCs w:val="24"/>
        </w:rPr>
        <w:t>the Government</w:t>
      </w:r>
      <w:r w:rsidR="005213B4">
        <w:rPr>
          <w:rFonts w:ascii="Times New Roman" w:hAnsi="Times New Roman"/>
          <w:sz w:val="24"/>
          <w:szCs w:val="24"/>
        </w:rPr>
        <w:t xml:space="preserve">.  As a result, </w:t>
      </w:r>
      <w:r w:rsidR="00E467E4">
        <w:rPr>
          <w:rFonts w:ascii="Times New Roman" w:hAnsi="Times New Roman"/>
          <w:sz w:val="24"/>
          <w:szCs w:val="24"/>
        </w:rPr>
        <w:t xml:space="preserve">Inland Revenue has taken </w:t>
      </w:r>
      <w:r w:rsidR="005213B4">
        <w:rPr>
          <w:rFonts w:ascii="Times New Roman" w:hAnsi="Times New Roman"/>
          <w:sz w:val="24"/>
          <w:szCs w:val="24"/>
        </w:rPr>
        <w:t xml:space="preserve">care </w:t>
      </w:r>
      <w:r w:rsidR="00630F1B">
        <w:rPr>
          <w:rFonts w:ascii="Times New Roman" w:hAnsi="Times New Roman"/>
          <w:sz w:val="24"/>
          <w:szCs w:val="24"/>
        </w:rPr>
        <w:t>to ensure</w:t>
      </w:r>
      <w:r w:rsidR="005213B4">
        <w:rPr>
          <w:rFonts w:ascii="Times New Roman" w:hAnsi="Times New Roman"/>
          <w:sz w:val="24"/>
          <w:szCs w:val="24"/>
        </w:rPr>
        <w:t xml:space="preserve"> that any benefits from a reduction in delays to the transformation process are not double-counted</w:t>
      </w:r>
      <w:r w:rsidR="00630F1B">
        <w:rPr>
          <w:rFonts w:ascii="Times New Roman" w:hAnsi="Times New Roman"/>
          <w:sz w:val="24"/>
          <w:szCs w:val="24"/>
        </w:rPr>
        <w:t xml:space="preserve">. </w:t>
      </w:r>
    </w:p>
    <w:p w14:paraId="57153666" w14:textId="77777777" w:rsidR="00630F1B" w:rsidRDefault="00630F1B" w:rsidP="00836D63">
      <w:pPr>
        <w:pStyle w:val="Bullet-list"/>
        <w:spacing w:after="0" w:line="240" w:lineRule="auto"/>
        <w:ind w:left="0" w:firstLine="0"/>
        <w:jc w:val="both"/>
        <w:rPr>
          <w:rFonts w:ascii="Times New Roman" w:hAnsi="Times New Roman"/>
          <w:sz w:val="24"/>
          <w:szCs w:val="24"/>
        </w:rPr>
      </w:pPr>
    </w:p>
    <w:p w14:paraId="3C75D93E" w14:textId="4893FEF7" w:rsidR="002B4468" w:rsidRDefault="00630F1B"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However, w</w:t>
      </w:r>
      <w:r w:rsidR="005213B4">
        <w:rPr>
          <w:rFonts w:ascii="Times New Roman" w:hAnsi="Times New Roman"/>
          <w:sz w:val="24"/>
          <w:szCs w:val="24"/>
        </w:rPr>
        <w:t xml:space="preserve">hile there is </w:t>
      </w:r>
      <w:r>
        <w:rPr>
          <w:rFonts w:ascii="Times New Roman" w:hAnsi="Times New Roman"/>
          <w:sz w:val="24"/>
          <w:szCs w:val="24"/>
        </w:rPr>
        <w:t>a possible</w:t>
      </w:r>
      <w:r w:rsidR="005213B4">
        <w:rPr>
          <w:rFonts w:ascii="Times New Roman" w:hAnsi="Times New Roman"/>
          <w:sz w:val="24"/>
          <w:szCs w:val="24"/>
        </w:rPr>
        <w:t xml:space="preserve"> overlap, Inland Revenue considers that the main objective is distinct from the criteria.  The main objective is to prevent delays to</w:t>
      </w:r>
      <w:r>
        <w:rPr>
          <w:rFonts w:ascii="Times New Roman" w:hAnsi="Times New Roman"/>
          <w:sz w:val="24"/>
          <w:szCs w:val="24"/>
        </w:rPr>
        <w:t xml:space="preserve">, and increased costs for, the transformation process.  This objective is </w:t>
      </w:r>
      <w:r w:rsidR="005213B4">
        <w:rPr>
          <w:rFonts w:ascii="Times New Roman" w:hAnsi="Times New Roman"/>
          <w:sz w:val="24"/>
          <w:szCs w:val="24"/>
        </w:rPr>
        <w:t>independen</w:t>
      </w:r>
      <w:r w:rsidR="00104CD3">
        <w:rPr>
          <w:rFonts w:ascii="Times New Roman" w:hAnsi="Times New Roman"/>
          <w:sz w:val="24"/>
          <w:szCs w:val="24"/>
        </w:rPr>
        <w:t>t of whether this results in a minimisation</w:t>
      </w:r>
      <w:r w:rsidR="005213B4">
        <w:rPr>
          <w:rFonts w:ascii="Times New Roman" w:hAnsi="Times New Roman"/>
          <w:sz w:val="24"/>
          <w:szCs w:val="24"/>
        </w:rPr>
        <w:t xml:space="preserve"> of compliance costs for taxpayers or administrative costs</w:t>
      </w:r>
      <w:r w:rsidR="00104CD3">
        <w:rPr>
          <w:rFonts w:ascii="Times New Roman" w:hAnsi="Times New Roman"/>
          <w:sz w:val="24"/>
          <w:szCs w:val="24"/>
        </w:rPr>
        <w:t xml:space="preserve"> for the Government.</w:t>
      </w:r>
      <w:r w:rsidR="005213B4">
        <w:rPr>
          <w:rFonts w:ascii="Times New Roman" w:hAnsi="Times New Roman"/>
          <w:sz w:val="24"/>
          <w:szCs w:val="24"/>
        </w:rPr>
        <w:t xml:space="preserve">  </w:t>
      </w:r>
    </w:p>
    <w:p w14:paraId="282D1306" w14:textId="77777777" w:rsidR="00C24CFC" w:rsidRDefault="00C24CFC" w:rsidP="00836D63">
      <w:pPr>
        <w:pStyle w:val="Bullet-list"/>
        <w:spacing w:after="0" w:line="240" w:lineRule="auto"/>
        <w:ind w:left="0" w:firstLine="0"/>
        <w:jc w:val="both"/>
        <w:rPr>
          <w:rFonts w:ascii="Times New Roman" w:hAnsi="Times New Roman"/>
          <w:sz w:val="24"/>
          <w:szCs w:val="24"/>
        </w:rPr>
      </w:pPr>
    </w:p>
    <w:p w14:paraId="0192F4E8" w14:textId="77777777" w:rsidR="00320A3C" w:rsidRDefault="00D943DD" w:rsidP="00FC1D7B">
      <w:pPr>
        <w:pStyle w:val="RISheading"/>
        <w:spacing w:before="0" w:after="0" w:line="240" w:lineRule="auto"/>
        <w:jc w:val="both"/>
        <w:rPr>
          <w:spacing w:val="0"/>
          <w:w w:val="100"/>
        </w:rPr>
      </w:pPr>
      <w:bookmarkStart w:id="17" w:name="_Toc244580365"/>
      <w:bookmarkStart w:id="18" w:name="_Toc244587041"/>
      <w:bookmarkStart w:id="19" w:name="_Toc244857275"/>
      <w:bookmarkStart w:id="20" w:name="_Toc244912540"/>
      <w:bookmarkStart w:id="21" w:name="_Toc244916997"/>
      <w:r w:rsidRPr="004342F0">
        <w:rPr>
          <w:spacing w:val="0"/>
          <w:w w:val="100"/>
        </w:rPr>
        <w:t>REGULATORY IMPACT ANALYSIS</w:t>
      </w:r>
      <w:bookmarkEnd w:id="17"/>
      <w:bookmarkEnd w:id="18"/>
      <w:bookmarkEnd w:id="19"/>
      <w:bookmarkEnd w:id="20"/>
      <w:bookmarkEnd w:id="21"/>
      <w:r w:rsidRPr="004342F0">
        <w:rPr>
          <w:spacing w:val="0"/>
          <w:w w:val="100"/>
        </w:rPr>
        <w:t xml:space="preserve"> </w:t>
      </w:r>
    </w:p>
    <w:p w14:paraId="7DCA1B27" w14:textId="77777777" w:rsidR="000E1ED6" w:rsidRPr="00883F7F" w:rsidRDefault="000E1ED6" w:rsidP="00782395">
      <w:pPr>
        <w:pStyle w:val="Bullet-list"/>
        <w:spacing w:after="0" w:line="240" w:lineRule="auto"/>
        <w:ind w:left="0" w:firstLine="0"/>
        <w:jc w:val="both"/>
      </w:pPr>
    </w:p>
    <w:p w14:paraId="4D80B42F" w14:textId="77777777" w:rsidR="00FC43D1" w:rsidRDefault="007013AC"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Officials have identified</w:t>
      </w:r>
      <w:r w:rsidR="00975726">
        <w:rPr>
          <w:rFonts w:ascii="Times New Roman" w:hAnsi="Times New Roman"/>
          <w:sz w:val="24"/>
          <w:szCs w:val="24"/>
        </w:rPr>
        <w:t xml:space="preserve"> three options to address the problem:</w:t>
      </w:r>
    </w:p>
    <w:p w14:paraId="5D8D4E9B" w14:textId="77777777" w:rsidR="00975726" w:rsidRDefault="00975726" w:rsidP="00FC1D7B">
      <w:pPr>
        <w:pStyle w:val="Bullet-list"/>
        <w:spacing w:after="0" w:line="240" w:lineRule="auto"/>
        <w:ind w:left="0" w:firstLine="0"/>
        <w:jc w:val="both"/>
        <w:rPr>
          <w:rFonts w:ascii="Times New Roman" w:hAnsi="Times New Roman"/>
          <w:sz w:val="24"/>
          <w:szCs w:val="24"/>
        </w:rPr>
      </w:pPr>
    </w:p>
    <w:p w14:paraId="110D80DB" w14:textId="5C5DCA4D" w:rsidR="00975726" w:rsidRDefault="00CE1B5A" w:rsidP="00CE1B5A">
      <w:pPr>
        <w:pStyle w:val="Bullet-list"/>
        <w:numPr>
          <w:ilvl w:val="0"/>
          <w:numId w:val="8"/>
        </w:numPr>
        <w:spacing w:after="0" w:line="240" w:lineRule="auto"/>
        <w:jc w:val="both"/>
        <w:rPr>
          <w:rFonts w:ascii="Times New Roman" w:hAnsi="Times New Roman"/>
          <w:sz w:val="24"/>
          <w:szCs w:val="24"/>
        </w:rPr>
      </w:pPr>
      <w:r w:rsidRPr="00CE1B5A">
        <w:rPr>
          <w:rFonts w:ascii="Times New Roman" w:hAnsi="Times New Roman"/>
          <w:b/>
          <w:sz w:val="24"/>
          <w:szCs w:val="24"/>
        </w:rPr>
        <w:t>Option 1 (</w:t>
      </w:r>
      <w:r w:rsidR="00782395" w:rsidRPr="00CE1B5A">
        <w:rPr>
          <w:rFonts w:ascii="Times New Roman" w:hAnsi="Times New Roman"/>
          <w:b/>
          <w:sz w:val="24"/>
          <w:szCs w:val="24"/>
        </w:rPr>
        <w:t>t</w:t>
      </w:r>
      <w:r w:rsidR="00975726" w:rsidRPr="00CE1B5A">
        <w:rPr>
          <w:rFonts w:ascii="Times New Roman" w:hAnsi="Times New Roman"/>
          <w:b/>
          <w:sz w:val="24"/>
          <w:szCs w:val="24"/>
        </w:rPr>
        <w:t>he status quo</w:t>
      </w:r>
      <w:r w:rsidRPr="00CE1B5A">
        <w:rPr>
          <w:rFonts w:ascii="Times New Roman" w:hAnsi="Times New Roman"/>
          <w:b/>
          <w:sz w:val="24"/>
          <w:szCs w:val="24"/>
        </w:rPr>
        <w:t>):</w:t>
      </w:r>
      <w:r>
        <w:rPr>
          <w:rFonts w:ascii="Times New Roman" w:hAnsi="Times New Roman"/>
          <w:sz w:val="24"/>
          <w:szCs w:val="24"/>
        </w:rPr>
        <w:t xml:space="preserve"> </w:t>
      </w:r>
      <w:r w:rsidRPr="00CE1B5A">
        <w:rPr>
          <w:rFonts w:ascii="Times New Roman" w:hAnsi="Times New Roman"/>
          <w:sz w:val="24"/>
          <w:szCs w:val="24"/>
        </w:rPr>
        <w:t>The first option considered is retaining the status quo, so not enacting any transitional regulation empowering provision.  This would mean no specific transitional regulations for Inland Revenue’s business transformation process.  Instead, any transitional issues would be remedied by an amending Act;</w:t>
      </w:r>
    </w:p>
    <w:p w14:paraId="43F72735" w14:textId="77777777" w:rsidR="00EC55F7" w:rsidRDefault="00EC55F7" w:rsidP="00AB456E">
      <w:pPr>
        <w:pStyle w:val="Bullet-list"/>
        <w:spacing w:after="0" w:line="240" w:lineRule="auto"/>
        <w:jc w:val="both"/>
        <w:rPr>
          <w:rFonts w:ascii="Times New Roman" w:hAnsi="Times New Roman"/>
          <w:sz w:val="24"/>
          <w:szCs w:val="24"/>
        </w:rPr>
      </w:pPr>
    </w:p>
    <w:p w14:paraId="54B7EFA8" w14:textId="77777777" w:rsidR="00863F13" w:rsidRDefault="00863F13" w:rsidP="00AB456E">
      <w:pPr>
        <w:pStyle w:val="Bullet-list"/>
        <w:spacing w:after="0" w:line="240" w:lineRule="auto"/>
        <w:jc w:val="both"/>
        <w:rPr>
          <w:rFonts w:ascii="Times New Roman" w:hAnsi="Times New Roman"/>
          <w:sz w:val="24"/>
          <w:szCs w:val="24"/>
        </w:rPr>
      </w:pPr>
    </w:p>
    <w:p w14:paraId="2F71E257" w14:textId="77777777" w:rsidR="00863F13" w:rsidRDefault="00863F13" w:rsidP="00AB456E">
      <w:pPr>
        <w:pStyle w:val="Bullet-list"/>
        <w:spacing w:after="0" w:line="240" w:lineRule="auto"/>
        <w:jc w:val="both"/>
        <w:rPr>
          <w:rFonts w:ascii="Times New Roman" w:hAnsi="Times New Roman"/>
          <w:sz w:val="24"/>
          <w:szCs w:val="24"/>
        </w:rPr>
      </w:pPr>
    </w:p>
    <w:p w14:paraId="4E14FE4A" w14:textId="4BCEC2FE" w:rsidR="00975726" w:rsidRDefault="00782395" w:rsidP="00CE1B5A">
      <w:pPr>
        <w:pStyle w:val="Bullet-list"/>
        <w:numPr>
          <w:ilvl w:val="0"/>
          <w:numId w:val="8"/>
        </w:numPr>
        <w:spacing w:after="0" w:line="240" w:lineRule="auto"/>
        <w:jc w:val="both"/>
        <w:rPr>
          <w:rFonts w:ascii="Times New Roman" w:hAnsi="Times New Roman"/>
          <w:sz w:val="24"/>
          <w:szCs w:val="24"/>
        </w:rPr>
      </w:pPr>
      <w:r w:rsidRPr="00CE1B5A">
        <w:rPr>
          <w:rFonts w:ascii="Times New Roman" w:hAnsi="Times New Roman"/>
          <w:b/>
          <w:sz w:val="24"/>
          <w:szCs w:val="24"/>
        </w:rPr>
        <w:t>Option 2</w:t>
      </w:r>
      <w:r w:rsidR="00CE1B5A" w:rsidRPr="00CE1B5A">
        <w:rPr>
          <w:rFonts w:ascii="Times New Roman" w:hAnsi="Times New Roman"/>
          <w:b/>
          <w:sz w:val="24"/>
          <w:szCs w:val="24"/>
        </w:rPr>
        <w:t xml:space="preserve"> (Orders in Council</w:t>
      </w:r>
      <w:r w:rsidR="00523524">
        <w:rPr>
          <w:rFonts w:ascii="Times New Roman" w:hAnsi="Times New Roman"/>
          <w:b/>
          <w:sz w:val="24"/>
          <w:szCs w:val="24"/>
        </w:rPr>
        <w:t xml:space="preserve"> and exemptions</w:t>
      </w:r>
      <w:r w:rsidR="00CE1B5A" w:rsidRPr="00CE1B5A">
        <w:rPr>
          <w:rFonts w:ascii="Times New Roman" w:hAnsi="Times New Roman"/>
          <w:b/>
          <w:sz w:val="24"/>
          <w:szCs w:val="24"/>
        </w:rPr>
        <w:t>)</w:t>
      </w:r>
      <w:r w:rsidR="002C5BA6">
        <w:rPr>
          <w:rFonts w:ascii="Times New Roman" w:hAnsi="Times New Roman"/>
          <w:b/>
          <w:sz w:val="24"/>
          <w:szCs w:val="24"/>
        </w:rPr>
        <w:t xml:space="preserve"> (preferred approach)</w:t>
      </w:r>
      <w:r>
        <w:rPr>
          <w:rFonts w:ascii="Times New Roman" w:hAnsi="Times New Roman"/>
          <w:sz w:val="24"/>
          <w:szCs w:val="24"/>
        </w:rPr>
        <w:t xml:space="preserve">: </w:t>
      </w:r>
      <w:r w:rsidR="00CE1B5A" w:rsidRPr="00CE1B5A">
        <w:rPr>
          <w:rFonts w:ascii="Times New Roman" w:hAnsi="Times New Roman"/>
          <w:sz w:val="24"/>
          <w:szCs w:val="24"/>
        </w:rPr>
        <w:t xml:space="preserve">The second option is to enact a regulation-making empowering provision to allow transitional regulations </w:t>
      </w:r>
      <w:r w:rsidR="00570600">
        <w:rPr>
          <w:rFonts w:ascii="Times New Roman" w:hAnsi="Times New Roman"/>
          <w:sz w:val="24"/>
          <w:szCs w:val="24"/>
        </w:rPr>
        <w:t xml:space="preserve">and exemptions </w:t>
      </w:r>
      <w:r w:rsidR="00CE1B5A" w:rsidRPr="00CE1B5A">
        <w:rPr>
          <w:rFonts w:ascii="Times New Roman" w:hAnsi="Times New Roman"/>
          <w:sz w:val="24"/>
          <w:szCs w:val="24"/>
        </w:rPr>
        <w:t>to be made by Order in Council.</w:t>
      </w:r>
      <w:r w:rsidR="00570600">
        <w:rPr>
          <w:rFonts w:ascii="Times New Roman" w:hAnsi="Times New Roman"/>
          <w:sz w:val="24"/>
          <w:szCs w:val="24"/>
        </w:rPr>
        <w:t xml:space="preserve">  This option would still allow issues to be dealt with by </w:t>
      </w:r>
      <w:r w:rsidR="001F4595">
        <w:rPr>
          <w:rFonts w:ascii="Times New Roman" w:hAnsi="Times New Roman"/>
          <w:sz w:val="24"/>
          <w:szCs w:val="24"/>
        </w:rPr>
        <w:t>an</w:t>
      </w:r>
      <w:r w:rsidR="00570600">
        <w:rPr>
          <w:rFonts w:ascii="Times New Roman" w:hAnsi="Times New Roman"/>
          <w:sz w:val="24"/>
          <w:szCs w:val="24"/>
        </w:rPr>
        <w:t xml:space="preserve"> amendment </w:t>
      </w:r>
      <w:r w:rsidR="001F4595">
        <w:rPr>
          <w:rFonts w:ascii="Times New Roman" w:hAnsi="Times New Roman"/>
          <w:sz w:val="24"/>
          <w:szCs w:val="24"/>
        </w:rPr>
        <w:t xml:space="preserve">Act </w:t>
      </w:r>
      <w:r w:rsidR="00570600">
        <w:rPr>
          <w:rFonts w:ascii="Times New Roman" w:hAnsi="Times New Roman"/>
          <w:sz w:val="24"/>
          <w:szCs w:val="24"/>
        </w:rPr>
        <w:t>if it was deemed appropriate.</w:t>
      </w:r>
    </w:p>
    <w:p w14:paraId="2F1D8584" w14:textId="77777777" w:rsidR="00075066" w:rsidRDefault="00075066" w:rsidP="00AB456E">
      <w:pPr>
        <w:pStyle w:val="Bullet-list"/>
        <w:spacing w:after="0" w:line="240" w:lineRule="auto"/>
        <w:jc w:val="both"/>
        <w:rPr>
          <w:rFonts w:ascii="Times New Roman" w:hAnsi="Times New Roman"/>
          <w:sz w:val="24"/>
          <w:szCs w:val="24"/>
        </w:rPr>
      </w:pPr>
    </w:p>
    <w:p w14:paraId="166C4795" w14:textId="63CF4FB9" w:rsidR="00975726" w:rsidRDefault="00782395" w:rsidP="00CE1B5A">
      <w:pPr>
        <w:pStyle w:val="Bullet-list"/>
        <w:numPr>
          <w:ilvl w:val="0"/>
          <w:numId w:val="8"/>
        </w:numPr>
        <w:spacing w:after="0" w:line="240" w:lineRule="auto"/>
        <w:jc w:val="both"/>
        <w:rPr>
          <w:rFonts w:ascii="Times New Roman" w:hAnsi="Times New Roman"/>
          <w:sz w:val="24"/>
          <w:szCs w:val="24"/>
        </w:rPr>
      </w:pPr>
      <w:r w:rsidRPr="00CE1B5A">
        <w:rPr>
          <w:rFonts w:ascii="Times New Roman" w:hAnsi="Times New Roman"/>
          <w:b/>
          <w:sz w:val="24"/>
          <w:szCs w:val="24"/>
        </w:rPr>
        <w:t xml:space="preserve">Option </w:t>
      </w:r>
      <w:r w:rsidR="007F349D" w:rsidRPr="00CE1B5A">
        <w:rPr>
          <w:rFonts w:ascii="Times New Roman" w:hAnsi="Times New Roman"/>
          <w:b/>
          <w:sz w:val="24"/>
          <w:szCs w:val="24"/>
        </w:rPr>
        <w:t>3</w:t>
      </w:r>
      <w:r w:rsidR="00CE1B5A" w:rsidRPr="00CE1B5A">
        <w:rPr>
          <w:rFonts w:ascii="Times New Roman" w:hAnsi="Times New Roman"/>
          <w:b/>
          <w:sz w:val="24"/>
          <w:szCs w:val="24"/>
        </w:rPr>
        <w:t xml:space="preserve"> (Hybrid approach)</w:t>
      </w:r>
      <w:r w:rsidRPr="00CE1B5A">
        <w:rPr>
          <w:rFonts w:ascii="Times New Roman" w:hAnsi="Times New Roman"/>
          <w:b/>
          <w:sz w:val="24"/>
          <w:szCs w:val="24"/>
        </w:rPr>
        <w:t>:</w:t>
      </w:r>
      <w:r w:rsidR="00CE1B5A">
        <w:rPr>
          <w:rFonts w:ascii="Times New Roman" w:hAnsi="Times New Roman"/>
          <w:sz w:val="24"/>
          <w:szCs w:val="24"/>
        </w:rPr>
        <w:t xml:space="preserve"> </w:t>
      </w:r>
      <w:r w:rsidR="00CE1B5A" w:rsidRPr="00CE1B5A">
        <w:rPr>
          <w:rFonts w:ascii="Times New Roman" w:hAnsi="Times New Roman"/>
          <w:sz w:val="24"/>
          <w:szCs w:val="24"/>
        </w:rPr>
        <w:t xml:space="preserve">The </w:t>
      </w:r>
      <w:r w:rsidR="00AC5EB7">
        <w:rPr>
          <w:rFonts w:ascii="Times New Roman" w:hAnsi="Times New Roman"/>
          <w:sz w:val="24"/>
          <w:szCs w:val="24"/>
        </w:rPr>
        <w:t xml:space="preserve">third </w:t>
      </w:r>
      <w:r w:rsidR="00CE1B5A" w:rsidRPr="00CE1B5A">
        <w:rPr>
          <w:rFonts w:ascii="Times New Roman" w:hAnsi="Times New Roman"/>
          <w:sz w:val="24"/>
          <w:szCs w:val="24"/>
        </w:rPr>
        <w:t xml:space="preserve">option is to enact an empowering provision that allows regulations </w:t>
      </w:r>
      <w:r w:rsidR="00570600">
        <w:rPr>
          <w:rFonts w:ascii="Times New Roman" w:hAnsi="Times New Roman"/>
          <w:sz w:val="24"/>
          <w:szCs w:val="24"/>
        </w:rPr>
        <w:t xml:space="preserve">and exemptions </w:t>
      </w:r>
      <w:r w:rsidR="00CE1B5A" w:rsidRPr="00CE1B5A">
        <w:rPr>
          <w:rFonts w:ascii="Times New Roman" w:hAnsi="Times New Roman"/>
          <w:sz w:val="24"/>
          <w:szCs w:val="24"/>
        </w:rPr>
        <w:t>to be made either by Order in Council or by the Commissioner under a delegated authority, depending on the nature of the transitional issue</w:t>
      </w:r>
      <w:r w:rsidR="00B552BF">
        <w:rPr>
          <w:rFonts w:ascii="Times New Roman" w:hAnsi="Times New Roman"/>
          <w:sz w:val="24"/>
          <w:szCs w:val="24"/>
        </w:rPr>
        <w:t>.</w:t>
      </w:r>
      <w:r w:rsidR="00570600">
        <w:rPr>
          <w:rFonts w:ascii="Times New Roman" w:hAnsi="Times New Roman"/>
          <w:sz w:val="24"/>
          <w:szCs w:val="24"/>
        </w:rPr>
        <w:t xml:space="preserve">  This option would still allow issues to be dealt with by </w:t>
      </w:r>
      <w:r w:rsidR="00B82FF5">
        <w:rPr>
          <w:rFonts w:ascii="Times New Roman" w:hAnsi="Times New Roman"/>
          <w:sz w:val="24"/>
          <w:szCs w:val="24"/>
        </w:rPr>
        <w:t>an</w:t>
      </w:r>
      <w:r w:rsidR="00570600">
        <w:rPr>
          <w:rFonts w:ascii="Times New Roman" w:hAnsi="Times New Roman"/>
          <w:sz w:val="24"/>
          <w:szCs w:val="24"/>
        </w:rPr>
        <w:t xml:space="preserve"> amendment </w:t>
      </w:r>
      <w:r w:rsidR="00B82FF5">
        <w:rPr>
          <w:rFonts w:ascii="Times New Roman" w:hAnsi="Times New Roman"/>
          <w:sz w:val="24"/>
          <w:szCs w:val="24"/>
        </w:rPr>
        <w:t xml:space="preserve">Act </w:t>
      </w:r>
      <w:r w:rsidR="00570600">
        <w:rPr>
          <w:rFonts w:ascii="Times New Roman" w:hAnsi="Times New Roman"/>
          <w:sz w:val="24"/>
          <w:szCs w:val="24"/>
        </w:rPr>
        <w:t>if it was deemed appropriate.</w:t>
      </w:r>
    </w:p>
    <w:p w14:paraId="5302EBC8" w14:textId="77777777" w:rsidR="00EE15E5" w:rsidRDefault="00EE15E5" w:rsidP="00FC1D7B">
      <w:pPr>
        <w:pStyle w:val="Bullet-list"/>
        <w:spacing w:after="0" w:line="240" w:lineRule="auto"/>
        <w:ind w:left="0" w:firstLine="0"/>
        <w:jc w:val="both"/>
        <w:rPr>
          <w:rFonts w:ascii="Times New Roman" w:hAnsi="Times New Roman"/>
          <w:sz w:val="24"/>
          <w:szCs w:val="24"/>
        </w:rPr>
      </w:pPr>
    </w:p>
    <w:p w14:paraId="321C2A87" w14:textId="77777777" w:rsidR="00EE15E5" w:rsidRDefault="00EE15E5" w:rsidP="00B31F9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There are no social, environmental or cultural impacts associated with</w:t>
      </w:r>
      <w:r w:rsidR="00B00EEB">
        <w:rPr>
          <w:rFonts w:ascii="Times New Roman" w:hAnsi="Times New Roman"/>
          <w:sz w:val="24"/>
          <w:szCs w:val="24"/>
        </w:rPr>
        <w:t xml:space="preserve"> any of the identified options.</w:t>
      </w:r>
    </w:p>
    <w:p w14:paraId="2E82C018" w14:textId="77777777" w:rsidR="0007377C" w:rsidRDefault="0007377C" w:rsidP="00AB456E">
      <w:pPr>
        <w:pStyle w:val="Bullet-list"/>
        <w:spacing w:after="0" w:line="240" w:lineRule="auto"/>
        <w:jc w:val="both"/>
        <w:rPr>
          <w:rFonts w:ascii="Times New Roman" w:hAnsi="Times New Roman"/>
          <w:sz w:val="24"/>
          <w:szCs w:val="24"/>
        </w:rPr>
      </w:pPr>
    </w:p>
    <w:p w14:paraId="64594839" w14:textId="77777777" w:rsidR="005D1956" w:rsidRPr="00782395" w:rsidRDefault="005D1956" w:rsidP="00FC1D7B">
      <w:pPr>
        <w:pStyle w:val="Bullet-list"/>
        <w:spacing w:after="0" w:line="240" w:lineRule="auto"/>
        <w:ind w:left="0" w:firstLine="0"/>
        <w:jc w:val="both"/>
        <w:rPr>
          <w:rFonts w:ascii="Times New Roman" w:hAnsi="Times New Roman"/>
          <w:b/>
          <w:sz w:val="24"/>
          <w:szCs w:val="24"/>
        </w:rPr>
      </w:pPr>
      <w:r w:rsidRPr="00782395">
        <w:rPr>
          <w:rFonts w:ascii="Times New Roman" w:hAnsi="Times New Roman"/>
          <w:b/>
          <w:sz w:val="24"/>
          <w:szCs w:val="24"/>
        </w:rPr>
        <w:t>Option 1</w:t>
      </w:r>
    </w:p>
    <w:p w14:paraId="50349310" w14:textId="77777777" w:rsidR="005D1956" w:rsidRDefault="005D1956" w:rsidP="00FC1D7B">
      <w:pPr>
        <w:pStyle w:val="Bullet-list"/>
        <w:spacing w:after="0" w:line="240" w:lineRule="auto"/>
        <w:ind w:left="0" w:firstLine="0"/>
        <w:jc w:val="both"/>
        <w:rPr>
          <w:rFonts w:ascii="Times New Roman" w:hAnsi="Times New Roman"/>
          <w:sz w:val="24"/>
          <w:szCs w:val="24"/>
        </w:rPr>
      </w:pPr>
    </w:p>
    <w:p w14:paraId="0BFABD49" w14:textId="31A2C81F" w:rsidR="005D1956" w:rsidRDefault="005103DD" w:rsidP="00B31F90">
      <w:pPr>
        <w:pStyle w:val="Bullet-list"/>
        <w:numPr>
          <w:ilvl w:val="0"/>
          <w:numId w:val="12"/>
        </w:numPr>
        <w:spacing w:after="0" w:line="240" w:lineRule="auto"/>
        <w:ind w:left="0" w:firstLine="0"/>
        <w:jc w:val="both"/>
        <w:rPr>
          <w:rFonts w:ascii="Times New Roman" w:hAnsi="Times New Roman"/>
          <w:sz w:val="24"/>
          <w:szCs w:val="24"/>
        </w:rPr>
      </w:pPr>
      <w:r w:rsidRPr="00CE1B5A">
        <w:rPr>
          <w:rFonts w:ascii="Times New Roman" w:hAnsi="Times New Roman"/>
          <w:sz w:val="24"/>
          <w:szCs w:val="24"/>
        </w:rPr>
        <w:t>The first option considered is retaining the status quo, so not enacting any transitional regulation</w:t>
      </w:r>
      <w:r w:rsidR="00B82FF5">
        <w:rPr>
          <w:rFonts w:ascii="Times New Roman" w:hAnsi="Times New Roman"/>
          <w:sz w:val="24"/>
          <w:szCs w:val="24"/>
        </w:rPr>
        <w:t>-making</w:t>
      </w:r>
      <w:r w:rsidRPr="00CE1B5A">
        <w:rPr>
          <w:rFonts w:ascii="Times New Roman" w:hAnsi="Times New Roman"/>
          <w:sz w:val="24"/>
          <w:szCs w:val="24"/>
        </w:rPr>
        <w:t xml:space="preserve"> empowering provision.  This would mean no specific transitional regulations for Inland Revenue’s business transformation process.  Instead, any transitional issues would be remedied by an amending Act</w:t>
      </w:r>
      <w:r w:rsidR="005D1956">
        <w:rPr>
          <w:rFonts w:ascii="Times New Roman" w:hAnsi="Times New Roman"/>
          <w:sz w:val="24"/>
          <w:szCs w:val="24"/>
        </w:rPr>
        <w:t>.</w:t>
      </w:r>
      <w:r w:rsidR="00C0260B">
        <w:rPr>
          <w:rFonts w:ascii="Times New Roman" w:hAnsi="Times New Roman"/>
          <w:sz w:val="24"/>
          <w:szCs w:val="24"/>
        </w:rPr>
        <w:t xml:space="preserve">  </w:t>
      </w:r>
      <w:r w:rsidR="00EC55F7">
        <w:rPr>
          <w:rFonts w:ascii="Times New Roman" w:hAnsi="Times New Roman"/>
          <w:sz w:val="24"/>
          <w:szCs w:val="24"/>
        </w:rPr>
        <w:t>An amending Act</w:t>
      </w:r>
      <w:r w:rsidR="00C0260B">
        <w:rPr>
          <w:rFonts w:ascii="Times New Roman" w:hAnsi="Times New Roman"/>
          <w:sz w:val="24"/>
          <w:szCs w:val="24"/>
        </w:rPr>
        <w:t xml:space="preserve"> would be able to cover the entire scope of issues that </w:t>
      </w:r>
      <w:r w:rsidR="00104CD3">
        <w:rPr>
          <w:rFonts w:ascii="Times New Roman" w:hAnsi="Times New Roman"/>
          <w:sz w:val="24"/>
          <w:szCs w:val="24"/>
        </w:rPr>
        <w:t>might</w:t>
      </w:r>
      <w:r w:rsidR="00C0260B">
        <w:rPr>
          <w:rFonts w:ascii="Times New Roman" w:hAnsi="Times New Roman"/>
          <w:sz w:val="24"/>
          <w:szCs w:val="24"/>
        </w:rPr>
        <w:t xml:space="preserve"> arise during the business transformation process.</w:t>
      </w:r>
    </w:p>
    <w:p w14:paraId="2D3C3F49" w14:textId="77777777" w:rsidR="005D1956" w:rsidRDefault="005D1956" w:rsidP="00FC1D7B">
      <w:pPr>
        <w:pStyle w:val="Bullet-list"/>
        <w:spacing w:after="0" w:line="240" w:lineRule="auto"/>
        <w:ind w:left="0" w:firstLine="0"/>
        <w:jc w:val="both"/>
        <w:rPr>
          <w:rFonts w:ascii="Times New Roman" w:hAnsi="Times New Roman"/>
          <w:sz w:val="24"/>
          <w:szCs w:val="24"/>
        </w:rPr>
      </w:pPr>
    </w:p>
    <w:p w14:paraId="7B549BF9" w14:textId="77777777" w:rsidR="005D1956" w:rsidRPr="00782395" w:rsidRDefault="005D1956" w:rsidP="00FC1D7B">
      <w:pPr>
        <w:pStyle w:val="Bullet-list"/>
        <w:spacing w:after="0" w:line="240" w:lineRule="auto"/>
        <w:ind w:left="0" w:firstLine="0"/>
        <w:jc w:val="both"/>
        <w:rPr>
          <w:rFonts w:ascii="Times New Roman" w:hAnsi="Times New Roman"/>
          <w:b/>
          <w:i/>
          <w:sz w:val="24"/>
          <w:szCs w:val="24"/>
        </w:rPr>
      </w:pPr>
      <w:r w:rsidRPr="00782395">
        <w:rPr>
          <w:rFonts w:ascii="Times New Roman" w:hAnsi="Times New Roman"/>
          <w:b/>
          <w:i/>
          <w:sz w:val="24"/>
          <w:szCs w:val="24"/>
        </w:rPr>
        <w:t>Assessment against objective and criteria – option 1</w:t>
      </w:r>
    </w:p>
    <w:p w14:paraId="77F09218"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0BAB0F9B" w14:textId="2B233969" w:rsidR="00340A99" w:rsidRPr="007759CE" w:rsidRDefault="00340A99" w:rsidP="00854FA9">
      <w:pPr>
        <w:pStyle w:val="Bullet-list"/>
        <w:spacing w:after="0" w:line="240" w:lineRule="auto"/>
        <w:jc w:val="both"/>
        <w:rPr>
          <w:rFonts w:ascii="Times New Roman" w:hAnsi="Times New Roman"/>
          <w:i/>
          <w:sz w:val="24"/>
          <w:szCs w:val="24"/>
        </w:rPr>
      </w:pPr>
      <w:r>
        <w:rPr>
          <w:rFonts w:ascii="Times New Roman" w:hAnsi="Times New Roman"/>
          <w:i/>
          <w:sz w:val="24"/>
          <w:szCs w:val="24"/>
        </w:rPr>
        <w:t>Main objective</w:t>
      </w:r>
    </w:p>
    <w:p w14:paraId="3C825B8A" w14:textId="77777777" w:rsidR="00340A99" w:rsidRPr="00A640CD" w:rsidRDefault="00340A99" w:rsidP="00340A99">
      <w:pPr>
        <w:pStyle w:val="Bullet-list"/>
        <w:spacing w:after="0" w:line="240" w:lineRule="auto"/>
        <w:ind w:left="720" w:firstLine="0"/>
        <w:jc w:val="both"/>
        <w:rPr>
          <w:rFonts w:ascii="Times New Roman" w:hAnsi="Times New Roman"/>
          <w:sz w:val="24"/>
          <w:szCs w:val="24"/>
        </w:rPr>
      </w:pPr>
    </w:p>
    <w:p w14:paraId="6A7E9156" w14:textId="43E1C2B2" w:rsidR="00932A1A" w:rsidRDefault="005103DD"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option does not meet the main objective because </w:t>
      </w:r>
      <w:r w:rsidRPr="005103DD">
        <w:rPr>
          <w:rFonts w:ascii="Times New Roman" w:hAnsi="Times New Roman"/>
          <w:sz w:val="24"/>
          <w:szCs w:val="24"/>
        </w:rPr>
        <w:t xml:space="preserve">the delays in the legislative process may hinder the orderly transition from the old system to the new system.  </w:t>
      </w:r>
      <w:r w:rsidR="00C0260B">
        <w:rPr>
          <w:rFonts w:ascii="Times New Roman" w:hAnsi="Times New Roman"/>
          <w:sz w:val="24"/>
          <w:szCs w:val="24"/>
        </w:rPr>
        <w:t xml:space="preserve">Delays could be caused by the </w:t>
      </w:r>
      <w:r w:rsidR="00C0260B" w:rsidRPr="00C0260B">
        <w:rPr>
          <w:rFonts w:ascii="Times New Roman" w:hAnsi="Times New Roman"/>
          <w:sz w:val="24"/>
          <w:szCs w:val="24"/>
        </w:rPr>
        <w:t>complex and time-consuming process leading up to when a bill can be introduced</w:t>
      </w:r>
      <w:r w:rsidR="00C0260B">
        <w:rPr>
          <w:rFonts w:ascii="Times New Roman" w:hAnsi="Times New Roman"/>
          <w:sz w:val="24"/>
          <w:szCs w:val="24"/>
        </w:rPr>
        <w:t>.</w:t>
      </w:r>
      <w:r w:rsidR="00B42131">
        <w:rPr>
          <w:rFonts w:ascii="Times New Roman" w:hAnsi="Times New Roman"/>
          <w:sz w:val="24"/>
          <w:szCs w:val="24"/>
        </w:rPr>
        <w:t xml:space="preserve">  This </w:t>
      </w:r>
      <w:r w:rsidR="00104CD3">
        <w:rPr>
          <w:rFonts w:ascii="Times New Roman" w:hAnsi="Times New Roman"/>
          <w:sz w:val="24"/>
          <w:szCs w:val="24"/>
        </w:rPr>
        <w:t>would</w:t>
      </w:r>
      <w:r w:rsidR="00B42131">
        <w:rPr>
          <w:rFonts w:ascii="Times New Roman" w:hAnsi="Times New Roman"/>
          <w:sz w:val="24"/>
          <w:szCs w:val="24"/>
        </w:rPr>
        <w:t xml:space="preserve"> delay or increase the cost of the transformation process.</w:t>
      </w:r>
    </w:p>
    <w:p w14:paraId="149A70FA" w14:textId="77777777" w:rsidR="00932A1A" w:rsidRDefault="00932A1A" w:rsidP="00B31F90">
      <w:pPr>
        <w:pStyle w:val="ListParagraph"/>
        <w:ind w:left="0"/>
        <w:rPr>
          <w:rFonts w:ascii="Times New Roman" w:hAnsi="Times New Roman"/>
          <w:sz w:val="24"/>
          <w:szCs w:val="24"/>
        </w:rPr>
      </w:pPr>
    </w:p>
    <w:p w14:paraId="59C82770" w14:textId="11F54C9A" w:rsidR="00405EB6" w:rsidRPr="001A0D4D" w:rsidRDefault="00675F15" w:rsidP="00405EB6">
      <w:pPr>
        <w:pStyle w:val="Bullet-list"/>
        <w:numPr>
          <w:ilvl w:val="0"/>
          <w:numId w:val="12"/>
        </w:numPr>
        <w:spacing w:after="0" w:line="240" w:lineRule="auto"/>
        <w:ind w:left="0" w:firstLine="0"/>
        <w:jc w:val="both"/>
        <w:rPr>
          <w:rFonts w:ascii="Times New Roman" w:hAnsi="Times New Roman"/>
          <w:sz w:val="24"/>
          <w:szCs w:val="24"/>
        </w:rPr>
      </w:pPr>
      <w:r w:rsidRPr="001A0D4D">
        <w:rPr>
          <w:rFonts w:ascii="Times New Roman" w:hAnsi="Times New Roman"/>
          <w:sz w:val="24"/>
          <w:szCs w:val="24"/>
        </w:rPr>
        <w:t>It is noted that there are often several tax</w:t>
      </w:r>
      <w:r w:rsidR="00D230F6" w:rsidRPr="001A0D4D">
        <w:rPr>
          <w:rFonts w:ascii="Times New Roman" w:hAnsi="Times New Roman"/>
          <w:sz w:val="24"/>
          <w:szCs w:val="24"/>
        </w:rPr>
        <w:t>ation</w:t>
      </w:r>
      <w:r w:rsidRPr="001A0D4D">
        <w:rPr>
          <w:rFonts w:ascii="Times New Roman" w:hAnsi="Times New Roman"/>
          <w:sz w:val="24"/>
          <w:szCs w:val="24"/>
        </w:rPr>
        <w:t xml:space="preserve"> Bills going </w:t>
      </w:r>
      <w:r w:rsidR="00D230F6" w:rsidRPr="001A0D4D">
        <w:rPr>
          <w:rFonts w:ascii="Times New Roman" w:hAnsi="Times New Roman"/>
          <w:sz w:val="24"/>
          <w:szCs w:val="24"/>
        </w:rPr>
        <w:t xml:space="preserve">through </w:t>
      </w:r>
      <w:r w:rsidRPr="001A0D4D">
        <w:rPr>
          <w:rFonts w:ascii="Times New Roman" w:hAnsi="Times New Roman"/>
          <w:sz w:val="24"/>
          <w:szCs w:val="24"/>
        </w:rPr>
        <w:t xml:space="preserve">the House at any given time, so any remedial issues could be added to an existing Bill.  This would arguably </w:t>
      </w:r>
      <w:r w:rsidR="00C0260B">
        <w:rPr>
          <w:rFonts w:ascii="Times New Roman" w:hAnsi="Times New Roman"/>
          <w:sz w:val="24"/>
          <w:szCs w:val="24"/>
        </w:rPr>
        <w:t>reduce any delays</w:t>
      </w:r>
      <w:r w:rsidRPr="001A0D4D">
        <w:rPr>
          <w:rFonts w:ascii="Times New Roman" w:hAnsi="Times New Roman"/>
          <w:sz w:val="24"/>
          <w:szCs w:val="24"/>
        </w:rPr>
        <w:t xml:space="preserve"> </w:t>
      </w:r>
      <w:r w:rsidR="00C0260B">
        <w:rPr>
          <w:rFonts w:ascii="Times New Roman" w:hAnsi="Times New Roman"/>
          <w:sz w:val="24"/>
          <w:szCs w:val="24"/>
        </w:rPr>
        <w:t>to the transformation process</w:t>
      </w:r>
      <w:r w:rsidRPr="001A0D4D">
        <w:rPr>
          <w:rFonts w:ascii="Times New Roman" w:hAnsi="Times New Roman"/>
          <w:sz w:val="24"/>
          <w:szCs w:val="24"/>
        </w:rPr>
        <w:t xml:space="preserve">.  However, </w:t>
      </w:r>
      <w:r w:rsidR="00C0260B">
        <w:rPr>
          <w:rFonts w:ascii="Times New Roman" w:hAnsi="Times New Roman"/>
          <w:sz w:val="24"/>
          <w:szCs w:val="24"/>
        </w:rPr>
        <w:t xml:space="preserve">rushing an amendment through an existing bill </w:t>
      </w:r>
      <w:r w:rsidR="00EC55F7">
        <w:rPr>
          <w:rFonts w:ascii="Times New Roman" w:hAnsi="Times New Roman"/>
          <w:sz w:val="24"/>
          <w:szCs w:val="24"/>
        </w:rPr>
        <w:t>may raise issues about the</w:t>
      </w:r>
      <w:r w:rsidR="006B4468">
        <w:rPr>
          <w:rFonts w:ascii="Times New Roman" w:hAnsi="Times New Roman"/>
          <w:sz w:val="24"/>
          <w:szCs w:val="24"/>
        </w:rPr>
        <w:t xml:space="preserve"> sustainability of the option</w:t>
      </w:r>
      <w:r w:rsidR="00EC55F7">
        <w:rPr>
          <w:rFonts w:ascii="Times New Roman" w:hAnsi="Times New Roman"/>
          <w:sz w:val="24"/>
          <w:szCs w:val="24"/>
        </w:rPr>
        <w:t xml:space="preserve"> (which is discussed below)</w:t>
      </w:r>
      <w:r w:rsidR="006B4468">
        <w:rPr>
          <w:rFonts w:ascii="Times New Roman" w:hAnsi="Times New Roman"/>
          <w:sz w:val="24"/>
          <w:szCs w:val="24"/>
        </w:rPr>
        <w:t>.</w:t>
      </w:r>
    </w:p>
    <w:p w14:paraId="398A236F" w14:textId="77777777" w:rsidR="00675F15" w:rsidRDefault="00675F15" w:rsidP="00B31F90">
      <w:pPr>
        <w:pStyle w:val="ListParagraph"/>
        <w:ind w:left="0"/>
        <w:rPr>
          <w:rFonts w:ascii="Times New Roman" w:hAnsi="Times New Roman"/>
          <w:sz w:val="24"/>
          <w:szCs w:val="24"/>
        </w:rPr>
      </w:pPr>
    </w:p>
    <w:p w14:paraId="5A6D7ADF" w14:textId="4B7F733C" w:rsidR="00340A99" w:rsidRPr="007759CE" w:rsidRDefault="00340A99" w:rsidP="00854FA9">
      <w:pPr>
        <w:pStyle w:val="Bullet-list"/>
        <w:spacing w:after="0" w:line="240" w:lineRule="auto"/>
        <w:ind w:left="0" w:firstLine="0"/>
        <w:jc w:val="both"/>
        <w:rPr>
          <w:rFonts w:ascii="Times New Roman" w:hAnsi="Times New Roman"/>
          <w:i/>
          <w:sz w:val="24"/>
          <w:szCs w:val="24"/>
        </w:rPr>
      </w:pPr>
      <w:r w:rsidRPr="007759CE">
        <w:rPr>
          <w:rFonts w:ascii="Times New Roman" w:hAnsi="Times New Roman"/>
          <w:i/>
          <w:sz w:val="24"/>
          <w:szCs w:val="24"/>
        </w:rPr>
        <w:t xml:space="preserve">Compliance </w:t>
      </w:r>
      <w:r w:rsidR="00B82FF5">
        <w:rPr>
          <w:rFonts w:ascii="Times New Roman" w:hAnsi="Times New Roman"/>
          <w:i/>
          <w:sz w:val="24"/>
          <w:szCs w:val="24"/>
        </w:rPr>
        <w:t>efficiency</w:t>
      </w:r>
    </w:p>
    <w:p w14:paraId="350FA430" w14:textId="77777777" w:rsidR="00340A99" w:rsidRDefault="00340A99" w:rsidP="00340A99">
      <w:pPr>
        <w:pStyle w:val="Bullet-list"/>
        <w:spacing w:after="0" w:line="240" w:lineRule="auto"/>
        <w:ind w:left="720" w:firstLine="0"/>
        <w:jc w:val="both"/>
        <w:rPr>
          <w:rFonts w:ascii="Times New Roman" w:hAnsi="Times New Roman"/>
          <w:sz w:val="24"/>
          <w:szCs w:val="24"/>
        </w:rPr>
      </w:pPr>
    </w:p>
    <w:p w14:paraId="333CDC2A" w14:textId="29A4EFF4" w:rsidR="009D0114" w:rsidRDefault="00E467E4" w:rsidP="00D4061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Inland Revenue considers that overall o</w:t>
      </w:r>
      <w:r w:rsidR="00D4061A" w:rsidRPr="008A0DBC">
        <w:rPr>
          <w:rFonts w:ascii="Times New Roman" w:hAnsi="Times New Roman"/>
          <w:sz w:val="24"/>
          <w:szCs w:val="24"/>
        </w:rPr>
        <w:t xml:space="preserve">ption 1 </w:t>
      </w:r>
      <w:r w:rsidR="00250F4A">
        <w:rPr>
          <w:rFonts w:ascii="Times New Roman" w:hAnsi="Times New Roman"/>
          <w:sz w:val="24"/>
          <w:szCs w:val="24"/>
        </w:rPr>
        <w:t>would result in</w:t>
      </w:r>
      <w:r w:rsidR="00D4061A" w:rsidRPr="008A0DBC">
        <w:rPr>
          <w:rFonts w:ascii="Times New Roman" w:hAnsi="Times New Roman"/>
          <w:sz w:val="24"/>
          <w:szCs w:val="24"/>
        </w:rPr>
        <w:t xml:space="preserve"> uncertainty for taxpayers in the interim while a</w:t>
      </w:r>
      <w:r w:rsidR="002A4092">
        <w:rPr>
          <w:rFonts w:ascii="Times New Roman" w:hAnsi="Times New Roman"/>
          <w:sz w:val="24"/>
          <w:szCs w:val="24"/>
        </w:rPr>
        <w:t>n</w:t>
      </w:r>
      <w:r w:rsidR="00D4061A" w:rsidRPr="008A0DBC">
        <w:rPr>
          <w:rFonts w:ascii="Times New Roman" w:hAnsi="Times New Roman"/>
          <w:sz w:val="24"/>
          <w:szCs w:val="24"/>
        </w:rPr>
        <w:t xml:space="preserve"> amendment is progressing through the legislative process</w:t>
      </w:r>
      <w:r w:rsidR="009D0114">
        <w:rPr>
          <w:rFonts w:ascii="Times New Roman" w:hAnsi="Times New Roman"/>
          <w:sz w:val="24"/>
          <w:szCs w:val="24"/>
        </w:rPr>
        <w:t xml:space="preserve">, </w:t>
      </w:r>
      <w:r w:rsidR="00B82FF5">
        <w:rPr>
          <w:rFonts w:ascii="Times New Roman" w:hAnsi="Times New Roman"/>
          <w:sz w:val="24"/>
          <w:szCs w:val="24"/>
        </w:rPr>
        <w:t>causing undesirably high</w:t>
      </w:r>
      <w:r w:rsidR="009D0114">
        <w:rPr>
          <w:rFonts w:ascii="Times New Roman" w:hAnsi="Times New Roman"/>
          <w:sz w:val="24"/>
          <w:szCs w:val="24"/>
        </w:rPr>
        <w:t xml:space="preserve"> compliance costs for taxpayers</w:t>
      </w:r>
      <w:r w:rsidR="00D4061A" w:rsidRPr="008A0DBC">
        <w:rPr>
          <w:rFonts w:ascii="Times New Roman" w:hAnsi="Times New Roman"/>
          <w:sz w:val="24"/>
          <w:szCs w:val="24"/>
        </w:rPr>
        <w:t xml:space="preserve">.  </w:t>
      </w:r>
      <w:r w:rsidR="009D0114">
        <w:rPr>
          <w:rFonts w:ascii="Times New Roman" w:hAnsi="Times New Roman"/>
          <w:sz w:val="24"/>
          <w:szCs w:val="24"/>
        </w:rPr>
        <w:t xml:space="preserve">The delays </w:t>
      </w:r>
      <w:r w:rsidR="00B82FF5">
        <w:rPr>
          <w:rFonts w:ascii="Times New Roman" w:hAnsi="Times New Roman"/>
          <w:sz w:val="24"/>
          <w:szCs w:val="24"/>
        </w:rPr>
        <w:t>would</w:t>
      </w:r>
      <w:r w:rsidR="009D0114">
        <w:rPr>
          <w:rFonts w:ascii="Times New Roman" w:hAnsi="Times New Roman"/>
          <w:sz w:val="24"/>
          <w:szCs w:val="24"/>
        </w:rPr>
        <w:t xml:space="preserve"> hinder</w:t>
      </w:r>
      <w:r w:rsidR="000714FB">
        <w:rPr>
          <w:rFonts w:ascii="Times New Roman" w:hAnsi="Times New Roman"/>
          <w:sz w:val="24"/>
          <w:szCs w:val="24"/>
        </w:rPr>
        <w:t xml:space="preserve"> the</w:t>
      </w:r>
      <w:r w:rsidR="009D0114">
        <w:rPr>
          <w:rFonts w:ascii="Times New Roman" w:hAnsi="Times New Roman"/>
          <w:sz w:val="24"/>
          <w:szCs w:val="24"/>
        </w:rPr>
        <w:t xml:space="preserve"> ability for taxpayers to plan for the future and invest with confidence.  </w:t>
      </w:r>
      <w:r w:rsidR="00960A43">
        <w:rPr>
          <w:rFonts w:ascii="Times New Roman" w:hAnsi="Times New Roman"/>
          <w:sz w:val="24"/>
          <w:szCs w:val="24"/>
        </w:rPr>
        <w:t xml:space="preserve">Specifically, taxpayers </w:t>
      </w:r>
      <w:r w:rsidR="00B82FF5">
        <w:rPr>
          <w:rFonts w:ascii="Times New Roman" w:hAnsi="Times New Roman"/>
          <w:sz w:val="24"/>
          <w:szCs w:val="24"/>
        </w:rPr>
        <w:t>would</w:t>
      </w:r>
      <w:r w:rsidR="00960A43">
        <w:rPr>
          <w:rFonts w:ascii="Times New Roman" w:hAnsi="Times New Roman"/>
          <w:sz w:val="24"/>
          <w:szCs w:val="24"/>
        </w:rPr>
        <w:t xml:space="preserve"> need to assume that </w:t>
      </w:r>
      <w:r w:rsidR="00B42131">
        <w:rPr>
          <w:rFonts w:ascii="Times New Roman" w:hAnsi="Times New Roman"/>
          <w:sz w:val="24"/>
          <w:szCs w:val="24"/>
        </w:rPr>
        <w:t>any proposed retrospective amendments</w:t>
      </w:r>
      <w:r w:rsidR="00960A43">
        <w:rPr>
          <w:rFonts w:ascii="Times New Roman" w:hAnsi="Times New Roman"/>
          <w:sz w:val="24"/>
          <w:szCs w:val="24"/>
        </w:rPr>
        <w:t xml:space="preserve"> </w:t>
      </w:r>
      <w:r w:rsidR="00B82FF5">
        <w:rPr>
          <w:rFonts w:ascii="Times New Roman" w:hAnsi="Times New Roman"/>
          <w:sz w:val="24"/>
          <w:szCs w:val="24"/>
        </w:rPr>
        <w:t>would</w:t>
      </w:r>
      <w:r w:rsidR="00960A43">
        <w:rPr>
          <w:rFonts w:ascii="Times New Roman" w:hAnsi="Times New Roman"/>
          <w:sz w:val="24"/>
          <w:szCs w:val="24"/>
        </w:rPr>
        <w:t xml:space="preserve"> be enacted as promised, and that any amendments made during the process </w:t>
      </w:r>
      <w:r w:rsidR="00B82FF5">
        <w:rPr>
          <w:rFonts w:ascii="Times New Roman" w:hAnsi="Times New Roman"/>
          <w:sz w:val="24"/>
          <w:szCs w:val="24"/>
        </w:rPr>
        <w:t>would</w:t>
      </w:r>
      <w:r w:rsidR="00960A43">
        <w:rPr>
          <w:rFonts w:ascii="Times New Roman" w:hAnsi="Times New Roman"/>
          <w:sz w:val="24"/>
          <w:szCs w:val="24"/>
        </w:rPr>
        <w:t xml:space="preserve"> not materially affect them.  </w:t>
      </w:r>
      <w:r w:rsidR="002C7E07">
        <w:rPr>
          <w:rFonts w:ascii="Times New Roman" w:hAnsi="Times New Roman"/>
          <w:sz w:val="24"/>
          <w:szCs w:val="24"/>
        </w:rPr>
        <w:t>T</w:t>
      </w:r>
      <w:r w:rsidR="009D0114">
        <w:rPr>
          <w:rFonts w:ascii="Times New Roman" w:hAnsi="Times New Roman"/>
          <w:sz w:val="24"/>
          <w:szCs w:val="24"/>
        </w:rPr>
        <w:t xml:space="preserve">axpayers </w:t>
      </w:r>
      <w:r w:rsidR="00615ABE">
        <w:rPr>
          <w:rFonts w:ascii="Times New Roman" w:hAnsi="Times New Roman"/>
          <w:sz w:val="24"/>
          <w:szCs w:val="24"/>
        </w:rPr>
        <w:t>may</w:t>
      </w:r>
      <w:r w:rsidR="002C7E07">
        <w:rPr>
          <w:rFonts w:ascii="Times New Roman" w:hAnsi="Times New Roman"/>
          <w:sz w:val="24"/>
          <w:szCs w:val="24"/>
        </w:rPr>
        <w:t xml:space="preserve"> need </w:t>
      </w:r>
      <w:r w:rsidR="009D0114">
        <w:rPr>
          <w:rFonts w:ascii="Times New Roman" w:hAnsi="Times New Roman"/>
          <w:sz w:val="24"/>
          <w:szCs w:val="24"/>
        </w:rPr>
        <w:t>to s</w:t>
      </w:r>
      <w:r w:rsidR="00615ABE">
        <w:rPr>
          <w:rFonts w:ascii="Times New Roman" w:hAnsi="Times New Roman"/>
          <w:sz w:val="24"/>
          <w:szCs w:val="24"/>
        </w:rPr>
        <w:t xml:space="preserve">eek advice during the </w:t>
      </w:r>
      <w:r w:rsidR="009D0114">
        <w:rPr>
          <w:rFonts w:ascii="Times New Roman" w:hAnsi="Times New Roman"/>
          <w:sz w:val="24"/>
          <w:szCs w:val="24"/>
        </w:rPr>
        <w:t>period</w:t>
      </w:r>
      <w:r w:rsidR="00615ABE">
        <w:rPr>
          <w:rFonts w:ascii="Times New Roman" w:hAnsi="Times New Roman"/>
          <w:sz w:val="24"/>
          <w:szCs w:val="24"/>
        </w:rPr>
        <w:t xml:space="preserve"> of uncertainty</w:t>
      </w:r>
      <w:r w:rsidR="00960A43">
        <w:rPr>
          <w:rFonts w:ascii="Times New Roman" w:hAnsi="Times New Roman"/>
          <w:sz w:val="24"/>
          <w:szCs w:val="24"/>
        </w:rPr>
        <w:t>, whic</w:t>
      </w:r>
      <w:r w:rsidR="002A4092">
        <w:rPr>
          <w:rFonts w:ascii="Times New Roman" w:hAnsi="Times New Roman"/>
          <w:sz w:val="24"/>
          <w:szCs w:val="24"/>
        </w:rPr>
        <w:t>h</w:t>
      </w:r>
      <w:r w:rsidR="00960A43">
        <w:rPr>
          <w:rFonts w:ascii="Times New Roman" w:hAnsi="Times New Roman"/>
          <w:sz w:val="24"/>
          <w:szCs w:val="24"/>
        </w:rPr>
        <w:t xml:space="preserve"> </w:t>
      </w:r>
      <w:r w:rsidR="005B7592">
        <w:rPr>
          <w:rFonts w:ascii="Times New Roman" w:hAnsi="Times New Roman"/>
          <w:sz w:val="24"/>
          <w:szCs w:val="24"/>
        </w:rPr>
        <w:t xml:space="preserve">would </w:t>
      </w:r>
      <w:r w:rsidR="00615ABE">
        <w:rPr>
          <w:rFonts w:ascii="Times New Roman" w:hAnsi="Times New Roman"/>
          <w:sz w:val="24"/>
          <w:szCs w:val="24"/>
        </w:rPr>
        <w:t>mean taxpayers would incur</w:t>
      </w:r>
      <w:r w:rsidR="00960A43">
        <w:rPr>
          <w:rFonts w:ascii="Times New Roman" w:hAnsi="Times New Roman"/>
          <w:sz w:val="24"/>
          <w:szCs w:val="24"/>
        </w:rPr>
        <w:t xml:space="preserve"> compliance costs</w:t>
      </w:r>
      <w:r w:rsidR="009D0114">
        <w:rPr>
          <w:rFonts w:ascii="Times New Roman" w:hAnsi="Times New Roman"/>
          <w:sz w:val="24"/>
          <w:szCs w:val="24"/>
        </w:rPr>
        <w:t xml:space="preserve">.  </w:t>
      </w:r>
    </w:p>
    <w:p w14:paraId="1544C2EE" w14:textId="77777777" w:rsidR="009D0114" w:rsidRDefault="009D0114" w:rsidP="009D0114">
      <w:pPr>
        <w:pStyle w:val="Bullet-list"/>
        <w:spacing w:after="0" w:line="240" w:lineRule="auto"/>
        <w:jc w:val="both"/>
        <w:rPr>
          <w:rFonts w:ascii="Times New Roman" w:hAnsi="Times New Roman"/>
          <w:sz w:val="24"/>
          <w:szCs w:val="24"/>
        </w:rPr>
      </w:pPr>
    </w:p>
    <w:p w14:paraId="3F04E312" w14:textId="77777777" w:rsidR="00863F13" w:rsidRDefault="00863F13" w:rsidP="009D0114">
      <w:pPr>
        <w:pStyle w:val="Bullet-list"/>
        <w:spacing w:after="0" w:line="240" w:lineRule="auto"/>
        <w:jc w:val="both"/>
        <w:rPr>
          <w:rFonts w:ascii="Times New Roman" w:hAnsi="Times New Roman"/>
          <w:sz w:val="24"/>
          <w:szCs w:val="24"/>
        </w:rPr>
      </w:pPr>
    </w:p>
    <w:p w14:paraId="3987FD9C" w14:textId="77777777" w:rsidR="00863F13" w:rsidRDefault="00863F13" w:rsidP="009D0114">
      <w:pPr>
        <w:pStyle w:val="Bullet-list"/>
        <w:spacing w:after="0" w:line="240" w:lineRule="auto"/>
        <w:jc w:val="both"/>
        <w:rPr>
          <w:rFonts w:ascii="Times New Roman" w:hAnsi="Times New Roman"/>
          <w:sz w:val="24"/>
          <w:szCs w:val="24"/>
        </w:rPr>
      </w:pPr>
    </w:p>
    <w:p w14:paraId="31191BDF" w14:textId="77777777" w:rsidR="00863F13" w:rsidRDefault="00863F13" w:rsidP="009D0114">
      <w:pPr>
        <w:pStyle w:val="Bullet-list"/>
        <w:spacing w:after="0" w:line="240" w:lineRule="auto"/>
        <w:jc w:val="both"/>
        <w:rPr>
          <w:rFonts w:ascii="Times New Roman" w:hAnsi="Times New Roman"/>
          <w:sz w:val="24"/>
          <w:szCs w:val="24"/>
        </w:rPr>
      </w:pPr>
    </w:p>
    <w:p w14:paraId="2B4EF774" w14:textId="77777777" w:rsidR="00863F13" w:rsidRDefault="00863F13" w:rsidP="009D0114">
      <w:pPr>
        <w:pStyle w:val="Bullet-list"/>
        <w:spacing w:after="0" w:line="240" w:lineRule="auto"/>
        <w:jc w:val="both"/>
        <w:rPr>
          <w:rFonts w:ascii="Times New Roman" w:hAnsi="Times New Roman"/>
          <w:sz w:val="24"/>
          <w:szCs w:val="24"/>
        </w:rPr>
      </w:pPr>
    </w:p>
    <w:p w14:paraId="7A3FD946" w14:textId="2EA68A36" w:rsidR="00D4061A" w:rsidRDefault="00D4061A" w:rsidP="00E23A1C">
      <w:pPr>
        <w:pStyle w:val="Bullet-list"/>
        <w:numPr>
          <w:ilvl w:val="0"/>
          <w:numId w:val="12"/>
        </w:numPr>
        <w:spacing w:after="0" w:line="240" w:lineRule="auto"/>
        <w:ind w:left="0" w:firstLine="0"/>
        <w:jc w:val="both"/>
        <w:rPr>
          <w:rFonts w:ascii="Times New Roman" w:hAnsi="Times New Roman"/>
          <w:sz w:val="24"/>
          <w:szCs w:val="24"/>
        </w:rPr>
      </w:pPr>
      <w:r w:rsidRPr="008A0DBC">
        <w:rPr>
          <w:rFonts w:ascii="Times New Roman" w:hAnsi="Times New Roman"/>
          <w:sz w:val="24"/>
          <w:szCs w:val="24"/>
        </w:rPr>
        <w:t xml:space="preserve">Option 1 </w:t>
      </w:r>
      <w:r w:rsidR="00B82FF5">
        <w:rPr>
          <w:rFonts w:ascii="Times New Roman" w:hAnsi="Times New Roman"/>
          <w:sz w:val="24"/>
          <w:szCs w:val="24"/>
        </w:rPr>
        <w:t>would</w:t>
      </w:r>
      <w:r w:rsidRPr="008A0DBC">
        <w:rPr>
          <w:rFonts w:ascii="Times New Roman" w:hAnsi="Times New Roman"/>
          <w:sz w:val="24"/>
          <w:szCs w:val="24"/>
        </w:rPr>
        <w:t xml:space="preserve"> also require taxpayers to commit resources to issues that are inconsistent with the policy intent</w:t>
      </w:r>
      <w:r w:rsidR="009D0114">
        <w:rPr>
          <w:rFonts w:ascii="Times New Roman" w:hAnsi="Times New Roman"/>
          <w:sz w:val="24"/>
          <w:szCs w:val="24"/>
        </w:rPr>
        <w:t>, including in disputes with the Commissioner</w:t>
      </w:r>
      <w:r w:rsidRPr="008A0DBC">
        <w:rPr>
          <w:rFonts w:ascii="Times New Roman" w:hAnsi="Times New Roman"/>
          <w:sz w:val="24"/>
          <w:szCs w:val="24"/>
        </w:rPr>
        <w:t>.</w:t>
      </w:r>
      <w:r w:rsidR="009D0114">
        <w:rPr>
          <w:rFonts w:ascii="Times New Roman" w:hAnsi="Times New Roman"/>
          <w:sz w:val="24"/>
          <w:szCs w:val="24"/>
        </w:rPr>
        <w:t xml:space="preserve">  The Commissioner is unable to ignore the law under her care and management powers, so she </w:t>
      </w:r>
      <w:r w:rsidR="00B82FF5">
        <w:rPr>
          <w:rFonts w:ascii="Times New Roman" w:hAnsi="Times New Roman"/>
          <w:sz w:val="24"/>
          <w:szCs w:val="24"/>
        </w:rPr>
        <w:t>would</w:t>
      </w:r>
      <w:r w:rsidR="009D0114">
        <w:rPr>
          <w:rFonts w:ascii="Times New Roman" w:hAnsi="Times New Roman"/>
          <w:sz w:val="24"/>
          <w:szCs w:val="24"/>
        </w:rPr>
        <w:t xml:space="preserve"> need to apply the law as it currently stands.</w:t>
      </w:r>
      <w:r w:rsidR="00615ABE" w:rsidRPr="00615ABE">
        <w:rPr>
          <w:rStyle w:val="FootnoteReference"/>
          <w:rFonts w:ascii="Times New Roman" w:hAnsi="Times New Roman"/>
          <w:szCs w:val="24"/>
        </w:rPr>
        <w:footnoteReference w:id="4"/>
      </w:r>
      <w:r w:rsidR="009D0114">
        <w:rPr>
          <w:rFonts w:ascii="Times New Roman" w:hAnsi="Times New Roman"/>
          <w:sz w:val="24"/>
          <w:szCs w:val="24"/>
        </w:rPr>
        <w:t xml:space="preserve">  This may result in </w:t>
      </w:r>
      <w:r w:rsidR="000714FB">
        <w:rPr>
          <w:rFonts w:ascii="Times New Roman" w:hAnsi="Times New Roman"/>
          <w:sz w:val="24"/>
          <w:szCs w:val="24"/>
        </w:rPr>
        <w:t>taxpayers having to commit resources to transitional issues.</w:t>
      </w:r>
    </w:p>
    <w:p w14:paraId="1A97D3D9" w14:textId="77777777" w:rsidR="00075066" w:rsidRDefault="00075066" w:rsidP="00340A99">
      <w:pPr>
        <w:pStyle w:val="Bullet-list"/>
        <w:spacing w:after="0" w:line="240" w:lineRule="auto"/>
        <w:ind w:left="720" w:firstLine="0"/>
        <w:jc w:val="both"/>
        <w:rPr>
          <w:rFonts w:ascii="Times New Roman" w:hAnsi="Times New Roman"/>
          <w:sz w:val="24"/>
          <w:szCs w:val="24"/>
        </w:rPr>
      </w:pPr>
    </w:p>
    <w:p w14:paraId="3B7E49B0" w14:textId="4E99F928" w:rsidR="000714FB" w:rsidRDefault="00B42131" w:rsidP="000714FB">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In contrast, a benefit of o</w:t>
      </w:r>
      <w:r w:rsidR="000714FB">
        <w:rPr>
          <w:rFonts w:ascii="Times New Roman" w:hAnsi="Times New Roman"/>
          <w:sz w:val="24"/>
          <w:szCs w:val="24"/>
        </w:rPr>
        <w:t xml:space="preserve">ption 1 </w:t>
      </w:r>
      <w:r>
        <w:rPr>
          <w:rFonts w:ascii="Times New Roman" w:hAnsi="Times New Roman"/>
          <w:sz w:val="24"/>
          <w:szCs w:val="24"/>
        </w:rPr>
        <w:t>would be</w:t>
      </w:r>
      <w:r w:rsidR="000714FB">
        <w:rPr>
          <w:rFonts w:ascii="Times New Roman" w:hAnsi="Times New Roman"/>
          <w:sz w:val="24"/>
          <w:szCs w:val="24"/>
        </w:rPr>
        <w:t xml:space="preserve"> all changes </w:t>
      </w:r>
      <w:r>
        <w:rPr>
          <w:rFonts w:ascii="Times New Roman" w:hAnsi="Times New Roman"/>
          <w:sz w:val="24"/>
          <w:szCs w:val="24"/>
        </w:rPr>
        <w:t xml:space="preserve">would be </w:t>
      </w:r>
      <w:r w:rsidR="000714FB">
        <w:rPr>
          <w:rFonts w:ascii="Times New Roman" w:hAnsi="Times New Roman"/>
          <w:sz w:val="24"/>
          <w:szCs w:val="24"/>
        </w:rPr>
        <w:t xml:space="preserve">made </w:t>
      </w:r>
      <w:r w:rsidR="00B82FF5">
        <w:rPr>
          <w:rFonts w:ascii="Times New Roman" w:hAnsi="Times New Roman"/>
          <w:sz w:val="24"/>
          <w:szCs w:val="24"/>
        </w:rPr>
        <w:t>by</w:t>
      </w:r>
      <w:r w:rsidR="000714FB">
        <w:rPr>
          <w:rFonts w:ascii="Times New Roman" w:hAnsi="Times New Roman"/>
          <w:sz w:val="24"/>
          <w:szCs w:val="24"/>
        </w:rPr>
        <w:t xml:space="preserve"> primary legislation so this </w:t>
      </w:r>
      <w:r w:rsidR="00B82FF5">
        <w:rPr>
          <w:rFonts w:ascii="Times New Roman" w:hAnsi="Times New Roman"/>
          <w:sz w:val="24"/>
          <w:szCs w:val="24"/>
        </w:rPr>
        <w:t>would</w:t>
      </w:r>
      <w:r w:rsidR="000714FB">
        <w:rPr>
          <w:rFonts w:ascii="Times New Roman" w:hAnsi="Times New Roman"/>
          <w:sz w:val="24"/>
          <w:szCs w:val="24"/>
        </w:rPr>
        <w:t xml:space="preserve"> </w:t>
      </w:r>
      <w:r w:rsidR="00B82FF5">
        <w:rPr>
          <w:rFonts w:ascii="Times New Roman" w:hAnsi="Times New Roman"/>
          <w:sz w:val="24"/>
          <w:szCs w:val="24"/>
        </w:rPr>
        <w:t>be easily accessible</w:t>
      </w:r>
      <w:r w:rsidR="000714FB">
        <w:rPr>
          <w:rFonts w:ascii="Times New Roman" w:hAnsi="Times New Roman"/>
          <w:sz w:val="24"/>
          <w:szCs w:val="24"/>
        </w:rPr>
        <w:t xml:space="preserve"> </w:t>
      </w:r>
      <w:r w:rsidR="0030153D">
        <w:rPr>
          <w:rFonts w:ascii="Times New Roman" w:hAnsi="Times New Roman"/>
          <w:sz w:val="24"/>
          <w:szCs w:val="24"/>
        </w:rPr>
        <w:t>to the public</w:t>
      </w:r>
      <w:r w:rsidR="000714FB">
        <w:rPr>
          <w:rFonts w:ascii="Times New Roman" w:hAnsi="Times New Roman"/>
          <w:sz w:val="24"/>
          <w:szCs w:val="24"/>
        </w:rPr>
        <w:t xml:space="preserve">.  </w:t>
      </w:r>
      <w:r w:rsidR="0030153D">
        <w:rPr>
          <w:rFonts w:ascii="Times New Roman" w:hAnsi="Times New Roman"/>
          <w:sz w:val="24"/>
          <w:szCs w:val="24"/>
        </w:rPr>
        <w:t>In this respect, option 1 would minimise</w:t>
      </w:r>
      <w:r w:rsidR="000714FB">
        <w:rPr>
          <w:rFonts w:ascii="Times New Roman" w:hAnsi="Times New Roman"/>
          <w:sz w:val="24"/>
          <w:szCs w:val="24"/>
        </w:rPr>
        <w:t xml:space="preserve"> taxpayers’ compliance costs, because unlike the other options there </w:t>
      </w:r>
      <w:r w:rsidR="00B82FF5">
        <w:rPr>
          <w:rFonts w:ascii="Times New Roman" w:hAnsi="Times New Roman"/>
          <w:sz w:val="24"/>
          <w:szCs w:val="24"/>
        </w:rPr>
        <w:t>would</w:t>
      </w:r>
      <w:r w:rsidR="000714FB">
        <w:rPr>
          <w:rFonts w:ascii="Times New Roman" w:hAnsi="Times New Roman"/>
          <w:sz w:val="24"/>
          <w:szCs w:val="24"/>
        </w:rPr>
        <w:t xml:space="preserve"> be no need to reconcile the various different pieces of legislation.  Option 1 </w:t>
      </w:r>
      <w:r w:rsidR="00B82FF5">
        <w:rPr>
          <w:rFonts w:ascii="Times New Roman" w:hAnsi="Times New Roman"/>
          <w:sz w:val="24"/>
          <w:szCs w:val="24"/>
        </w:rPr>
        <w:t>would</w:t>
      </w:r>
      <w:r w:rsidR="000714FB">
        <w:rPr>
          <w:rFonts w:ascii="Times New Roman" w:hAnsi="Times New Roman"/>
          <w:sz w:val="24"/>
          <w:szCs w:val="24"/>
        </w:rPr>
        <w:t xml:space="preserve"> also provide much more certainty for taxpayers than the other options because the remedies </w:t>
      </w:r>
      <w:r w:rsidR="0030153D">
        <w:rPr>
          <w:rFonts w:ascii="Times New Roman" w:hAnsi="Times New Roman"/>
          <w:sz w:val="24"/>
          <w:szCs w:val="24"/>
        </w:rPr>
        <w:t>would</w:t>
      </w:r>
      <w:r w:rsidR="000714FB">
        <w:rPr>
          <w:rFonts w:ascii="Times New Roman" w:hAnsi="Times New Roman"/>
          <w:sz w:val="24"/>
          <w:szCs w:val="24"/>
        </w:rPr>
        <w:t xml:space="preserve"> not </w:t>
      </w:r>
      <w:r w:rsidR="0030153D">
        <w:rPr>
          <w:rFonts w:ascii="Times New Roman" w:hAnsi="Times New Roman"/>
          <w:sz w:val="24"/>
          <w:szCs w:val="24"/>
        </w:rPr>
        <w:t xml:space="preserve">be </w:t>
      </w:r>
      <w:r w:rsidR="000714FB">
        <w:rPr>
          <w:rFonts w:ascii="Times New Roman" w:hAnsi="Times New Roman"/>
          <w:sz w:val="24"/>
          <w:szCs w:val="24"/>
        </w:rPr>
        <w:t xml:space="preserve">subject to judicial review or disallowance.  This certainty </w:t>
      </w:r>
      <w:r w:rsidR="00B82FF5">
        <w:rPr>
          <w:rFonts w:ascii="Times New Roman" w:hAnsi="Times New Roman"/>
          <w:sz w:val="24"/>
          <w:szCs w:val="24"/>
        </w:rPr>
        <w:t>would</w:t>
      </w:r>
      <w:r w:rsidR="000714FB">
        <w:rPr>
          <w:rFonts w:ascii="Times New Roman" w:hAnsi="Times New Roman"/>
          <w:sz w:val="24"/>
          <w:szCs w:val="24"/>
        </w:rPr>
        <w:t xml:space="preserve"> mean there </w:t>
      </w:r>
      <w:r w:rsidR="0030153D">
        <w:rPr>
          <w:rFonts w:ascii="Times New Roman" w:hAnsi="Times New Roman"/>
          <w:sz w:val="24"/>
          <w:szCs w:val="24"/>
        </w:rPr>
        <w:t>would be</w:t>
      </w:r>
      <w:r w:rsidR="000714FB">
        <w:rPr>
          <w:rFonts w:ascii="Times New Roman" w:hAnsi="Times New Roman"/>
          <w:sz w:val="24"/>
          <w:szCs w:val="24"/>
        </w:rPr>
        <w:t xml:space="preserve"> little risk to taxpayers of any plans being undermined in the future</w:t>
      </w:r>
      <w:r w:rsidR="00C02DD3">
        <w:rPr>
          <w:rFonts w:ascii="Times New Roman" w:hAnsi="Times New Roman"/>
          <w:sz w:val="24"/>
          <w:szCs w:val="24"/>
        </w:rPr>
        <w:t xml:space="preserve"> after the remedial legislation has been enacted</w:t>
      </w:r>
      <w:r w:rsidR="000714FB">
        <w:rPr>
          <w:rFonts w:ascii="Times New Roman" w:hAnsi="Times New Roman"/>
          <w:sz w:val="24"/>
          <w:szCs w:val="24"/>
        </w:rPr>
        <w:t>.</w:t>
      </w:r>
      <w:r w:rsidR="005804FA">
        <w:rPr>
          <w:rFonts w:ascii="Times New Roman" w:hAnsi="Times New Roman"/>
          <w:sz w:val="24"/>
          <w:szCs w:val="24"/>
        </w:rPr>
        <w:t xml:space="preserve">  However, Inland Revenue considers the benefits would be minor compared to the compliance costs under option 1.</w:t>
      </w:r>
    </w:p>
    <w:p w14:paraId="7B49EECC" w14:textId="77777777" w:rsidR="00EC55F7" w:rsidRDefault="00EC55F7" w:rsidP="00340A99">
      <w:pPr>
        <w:pStyle w:val="Bullet-list"/>
        <w:spacing w:after="0" w:line="240" w:lineRule="auto"/>
        <w:ind w:left="720" w:firstLine="0"/>
        <w:jc w:val="both"/>
        <w:rPr>
          <w:rFonts w:ascii="Times New Roman" w:hAnsi="Times New Roman"/>
          <w:sz w:val="24"/>
          <w:szCs w:val="24"/>
        </w:rPr>
      </w:pPr>
    </w:p>
    <w:p w14:paraId="545C4CEC" w14:textId="73FFE81A" w:rsidR="00F04527" w:rsidRDefault="00D4061A" w:rsidP="00F04527">
      <w:pPr>
        <w:rPr>
          <w:rFonts w:ascii="Times New Roman" w:hAnsi="Times New Roman"/>
          <w:i/>
          <w:sz w:val="24"/>
          <w:szCs w:val="24"/>
        </w:rPr>
      </w:pPr>
      <w:r w:rsidRPr="00854FA9">
        <w:rPr>
          <w:rFonts w:ascii="Times New Roman" w:hAnsi="Times New Roman"/>
          <w:i/>
          <w:sz w:val="24"/>
          <w:szCs w:val="24"/>
        </w:rPr>
        <w:t xml:space="preserve">Administrative </w:t>
      </w:r>
      <w:r w:rsidR="0030153D" w:rsidRPr="00854FA9">
        <w:rPr>
          <w:rFonts w:ascii="Times New Roman" w:hAnsi="Times New Roman"/>
          <w:i/>
          <w:sz w:val="24"/>
          <w:szCs w:val="24"/>
        </w:rPr>
        <w:t>efficiency</w:t>
      </w:r>
    </w:p>
    <w:p w14:paraId="03ECED68" w14:textId="03F86593" w:rsidR="00932A1A" w:rsidRDefault="008A0DBC" w:rsidP="00A640CD">
      <w:pPr>
        <w:pStyle w:val="Bullet-list"/>
        <w:numPr>
          <w:ilvl w:val="0"/>
          <w:numId w:val="12"/>
        </w:numPr>
        <w:spacing w:after="0" w:line="240" w:lineRule="auto"/>
        <w:ind w:left="0" w:firstLine="0"/>
        <w:jc w:val="both"/>
        <w:rPr>
          <w:rFonts w:ascii="Times New Roman" w:hAnsi="Times New Roman"/>
          <w:sz w:val="24"/>
          <w:szCs w:val="24"/>
        </w:rPr>
      </w:pPr>
      <w:r w:rsidRPr="008A0DBC">
        <w:rPr>
          <w:rFonts w:ascii="Times New Roman" w:hAnsi="Times New Roman"/>
          <w:sz w:val="24"/>
          <w:szCs w:val="24"/>
        </w:rPr>
        <w:t xml:space="preserve">Option 1 </w:t>
      </w:r>
      <w:r w:rsidR="00B82FF5">
        <w:rPr>
          <w:rFonts w:ascii="Times New Roman" w:hAnsi="Times New Roman"/>
          <w:sz w:val="24"/>
          <w:szCs w:val="24"/>
        </w:rPr>
        <w:t>would</w:t>
      </w:r>
      <w:r w:rsidRPr="008A0DBC">
        <w:rPr>
          <w:rFonts w:ascii="Times New Roman" w:hAnsi="Times New Roman"/>
          <w:sz w:val="24"/>
          <w:szCs w:val="24"/>
        </w:rPr>
        <w:t xml:space="preserve"> have a significant detrimental administrative impact for Inland Revenue.  The delays in remedying transitional issues during t</w:t>
      </w:r>
      <w:r w:rsidR="00575D62">
        <w:rPr>
          <w:rFonts w:ascii="Times New Roman" w:hAnsi="Times New Roman"/>
          <w:sz w:val="24"/>
          <w:szCs w:val="24"/>
        </w:rPr>
        <w:t xml:space="preserve">he transformation process </w:t>
      </w:r>
      <w:r w:rsidR="00B82FF5">
        <w:rPr>
          <w:rFonts w:ascii="Times New Roman" w:hAnsi="Times New Roman"/>
          <w:sz w:val="24"/>
          <w:szCs w:val="24"/>
        </w:rPr>
        <w:t>would</w:t>
      </w:r>
      <w:r w:rsidR="00575D62">
        <w:rPr>
          <w:rFonts w:ascii="Times New Roman" w:hAnsi="Times New Roman"/>
          <w:sz w:val="24"/>
          <w:szCs w:val="24"/>
        </w:rPr>
        <w:t xml:space="preserve"> </w:t>
      </w:r>
      <w:r w:rsidRPr="008A0DBC">
        <w:rPr>
          <w:rFonts w:ascii="Times New Roman" w:hAnsi="Times New Roman"/>
          <w:sz w:val="24"/>
          <w:szCs w:val="24"/>
        </w:rPr>
        <w:t xml:space="preserve">mean Inland Revenue </w:t>
      </w:r>
      <w:r w:rsidR="00B82FF5">
        <w:rPr>
          <w:rFonts w:ascii="Times New Roman" w:hAnsi="Times New Roman"/>
          <w:sz w:val="24"/>
          <w:szCs w:val="24"/>
        </w:rPr>
        <w:t>would</w:t>
      </w:r>
      <w:r w:rsidRPr="008A0DBC">
        <w:rPr>
          <w:rFonts w:ascii="Times New Roman" w:hAnsi="Times New Roman"/>
          <w:sz w:val="24"/>
          <w:szCs w:val="24"/>
        </w:rPr>
        <w:t xml:space="preserve"> have to find work-</w:t>
      </w:r>
      <w:proofErr w:type="spellStart"/>
      <w:r w:rsidRPr="008A0DBC">
        <w:rPr>
          <w:rFonts w:ascii="Times New Roman" w:hAnsi="Times New Roman"/>
          <w:sz w:val="24"/>
          <w:szCs w:val="24"/>
        </w:rPr>
        <w:t>arounds</w:t>
      </w:r>
      <w:proofErr w:type="spellEnd"/>
      <w:r w:rsidRPr="008A0DBC">
        <w:rPr>
          <w:rFonts w:ascii="Times New Roman" w:hAnsi="Times New Roman"/>
          <w:sz w:val="24"/>
          <w:szCs w:val="24"/>
        </w:rPr>
        <w:t xml:space="preserve"> until an amendment is</w:t>
      </w:r>
      <w:r>
        <w:rPr>
          <w:rFonts w:ascii="Times New Roman" w:hAnsi="Times New Roman"/>
          <w:sz w:val="24"/>
          <w:szCs w:val="24"/>
        </w:rPr>
        <w:t xml:space="preserve"> passed.  </w:t>
      </w:r>
      <w:r w:rsidR="000714FB">
        <w:rPr>
          <w:rFonts w:ascii="Times New Roman" w:hAnsi="Times New Roman"/>
          <w:sz w:val="24"/>
          <w:szCs w:val="24"/>
        </w:rPr>
        <w:t xml:space="preserve">Inland Revenue </w:t>
      </w:r>
      <w:r w:rsidR="00B82FF5">
        <w:rPr>
          <w:rFonts w:ascii="Times New Roman" w:hAnsi="Times New Roman"/>
          <w:sz w:val="24"/>
          <w:szCs w:val="24"/>
        </w:rPr>
        <w:t>would</w:t>
      </w:r>
      <w:r w:rsidR="000714FB">
        <w:rPr>
          <w:rFonts w:ascii="Times New Roman" w:hAnsi="Times New Roman"/>
          <w:sz w:val="24"/>
          <w:szCs w:val="24"/>
        </w:rPr>
        <w:t xml:space="preserve"> nee</w:t>
      </w:r>
      <w:r w:rsidR="00C02DD3">
        <w:rPr>
          <w:rFonts w:ascii="Times New Roman" w:hAnsi="Times New Roman"/>
          <w:sz w:val="24"/>
          <w:szCs w:val="24"/>
        </w:rPr>
        <w:t>d to commit resources to work</w:t>
      </w:r>
      <w:r w:rsidR="000714FB">
        <w:rPr>
          <w:rFonts w:ascii="Times New Roman" w:hAnsi="Times New Roman"/>
          <w:sz w:val="24"/>
          <w:szCs w:val="24"/>
        </w:rPr>
        <w:t xml:space="preserve"> with taxpayers during the period of uncertainty, including providing advice.</w:t>
      </w:r>
      <w:r w:rsidR="00CC61C2">
        <w:rPr>
          <w:rFonts w:ascii="Times New Roman" w:hAnsi="Times New Roman"/>
          <w:sz w:val="24"/>
          <w:szCs w:val="24"/>
        </w:rPr>
        <w:t xml:space="preserve">  </w:t>
      </w:r>
      <w:r w:rsidR="00CC61C2" w:rsidRPr="008A77A2">
        <w:rPr>
          <w:rFonts w:ascii="Times New Roman" w:hAnsi="Times New Roman"/>
          <w:sz w:val="24"/>
          <w:szCs w:val="24"/>
        </w:rPr>
        <w:t xml:space="preserve">When a remedy </w:t>
      </w:r>
      <w:r w:rsidR="00B82FF5">
        <w:rPr>
          <w:rFonts w:ascii="Times New Roman" w:hAnsi="Times New Roman"/>
          <w:sz w:val="24"/>
          <w:szCs w:val="24"/>
        </w:rPr>
        <w:t>could not</w:t>
      </w:r>
      <w:r w:rsidR="00CC61C2" w:rsidRPr="008A77A2">
        <w:rPr>
          <w:rFonts w:ascii="Times New Roman" w:hAnsi="Times New Roman"/>
          <w:sz w:val="24"/>
          <w:szCs w:val="24"/>
        </w:rPr>
        <w:t xml:space="preserve"> be achieved</w:t>
      </w:r>
      <w:r w:rsidR="00CC61C2">
        <w:rPr>
          <w:rFonts w:ascii="Times New Roman" w:hAnsi="Times New Roman"/>
          <w:sz w:val="24"/>
          <w:szCs w:val="24"/>
        </w:rPr>
        <w:t xml:space="preserve"> quickly, </w:t>
      </w:r>
      <w:r w:rsidR="00CC61C2" w:rsidRPr="008A77A2">
        <w:rPr>
          <w:rFonts w:ascii="Times New Roman" w:hAnsi="Times New Roman"/>
          <w:sz w:val="24"/>
          <w:szCs w:val="24"/>
        </w:rPr>
        <w:t xml:space="preserve">Commissioner </w:t>
      </w:r>
      <w:proofErr w:type="gramStart"/>
      <w:r w:rsidR="00CC61C2" w:rsidRPr="008A77A2">
        <w:rPr>
          <w:rFonts w:ascii="Times New Roman" w:hAnsi="Times New Roman"/>
          <w:sz w:val="24"/>
          <w:szCs w:val="24"/>
        </w:rPr>
        <w:t>resources</w:t>
      </w:r>
      <w:proofErr w:type="gramEnd"/>
      <w:r w:rsidR="00CC61C2" w:rsidRPr="008A77A2">
        <w:rPr>
          <w:rFonts w:ascii="Times New Roman" w:hAnsi="Times New Roman"/>
          <w:sz w:val="24"/>
          <w:szCs w:val="24"/>
        </w:rPr>
        <w:t xml:space="preserve"> </w:t>
      </w:r>
      <w:r w:rsidR="00B82FF5">
        <w:rPr>
          <w:rFonts w:ascii="Times New Roman" w:hAnsi="Times New Roman"/>
          <w:sz w:val="24"/>
          <w:szCs w:val="24"/>
        </w:rPr>
        <w:t>could</w:t>
      </w:r>
      <w:r w:rsidR="00CC61C2" w:rsidRPr="008A77A2">
        <w:rPr>
          <w:rFonts w:ascii="Times New Roman" w:hAnsi="Times New Roman"/>
          <w:sz w:val="24"/>
          <w:szCs w:val="24"/>
        </w:rPr>
        <w:t xml:space="preserve"> be tied up pursuing outcomes that </w:t>
      </w:r>
      <w:r w:rsidR="00EC55F7">
        <w:rPr>
          <w:rFonts w:ascii="Times New Roman" w:hAnsi="Times New Roman"/>
          <w:sz w:val="24"/>
          <w:szCs w:val="24"/>
        </w:rPr>
        <w:t>we</w:t>
      </w:r>
      <w:r w:rsidR="00CC61C2" w:rsidRPr="008A77A2">
        <w:rPr>
          <w:rFonts w:ascii="Times New Roman" w:hAnsi="Times New Roman"/>
          <w:sz w:val="24"/>
          <w:szCs w:val="24"/>
        </w:rPr>
        <w:t>re not consistent with the policy intent</w:t>
      </w:r>
      <w:r w:rsidR="00CC61C2">
        <w:rPr>
          <w:rFonts w:ascii="Times New Roman" w:hAnsi="Times New Roman"/>
          <w:sz w:val="24"/>
          <w:szCs w:val="24"/>
        </w:rPr>
        <w:t xml:space="preserve"> (including in disputes)</w:t>
      </w:r>
      <w:r w:rsidR="00CC61C2" w:rsidRPr="008A77A2">
        <w:rPr>
          <w:rFonts w:ascii="Times New Roman" w:hAnsi="Times New Roman"/>
          <w:sz w:val="24"/>
          <w:szCs w:val="24"/>
        </w:rPr>
        <w:t>.</w:t>
      </w:r>
    </w:p>
    <w:p w14:paraId="1781D78E" w14:textId="77777777" w:rsidR="00675F15" w:rsidRDefault="00675F15" w:rsidP="00675F15">
      <w:pPr>
        <w:pStyle w:val="ListParagraph"/>
        <w:rPr>
          <w:rFonts w:ascii="Times New Roman" w:hAnsi="Times New Roman"/>
          <w:sz w:val="24"/>
          <w:szCs w:val="24"/>
        </w:rPr>
      </w:pPr>
    </w:p>
    <w:p w14:paraId="527AD216" w14:textId="2A4050E8" w:rsidR="00FC5197" w:rsidRDefault="00FC5197"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There would no Executive and parliamentary costs in the first instance because the status quo would not require any legislation to be passed initially.  However, option 1 would incur ongoing Executive and parliamentary costs in passing the remedial legislation.</w:t>
      </w:r>
    </w:p>
    <w:p w14:paraId="3F0AECA2" w14:textId="77777777" w:rsidR="00FC5197" w:rsidRDefault="00FC5197" w:rsidP="00AB456E">
      <w:pPr>
        <w:pStyle w:val="ListParagraph"/>
        <w:rPr>
          <w:rFonts w:ascii="Times New Roman" w:hAnsi="Times New Roman"/>
          <w:sz w:val="24"/>
          <w:szCs w:val="24"/>
        </w:rPr>
      </w:pPr>
    </w:p>
    <w:p w14:paraId="6B371576" w14:textId="77777777" w:rsidR="00675F15" w:rsidRPr="00854FA9" w:rsidRDefault="00675F15" w:rsidP="00854FA9">
      <w:pPr>
        <w:rPr>
          <w:rFonts w:ascii="Times New Roman" w:hAnsi="Times New Roman"/>
          <w:sz w:val="24"/>
          <w:szCs w:val="24"/>
        </w:rPr>
      </w:pPr>
      <w:r w:rsidRPr="00854FA9">
        <w:rPr>
          <w:rFonts w:ascii="Times New Roman" w:hAnsi="Times New Roman"/>
          <w:i/>
          <w:sz w:val="24"/>
          <w:szCs w:val="24"/>
        </w:rPr>
        <w:t>Sustainability</w:t>
      </w:r>
    </w:p>
    <w:p w14:paraId="748D030C" w14:textId="6B5D7D69" w:rsidR="00B42131" w:rsidRDefault="00D4061A" w:rsidP="00D4061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first option </w:t>
      </w:r>
      <w:r w:rsidR="00B82FF5">
        <w:rPr>
          <w:rFonts w:ascii="Times New Roman" w:hAnsi="Times New Roman"/>
          <w:sz w:val="24"/>
          <w:szCs w:val="24"/>
        </w:rPr>
        <w:t>would</w:t>
      </w:r>
      <w:r>
        <w:rPr>
          <w:rFonts w:ascii="Times New Roman" w:hAnsi="Times New Roman"/>
          <w:sz w:val="24"/>
          <w:szCs w:val="24"/>
        </w:rPr>
        <w:t xml:space="preserve"> </w:t>
      </w:r>
      <w:r w:rsidR="00C61625">
        <w:rPr>
          <w:rFonts w:ascii="Times New Roman" w:hAnsi="Times New Roman"/>
          <w:sz w:val="24"/>
          <w:szCs w:val="24"/>
        </w:rPr>
        <w:t xml:space="preserve">generally </w:t>
      </w:r>
      <w:r>
        <w:rPr>
          <w:rFonts w:ascii="Times New Roman" w:hAnsi="Times New Roman"/>
          <w:sz w:val="24"/>
          <w:szCs w:val="24"/>
        </w:rPr>
        <w:t>support the sustainability of the tax system</w:t>
      </w:r>
      <w:r w:rsidR="00B42131">
        <w:rPr>
          <w:rFonts w:ascii="Times New Roman" w:hAnsi="Times New Roman"/>
          <w:sz w:val="24"/>
          <w:szCs w:val="24"/>
        </w:rPr>
        <w:t xml:space="preserve"> but </w:t>
      </w:r>
      <w:r w:rsidR="00104CD3">
        <w:rPr>
          <w:rFonts w:ascii="Times New Roman" w:hAnsi="Times New Roman"/>
          <w:sz w:val="24"/>
          <w:szCs w:val="24"/>
        </w:rPr>
        <w:t>would</w:t>
      </w:r>
      <w:r w:rsidR="00B42131">
        <w:rPr>
          <w:rFonts w:ascii="Times New Roman" w:hAnsi="Times New Roman"/>
          <w:sz w:val="24"/>
          <w:szCs w:val="24"/>
        </w:rPr>
        <w:t xml:space="preserve"> raise rule of law issues.</w:t>
      </w:r>
    </w:p>
    <w:p w14:paraId="7B6B6C0F" w14:textId="77777777" w:rsidR="00B42131" w:rsidRDefault="00B42131" w:rsidP="00AB456E">
      <w:pPr>
        <w:pStyle w:val="Bullet-list"/>
        <w:spacing w:after="0" w:line="240" w:lineRule="auto"/>
        <w:jc w:val="both"/>
        <w:rPr>
          <w:rFonts w:ascii="Times New Roman" w:hAnsi="Times New Roman"/>
          <w:sz w:val="24"/>
          <w:szCs w:val="24"/>
        </w:rPr>
      </w:pPr>
    </w:p>
    <w:p w14:paraId="022DCD19" w14:textId="7CA10A25" w:rsidR="00D4061A" w:rsidRDefault="00D4061A" w:rsidP="00D4061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Amending all legislative issues through amendments Acts </w:t>
      </w:r>
      <w:r w:rsidR="00B82FF5">
        <w:rPr>
          <w:rFonts w:ascii="Times New Roman" w:hAnsi="Times New Roman"/>
          <w:sz w:val="24"/>
          <w:szCs w:val="24"/>
        </w:rPr>
        <w:t>would</w:t>
      </w:r>
      <w:r>
        <w:rPr>
          <w:rFonts w:ascii="Times New Roman" w:hAnsi="Times New Roman"/>
          <w:sz w:val="24"/>
          <w:szCs w:val="24"/>
        </w:rPr>
        <w:t xml:space="preserve"> support the coherence of the tax system because it </w:t>
      </w:r>
      <w:r w:rsidR="00B82FF5">
        <w:rPr>
          <w:rFonts w:ascii="Times New Roman" w:hAnsi="Times New Roman"/>
          <w:sz w:val="24"/>
          <w:szCs w:val="24"/>
        </w:rPr>
        <w:t>would</w:t>
      </w:r>
      <w:r>
        <w:rPr>
          <w:rFonts w:ascii="Times New Roman" w:hAnsi="Times New Roman"/>
          <w:sz w:val="24"/>
          <w:szCs w:val="24"/>
        </w:rPr>
        <w:t xml:space="preserve"> </w:t>
      </w:r>
      <w:r w:rsidR="00E8686E">
        <w:rPr>
          <w:rFonts w:ascii="Times New Roman" w:hAnsi="Times New Roman"/>
          <w:sz w:val="24"/>
          <w:szCs w:val="24"/>
        </w:rPr>
        <w:t xml:space="preserve">generally </w:t>
      </w:r>
      <w:r w:rsidR="0030153D">
        <w:rPr>
          <w:rFonts w:ascii="Times New Roman" w:hAnsi="Times New Roman"/>
          <w:sz w:val="24"/>
          <w:szCs w:val="24"/>
        </w:rPr>
        <w:t>allow</w:t>
      </w:r>
      <w:r>
        <w:rPr>
          <w:rFonts w:ascii="Times New Roman" w:hAnsi="Times New Roman"/>
          <w:sz w:val="24"/>
          <w:szCs w:val="24"/>
        </w:rPr>
        <w:t xml:space="preserve"> time to consider the broader aspects of any remedies.  </w:t>
      </w:r>
      <w:r w:rsidR="00C02DD3">
        <w:rPr>
          <w:rFonts w:ascii="Times New Roman" w:hAnsi="Times New Roman"/>
          <w:sz w:val="24"/>
          <w:szCs w:val="24"/>
        </w:rPr>
        <w:t>In other words, a</w:t>
      </w:r>
      <w:r>
        <w:rPr>
          <w:rFonts w:ascii="Times New Roman" w:hAnsi="Times New Roman"/>
          <w:sz w:val="24"/>
          <w:szCs w:val="24"/>
        </w:rPr>
        <w:t xml:space="preserve">dopting the full parliamentary process </w:t>
      </w:r>
      <w:r w:rsidR="00B82FF5">
        <w:rPr>
          <w:rFonts w:ascii="Times New Roman" w:hAnsi="Times New Roman"/>
          <w:sz w:val="24"/>
          <w:szCs w:val="24"/>
        </w:rPr>
        <w:t>would</w:t>
      </w:r>
      <w:r>
        <w:rPr>
          <w:rFonts w:ascii="Times New Roman" w:hAnsi="Times New Roman"/>
          <w:sz w:val="24"/>
          <w:szCs w:val="24"/>
        </w:rPr>
        <w:t xml:space="preserve"> </w:t>
      </w:r>
      <w:r w:rsidR="00E8686E">
        <w:rPr>
          <w:rFonts w:ascii="Times New Roman" w:hAnsi="Times New Roman"/>
          <w:sz w:val="24"/>
          <w:szCs w:val="24"/>
        </w:rPr>
        <w:t xml:space="preserve">generally </w:t>
      </w:r>
      <w:r>
        <w:rPr>
          <w:rFonts w:ascii="Times New Roman" w:hAnsi="Times New Roman"/>
          <w:sz w:val="24"/>
          <w:szCs w:val="24"/>
        </w:rPr>
        <w:t xml:space="preserve">allow the broader context and consequences of any proposed remedies to be scrutinised </w:t>
      </w:r>
      <w:r w:rsidR="00BF4F27">
        <w:rPr>
          <w:rFonts w:ascii="Times New Roman" w:hAnsi="Times New Roman"/>
          <w:sz w:val="24"/>
          <w:szCs w:val="24"/>
        </w:rPr>
        <w:t>through</w:t>
      </w:r>
      <w:r>
        <w:rPr>
          <w:rFonts w:ascii="Times New Roman" w:hAnsi="Times New Roman"/>
          <w:sz w:val="24"/>
          <w:szCs w:val="24"/>
        </w:rPr>
        <w:t xml:space="preserve"> the select committee process and broad public consultation</w:t>
      </w:r>
      <w:r w:rsidR="00E8686E">
        <w:rPr>
          <w:rFonts w:ascii="Times New Roman" w:hAnsi="Times New Roman"/>
          <w:sz w:val="24"/>
          <w:szCs w:val="24"/>
        </w:rPr>
        <w:t xml:space="preserve"> (except when the legislation is passed under urgency or added to an existing Bill)</w:t>
      </w:r>
      <w:r>
        <w:rPr>
          <w:rFonts w:ascii="Times New Roman" w:hAnsi="Times New Roman"/>
          <w:sz w:val="24"/>
          <w:szCs w:val="24"/>
        </w:rPr>
        <w:t xml:space="preserve">.  </w:t>
      </w:r>
    </w:p>
    <w:p w14:paraId="3221DED2" w14:textId="77777777" w:rsidR="00D4061A" w:rsidRDefault="00D4061A" w:rsidP="00D4061A">
      <w:pPr>
        <w:pStyle w:val="ListParagraph"/>
        <w:rPr>
          <w:rFonts w:ascii="Times New Roman" w:hAnsi="Times New Roman"/>
          <w:sz w:val="24"/>
          <w:szCs w:val="24"/>
        </w:rPr>
      </w:pPr>
    </w:p>
    <w:p w14:paraId="586DF49C" w14:textId="7A1E1C2C" w:rsidR="00D4061A" w:rsidRDefault="00D4061A" w:rsidP="00D4061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1 </w:t>
      </w:r>
      <w:r w:rsidR="0030153D">
        <w:rPr>
          <w:rFonts w:ascii="Times New Roman" w:hAnsi="Times New Roman"/>
          <w:sz w:val="24"/>
          <w:szCs w:val="24"/>
        </w:rPr>
        <w:t xml:space="preserve">would also </w:t>
      </w:r>
      <w:r w:rsidR="0006442B">
        <w:rPr>
          <w:rFonts w:ascii="Times New Roman" w:hAnsi="Times New Roman"/>
          <w:sz w:val="24"/>
          <w:szCs w:val="24"/>
        </w:rPr>
        <w:t xml:space="preserve">generally </w:t>
      </w:r>
      <w:r w:rsidR="0030153D">
        <w:rPr>
          <w:rFonts w:ascii="Times New Roman" w:hAnsi="Times New Roman"/>
          <w:sz w:val="24"/>
          <w:szCs w:val="24"/>
        </w:rPr>
        <w:t>support</w:t>
      </w:r>
      <w:r>
        <w:rPr>
          <w:rFonts w:ascii="Times New Roman" w:hAnsi="Times New Roman"/>
          <w:sz w:val="24"/>
          <w:szCs w:val="24"/>
        </w:rPr>
        <w:t xml:space="preserve"> th</w:t>
      </w:r>
      <w:r w:rsidR="0030153D">
        <w:rPr>
          <w:rFonts w:ascii="Times New Roman" w:hAnsi="Times New Roman"/>
          <w:sz w:val="24"/>
          <w:szCs w:val="24"/>
        </w:rPr>
        <w:t>e integrity of the tax system as primary legislation</w:t>
      </w:r>
      <w:r>
        <w:rPr>
          <w:rFonts w:ascii="Times New Roman" w:hAnsi="Times New Roman"/>
          <w:sz w:val="24"/>
          <w:szCs w:val="24"/>
        </w:rPr>
        <w:t xml:space="preserve"> </w:t>
      </w:r>
      <w:r w:rsidR="00B82FF5">
        <w:rPr>
          <w:rFonts w:ascii="Times New Roman" w:hAnsi="Times New Roman"/>
          <w:sz w:val="24"/>
          <w:szCs w:val="24"/>
        </w:rPr>
        <w:t>would</w:t>
      </w:r>
      <w:r>
        <w:rPr>
          <w:rFonts w:ascii="Times New Roman" w:hAnsi="Times New Roman"/>
          <w:sz w:val="24"/>
          <w:szCs w:val="24"/>
        </w:rPr>
        <w:t xml:space="preserve"> provide legal certainty for taxpayers.  There </w:t>
      </w:r>
      <w:r w:rsidR="0030153D">
        <w:rPr>
          <w:rFonts w:ascii="Times New Roman" w:hAnsi="Times New Roman"/>
          <w:sz w:val="24"/>
          <w:szCs w:val="24"/>
        </w:rPr>
        <w:t>would be</w:t>
      </w:r>
      <w:r>
        <w:rPr>
          <w:rFonts w:ascii="Times New Roman" w:hAnsi="Times New Roman"/>
          <w:sz w:val="24"/>
          <w:szCs w:val="24"/>
        </w:rPr>
        <w:t xml:space="preserve"> no legal risks when the remedies are enacted by amendment Acts.  Further, the integrity of the tax system </w:t>
      </w:r>
      <w:r w:rsidR="0030153D">
        <w:rPr>
          <w:rFonts w:ascii="Times New Roman" w:hAnsi="Times New Roman"/>
          <w:sz w:val="24"/>
          <w:szCs w:val="24"/>
        </w:rPr>
        <w:t>would be</w:t>
      </w:r>
      <w:r>
        <w:rPr>
          <w:rFonts w:ascii="Times New Roman" w:hAnsi="Times New Roman"/>
          <w:sz w:val="24"/>
          <w:szCs w:val="24"/>
        </w:rPr>
        <w:t xml:space="preserve"> supported by having all the remedies in the principal Act, because taxpayers </w:t>
      </w:r>
      <w:r w:rsidR="0030153D">
        <w:rPr>
          <w:rFonts w:ascii="Times New Roman" w:hAnsi="Times New Roman"/>
          <w:sz w:val="24"/>
          <w:szCs w:val="24"/>
        </w:rPr>
        <w:t xml:space="preserve">would </w:t>
      </w:r>
      <w:r>
        <w:rPr>
          <w:rFonts w:ascii="Times New Roman" w:hAnsi="Times New Roman"/>
          <w:sz w:val="24"/>
          <w:szCs w:val="24"/>
        </w:rPr>
        <w:t xml:space="preserve">only need to refer to the Act to understand the law.  This means there </w:t>
      </w:r>
      <w:r w:rsidR="0030153D">
        <w:rPr>
          <w:rFonts w:ascii="Times New Roman" w:hAnsi="Times New Roman"/>
          <w:sz w:val="24"/>
          <w:szCs w:val="24"/>
        </w:rPr>
        <w:t>would be</w:t>
      </w:r>
      <w:r>
        <w:rPr>
          <w:rFonts w:ascii="Times New Roman" w:hAnsi="Times New Roman"/>
          <w:sz w:val="24"/>
          <w:szCs w:val="24"/>
        </w:rPr>
        <w:t xml:space="preserve"> no need </w:t>
      </w:r>
      <w:r w:rsidR="0030153D">
        <w:rPr>
          <w:rFonts w:ascii="Times New Roman" w:hAnsi="Times New Roman"/>
          <w:sz w:val="24"/>
          <w:szCs w:val="24"/>
        </w:rPr>
        <w:t xml:space="preserve">for them </w:t>
      </w:r>
      <w:r>
        <w:rPr>
          <w:rFonts w:ascii="Times New Roman" w:hAnsi="Times New Roman"/>
          <w:sz w:val="24"/>
          <w:szCs w:val="24"/>
        </w:rPr>
        <w:t xml:space="preserve">to weigh different types of legislation in interpreting the law. </w:t>
      </w:r>
    </w:p>
    <w:p w14:paraId="55BDD272" w14:textId="77777777" w:rsidR="00D4061A" w:rsidRDefault="00D4061A" w:rsidP="00782395">
      <w:pPr>
        <w:pStyle w:val="ListParagraph"/>
        <w:ind w:left="0"/>
        <w:rPr>
          <w:rFonts w:ascii="Times New Roman" w:hAnsi="Times New Roman"/>
          <w:sz w:val="24"/>
          <w:szCs w:val="24"/>
        </w:rPr>
      </w:pPr>
    </w:p>
    <w:p w14:paraId="75DE52E5" w14:textId="7C93427F" w:rsidR="00675F15" w:rsidRPr="00DF4010" w:rsidRDefault="00675F15" w:rsidP="00675F15">
      <w:pPr>
        <w:pStyle w:val="Bullet-list"/>
        <w:numPr>
          <w:ilvl w:val="0"/>
          <w:numId w:val="12"/>
        </w:numPr>
        <w:spacing w:after="0" w:line="240" w:lineRule="auto"/>
        <w:ind w:left="0" w:firstLine="0"/>
        <w:jc w:val="both"/>
        <w:rPr>
          <w:rFonts w:ascii="Times New Roman" w:hAnsi="Times New Roman"/>
          <w:sz w:val="24"/>
          <w:szCs w:val="24"/>
        </w:rPr>
      </w:pPr>
      <w:r w:rsidRPr="00DF4010">
        <w:rPr>
          <w:rFonts w:ascii="Times New Roman" w:hAnsi="Times New Roman"/>
          <w:sz w:val="24"/>
          <w:szCs w:val="24"/>
        </w:rPr>
        <w:t xml:space="preserve">However, there is a risk that the urgency of some issues may </w:t>
      </w:r>
      <w:r>
        <w:rPr>
          <w:rFonts w:ascii="Times New Roman" w:hAnsi="Times New Roman"/>
          <w:sz w:val="24"/>
          <w:szCs w:val="24"/>
        </w:rPr>
        <w:t>result in legislation being rushed through</w:t>
      </w:r>
      <w:r w:rsidRPr="00DF4010">
        <w:rPr>
          <w:rFonts w:ascii="Times New Roman" w:hAnsi="Times New Roman"/>
          <w:sz w:val="24"/>
          <w:szCs w:val="24"/>
        </w:rPr>
        <w:t xml:space="preserve"> either under urgency or by adding it to a Bill already going through the House.  </w:t>
      </w:r>
      <w:r w:rsidR="00D4061A">
        <w:rPr>
          <w:rFonts w:ascii="Times New Roman" w:hAnsi="Times New Roman"/>
          <w:sz w:val="24"/>
          <w:szCs w:val="24"/>
        </w:rPr>
        <w:t xml:space="preserve">Adopting such an approach is arguably inconsistent with </w:t>
      </w:r>
      <w:r w:rsidR="005C4FB1">
        <w:rPr>
          <w:rFonts w:ascii="Times New Roman" w:hAnsi="Times New Roman"/>
          <w:sz w:val="24"/>
          <w:szCs w:val="24"/>
        </w:rPr>
        <w:t xml:space="preserve">best </w:t>
      </w:r>
      <w:r w:rsidR="00D4061A">
        <w:rPr>
          <w:rFonts w:ascii="Times New Roman" w:hAnsi="Times New Roman"/>
          <w:sz w:val="24"/>
          <w:szCs w:val="24"/>
        </w:rPr>
        <w:t xml:space="preserve">parliamentary </w:t>
      </w:r>
      <w:r w:rsidR="005C4FB1">
        <w:rPr>
          <w:rFonts w:ascii="Times New Roman" w:hAnsi="Times New Roman"/>
          <w:sz w:val="24"/>
          <w:szCs w:val="24"/>
        </w:rPr>
        <w:t>practice</w:t>
      </w:r>
      <w:r w:rsidR="00D4061A">
        <w:rPr>
          <w:rFonts w:ascii="Times New Roman" w:hAnsi="Times New Roman"/>
          <w:sz w:val="24"/>
          <w:szCs w:val="24"/>
        </w:rPr>
        <w:t xml:space="preserve">, as it avoids the very parliamentary </w:t>
      </w:r>
      <w:r w:rsidR="0030153D">
        <w:rPr>
          <w:rFonts w:ascii="Times New Roman" w:hAnsi="Times New Roman"/>
          <w:sz w:val="24"/>
          <w:szCs w:val="24"/>
        </w:rPr>
        <w:t xml:space="preserve">and public </w:t>
      </w:r>
      <w:r w:rsidR="00D4061A">
        <w:rPr>
          <w:rFonts w:ascii="Times New Roman" w:hAnsi="Times New Roman"/>
          <w:sz w:val="24"/>
          <w:szCs w:val="24"/>
        </w:rPr>
        <w:t xml:space="preserve">scrutiny that is intended by the process.  </w:t>
      </w:r>
      <w:r w:rsidRPr="00DF4010">
        <w:rPr>
          <w:rFonts w:ascii="Times New Roman" w:hAnsi="Times New Roman"/>
          <w:sz w:val="24"/>
          <w:szCs w:val="24"/>
        </w:rPr>
        <w:t xml:space="preserve">This would undermine many of the benefits of this approach discussed above.  In other words, in practice there is a risk that </w:t>
      </w:r>
      <w:r>
        <w:rPr>
          <w:rFonts w:ascii="Times New Roman" w:hAnsi="Times New Roman"/>
          <w:sz w:val="24"/>
          <w:szCs w:val="24"/>
        </w:rPr>
        <w:t xml:space="preserve">option 1 </w:t>
      </w:r>
      <w:r w:rsidR="00B82FF5">
        <w:rPr>
          <w:rFonts w:ascii="Times New Roman" w:hAnsi="Times New Roman"/>
          <w:sz w:val="24"/>
          <w:szCs w:val="24"/>
        </w:rPr>
        <w:t>would</w:t>
      </w:r>
      <w:r>
        <w:rPr>
          <w:rFonts w:ascii="Times New Roman" w:hAnsi="Times New Roman"/>
          <w:sz w:val="24"/>
          <w:szCs w:val="24"/>
        </w:rPr>
        <w:t xml:space="preserve"> undermine the sus</w:t>
      </w:r>
      <w:r w:rsidR="00E8686E">
        <w:rPr>
          <w:rFonts w:ascii="Times New Roman" w:hAnsi="Times New Roman"/>
          <w:sz w:val="24"/>
          <w:szCs w:val="24"/>
        </w:rPr>
        <w:t xml:space="preserve">tainability of the tax system, because it </w:t>
      </w:r>
      <w:r w:rsidR="00B82FF5">
        <w:rPr>
          <w:rFonts w:ascii="Times New Roman" w:hAnsi="Times New Roman"/>
          <w:sz w:val="24"/>
          <w:szCs w:val="24"/>
        </w:rPr>
        <w:t>would</w:t>
      </w:r>
      <w:r w:rsidR="00E8686E">
        <w:rPr>
          <w:rFonts w:ascii="Times New Roman" w:hAnsi="Times New Roman"/>
          <w:sz w:val="24"/>
          <w:szCs w:val="24"/>
        </w:rPr>
        <w:t xml:space="preserve"> not have </w:t>
      </w:r>
      <w:r>
        <w:rPr>
          <w:rFonts w:ascii="Times New Roman" w:hAnsi="Times New Roman"/>
          <w:sz w:val="24"/>
          <w:szCs w:val="24"/>
        </w:rPr>
        <w:t xml:space="preserve">the </w:t>
      </w:r>
      <w:r w:rsidR="00E8686E">
        <w:rPr>
          <w:rFonts w:ascii="Times New Roman" w:hAnsi="Times New Roman"/>
          <w:sz w:val="24"/>
          <w:szCs w:val="24"/>
        </w:rPr>
        <w:t xml:space="preserve">expected </w:t>
      </w:r>
      <w:r>
        <w:rPr>
          <w:rFonts w:ascii="Times New Roman" w:hAnsi="Times New Roman"/>
          <w:sz w:val="24"/>
          <w:szCs w:val="24"/>
        </w:rPr>
        <w:t>checks or balances.</w:t>
      </w:r>
    </w:p>
    <w:p w14:paraId="3E38AD8D" w14:textId="77777777" w:rsidR="00675F15" w:rsidRDefault="00675F15" w:rsidP="00782395">
      <w:pPr>
        <w:pStyle w:val="ListParagraph"/>
        <w:ind w:left="0"/>
        <w:rPr>
          <w:rFonts w:ascii="Times New Roman" w:hAnsi="Times New Roman"/>
          <w:sz w:val="24"/>
          <w:szCs w:val="24"/>
        </w:rPr>
      </w:pPr>
    </w:p>
    <w:p w14:paraId="280478AA" w14:textId="71A8A49A" w:rsidR="0049462A" w:rsidRDefault="0049462A" w:rsidP="00755780">
      <w:pPr>
        <w:pStyle w:val="Bullet-list"/>
        <w:numPr>
          <w:ilvl w:val="0"/>
          <w:numId w:val="12"/>
        </w:numPr>
        <w:spacing w:after="0" w:line="240" w:lineRule="auto"/>
        <w:ind w:left="0" w:firstLine="0"/>
        <w:jc w:val="both"/>
        <w:rPr>
          <w:rFonts w:ascii="Times New Roman" w:hAnsi="Times New Roman"/>
          <w:sz w:val="24"/>
          <w:szCs w:val="24"/>
        </w:rPr>
      </w:pPr>
      <w:r w:rsidRPr="0049462A">
        <w:rPr>
          <w:rFonts w:ascii="Times New Roman" w:hAnsi="Times New Roman"/>
          <w:sz w:val="24"/>
          <w:szCs w:val="24"/>
        </w:rPr>
        <w:t xml:space="preserve">Bill Moore, Acting Chief Parliamentary Counsel, Parliamentary Counsel Office noted </w:t>
      </w:r>
      <w:r>
        <w:rPr>
          <w:rFonts w:ascii="Times New Roman" w:hAnsi="Times New Roman"/>
          <w:sz w:val="24"/>
          <w:szCs w:val="24"/>
        </w:rPr>
        <w:t xml:space="preserve">to the Regulations Review Committee </w:t>
      </w:r>
      <w:r w:rsidRPr="0049462A">
        <w:rPr>
          <w:rFonts w:ascii="Times New Roman" w:hAnsi="Times New Roman"/>
          <w:sz w:val="24"/>
          <w:szCs w:val="24"/>
        </w:rPr>
        <w:t>that trying to remedy all transitional issues through legislative amendments during major computer changes may be showing less respect for the rule of law than using transitional regulations</w:t>
      </w:r>
      <w:r w:rsidR="005C4FB1">
        <w:rPr>
          <w:rFonts w:ascii="Times New Roman" w:hAnsi="Times New Roman"/>
          <w:sz w:val="24"/>
          <w:szCs w:val="24"/>
        </w:rPr>
        <w:t>.</w:t>
      </w:r>
      <w:r w:rsidR="005C4FB1" w:rsidRPr="005C4FB1">
        <w:rPr>
          <w:rStyle w:val="FootnoteReference"/>
          <w:rFonts w:ascii="Times New Roman" w:hAnsi="Times New Roman"/>
          <w:szCs w:val="24"/>
        </w:rPr>
        <w:footnoteReference w:id="5"/>
      </w:r>
      <w:r w:rsidRPr="0049462A">
        <w:rPr>
          <w:rFonts w:ascii="Times New Roman" w:hAnsi="Times New Roman"/>
          <w:sz w:val="24"/>
          <w:szCs w:val="24"/>
        </w:rPr>
        <w:t xml:space="preserve">  The challenges to the rule of law </w:t>
      </w:r>
      <w:r w:rsidR="005C38A2">
        <w:rPr>
          <w:rFonts w:ascii="Times New Roman" w:hAnsi="Times New Roman"/>
          <w:sz w:val="24"/>
          <w:szCs w:val="24"/>
        </w:rPr>
        <w:t xml:space="preserve">can </w:t>
      </w:r>
      <w:r w:rsidRPr="0049462A">
        <w:rPr>
          <w:rFonts w:ascii="Times New Roman" w:hAnsi="Times New Roman"/>
          <w:sz w:val="24"/>
          <w:szCs w:val="24"/>
        </w:rPr>
        <w:t xml:space="preserve">arise when </w:t>
      </w:r>
      <w:r w:rsidR="005C38A2">
        <w:rPr>
          <w:rFonts w:ascii="Times New Roman" w:hAnsi="Times New Roman"/>
          <w:sz w:val="24"/>
          <w:szCs w:val="24"/>
        </w:rPr>
        <w:t>it is stated</w:t>
      </w:r>
      <w:r w:rsidRPr="0049462A">
        <w:rPr>
          <w:rFonts w:ascii="Times New Roman" w:hAnsi="Times New Roman"/>
          <w:sz w:val="24"/>
          <w:szCs w:val="24"/>
        </w:rPr>
        <w:t xml:space="preserve"> that the transitional issues will be remedied by retrospective amendments enacted later.  This means taxpayers have to apply the current law and run the risk the approach will be retrospectively undermined, or they have to ignore the current law and hope that the amendment is enacted as proposed.</w:t>
      </w:r>
    </w:p>
    <w:p w14:paraId="412DB00A" w14:textId="77777777" w:rsidR="00BA5A79" w:rsidRDefault="00BA5A79" w:rsidP="00FC1D7B">
      <w:pPr>
        <w:pStyle w:val="Bullet-list"/>
        <w:spacing w:after="0" w:line="240" w:lineRule="auto"/>
        <w:jc w:val="both"/>
        <w:rPr>
          <w:rFonts w:ascii="Times New Roman" w:hAnsi="Times New Roman"/>
          <w:b/>
          <w:sz w:val="24"/>
          <w:szCs w:val="24"/>
        </w:rPr>
      </w:pPr>
    </w:p>
    <w:p w14:paraId="335C664E" w14:textId="77777777" w:rsidR="00932A1A" w:rsidRPr="00782395" w:rsidRDefault="00932A1A" w:rsidP="00FC1D7B">
      <w:pPr>
        <w:pStyle w:val="Bullet-list"/>
        <w:spacing w:after="0" w:line="240" w:lineRule="auto"/>
        <w:jc w:val="both"/>
        <w:rPr>
          <w:rFonts w:ascii="Times New Roman" w:hAnsi="Times New Roman"/>
          <w:b/>
          <w:sz w:val="24"/>
          <w:szCs w:val="24"/>
        </w:rPr>
      </w:pPr>
      <w:r w:rsidRPr="00782395">
        <w:rPr>
          <w:rFonts w:ascii="Times New Roman" w:hAnsi="Times New Roman"/>
          <w:b/>
          <w:sz w:val="24"/>
          <w:szCs w:val="24"/>
        </w:rPr>
        <w:t>Option 2</w:t>
      </w:r>
    </w:p>
    <w:p w14:paraId="7ACD88A9" w14:textId="77777777" w:rsidR="00932A1A" w:rsidRDefault="00932A1A" w:rsidP="00FC1D7B">
      <w:pPr>
        <w:pStyle w:val="Bullet-list"/>
        <w:spacing w:after="0" w:line="240" w:lineRule="auto"/>
        <w:jc w:val="both"/>
        <w:rPr>
          <w:rFonts w:ascii="Times New Roman" w:hAnsi="Times New Roman"/>
          <w:b/>
          <w:i/>
          <w:sz w:val="24"/>
          <w:szCs w:val="24"/>
        </w:rPr>
      </w:pPr>
    </w:p>
    <w:p w14:paraId="13D02EA9" w14:textId="6AC7DAE7" w:rsidR="00C0260B" w:rsidRDefault="00A640CD" w:rsidP="001922C2">
      <w:pPr>
        <w:pStyle w:val="Bullet-list"/>
        <w:numPr>
          <w:ilvl w:val="0"/>
          <w:numId w:val="12"/>
        </w:numPr>
        <w:spacing w:after="0" w:line="240" w:lineRule="auto"/>
        <w:ind w:left="0" w:firstLine="0"/>
        <w:jc w:val="both"/>
        <w:rPr>
          <w:rFonts w:ascii="Times New Roman" w:hAnsi="Times New Roman"/>
          <w:sz w:val="24"/>
          <w:szCs w:val="24"/>
        </w:rPr>
      </w:pPr>
      <w:r w:rsidRPr="00CE1B5A">
        <w:rPr>
          <w:rFonts w:ascii="Times New Roman" w:hAnsi="Times New Roman"/>
          <w:sz w:val="24"/>
          <w:szCs w:val="24"/>
        </w:rPr>
        <w:t xml:space="preserve">The second option is to enact a regulation-making empowering provision to allow transitional regulations </w:t>
      </w:r>
      <w:r w:rsidR="007843FB">
        <w:rPr>
          <w:rFonts w:ascii="Times New Roman" w:hAnsi="Times New Roman"/>
          <w:sz w:val="24"/>
          <w:szCs w:val="24"/>
        </w:rPr>
        <w:t xml:space="preserve">and exemptions </w:t>
      </w:r>
      <w:r w:rsidRPr="00CE1B5A">
        <w:rPr>
          <w:rFonts w:ascii="Times New Roman" w:hAnsi="Times New Roman"/>
          <w:sz w:val="24"/>
          <w:szCs w:val="24"/>
        </w:rPr>
        <w:t>to be made by Order in Council.</w:t>
      </w:r>
      <w:r w:rsidR="002C5BA6">
        <w:rPr>
          <w:rFonts w:ascii="Times New Roman" w:hAnsi="Times New Roman"/>
          <w:sz w:val="24"/>
          <w:szCs w:val="24"/>
        </w:rPr>
        <w:t xml:space="preserve">  </w:t>
      </w:r>
    </w:p>
    <w:p w14:paraId="2F18E204" w14:textId="77777777" w:rsidR="00C0260B" w:rsidRDefault="00C0260B" w:rsidP="00AB456E">
      <w:pPr>
        <w:pStyle w:val="Bullet-list"/>
        <w:spacing w:after="0" w:line="240" w:lineRule="auto"/>
        <w:jc w:val="both"/>
        <w:rPr>
          <w:rFonts w:ascii="Times New Roman" w:hAnsi="Times New Roman"/>
          <w:sz w:val="24"/>
          <w:szCs w:val="24"/>
        </w:rPr>
      </w:pPr>
    </w:p>
    <w:p w14:paraId="28E194F1" w14:textId="0B6963D5" w:rsidR="00994ED0" w:rsidRDefault="00994ED0" w:rsidP="00994ED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As with other transitional regulation-making provisions, regulations and exemptions made under the provision could override primary legislation.</w:t>
      </w:r>
      <w:r w:rsidRPr="005C38A2">
        <w:rPr>
          <w:rStyle w:val="FootnoteReference"/>
          <w:rFonts w:ascii="Times New Roman" w:hAnsi="Times New Roman"/>
          <w:szCs w:val="24"/>
        </w:rPr>
        <w:footnoteReference w:id="6"/>
      </w:r>
      <w:r>
        <w:rPr>
          <w:rFonts w:ascii="Times New Roman" w:hAnsi="Times New Roman"/>
          <w:sz w:val="24"/>
          <w:szCs w:val="24"/>
        </w:rPr>
        <w:t xml:space="preserve">  Specifically, t</w:t>
      </w:r>
      <w:r w:rsidRPr="00C37270">
        <w:rPr>
          <w:rFonts w:ascii="Times New Roman" w:hAnsi="Times New Roman"/>
          <w:sz w:val="24"/>
          <w:szCs w:val="24"/>
        </w:rPr>
        <w:t xml:space="preserve">he exemption and regulation-making power </w:t>
      </w:r>
      <w:r w:rsidR="007C0442">
        <w:rPr>
          <w:rFonts w:ascii="Times New Roman" w:hAnsi="Times New Roman"/>
          <w:sz w:val="24"/>
          <w:szCs w:val="24"/>
        </w:rPr>
        <w:t>would</w:t>
      </w:r>
      <w:r w:rsidRPr="00C37270">
        <w:rPr>
          <w:rFonts w:ascii="Times New Roman" w:hAnsi="Times New Roman"/>
          <w:sz w:val="24"/>
          <w:szCs w:val="24"/>
        </w:rPr>
        <w:t xml:space="preserve"> enable the delegated legislation to expressly or impliedly:</w:t>
      </w:r>
    </w:p>
    <w:p w14:paraId="41A32D1A" w14:textId="77777777" w:rsidR="007C0442" w:rsidRDefault="007C0442" w:rsidP="00AB456E">
      <w:pPr>
        <w:pStyle w:val="ListParagraph"/>
        <w:rPr>
          <w:rFonts w:ascii="Times New Roman" w:hAnsi="Times New Roman"/>
          <w:sz w:val="24"/>
          <w:szCs w:val="24"/>
        </w:rPr>
      </w:pPr>
    </w:p>
    <w:p w14:paraId="711BB817" w14:textId="77777777" w:rsidR="00994ED0" w:rsidRDefault="00994ED0" w:rsidP="00994ED0">
      <w:pPr>
        <w:pStyle w:val="TRNormal"/>
        <w:numPr>
          <w:ilvl w:val="0"/>
          <w:numId w:val="20"/>
        </w:numPr>
      </w:pPr>
      <w:r w:rsidRPr="00D64C24">
        <w:rPr>
          <w:szCs w:val="24"/>
        </w:rPr>
        <w:t xml:space="preserve">Amend, </w:t>
      </w:r>
      <w:r w:rsidRPr="00D64C24">
        <w:t>suspend or override a provision in the Tax Administration Act 1994;</w:t>
      </w:r>
    </w:p>
    <w:p w14:paraId="00BEDB9E" w14:textId="77777777" w:rsidR="007C0442" w:rsidRDefault="007C0442" w:rsidP="00AB456E">
      <w:pPr>
        <w:pStyle w:val="TRNormal"/>
      </w:pPr>
    </w:p>
    <w:p w14:paraId="4F7242B1" w14:textId="77777777" w:rsidR="00994ED0" w:rsidRDefault="00994ED0" w:rsidP="00994ED0">
      <w:pPr>
        <w:pStyle w:val="TRNormal"/>
        <w:numPr>
          <w:ilvl w:val="0"/>
          <w:numId w:val="20"/>
        </w:numPr>
      </w:pPr>
      <w:r w:rsidRPr="00D64C24">
        <w:t>Define or amend a term in the Tax Administration Act 1994;</w:t>
      </w:r>
      <w:r>
        <w:t xml:space="preserve"> and</w:t>
      </w:r>
    </w:p>
    <w:p w14:paraId="41284ACC" w14:textId="77777777" w:rsidR="007C0442" w:rsidRDefault="007C0442" w:rsidP="00AB456E">
      <w:pPr>
        <w:pStyle w:val="ListParagraph"/>
      </w:pPr>
    </w:p>
    <w:p w14:paraId="6D754F33" w14:textId="77777777" w:rsidR="00994ED0" w:rsidRDefault="00994ED0" w:rsidP="00994ED0">
      <w:pPr>
        <w:pStyle w:val="TRNormal"/>
        <w:numPr>
          <w:ilvl w:val="0"/>
          <w:numId w:val="20"/>
        </w:numPr>
        <w:rPr>
          <w:szCs w:val="24"/>
        </w:rPr>
      </w:pPr>
      <w:r w:rsidRPr="00D64C24">
        <w:t>Exempt a person from</w:t>
      </w:r>
      <w:r w:rsidRPr="00D64C24">
        <w:rPr>
          <w:szCs w:val="24"/>
        </w:rPr>
        <w:t xml:space="preserve"> </w:t>
      </w:r>
      <w:r>
        <w:rPr>
          <w:szCs w:val="24"/>
        </w:rPr>
        <w:t>a</w:t>
      </w:r>
      <w:r w:rsidRPr="00D64C24">
        <w:rPr>
          <w:szCs w:val="24"/>
        </w:rPr>
        <w:t xml:space="preserve"> provision of the Tax Administration Act 1994</w:t>
      </w:r>
      <w:r>
        <w:rPr>
          <w:szCs w:val="24"/>
        </w:rPr>
        <w:t>.</w:t>
      </w:r>
    </w:p>
    <w:p w14:paraId="607CD24D" w14:textId="77777777" w:rsidR="00994ED0" w:rsidRDefault="00994ED0" w:rsidP="00AB456E">
      <w:pPr>
        <w:pStyle w:val="Bullet-list"/>
        <w:spacing w:after="0" w:line="240" w:lineRule="auto"/>
        <w:jc w:val="both"/>
        <w:rPr>
          <w:rFonts w:ascii="Times New Roman" w:hAnsi="Times New Roman"/>
          <w:sz w:val="24"/>
          <w:szCs w:val="24"/>
        </w:rPr>
      </w:pPr>
    </w:p>
    <w:p w14:paraId="0ED274D4" w14:textId="77777777" w:rsidR="00DF7C65" w:rsidRDefault="00C0260B" w:rsidP="001922C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sidR="006B4468">
        <w:rPr>
          <w:rFonts w:ascii="Times New Roman" w:hAnsi="Times New Roman"/>
          <w:sz w:val="24"/>
          <w:szCs w:val="24"/>
        </w:rPr>
        <w:t>scope of issues that could be remedied by transitional regulations under option 2 is limited to those</w:t>
      </w:r>
      <w:r w:rsidR="00DF7C65">
        <w:rPr>
          <w:rFonts w:ascii="Times New Roman" w:hAnsi="Times New Roman"/>
          <w:sz w:val="24"/>
          <w:szCs w:val="24"/>
        </w:rPr>
        <w:t>:</w:t>
      </w:r>
    </w:p>
    <w:p w14:paraId="71702097" w14:textId="77777777" w:rsidR="00CE76A9" w:rsidRDefault="00CE76A9" w:rsidP="00AB456E">
      <w:pPr>
        <w:pStyle w:val="Bullet-list"/>
        <w:spacing w:after="0" w:line="240" w:lineRule="auto"/>
        <w:jc w:val="both"/>
        <w:rPr>
          <w:rFonts w:ascii="Times New Roman" w:hAnsi="Times New Roman"/>
          <w:sz w:val="24"/>
          <w:szCs w:val="24"/>
        </w:rPr>
      </w:pPr>
    </w:p>
    <w:p w14:paraId="2656B8A6" w14:textId="759F42B4" w:rsidR="00DF7C65" w:rsidRDefault="006B4468" w:rsidP="00AB456E">
      <w:pPr>
        <w:pStyle w:val="Bullet-list"/>
        <w:numPr>
          <w:ilvl w:val="0"/>
          <w:numId w:val="22"/>
        </w:numPr>
        <w:spacing w:after="0" w:line="240" w:lineRule="auto"/>
        <w:jc w:val="both"/>
        <w:rPr>
          <w:rFonts w:ascii="Times New Roman" w:hAnsi="Times New Roman"/>
          <w:sz w:val="24"/>
          <w:szCs w:val="24"/>
        </w:rPr>
      </w:pPr>
      <w:r>
        <w:rPr>
          <w:rFonts w:ascii="Times New Roman" w:hAnsi="Times New Roman"/>
          <w:sz w:val="24"/>
          <w:szCs w:val="24"/>
        </w:rPr>
        <w:t>that</w:t>
      </w:r>
      <w:r w:rsidR="00C0260B">
        <w:rPr>
          <w:rFonts w:ascii="Times New Roman" w:hAnsi="Times New Roman"/>
          <w:sz w:val="24"/>
          <w:szCs w:val="24"/>
        </w:rPr>
        <w:t xml:space="preserve"> are consistent with the current policy </w:t>
      </w:r>
      <w:r w:rsidR="00BA5A79">
        <w:rPr>
          <w:rFonts w:ascii="Times New Roman" w:hAnsi="Times New Roman"/>
          <w:sz w:val="24"/>
          <w:szCs w:val="24"/>
        </w:rPr>
        <w:t xml:space="preserve">intent </w:t>
      </w:r>
      <w:r w:rsidR="00C0260B">
        <w:rPr>
          <w:rFonts w:ascii="Times New Roman" w:hAnsi="Times New Roman"/>
          <w:sz w:val="24"/>
          <w:szCs w:val="24"/>
        </w:rPr>
        <w:t>(see the safeguards below)</w:t>
      </w:r>
      <w:r w:rsidR="00DF7C65">
        <w:rPr>
          <w:rFonts w:ascii="Times New Roman" w:hAnsi="Times New Roman"/>
          <w:sz w:val="24"/>
          <w:szCs w:val="24"/>
        </w:rPr>
        <w:t>; and</w:t>
      </w:r>
    </w:p>
    <w:p w14:paraId="79CEEB59" w14:textId="77777777" w:rsidR="00CE76A9" w:rsidRDefault="00CE76A9" w:rsidP="00AB456E">
      <w:pPr>
        <w:pStyle w:val="Bullet-list"/>
        <w:spacing w:after="0" w:line="240" w:lineRule="auto"/>
        <w:jc w:val="both"/>
        <w:rPr>
          <w:rFonts w:ascii="Times New Roman" w:hAnsi="Times New Roman"/>
          <w:sz w:val="24"/>
          <w:szCs w:val="24"/>
        </w:rPr>
      </w:pPr>
    </w:p>
    <w:p w14:paraId="4F81E8CF" w14:textId="545209F2" w:rsidR="00CE76A9" w:rsidRDefault="00CE76A9" w:rsidP="00AB456E">
      <w:pPr>
        <w:pStyle w:val="Bullet-list"/>
        <w:numPr>
          <w:ilvl w:val="0"/>
          <w:numId w:val="22"/>
        </w:numPr>
        <w:spacing w:after="0" w:line="240" w:lineRule="auto"/>
        <w:jc w:val="both"/>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are necessary or desirable for the orderly implementation of the business transformation.</w:t>
      </w:r>
    </w:p>
    <w:p w14:paraId="6AFD9530" w14:textId="77777777" w:rsidR="00CE76A9" w:rsidRDefault="00CE76A9" w:rsidP="00AB456E">
      <w:pPr>
        <w:pStyle w:val="Bullet-list"/>
        <w:spacing w:after="0" w:line="240" w:lineRule="auto"/>
        <w:jc w:val="both"/>
        <w:rPr>
          <w:rFonts w:ascii="Times New Roman" w:hAnsi="Times New Roman"/>
          <w:sz w:val="24"/>
          <w:szCs w:val="24"/>
        </w:rPr>
      </w:pPr>
    </w:p>
    <w:p w14:paraId="3A00C2CA" w14:textId="55F0DB6C" w:rsidR="00932A1A" w:rsidRDefault="00C0260B" w:rsidP="001922C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lang w:val="en-NZ"/>
        </w:rPr>
        <w:t xml:space="preserve">This means that the regulation-making ability would not </w:t>
      </w:r>
      <w:r w:rsidRPr="00523524">
        <w:rPr>
          <w:rFonts w:ascii="Times New Roman" w:hAnsi="Times New Roman"/>
          <w:sz w:val="24"/>
          <w:szCs w:val="24"/>
          <w:lang w:val="en-NZ"/>
        </w:rPr>
        <w:t>allow for any general policy-making ability</w:t>
      </w:r>
      <w:r>
        <w:rPr>
          <w:rFonts w:ascii="Times New Roman" w:hAnsi="Times New Roman"/>
          <w:sz w:val="24"/>
          <w:szCs w:val="24"/>
          <w:lang w:val="en-NZ"/>
        </w:rPr>
        <w:t xml:space="preserve">.  </w:t>
      </w:r>
      <w:r>
        <w:rPr>
          <w:rFonts w:ascii="Times New Roman" w:hAnsi="Times New Roman"/>
          <w:sz w:val="24"/>
          <w:szCs w:val="24"/>
        </w:rPr>
        <w:t>Any issues that represented a change in policy would need</w:t>
      </w:r>
      <w:r w:rsidR="002C5BA6">
        <w:rPr>
          <w:rFonts w:ascii="Times New Roman" w:hAnsi="Times New Roman"/>
          <w:sz w:val="24"/>
          <w:szCs w:val="24"/>
        </w:rPr>
        <w:t xml:space="preserve"> to be dealt with by </w:t>
      </w:r>
      <w:r w:rsidR="0030153D">
        <w:rPr>
          <w:rFonts w:ascii="Times New Roman" w:hAnsi="Times New Roman"/>
          <w:sz w:val="24"/>
          <w:szCs w:val="24"/>
        </w:rPr>
        <w:t>an</w:t>
      </w:r>
      <w:r w:rsidR="002C5BA6">
        <w:rPr>
          <w:rFonts w:ascii="Times New Roman" w:hAnsi="Times New Roman"/>
          <w:sz w:val="24"/>
          <w:szCs w:val="24"/>
        </w:rPr>
        <w:t xml:space="preserve"> amendment </w:t>
      </w:r>
      <w:r w:rsidR="0030153D">
        <w:rPr>
          <w:rFonts w:ascii="Times New Roman" w:hAnsi="Times New Roman"/>
          <w:sz w:val="24"/>
          <w:szCs w:val="24"/>
        </w:rPr>
        <w:t>Act</w:t>
      </w:r>
      <w:r w:rsidR="002C5BA6">
        <w:rPr>
          <w:rFonts w:ascii="Times New Roman" w:hAnsi="Times New Roman"/>
          <w:sz w:val="24"/>
          <w:szCs w:val="24"/>
        </w:rPr>
        <w:t>.</w:t>
      </w:r>
      <w:r w:rsidR="003520E6">
        <w:rPr>
          <w:rFonts w:ascii="Times New Roman" w:hAnsi="Times New Roman"/>
          <w:sz w:val="24"/>
          <w:szCs w:val="24"/>
        </w:rPr>
        <w:t xml:space="preserve">  </w:t>
      </w:r>
      <w:r w:rsidR="00CE76A9">
        <w:rPr>
          <w:rFonts w:ascii="Times New Roman" w:hAnsi="Times New Roman"/>
          <w:sz w:val="24"/>
          <w:szCs w:val="24"/>
        </w:rPr>
        <w:t>Further, it only allows issues that relate to the orderly transition to be remedied by regulations.  This prevents the power being used to remedy general issues not related to the business transformation process.</w:t>
      </w:r>
    </w:p>
    <w:p w14:paraId="57B3B509" w14:textId="1AA79003" w:rsidR="006F354E" w:rsidRDefault="006F354E" w:rsidP="00AB456E">
      <w:pPr>
        <w:pStyle w:val="ListParagraph"/>
        <w:rPr>
          <w:rFonts w:ascii="Times New Roman" w:hAnsi="Times New Roman"/>
          <w:sz w:val="24"/>
          <w:szCs w:val="24"/>
        </w:rPr>
      </w:pPr>
    </w:p>
    <w:p w14:paraId="232C8E38" w14:textId="545C6916" w:rsidR="00994ED0" w:rsidRDefault="0007377C">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Inland Revenue consider</w:t>
      </w:r>
      <w:r w:rsidR="00CE76A9">
        <w:rPr>
          <w:rFonts w:ascii="Times New Roman" w:hAnsi="Times New Roman"/>
          <w:sz w:val="24"/>
          <w:szCs w:val="24"/>
        </w:rPr>
        <w:t>ed</w:t>
      </w:r>
      <w:r w:rsidR="00FC4F74">
        <w:rPr>
          <w:rFonts w:ascii="Times New Roman" w:hAnsi="Times New Roman"/>
          <w:sz w:val="24"/>
          <w:szCs w:val="24"/>
        </w:rPr>
        <w:t xml:space="preserve"> a</w:t>
      </w:r>
      <w:r w:rsidR="006F354E">
        <w:rPr>
          <w:rFonts w:ascii="Times New Roman" w:hAnsi="Times New Roman"/>
          <w:sz w:val="24"/>
          <w:szCs w:val="24"/>
        </w:rPr>
        <w:t>lternative constraints on the scope of the regulation-mak</w:t>
      </w:r>
      <w:r w:rsidR="00FC4F74">
        <w:rPr>
          <w:rFonts w:ascii="Times New Roman" w:hAnsi="Times New Roman"/>
          <w:sz w:val="24"/>
          <w:szCs w:val="24"/>
        </w:rPr>
        <w:t xml:space="preserve">ing power, </w:t>
      </w:r>
      <w:r w:rsidR="00994ED0">
        <w:rPr>
          <w:rFonts w:ascii="Times New Roman" w:hAnsi="Times New Roman"/>
          <w:sz w:val="24"/>
          <w:szCs w:val="24"/>
        </w:rPr>
        <w:t>such as:</w:t>
      </w:r>
    </w:p>
    <w:p w14:paraId="55CE37D5" w14:textId="43E6C3E5" w:rsidR="00994ED0" w:rsidRDefault="0057790E" w:rsidP="00AB456E">
      <w:pPr>
        <w:pStyle w:val="Bullet-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t</w:t>
      </w:r>
      <w:r w:rsidR="00994ED0">
        <w:rPr>
          <w:rFonts w:ascii="Times New Roman" w:hAnsi="Times New Roman"/>
          <w:sz w:val="24"/>
          <w:szCs w:val="24"/>
        </w:rPr>
        <w:t>he</w:t>
      </w:r>
      <w:r w:rsidR="00BA5A79">
        <w:rPr>
          <w:rFonts w:ascii="Times New Roman" w:hAnsi="Times New Roman"/>
          <w:sz w:val="24"/>
          <w:szCs w:val="24"/>
        </w:rPr>
        <w:t>y could only be made in respect</w:t>
      </w:r>
      <w:r w:rsidR="00994ED0">
        <w:rPr>
          <w:rFonts w:ascii="Times New Roman" w:hAnsi="Times New Roman"/>
          <w:sz w:val="24"/>
          <w:szCs w:val="24"/>
        </w:rPr>
        <w:t xml:space="preserve"> of certain specified rules or processes;</w:t>
      </w:r>
    </w:p>
    <w:p w14:paraId="75CB201F" w14:textId="77777777" w:rsidR="00104CD3" w:rsidRDefault="00104CD3" w:rsidP="00AB456E">
      <w:pPr>
        <w:pStyle w:val="Bullet-list"/>
        <w:spacing w:after="0" w:line="240" w:lineRule="auto"/>
        <w:jc w:val="both"/>
        <w:rPr>
          <w:rFonts w:ascii="Times New Roman" w:hAnsi="Times New Roman"/>
          <w:sz w:val="24"/>
          <w:szCs w:val="24"/>
        </w:rPr>
      </w:pPr>
    </w:p>
    <w:p w14:paraId="0FB8FCE9" w14:textId="77777777" w:rsidR="00994ED0" w:rsidRDefault="006F354E" w:rsidP="00AB456E">
      <w:pPr>
        <w:pStyle w:val="Bullet-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they could only </w:t>
      </w:r>
      <w:r w:rsidR="006161F9">
        <w:rPr>
          <w:rFonts w:ascii="Times New Roman" w:hAnsi="Times New Roman"/>
          <w:sz w:val="24"/>
          <w:szCs w:val="24"/>
        </w:rPr>
        <w:t>be made when they were taxpayer-</w:t>
      </w:r>
      <w:r w:rsidR="00994ED0">
        <w:rPr>
          <w:rFonts w:ascii="Times New Roman" w:hAnsi="Times New Roman"/>
          <w:sz w:val="24"/>
          <w:szCs w:val="24"/>
        </w:rPr>
        <w:t xml:space="preserve">favourable; </w:t>
      </w:r>
      <w:r>
        <w:rPr>
          <w:rFonts w:ascii="Times New Roman" w:hAnsi="Times New Roman"/>
          <w:sz w:val="24"/>
          <w:szCs w:val="24"/>
        </w:rPr>
        <w:t xml:space="preserve">or </w:t>
      </w:r>
    </w:p>
    <w:p w14:paraId="5ED77DCB" w14:textId="77777777" w:rsidR="00104CD3" w:rsidRDefault="00104CD3" w:rsidP="00AB456E">
      <w:pPr>
        <w:pStyle w:val="ListParagraph"/>
        <w:rPr>
          <w:rFonts w:ascii="Times New Roman" w:hAnsi="Times New Roman"/>
          <w:sz w:val="24"/>
          <w:szCs w:val="24"/>
        </w:rPr>
      </w:pPr>
    </w:p>
    <w:p w14:paraId="7E07174E" w14:textId="2818B471" w:rsidR="00994ED0" w:rsidRDefault="0057790E" w:rsidP="00AB456E">
      <w:pPr>
        <w:pStyle w:val="Bullet-list"/>
        <w:numPr>
          <w:ilvl w:val="0"/>
          <w:numId w:val="21"/>
        </w:numPr>
        <w:spacing w:after="0" w:line="240" w:lineRule="auto"/>
        <w:jc w:val="both"/>
        <w:rPr>
          <w:rFonts w:ascii="Times New Roman" w:hAnsi="Times New Roman"/>
          <w:sz w:val="24"/>
          <w:szCs w:val="24"/>
        </w:rPr>
      </w:pPr>
      <w:proofErr w:type="gramStart"/>
      <w:r>
        <w:rPr>
          <w:rFonts w:ascii="Times New Roman" w:hAnsi="Times New Roman"/>
          <w:sz w:val="24"/>
          <w:szCs w:val="24"/>
        </w:rPr>
        <w:t>t</w:t>
      </w:r>
      <w:r w:rsidR="00994ED0">
        <w:rPr>
          <w:rFonts w:ascii="Times New Roman" w:hAnsi="Times New Roman"/>
          <w:sz w:val="24"/>
          <w:szCs w:val="24"/>
        </w:rPr>
        <w:t>hey</w:t>
      </w:r>
      <w:proofErr w:type="gramEnd"/>
      <w:r w:rsidR="00994ED0">
        <w:rPr>
          <w:rFonts w:ascii="Times New Roman" w:hAnsi="Times New Roman"/>
          <w:sz w:val="24"/>
          <w:szCs w:val="24"/>
        </w:rPr>
        <w:t xml:space="preserve"> could not be </w:t>
      </w:r>
      <w:r w:rsidR="00140F9B">
        <w:rPr>
          <w:rFonts w:ascii="Times New Roman" w:hAnsi="Times New Roman"/>
          <w:sz w:val="24"/>
          <w:szCs w:val="24"/>
        </w:rPr>
        <w:t xml:space="preserve">made </w:t>
      </w:r>
      <w:r w:rsidR="006F354E">
        <w:rPr>
          <w:rFonts w:ascii="Times New Roman" w:hAnsi="Times New Roman"/>
          <w:sz w:val="24"/>
          <w:szCs w:val="24"/>
        </w:rPr>
        <w:t xml:space="preserve">when they were </w:t>
      </w:r>
      <w:r w:rsidR="00994ED0">
        <w:rPr>
          <w:rFonts w:ascii="Times New Roman" w:hAnsi="Times New Roman"/>
          <w:sz w:val="24"/>
          <w:szCs w:val="24"/>
        </w:rPr>
        <w:t>ret</w:t>
      </w:r>
      <w:r w:rsidR="006F354E">
        <w:rPr>
          <w:rFonts w:ascii="Times New Roman" w:hAnsi="Times New Roman"/>
          <w:sz w:val="24"/>
          <w:szCs w:val="24"/>
        </w:rPr>
        <w:t xml:space="preserve">rospective in application.  </w:t>
      </w:r>
    </w:p>
    <w:p w14:paraId="761BBAFF" w14:textId="77777777" w:rsidR="00994ED0" w:rsidRDefault="00994ED0" w:rsidP="00AB456E">
      <w:pPr>
        <w:pStyle w:val="Bullet-list"/>
        <w:spacing w:after="0" w:line="240" w:lineRule="auto"/>
        <w:jc w:val="both"/>
        <w:rPr>
          <w:rFonts w:ascii="Times New Roman" w:hAnsi="Times New Roman"/>
          <w:sz w:val="24"/>
          <w:szCs w:val="24"/>
        </w:rPr>
      </w:pPr>
    </w:p>
    <w:p w14:paraId="20B03B56" w14:textId="575B657B" w:rsidR="00366BC2" w:rsidRDefault="006161F9" w:rsidP="00AB456E">
      <w:pPr>
        <w:pStyle w:val="Bullet-list"/>
        <w:numPr>
          <w:ilvl w:val="0"/>
          <w:numId w:val="12"/>
        </w:numPr>
        <w:spacing w:after="0" w:line="240" w:lineRule="auto"/>
        <w:ind w:left="0" w:firstLine="0"/>
        <w:jc w:val="both"/>
        <w:rPr>
          <w:rFonts w:ascii="Times New Roman" w:hAnsi="Times New Roman"/>
          <w:sz w:val="24"/>
          <w:szCs w:val="24"/>
        </w:rPr>
      </w:pPr>
      <w:r w:rsidRPr="00994ED0">
        <w:rPr>
          <w:rFonts w:ascii="Times New Roman" w:hAnsi="Times New Roman"/>
          <w:sz w:val="24"/>
          <w:szCs w:val="24"/>
        </w:rPr>
        <w:t xml:space="preserve">However, </w:t>
      </w:r>
      <w:r w:rsidR="008B643A" w:rsidRPr="00994ED0">
        <w:rPr>
          <w:rFonts w:ascii="Times New Roman" w:hAnsi="Times New Roman"/>
          <w:sz w:val="24"/>
          <w:szCs w:val="24"/>
        </w:rPr>
        <w:t xml:space="preserve">Inland Revenue </w:t>
      </w:r>
      <w:r w:rsidR="0007377C">
        <w:rPr>
          <w:rFonts w:ascii="Times New Roman" w:hAnsi="Times New Roman"/>
          <w:sz w:val="24"/>
          <w:szCs w:val="24"/>
        </w:rPr>
        <w:t>considers</w:t>
      </w:r>
      <w:r w:rsidRPr="00994ED0">
        <w:rPr>
          <w:rFonts w:ascii="Times New Roman" w:hAnsi="Times New Roman"/>
          <w:sz w:val="24"/>
          <w:szCs w:val="24"/>
        </w:rPr>
        <w:t xml:space="preserve"> </w:t>
      </w:r>
      <w:r w:rsidR="008B643A" w:rsidRPr="00994ED0">
        <w:rPr>
          <w:rFonts w:ascii="Times New Roman" w:hAnsi="Times New Roman"/>
          <w:sz w:val="24"/>
          <w:szCs w:val="24"/>
        </w:rPr>
        <w:t xml:space="preserve">that </w:t>
      </w:r>
      <w:r w:rsidR="00994ED0" w:rsidRPr="00994ED0">
        <w:rPr>
          <w:rFonts w:ascii="Times New Roman" w:hAnsi="Times New Roman"/>
          <w:sz w:val="24"/>
          <w:szCs w:val="24"/>
        </w:rPr>
        <w:t xml:space="preserve">none of the alternative constraints </w:t>
      </w:r>
      <w:r w:rsidR="0007377C">
        <w:rPr>
          <w:rFonts w:ascii="Times New Roman" w:hAnsi="Times New Roman"/>
          <w:sz w:val="24"/>
          <w:szCs w:val="24"/>
        </w:rPr>
        <w:t>a</w:t>
      </w:r>
      <w:r w:rsidR="00994ED0" w:rsidRPr="00994ED0">
        <w:rPr>
          <w:rFonts w:ascii="Times New Roman" w:hAnsi="Times New Roman"/>
          <w:sz w:val="24"/>
          <w:szCs w:val="24"/>
        </w:rPr>
        <w:t>re</w:t>
      </w:r>
      <w:r w:rsidR="008B643A" w:rsidRPr="00994ED0">
        <w:rPr>
          <w:rFonts w:ascii="Times New Roman" w:hAnsi="Times New Roman"/>
          <w:sz w:val="24"/>
          <w:szCs w:val="24"/>
        </w:rPr>
        <w:t xml:space="preserve"> </w:t>
      </w:r>
      <w:r w:rsidRPr="00994ED0">
        <w:rPr>
          <w:rFonts w:ascii="Times New Roman" w:hAnsi="Times New Roman"/>
          <w:sz w:val="24"/>
          <w:szCs w:val="24"/>
        </w:rPr>
        <w:t>appropriate limit</w:t>
      </w:r>
      <w:r w:rsidR="00994ED0" w:rsidRPr="00994ED0">
        <w:rPr>
          <w:rFonts w:ascii="Times New Roman" w:hAnsi="Times New Roman"/>
          <w:sz w:val="24"/>
          <w:szCs w:val="24"/>
        </w:rPr>
        <w:t>s</w:t>
      </w:r>
      <w:r w:rsidRPr="00994ED0">
        <w:rPr>
          <w:rFonts w:ascii="Times New Roman" w:hAnsi="Times New Roman"/>
          <w:sz w:val="24"/>
          <w:szCs w:val="24"/>
        </w:rPr>
        <w:t xml:space="preserve"> on the scope of the empowering provision.  </w:t>
      </w:r>
      <w:r w:rsidR="0007377C">
        <w:rPr>
          <w:rFonts w:ascii="Times New Roman" w:hAnsi="Times New Roman"/>
          <w:sz w:val="24"/>
          <w:szCs w:val="24"/>
        </w:rPr>
        <w:t>Inland Revenue considers</w:t>
      </w:r>
      <w:r w:rsidR="00994ED0" w:rsidRPr="00994ED0">
        <w:rPr>
          <w:rFonts w:ascii="Times New Roman" w:hAnsi="Times New Roman"/>
          <w:sz w:val="24"/>
          <w:szCs w:val="24"/>
        </w:rPr>
        <w:t xml:space="preserve"> it </w:t>
      </w:r>
      <w:r w:rsidR="0007377C">
        <w:rPr>
          <w:rFonts w:ascii="Times New Roman" w:hAnsi="Times New Roman"/>
          <w:sz w:val="24"/>
          <w:szCs w:val="24"/>
        </w:rPr>
        <w:t>is</w:t>
      </w:r>
      <w:r w:rsidR="00994ED0" w:rsidRPr="00994ED0">
        <w:rPr>
          <w:rFonts w:ascii="Times New Roman" w:hAnsi="Times New Roman"/>
          <w:sz w:val="24"/>
          <w:szCs w:val="24"/>
        </w:rPr>
        <w:t xml:space="preserve"> not possible to limit the regulation-making power to specified rules or processes.  As noted above, the transformation process is intended to affect a large proportion of the tax administration rules and processes, and it is impossible to anticipate where any issues might arise.  </w:t>
      </w:r>
      <w:r w:rsidR="00994ED0">
        <w:rPr>
          <w:rFonts w:ascii="Times New Roman" w:hAnsi="Times New Roman"/>
          <w:sz w:val="24"/>
          <w:szCs w:val="24"/>
        </w:rPr>
        <w:t>As a result, Inland Revenue consider</w:t>
      </w:r>
      <w:r w:rsidR="0007377C">
        <w:rPr>
          <w:rFonts w:ascii="Times New Roman" w:hAnsi="Times New Roman"/>
          <w:sz w:val="24"/>
          <w:szCs w:val="24"/>
        </w:rPr>
        <w:t>s</w:t>
      </w:r>
      <w:r w:rsidR="00994ED0">
        <w:rPr>
          <w:rFonts w:ascii="Times New Roman" w:hAnsi="Times New Roman"/>
          <w:sz w:val="24"/>
          <w:szCs w:val="24"/>
        </w:rPr>
        <w:t xml:space="preserve"> that it would not be possible to anticipate what processes or rules should be subjec</w:t>
      </w:r>
      <w:r w:rsidR="00366BC2">
        <w:rPr>
          <w:rFonts w:ascii="Times New Roman" w:hAnsi="Times New Roman"/>
          <w:sz w:val="24"/>
          <w:szCs w:val="24"/>
        </w:rPr>
        <w:t xml:space="preserve">t to the empowering provision. </w:t>
      </w:r>
      <w:r w:rsidR="00CE76A9">
        <w:rPr>
          <w:rFonts w:ascii="Times New Roman" w:hAnsi="Times New Roman"/>
          <w:sz w:val="24"/>
          <w:szCs w:val="24"/>
        </w:rPr>
        <w:t xml:space="preserve"> This is consistent with Professor John Burrows’ </w:t>
      </w:r>
      <w:r w:rsidR="00CE76A9" w:rsidRPr="00CE76A9">
        <w:rPr>
          <w:rFonts w:ascii="Times New Roman" w:hAnsi="Times New Roman"/>
          <w:sz w:val="24"/>
          <w:szCs w:val="24"/>
        </w:rPr>
        <w:t>testimony to the Regulations Review Committee’s investigation into transitional regulations.</w:t>
      </w:r>
      <w:r w:rsidR="00CE76A9" w:rsidRPr="00AB456E">
        <w:rPr>
          <w:rStyle w:val="FootnoteReference"/>
          <w:rFonts w:ascii="Times New Roman" w:hAnsi="Times New Roman"/>
          <w:szCs w:val="24"/>
        </w:rPr>
        <w:footnoteReference w:id="7"/>
      </w:r>
      <w:r w:rsidR="00625131">
        <w:rPr>
          <w:rFonts w:ascii="Times New Roman" w:hAnsi="Times New Roman"/>
          <w:sz w:val="24"/>
          <w:szCs w:val="24"/>
        </w:rPr>
        <w:t xml:space="preserve">  </w:t>
      </w:r>
      <w:r w:rsidR="00CE76A9" w:rsidRPr="00CE76A9">
        <w:rPr>
          <w:rFonts w:ascii="Times New Roman" w:hAnsi="Times New Roman"/>
          <w:sz w:val="24"/>
          <w:szCs w:val="24"/>
        </w:rPr>
        <w:t>Burrows noted that sometimes “it is just beyond the powers of human foresight to be able to work out exactly how it will work in the early stages.”</w:t>
      </w:r>
      <w:r w:rsidR="00CE76A9" w:rsidRPr="00AB456E">
        <w:rPr>
          <w:rStyle w:val="FootnoteReference"/>
          <w:rFonts w:ascii="Times New Roman" w:hAnsi="Times New Roman"/>
          <w:szCs w:val="24"/>
        </w:rPr>
        <w:footnoteReference w:id="8"/>
      </w:r>
      <w:r w:rsidR="00CE76A9">
        <w:rPr>
          <w:rFonts w:ascii="Times New Roman" w:hAnsi="Times New Roman"/>
          <w:sz w:val="24"/>
          <w:szCs w:val="24"/>
        </w:rPr>
        <w:t xml:space="preserve">  As a result, Inland Revenue considers it is not possible to set a bright-line</w:t>
      </w:r>
      <w:r w:rsidR="00625131">
        <w:rPr>
          <w:rFonts w:ascii="Times New Roman" w:hAnsi="Times New Roman"/>
          <w:sz w:val="24"/>
          <w:szCs w:val="24"/>
        </w:rPr>
        <w:t xml:space="preserve"> for the rules and processes that could be covered by the empowering provision.</w:t>
      </w:r>
    </w:p>
    <w:p w14:paraId="0CC19D35" w14:textId="77777777" w:rsidR="00366BC2" w:rsidRDefault="00366BC2" w:rsidP="00AB456E">
      <w:pPr>
        <w:pStyle w:val="Bullet-list"/>
        <w:spacing w:after="0" w:line="240" w:lineRule="auto"/>
        <w:jc w:val="both"/>
        <w:rPr>
          <w:rFonts w:ascii="Times New Roman" w:hAnsi="Times New Roman"/>
          <w:sz w:val="24"/>
          <w:szCs w:val="24"/>
        </w:rPr>
      </w:pPr>
    </w:p>
    <w:p w14:paraId="2EF46333" w14:textId="21CBB906" w:rsidR="006F354E" w:rsidRPr="00994ED0" w:rsidRDefault="008B643A">
      <w:pPr>
        <w:pStyle w:val="Bullet-list"/>
        <w:numPr>
          <w:ilvl w:val="0"/>
          <w:numId w:val="12"/>
        </w:numPr>
        <w:spacing w:after="0" w:line="240" w:lineRule="auto"/>
        <w:ind w:left="0" w:firstLine="0"/>
        <w:jc w:val="both"/>
        <w:rPr>
          <w:rFonts w:ascii="Times New Roman" w:hAnsi="Times New Roman"/>
          <w:sz w:val="24"/>
          <w:szCs w:val="24"/>
        </w:rPr>
      </w:pPr>
      <w:r w:rsidRPr="00994ED0">
        <w:rPr>
          <w:rFonts w:ascii="Times New Roman" w:hAnsi="Times New Roman"/>
          <w:sz w:val="24"/>
          <w:szCs w:val="24"/>
        </w:rPr>
        <w:t>Inland Revenue</w:t>
      </w:r>
      <w:r w:rsidR="006F354E" w:rsidRPr="00994ED0">
        <w:rPr>
          <w:rFonts w:ascii="Times New Roman" w:hAnsi="Times New Roman"/>
          <w:sz w:val="24"/>
          <w:szCs w:val="24"/>
        </w:rPr>
        <w:t xml:space="preserve"> consider</w:t>
      </w:r>
      <w:r w:rsidR="0007377C">
        <w:rPr>
          <w:rFonts w:ascii="Times New Roman" w:hAnsi="Times New Roman"/>
          <w:sz w:val="24"/>
          <w:szCs w:val="24"/>
        </w:rPr>
        <w:t>s</w:t>
      </w:r>
      <w:r w:rsidR="006F354E" w:rsidRPr="00994ED0">
        <w:rPr>
          <w:rFonts w:ascii="Times New Roman" w:hAnsi="Times New Roman"/>
          <w:sz w:val="24"/>
          <w:szCs w:val="24"/>
        </w:rPr>
        <w:t xml:space="preserve"> that when a current process </w:t>
      </w:r>
      <w:r w:rsidR="0007377C">
        <w:rPr>
          <w:rFonts w:ascii="Times New Roman" w:hAnsi="Times New Roman"/>
          <w:sz w:val="24"/>
          <w:szCs w:val="24"/>
        </w:rPr>
        <w:t>i</w:t>
      </w:r>
      <w:r w:rsidR="006F354E" w:rsidRPr="00994ED0">
        <w:rPr>
          <w:rFonts w:ascii="Times New Roman" w:hAnsi="Times New Roman"/>
          <w:sz w:val="24"/>
          <w:szCs w:val="24"/>
        </w:rPr>
        <w:t>s determined to be inconsistent with the current law in a way that was favourable to taxpayers</w:t>
      </w:r>
      <w:r w:rsidR="006161F9" w:rsidRPr="00994ED0">
        <w:rPr>
          <w:rFonts w:ascii="Times New Roman" w:hAnsi="Times New Roman"/>
          <w:sz w:val="24"/>
          <w:szCs w:val="24"/>
        </w:rPr>
        <w:t xml:space="preserve">, then a </w:t>
      </w:r>
      <w:r w:rsidR="00366BC2">
        <w:rPr>
          <w:rFonts w:ascii="Times New Roman" w:hAnsi="Times New Roman"/>
          <w:sz w:val="24"/>
          <w:szCs w:val="24"/>
        </w:rPr>
        <w:t>prompt regulatory response</w:t>
      </w:r>
      <w:r w:rsidR="006F354E" w:rsidRPr="00994ED0">
        <w:rPr>
          <w:rFonts w:ascii="Times New Roman" w:hAnsi="Times New Roman"/>
          <w:sz w:val="24"/>
          <w:szCs w:val="24"/>
        </w:rPr>
        <w:t xml:space="preserve"> </w:t>
      </w:r>
      <w:r w:rsidR="0007377C">
        <w:rPr>
          <w:rFonts w:ascii="Times New Roman" w:hAnsi="Times New Roman"/>
          <w:sz w:val="24"/>
          <w:szCs w:val="24"/>
        </w:rPr>
        <w:t>would</w:t>
      </w:r>
      <w:r w:rsidR="006F354E" w:rsidRPr="00994ED0">
        <w:rPr>
          <w:rFonts w:ascii="Times New Roman" w:hAnsi="Times New Roman"/>
          <w:sz w:val="24"/>
          <w:szCs w:val="24"/>
        </w:rPr>
        <w:t xml:space="preserve"> </w:t>
      </w:r>
      <w:r w:rsidR="00366BC2">
        <w:rPr>
          <w:rFonts w:ascii="Times New Roman" w:hAnsi="Times New Roman"/>
          <w:sz w:val="24"/>
          <w:szCs w:val="24"/>
        </w:rPr>
        <w:t xml:space="preserve">be </w:t>
      </w:r>
      <w:r w:rsidR="006F354E" w:rsidRPr="00994ED0">
        <w:rPr>
          <w:rFonts w:ascii="Times New Roman" w:hAnsi="Times New Roman"/>
          <w:sz w:val="24"/>
          <w:szCs w:val="24"/>
        </w:rPr>
        <w:t>need</w:t>
      </w:r>
      <w:r w:rsidR="00366BC2">
        <w:rPr>
          <w:rFonts w:ascii="Times New Roman" w:hAnsi="Times New Roman"/>
          <w:sz w:val="24"/>
          <w:szCs w:val="24"/>
        </w:rPr>
        <w:t>ed</w:t>
      </w:r>
      <w:r w:rsidR="006F354E" w:rsidRPr="00994ED0">
        <w:rPr>
          <w:rFonts w:ascii="Times New Roman" w:hAnsi="Times New Roman"/>
          <w:sz w:val="24"/>
          <w:szCs w:val="24"/>
        </w:rPr>
        <w:t xml:space="preserve"> to bring the process back into line with the current law.  This could arguably be taxpayer unfavourable but consistent with the policy intent.  As a result, </w:t>
      </w:r>
      <w:r w:rsidR="0007377C">
        <w:rPr>
          <w:rFonts w:ascii="Times New Roman" w:hAnsi="Times New Roman"/>
          <w:sz w:val="24"/>
          <w:szCs w:val="24"/>
        </w:rPr>
        <w:t>Inland Revenue considers</w:t>
      </w:r>
      <w:r w:rsidR="006F354E" w:rsidRPr="00994ED0">
        <w:rPr>
          <w:rFonts w:ascii="Times New Roman" w:hAnsi="Times New Roman"/>
          <w:sz w:val="24"/>
          <w:szCs w:val="24"/>
        </w:rPr>
        <w:t xml:space="preserve"> that whether an issue </w:t>
      </w:r>
      <w:r w:rsidR="0007377C">
        <w:rPr>
          <w:rFonts w:ascii="Times New Roman" w:hAnsi="Times New Roman"/>
          <w:sz w:val="24"/>
          <w:szCs w:val="24"/>
        </w:rPr>
        <w:t>i</w:t>
      </w:r>
      <w:r w:rsidR="006F354E" w:rsidRPr="00994ED0">
        <w:rPr>
          <w:rFonts w:ascii="Times New Roman" w:hAnsi="Times New Roman"/>
          <w:sz w:val="24"/>
          <w:szCs w:val="24"/>
        </w:rPr>
        <w:t xml:space="preserve">s taxpayer-friendly </w:t>
      </w:r>
      <w:r w:rsidR="0007377C">
        <w:rPr>
          <w:rFonts w:ascii="Times New Roman" w:hAnsi="Times New Roman"/>
          <w:sz w:val="24"/>
          <w:szCs w:val="24"/>
        </w:rPr>
        <w:t>i</w:t>
      </w:r>
      <w:r w:rsidR="006F354E" w:rsidRPr="00994ED0">
        <w:rPr>
          <w:rFonts w:ascii="Times New Roman" w:hAnsi="Times New Roman"/>
          <w:sz w:val="24"/>
          <w:szCs w:val="24"/>
        </w:rPr>
        <w:t xml:space="preserve">s not an appropriate </w:t>
      </w:r>
      <w:r w:rsidR="00FC4F74" w:rsidRPr="00994ED0">
        <w:rPr>
          <w:rFonts w:ascii="Times New Roman" w:hAnsi="Times New Roman"/>
          <w:sz w:val="24"/>
          <w:szCs w:val="24"/>
        </w:rPr>
        <w:t>constraint on the scope</w:t>
      </w:r>
      <w:r w:rsidR="00CE76A9">
        <w:rPr>
          <w:rFonts w:ascii="Times New Roman" w:hAnsi="Times New Roman"/>
          <w:sz w:val="24"/>
          <w:szCs w:val="24"/>
        </w:rPr>
        <w:t xml:space="preserve"> of the empowering provision</w:t>
      </w:r>
      <w:r w:rsidR="00FC4F74" w:rsidRPr="00994ED0">
        <w:rPr>
          <w:rFonts w:ascii="Times New Roman" w:hAnsi="Times New Roman"/>
          <w:sz w:val="24"/>
          <w:szCs w:val="24"/>
        </w:rPr>
        <w:t xml:space="preserve">.  In addition, some issues may be discovered to be inconsistent with the law that require a </w:t>
      </w:r>
      <w:r w:rsidR="00366BC2">
        <w:rPr>
          <w:rFonts w:ascii="Times New Roman" w:hAnsi="Times New Roman"/>
          <w:sz w:val="24"/>
          <w:szCs w:val="24"/>
        </w:rPr>
        <w:t xml:space="preserve">prompt </w:t>
      </w:r>
      <w:r w:rsidR="00FC4F74" w:rsidRPr="00994ED0">
        <w:rPr>
          <w:rFonts w:ascii="Times New Roman" w:hAnsi="Times New Roman"/>
          <w:sz w:val="24"/>
          <w:szCs w:val="24"/>
        </w:rPr>
        <w:t xml:space="preserve">retrospective </w:t>
      </w:r>
      <w:r w:rsidR="00366BC2">
        <w:rPr>
          <w:rFonts w:ascii="Times New Roman" w:hAnsi="Times New Roman"/>
          <w:sz w:val="24"/>
          <w:szCs w:val="24"/>
        </w:rPr>
        <w:t xml:space="preserve">response </w:t>
      </w:r>
      <w:r w:rsidR="00FC4F74" w:rsidRPr="00994ED0">
        <w:rPr>
          <w:rFonts w:ascii="Times New Roman" w:hAnsi="Times New Roman"/>
          <w:sz w:val="24"/>
          <w:szCs w:val="24"/>
        </w:rPr>
        <w:t xml:space="preserve">to prevent compliance costs for taxpayers.  As a result, Inland Revenue considers that retrospectivity is not an appropriate limit on the scope of the regulation-making power.  </w:t>
      </w:r>
    </w:p>
    <w:p w14:paraId="1EE15AF5" w14:textId="77777777" w:rsidR="006F354E" w:rsidRDefault="006F354E" w:rsidP="00F04BAA">
      <w:pPr>
        <w:pStyle w:val="Bullet-list"/>
        <w:tabs>
          <w:tab w:val="left" w:pos="1276"/>
        </w:tabs>
        <w:spacing w:after="0" w:line="240" w:lineRule="auto"/>
        <w:jc w:val="both"/>
        <w:rPr>
          <w:rFonts w:ascii="Times New Roman" w:hAnsi="Times New Roman"/>
          <w:sz w:val="24"/>
          <w:szCs w:val="24"/>
        </w:rPr>
      </w:pPr>
    </w:p>
    <w:p w14:paraId="7F2BAD05" w14:textId="126C48B7" w:rsidR="00140F9B" w:rsidRPr="00366BC2" w:rsidRDefault="00BE4EF3" w:rsidP="00AB456E">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As a result, u</w:t>
      </w:r>
      <w:r w:rsidR="00994ED0">
        <w:rPr>
          <w:rFonts w:ascii="Times New Roman" w:hAnsi="Times New Roman"/>
          <w:sz w:val="24"/>
          <w:szCs w:val="24"/>
        </w:rPr>
        <w:t xml:space="preserve">nder option 2, issues that have a fiscal impact, retrospective application, or are unfavourable to taxpayers could be remedied either by an amendment Act or by Order in Council.  It would be necessary to determine whether the proposal was consistent with the </w:t>
      </w:r>
      <w:r w:rsidR="005804FA">
        <w:rPr>
          <w:rFonts w:ascii="Times New Roman" w:hAnsi="Times New Roman"/>
          <w:sz w:val="24"/>
          <w:szCs w:val="24"/>
        </w:rPr>
        <w:t xml:space="preserve">current </w:t>
      </w:r>
      <w:r w:rsidR="00994ED0">
        <w:rPr>
          <w:rFonts w:ascii="Times New Roman" w:hAnsi="Times New Roman"/>
          <w:sz w:val="24"/>
          <w:szCs w:val="24"/>
        </w:rPr>
        <w:t>policy intent to determine which legislative vehicle was appropriate.</w:t>
      </w:r>
    </w:p>
    <w:p w14:paraId="49998516" w14:textId="77777777" w:rsidR="00140F9B" w:rsidRDefault="00140F9B" w:rsidP="00F04BAA">
      <w:pPr>
        <w:pStyle w:val="Bullet-list"/>
        <w:tabs>
          <w:tab w:val="left" w:pos="1276"/>
        </w:tabs>
        <w:spacing w:after="0" w:line="240" w:lineRule="auto"/>
        <w:jc w:val="both"/>
        <w:rPr>
          <w:rFonts w:ascii="Times New Roman" w:hAnsi="Times New Roman"/>
          <w:sz w:val="24"/>
          <w:szCs w:val="24"/>
        </w:rPr>
      </w:pPr>
    </w:p>
    <w:p w14:paraId="270DB64B" w14:textId="1D3AFB04" w:rsidR="00523524" w:rsidRPr="00523524" w:rsidRDefault="00523524" w:rsidP="007843FB">
      <w:pPr>
        <w:pStyle w:val="Bullet-list"/>
        <w:numPr>
          <w:ilvl w:val="0"/>
          <w:numId w:val="12"/>
        </w:numPr>
        <w:spacing w:after="0" w:line="240" w:lineRule="auto"/>
        <w:ind w:left="0" w:firstLine="0"/>
        <w:jc w:val="both"/>
        <w:rPr>
          <w:rFonts w:ascii="Times New Roman" w:hAnsi="Times New Roman"/>
          <w:sz w:val="24"/>
          <w:szCs w:val="24"/>
          <w:lang w:val="en-NZ"/>
        </w:rPr>
      </w:pPr>
      <w:r w:rsidRPr="00523524">
        <w:rPr>
          <w:rFonts w:ascii="Times New Roman" w:hAnsi="Times New Roman"/>
          <w:sz w:val="24"/>
          <w:szCs w:val="24"/>
          <w:lang w:val="en-NZ"/>
        </w:rPr>
        <w:t xml:space="preserve">Given the similar </w:t>
      </w:r>
      <w:r w:rsidRPr="007843FB">
        <w:rPr>
          <w:rFonts w:ascii="Times New Roman" w:hAnsi="Times New Roman"/>
          <w:sz w:val="24"/>
          <w:szCs w:val="24"/>
        </w:rPr>
        <w:t>nature</w:t>
      </w:r>
      <w:r w:rsidRPr="00523524">
        <w:rPr>
          <w:rFonts w:ascii="Times New Roman" w:hAnsi="Times New Roman"/>
          <w:sz w:val="24"/>
          <w:szCs w:val="24"/>
          <w:lang w:val="en-NZ"/>
        </w:rPr>
        <w:t xml:space="preserve"> of the regulation- making power and the exemption-making power </w:t>
      </w:r>
      <w:r w:rsidR="00020362">
        <w:rPr>
          <w:rFonts w:ascii="Times New Roman" w:hAnsi="Times New Roman"/>
          <w:sz w:val="24"/>
          <w:szCs w:val="24"/>
          <w:lang w:val="en-NZ"/>
        </w:rPr>
        <w:t>Inland Revenue</w:t>
      </w:r>
      <w:r w:rsidRPr="00523524">
        <w:rPr>
          <w:rFonts w:ascii="Times New Roman" w:hAnsi="Times New Roman"/>
          <w:sz w:val="24"/>
          <w:szCs w:val="24"/>
          <w:lang w:val="en-NZ"/>
        </w:rPr>
        <w:t xml:space="preserve"> c</w:t>
      </w:r>
      <w:r w:rsidR="00020362">
        <w:rPr>
          <w:rFonts w:ascii="Times New Roman" w:hAnsi="Times New Roman"/>
          <w:sz w:val="24"/>
          <w:szCs w:val="24"/>
          <w:lang w:val="en-NZ"/>
        </w:rPr>
        <w:t>onsider</w:t>
      </w:r>
      <w:r w:rsidR="0007377C">
        <w:rPr>
          <w:rFonts w:ascii="Times New Roman" w:hAnsi="Times New Roman"/>
          <w:sz w:val="24"/>
          <w:szCs w:val="24"/>
          <w:lang w:val="en-NZ"/>
        </w:rPr>
        <w:t>s</w:t>
      </w:r>
      <w:r w:rsidRPr="00523524">
        <w:rPr>
          <w:rFonts w:ascii="Times New Roman" w:hAnsi="Times New Roman"/>
          <w:sz w:val="24"/>
          <w:szCs w:val="24"/>
          <w:lang w:val="en-NZ"/>
        </w:rPr>
        <w:t xml:space="preserve"> that similar safeguards should apply.  The safeguards, modelled on the </w:t>
      </w:r>
      <w:r w:rsidR="007843FB" w:rsidRPr="007843FB">
        <w:rPr>
          <w:rFonts w:ascii="Times New Roman" w:hAnsi="Times New Roman"/>
          <w:sz w:val="24"/>
          <w:szCs w:val="24"/>
          <w:lang w:val="en-NZ"/>
        </w:rPr>
        <w:t>Legislation Advisory Committee Guidelines (2014 edition)</w:t>
      </w:r>
      <w:r w:rsidR="00747244">
        <w:rPr>
          <w:rFonts w:ascii="Times New Roman" w:hAnsi="Times New Roman"/>
          <w:sz w:val="24"/>
          <w:szCs w:val="24"/>
          <w:lang w:val="en-NZ"/>
        </w:rPr>
        <w:t xml:space="preserve"> (LAC Guidelines)</w:t>
      </w:r>
      <w:r w:rsidRPr="00523524">
        <w:rPr>
          <w:rFonts w:ascii="Times New Roman" w:hAnsi="Times New Roman"/>
          <w:sz w:val="24"/>
          <w:szCs w:val="24"/>
          <w:lang w:val="en-NZ"/>
        </w:rPr>
        <w:t xml:space="preserve">, </w:t>
      </w:r>
      <w:r w:rsidR="0030153D">
        <w:rPr>
          <w:rFonts w:ascii="Times New Roman" w:hAnsi="Times New Roman"/>
          <w:sz w:val="24"/>
          <w:szCs w:val="24"/>
          <w:lang w:val="en-NZ"/>
        </w:rPr>
        <w:t>would be</w:t>
      </w:r>
      <w:r w:rsidRPr="00523524">
        <w:rPr>
          <w:rFonts w:ascii="Times New Roman" w:hAnsi="Times New Roman"/>
          <w:sz w:val="24"/>
          <w:szCs w:val="24"/>
          <w:lang w:val="en-NZ"/>
        </w:rPr>
        <w:t xml:space="preserve">: </w:t>
      </w:r>
    </w:p>
    <w:p w14:paraId="5417329D" w14:textId="77777777" w:rsidR="00523524" w:rsidRPr="00523524" w:rsidRDefault="00523524" w:rsidP="00523524">
      <w:pPr>
        <w:pStyle w:val="Bullet-list"/>
        <w:rPr>
          <w:rFonts w:ascii="Times New Roman" w:hAnsi="Times New Roman"/>
          <w:sz w:val="24"/>
          <w:szCs w:val="24"/>
          <w:lang w:val="en-NZ"/>
        </w:rPr>
      </w:pPr>
    </w:p>
    <w:p w14:paraId="18FD82EF" w14:textId="19B8E918" w:rsidR="00523524" w:rsidRPr="00523524" w:rsidRDefault="00523524" w:rsidP="00523524">
      <w:pPr>
        <w:pStyle w:val="Bullet-list"/>
        <w:numPr>
          <w:ilvl w:val="0"/>
          <w:numId w:val="19"/>
        </w:numPr>
        <w:jc w:val="both"/>
        <w:rPr>
          <w:rFonts w:ascii="Times New Roman" w:hAnsi="Times New Roman"/>
          <w:sz w:val="24"/>
          <w:szCs w:val="24"/>
          <w:lang w:val="en-NZ"/>
        </w:rPr>
      </w:pPr>
      <w:r w:rsidRPr="00523524">
        <w:rPr>
          <w:rFonts w:ascii="Times New Roman" w:hAnsi="Times New Roman"/>
          <w:b/>
          <w:sz w:val="24"/>
          <w:szCs w:val="24"/>
          <w:lang w:val="en-NZ"/>
        </w:rPr>
        <w:t>Exercise consistent with policy intent:</w:t>
      </w:r>
      <w:r w:rsidRPr="00523524">
        <w:rPr>
          <w:rFonts w:ascii="Times New Roman" w:hAnsi="Times New Roman"/>
          <w:sz w:val="24"/>
          <w:szCs w:val="24"/>
          <w:lang w:val="en-NZ"/>
        </w:rPr>
        <w:t xml:space="preserve"> Any regulations or exemptions made </w:t>
      </w:r>
      <w:r w:rsidR="00B82FF5">
        <w:rPr>
          <w:rFonts w:ascii="Times New Roman" w:hAnsi="Times New Roman"/>
          <w:sz w:val="24"/>
          <w:szCs w:val="24"/>
          <w:lang w:val="en-NZ"/>
        </w:rPr>
        <w:t>would</w:t>
      </w:r>
      <w:r w:rsidRPr="00523524">
        <w:rPr>
          <w:rFonts w:ascii="Times New Roman" w:hAnsi="Times New Roman"/>
          <w:sz w:val="24"/>
          <w:szCs w:val="24"/>
          <w:lang w:val="en-NZ"/>
        </w:rPr>
        <w:t xml:space="preserve"> have to be consistent with the policy intent of the primary legislation, and </w:t>
      </w:r>
      <w:r w:rsidR="00B82FF5">
        <w:rPr>
          <w:rFonts w:ascii="Times New Roman" w:hAnsi="Times New Roman"/>
          <w:sz w:val="24"/>
          <w:szCs w:val="24"/>
          <w:lang w:val="en-NZ"/>
        </w:rPr>
        <w:t>would</w:t>
      </w:r>
      <w:r w:rsidRPr="00523524">
        <w:rPr>
          <w:rFonts w:ascii="Times New Roman" w:hAnsi="Times New Roman"/>
          <w:sz w:val="24"/>
          <w:szCs w:val="24"/>
          <w:lang w:val="en-NZ"/>
        </w:rPr>
        <w:t xml:space="preserve"> not allow for any general policy-making ability.</w:t>
      </w:r>
    </w:p>
    <w:p w14:paraId="5094D2C1" w14:textId="77777777" w:rsidR="00523524" w:rsidRPr="00523524" w:rsidRDefault="00523524" w:rsidP="00523524">
      <w:pPr>
        <w:pStyle w:val="Bullet-list"/>
        <w:numPr>
          <w:ilvl w:val="0"/>
          <w:numId w:val="19"/>
        </w:numPr>
        <w:jc w:val="both"/>
        <w:rPr>
          <w:rFonts w:ascii="Times New Roman" w:hAnsi="Times New Roman"/>
          <w:sz w:val="24"/>
          <w:szCs w:val="24"/>
          <w:lang w:val="en-NZ"/>
        </w:rPr>
      </w:pPr>
      <w:r w:rsidRPr="00523524">
        <w:rPr>
          <w:rFonts w:ascii="Times New Roman" w:hAnsi="Times New Roman"/>
          <w:b/>
          <w:sz w:val="24"/>
          <w:szCs w:val="24"/>
          <w:lang w:val="en-NZ"/>
        </w:rPr>
        <w:t>Parliamentary scrutiny:</w:t>
      </w:r>
      <w:r w:rsidRPr="00523524">
        <w:rPr>
          <w:rFonts w:ascii="Times New Roman" w:hAnsi="Times New Roman"/>
          <w:sz w:val="24"/>
          <w:szCs w:val="24"/>
          <w:lang w:val="en-NZ"/>
        </w:rPr>
        <w:t xml:space="preserve"> The regulations and exemptions would be disallowable instruments, and so would be subject to disallowance under the Legislation Act 2012 by resolution of the House of Representatives.</w:t>
      </w:r>
    </w:p>
    <w:p w14:paraId="78661E56" w14:textId="77777777" w:rsidR="00523524" w:rsidRPr="00523524" w:rsidRDefault="00523524" w:rsidP="00523524">
      <w:pPr>
        <w:pStyle w:val="Bullet-list"/>
        <w:numPr>
          <w:ilvl w:val="0"/>
          <w:numId w:val="19"/>
        </w:numPr>
        <w:jc w:val="both"/>
        <w:rPr>
          <w:rFonts w:ascii="Times New Roman" w:hAnsi="Times New Roman"/>
          <w:sz w:val="24"/>
          <w:szCs w:val="24"/>
          <w:lang w:val="en-NZ"/>
        </w:rPr>
      </w:pPr>
      <w:r w:rsidRPr="00523524">
        <w:rPr>
          <w:rFonts w:ascii="Times New Roman" w:hAnsi="Times New Roman"/>
          <w:b/>
          <w:sz w:val="24"/>
          <w:szCs w:val="24"/>
          <w:lang w:val="en-NZ"/>
        </w:rPr>
        <w:t>Judicial review:</w:t>
      </w:r>
      <w:r w:rsidRPr="00523524">
        <w:rPr>
          <w:rFonts w:ascii="Times New Roman" w:hAnsi="Times New Roman"/>
          <w:sz w:val="24"/>
          <w:szCs w:val="24"/>
          <w:lang w:val="en-NZ"/>
        </w:rPr>
        <w:t xml:space="preserve"> The courts would have a role in determining whether the delegated law-making power had been lawfully exercised.  The High Court may declare that the subordinate legislation is invalid on a variety of grounds if it is outside the scope of the empowering provision.  </w:t>
      </w:r>
    </w:p>
    <w:p w14:paraId="00A6BC7C" w14:textId="55D9D60C" w:rsidR="00523524" w:rsidRPr="00523524" w:rsidRDefault="00523524" w:rsidP="00523524">
      <w:pPr>
        <w:pStyle w:val="Bullet-list"/>
        <w:numPr>
          <w:ilvl w:val="0"/>
          <w:numId w:val="19"/>
        </w:numPr>
        <w:jc w:val="both"/>
        <w:rPr>
          <w:rFonts w:ascii="Times New Roman" w:hAnsi="Times New Roman"/>
          <w:sz w:val="24"/>
          <w:szCs w:val="24"/>
          <w:lang w:val="en-NZ"/>
        </w:rPr>
      </w:pPr>
      <w:r w:rsidRPr="00523524">
        <w:rPr>
          <w:rFonts w:ascii="Times New Roman" w:hAnsi="Times New Roman"/>
          <w:b/>
          <w:sz w:val="24"/>
          <w:szCs w:val="24"/>
          <w:lang w:val="en-NZ"/>
        </w:rPr>
        <w:t>Subject to time limits:</w:t>
      </w:r>
      <w:r w:rsidRPr="00523524">
        <w:rPr>
          <w:rFonts w:ascii="Times New Roman" w:hAnsi="Times New Roman"/>
          <w:sz w:val="24"/>
          <w:szCs w:val="24"/>
          <w:lang w:val="en-NZ"/>
        </w:rPr>
        <w:t xml:space="preserve"> Any regulations or exemptions made under the power to address a transitional issue would expire after three years, consistent with the principles prescribed by the Regulations Review Committee.  Further, it is proposed that the empowering provision would only apply for the duration of the business transformation process, and would expire at the end of Stage 4 in 2021.  If the relevant issue was ongoing after the expiry date, it would need to be amended in the primary legislation.  Such issues would be included in a tax</w:t>
      </w:r>
      <w:r w:rsidR="0030153D">
        <w:rPr>
          <w:rFonts w:ascii="Times New Roman" w:hAnsi="Times New Roman"/>
          <w:sz w:val="24"/>
          <w:szCs w:val="24"/>
          <w:lang w:val="en-NZ"/>
        </w:rPr>
        <w:t xml:space="preserve">ation </w:t>
      </w:r>
      <w:r w:rsidRPr="00523524">
        <w:rPr>
          <w:rFonts w:ascii="Times New Roman" w:hAnsi="Times New Roman"/>
          <w:sz w:val="24"/>
          <w:szCs w:val="24"/>
          <w:lang w:val="en-NZ"/>
        </w:rPr>
        <w:t>bill before the expiry date.</w:t>
      </w:r>
    </w:p>
    <w:p w14:paraId="1799A276" w14:textId="2B5D4672" w:rsidR="00523524" w:rsidRPr="00523524" w:rsidRDefault="00523524" w:rsidP="00CD7EA1">
      <w:pPr>
        <w:pStyle w:val="Bullet-list"/>
        <w:numPr>
          <w:ilvl w:val="0"/>
          <w:numId w:val="19"/>
        </w:numPr>
        <w:jc w:val="both"/>
        <w:rPr>
          <w:rFonts w:ascii="Times New Roman" w:hAnsi="Times New Roman"/>
          <w:sz w:val="24"/>
          <w:szCs w:val="24"/>
          <w:lang w:val="en-NZ"/>
        </w:rPr>
      </w:pPr>
      <w:r w:rsidRPr="00523524">
        <w:rPr>
          <w:rFonts w:ascii="Times New Roman" w:hAnsi="Times New Roman"/>
          <w:b/>
          <w:sz w:val="24"/>
          <w:szCs w:val="24"/>
          <w:lang w:val="en-NZ"/>
        </w:rPr>
        <w:t>Necessity for consultation:</w:t>
      </w:r>
      <w:r w:rsidRPr="00523524">
        <w:rPr>
          <w:rFonts w:ascii="Times New Roman" w:hAnsi="Times New Roman"/>
          <w:sz w:val="24"/>
          <w:szCs w:val="24"/>
          <w:lang w:val="en-NZ"/>
        </w:rPr>
        <w:t xml:space="preserve"> </w:t>
      </w:r>
      <w:r w:rsidR="00CD7EA1" w:rsidRPr="00CD7EA1">
        <w:rPr>
          <w:rFonts w:ascii="Times New Roman" w:hAnsi="Times New Roman"/>
          <w:sz w:val="24"/>
          <w:szCs w:val="24"/>
          <w:lang w:val="en-NZ"/>
        </w:rPr>
        <w:t>Before advising on any proposed regulations or exemptions, Inland Revenue would be required to undertake consultation</w:t>
      </w:r>
      <w:r w:rsidRPr="00523524">
        <w:rPr>
          <w:rFonts w:ascii="Times New Roman" w:hAnsi="Times New Roman"/>
          <w:sz w:val="24"/>
          <w:szCs w:val="24"/>
          <w:lang w:val="en-NZ"/>
        </w:rPr>
        <w:t>.  Depending on the issue, consultation could take a variety of forms, including broad public and private sector consultation or targeted consultation (if the particular issue had no visible impact on taxpayers).  The empowering provision would require Inland Revenue to include the outcome of that consultation in the advice on the regulation or exemption.</w:t>
      </w:r>
    </w:p>
    <w:p w14:paraId="7BFA524B" w14:textId="77777777" w:rsidR="00523524" w:rsidRPr="00523524" w:rsidRDefault="00523524" w:rsidP="00523524">
      <w:pPr>
        <w:pStyle w:val="Bullet-list"/>
        <w:numPr>
          <w:ilvl w:val="0"/>
          <w:numId w:val="19"/>
        </w:numPr>
        <w:jc w:val="both"/>
        <w:rPr>
          <w:rFonts w:ascii="Times New Roman" w:hAnsi="Times New Roman"/>
          <w:sz w:val="24"/>
          <w:szCs w:val="24"/>
          <w:lang w:val="en-NZ"/>
        </w:rPr>
      </w:pPr>
      <w:r w:rsidRPr="00523524">
        <w:rPr>
          <w:rFonts w:ascii="Times New Roman" w:hAnsi="Times New Roman"/>
          <w:b/>
          <w:sz w:val="24"/>
          <w:szCs w:val="24"/>
          <w:lang w:val="en-NZ"/>
        </w:rPr>
        <w:t>Transparency:</w:t>
      </w:r>
      <w:r w:rsidRPr="00523524">
        <w:rPr>
          <w:rFonts w:ascii="Times New Roman" w:hAnsi="Times New Roman"/>
          <w:sz w:val="24"/>
          <w:szCs w:val="24"/>
          <w:lang w:val="en-NZ"/>
        </w:rPr>
        <w:t xml:space="preserve">  Assisting taxpayers to meet their tax obligations is an important part of Inland Revenue’s role in the tax system.  Taxpayers must be informed if their rights and obligations are to be understood.  A legislative instrument made under the proposed amendment would be required to be published in the legislative instrument (LI) series in accordance with the Legislation Act 2012.</w:t>
      </w:r>
    </w:p>
    <w:p w14:paraId="4A3DA1EA"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39796261" w14:textId="77777777" w:rsidR="00932A1A" w:rsidRPr="00782395" w:rsidRDefault="00932A1A" w:rsidP="00FC1D7B">
      <w:pPr>
        <w:pStyle w:val="Bullet-list"/>
        <w:spacing w:after="0" w:line="240" w:lineRule="auto"/>
        <w:ind w:left="0" w:firstLine="0"/>
        <w:jc w:val="both"/>
        <w:rPr>
          <w:rFonts w:ascii="Times New Roman" w:hAnsi="Times New Roman"/>
          <w:b/>
          <w:i/>
          <w:sz w:val="24"/>
          <w:szCs w:val="24"/>
        </w:rPr>
      </w:pPr>
      <w:r w:rsidRPr="00782395">
        <w:rPr>
          <w:rFonts w:ascii="Times New Roman" w:hAnsi="Times New Roman"/>
          <w:b/>
          <w:i/>
          <w:sz w:val="24"/>
          <w:szCs w:val="24"/>
        </w:rPr>
        <w:t>Assessment against objective and criteria – option 2</w:t>
      </w:r>
    </w:p>
    <w:p w14:paraId="00BFEAF3" w14:textId="77777777" w:rsidR="00932A1A" w:rsidRDefault="00932A1A" w:rsidP="00FC1D7B">
      <w:pPr>
        <w:pStyle w:val="Bullet-list"/>
        <w:spacing w:after="0" w:line="240" w:lineRule="auto"/>
        <w:ind w:left="0" w:firstLine="0"/>
        <w:jc w:val="both"/>
        <w:rPr>
          <w:rFonts w:ascii="Times New Roman" w:hAnsi="Times New Roman"/>
          <w:sz w:val="24"/>
          <w:szCs w:val="24"/>
        </w:rPr>
      </w:pPr>
    </w:p>
    <w:p w14:paraId="6FD6B3D8" w14:textId="77777777" w:rsidR="00340A99" w:rsidRPr="007759CE" w:rsidRDefault="00340A99" w:rsidP="00854FA9">
      <w:pPr>
        <w:pStyle w:val="Bullet-list"/>
        <w:spacing w:after="0" w:line="240" w:lineRule="auto"/>
        <w:jc w:val="both"/>
        <w:rPr>
          <w:rFonts w:ascii="Times New Roman" w:hAnsi="Times New Roman"/>
          <w:i/>
          <w:sz w:val="24"/>
          <w:szCs w:val="24"/>
        </w:rPr>
      </w:pPr>
      <w:r>
        <w:rPr>
          <w:rFonts w:ascii="Times New Roman" w:hAnsi="Times New Roman"/>
          <w:i/>
          <w:sz w:val="24"/>
          <w:szCs w:val="24"/>
        </w:rPr>
        <w:t>Main objective</w:t>
      </w:r>
    </w:p>
    <w:p w14:paraId="1ABE6AD8" w14:textId="77777777" w:rsidR="00340A99" w:rsidRPr="00A640CD" w:rsidRDefault="00340A99" w:rsidP="00340A99">
      <w:pPr>
        <w:pStyle w:val="Bullet-list"/>
        <w:spacing w:after="0" w:line="240" w:lineRule="auto"/>
        <w:ind w:left="720" w:firstLine="0"/>
        <w:jc w:val="both"/>
        <w:rPr>
          <w:rFonts w:ascii="Times New Roman" w:hAnsi="Times New Roman"/>
          <w:sz w:val="24"/>
          <w:szCs w:val="24"/>
        </w:rPr>
      </w:pPr>
    </w:p>
    <w:p w14:paraId="58E68217" w14:textId="191ACEF5" w:rsidR="00A640CD" w:rsidRDefault="00A640CD" w:rsidP="00575D62">
      <w:pPr>
        <w:pStyle w:val="Bullet-list"/>
        <w:numPr>
          <w:ilvl w:val="0"/>
          <w:numId w:val="12"/>
        </w:numPr>
        <w:spacing w:after="0" w:line="240" w:lineRule="auto"/>
        <w:ind w:left="0" w:firstLine="0"/>
        <w:jc w:val="both"/>
        <w:rPr>
          <w:rFonts w:ascii="Times New Roman" w:hAnsi="Times New Roman"/>
          <w:sz w:val="24"/>
          <w:szCs w:val="24"/>
        </w:rPr>
      </w:pPr>
      <w:r w:rsidRPr="00A640CD">
        <w:rPr>
          <w:rFonts w:ascii="Times New Roman" w:hAnsi="Times New Roman"/>
          <w:sz w:val="24"/>
          <w:szCs w:val="24"/>
        </w:rPr>
        <w:t xml:space="preserve">Option 2 </w:t>
      </w:r>
      <w:r w:rsidR="00B82FF5">
        <w:rPr>
          <w:rFonts w:ascii="Times New Roman" w:hAnsi="Times New Roman"/>
          <w:sz w:val="24"/>
          <w:szCs w:val="24"/>
        </w:rPr>
        <w:t>would</w:t>
      </w:r>
      <w:r w:rsidRPr="00A640CD">
        <w:rPr>
          <w:rFonts w:ascii="Times New Roman" w:hAnsi="Times New Roman"/>
          <w:sz w:val="24"/>
          <w:szCs w:val="24"/>
        </w:rPr>
        <w:t xml:space="preserve"> allow transitional regulations to be made by Order in Council which </w:t>
      </w:r>
      <w:r w:rsidR="00B82FF5">
        <w:rPr>
          <w:rFonts w:ascii="Times New Roman" w:hAnsi="Times New Roman"/>
          <w:sz w:val="24"/>
          <w:szCs w:val="24"/>
        </w:rPr>
        <w:t>would</w:t>
      </w:r>
      <w:r w:rsidRPr="00A640CD">
        <w:rPr>
          <w:rFonts w:ascii="Times New Roman" w:hAnsi="Times New Roman"/>
          <w:sz w:val="24"/>
          <w:szCs w:val="24"/>
        </w:rPr>
        <w:t xml:space="preserve"> support the orderly transition from the old system to the new system</w:t>
      </w:r>
      <w:r w:rsidR="00507267">
        <w:rPr>
          <w:rFonts w:ascii="Times New Roman" w:hAnsi="Times New Roman"/>
          <w:sz w:val="24"/>
          <w:szCs w:val="24"/>
        </w:rPr>
        <w:t xml:space="preserve"> by </w:t>
      </w:r>
      <w:r w:rsidR="00366BC2">
        <w:rPr>
          <w:rFonts w:ascii="Times New Roman" w:hAnsi="Times New Roman"/>
          <w:sz w:val="24"/>
          <w:szCs w:val="24"/>
        </w:rPr>
        <w:t>avoiding delays</w:t>
      </w:r>
      <w:r w:rsidR="00BE4EF3">
        <w:rPr>
          <w:rFonts w:ascii="Times New Roman" w:hAnsi="Times New Roman"/>
          <w:sz w:val="24"/>
          <w:szCs w:val="24"/>
        </w:rPr>
        <w:t xml:space="preserve"> (or increase</w:t>
      </w:r>
      <w:r w:rsidR="005804FA">
        <w:rPr>
          <w:rFonts w:ascii="Times New Roman" w:hAnsi="Times New Roman"/>
          <w:sz w:val="24"/>
          <w:szCs w:val="24"/>
        </w:rPr>
        <w:t>s in</w:t>
      </w:r>
      <w:r w:rsidR="00BE4EF3">
        <w:rPr>
          <w:rFonts w:ascii="Times New Roman" w:hAnsi="Times New Roman"/>
          <w:sz w:val="24"/>
          <w:szCs w:val="24"/>
        </w:rPr>
        <w:t xml:space="preserve"> the cost of the process)</w:t>
      </w:r>
      <w:r w:rsidR="00575D62">
        <w:rPr>
          <w:rFonts w:ascii="Times New Roman" w:hAnsi="Times New Roman"/>
          <w:sz w:val="24"/>
          <w:szCs w:val="24"/>
        </w:rPr>
        <w:t>.</w:t>
      </w:r>
      <w:r w:rsidR="0030153D">
        <w:rPr>
          <w:rFonts w:ascii="Times New Roman" w:hAnsi="Times New Roman"/>
          <w:sz w:val="24"/>
          <w:szCs w:val="24"/>
        </w:rPr>
        <w:t xml:space="preserve">  This option would meet the main objective.</w:t>
      </w:r>
    </w:p>
    <w:p w14:paraId="219388F7" w14:textId="77777777" w:rsidR="00140F9B" w:rsidRDefault="00140F9B" w:rsidP="005C746E">
      <w:pPr>
        <w:pStyle w:val="Bullet-list"/>
        <w:spacing w:after="0" w:line="240" w:lineRule="auto"/>
        <w:jc w:val="both"/>
        <w:rPr>
          <w:rFonts w:ascii="Times New Roman" w:hAnsi="Times New Roman"/>
          <w:sz w:val="24"/>
          <w:szCs w:val="24"/>
        </w:rPr>
      </w:pPr>
    </w:p>
    <w:p w14:paraId="36CF8A6D" w14:textId="356E2A80" w:rsidR="007759CE" w:rsidRPr="007759CE" w:rsidRDefault="007759CE" w:rsidP="00854FA9">
      <w:pPr>
        <w:pStyle w:val="Bullet-list"/>
        <w:spacing w:after="0" w:line="240" w:lineRule="auto"/>
        <w:jc w:val="both"/>
        <w:rPr>
          <w:rFonts w:ascii="Times New Roman" w:hAnsi="Times New Roman"/>
          <w:i/>
          <w:sz w:val="24"/>
          <w:szCs w:val="24"/>
        </w:rPr>
      </w:pPr>
      <w:r w:rsidRPr="007759CE">
        <w:rPr>
          <w:rFonts w:ascii="Times New Roman" w:hAnsi="Times New Roman"/>
          <w:i/>
          <w:sz w:val="24"/>
          <w:szCs w:val="24"/>
        </w:rPr>
        <w:t xml:space="preserve">Compliance </w:t>
      </w:r>
      <w:r w:rsidR="0030153D">
        <w:rPr>
          <w:rFonts w:ascii="Times New Roman" w:hAnsi="Times New Roman"/>
          <w:i/>
          <w:sz w:val="24"/>
          <w:szCs w:val="24"/>
        </w:rPr>
        <w:t>efficiency</w:t>
      </w:r>
    </w:p>
    <w:p w14:paraId="76FBD962" w14:textId="77777777" w:rsidR="007759CE" w:rsidRPr="00A640CD" w:rsidRDefault="007759CE" w:rsidP="00F523F4">
      <w:pPr>
        <w:pStyle w:val="Bullet-list"/>
        <w:spacing w:after="0" w:line="240" w:lineRule="auto"/>
        <w:ind w:left="720" w:firstLine="0"/>
        <w:jc w:val="both"/>
        <w:rPr>
          <w:rFonts w:ascii="Times New Roman" w:hAnsi="Times New Roman"/>
          <w:sz w:val="24"/>
          <w:szCs w:val="24"/>
        </w:rPr>
      </w:pPr>
    </w:p>
    <w:p w14:paraId="612618EA" w14:textId="0DDBD00F" w:rsidR="00366BC2" w:rsidRDefault="00F523F4"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2 </w:t>
      </w:r>
      <w:r w:rsidR="00B82FF5">
        <w:rPr>
          <w:rFonts w:ascii="Times New Roman" w:hAnsi="Times New Roman"/>
          <w:sz w:val="24"/>
          <w:szCs w:val="24"/>
        </w:rPr>
        <w:t>would</w:t>
      </w:r>
      <w:r>
        <w:rPr>
          <w:rFonts w:ascii="Times New Roman" w:hAnsi="Times New Roman"/>
          <w:sz w:val="24"/>
          <w:szCs w:val="24"/>
        </w:rPr>
        <w:t xml:space="preserve"> </w:t>
      </w:r>
      <w:r w:rsidR="00CE24C7">
        <w:rPr>
          <w:rFonts w:ascii="Times New Roman" w:hAnsi="Times New Roman"/>
          <w:sz w:val="24"/>
          <w:szCs w:val="24"/>
        </w:rPr>
        <w:t xml:space="preserve">significantly </w:t>
      </w:r>
      <w:r>
        <w:rPr>
          <w:rFonts w:ascii="Times New Roman" w:hAnsi="Times New Roman"/>
          <w:sz w:val="24"/>
          <w:szCs w:val="24"/>
        </w:rPr>
        <w:t>reduce taxpayers’ compliance costs</w:t>
      </w:r>
      <w:r w:rsidR="00045F46">
        <w:rPr>
          <w:rFonts w:ascii="Times New Roman" w:hAnsi="Times New Roman"/>
          <w:sz w:val="24"/>
          <w:szCs w:val="24"/>
        </w:rPr>
        <w:t xml:space="preserve"> compared with the status quo</w:t>
      </w:r>
      <w:r w:rsidR="00366BC2">
        <w:rPr>
          <w:rFonts w:ascii="Times New Roman" w:hAnsi="Times New Roman"/>
          <w:sz w:val="24"/>
          <w:szCs w:val="24"/>
        </w:rPr>
        <w:t xml:space="preserve">, but there are some </w:t>
      </w:r>
      <w:r w:rsidR="005804FA">
        <w:rPr>
          <w:rFonts w:ascii="Times New Roman" w:hAnsi="Times New Roman"/>
          <w:sz w:val="24"/>
          <w:szCs w:val="24"/>
        </w:rPr>
        <w:t xml:space="preserve">minor </w:t>
      </w:r>
      <w:r w:rsidR="00366BC2">
        <w:rPr>
          <w:rFonts w:ascii="Times New Roman" w:hAnsi="Times New Roman"/>
          <w:sz w:val="24"/>
          <w:szCs w:val="24"/>
        </w:rPr>
        <w:t>risks</w:t>
      </w:r>
      <w:r>
        <w:rPr>
          <w:rFonts w:ascii="Times New Roman" w:hAnsi="Times New Roman"/>
          <w:sz w:val="24"/>
          <w:szCs w:val="24"/>
        </w:rPr>
        <w:t>.</w:t>
      </w:r>
    </w:p>
    <w:p w14:paraId="6B58FDCE" w14:textId="77777777" w:rsidR="00366BC2" w:rsidRDefault="00366BC2" w:rsidP="00AB456E">
      <w:pPr>
        <w:pStyle w:val="Bullet-list"/>
        <w:spacing w:after="0" w:line="240" w:lineRule="auto"/>
        <w:jc w:val="both"/>
        <w:rPr>
          <w:rFonts w:ascii="Times New Roman" w:hAnsi="Times New Roman"/>
          <w:sz w:val="24"/>
          <w:szCs w:val="24"/>
        </w:rPr>
      </w:pPr>
    </w:p>
    <w:p w14:paraId="7E58F446" w14:textId="4EC82725" w:rsidR="00F523F4" w:rsidRDefault="00F523F4"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speed by which regulations </w:t>
      </w:r>
      <w:r w:rsidR="00B82FF5">
        <w:rPr>
          <w:rFonts w:ascii="Times New Roman" w:hAnsi="Times New Roman"/>
          <w:sz w:val="24"/>
          <w:szCs w:val="24"/>
        </w:rPr>
        <w:t>could</w:t>
      </w:r>
      <w:r>
        <w:rPr>
          <w:rFonts w:ascii="Times New Roman" w:hAnsi="Times New Roman"/>
          <w:sz w:val="24"/>
          <w:szCs w:val="24"/>
        </w:rPr>
        <w:t xml:space="preserve"> be made </w:t>
      </w:r>
      <w:r w:rsidR="00B82FF5">
        <w:rPr>
          <w:rFonts w:ascii="Times New Roman" w:hAnsi="Times New Roman"/>
          <w:sz w:val="24"/>
          <w:szCs w:val="24"/>
        </w:rPr>
        <w:t>would</w:t>
      </w:r>
      <w:r>
        <w:rPr>
          <w:rFonts w:ascii="Times New Roman" w:hAnsi="Times New Roman"/>
          <w:sz w:val="24"/>
          <w:szCs w:val="24"/>
        </w:rPr>
        <w:t xml:space="preserve"> mean that taxpayers </w:t>
      </w:r>
      <w:r w:rsidR="00B82FF5">
        <w:rPr>
          <w:rFonts w:ascii="Times New Roman" w:hAnsi="Times New Roman"/>
          <w:sz w:val="24"/>
          <w:szCs w:val="24"/>
        </w:rPr>
        <w:t>would</w:t>
      </w:r>
      <w:r>
        <w:rPr>
          <w:rFonts w:ascii="Times New Roman" w:hAnsi="Times New Roman"/>
          <w:sz w:val="24"/>
          <w:szCs w:val="24"/>
        </w:rPr>
        <w:t xml:space="preserve"> not face the costs of the delays in resolving issues.  It </w:t>
      </w:r>
      <w:r w:rsidR="00B82FF5">
        <w:rPr>
          <w:rFonts w:ascii="Times New Roman" w:hAnsi="Times New Roman"/>
          <w:sz w:val="24"/>
          <w:szCs w:val="24"/>
        </w:rPr>
        <w:t>would</w:t>
      </w:r>
      <w:r>
        <w:rPr>
          <w:rFonts w:ascii="Times New Roman" w:hAnsi="Times New Roman"/>
          <w:sz w:val="24"/>
          <w:szCs w:val="24"/>
        </w:rPr>
        <w:t xml:space="preserve"> provide </w:t>
      </w:r>
      <w:r w:rsidR="00045F46">
        <w:rPr>
          <w:rFonts w:ascii="Times New Roman" w:hAnsi="Times New Roman"/>
          <w:sz w:val="24"/>
          <w:szCs w:val="24"/>
        </w:rPr>
        <w:t xml:space="preserve">qualified </w:t>
      </w:r>
      <w:r>
        <w:rPr>
          <w:rFonts w:ascii="Times New Roman" w:hAnsi="Times New Roman"/>
          <w:sz w:val="24"/>
          <w:szCs w:val="24"/>
        </w:rPr>
        <w:t xml:space="preserve">certainty for taxpayers within a short time.  This </w:t>
      </w:r>
      <w:r w:rsidR="00B82FF5">
        <w:rPr>
          <w:rFonts w:ascii="Times New Roman" w:hAnsi="Times New Roman"/>
          <w:sz w:val="24"/>
          <w:szCs w:val="24"/>
        </w:rPr>
        <w:t>would</w:t>
      </w:r>
      <w:r>
        <w:rPr>
          <w:rFonts w:ascii="Times New Roman" w:hAnsi="Times New Roman"/>
          <w:sz w:val="24"/>
          <w:szCs w:val="24"/>
        </w:rPr>
        <w:t xml:space="preserve"> allow taxpayers to organise their affairs and to plan for the future without having long periods of uncertainty that could be caused by the parliamentary process.  This </w:t>
      </w:r>
      <w:r w:rsidR="00B82FF5">
        <w:rPr>
          <w:rFonts w:ascii="Times New Roman" w:hAnsi="Times New Roman"/>
          <w:sz w:val="24"/>
          <w:szCs w:val="24"/>
        </w:rPr>
        <w:t>would</w:t>
      </w:r>
      <w:r>
        <w:rPr>
          <w:rFonts w:ascii="Times New Roman" w:hAnsi="Times New Roman"/>
          <w:sz w:val="24"/>
          <w:szCs w:val="24"/>
        </w:rPr>
        <w:t xml:space="preserve"> reduce the need for taxpayers to seek advice during the period of uncertainty.</w:t>
      </w:r>
      <w:r w:rsidR="00523524">
        <w:rPr>
          <w:rFonts w:ascii="Times New Roman" w:hAnsi="Times New Roman"/>
          <w:sz w:val="24"/>
          <w:szCs w:val="24"/>
        </w:rPr>
        <w:t xml:space="preserve">  However, </w:t>
      </w:r>
      <w:r w:rsidR="007843FB">
        <w:rPr>
          <w:rFonts w:ascii="Times New Roman" w:hAnsi="Times New Roman"/>
          <w:sz w:val="24"/>
          <w:szCs w:val="24"/>
        </w:rPr>
        <w:t xml:space="preserve">as </w:t>
      </w:r>
      <w:r w:rsidR="00523524">
        <w:rPr>
          <w:rFonts w:ascii="Times New Roman" w:hAnsi="Times New Roman"/>
          <w:sz w:val="24"/>
          <w:szCs w:val="24"/>
        </w:rPr>
        <w:t xml:space="preserve">the transitional regulations </w:t>
      </w:r>
      <w:r w:rsidR="00B82FF5">
        <w:rPr>
          <w:rFonts w:ascii="Times New Roman" w:hAnsi="Times New Roman"/>
          <w:sz w:val="24"/>
          <w:szCs w:val="24"/>
        </w:rPr>
        <w:t>would</w:t>
      </w:r>
      <w:r w:rsidR="00523524">
        <w:rPr>
          <w:rFonts w:ascii="Times New Roman" w:hAnsi="Times New Roman"/>
          <w:sz w:val="24"/>
          <w:szCs w:val="24"/>
        </w:rPr>
        <w:t xml:space="preserve"> e</w:t>
      </w:r>
      <w:r w:rsidR="007843FB">
        <w:rPr>
          <w:rFonts w:ascii="Times New Roman" w:hAnsi="Times New Roman"/>
          <w:sz w:val="24"/>
          <w:szCs w:val="24"/>
        </w:rPr>
        <w:t xml:space="preserve">xpire after three years, </w:t>
      </w:r>
      <w:r w:rsidR="00523524">
        <w:rPr>
          <w:rFonts w:ascii="Times New Roman" w:hAnsi="Times New Roman"/>
          <w:sz w:val="24"/>
          <w:szCs w:val="24"/>
        </w:rPr>
        <w:t xml:space="preserve">the certainty </w:t>
      </w:r>
      <w:r w:rsidR="00B82FF5">
        <w:rPr>
          <w:rFonts w:ascii="Times New Roman" w:hAnsi="Times New Roman"/>
          <w:sz w:val="24"/>
          <w:szCs w:val="24"/>
        </w:rPr>
        <w:t>would</w:t>
      </w:r>
      <w:r w:rsidR="00523524">
        <w:rPr>
          <w:rFonts w:ascii="Times New Roman" w:hAnsi="Times New Roman"/>
          <w:sz w:val="24"/>
          <w:szCs w:val="24"/>
        </w:rPr>
        <w:t xml:space="preserve"> only be for a set period.</w:t>
      </w:r>
    </w:p>
    <w:p w14:paraId="725D2E9D" w14:textId="77777777" w:rsidR="00F523F4" w:rsidRDefault="00F523F4" w:rsidP="00F523F4">
      <w:pPr>
        <w:pStyle w:val="ListParagraph"/>
        <w:rPr>
          <w:rFonts w:ascii="Times New Roman" w:hAnsi="Times New Roman"/>
          <w:sz w:val="24"/>
          <w:szCs w:val="24"/>
        </w:rPr>
      </w:pPr>
    </w:p>
    <w:p w14:paraId="2E411268" w14:textId="746E2144" w:rsidR="00F523F4" w:rsidRDefault="00F523F4"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However, remedying the transitional issues by way of regulation </w:t>
      </w:r>
      <w:r w:rsidR="00B82FF5">
        <w:rPr>
          <w:rFonts w:ascii="Times New Roman" w:hAnsi="Times New Roman"/>
          <w:sz w:val="24"/>
          <w:szCs w:val="24"/>
        </w:rPr>
        <w:t>would</w:t>
      </w:r>
      <w:r>
        <w:rPr>
          <w:rFonts w:ascii="Times New Roman" w:hAnsi="Times New Roman"/>
          <w:sz w:val="24"/>
          <w:szCs w:val="24"/>
        </w:rPr>
        <w:t xml:space="preserve"> slightly increase the costs for taxpayers in </w:t>
      </w:r>
      <w:r w:rsidR="00C02DD3">
        <w:rPr>
          <w:rFonts w:ascii="Times New Roman" w:hAnsi="Times New Roman"/>
          <w:sz w:val="24"/>
          <w:szCs w:val="24"/>
        </w:rPr>
        <w:t>having to refer to two different types of legislation</w:t>
      </w:r>
      <w:r>
        <w:rPr>
          <w:rFonts w:ascii="Times New Roman" w:hAnsi="Times New Roman"/>
          <w:sz w:val="24"/>
          <w:szCs w:val="24"/>
        </w:rPr>
        <w:t xml:space="preserve">, </w:t>
      </w:r>
      <w:r w:rsidR="007759CE">
        <w:rPr>
          <w:rFonts w:ascii="Times New Roman" w:hAnsi="Times New Roman"/>
          <w:sz w:val="24"/>
          <w:szCs w:val="24"/>
        </w:rPr>
        <w:t xml:space="preserve">and determining how the two relate.  This may cause some interpretive issues that may have a compliance cost </w:t>
      </w:r>
      <w:r w:rsidR="00E91864">
        <w:rPr>
          <w:rFonts w:ascii="Times New Roman" w:hAnsi="Times New Roman"/>
          <w:sz w:val="24"/>
          <w:szCs w:val="24"/>
        </w:rPr>
        <w:t>for</w:t>
      </w:r>
      <w:r w:rsidR="007759CE">
        <w:rPr>
          <w:rFonts w:ascii="Times New Roman" w:hAnsi="Times New Roman"/>
          <w:sz w:val="24"/>
          <w:szCs w:val="24"/>
        </w:rPr>
        <w:t xml:space="preserve"> taxpayers.</w:t>
      </w:r>
    </w:p>
    <w:p w14:paraId="15A04A6C" w14:textId="77777777" w:rsidR="007759CE" w:rsidRDefault="007759CE" w:rsidP="007759CE">
      <w:pPr>
        <w:pStyle w:val="ListParagraph"/>
        <w:rPr>
          <w:rFonts w:ascii="Times New Roman" w:hAnsi="Times New Roman"/>
          <w:sz w:val="24"/>
          <w:szCs w:val="24"/>
        </w:rPr>
      </w:pPr>
    </w:p>
    <w:p w14:paraId="77342F9E" w14:textId="62CD41D0" w:rsidR="007759CE" w:rsidRDefault="007759CE"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Further, while taxpayers </w:t>
      </w:r>
      <w:r w:rsidR="00B82FF5">
        <w:rPr>
          <w:rFonts w:ascii="Times New Roman" w:hAnsi="Times New Roman"/>
          <w:sz w:val="24"/>
          <w:szCs w:val="24"/>
        </w:rPr>
        <w:t>would</w:t>
      </w:r>
      <w:r>
        <w:rPr>
          <w:rFonts w:ascii="Times New Roman" w:hAnsi="Times New Roman"/>
          <w:sz w:val="24"/>
          <w:szCs w:val="24"/>
        </w:rPr>
        <w:t xml:space="preserve"> have certainty in a short time for transitional issues, it </w:t>
      </w:r>
      <w:r w:rsidR="00B82FF5">
        <w:rPr>
          <w:rFonts w:ascii="Times New Roman" w:hAnsi="Times New Roman"/>
          <w:sz w:val="24"/>
          <w:szCs w:val="24"/>
        </w:rPr>
        <w:t>would</w:t>
      </w:r>
      <w:r>
        <w:rPr>
          <w:rFonts w:ascii="Times New Roman" w:hAnsi="Times New Roman"/>
          <w:sz w:val="24"/>
          <w:szCs w:val="24"/>
        </w:rPr>
        <w:t xml:space="preserve"> not be the same quality of certainty as under option 1.  Unlike primary legislation, regulations are subject to disallowance by Parliament and judicial review.  This means that there </w:t>
      </w:r>
      <w:r w:rsidR="0030153D">
        <w:rPr>
          <w:rFonts w:ascii="Times New Roman" w:hAnsi="Times New Roman"/>
          <w:sz w:val="24"/>
          <w:szCs w:val="24"/>
        </w:rPr>
        <w:t>would be</w:t>
      </w:r>
      <w:r>
        <w:rPr>
          <w:rFonts w:ascii="Times New Roman" w:hAnsi="Times New Roman"/>
          <w:sz w:val="24"/>
          <w:szCs w:val="24"/>
        </w:rPr>
        <w:t xml:space="preserve"> a small risk that taxpayers</w:t>
      </w:r>
      <w:r w:rsidR="004B47F4">
        <w:rPr>
          <w:rFonts w:ascii="Times New Roman" w:hAnsi="Times New Roman"/>
          <w:sz w:val="24"/>
          <w:szCs w:val="24"/>
        </w:rPr>
        <w:t>’</w:t>
      </w:r>
      <w:r>
        <w:rPr>
          <w:rFonts w:ascii="Times New Roman" w:hAnsi="Times New Roman"/>
          <w:sz w:val="24"/>
          <w:szCs w:val="24"/>
        </w:rPr>
        <w:t xml:space="preserve"> expectations </w:t>
      </w:r>
      <w:r w:rsidR="0030153D">
        <w:rPr>
          <w:rFonts w:ascii="Times New Roman" w:hAnsi="Times New Roman"/>
          <w:sz w:val="24"/>
          <w:szCs w:val="24"/>
        </w:rPr>
        <w:t>c</w:t>
      </w:r>
      <w:r w:rsidR="00B82FF5">
        <w:rPr>
          <w:rFonts w:ascii="Times New Roman" w:hAnsi="Times New Roman"/>
          <w:sz w:val="24"/>
          <w:szCs w:val="24"/>
        </w:rPr>
        <w:t>ould</w:t>
      </w:r>
      <w:r>
        <w:rPr>
          <w:rFonts w:ascii="Times New Roman" w:hAnsi="Times New Roman"/>
          <w:sz w:val="24"/>
          <w:szCs w:val="24"/>
        </w:rPr>
        <w:t xml:space="preserve"> be undermined.  This risk </w:t>
      </w:r>
      <w:r w:rsidR="005804FA">
        <w:rPr>
          <w:rFonts w:ascii="Times New Roman" w:hAnsi="Times New Roman"/>
          <w:sz w:val="24"/>
          <w:szCs w:val="24"/>
        </w:rPr>
        <w:t xml:space="preserve">would </w:t>
      </w:r>
      <w:r>
        <w:rPr>
          <w:rFonts w:ascii="Times New Roman" w:hAnsi="Times New Roman"/>
          <w:sz w:val="24"/>
          <w:szCs w:val="24"/>
        </w:rPr>
        <w:t>be reduced by undertaking consultation prior to the making of the regulations.</w:t>
      </w:r>
    </w:p>
    <w:p w14:paraId="35A02AB3" w14:textId="77777777" w:rsidR="00F523F4" w:rsidRDefault="00F523F4" w:rsidP="00F523F4">
      <w:pPr>
        <w:pStyle w:val="ListParagraph"/>
        <w:rPr>
          <w:rFonts w:ascii="Times New Roman" w:hAnsi="Times New Roman"/>
          <w:sz w:val="24"/>
          <w:szCs w:val="24"/>
        </w:rPr>
      </w:pPr>
    </w:p>
    <w:p w14:paraId="48D59DBD" w14:textId="77497AA8" w:rsidR="007759CE" w:rsidRPr="00854FA9" w:rsidRDefault="00BD6EDF" w:rsidP="00854FA9">
      <w:pPr>
        <w:rPr>
          <w:rFonts w:ascii="Times New Roman" w:hAnsi="Times New Roman"/>
          <w:i/>
          <w:sz w:val="24"/>
          <w:szCs w:val="24"/>
        </w:rPr>
      </w:pPr>
      <w:r w:rsidRPr="00854FA9">
        <w:rPr>
          <w:rFonts w:ascii="Times New Roman" w:hAnsi="Times New Roman"/>
          <w:i/>
          <w:sz w:val="24"/>
          <w:szCs w:val="24"/>
        </w:rPr>
        <w:t xml:space="preserve">Administrative </w:t>
      </w:r>
      <w:r w:rsidR="0030153D" w:rsidRPr="00854FA9">
        <w:rPr>
          <w:rFonts w:ascii="Times New Roman" w:hAnsi="Times New Roman"/>
          <w:i/>
          <w:sz w:val="24"/>
          <w:szCs w:val="24"/>
        </w:rPr>
        <w:t>efficiency</w:t>
      </w:r>
    </w:p>
    <w:p w14:paraId="1FDD79E0" w14:textId="0F07F992" w:rsidR="00BD6EDF" w:rsidRDefault="00BD6EDF"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2 </w:t>
      </w:r>
      <w:r w:rsidR="00B82FF5">
        <w:rPr>
          <w:rFonts w:ascii="Times New Roman" w:hAnsi="Times New Roman"/>
          <w:sz w:val="24"/>
          <w:szCs w:val="24"/>
        </w:rPr>
        <w:t>would</w:t>
      </w:r>
      <w:r w:rsidR="0030153D">
        <w:rPr>
          <w:rFonts w:ascii="Times New Roman" w:hAnsi="Times New Roman"/>
          <w:sz w:val="24"/>
          <w:szCs w:val="24"/>
        </w:rPr>
        <w:t xml:space="preserve"> </w:t>
      </w:r>
      <w:r w:rsidR="00CE24C7">
        <w:rPr>
          <w:rFonts w:ascii="Times New Roman" w:hAnsi="Times New Roman"/>
          <w:sz w:val="24"/>
          <w:szCs w:val="24"/>
        </w:rPr>
        <w:t xml:space="preserve">significantly </w:t>
      </w:r>
      <w:r w:rsidR="0030153D">
        <w:rPr>
          <w:rFonts w:ascii="Times New Roman" w:hAnsi="Times New Roman"/>
          <w:sz w:val="24"/>
          <w:szCs w:val="24"/>
        </w:rPr>
        <w:t xml:space="preserve">reduce </w:t>
      </w:r>
      <w:r>
        <w:rPr>
          <w:rFonts w:ascii="Times New Roman" w:hAnsi="Times New Roman"/>
          <w:sz w:val="24"/>
          <w:szCs w:val="24"/>
        </w:rPr>
        <w:t xml:space="preserve">administrative costs for </w:t>
      </w:r>
      <w:r w:rsidR="005804FA">
        <w:rPr>
          <w:rFonts w:ascii="Times New Roman" w:hAnsi="Times New Roman"/>
          <w:sz w:val="24"/>
          <w:szCs w:val="24"/>
        </w:rPr>
        <w:t>the Government</w:t>
      </w:r>
      <w:r w:rsidR="00045F46">
        <w:rPr>
          <w:rFonts w:ascii="Times New Roman" w:hAnsi="Times New Roman"/>
          <w:sz w:val="24"/>
          <w:szCs w:val="24"/>
        </w:rPr>
        <w:t xml:space="preserve"> compared with the status quo</w:t>
      </w:r>
      <w:r>
        <w:rPr>
          <w:rFonts w:ascii="Times New Roman" w:hAnsi="Times New Roman"/>
          <w:sz w:val="24"/>
          <w:szCs w:val="24"/>
        </w:rPr>
        <w:t xml:space="preserve">.  </w:t>
      </w:r>
      <w:r w:rsidR="00E91864">
        <w:rPr>
          <w:rFonts w:ascii="Times New Roman" w:hAnsi="Times New Roman"/>
          <w:sz w:val="24"/>
          <w:szCs w:val="24"/>
        </w:rPr>
        <w:t xml:space="preserve">The reduced costs </w:t>
      </w:r>
      <w:r w:rsidR="00B82FF5">
        <w:rPr>
          <w:rFonts w:ascii="Times New Roman" w:hAnsi="Times New Roman"/>
          <w:sz w:val="24"/>
          <w:szCs w:val="24"/>
        </w:rPr>
        <w:t>would</w:t>
      </w:r>
      <w:r w:rsidR="00E91864">
        <w:rPr>
          <w:rFonts w:ascii="Times New Roman" w:hAnsi="Times New Roman"/>
          <w:sz w:val="24"/>
          <w:szCs w:val="24"/>
        </w:rPr>
        <w:t xml:space="preserve"> come from</w:t>
      </w:r>
      <w:r w:rsidR="00412ED1">
        <w:rPr>
          <w:rFonts w:ascii="Times New Roman" w:hAnsi="Times New Roman"/>
          <w:sz w:val="24"/>
          <w:szCs w:val="24"/>
        </w:rPr>
        <w:t xml:space="preserve"> the reduction in delays and in resources needed to be committed to the process for remedying the issues.  The reduction in delays </w:t>
      </w:r>
      <w:r w:rsidR="00B82FF5">
        <w:rPr>
          <w:rFonts w:ascii="Times New Roman" w:hAnsi="Times New Roman"/>
          <w:sz w:val="24"/>
          <w:szCs w:val="24"/>
        </w:rPr>
        <w:t>would</w:t>
      </w:r>
      <w:r w:rsidR="00412ED1">
        <w:rPr>
          <w:rFonts w:ascii="Times New Roman" w:hAnsi="Times New Roman"/>
          <w:sz w:val="24"/>
          <w:szCs w:val="24"/>
        </w:rPr>
        <w:t xml:space="preserve"> mean that Inland Revenue </w:t>
      </w:r>
      <w:r w:rsidR="00B82FF5">
        <w:rPr>
          <w:rFonts w:ascii="Times New Roman" w:hAnsi="Times New Roman"/>
          <w:sz w:val="24"/>
          <w:szCs w:val="24"/>
        </w:rPr>
        <w:t>could</w:t>
      </w:r>
      <w:r w:rsidR="00412ED1">
        <w:rPr>
          <w:rFonts w:ascii="Times New Roman" w:hAnsi="Times New Roman"/>
          <w:sz w:val="24"/>
          <w:szCs w:val="24"/>
        </w:rPr>
        <w:t xml:space="preserve"> more quickly deal with issues which should reduce the resources needed to assist taxpayers during the periods of uncertainty.  </w:t>
      </w:r>
    </w:p>
    <w:p w14:paraId="30D8D953" w14:textId="77777777" w:rsidR="00464FF0" w:rsidRDefault="00464FF0" w:rsidP="00464FF0">
      <w:pPr>
        <w:pStyle w:val="Bullet-list"/>
        <w:spacing w:after="0" w:line="240" w:lineRule="auto"/>
        <w:jc w:val="both"/>
        <w:rPr>
          <w:rFonts w:ascii="Times New Roman" w:hAnsi="Times New Roman"/>
          <w:sz w:val="24"/>
          <w:szCs w:val="24"/>
        </w:rPr>
      </w:pPr>
    </w:p>
    <w:p w14:paraId="0A161794" w14:textId="522A96B7" w:rsidR="00464FF0" w:rsidRDefault="00464FF0" w:rsidP="00464FF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It is also possible that process changes could be made to option 2 that would allow regulations to be made almost as quickly as under a delegated authority under option 3.  For example, Inland Revenue could obtain Cabinet approval that transitional regulations by Order in Council could </w:t>
      </w:r>
      <w:proofErr w:type="gramStart"/>
      <w:r>
        <w:rPr>
          <w:rFonts w:ascii="Times New Roman" w:hAnsi="Times New Roman"/>
          <w:sz w:val="24"/>
          <w:szCs w:val="24"/>
        </w:rPr>
        <w:t>proceed</w:t>
      </w:r>
      <w:proofErr w:type="gramEnd"/>
      <w:r>
        <w:rPr>
          <w:rFonts w:ascii="Times New Roman" w:hAnsi="Times New Roman"/>
          <w:sz w:val="24"/>
          <w:szCs w:val="24"/>
        </w:rPr>
        <w:t xml:space="preserve"> directly to the Cabinet Legislation Committee with draft regulations.</w:t>
      </w:r>
      <w:r w:rsidR="00CE03DC">
        <w:rPr>
          <w:rFonts w:ascii="Times New Roman" w:hAnsi="Times New Roman"/>
          <w:sz w:val="24"/>
          <w:szCs w:val="24"/>
        </w:rPr>
        <w:t xml:space="preserve">  This would reduce the administrative costs for Inland Revenue further.</w:t>
      </w:r>
    </w:p>
    <w:p w14:paraId="427DD512" w14:textId="77777777" w:rsidR="00412ED1" w:rsidRDefault="00412ED1" w:rsidP="00412ED1">
      <w:pPr>
        <w:pStyle w:val="Bullet-list"/>
        <w:spacing w:after="0" w:line="240" w:lineRule="auto"/>
        <w:jc w:val="both"/>
        <w:rPr>
          <w:rFonts w:ascii="Times New Roman" w:hAnsi="Times New Roman"/>
          <w:sz w:val="24"/>
          <w:szCs w:val="24"/>
        </w:rPr>
      </w:pPr>
    </w:p>
    <w:p w14:paraId="0E994385" w14:textId="3FFE0505" w:rsidR="00BD6EDF" w:rsidRDefault="00412ED1"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intention </w:t>
      </w:r>
      <w:r w:rsidR="0030153D">
        <w:rPr>
          <w:rFonts w:ascii="Times New Roman" w:hAnsi="Times New Roman"/>
          <w:sz w:val="24"/>
          <w:szCs w:val="24"/>
        </w:rPr>
        <w:t>would be</w:t>
      </w:r>
      <w:r>
        <w:rPr>
          <w:rFonts w:ascii="Times New Roman" w:hAnsi="Times New Roman"/>
          <w:sz w:val="24"/>
          <w:szCs w:val="24"/>
        </w:rPr>
        <w:t xml:space="preserve"> to amend the primary legislation </w:t>
      </w:r>
      <w:r w:rsidR="0030153D">
        <w:rPr>
          <w:rFonts w:ascii="Times New Roman" w:hAnsi="Times New Roman"/>
          <w:sz w:val="24"/>
          <w:szCs w:val="24"/>
        </w:rPr>
        <w:t xml:space="preserve">by an amendment Act </w:t>
      </w:r>
      <w:r>
        <w:rPr>
          <w:rFonts w:ascii="Times New Roman" w:hAnsi="Times New Roman"/>
          <w:sz w:val="24"/>
          <w:szCs w:val="24"/>
        </w:rPr>
        <w:t xml:space="preserve">for any issues that </w:t>
      </w:r>
      <w:r w:rsidR="00CE03DC">
        <w:rPr>
          <w:rFonts w:ascii="Times New Roman" w:hAnsi="Times New Roman"/>
          <w:sz w:val="24"/>
          <w:szCs w:val="24"/>
        </w:rPr>
        <w:t>we</w:t>
      </w:r>
      <w:r>
        <w:rPr>
          <w:rFonts w:ascii="Times New Roman" w:hAnsi="Times New Roman"/>
          <w:sz w:val="24"/>
          <w:szCs w:val="24"/>
        </w:rPr>
        <w:t xml:space="preserve">re ongoing.  This </w:t>
      </w:r>
      <w:r w:rsidR="00B82FF5">
        <w:rPr>
          <w:rFonts w:ascii="Times New Roman" w:hAnsi="Times New Roman"/>
          <w:sz w:val="24"/>
          <w:szCs w:val="24"/>
        </w:rPr>
        <w:t>would</w:t>
      </w:r>
      <w:r>
        <w:rPr>
          <w:rFonts w:ascii="Times New Roman" w:hAnsi="Times New Roman"/>
          <w:sz w:val="24"/>
          <w:szCs w:val="24"/>
        </w:rPr>
        <w:t xml:space="preserve"> mean that for some transitional issues both the regulation</w:t>
      </w:r>
      <w:r w:rsidR="0030153D">
        <w:rPr>
          <w:rFonts w:ascii="Times New Roman" w:hAnsi="Times New Roman"/>
          <w:sz w:val="24"/>
          <w:szCs w:val="24"/>
        </w:rPr>
        <w:t>-making</w:t>
      </w:r>
      <w:r>
        <w:rPr>
          <w:rFonts w:ascii="Times New Roman" w:hAnsi="Times New Roman"/>
          <w:sz w:val="24"/>
          <w:szCs w:val="24"/>
        </w:rPr>
        <w:t xml:space="preserve"> process and the </w:t>
      </w:r>
      <w:r w:rsidR="0030153D">
        <w:rPr>
          <w:rFonts w:ascii="Times New Roman" w:hAnsi="Times New Roman"/>
          <w:sz w:val="24"/>
          <w:szCs w:val="24"/>
        </w:rPr>
        <w:t>parliamentary</w:t>
      </w:r>
      <w:r>
        <w:rPr>
          <w:rFonts w:ascii="Times New Roman" w:hAnsi="Times New Roman"/>
          <w:sz w:val="24"/>
          <w:szCs w:val="24"/>
        </w:rPr>
        <w:t xml:space="preserve"> process </w:t>
      </w:r>
      <w:r w:rsidR="00B82FF5">
        <w:rPr>
          <w:rFonts w:ascii="Times New Roman" w:hAnsi="Times New Roman"/>
          <w:sz w:val="24"/>
          <w:szCs w:val="24"/>
        </w:rPr>
        <w:t>would</w:t>
      </w:r>
      <w:r>
        <w:rPr>
          <w:rFonts w:ascii="Times New Roman" w:hAnsi="Times New Roman"/>
          <w:sz w:val="24"/>
          <w:szCs w:val="24"/>
        </w:rPr>
        <w:t xml:space="preserve"> need to be completed.  This dup</w:t>
      </w:r>
      <w:r w:rsidR="002212B5">
        <w:rPr>
          <w:rFonts w:ascii="Times New Roman" w:hAnsi="Times New Roman"/>
          <w:sz w:val="24"/>
          <w:szCs w:val="24"/>
        </w:rPr>
        <w:t xml:space="preserve">lication of effort </w:t>
      </w:r>
      <w:r w:rsidR="00B82FF5">
        <w:rPr>
          <w:rFonts w:ascii="Times New Roman" w:hAnsi="Times New Roman"/>
          <w:sz w:val="24"/>
          <w:szCs w:val="24"/>
        </w:rPr>
        <w:t>would</w:t>
      </w:r>
      <w:r w:rsidR="002212B5">
        <w:rPr>
          <w:rFonts w:ascii="Times New Roman" w:hAnsi="Times New Roman"/>
          <w:sz w:val="24"/>
          <w:szCs w:val="24"/>
        </w:rPr>
        <w:t xml:space="preserve"> </w:t>
      </w:r>
      <w:r w:rsidR="0030153D">
        <w:rPr>
          <w:rFonts w:ascii="Times New Roman" w:hAnsi="Times New Roman"/>
          <w:sz w:val="24"/>
          <w:szCs w:val="24"/>
        </w:rPr>
        <w:t>give rise to</w:t>
      </w:r>
      <w:r w:rsidR="002212B5">
        <w:rPr>
          <w:rFonts w:ascii="Times New Roman" w:hAnsi="Times New Roman"/>
          <w:sz w:val="24"/>
          <w:szCs w:val="24"/>
        </w:rPr>
        <w:t xml:space="preserve"> </w:t>
      </w:r>
      <w:r w:rsidR="00CE03DC">
        <w:rPr>
          <w:rFonts w:ascii="Times New Roman" w:hAnsi="Times New Roman"/>
          <w:sz w:val="24"/>
          <w:szCs w:val="24"/>
        </w:rPr>
        <w:t xml:space="preserve">some increased </w:t>
      </w:r>
      <w:r w:rsidR="002212B5">
        <w:rPr>
          <w:rFonts w:ascii="Times New Roman" w:hAnsi="Times New Roman"/>
          <w:sz w:val="24"/>
          <w:szCs w:val="24"/>
        </w:rPr>
        <w:t>administrative costs.</w:t>
      </w:r>
    </w:p>
    <w:p w14:paraId="066479EC" w14:textId="77777777" w:rsidR="00FC5197" w:rsidRDefault="00FC5197" w:rsidP="00AB456E">
      <w:pPr>
        <w:pStyle w:val="ListParagraph"/>
        <w:rPr>
          <w:rFonts w:ascii="Times New Roman" w:hAnsi="Times New Roman"/>
          <w:sz w:val="24"/>
          <w:szCs w:val="24"/>
        </w:rPr>
      </w:pPr>
    </w:p>
    <w:p w14:paraId="6496C084" w14:textId="4E32A6E2" w:rsidR="00FC5197" w:rsidRDefault="00FC5197"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2 would incur </w:t>
      </w:r>
      <w:r w:rsidR="001333A0">
        <w:rPr>
          <w:rFonts w:ascii="Times New Roman" w:hAnsi="Times New Roman"/>
          <w:sz w:val="24"/>
          <w:szCs w:val="24"/>
        </w:rPr>
        <w:t>Executive</w:t>
      </w:r>
      <w:r>
        <w:rPr>
          <w:rFonts w:ascii="Times New Roman" w:hAnsi="Times New Roman"/>
          <w:sz w:val="24"/>
          <w:szCs w:val="24"/>
        </w:rPr>
        <w:t xml:space="preserve"> and parliamentary costs in enacting the empowering provision.  However, option 2 would require less parliamentary resources on an ongoing basis because some issues would be able to be remedied by Order in Council.  </w:t>
      </w:r>
      <w:r w:rsidR="001333A0">
        <w:rPr>
          <w:rFonts w:ascii="Times New Roman" w:hAnsi="Times New Roman"/>
          <w:sz w:val="24"/>
          <w:szCs w:val="24"/>
        </w:rPr>
        <w:t>Executive</w:t>
      </w:r>
      <w:r>
        <w:rPr>
          <w:rFonts w:ascii="Times New Roman" w:hAnsi="Times New Roman"/>
          <w:sz w:val="24"/>
          <w:szCs w:val="24"/>
        </w:rPr>
        <w:t xml:space="preserve"> resources would still be needed to deal with the Orders in Council.</w:t>
      </w:r>
    </w:p>
    <w:p w14:paraId="771ACE21" w14:textId="77777777" w:rsidR="002212B5" w:rsidRDefault="002212B5" w:rsidP="002212B5">
      <w:pPr>
        <w:pStyle w:val="ListParagraph"/>
        <w:rPr>
          <w:rFonts w:ascii="Times New Roman" w:hAnsi="Times New Roman"/>
          <w:sz w:val="24"/>
          <w:szCs w:val="24"/>
        </w:rPr>
      </w:pPr>
    </w:p>
    <w:p w14:paraId="62C9DC80" w14:textId="1B9E066E" w:rsidR="002212B5" w:rsidRPr="00854FA9" w:rsidRDefault="002212B5" w:rsidP="00854FA9">
      <w:pPr>
        <w:rPr>
          <w:rFonts w:ascii="Times New Roman" w:hAnsi="Times New Roman"/>
          <w:sz w:val="24"/>
          <w:szCs w:val="24"/>
        </w:rPr>
      </w:pPr>
      <w:r w:rsidRPr="00854FA9">
        <w:rPr>
          <w:rFonts w:ascii="Times New Roman" w:hAnsi="Times New Roman"/>
          <w:i/>
          <w:sz w:val="24"/>
          <w:szCs w:val="24"/>
        </w:rPr>
        <w:t>Sustainability</w:t>
      </w:r>
    </w:p>
    <w:p w14:paraId="634D9F65" w14:textId="16F11F9E" w:rsidR="00BE4EF3" w:rsidRDefault="00BE4EF3" w:rsidP="00BE4EF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Inland Revenue consider</w:t>
      </w:r>
      <w:r w:rsidR="0007377C">
        <w:rPr>
          <w:rFonts w:ascii="Times New Roman" w:hAnsi="Times New Roman"/>
          <w:sz w:val="24"/>
          <w:szCs w:val="24"/>
        </w:rPr>
        <w:t>s</w:t>
      </w:r>
      <w:r>
        <w:rPr>
          <w:rFonts w:ascii="Times New Roman" w:hAnsi="Times New Roman"/>
          <w:sz w:val="24"/>
          <w:szCs w:val="24"/>
        </w:rPr>
        <w:t xml:space="preserve"> that while there were some risks associated with using transitional regulations to remedy transitory </w:t>
      </w:r>
      <w:r w:rsidR="00CE03DC">
        <w:rPr>
          <w:rFonts w:ascii="Times New Roman" w:hAnsi="Times New Roman"/>
          <w:sz w:val="24"/>
          <w:szCs w:val="24"/>
        </w:rPr>
        <w:t xml:space="preserve">issues, the use of regulations </w:t>
      </w:r>
      <w:r w:rsidR="005804FA">
        <w:rPr>
          <w:rFonts w:ascii="Times New Roman" w:hAnsi="Times New Roman"/>
          <w:sz w:val="24"/>
          <w:szCs w:val="24"/>
        </w:rPr>
        <w:t>would be</w:t>
      </w:r>
      <w:r>
        <w:rPr>
          <w:rFonts w:ascii="Times New Roman" w:hAnsi="Times New Roman"/>
          <w:sz w:val="24"/>
          <w:szCs w:val="24"/>
        </w:rPr>
        <w:t xml:space="preserve"> a more sustainable option than the status quo.</w:t>
      </w:r>
    </w:p>
    <w:p w14:paraId="7D007A4A" w14:textId="77777777" w:rsidR="00576C4A" w:rsidRDefault="00576C4A" w:rsidP="00AB456E">
      <w:pPr>
        <w:pStyle w:val="Bullet-list"/>
        <w:spacing w:after="0" w:line="240" w:lineRule="auto"/>
        <w:jc w:val="both"/>
        <w:rPr>
          <w:rFonts w:ascii="Times New Roman" w:hAnsi="Times New Roman"/>
          <w:sz w:val="24"/>
          <w:szCs w:val="24"/>
        </w:rPr>
      </w:pPr>
    </w:p>
    <w:p w14:paraId="16F3A782" w14:textId="385EAA3C" w:rsidR="00BE4EF3" w:rsidRPr="00F04BAA" w:rsidRDefault="00BE4EF3" w:rsidP="00BE4EF3">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Support for using transitional regulations to deal</w:t>
      </w:r>
      <w:r w:rsidRPr="00F04BAA">
        <w:rPr>
          <w:rFonts w:ascii="Times New Roman" w:hAnsi="Times New Roman"/>
          <w:sz w:val="24"/>
          <w:szCs w:val="24"/>
        </w:rPr>
        <w:t xml:space="preserve"> with issues during a major systems change </w:t>
      </w:r>
      <w:r>
        <w:rPr>
          <w:rFonts w:ascii="Times New Roman" w:hAnsi="Times New Roman"/>
          <w:sz w:val="24"/>
          <w:szCs w:val="24"/>
        </w:rPr>
        <w:t>comes from</w:t>
      </w:r>
      <w:r w:rsidRPr="00F04BAA">
        <w:rPr>
          <w:rFonts w:ascii="Times New Roman" w:hAnsi="Times New Roman"/>
          <w:sz w:val="24"/>
          <w:szCs w:val="24"/>
        </w:rPr>
        <w:t xml:space="preserve"> Prof</w:t>
      </w:r>
      <w:r>
        <w:rPr>
          <w:rFonts w:ascii="Times New Roman" w:hAnsi="Times New Roman"/>
          <w:sz w:val="24"/>
          <w:szCs w:val="24"/>
        </w:rPr>
        <w:t>essor</w:t>
      </w:r>
      <w:r w:rsidRPr="00F04BAA">
        <w:rPr>
          <w:rFonts w:ascii="Times New Roman" w:hAnsi="Times New Roman"/>
          <w:sz w:val="24"/>
          <w:szCs w:val="24"/>
        </w:rPr>
        <w:t xml:space="preserve"> John Burrows in testimony to the Regulations Review Committee’s investigation in</w:t>
      </w:r>
      <w:r>
        <w:rPr>
          <w:rFonts w:ascii="Times New Roman" w:hAnsi="Times New Roman"/>
          <w:sz w:val="24"/>
          <w:szCs w:val="24"/>
        </w:rPr>
        <w:t>to transitional regulations</w:t>
      </w:r>
      <w:r w:rsidRPr="00F04BAA">
        <w:rPr>
          <w:rFonts w:ascii="Times New Roman" w:hAnsi="Times New Roman"/>
          <w:sz w:val="24"/>
          <w:szCs w:val="24"/>
        </w:rPr>
        <w:t>.</w:t>
      </w:r>
      <w:r>
        <w:rPr>
          <w:rStyle w:val="FootnoteReference"/>
          <w:szCs w:val="24"/>
        </w:rPr>
        <w:footnoteReference w:id="9"/>
      </w:r>
      <w:r w:rsidRPr="00F04BAA">
        <w:rPr>
          <w:rFonts w:ascii="Times New Roman" w:hAnsi="Times New Roman"/>
          <w:sz w:val="24"/>
          <w:szCs w:val="24"/>
        </w:rPr>
        <w:t xml:space="preserve">  </w:t>
      </w:r>
      <w:r w:rsidR="005804FA">
        <w:rPr>
          <w:rFonts w:ascii="Times New Roman" w:hAnsi="Times New Roman"/>
          <w:sz w:val="24"/>
          <w:szCs w:val="24"/>
        </w:rPr>
        <w:t xml:space="preserve">Burrows </w:t>
      </w:r>
      <w:r w:rsidRPr="00F04BAA">
        <w:rPr>
          <w:rFonts w:ascii="Times New Roman" w:hAnsi="Times New Roman"/>
          <w:sz w:val="24"/>
          <w:szCs w:val="24"/>
        </w:rPr>
        <w:t>noted:</w:t>
      </w:r>
    </w:p>
    <w:p w14:paraId="1C6DD5F5" w14:textId="77777777" w:rsidR="00BE4EF3" w:rsidRDefault="00BE4EF3" w:rsidP="00BE4EF3">
      <w:pPr>
        <w:pStyle w:val="Bullet-list"/>
        <w:tabs>
          <w:tab w:val="left" w:pos="1276"/>
        </w:tabs>
        <w:spacing w:after="0" w:line="240" w:lineRule="auto"/>
        <w:jc w:val="both"/>
        <w:rPr>
          <w:rFonts w:ascii="Times New Roman" w:hAnsi="Times New Roman"/>
          <w:sz w:val="24"/>
          <w:szCs w:val="24"/>
        </w:rPr>
      </w:pPr>
    </w:p>
    <w:p w14:paraId="05581270" w14:textId="77777777" w:rsidR="00863F13" w:rsidRDefault="00863F13" w:rsidP="00BE4EF3">
      <w:pPr>
        <w:pStyle w:val="Bullet-list"/>
        <w:tabs>
          <w:tab w:val="left" w:pos="1276"/>
        </w:tabs>
        <w:spacing w:after="0" w:line="240" w:lineRule="auto"/>
        <w:jc w:val="both"/>
        <w:rPr>
          <w:rFonts w:ascii="Times New Roman" w:hAnsi="Times New Roman"/>
          <w:sz w:val="24"/>
          <w:szCs w:val="24"/>
        </w:rPr>
      </w:pPr>
    </w:p>
    <w:p w14:paraId="1EC7FB3A" w14:textId="77777777" w:rsidR="00863F13" w:rsidRDefault="00863F13" w:rsidP="00BE4EF3">
      <w:pPr>
        <w:pStyle w:val="Bullet-list"/>
        <w:tabs>
          <w:tab w:val="left" w:pos="1276"/>
        </w:tabs>
        <w:spacing w:after="0" w:line="240" w:lineRule="auto"/>
        <w:jc w:val="both"/>
        <w:rPr>
          <w:rFonts w:ascii="Times New Roman" w:hAnsi="Times New Roman"/>
          <w:sz w:val="24"/>
          <w:szCs w:val="24"/>
        </w:rPr>
      </w:pPr>
    </w:p>
    <w:p w14:paraId="78FD9DCF" w14:textId="77777777" w:rsidR="00863F13" w:rsidRPr="00F04BAA" w:rsidRDefault="00863F13" w:rsidP="00BE4EF3">
      <w:pPr>
        <w:pStyle w:val="Bullet-list"/>
        <w:tabs>
          <w:tab w:val="left" w:pos="1276"/>
        </w:tabs>
        <w:spacing w:after="0" w:line="240" w:lineRule="auto"/>
        <w:jc w:val="both"/>
        <w:rPr>
          <w:rFonts w:ascii="Times New Roman" w:hAnsi="Times New Roman"/>
          <w:sz w:val="24"/>
          <w:szCs w:val="24"/>
        </w:rPr>
      </w:pPr>
    </w:p>
    <w:p w14:paraId="3CB5E687" w14:textId="77777777" w:rsidR="00BE4EF3" w:rsidRPr="00AB456E" w:rsidRDefault="00BE4EF3" w:rsidP="00BE4EF3">
      <w:pPr>
        <w:pStyle w:val="Bullet-list"/>
        <w:tabs>
          <w:tab w:val="left" w:pos="1276"/>
        </w:tabs>
        <w:spacing w:after="0" w:line="240" w:lineRule="auto"/>
        <w:jc w:val="both"/>
        <w:rPr>
          <w:rFonts w:ascii="Times New Roman" w:hAnsi="Times New Roman"/>
          <w:sz w:val="20"/>
        </w:rPr>
      </w:pPr>
      <w:r>
        <w:rPr>
          <w:rFonts w:ascii="Times New Roman" w:hAnsi="Times New Roman"/>
          <w:sz w:val="24"/>
          <w:szCs w:val="24"/>
        </w:rPr>
        <w:tab/>
      </w:r>
      <w:r w:rsidRPr="00AB456E">
        <w:rPr>
          <w:rFonts w:ascii="Times New Roman" w:hAnsi="Times New Roman"/>
          <w:sz w:val="20"/>
        </w:rPr>
        <w:t>So what one is looking for is a smooth transition from the old law to the new. If things go wrong, if say an IT system is just not ready to cope with the new system for a while, what’s one to do? One can just do nothing, and that means getting into a mess, or try to pass amending legislation, which will take a very long time, given Parliament’s Order Paper— [an] amending Act is a very slow and cumbersome way of doing it. So there has to be some efficient way of ensuring that things can be dealt with fairly quickly, and it seems to me that a regulation-making power, provided it’s properly constrained, is an acceptable way of doing that.</w:t>
      </w:r>
    </w:p>
    <w:p w14:paraId="0C2A0398" w14:textId="77777777" w:rsidR="00075066" w:rsidRDefault="00075066" w:rsidP="00AB456E">
      <w:pPr>
        <w:pStyle w:val="Bullet-list"/>
        <w:spacing w:after="0" w:line="240" w:lineRule="auto"/>
        <w:jc w:val="both"/>
        <w:rPr>
          <w:rFonts w:ascii="Times New Roman" w:hAnsi="Times New Roman"/>
          <w:sz w:val="24"/>
          <w:szCs w:val="24"/>
        </w:rPr>
      </w:pPr>
    </w:p>
    <w:p w14:paraId="1FE8F56F" w14:textId="4F7BBF03" w:rsidR="006D5897" w:rsidRDefault="00F764B6"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Mr</w:t>
      </w:r>
      <w:r w:rsidR="000F5324">
        <w:rPr>
          <w:rFonts w:ascii="Times New Roman" w:hAnsi="Times New Roman"/>
          <w:sz w:val="24"/>
          <w:szCs w:val="24"/>
        </w:rPr>
        <w:t xml:space="preserve"> Moore </w:t>
      </w:r>
      <w:r w:rsidR="00BE4EF3">
        <w:rPr>
          <w:rFonts w:ascii="Times New Roman" w:hAnsi="Times New Roman"/>
          <w:sz w:val="24"/>
          <w:szCs w:val="24"/>
        </w:rPr>
        <w:t xml:space="preserve">also </w:t>
      </w:r>
      <w:r w:rsidR="000F5324">
        <w:rPr>
          <w:rFonts w:ascii="Times New Roman" w:hAnsi="Times New Roman"/>
          <w:sz w:val="24"/>
          <w:szCs w:val="24"/>
        </w:rPr>
        <w:t>voiced support for t</w:t>
      </w:r>
      <w:r w:rsidR="00C667B4">
        <w:rPr>
          <w:rFonts w:ascii="Times New Roman" w:hAnsi="Times New Roman"/>
          <w:sz w:val="24"/>
          <w:szCs w:val="24"/>
        </w:rPr>
        <w:t xml:space="preserve">he use of transitional regulations to remedy issues </w:t>
      </w:r>
      <w:r w:rsidR="00A731EE">
        <w:rPr>
          <w:rFonts w:ascii="Times New Roman" w:hAnsi="Times New Roman"/>
          <w:sz w:val="24"/>
          <w:szCs w:val="24"/>
        </w:rPr>
        <w:t>in situations involving a significant change programme.</w:t>
      </w:r>
      <w:r w:rsidR="00BE4EF3" w:rsidRPr="00AB456E">
        <w:rPr>
          <w:rStyle w:val="FootnoteReference"/>
          <w:rFonts w:ascii="Times New Roman" w:hAnsi="Times New Roman"/>
          <w:szCs w:val="24"/>
        </w:rPr>
        <w:footnoteReference w:id="10"/>
      </w:r>
      <w:r w:rsidR="00A731EE">
        <w:rPr>
          <w:rFonts w:ascii="Times New Roman" w:hAnsi="Times New Roman"/>
          <w:sz w:val="24"/>
          <w:szCs w:val="24"/>
        </w:rPr>
        <w:t xml:space="preserve">  </w:t>
      </w:r>
      <w:r w:rsidR="006B4468">
        <w:rPr>
          <w:rFonts w:ascii="Times New Roman" w:hAnsi="Times New Roman"/>
          <w:sz w:val="24"/>
          <w:szCs w:val="24"/>
        </w:rPr>
        <w:t xml:space="preserve">Mr Moore suggested it was more consistent with the rule of law than relying on legislative amendments in the context of a significant change.  </w:t>
      </w:r>
      <w:r w:rsidR="00C61625">
        <w:rPr>
          <w:rFonts w:ascii="Times New Roman" w:hAnsi="Times New Roman"/>
          <w:sz w:val="24"/>
          <w:szCs w:val="24"/>
        </w:rPr>
        <w:t xml:space="preserve">Further, aligning the proposal with the </w:t>
      </w:r>
      <w:r w:rsidR="00747244">
        <w:rPr>
          <w:rFonts w:ascii="Times New Roman" w:hAnsi="Times New Roman"/>
          <w:sz w:val="24"/>
          <w:szCs w:val="24"/>
        </w:rPr>
        <w:t xml:space="preserve">LAC </w:t>
      </w:r>
      <w:r w:rsidR="00C61625">
        <w:rPr>
          <w:rFonts w:ascii="Times New Roman" w:hAnsi="Times New Roman"/>
          <w:sz w:val="24"/>
          <w:szCs w:val="24"/>
        </w:rPr>
        <w:t xml:space="preserve">Guidelines supports the sustainability of the option.  </w:t>
      </w:r>
      <w:r w:rsidR="00A731EE">
        <w:rPr>
          <w:rFonts w:ascii="Times New Roman" w:hAnsi="Times New Roman"/>
          <w:sz w:val="24"/>
          <w:szCs w:val="24"/>
        </w:rPr>
        <w:t xml:space="preserve">As a result, Inland Revenue considers the use of transitional regulations </w:t>
      </w:r>
      <w:r w:rsidR="00CE03DC">
        <w:rPr>
          <w:rFonts w:ascii="Times New Roman" w:hAnsi="Times New Roman"/>
          <w:sz w:val="24"/>
          <w:szCs w:val="24"/>
        </w:rPr>
        <w:t xml:space="preserve">in the current context </w:t>
      </w:r>
      <w:r w:rsidR="00A731EE">
        <w:rPr>
          <w:rFonts w:ascii="Times New Roman" w:hAnsi="Times New Roman"/>
          <w:sz w:val="24"/>
          <w:szCs w:val="24"/>
        </w:rPr>
        <w:t>will generally support the sustainability of the tax system</w:t>
      </w:r>
      <w:r w:rsidR="006B4468">
        <w:rPr>
          <w:rFonts w:ascii="Times New Roman" w:hAnsi="Times New Roman"/>
          <w:sz w:val="24"/>
          <w:szCs w:val="24"/>
        </w:rPr>
        <w:t xml:space="preserve"> better than the status quo</w:t>
      </w:r>
      <w:r w:rsidR="00A731EE">
        <w:rPr>
          <w:rFonts w:ascii="Times New Roman" w:hAnsi="Times New Roman"/>
          <w:sz w:val="24"/>
          <w:szCs w:val="24"/>
        </w:rPr>
        <w:t>.</w:t>
      </w:r>
    </w:p>
    <w:p w14:paraId="5B6E86E6" w14:textId="77777777" w:rsidR="006D5897" w:rsidRDefault="006D5897" w:rsidP="006D5897">
      <w:pPr>
        <w:pStyle w:val="Bullet-list"/>
        <w:spacing w:after="0" w:line="240" w:lineRule="auto"/>
        <w:jc w:val="both"/>
        <w:rPr>
          <w:rFonts w:ascii="Times New Roman" w:hAnsi="Times New Roman"/>
          <w:sz w:val="24"/>
          <w:szCs w:val="24"/>
        </w:rPr>
      </w:pPr>
    </w:p>
    <w:p w14:paraId="45CE13FF" w14:textId="18E561D6" w:rsidR="00654D44" w:rsidRPr="00551BFE" w:rsidRDefault="00BE4EF3" w:rsidP="00575D62">
      <w:pPr>
        <w:pStyle w:val="Bullet-list"/>
        <w:numPr>
          <w:ilvl w:val="0"/>
          <w:numId w:val="12"/>
        </w:numPr>
        <w:spacing w:after="0" w:line="240" w:lineRule="auto"/>
        <w:ind w:left="0" w:firstLine="0"/>
        <w:jc w:val="both"/>
        <w:rPr>
          <w:rFonts w:ascii="Times New Roman" w:hAnsi="Times New Roman"/>
          <w:sz w:val="24"/>
          <w:szCs w:val="24"/>
        </w:rPr>
      </w:pPr>
      <w:r w:rsidRPr="00551BFE">
        <w:rPr>
          <w:rFonts w:ascii="Times New Roman" w:hAnsi="Times New Roman"/>
          <w:sz w:val="24"/>
          <w:szCs w:val="24"/>
        </w:rPr>
        <w:t xml:space="preserve">There are some risks under option 2.  </w:t>
      </w:r>
      <w:r w:rsidR="00654D44" w:rsidRPr="00551BFE">
        <w:rPr>
          <w:rFonts w:ascii="Times New Roman" w:hAnsi="Times New Roman"/>
          <w:sz w:val="24"/>
          <w:szCs w:val="24"/>
        </w:rPr>
        <w:t>There is a risk that the incentive on the Government would be to use the regulation-making power when it would be more appropriate t</w:t>
      </w:r>
      <w:r w:rsidR="00654D44" w:rsidRPr="002833EC">
        <w:rPr>
          <w:rFonts w:ascii="Times New Roman" w:hAnsi="Times New Roman"/>
          <w:sz w:val="24"/>
          <w:szCs w:val="24"/>
        </w:rPr>
        <w:t>o remedy the issue by a legislative amendment.  However</w:t>
      </w:r>
      <w:r w:rsidR="00551BFE" w:rsidRPr="00AB456E">
        <w:rPr>
          <w:rFonts w:ascii="Times New Roman" w:hAnsi="Times New Roman"/>
          <w:sz w:val="24"/>
          <w:szCs w:val="24"/>
        </w:rPr>
        <w:t xml:space="preserve">, as noted above, the scope of the regulation-making power is limited, </w:t>
      </w:r>
      <w:r w:rsidR="002833EC">
        <w:rPr>
          <w:rFonts w:ascii="Times New Roman" w:hAnsi="Times New Roman"/>
          <w:sz w:val="24"/>
          <w:szCs w:val="24"/>
        </w:rPr>
        <w:t xml:space="preserve">and is subject to disallowance and judicial review, </w:t>
      </w:r>
      <w:r w:rsidR="00551BFE" w:rsidRPr="00AB456E">
        <w:rPr>
          <w:rFonts w:ascii="Times New Roman" w:hAnsi="Times New Roman"/>
          <w:sz w:val="24"/>
          <w:szCs w:val="24"/>
        </w:rPr>
        <w:t>so Inland Revenue considers the relevant risk is low.</w:t>
      </w:r>
    </w:p>
    <w:p w14:paraId="3291E177" w14:textId="77777777" w:rsidR="00654D44" w:rsidRDefault="00654D44" w:rsidP="00AB456E">
      <w:pPr>
        <w:pStyle w:val="ListParagraph"/>
        <w:rPr>
          <w:rFonts w:ascii="Times New Roman" w:hAnsi="Times New Roman"/>
          <w:sz w:val="24"/>
          <w:szCs w:val="24"/>
        </w:rPr>
      </w:pPr>
    </w:p>
    <w:p w14:paraId="5A62CEA2" w14:textId="5303DA8C" w:rsidR="002212B5" w:rsidRDefault="00654D44" w:rsidP="00575D62">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Further</w:t>
      </w:r>
      <w:r w:rsidR="00BE4EF3">
        <w:rPr>
          <w:rFonts w:ascii="Times New Roman" w:hAnsi="Times New Roman"/>
          <w:sz w:val="24"/>
          <w:szCs w:val="24"/>
        </w:rPr>
        <w:t>,</w:t>
      </w:r>
      <w:r w:rsidR="006D5897">
        <w:rPr>
          <w:rFonts w:ascii="Times New Roman" w:hAnsi="Times New Roman"/>
          <w:sz w:val="24"/>
          <w:szCs w:val="24"/>
        </w:rPr>
        <w:t xml:space="preserve"> </w:t>
      </w:r>
      <w:r>
        <w:rPr>
          <w:rFonts w:ascii="Times New Roman" w:hAnsi="Times New Roman"/>
          <w:sz w:val="24"/>
          <w:szCs w:val="24"/>
        </w:rPr>
        <w:t xml:space="preserve">there could be a risk of some incoherence because </w:t>
      </w:r>
      <w:r w:rsidR="002212B5">
        <w:rPr>
          <w:rFonts w:ascii="Times New Roman" w:hAnsi="Times New Roman"/>
          <w:sz w:val="24"/>
          <w:szCs w:val="24"/>
        </w:rPr>
        <w:t xml:space="preserve">the full </w:t>
      </w:r>
      <w:r w:rsidR="0030153D">
        <w:rPr>
          <w:rFonts w:ascii="Times New Roman" w:hAnsi="Times New Roman"/>
          <w:sz w:val="24"/>
          <w:szCs w:val="24"/>
        </w:rPr>
        <w:t>parliamentary</w:t>
      </w:r>
      <w:r w:rsidR="002212B5">
        <w:rPr>
          <w:rFonts w:ascii="Times New Roman" w:hAnsi="Times New Roman"/>
          <w:sz w:val="24"/>
          <w:szCs w:val="24"/>
        </w:rPr>
        <w:t xml:space="preserve"> process </w:t>
      </w:r>
      <w:r w:rsidR="00F54EC7">
        <w:rPr>
          <w:rFonts w:ascii="Times New Roman" w:hAnsi="Times New Roman"/>
          <w:sz w:val="24"/>
          <w:szCs w:val="24"/>
        </w:rPr>
        <w:t>may</w:t>
      </w:r>
      <w:r w:rsidR="002212B5">
        <w:rPr>
          <w:rFonts w:ascii="Times New Roman" w:hAnsi="Times New Roman"/>
          <w:sz w:val="24"/>
          <w:szCs w:val="24"/>
        </w:rPr>
        <w:t xml:space="preserve"> not be followed (at least initially).  </w:t>
      </w:r>
      <w:r w:rsidR="000D53A2">
        <w:rPr>
          <w:rFonts w:ascii="Times New Roman" w:hAnsi="Times New Roman"/>
          <w:sz w:val="24"/>
          <w:szCs w:val="24"/>
        </w:rPr>
        <w:t>Th</w:t>
      </w:r>
      <w:r>
        <w:rPr>
          <w:rFonts w:ascii="Times New Roman" w:hAnsi="Times New Roman"/>
          <w:sz w:val="24"/>
          <w:szCs w:val="24"/>
        </w:rPr>
        <w:t>e possible incoherence</w:t>
      </w:r>
      <w:r w:rsidR="000D53A2">
        <w:rPr>
          <w:rFonts w:ascii="Times New Roman" w:hAnsi="Times New Roman"/>
          <w:sz w:val="24"/>
          <w:szCs w:val="24"/>
        </w:rPr>
        <w:t xml:space="preserve"> could arise from a remedial regulation not undergoing the same level of scrutiny as a statutory amendment, and so there </w:t>
      </w:r>
      <w:r w:rsidR="0030153D">
        <w:rPr>
          <w:rFonts w:ascii="Times New Roman" w:hAnsi="Times New Roman"/>
          <w:sz w:val="24"/>
          <w:szCs w:val="24"/>
        </w:rPr>
        <w:t>would be</w:t>
      </w:r>
      <w:r w:rsidR="000D53A2">
        <w:rPr>
          <w:rFonts w:ascii="Times New Roman" w:hAnsi="Times New Roman"/>
          <w:sz w:val="24"/>
          <w:szCs w:val="24"/>
        </w:rPr>
        <w:t xml:space="preserve"> </w:t>
      </w:r>
      <w:r w:rsidR="001F5D63">
        <w:rPr>
          <w:rFonts w:ascii="Times New Roman" w:hAnsi="Times New Roman"/>
          <w:sz w:val="24"/>
          <w:szCs w:val="24"/>
        </w:rPr>
        <w:t>a</w:t>
      </w:r>
      <w:r w:rsidR="000D53A2">
        <w:rPr>
          <w:rFonts w:ascii="Times New Roman" w:hAnsi="Times New Roman"/>
          <w:sz w:val="24"/>
          <w:szCs w:val="24"/>
        </w:rPr>
        <w:t xml:space="preserve"> risk it </w:t>
      </w:r>
      <w:r w:rsidR="00B82FF5">
        <w:rPr>
          <w:rFonts w:ascii="Times New Roman" w:hAnsi="Times New Roman"/>
          <w:sz w:val="24"/>
          <w:szCs w:val="24"/>
        </w:rPr>
        <w:t>would</w:t>
      </w:r>
      <w:r w:rsidR="000D53A2">
        <w:rPr>
          <w:rFonts w:ascii="Times New Roman" w:hAnsi="Times New Roman"/>
          <w:sz w:val="24"/>
          <w:szCs w:val="24"/>
        </w:rPr>
        <w:t xml:space="preserve"> lack the appreciation of the broader context.  </w:t>
      </w:r>
      <w:r w:rsidR="0090251C">
        <w:rPr>
          <w:rFonts w:ascii="Times New Roman" w:hAnsi="Times New Roman"/>
          <w:sz w:val="24"/>
          <w:szCs w:val="24"/>
        </w:rPr>
        <w:t xml:space="preserve">Taxpayers </w:t>
      </w:r>
      <w:r w:rsidR="00B82FF5">
        <w:rPr>
          <w:rFonts w:ascii="Times New Roman" w:hAnsi="Times New Roman"/>
          <w:sz w:val="24"/>
          <w:szCs w:val="24"/>
        </w:rPr>
        <w:t>would</w:t>
      </w:r>
      <w:r w:rsidR="0090251C">
        <w:rPr>
          <w:rFonts w:ascii="Times New Roman" w:hAnsi="Times New Roman"/>
          <w:sz w:val="24"/>
          <w:szCs w:val="24"/>
        </w:rPr>
        <w:t xml:space="preserve"> need to interpret the primary legislation and any regulations, and there </w:t>
      </w:r>
      <w:r w:rsidR="0030153D">
        <w:rPr>
          <w:rFonts w:ascii="Times New Roman" w:hAnsi="Times New Roman"/>
          <w:sz w:val="24"/>
          <w:szCs w:val="24"/>
        </w:rPr>
        <w:t>would be</w:t>
      </w:r>
      <w:r w:rsidR="0090251C">
        <w:rPr>
          <w:rFonts w:ascii="Times New Roman" w:hAnsi="Times New Roman"/>
          <w:sz w:val="24"/>
          <w:szCs w:val="24"/>
        </w:rPr>
        <w:t xml:space="preserve"> a risk</w:t>
      </w:r>
      <w:r w:rsidR="000D53A2">
        <w:rPr>
          <w:rFonts w:ascii="Times New Roman" w:hAnsi="Times New Roman"/>
          <w:sz w:val="24"/>
          <w:szCs w:val="24"/>
        </w:rPr>
        <w:t xml:space="preserve"> the remedy </w:t>
      </w:r>
      <w:r w:rsidR="00B82FF5">
        <w:rPr>
          <w:rFonts w:ascii="Times New Roman" w:hAnsi="Times New Roman"/>
          <w:sz w:val="24"/>
          <w:szCs w:val="24"/>
        </w:rPr>
        <w:t>would</w:t>
      </w:r>
      <w:r w:rsidR="00045F46">
        <w:rPr>
          <w:rFonts w:ascii="Times New Roman" w:hAnsi="Times New Roman"/>
          <w:sz w:val="24"/>
          <w:szCs w:val="24"/>
        </w:rPr>
        <w:t xml:space="preserve"> be </w:t>
      </w:r>
      <w:r w:rsidR="00082EEE">
        <w:rPr>
          <w:rFonts w:ascii="Times New Roman" w:hAnsi="Times New Roman"/>
          <w:sz w:val="24"/>
          <w:szCs w:val="24"/>
        </w:rPr>
        <w:t xml:space="preserve">unintentionally </w:t>
      </w:r>
      <w:r w:rsidR="00045F46">
        <w:rPr>
          <w:rFonts w:ascii="Times New Roman" w:hAnsi="Times New Roman"/>
          <w:sz w:val="24"/>
          <w:szCs w:val="24"/>
        </w:rPr>
        <w:t xml:space="preserve">in conflict with the intent of another part or provision in </w:t>
      </w:r>
      <w:r w:rsidR="000D53A2">
        <w:rPr>
          <w:rFonts w:ascii="Times New Roman" w:hAnsi="Times New Roman"/>
          <w:sz w:val="24"/>
          <w:szCs w:val="24"/>
        </w:rPr>
        <w:t xml:space="preserve">the Act.  </w:t>
      </w:r>
      <w:r w:rsidR="00082EEE">
        <w:rPr>
          <w:rFonts w:ascii="Times New Roman" w:hAnsi="Times New Roman"/>
          <w:sz w:val="24"/>
          <w:szCs w:val="24"/>
        </w:rPr>
        <w:t xml:space="preserve">Given that the regulations must be consistent with the existing policy </w:t>
      </w:r>
      <w:proofErr w:type="gramStart"/>
      <w:r w:rsidR="00082EEE">
        <w:rPr>
          <w:rFonts w:ascii="Times New Roman" w:hAnsi="Times New Roman"/>
          <w:sz w:val="24"/>
          <w:szCs w:val="24"/>
        </w:rPr>
        <w:t>intent,</w:t>
      </w:r>
      <w:proofErr w:type="gramEnd"/>
      <w:r w:rsidR="00082EEE">
        <w:rPr>
          <w:rFonts w:ascii="Times New Roman" w:hAnsi="Times New Roman"/>
          <w:sz w:val="24"/>
          <w:szCs w:val="24"/>
        </w:rPr>
        <w:t xml:space="preserve"> </w:t>
      </w:r>
      <w:r w:rsidR="00CE03DC">
        <w:rPr>
          <w:rFonts w:ascii="Times New Roman" w:hAnsi="Times New Roman"/>
          <w:sz w:val="24"/>
          <w:szCs w:val="24"/>
        </w:rPr>
        <w:t xml:space="preserve">this would mean </w:t>
      </w:r>
      <w:r w:rsidR="00082EEE">
        <w:rPr>
          <w:rFonts w:ascii="Times New Roman" w:hAnsi="Times New Roman"/>
          <w:sz w:val="24"/>
          <w:szCs w:val="24"/>
        </w:rPr>
        <w:t xml:space="preserve">they </w:t>
      </w:r>
      <w:r w:rsidR="00CE03DC">
        <w:rPr>
          <w:rFonts w:ascii="Times New Roman" w:hAnsi="Times New Roman"/>
          <w:sz w:val="24"/>
          <w:szCs w:val="24"/>
        </w:rPr>
        <w:t>were</w:t>
      </w:r>
      <w:r w:rsidR="00082EEE">
        <w:rPr>
          <w:rFonts w:ascii="Times New Roman" w:hAnsi="Times New Roman"/>
          <w:sz w:val="24"/>
          <w:szCs w:val="24"/>
        </w:rPr>
        <w:t xml:space="preserve"> ultra vires.  However, t</w:t>
      </w:r>
      <w:r w:rsidR="005159EA">
        <w:rPr>
          <w:rFonts w:ascii="Times New Roman" w:hAnsi="Times New Roman"/>
          <w:sz w:val="24"/>
          <w:szCs w:val="24"/>
        </w:rPr>
        <w:t xml:space="preserve">he regulation-making process does contain some level of scrutiny through the </w:t>
      </w:r>
      <w:r w:rsidR="00F764B6">
        <w:rPr>
          <w:rFonts w:ascii="Times New Roman" w:hAnsi="Times New Roman"/>
          <w:sz w:val="24"/>
          <w:szCs w:val="24"/>
        </w:rPr>
        <w:t xml:space="preserve">consultation and </w:t>
      </w:r>
      <w:r w:rsidR="005159EA">
        <w:rPr>
          <w:rFonts w:ascii="Times New Roman" w:hAnsi="Times New Roman"/>
          <w:sz w:val="24"/>
          <w:szCs w:val="24"/>
        </w:rPr>
        <w:t>ministerial process</w:t>
      </w:r>
      <w:r w:rsidR="00F764B6">
        <w:rPr>
          <w:rFonts w:ascii="Times New Roman" w:hAnsi="Times New Roman"/>
          <w:sz w:val="24"/>
          <w:szCs w:val="24"/>
        </w:rPr>
        <w:t>es</w:t>
      </w:r>
      <w:r w:rsidR="005159EA">
        <w:rPr>
          <w:rFonts w:ascii="Times New Roman" w:hAnsi="Times New Roman"/>
          <w:sz w:val="24"/>
          <w:szCs w:val="24"/>
        </w:rPr>
        <w:t xml:space="preserve">, so </w:t>
      </w:r>
      <w:r w:rsidR="00045F46">
        <w:rPr>
          <w:rFonts w:ascii="Times New Roman" w:hAnsi="Times New Roman"/>
          <w:sz w:val="24"/>
          <w:szCs w:val="24"/>
        </w:rPr>
        <w:t>Inland Revenue consider</w:t>
      </w:r>
      <w:r w:rsidR="0007377C">
        <w:rPr>
          <w:rFonts w:ascii="Times New Roman" w:hAnsi="Times New Roman"/>
          <w:sz w:val="24"/>
          <w:szCs w:val="24"/>
        </w:rPr>
        <w:t>s</w:t>
      </w:r>
      <w:r w:rsidR="00045F46">
        <w:rPr>
          <w:rFonts w:ascii="Times New Roman" w:hAnsi="Times New Roman"/>
          <w:sz w:val="24"/>
          <w:szCs w:val="24"/>
        </w:rPr>
        <w:t xml:space="preserve"> </w:t>
      </w:r>
      <w:r w:rsidR="005159EA">
        <w:rPr>
          <w:rFonts w:ascii="Times New Roman" w:hAnsi="Times New Roman"/>
          <w:sz w:val="24"/>
          <w:szCs w:val="24"/>
        </w:rPr>
        <w:t>the risk of incoherence to be low.</w:t>
      </w:r>
    </w:p>
    <w:p w14:paraId="28C00130" w14:textId="77777777" w:rsidR="00BD6EDF" w:rsidRDefault="00BD6EDF" w:rsidP="001F5D63">
      <w:pPr>
        <w:pStyle w:val="Bullet-list"/>
        <w:spacing w:after="0" w:line="240" w:lineRule="auto"/>
        <w:jc w:val="both"/>
        <w:rPr>
          <w:rFonts w:ascii="Times New Roman" w:hAnsi="Times New Roman"/>
          <w:sz w:val="24"/>
          <w:szCs w:val="24"/>
        </w:rPr>
      </w:pPr>
    </w:p>
    <w:p w14:paraId="02FFFF4E" w14:textId="55E40E1E" w:rsidR="002C6030" w:rsidRDefault="001F5D63" w:rsidP="00AB456E">
      <w:pPr>
        <w:pStyle w:val="Bullet-list"/>
        <w:numPr>
          <w:ilvl w:val="0"/>
          <w:numId w:val="12"/>
        </w:numPr>
        <w:spacing w:after="0" w:line="240" w:lineRule="auto"/>
        <w:ind w:left="0" w:firstLine="0"/>
        <w:jc w:val="both"/>
        <w:rPr>
          <w:rFonts w:ascii="Times New Roman" w:hAnsi="Times New Roman"/>
          <w:sz w:val="24"/>
          <w:szCs w:val="24"/>
        </w:rPr>
      </w:pPr>
      <w:r w:rsidRPr="00BE4EF3">
        <w:rPr>
          <w:rFonts w:ascii="Times New Roman" w:hAnsi="Times New Roman"/>
          <w:sz w:val="24"/>
          <w:szCs w:val="24"/>
        </w:rPr>
        <w:t xml:space="preserve">The </w:t>
      </w:r>
      <w:r w:rsidR="001329E4" w:rsidRPr="00BE4EF3">
        <w:rPr>
          <w:rFonts w:ascii="Times New Roman" w:hAnsi="Times New Roman"/>
          <w:sz w:val="24"/>
          <w:szCs w:val="24"/>
        </w:rPr>
        <w:t xml:space="preserve">regulation-making process does not provide the same level of certainty as the </w:t>
      </w:r>
      <w:r w:rsidR="006B1EDE" w:rsidRPr="00BE4EF3">
        <w:rPr>
          <w:rFonts w:ascii="Times New Roman" w:hAnsi="Times New Roman"/>
          <w:sz w:val="24"/>
          <w:szCs w:val="24"/>
        </w:rPr>
        <w:t>parliamentary</w:t>
      </w:r>
      <w:r w:rsidR="001329E4" w:rsidRPr="00BE4EF3">
        <w:rPr>
          <w:rFonts w:ascii="Times New Roman" w:hAnsi="Times New Roman"/>
          <w:sz w:val="24"/>
          <w:szCs w:val="24"/>
        </w:rPr>
        <w:t xml:space="preserve"> process.  Regulations are subject to parliamentary disallowance and judicial review.  </w:t>
      </w:r>
      <w:r w:rsidR="00047BCA" w:rsidRPr="00BE4EF3">
        <w:rPr>
          <w:rFonts w:ascii="Times New Roman" w:hAnsi="Times New Roman"/>
          <w:sz w:val="24"/>
          <w:szCs w:val="24"/>
        </w:rPr>
        <w:t>Further, the speed by which regulations are made means there is a risk of mistake</w:t>
      </w:r>
      <w:r w:rsidR="006B1EDE" w:rsidRPr="00BE4EF3">
        <w:rPr>
          <w:rFonts w:ascii="Times New Roman" w:hAnsi="Times New Roman"/>
          <w:sz w:val="24"/>
          <w:szCs w:val="24"/>
        </w:rPr>
        <w:t>s</w:t>
      </w:r>
      <w:r w:rsidR="00047BCA" w:rsidRPr="00BE4EF3">
        <w:rPr>
          <w:rFonts w:ascii="Times New Roman" w:hAnsi="Times New Roman"/>
          <w:sz w:val="24"/>
          <w:szCs w:val="24"/>
        </w:rPr>
        <w:t xml:space="preserve">.  </w:t>
      </w:r>
      <w:r w:rsidR="001329E4" w:rsidRPr="00BE4EF3">
        <w:rPr>
          <w:rFonts w:ascii="Times New Roman" w:hAnsi="Times New Roman"/>
          <w:sz w:val="24"/>
          <w:szCs w:val="24"/>
        </w:rPr>
        <w:t xml:space="preserve">This means there </w:t>
      </w:r>
      <w:r w:rsidR="0030153D" w:rsidRPr="00BE4EF3">
        <w:rPr>
          <w:rFonts w:ascii="Times New Roman" w:hAnsi="Times New Roman"/>
          <w:sz w:val="24"/>
          <w:szCs w:val="24"/>
        </w:rPr>
        <w:t>would be</w:t>
      </w:r>
      <w:r w:rsidR="001329E4" w:rsidRPr="00BE4EF3">
        <w:rPr>
          <w:rFonts w:ascii="Times New Roman" w:hAnsi="Times New Roman"/>
          <w:sz w:val="24"/>
          <w:szCs w:val="24"/>
        </w:rPr>
        <w:t xml:space="preserve"> a risk to the integrity </w:t>
      </w:r>
      <w:r w:rsidR="002C6030" w:rsidRPr="00BE4EF3">
        <w:rPr>
          <w:rFonts w:ascii="Times New Roman" w:hAnsi="Times New Roman"/>
          <w:sz w:val="24"/>
          <w:szCs w:val="24"/>
        </w:rPr>
        <w:t>of</w:t>
      </w:r>
      <w:r w:rsidR="001329E4" w:rsidRPr="00BE4EF3">
        <w:rPr>
          <w:rFonts w:ascii="Times New Roman" w:hAnsi="Times New Roman"/>
          <w:sz w:val="24"/>
          <w:szCs w:val="24"/>
        </w:rPr>
        <w:t xml:space="preserve"> the tax syste</w:t>
      </w:r>
      <w:r w:rsidR="003F164E" w:rsidRPr="00BE4EF3">
        <w:rPr>
          <w:rFonts w:ascii="Times New Roman" w:hAnsi="Times New Roman"/>
          <w:sz w:val="24"/>
          <w:szCs w:val="24"/>
        </w:rPr>
        <w:t>m if the remedy is overturned, and taxpayers</w:t>
      </w:r>
      <w:r w:rsidR="00047BCA" w:rsidRPr="00BE4EF3">
        <w:rPr>
          <w:rFonts w:ascii="Times New Roman" w:hAnsi="Times New Roman"/>
          <w:sz w:val="24"/>
          <w:szCs w:val="24"/>
        </w:rPr>
        <w:t>’</w:t>
      </w:r>
      <w:r w:rsidR="003F164E" w:rsidRPr="00BE4EF3">
        <w:rPr>
          <w:rFonts w:ascii="Times New Roman" w:hAnsi="Times New Roman"/>
          <w:sz w:val="24"/>
          <w:szCs w:val="24"/>
        </w:rPr>
        <w:t xml:space="preserve"> expectations are undermined.  Taxpayers may question the integrity of the tax legislation</w:t>
      </w:r>
      <w:r w:rsidR="00047BCA" w:rsidRPr="00BE4EF3">
        <w:rPr>
          <w:rFonts w:ascii="Times New Roman" w:hAnsi="Times New Roman"/>
          <w:sz w:val="24"/>
          <w:szCs w:val="24"/>
        </w:rPr>
        <w:t xml:space="preserve"> if it </w:t>
      </w:r>
      <w:r w:rsidR="00B82FF5" w:rsidRPr="00BE4EF3">
        <w:rPr>
          <w:rFonts w:ascii="Times New Roman" w:hAnsi="Times New Roman"/>
          <w:sz w:val="24"/>
          <w:szCs w:val="24"/>
        </w:rPr>
        <w:t>could not</w:t>
      </w:r>
      <w:r w:rsidR="00047BCA" w:rsidRPr="00BE4EF3">
        <w:rPr>
          <w:rFonts w:ascii="Times New Roman" w:hAnsi="Times New Roman"/>
          <w:sz w:val="24"/>
          <w:szCs w:val="24"/>
        </w:rPr>
        <w:t xml:space="preserve"> be relied on.</w:t>
      </w:r>
      <w:r w:rsidR="00CE03DC">
        <w:rPr>
          <w:rFonts w:ascii="Times New Roman" w:hAnsi="Times New Roman"/>
          <w:sz w:val="24"/>
          <w:szCs w:val="24"/>
        </w:rPr>
        <w:t xml:space="preserve">  However, Inland Revenue consider</w:t>
      </w:r>
      <w:r w:rsidR="0007377C">
        <w:rPr>
          <w:rFonts w:ascii="Times New Roman" w:hAnsi="Times New Roman"/>
          <w:sz w:val="24"/>
          <w:szCs w:val="24"/>
        </w:rPr>
        <w:t>s</w:t>
      </w:r>
      <w:r w:rsidR="00CE03DC">
        <w:rPr>
          <w:rFonts w:ascii="Times New Roman" w:hAnsi="Times New Roman"/>
          <w:sz w:val="24"/>
          <w:szCs w:val="24"/>
        </w:rPr>
        <w:t xml:space="preserve"> this risk to be low because of the proposed safeguards.</w:t>
      </w:r>
    </w:p>
    <w:p w14:paraId="1161FE80" w14:textId="77777777" w:rsidR="00B85DBB" w:rsidRDefault="00B85DBB" w:rsidP="00B85DBB">
      <w:pPr>
        <w:pStyle w:val="ListParagraph"/>
        <w:rPr>
          <w:rFonts w:ascii="Times New Roman" w:hAnsi="Times New Roman"/>
          <w:sz w:val="24"/>
          <w:szCs w:val="24"/>
        </w:rPr>
      </w:pPr>
    </w:p>
    <w:p w14:paraId="31F1F727" w14:textId="58E9392B" w:rsidR="002C6030" w:rsidRDefault="0078676D" w:rsidP="002C603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While there would be an obligation to consult, t</w:t>
      </w:r>
      <w:r w:rsidR="002C6030">
        <w:rPr>
          <w:rFonts w:ascii="Times New Roman" w:hAnsi="Times New Roman"/>
          <w:sz w:val="24"/>
          <w:szCs w:val="24"/>
        </w:rPr>
        <w:t xml:space="preserve">he regulation-making process </w:t>
      </w:r>
      <w:r w:rsidR="006B1EDE">
        <w:rPr>
          <w:rFonts w:ascii="Times New Roman" w:hAnsi="Times New Roman"/>
          <w:sz w:val="24"/>
          <w:szCs w:val="24"/>
        </w:rPr>
        <w:t>would</w:t>
      </w:r>
      <w:r w:rsidR="002C6030">
        <w:rPr>
          <w:rFonts w:ascii="Times New Roman" w:hAnsi="Times New Roman"/>
          <w:sz w:val="24"/>
          <w:szCs w:val="24"/>
        </w:rPr>
        <w:t xml:space="preserve"> not have the same level of public input as the </w:t>
      </w:r>
      <w:r w:rsidR="00B007B0">
        <w:rPr>
          <w:rFonts w:ascii="Times New Roman" w:hAnsi="Times New Roman"/>
          <w:sz w:val="24"/>
          <w:szCs w:val="24"/>
        </w:rPr>
        <w:t>full parliamentary</w:t>
      </w:r>
      <w:r w:rsidR="002C6030">
        <w:rPr>
          <w:rFonts w:ascii="Times New Roman" w:hAnsi="Times New Roman"/>
          <w:sz w:val="24"/>
          <w:szCs w:val="24"/>
        </w:rPr>
        <w:t xml:space="preserve"> process (</w:t>
      </w:r>
      <w:r w:rsidR="00B007B0">
        <w:rPr>
          <w:rFonts w:ascii="Times New Roman" w:hAnsi="Times New Roman"/>
          <w:sz w:val="24"/>
          <w:szCs w:val="24"/>
        </w:rPr>
        <w:t>which includes</w:t>
      </w:r>
      <w:r w:rsidR="002C6030">
        <w:rPr>
          <w:rFonts w:ascii="Times New Roman" w:hAnsi="Times New Roman"/>
          <w:sz w:val="24"/>
          <w:szCs w:val="24"/>
        </w:rPr>
        <w:t xml:space="preserve"> the select committee process).  As a result, there </w:t>
      </w:r>
      <w:r w:rsidR="006B1EDE">
        <w:rPr>
          <w:rFonts w:ascii="Times New Roman" w:hAnsi="Times New Roman"/>
          <w:sz w:val="24"/>
          <w:szCs w:val="24"/>
        </w:rPr>
        <w:t>would be</w:t>
      </w:r>
      <w:r w:rsidR="002C6030">
        <w:rPr>
          <w:rFonts w:ascii="Times New Roman" w:hAnsi="Times New Roman"/>
          <w:sz w:val="24"/>
          <w:szCs w:val="24"/>
        </w:rPr>
        <w:t xml:space="preserve"> a risk that taxpayers </w:t>
      </w:r>
      <w:r w:rsidR="00CE03DC">
        <w:rPr>
          <w:rFonts w:ascii="Times New Roman" w:hAnsi="Times New Roman"/>
          <w:sz w:val="24"/>
          <w:szCs w:val="24"/>
        </w:rPr>
        <w:t>could</w:t>
      </w:r>
      <w:r w:rsidR="002C6030">
        <w:rPr>
          <w:rFonts w:ascii="Times New Roman" w:hAnsi="Times New Roman"/>
          <w:sz w:val="24"/>
          <w:szCs w:val="24"/>
        </w:rPr>
        <w:t xml:space="preserve"> perceive that the remedy </w:t>
      </w:r>
      <w:r w:rsidR="00CE03DC">
        <w:rPr>
          <w:rFonts w:ascii="Times New Roman" w:hAnsi="Times New Roman"/>
          <w:sz w:val="24"/>
          <w:szCs w:val="24"/>
        </w:rPr>
        <w:t>wa</w:t>
      </w:r>
      <w:r w:rsidR="002C6030">
        <w:rPr>
          <w:rFonts w:ascii="Times New Roman" w:hAnsi="Times New Roman"/>
          <w:sz w:val="24"/>
          <w:szCs w:val="24"/>
        </w:rPr>
        <w:t xml:space="preserve">s unfair or partial to a group of taxpayers.  This could risk </w:t>
      </w:r>
      <w:r w:rsidR="005C2A35">
        <w:rPr>
          <w:rFonts w:ascii="Times New Roman" w:hAnsi="Times New Roman"/>
          <w:sz w:val="24"/>
          <w:szCs w:val="24"/>
        </w:rPr>
        <w:t xml:space="preserve">adversely impacting on </w:t>
      </w:r>
      <w:r w:rsidR="002C6030">
        <w:rPr>
          <w:rFonts w:ascii="Times New Roman" w:hAnsi="Times New Roman"/>
          <w:sz w:val="24"/>
          <w:szCs w:val="24"/>
        </w:rPr>
        <w:t>taxpayers’ perception</w:t>
      </w:r>
      <w:r w:rsidR="009655A1">
        <w:rPr>
          <w:rFonts w:ascii="Times New Roman" w:hAnsi="Times New Roman"/>
          <w:sz w:val="24"/>
          <w:szCs w:val="24"/>
        </w:rPr>
        <w:t>s</w:t>
      </w:r>
      <w:r w:rsidR="002C6030">
        <w:rPr>
          <w:rFonts w:ascii="Times New Roman" w:hAnsi="Times New Roman"/>
          <w:sz w:val="24"/>
          <w:szCs w:val="24"/>
        </w:rPr>
        <w:t xml:space="preserve"> of the integrity of the tax system.  </w:t>
      </w:r>
      <w:r>
        <w:rPr>
          <w:rFonts w:ascii="Times New Roman" w:hAnsi="Times New Roman"/>
          <w:sz w:val="24"/>
          <w:szCs w:val="24"/>
        </w:rPr>
        <w:t>Inland Revenue consider</w:t>
      </w:r>
      <w:r w:rsidR="0007377C">
        <w:rPr>
          <w:rFonts w:ascii="Times New Roman" w:hAnsi="Times New Roman"/>
          <w:sz w:val="24"/>
          <w:szCs w:val="24"/>
        </w:rPr>
        <w:t>s</w:t>
      </w:r>
      <w:r>
        <w:rPr>
          <w:rFonts w:ascii="Times New Roman" w:hAnsi="Times New Roman"/>
          <w:sz w:val="24"/>
          <w:szCs w:val="24"/>
        </w:rPr>
        <w:t xml:space="preserve"> this risk to be small</w:t>
      </w:r>
      <w:r w:rsidR="002C6030">
        <w:rPr>
          <w:rFonts w:ascii="Times New Roman" w:hAnsi="Times New Roman"/>
          <w:sz w:val="24"/>
          <w:szCs w:val="24"/>
        </w:rPr>
        <w:t>.</w:t>
      </w:r>
    </w:p>
    <w:p w14:paraId="20694F29" w14:textId="66D6103A" w:rsidR="006B4468" w:rsidRDefault="00A936A8" w:rsidP="008E3485">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Orders in Council are regularly used to deal with transitional issues, </w:t>
      </w:r>
      <w:r w:rsidR="00F70876">
        <w:rPr>
          <w:rFonts w:ascii="Times New Roman" w:hAnsi="Times New Roman"/>
          <w:sz w:val="24"/>
          <w:szCs w:val="24"/>
        </w:rPr>
        <w:t>and</w:t>
      </w:r>
      <w:r w:rsidR="00973779">
        <w:rPr>
          <w:rFonts w:ascii="Times New Roman" w:hAnsi="Times New Roman"/>
          <w:sz w:val="24"/>
          <w:szCs w:val="24"/>
        </w:rPr>
        <w:t xml:space="preserve"> standard processes</w:t>
      </w:r>
      <w:r>
        <w:rPr>
          <w:rFonts w:ascii="Times New Roman" w:hAnsi="Times New Roman"/>
          <w:sz w:val="24"/>
          <w:szCs w:val="24"/>
        </w:rPr>
        <w:t xml:space="preserve"> and safeguards </w:t>
      </w:r>
      <w:r w:rsidR="00B82FF5">
        <w:rPr>
          <w:rFonts w:ascii="Times New Roman" w:hAnsi="Times New Roman"/>
          <w:sz w:val="24"/>
          <w:szCs w:val="24"/>
        </w:rPr>
        <w:t>could</w:t>
      </w:r>
      <w:r>
        <w:rPr>
          <w:rFonts w:ascii="Times New Roman" w:hAnsi="Times New Roman"/>
          <w:sz w:val="24"/>
          <w:szCs w:val="24"/>
        </w:rPr>
        <w:t xml:space="preserve"> be put in place to mitigate many of the risks </w:t>
      </w:r>
      <w:r w:rsidR="005C2A35">
        <w:rPr>
          <w:rFonts w:ascii="Times New Roman" w:hAnsi="Times New Roman"/>
          <w:sz w:val="24"/>
          <w:szCs w:val="24"/>
        </w:rPr>
        <w:t>to</w:t>
      </w:r>
      <w:r>
        <w:rPr>
          <w:rFonts w:ascii="Times New Roman" w:hAnsi="Times New Roman"/>
          <w:sz w:val="24"/>
          <w:szCs w:val="24"/>
        </w:rPr>
        <w:t xml:space="preserve"> the integrity of the tax system</w:t>
      </w:r>
      <w:r w:rsidR="00BE4EF3">
        <w:rPr>
          <w:rFonts w:ascii="Times New Roman" w:hAnsi="Times New Roman"/>
          <w:sz w:val="24"/>
          <w:szCs w:val="24"/>
        </w:rPr>
        <w:t xml:space="preserve"> discussed above</w:t>
      </w:r>
      <w:r>
        <w:rPr>
          <w:rFonts w:ascii="Times New Roman" w:hAnsi="Times New Roman"/>
          <w:sz w:val="24"/>
          <w:szCs w:val="24"/>
        </w:rPr>
        <w:t>.</w:t>
      </w:r>
      <w:r w:rsidR="0078676D" w:rsidRPr="005C2A35">
        <w:rPr>
          <w:rStyle w:val="FootnoteReference"/>
          <w:rFonts w:ascii="Times New Roman" w:hAnsi="Times New Roman"/>
          <w:szCs w:val="24"/>
        </w:rPr>
        <w:footnoteReference w:id="11"/>
      </w:r>
      <w:r w:rsidR="008E3485">
        <w:rPr>
          <w:rFonts w:ascii="Times New Roman" w:hAnsi="Times New Roman"/>
          <w:sz w:val="24"/>
          <w:szCs w:val="24"/>
        </w:rPr>
        <w:t xml:space="preserve">  </w:t>
      </w:r>
    </w:p>
    <w:p w14:paraId="619ADAF2" w14:textId="77777777" w:rsidR="006B4468" w:rsidRDefault="006B4468" w:rsidP="00AB456E">
      <w:pPr>
        <w:pStyle w:val="ListParagraph"/>
        <w:rPr>
          <w:rFonts w:ascii="Times New Roman" w:hAnsi="Times New Roman"/>
          <w:sz w:val="24"/>
          <w:szCs w:val="24"/>
        </w:rPr>
      </w:pPr>
    </w:p>
    <w:p w14:paraId="081DF991" w14:textId="77777777" w:rsidR="00075066" w:rsidRDefault="00075066" w:rsidP="00AB456E">
      <w:pPr>
        <w:pStyle w:val="ListParagraph"/>
        <w:rPr>
          <w:rFonts w:ascii="Times New Roman" w:hAnsi="Times New Roman"/>
          <w:sz w:val="24"/>
          <w:szCs w:val="24"/>
        </w:rPr>
      </w:pPr>
    </w:p>
    <w:p w14:paraId="50E2C701" w14:textId="6DD06D91" w:rsidR="00C765BB" w:rsidRPr="00782395" w:rsidRDefault="00C765BB" w:rsidP="00C765BB">
      <w:pPr>
        <w:pStyle w:val="Bullet-list"/>
        <w:spacing w:after="0" w:line="240" w:lineRule="auto"/>
        <w:jc w:val="both"/>
        <w:rPr>
          <w:rFonts w:ascii="Times New Roman" w:hAnsi="Times New Roman"/>
          <w:b/>
          <w:sz w:val="24"/>
          <w:szCs w:val="24"/>
        </w:rPr>
      </w:pPr>
      <w:r>
        <w:rPr>
          <w:rFonts w:ascii="Times New Roman" w:hAnsi="Times New Roman"/>
          <w:b/>
          <w:sz w:val="24"/>
          <w:szCs w:val="24"/>
        </w:rPr>
        <w:t>Option 3</w:t>
      </w:r>
    </w:p>
    <w:p w14:paraId="26F954CC" w14:textId="77777777" w:rsidR="00C765BB" w:rsidRDefault="00C765BB" w:rsidP="00C765BB">
      <w:pPr>
        <w:pStyle w:val="Bullet-list"/>
        <w:spacing w:after="0" w:line="240" w:lineRule="auto"/>
        <w:jc w:val="both"/>
        <w:rPr>
          <w:rFonts w:ascii="Times New Roman" w:hAnsi="Times New Roman"/>
          <w:b/>
          <w:i/>
          <w:sz w:val="24"/>
          <w:szCs w:val="24"/>
        </w:rPr>
      </w:pPr>
    </w:p>
    <w:p w14:paraId="519E6628" w14:textId="77777777" w:rsidR="00AF19C5" w:rsidRDefault="00AC5EB7" w:rsidP="008E3485">
      <w:pPr>
        <w:pStyle w:val="Bullet-list"/>
        <w:numPr>
          <w:ilvl w:val="0"/>
          <w:numId w:val="12"/>
        </w:numPr>
        <w:spacing w:after="0" w:line="240" w:lineRule="auto"/>
        <w:ind w:left="0" w:firstLine="0"/>
        <w:jc w:val="both"/>
        <w:rPr>
          <w:rFonts w:ascii="Times New Roman" w:hAnsi="Times New Roman"/>
          <w:sz w:val="24"/>
          <w:szCs w:val="24"/>
        </w:rPr>
      </w:pPr>
      <w:r w:rsidRPr="00CE1B5A">
        <w:rPr>
          <w:rFonts w:ascii="Times New Roman" w:hAnsi="Times New Roman"/>
          <w:sz w:val="24"/>
          <w:szCs w:val="24"/>
        </w:rPr>
        <w:t xml:space="preserve">The </w:t>
      </w:r>
      <w:r>
        <w:rPr>
          <w:rFonts w:ascii="Times New Roman" w:hAnsi="Times New Roman"/>
          <w:sz w:val="24"/>
          <w:szCs w:val="24"/>
        </w:rPr>
        <w:t xml:space="preserve">third </w:t>
      </w:r>
      <w:r w:rsidRPr="00CE1B5A">
        <w:rPr>
          <w:rFonts w:ascii="Times New Roman" w:hAnsi="Times New Roman"/>
          <w:sz w:val="24"/>
          <w:szCs w:val="24"/>
        </w:rPr>
        <w:t>option is to enact an empowering provision that allows regulations to be made either by Order in Council or by the Commissioner under a delegated authority, depending on the nature of the transitional issue</w:t>
      </w:r>
      <w:r>
        <w:rPr>
          <w:rFonts w:ascii="Times New Roman" w:hAnsi="Times New Roman"/>
          <w:sz w:val="24"/>
          <w:szCs w:val="24"/>
        </w:rPr>
        <w:t>.</w:t>
      </w:r>
      <w:r w:rsidR="002C5BA6">
        <w:rPr>
          <w:rFonts w:ascii="Times New Roman" w:hAnsi="Times New Roman"/>
          <w:sz w:val="24"/>
          <w:szCs w:val="24"/>
        </w:rPr>
        <w:t xml:space="preserve">  </w:t>
      </w:r>
    </w:p>
    <w:p w14:paraId="6122147B" w14:textId="77777777" w:rsidR="00AF19C5" w:rsidRDefault="00AF19C5" w:rsidP="00AB456E">
      <w:pPr>
        <w:pStyle w:val="Bullet-list"/>
        <w:spacing w:after="0" w:line="240" w:lineRule="auto"/>
        <w:jc w:val="both"/>
        <w:rPr>
          <w:rFonts w:ascii="Times New Roman" w:hAnsi="Times New Roman"/>
          <w:sz w:val="24"/>
          <w:szCs w:val="24"/>
        </w:rPr>
      </w:pPr>
    </w:p>
    <w:p w14:paraId="264FC977" w14:textId="55362C2E" w:rsidR="00F70876" w:rsidRDefault="00932349" w:rsidP="008E3485">
      <w:pPr>
        <w:pStyle w:val="Bullet-list"/>
        <w:numPr>
          <w:ilvl w:val="0"/>
          <w:numId w:val="12"/>
        </w:numPr>
        <w:spacing w:after="0" w:line="240" w:lineRule="auto"/>
        <w:ind w:left="0" w:firstLine="0"/>
        <w:jc w:val="both"/>
        <w:rPr>
          <w:rFonts w:ascii="Times New Roman" w:hAnsi="Times New Roman"/>
          <w:sz w:val="24"/>
          <w:szCs w:val="24"/>
        </w:rPr>
      </w:pPr>
      <w:r w:rsidRPr="00932349">
        <w:rPr>
          <w:rFonts w:ascii="Times New Roman" w:hAnsi="Times New Roman"/>
          <w:sz w:val="24"/>
          <w:szCs w:val="24"/>
        </w:rPr>
        <w:t>A regulation could be made under delegated authority when the matter is of minor technical detail, with little impact on the rights of individuals</w:t>
      </w:r>
      <w:r>
        <w:rPr>
          <w:rFonts w:ascii="Times New Roman" w:hAnsi="Times New Roman"/>
          <w:sz w:val="24"/>
          <w:szCs w:val="24"/>
        </w:rPr>
        <w:t xml:space="preserve">.  </w:t>
      </w:r>
      <w:r w:rsidR="00ED166C">
        <w:rPr>
          <w:rFonts w:ascii="Times New Roman" w:hAnsi="Times New Roman"/>
          <w:sz w:val="24"/>
          <w:szCs w:val="24"/>
        </w:rPr>
        <w:t xml:space="preserve">Delegated regulations could not be retrospective.  </w:t>
      </w:r>
      <w:r w:rsidR="00AF19C5" w:rsidRPr="00932349">
        <w:rPr>
          <w:rFonts w:ascii="Times New Roman" w:hAnsi="Times New Roman"/>
          <w:sz w:val="24"/>
          <w:szCs w:val="24"/>
        </w:rPr>
        <w:t>When the matter is more than procedural, is clearly not taxpayer favourable, or has a fiscal impact, it would be made by Order in Council</w:t>
      </w:r>
      <w:r w:rsidR="00AF19C5">
        <w:rPr>
          <w:rFonts w:ascii="Times New Roman" w:hAnsi="Times New Roman"/>
          <w:sz w:val="24"/>
          <w:szCs w:val="24"/>
        </w:rPr>
        <w:t xml:space="preserve"> (as under option 2).  </w:t>
      </w:r>
      <w:r w:rsidR="00ED166C">
        <w:rPr>
          <w:rFonts w:ascii="Times New Roman" w:hAnsi="Times New Roman"/>
          <w:sz w:val="24"/>
          <w:szCs w:val="24"/>
        </w:rPr>
        <w:t xml:space="preserve">The same requirements listed above under option 2 would apply to regulations made under option 3.  </w:t>
      </w:r>
      <w:r w:rsidR="00AF19C5">
        <w:rPr>
          <w:rFonts w:ascii="Times New Roman" w:hAnsi="Times New Roman"/>
          <w:sz w:val="24"/>
          <w:szCs w:val="24"/>
        </w:rPr>
        <w:t xml:space="preserve">As a result, regulations could be made by Order in Council when the matter was consistent with the current policy intent.  Any issues that represented a change in policy would need to be dealt with by an amendment Act.  </w:t>
      </w:r>
    </w:p>
    <w:p w14:paraId="5DF0AE39" w14:textId="77777777" w:rsidR="00F70876" w:rsidRDefault="00F70876" w:rsidP="00C765BB">
      <w:pPr>
        <w:pStyle w:val="Bullet-list"/>
        <w:spacing w:after="0" w:line="240" w:lineRule="auto"/>
        <w:ind w:left="0" w:firstLine="0"/>
        <w:jc w:val="both"/>
        <w:rPr>
          <w:rFonts w:ascii="Times New Roman" w:hAnsi="Times New Roman"/>
          <w:sz w:val="24"/>
          <w:szCs w:val="24"/>
        </w:rPr>
      </w:pPr>
    </w:p>
    <w:p w14:paraId="6845A6D6" w14:textId="6CAE2184" w:rsidR="00C765BB" w:rsidRPr="00782395" w:rsidRDefault="00C765BB" w:rsidP="00C765BB">
      <w:pPr>
        <w:pStyle w:val="Bullet-list"/>
        <w:spacing w:after="0" w:line="240" w:lineRule="auto"/>
        <w:ind w:left="0" w:firstLine="0"/>
        <w:jc w:val="both"/>
        <w:rPr>
          <w:rFonts w:ascii="Times New Roman" w:hAnsi="Times New Roman"/>
          <w:b/>
          <w:i/>
          <w:sz w:val="24"/>
          <w:szCs w:val="24"/>
        </w:rPr>
      </w:pPr>
      <w:r w:rsidRPr="00782395">
        <w:rPr>
          <w:rFonts w:ascii="Times New Roman" w:hAnsi="Times New Roman"/>
          <w:b/>
          <w:i/>
          <w:sz w:val="24"/>
          <w:szCs w:val="24"/>
        </w:rPr>
        <w:t>Assessment against o</w:t>
      </w:r>
      <w:r>
        <w:rPr>
          <w:rFonts w:ascii="Times New Roman" w:hAnsi="Times New Roman"/>
          <w:b/>
          <w:i/>
          <w:sz w:val="24"/>
          <w:szCs w:val="24"/>
        </w:rPr>
        <w:t>bjective and criteria – option 3</w:t>
      </w:r>
    </w:p>
    <w:p w14:paraId="531E44AB" w14:textId="77777777" w:rsidR="00C765BB" w:rsidRDefault="00C765BB" w:rsidP="00C765BB">
      <w:pPr>
        <w:pStyle w:val="Bullet-list"/>
        <w:spacing w:after="0" w:line="240" w:lineRule="auto"/>
        <w:ind w:left="0" w:firstLine="0"/>
        <w:jc w:val="both"/>
        <w:rPr>
          <w:rFonts w:ascii="Times New Roman" w:hAnsi="Times New Roman"/>
          <w:sz w:val="24"/>
          <w:szCs w:val="24"/>
        </w:rPr>
      </w:pPr>
    </w:p>
    <w:p w14:paraId="05879096" w14:textId="77777777" w:rsidR="00340A99" w:rsidRPr="007759CE" w:rsidRDefault="00340A99" w:rsidP="00854FA9">
      <w:pPr>
        <w:pStyle w:val="Bullet-list"/>
        <w:spacing w:after="0" w:line="240" w:lineRule="auto"/>
        <w:jc w:val="both"/>
        <w:rPr>
          <w:rFonts w:ascii="Times New Roman" w:hAnsi="Times New Roman"/>
          <w:i/>
          <w:sz w:val="24"/>
          <w:szCs w:val="24"/>
        </w:rPr>
      </w:pPr>
      <w:r>
        <w:rPr>
          <w:rFonts w:ascii="Times New Roman" w:hAnsi="Times New Roman"/>
          <w:i/>
          <w:sz w:val="24"/>
          <w:szCs w:val="24"/>
        </w:rPr>
        <w:t>Main objective</w:t>
      </w:r>
    </w:p>
    <w:p w14:paraId="3CC26DC9" w14:textId="77777777" w:rsidR="00340A99" w:rsidRPr="00A640CD" w:rsidRDefault="00340A99" w:rsidP="00340A99">
      <w:pPr>
        <w:pStyle w:val="Bullet-list"/>
        <w:spacing w:after="0" w:line="240" w:lineRule="auto"/>
        <w:ind w:left="720" w:firstLine="0"/>
        <w:jc w:val="both"/>
        <w:rPr>
          <w:rFonts w:ascii="Times New Roman" w:hAnsi="Times New Roman"/>
          <w:sz w:val="24"/>
          <w:szCs w:val="24"/>
        </w:rPr>
      </w:pPr>
    </w:p>
    <w:p w14:paraId="6CA03C7A" w14:textId="2B409A64" w:rsidR="0016318A" w:rsidRPr="00A640CD" w:rsidRDefault="0016318A" w:rsidP="0016318A">
      <w:pPr>
        <w:pStyle w:val="Bullet-list"/>
        <w:numPr>
          <w:ilvl w:val="0"/>
          <w:numId w:val="12"/>
        </w:numPr>
        <w:spacing w:after="0" w:line="240" w:lineRule="auto"/>
        <w:ind w:left="0" w:firstLine="0"/>
        <w:jc w:val="both"/>
        <w:rPr>
          <w:rFonts w:ascii="Times New Roman" w:hAnsi="Times New Roman"/>
          <w:sz w:val="24"/>
          <w:szCs w:val="24"/>
        </w:rPr>
      </w:pPr>
      <w:r w:rsidRPr="00A640CD">
        <w:rPr>
          <w:rFonts w:ascii="Times New Roman" w:hAnsi="Times New Roman"/>
          <w:sz w:val="24"/>
          <w:szCs w:val="24"/>
        </w:rPr>
        <w:t xml:space="preserve">Option </w:t>
      </w:r>
      <w:r>
        <w:rPr>
          <w:rFonts w:ascii="Times New Roman" w:hAnsi="Times New Roman"/>
          <w:sz w:val="24"/>
          <w:szCs w:val="24"/>
        </w:rPr>
        <w:t>3</w:t>
      </w:r>
      <w:r w:rsidRPr="00A640CD">
        <w:rPr>
          <w:rFonts w:ascii="Times New Roman" w:hAnsi="Times New Roman"/>
          <w:sz w:val="24"/>
          <w:szCs w:val="24"/>
        </w:rPr>
        <w:t xml:space="preserve"> </w:t>
      </w:r>
      <w:r w:rsidR="00B82FF5">
        <w:rPr>
          <w:rFonts w:ascii="Times New Roman" w:hAnsi="Times New Roman"/>
          <w:sz w:val="24"/>
          <w:szCs w:val="24"/>
        </w:rPr>
        <w:t>would</w:t>
      </w:r>
      <w:r w:rsidRPr="00A640CD">
        <w:rPr>
          <w:rFonts w:ascii="Times New Roman" w:hAnsi="Times New Roman"/>
          <w:sz w:val="24"/>
          <w:szCs w:val="24"/>
        </w:rPr>
        <w:t xml:space="preserve"> allow transitional regulations to be made by Order in Council </w:t>
      </w:r>
      <w:r>
        <w:rPr>
          <w:rFonts w:ascii="Times New Roman" w:hAnsi="Times New Roman"/>
          <w:sz w:val="24"/>
          <w:szCs w:val="24"/>
        </w:rPr>
        <w:t xml:space="preserve">or by delegated authority </w:t>
      </w:r>
      <w:r w:rsidRPr="00A640CD">
        <w:rPr>
          <w:rFonts w:ascii="Times New Roman" w:hAnsi="Times New Roman"/>
          <w:sz w:val="24"/>
          <w:szCs w:val="24"/>
        </w:rPr>
        <w:t xml:space="preserve">which </w:t>
      </w:r>
      <w:r w:rsidR="00B82FF5">
        <w:rPr>
          <w:rFonts w:ascii="Times New Roman" w:hAnsi="Times New Roman"/>
          <w:sz w:val="24"/>
          <w:szCs w:val="24"/>
        </w:rPr>
        <w:t>would</w:t>
      </w:r>
      <w:r w:rsidRPr="00A640CD">
        <w:rPr>
          <w:rFonts w:ascii="Times New Roman" w:hAnsi="Times New Roman"/>
          <w:sz w:val="24"/>
          <w:szCs w:val="24"/>
        </w:rPr>
        <w:t xml:space="preserve"> support the orderly transition from the old system to the new system.  </w:t>
      </w:r>
      <w:r w:rsidR="002B4468">
        <w:rPr>
          <w:rFonts w:ascii="Times New Roman" w:hAnsi="Times New Roman"/>
          <w:sz w:val="24"/>
          <w:szCs w:val="24"/>
        </w:rPr>
        <w:t>It could prevent delays more effectively than</w:t>
      </w:r>
      <w:r w:rsidR="00DA4B59">
        <w:rPr>
          <w:rFonts w:ascii="Times New Roman" w:hAnsi="Times New Roman"/>
          <w:sz w:val="24"/>
          <w:szCs w:val="24"/>
        </w:rPr>
        <w:t xml:space="preserve"> either option 1 or 2</w:t>
      </w:r>
      <w:r>
        <w:rPr>
          <w:rFonts w:ascii="Times New Roman" w:hAnsi="Times New Roman"/>
          <w:sz w:val="24"/>
          <w:szCs w:val="24"/>
        </w:rPr>
        <w:t xml:space="preserve">.  The speed that transitional issues </w:t>
      </w:r>
      <w:r w:rsidR="00B82FF5">
        <w:rPr>
          <w:rFonts w:ascii="Times New Roman" w:hAnsi="Times New Roman"/>
          <w:sz w:val="24"/>
          <w:szCs w:val="24"/>
        </w:rPr>
        <w:t>would</w:t>
      </w:r>
      <w:r>
        <w:rPr>
          <w:rFonts w:ascii="Times New Roman" w:hAnsi="Times New Roman"/>
          <w:sz w:val="24"/>
          <w:szCs w:val="24"/>
        </w:rPr>
        <w:t xml:space="preserve"> be able to be remedied </w:t>
      </w:r>
      <w:r w:rsidR="00B82FF5">
        <w:rPr>
          <w:rFonts w:ascii="Times New Roman" w:hAnsi="Times New Roman"/>
          <w:sz w:val="24"/>
          <w:szCs w:val="24"/>
        </w:rPr>
        <w:t>would</w:t>
      </w:r>
      <w:r>
        <w:rPr>
          <w:rFonts w:ascii="Times New Roman" w:hAnsi="Times New Roman"/>
          <w:sz w:val="24"/>
          <w:szCs w:val="24"/>
        </w:rPr>
        <w:t xml:space="preserve"> reduce the chances of hurdles arising that </w:t>
      </w:r>
      <w:r w:rsidR="00B82FF5">
        <w:rPr>
          <w:rFonts w:ascii="Times New Roman" w:hAnsi="Times New Roman"/>
          <w:sz w:val="24"/>
          <w:szCs w:val="24"/>
        </w:rPr>
        <w:t>would</w:t>
      </w:r>
      <w:r>
        <w:rPr>
          <w:rFonts w:ascii="Times New Roman" w:hAnsi="Times New Roman"/>
          <w:sz w:val="24"/>
          <w:szCs w:val="24"/>
        </w:rPr>
        <w:t xml:space="preserve"> delay the transformation process</w:t>
      </w:r>
      <w:r w:rsidR="00CE03DC">
        <w:rPr>
          <w:rFonts w:ascii="Times New Roman" w:hAnsi="Times New Roman"/>
          <w:sz w:val="24"/>
          <w:szCs w:val="24"/>
        </w:rPr>
        <w:t xml:space="preserve"> (or increase costs)</w:t>
      </w:r>
      <w:r>
        <w:rPr>
          <w:rFonts w:ascii="Times New Roman" w:hAnsi="Times New Roman"/>
          <w:sz w:val="24"/>
          <w:szCs w:val="24"/>
        </w:rPr>
        <w:t>.</w:t>
      </w:r>
      <w:r w:rsidR="00DA4B59">
        <w:rPr>
          <w:rFonts w:ascii="Times New Roman" w:hAnsi="Times New Roman"/>
          <w:sz w:val="24"/>
          <w:szCs w:val="24"/>
        </w:rPr>
        <w:t xml:space="preserve">  </w:t>
      </w:r>
      <w:r w:rsidR="006B1EDE">
        <w:rPr>
          <w:rFonts w:ascii="Times New Roman" w:hAnsi="Times New Roman"/>
          <w:sz w:val="24"/>
          <w:szCs w:val="24"/>
        </w:rPr>
        <w:t>This option would meet the main objective.</w:t>
      </w:r>
    </w:p>
    <w:p w14:paraId="5F1FDFFA" w14:textId="77777777" w:rsidR="00955EB2" w:rsidRDefault="00955EB2" w:rsidP="00C765BB">
      <w:pPr>
        <w:pStyle w:val="Bullet-list"/>
        <w:spacing w:after="0" w:line="240" w:lineRule="auto"/>
        <w:ind w:left="0" w:firstLine="0"/>
        <w:jc w:val="both"/>
        <w:rPr>
          <w:rFonts w:ascii="Times New Roman" w:hAnsi="Times New Roman"/>
          <w:sz w:val="24"/>
          <w:szCs w:val="24"/>
        </w:rPr>
      </w:pPr>
    </w:p>
    <w:p w14:paraId="0CE4BB8C" w14:textId="28AA084B" w:rsidR="00C765BB" w:rsidRPr="007759CE" w:rsidRDefault="00C53D94" w:rsidP="00854FA9">
      <w:pPr>
        <w:pStyle w:val="Bullet-list"/>
        <w:spacing w:after="0" w:line="240" w:lineRule="auto"/>
        <w:jc w:val="both"/>
        <w:rPr>
          <w:rFonts w:ascii="Times New Roman" w:hAnsi="Times New Roman"/>
          <w:i/>
          <w:sz w:val="24"/>
          <w:szCs w:val="24"/>
        </w:rPr>
      </w:pPr>
      <w:r>
        <w:rPr>
          <w:rFonts w:ascii="Times New Roman" w:hAnsi="Times New Roman"/>
          <w:i/>
          <w:sz w:val="24"/>
          <w:szCs w:val="24"/>
        </w:rPr>
        <w:t>Compliance efficiency</w:t>
      </w:r>
    </w:p>
    <w:p w14:paraId="3DFBB2C4" w14:textId="77777777" w:rsidR="00C765BB" w:rsidRPr="00A640CD" w:rsidRDefault="00C765BB" w:rsidP="00C765BB">
      <w:pPr>
        <w:pStyle w:val="Bullet-list"/>
        <w:spacing w:after="0" w:line="240" w:lineRule="auto"/>
        <w:ind w:left="720" w:firstLine="0"/>
        <w:jc w:val="both"/>
        <w:rPr>
          <w:rFonts w:ascii="Times New Roman" w:hAnsi="Times New Roman"/>
          <w:sz w:val="24"/>
          <w:szCs w:val="24"/>
        </w:rPr>
      </w:pPr>
    </w:p>
    <w:p w14:paraId="657B2960" w14:textId="77777777" w:rsidR="00CE03DC" w:rsidRDefault="00DA4B59" w:rsidP="00DA4B59">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3 </w:t>
      </w:r>
      <w:r w:rsidR="00B82FF5">
        <w:rPr>
          <w:rFonts w:ascii="Times New Roman" w:hAnsi="Times New Roman"/>
          <w:sz w:val="24"/>
          <w:szCs w:val="24"/>
        </w:rPr>
        <w:t>would</w:t>
      </w:r>
      <w:r>
        <w:rPr>
          <w:rFonts w:ascii="Times New Roman" w:hAnsi="Times New Roman"/>
          <w:sz w:val="24"/>
          <w:szCs w:val="24"/>
        </w:rPr>
        <w:t xml:space="preserve"> </w:t>
      </w:r>
      <w:r w:rsidR="00CE24C7">
        <w:rPr>
          <w:rFonts w:ascii="Times New Roman" w:hAnsi="Times New Roman"/>
          <w:sz w:val="24"/>
          <w:szCs w:val="24"/>
        </w:rPr>
        <w:t xml:space="preserve">significantly </w:t>
      </w:r>
      <w:r>
        <w:rPr>
          <w:rFonts w:ascii="Times New Roman" w:hAnsi="Times New Roman"/>
          <w:sz w:val="24"/>
          <w:szCs w:val="24"/>
        </w:rPr>
        <w:t>reduce taxpayers’ compliance costs</w:t>
      </w:r>
      <w:r w:rsidR="00256769">
        <w:rPr>
          <w:rFonts w:ascii="Times New Roman" w:hAnsi="Times New Roman"/>
          <w:sz w:val="24"/>
          <w:szCs w:val="24"/>
        </w:rPr>
        <w:t xml:space="preserve"> relative to the status quo</w:t>
      </w:r>
      <w:r w:rsidR="00CE03DC">
        <w:rPr>
          <w:rFonts w:ascii="Times New Roman" w:hAnsi="Times New Roman"/>
          <w:sz w:val="24"/>
          <w:szCs w:val="24"/>
        </w:rPr>
        <w:t xml:space="preserve"> but with significant risks</w:t>
      </w:r>
      <w:r>
        <w:rPr>
          <w:rFonts w:ascii="Times New Roman" w:hAnsi="Times New Roman"/>
          <w:sz w:val="24"/>
          <w:szCs w:val="24"/>
        </w:rPr>
        <w:t>.</w:t>
      </w:r>
    </w:p>
    <w:p w14:paraId="31B968F9" w14:textId="77777777" w:rsidR="00CE03DC" w:rsidRDefault="00CE03DC" w:rsidP="00AB456E">
      <w:pPr>
        <w:pStyle w:val="Bullet-list"/>
        <w:spacing w:after="0" w:line="240" w:lineRule="auto"/>
        <w:jc w:val="both"/>
        <w:rPr>
          <w:rFonts w:ascii="Times New Roman" w:hAnsi="Times New Roman"/>
          <w:sz w:val="24"/>
          <w:szCs w:val="24"/>
        </w:rPr>
      </w:pPr>
    </w:p>
    <w:p w14:paraId="31303606" w14:textId="23678AE8" w:rsidR="00DA4B59" w:rsidRDefault="00DA4B59" w:rsidP="00DA4B59">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speed by which regulations </w:t>
      </w:r>
      <w:r w:rsidR="00B82FF5">
        <w:rPr>
          <w:rFonts w:ascii="Times New Roman" w:hAnsi="Times New Roman"/>
          <w:sz w:val="24"/>
          <w:szCs w:val="24"/>
        </w:rPr>
        <w:t>could</w:t>
      </w:r>
      <w:r>
        <w:rPr>
          <w:rFonts w:ascii="Times New Roman" w:hAnsi="Times New Roman"/>
          <w:sz w:val="24"/>
          <w:szCs w:val="24"/>
        </w:rPr>
        <w:t xml:space="preserve"> be made </w:t>
      </w:r>
      <w:r w:rsidR="00B82FF5">
        <w:rPr>
          <w:rFonts w:ascii="Times New Roman" w:hAnsi="Times New Roman"/>
          <w:sz w:val="24"/>
          <w:szCs w:val="24"/>
        </w:rPr>
        <w:t>would</w:t>
      </w:r>
      <w:r>
        <w:rPr>
          <w:rFonts w:ascii="Times New Roman" w:hAnsi="Times New Roman"/>
          <w:sz w:val="24"/>
          <w:szCs w:val="24"/>
        </w:rPr>
        <w:t xml:space="preserve"> mean that taxpayers </w:t>
      </w:r>
      <w:r w:rsidR="00B82FF5">
        <w:rPr>
          <w:rFonts w:ascii="Times New Roman" w:hAnsi="Times New Roman"/>
          <w:sz w:val="24"/>
          <w:szCs w:val="24"/>
        </w:rPr>
        <w:t>would</w:t>
      </w:r>
      <w:r>
        <w:rPr>
          <w:rFonts w:ascii="Times New Roman" w:hAnsi="Times New Roman"/>
          <w:sz w:val="24"/>
          <w:szCs w:val="24"/>
        </w:rPr>
        <w:t xml:space="preserve"> not face the costs of the delays in resolving issues.  It </w:t>
      </w:r>
      <w:r w:rsidR="00B82FF5">
        <w:rPr>
          <w:rFonts w:ascii="Times New Roman" w:hAnsi="Times New Roman"/>
          <w:sz w:val="24"/>
          <w:szCs w:val="24"/>
        </w:rPr>
        <w:t>would</w:t>
      </w:r>
      <w:r>
        <w:rPr>
          <w:rFonts w:ascii="Times New Roman" w:hAnsi="Times New Roman"/>
          <w:sz w:val="24"/>
          <w:szCs w:val="24"/>
        </w:rPr>
        <w:t xml:space="preserve"> provide </w:t>
      </w:r>
      <w:r w:rsidR="00BC1520">
        <w:rPr>
          <w:rFonts w:ascii="Times New Roman" w:hAnsi="Times New Roman"/>
          <w:sz w:val="24"/>
          <w:szCs w:val="24"/>
        </w:rPr>
        <w:t xml:space="preserve">qualified </w:t>
      </w:r>
      <w:r>
        <w:rPr>
          <w:rFonts w:ascii="Times New Roman" w:hAnsi="Times New Roman"/>
          <w:sz w:val="24"/>
          <w:szCs w:val="24"/>
        </w:rPr>
        <w:t xml:space="preserve">certainty for taxpayers within a shorter time than either option 1 or 2.  This </w:t>
      </w:r>
      <w:r w:rsidR="00B82FF5">
        <w:rPr>
          <w:rFonts w:ascii="Times New Roman" w:hAnsi="Times New Roman"/>
          <w:sz w:val="24"/>
          <w:szCs w:val="24"/>
        </w:rPr>
        <w:t>would</w:t>
      </w:r>
      <w:r>
        <w:rPr>
          <w:rFonts w:ascii="Times New Roman" w:hAnsi="Times New Roman"/>
          <w:sz w:val="24"/>
          <w:szCs w:val="24"/>
        </w:rPr>
        <w:t xml:space="preserve"> allow taxpayers to organise their affairs and to plan for the future with the shortest periods of uncertainty.  This </w:t>
      </w:r>
      <w:r w:rsidR="00B82FF5">
        <w:rPr>
          <w:rFonts w:ascii="Times New Roman" w:hAnsi="Times New Roman"/>
          <w:sz w:val="24"/>
          <w:szCs w:val="24"/>
        </w:rPr>
        <w:t>would</w:t>
      </w:r>
      <w:r>
        <w:rPr>
          <w:rFonts w:ascii="Times New Roman" w:hAnsi="Times New Roman"/>
          <w:sz w:val="24"/>
          <w:szCs w:val="24"/>
        </w:rPr>
        <w:t xml:space="preserve"> reduce the need for taxpayers to seek advice during the period of uncertainty.</w:t>
      </w:r>
      <w:r w:rsidR="007843FB">
        <w:rPr>
          <w:rFonts w:ascii="Times New Roman" w:hAnsi="Times New Roman"/>
          <w:sz w:val="24"/>
          <w:szCs w:val="24"/>
        </w:rPr>
        <w:t xml:space="preserve">  However, as the transitional regulations </w:t>
      </w:r>
      <w:r w:rsidR="00B82FF5">
        <w:rPr>
          <w:rFonts w:ascii="Times New Roman" w:hAnsi="Times New Roman"/>
          <w:sz w:val="24"/>
          <w:szCs w:val="24"/>
        </w:rPr>
        <w:t>would</w:t>
      </w:r>
      <w:r w:rsidR="007843FB">
        <w:rPr>
          <w:rFonts w:ascii="Times New Roman" w:hAnsi="Times New Roman"/>
          <w:sz w:val="24"/>
          <w:szCs w:val="24"/>
        </w:rPr>
        <w:t xml:space="preserve"> expire after three years, the certainty </w:t>
      </w:r>
      <w:r w:rsidR="00B82FF5">
        <w:rPr>
          <w:rFonts w:ascii="Times New Roman" w:hAnsi="Times New Roman"/>
          <w:sz w:val="24"/>
          <w:szCs w:val="24"/>
        </w:rPr>
        <w:t>would</w:t>
      </w:r>
      <w:r w:rsidR="007843FB">
        <w:rPr>
          <w:rFonts w:ascii="Times New Roman" w:hAnsi="Times New Roman"/>
          <w:sz w:val="24"/>
          <w:szCs w:val="24"/>
        </w:rPr>
        <w:t xml:space="preserve"> only be for a set period.</w:t>
      </w:r>
    </w:p>
    <w:p w14:paraId="7FA9D880" w14:textId="77777777" w:rsidR="007843FB" w:rsidRDefault="007843FB" w:rsidP="007843FB">
      <w:pPr>
        <w:pStyle w:val="Bullet-list"/>
        <w:spacing w:after="0" w:line="240" w:lineRule="auto"/>
        <w:jc w:val="both"/>
        <w:rPr>
          <w:rFonts w:ascii="Times New Roman" w:hAnsi="Times New Roman"/>
          <w:sz w:val="24"/>
          <w:szCs w:val="24"/>
        </w:rPr>
      </w:pPr>
    </w:p>
    <w:p w14:paraId="349C01D1" w14:textId="77777777" w:rsidR="00863F13" w:rsidRDefault="00863F13" w:rsidP="007843FB">
      <w:pPr>
        <w:pStyle w:val="Bullet-list"/>
        <w:spacing w:after="0" w:line="240" w:lineRule="auto"/>
        <w:jc w:val="both"/>
        <w:rPr>
          <w:rFonts w:ascii="Times New Roman" w:hAnsi="Times New Roman"/>
          <w:sz w:val="24"/>
          <w:szCs w:val="24"/>
        </w:rPr>
      </w:pPr>
    </w:p>
    <w:p w14:paraId="5FFE6CE4" w14:textId="77777777" w:rsidR="00863F13" w:rsidRDefault="00863F13" w:rsidP="007843FB">
      <w:pPr>
        <w:pStyle w:val="Bullet-list"/>
        <w:spacing w:after="0" w:line="240" w:lineRule="auto"/>
        <w:jc w:val="both"/>
        <w:rPr>
          <w:rFonts w:ascii="Times New Roman" w:hAnsi="Times New Roman"/>
          <w:sz w:val="24"/>
          <w:szCs w:val="24"/>
        </w:rPr>
      </w:pPr>
    </w:p>
    <w:p w14:paraId="3EA448FC" w14:textId="77777777" w:rsidR="00863F13" w:rsidRDefault="00863F13" w:rsidP="007843FB">
      <w:pPr>
        <w:pStyle w:val="Bullet-list"/>
        <w:spacing w:after="0" w:line="240" w:lineRule="auto"/>
        <w:jc w:val="both"/>
        <w:rPr>
          <w:rFonts w:ascii="Times New Roman" w:hAnsi="Times New Roman"/>
          <w:sz w:val="24"/>
          <w:szCs w:val="24"/>
        </w:rPr>
      </w:pPr>
    </w:p>
    <w:p w14:paraId="31E3A056" w14:textId="0C7BCB2E" w:rsidR="007843FB" w:rsidRDefault="00464FF0" w:rsidP="002073D9">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As noted above, i</w:t>
      </w:r>
      <w:r w:rsidR="007843FB">
        <w:rPr>
          <w:rFonts w:ascii="Times New Roman" w:hAnsi="Times New Roman"/>
          <w:sz w:val="24"/>
          <w:szCs w:val="24"/>
        </w:rPr>
        <w:t xml:space="preserve">t is also possible that process changes could be made to option 2 that would allow regulations to be made almost as quickly as under delegated authority.  For example, </w:t>
      </w:r>
      <w:r w:rsidR="002073D9">
        <w:rPr>
          <w:rFonts w:ascii="Times New Roman" w:hAnsi="Times New Roman"/>
          <w:sz w:val="24"/>
          <w:szCs w:val="24"/>
        </w:rPr>
        <w:t xml:space="preserve">Inland Revenue could obtain Cabinet approval that transitional regulations by Order in Council could </w:t>
      </w:r>
      <w:proofErr w:type="gramStart"/>
      <w:r w:rsidR="002073D9">
        <w:rPr>
          <w:rFonts w:ascii="Times New Roman" w:hAnsi="Times New Roman"/>
          <w:sz w:val="24"/>
          <w:szCs w:val="24"/>
        </w:rPr>
        <w:t>proceed</w:t>
      </w:r>
      <w:proofErr w:type="gramEnd"/>
      <w:r w:rsidR="002073D9">
        <w:rPr>
          <w:rFonts w:ascii="Times New Roman" w:hAnsi="Times New Roman"/>
          <w:sz w:val="24"/>
          <w:szCs w:val="24"/>
        </w:rPr>
        <w:t xml:space="preserve"> directly to the </w:t>
      </w:r>
      <w:r w:rsidR="006B1EDE">
        <w:rPr>
          <w:rFonts w:ascii="Times New Roman" w:hAnsi="Times New Roman"/>
          <w:sz w:val="24"/>
          <w:szCs w:val="24"/>
        </w:rPr>
        <w:t xml:space="preserve">Cabinet </w:t>
      </w:r>
      <w:r w:rsidR="002073D9">
        <w:rPr>
          <w:rFonts w:ascii="Times New Roman" w:hAnsi="Times New Roman"/>
          <w:sz w:val="24"/>
          <w:szCs w:val="24"/>
        </w:rPr>
        <w:t>Legislation Committee with draft regulations.  This may mean there is little efficiency gained by delegating the authority to make regulations to the Commissioner, and may undermine any benefits under option 3 as compared to option 2.</w:t>
      </w:r>
    </w:p>
    <w:p w14:paraId="2195587A" w14:textId="77777777" w:rsidR="00DA4B59" w:rsidRDefault="00DA4B59" w:rsidP="00DA4B59">
      <w:pPr>
        <w:pStyle w:val="ListParagraph"/>
        <w:rPr>
          <w:rFonts w:ascii="Times New Roman" w:hAnsi="Times New Roman"/>
          <w:sz w:val="24"/>
          <w:szCs w:val="24"/>
        </w:rPr>
      </w:pPr>
    </w:p>
    <w:p w14:paraId="48D50306" w14:textId="64F5C4E8" w:rsidR="0000480A" w:rsidRDefault="0000480A" w:rsidP="0000480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However, remedying the transitional issues by way of Orders in Council or delegated regulations </w:t>
      </w:r>
      <w:r w:rsidR="00B82FF5">
        <w:rPr>
          <w:rFonts w:ascii="Times New Roman" w:hAnsi="Times New Roman"/>
          <w:sz w:val="24"/>
          <w:szCs w:val="24"/>
        </w:rPr>
        <w:t>would</w:t>
      </w:r>
      <w:r>
        <w:rPr>
          <w:rFonts w:ascii="Times New Roman" w:hAnsi="Times New Roman"/>
          <w:sz w:val="24"/>
          <w:szCs w:val="24"/>
        </w:rPr>
        <w:t xml:space="preserve"> increase the </w:t>
      </w:r>
      <w:r w:rsidR="00CE03DC">
        <w:rPr>
          <w:rFonts w:ascii="Times New Roman" w:hAnsi="Times New Roman"/>
          <w:sz w:val="24"/>
          <w:szCs w:val="24"/>
        </w:rPr>
        <w:t>risk of</w:t>
      </w:r>
      <w:r>
        <w:rPr>
          <w:rFonts w:ascii="Times New Roman" w:hAnsi="Times New Roman"/>
          <w:sz w:val="24"/>
          <w:szCs w:val="24"/>
        </w:rPr>
        <w:t xml:space="preserve"> taxpayers </w:t>
      </w:r>
      <w:r w:rsidR="00CE03DC">
        <w:rPr>
          <w:rFonts w:ascii="Times New Roman" w:hAnsi="Times New Roman"/>
          <w:sz w:val="24"/>
          <w:szCs w:val="24"/>
        </w:rPr>
        <w:t>having to interpret</w:t>
      </w:r>
      <w:r>
        <w:rPr>
          <w:rFonts w:ascii="Times New Roman" w:hAnsi="Times New Roman"/>
          <w:sz w:val="24"/>
          <w:szCs w:val="24"/>
        </w:rPr>
        <w:t xml:space="preserve"> the law by refer</w:t>
      </w:r>
      <w:r w:rsidR="00CE03DC">
        <w:rPr>
          <w:rFonts w:ascii="Times New Roman" w:hAnsi="Times New Roman"/>
          <w:sz w:val="24"/>
          <w:szCs w:val="24"/>
        </w:rPr>
        <w:t>ence</w:t>
      </w:r>
      <w:r>
        <w:rPr>
          <w:rFonts w:ascii="Times New Roman" w:hAnsi="Times New Roman"/>
          <w:sz w:val="24"/>
          <w:szCs w:val="24"/>
        </w:rPr>
        <w:t xml:space="preserve"> to three types of legislation, and determining how the three relate.  This </w:t>
      </w:r>
      <w:r w:rsidR="00CE03DC">
        <w:rPr>
          <w:rFonts w:ascii="Times New Roman" w:hAnsi="Times New Roman"/>
          <w:sz w:val="24"/>
          <w:szCs w:val="24"/>
        </w:rPr>
        <w:t>risks causing increased</w:t>
      </w:r>
      <w:r>
        <w:rPr>
          <w:rFonts w:ascii="Times New Roman" w:hAnsi="Times New Roman"/>
          <w:sz w:val="24"/>
          <w:szCs w:val="24"/>
        </w:rPr>
        <w:t xml:space="preserve"> compliance cost </w:t>
      </w:r>
      <w:r w:rsidR="001613EB">
        <w:rPr>
          <w:rFonts w:ascii="Times New Roman" w:hAnsi="Times New Roman"/>
          <w:sz w:val="24"/>
          <w:szCs w:val="24"/>
        </w:rPr>
        <w:t>for</w:t>
      </w:r>
      <w:r>
        <w:rPr>
          <w:rFonts w:ascii="Times New Roman" w:hAnsi="Times New Roman"/>
          <w:sz w:val="24"/>
          <w:szCs w:val="24"/>
        </w:rPr>
        <w:t xml:space="preserve"> taxpayers.</w:t>
      </w:r>
    </w:p>
    <w:p w14:paraId="2EE1DC44" w14:textId="77777777" w:rsidR="0000480A" w:rsidRDefault="0000480A" w:rsidP="0000480A">
      <w:pPr>
        <w:pStyle w:val="ListParagraph"/>
        <w:rPr>
          <w:rFonts w:ascii="Times New Roman" w:hAnsi="Times New Roman"/>
          <w:sz w:val="24"/>
          <w:szCs w:val="24"/>
        </w:rPr>
      </w:pPr>
    </w:p>
    <w:p w14:paraId="29CBE370" w14:textId="3EE3B633" w:rsidR="0000480A" w:rsidRDefault="0000480A" w:rsidP="0000480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Further, while taxpayers </w:t>
      </w:r>
      <w:r w:rsidR="00B82FF5">
        <w:rPr>
          <w:rFonts w:ascii="Times New Roman" w:hAnsi="Times New Roman"/>
          <w:sz w:val="24"/>
          <w:szCs w:val="24"/>
        </w:rPr>
        <w:t>would</w:t>
      </w:r>
      <w:r>
        <w:rPr>
          <w:rFonts w:ascii="Times New Roman" w:hAnsi="Times New Roman"/>
          <w:sz w:val="24"/>
          <w:szCs w:val="24"/>
        </w:rPr>
        <w:t xml:space="preserve"> have certainty in a short time for transitional issues, it </w:t>
      </w:r>
      <w:r w:rsidR="00B82FF5">
        <w:rPr>
          <w:rFonts w:ascii="Times New Roman" w:hAnsi="Times New Roman"/>
          <w:sz w:val="24"/>
          <w:szCs w:val="24"/>
        </w:rPr>
        <w:t>would</w:t>
      </w:r>
      <w:r>
        <w:rPr>
          <w:rFonts w:ascii="Times New Roman" w:hAnsi="Times New Roman"/>
          <w:sz w:val="24"/>
          <w:szCs w:val="24"/>
        </w:rPr>
        <w:t xml:space="preserve"> not be the same quality of certainty as under either option 1 or option 2.  Both delegated regulations and Orders in Council are subject to disallowance by Parliament and judicial review.  Delegated regulations </w:t>
      </w:r>
      <w:r w:rsidR="006B1EDE">
        <w:rPr>
          <w:rFonts w:ascii="Times New Roman" w:hAnsi="Times New Roman"/>
          <w:sz w:val="24"/>
          <w:szCs w:val="24"/>
        </w:rPr>
        <w:t>would be</w:t>
      </w:r>
      <w:r>
        <w:rPr>
          <w:rFonts w:ascii="Times New Roman" w:hAnsi="Times New Roman"/>
          <w:sz w:val="24"/>
          <w:szCs w:val="24"/>
        </w:rPr>
        <w:t xml:space="preserve"> likely to face greater scrutiny from Parliament.  This means that there </w:t>
      </w:r>
      <w:r w:rsidR="006B1EDE">
        <w:rPr>
          <w:rFonts w:ascii="Times New Roman" w:hAnsi="Times New Roman"/>
          <w:sz w:val="24"/>
          <w:szCs w:val="24"/>
        </w:rPr>
        <w:t>would be</w:t>
      </w:r>
      <w:r>
        <w:rPr>
          <w:rFonts w:ascii="Times New Roman" w:hAnsi="Times New Roman"/>
          <w:sz w:val="24"/>
          <w:szCs w:val="24"/>
        </w:rPr>
        <w:t xml:space="preserve"> a reasonable risk that taxpayers’ expectations </w:t>
      </w:r>
      <w:r w:rsidR="00B82FF5">
        <w:rPr>
          <w:rFonts w:ascii="Times New Roman" w:hAnsi="Times New Roman"/>
          <w:sz w:val="24"/>
          <w:szCs w:val="24"/>
        </w:rPr>
        <w:t>would</w:t>
      </w:r>
      <w:r>
        <w:rPr>
          <w:rFonts w:ascii="Times New Roman" w:hAnsi="Times New Roman"/>
          <w:sz w:val="24"/>
          <w:szCs w:val="24"/>
        </w:rPr>
        <w:t xml:space="preserve"> be undermined.  </w:t>
      </w:r>
    </w:p>
    <w:p w14:paraId="0DE10526" w14:textId="77777777" w:rsidR="0000480A" w:rsidRDefault="0000480A" w:rsidP="0000480A">
      <w:pPr>
        <w:pStyle w:val="ListParagraph"/>
        <w:rPr>
          <w:rFonts w:ascii="Times New Roman" w:hAnsi="Times New Roman"/>
          <w:sz w:val="24"/>
          <w:szCs w:val="24"/>
        </w:rPr>
      </w:pPr>
    </w:p>
    <w:p w14:paraId="19B7C708" w14:textId="078719F2" w:rsidR="00A8577E" w:rsidRPr="00854FA9" w:rsidRDefault="00A8577E" w:rsidP="00854FA9">
      <w:pPr>
        <w:rPr>
          <w:rFonts w:ascii="Times New Roman" w:hAnsi="Times New Roman"/>
          <w:i/>
          <w:sz w:val="24"/>
          <w:szCs w:val="24"/>
        </w:rPr>
      </w:pPr>
      <w:r w:rsidRPr="00854FA9">
        <w:rPr>
          <w:rFonts w:ascii="Times New Roman" w:hAnsi="Times New Roman"/>
          <w:i/>
          <w:sz w:val="24"/>
          <w:szCs w:val="24"/>
        </w:rPr>
        <w:t xml:space="preserve">Administrative </w:t>
      </w:r>
      <w:r w:rsidR="006B1EDE" w:rsidRPr="00854FA9">
        <w:rPr>
          <w:rFonts w:ascii="Times New Roman" w:hAnsi="Times New Roman"/>
          <w:i/>
          <w:sz w:val="24"/>
          <w:szCs w:val="24"/>
        </w:rPr>
        <w:t>efficiency</w:t>
      </w:r>
    </w:p>
    <w:p w14:paraId="1C3524BF" w14:textId="5E6588CC" w:rsidR="0000480A" w:rsidRDefault="0000480A" w:rsidP="0000480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w:t>
      </w:r>
      <w:r w:rsidR="001B6231">
        <w:rPr>
          <w:rFonts w:ascii="Times New Roman" w:hAnsi="Times New Roman"/>
          <w:sz w:val="24"/>
          <w:szCs w:val="24"/>
        </w:rPr>
        <w:t>3</w:t>
      </w:r>
      <w:r>
        <w:rPr>
          <w:rFonts w:ascii="Times New Roman" w:hAnsi="Times New Roman"/>
          <w:sz w:val="24"/>
          <w:szCs w:val="24"/>
        </w:rPr>
        <w:t xml:space="preserve"> </w:t>
      </w:r>
      <w:r w:rsidR="00B82FF5">
        <w:rPr>
          <w:rFonts w:ascii="Times New Roman" w:hAnsi="Times New Roman"/>
          <w:sz w:val="24"/>
          <w:szCs w:val="24"/>
        </w:rPr>
        <w:t>would</w:t>
      </w:r>
      <w:r>
        <w:rPr>
          <w:rFonts w:ascii="Times New Roman" w:hAnsi="Times New Roman"/>
          <w:sz w:val="24"/>
          <w:szCs w:val="24"/>
        </w:rPr>
        <w:t xml:space="preserve"> </w:t>
      </w:r>
      <w:r w:rsidR="00CE24C7">
        <w:rPr>
          <w:rFonts w:ascii="Times New Roman" w:hAnsi="Times New Roman"/>
          <w:sz w:val="24"/>
          <w:szCs w:val="24"/>
        </w:rPr>
        <w:t xml:space="preserve">significantly </w:t>
      </w:r>
      <w:r>
        <w:rPr>
          <w:rFonts w:ascii="Times New Roman" w:hAnsi="Times New Roman"/>
          <w:sz w:val="24"/>
          <w:szCs w:val="24"/>
        </w:rPr>
        <w:t xml:space="preserve">reduce administrative costs for </w:t>
      </w:r>
      <w:r w:rsidR="005804FA">
        <w:rPr>
          <w:rFonts w:ascii="Times New Roman" w:hAnsi="Times New Roman"/>
          <w:sz w:val="24"/>
          <w:szCs w:val="24"/>
        </w:rPr>
        <w:t>the Government</w:t>
      </w:r>
      <w:r w:rsidR="00963DAA">
        <w:rPr>
          <w:rFonts w:ascii="Times New Roman" w:hAnsi="Times New Roman"/>
          <w:sz w:val="24"/>
          <w:szCs w:val="24"/>
        </w:rPr>
        <w:t xml:space="preserve"> compared with the status quo</w:t>
      </w:r>
      <w:r>
        <w:rPr>
          <w:rFonts w:ascii="Times New Roman" w:hAnsi="Times New Roman"/>
          <w:sz w:val="24"/>
          <w:szCs w:val="24"/>
        </w:rPr>
        <w:t xml:space="preserve">.  The reduced costs </w:t>
      </w:r>
      <w:r w:rsidR="00B82FF5">
        <w:rPr>
          <w:rFonts w:ascii="Times New Roman" w:hAnsi="Times New Roman"/>
          <w:sz w:val="24"/>
          <w:szCs w:val="24"/>
        </w:rPr>
        <w:t>would</w:t>
      </w:r>
      <w:r w:rsidR="006B1EDE">
        <w:rPr>
          <w:rFonts w:ascii="Times New Roman" w:hAnsi="Times New Roman"/>
          <w:sz w:val="24"/>
          <w:szCs w:val="24"/>
        </w:rPr>
        <w:t xml:space="preserve"> come </w:t>
      </w:r>
      <w:r w:rsidR="00CE03DC">
        <w:rPr>
          <w:rFonts w:ascii="Times New Roman" w:hAnsi="Times New Roman"/>
          <w:sz w:val="24"/>
          <w:szCs w:val="24"/>
        </w:rPr>
        <w:t xml:space="preserve">from the reduction in </w:t>
      </w:r>
      <w:r>
        <w:rPr>
          <w:rFonts w:ascii="Times New Roman" w:hAnsi="Times New Roman"/>
          <w:sz w:val="24"/>
          <w:szCs w:val="24"/>
        </w:rPr>
        <w:t xml:space="preserve">resources needed to be committed to the process for remedying the issues.  </w:t>
      </w:r>
      <w:r w:rsidR="001B6231">
        <w:rPr>
          <w:rFonts w:ascii="Times New Roman" w:hAnsi="Times New Roman"/>
          <w:sz w:val="24"/>
          <w:szCs w:val="24"/>
        </w:rPr>
        <w:t xml:space="preserve">This </w:t>
      </w:r>
      <w:r w:rsidR="00B82FF5">
        <w:rPr>
          <w:rFonts w:ascii="Times New Roman" w:hAnsi="Times New Roman"/>
          <w:sz w:val="24"/>
          <w:szCs w:val="24"/>
        </w:rPr>
        <w:t>would</w:t>
      </w:r>
      <w:r w:rsidR="001B6231">
        <w:rPr>
          <w:rFonts w:ascii="Times New Roman" w:hAnsi="Times New Roman"/>
          <w:sz w:val="24"/>
          <w:szCs w:val="24"/>
        </w:rPr>
        <w:t xml:space="preserve"> be especially the case for minor issues when they are remedied by delegated regulations.  </w:t>
      </w:r>
      <w:r>
        <w:rPr>
          <w:rFonts w:ascii="Times New Roman" w:hAnsi="Times New Roman"/>
          <w:sz w:val="24"/>
          <w:szCs w:val="24"/>
        </w:rPr>
        <w:t xml:space="preserve">The reduction in delays </w:t>
      </w:r>
      <w:r w:rsidR="00B82FF5">
        <w:rPr>
          <w:rFonts w:ascii="Times New Roman" w:hAnsi="Times New Roman"/>
          <w:sz w:val="24"/>
          <w:szCs w:val="24"/>
        </w:rPr>
        <w:t>would</w:t>
      </w:r>
      <w:r>
        <w:rPr>
          <w:rFonts w:ascii="Times New Roman" w:hAnsi="Times New Roman"/>
          <w:sz w:val="24"/>
          <w:szCs w:val="24"/>
        </w:rPr>
        <w:t xml:space="preserve"> mean that Inland Revenue </w:t>
      </w:r>
      <w:r w:rsidR="00B82FF5">
        <w:rPr>
          <w:rFonts w:ascii="Times New Roman" w:hAnsi="Times New Roman"/>
          <w:sz w:val="24"/>
          <w:szCs w:val="24"/>
        </w:rPr>
        <w:t>could</w:t>
      </w:r>
      <w:r>
        <w:rPr>
          <w:rFonts w:ascii="Times New Roman" w:hAnsi="Times New Roman"/>
          <w:sz w:val="24"/>
          <w:szCs w:val="24"/>
        </w:rPr>
        <w:t xml:space="preserve"> more quickly deal with issues which should reduce the resources needed to assist taxpayers during the periods of uncertainty.  </w:t>
      </w:r>
    </w:p>
    <w:p w14:paraId="3DCF68D0" w14:textId="77777777" w:rsidR="0000480A" w:rsidRDefault="0000480A" w:rsidP="0000480A">
      <w:pPr>
        <w:pStyle w:val="Bullet-list"/>
        <w:spacing w:after="0" w:line="240" w:lineRule="auto"/>
        <w:jc w:val="both"/>
        <w:rPr>
          <w:rFonts w:ascii="Times New Roman" w:hAnsi="Times New Roman"/>
          <w:sz w:val="24"/>
          <w:szCs w:val="24"/>
        </w:rPr>
      </w:pPr>
    </w:p>
    <w:p w14:paraId="58F4BA98" w14:textId="494C5915" w:rsidR="0000480A" w:rsidRDefault="0000480A" w:rsidP="0000480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intention </w:t>
      </w:r>
      <w:r w:rsidR="006B1EDE">
        <w:rPr>
          <w:rFonts w:ascii="Times New Roman" w:hAnsi="Times New Roman"/>
          <w:sz w:val="24"/>
          <w:szCs w:val="24"/>
        </w:rPr>
        <w:t>would be</w:t>
      </w:r>
      <w:r>
        <w:rPr>
          <w:rFonts w:ascii="Times New Roman" w:hAnsi="Times New Roman"/>
          <w:sz w:val="24"/>
          <w:szCs w:val="24"/>
        </w:rPr>
        <w:t xml:space="preserve"> to amend the primary legislation </w:t>
      </w:r>
      <w:r w:rsidR="006B1EDE">
        <w:rPr>
          <w:rFonts w:ascii="Times New Roman" w:hAnsi="Times New Roman"/>
          <w:sz w:val="24"/>
          <w:szCs w:val="24"/>
        </w:rPr>
        <w:t xml:space="preserve">via an amendment Act </w:t>
      </w:r>
      <w:r>
        <w:rPr>
          <w:rFonts w:ascii="Times New Roman" w:hAnsi="Times New Roman"/>
          <w:sz w:val="24"/>
          <w:szCs w:val="24"/>
        </w:rPr>
        <w:t xml:space="preserve">for any issues that are ongoing.  This </w:t>
      </w:r>
      <w:r w:rsidR="00B82FF5">
        <w:rPr>
          <w:rFonts w:ascii="Times New Roman" w:hAnsi="Times New Roman"/>
          <w:sz w:val="24"/>
          <w:szCs w:val="24"/>
        </w:rPr>
        <w:t>would</w:t>
      </w:r>
      <w:r>
        <w:rPr>
          <w:rFonts w:ascii="Times New Roman" w:hAnsi="Times New Roman"/>
          <w:sz w:val="24"/>
          <w:szCs w:val="24"/>
        </w:rPr>
        <w:t xml:space="preserve"> mean that for some transitional issues both the regulation</w:t>
      </w:r>
      <w:r w:rsidR="006B1EDE">
        <w:rPr>
          <w:rFonts w:ascii="Times New Roman" w:hAnsi="Times New Roman"/>
          <w:sz w:val="24"/>
          <w:szCs w:val="24"/>
        </w:rPr>
        <w:t>-making</w:t>
      </w:r>
      <w:r>
        <w:rPr>
          <w:rFonts w:ascii="Times New Roman" w:hAnsi="Times New Roman"/>
          <w:sz w:val="24"/>
          <w:szCs w:val="24"/>
        </w:rPr>
        <w:t xml:space="preserve"> process and the </w:t>
      </w:r>
      <w:r w:rsidR="006B1EDE">
        <w:rPr>
          <w:rFonts w:ascii="Times New Roman" w:hAnsi="Times New Roman"/>
          <w:sz w:val="24"/>
          <w:szCs w:val="24"/>
        </w:rPr>
        <w:t>parliamentary</w:t>
      </w:r>
      <w:r>
        <w:rPr>
          <w:rFonts w:ascii="Times New Roman" w:hAnsi="Times New Roman"/>
          <w:sz w:val="24"/>
          <w:szCs w:val="24"/>
        </w:rPr>
        <w:t xml:space="preserve"> process </w:t>
      </w:r>
      <w:r w:rsidR="00B82FF5">
        <w:rPr>
          <w:rFonts w:ascii="Times New Roman" w:hAnsi="Times New Roman"/>
          <w:sz w:val="24"/>
          <w:szCs w:val="24"/>
        </w:rPr>
        <w:t>would</w:t>
      </w:r>
      <w:r>
        <w:rPr>
          <w:rFonts w:ascii="Times New Roman" w:hAnsi="Times New Roman"/>
          <w:sz w:val="24"/>
          <w:szCs w:val="24"/>
        </w:rPr>
        <w:t xml:space="preserve"> need to be completed.  This duplication of effort </w:t>
      </w:r>
      <w:r w:rsidR="00B82FF5">
        <w:rPr>
          <w:rFonts w:ascii="Times New Roman" w:hAnsi="Times New Roman"/>
          <w:sz w:val="24"/>
          <w:szCs w:val="24"/>
        </w:rPr>
        <w:t>would</w:t>
      </w:r>
      <w:r>
        <w:rPr>
          <w:rFonts w:ascii="Times New Roman" w:hAnsi="Times New Roman"/>
          <w:sz w:val="24"/>
          <w:szCs w:val="24"/>
        </w:rPr>
        <w:t xml:space="preserve"> </w:t>
      </w:r>
      <w:r w:rsidR="006B1EDE">
        <w:rPr>
          <w:rFonts w:ascii="Times New Roman" w:hAnsi="Times New Roman"/>
          <w:sz w:val="24"/>
          <w:szCs w:val="24"/>
        </w:rPr>
        <w:t>give rise to</w:t>
      </w:r>
      <w:r>
        <w:rPr>
          <w:rFonts w:ascii="Times New Roman" w:hAnsi="Times New Roman"/>
          <w:sz w:val="24"/>
          <w:szCs w:val="24"/>
        </w:rPr>
        <w:t xml:space="preserve"> administrative costs</w:t>
      </w:r>
      <w:r w:rsidR="00CE03DC">
        <w:rPr>
          <w:rFonts w:ascii="Times New Roman" w:hAnsi="Times New Roman"/>
          <w:sz w:val="24"/>
          <w:szCs w:val="24"/>
        </w:rPr>
        <w:t xml:space="preserve"> for Inland Revenue</w:t>
      </w:r>
      <w:r>
        <w:rPr>
          <w:rFonts w:ascii="Times New Roman" w:hAnsi="Times New Roman"/>
          <w:sz w:val="24"/>
          <w:szCs w:val="24"/>
        </w:rPr>
        <w:t>.</w:t>
      </w:r>
    </w:p>
    <w:p w14:paraId="5DE99D0B" w14:textId="77777777" w:rsidR="001333A0" w:rsidRDefault="001333A0" w:rsidP="00AB456E">
      <w:pPr>
        <w:pStyle w:val="ListParagraph"/>
        <w:rPr>
          <w:rFonts w:ascii="Times New Roman" w:hAnsi="Times New Roman"/>
          <w:sz w:val="24"/>
          <w:szCs w:val="24"/>
        </w:rPr>
      </w:pPr>
    </w:p>
    <w:p w14:paraId="663A9AE4" w14:textId="7673020C" w:rsidR="001333A0" w:rsidRDefault="001333A0" w:rsidP="001333A0">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Option 3 would incur Executive and parliamentary costs in enacting the empowering provision.  However, option 3 would require less parliamentary resources on an ongoing basis because some issues would be able to be remedied by Order in Council or delegated regulations.  Executive resources would still be needed to deal with the Orders in Council but this would be less than under option 2.  Inland Revenue resources would be needed to deal with the making of any delegated regulations.</w:t>
      </w:r>
    </w:p>
    <w:p w14:paraId="3FA73A8D" w14:textId="77777777" w:rsidR="0000480A" w:rsidRDefault="0000480A" w:rsidP="0000480A">
      <w:pPr>
        <w:pStyle w:val="ListParagraph"/>
        <w:rPr>
          <w:rFonts w:ascii="Times New Roman" w:hAnsi="Times New Roman"/>
          <w:sz w:val="24"/>
          <w:szCs w:val="24"/>
        </w:rPr>
      </w:pPr>
    </w:p>
    <w:p w14:paraId="0D7E0B31" w14:textId="77777777" w:rsidR="0000480A" w:rsidRPr="00854FA9" w:rsidRDefault="0000480A" w:rsidP="00854FA9">
      <w:pPr>
        <w:rPr>
          <w:rFonts w:ascii="Times New Roman" w:hAnsi="Times New Roman"/>
          <w:sz w:val="24"/>
          <w:szCs w:val="24"/>
        </w:rPr>
      </w:pPr>
      <w:r w:rsidRPr="00854FA9">
        <w:rPr>
          <w:rFonts w:ascii="Times New Roman" w:hAnsi="Times New Roman"/>
          <w:i/>
          <w:sz w:val="24"/>
          <w:szCs w:val="24"/>
        </w:rPr>
        <w:t>Sustainability</w:t>
      </w:r>
    </w:p>
    <w:p w14:paraId="2B778516" w14:textId="6DE85329" w:rsidR="006D5897" w:rsidRDefault="009655A1" w:rsidP="006D5897">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Inland Revenue considers the use of both Orders in Council and delegated regulations would reduce the sustainability of the tax system compared to the status quo</w:t>
      </w:r>
      <w:r w:rsidR="006D5897">
        <w:rPr>
          <w:rFonts w:ascii="Times New Roman" w:hAnsi="Times New Roman"/>
          <w:sz w:val="24"/>
          <w:szCs w:val="24"/>
        </w:rPr>
        <w:t>.</w:t>
      </w:r>
    </w:p>
    <w:p w14:paraId="3DF38443" w14:textId="77777777" w:rsidR="00F04527" w:rsidRDefault="00F04527" w:rsidP="00F04527">
      <w:pPr>
        <w:pStyle w:val="Bullet-list"/>
        <w:spacing w:after="0" w:line="240" w:lineRule="auto"/>
        <w:jc w:val="both"/>
        <w:rPr>
          <w:rFonts w:ascii="Times New Roman" w:hAnsi="Times New Roman"/>
          <w:sz w:val="24"/>
          <w:szCs w:val="24"/>
        </w:rPr>
      </w:pPr>
    </w:p>
    <w:p w14:paraId="4781472B" w14:textId="191DB0A5" w:rsidR="0000480A" w:rsidRDefault="0000480A" w:rsidP="0000480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Under option </w:t>
      </w:r>
      <w:r w:rsidR="001B6231">
        <w:rPr>
          <w:rFonts w:ascii="Times New Roman" w:hAnsi="Times New Roman"/>
          <w:sz w:val="24"/>
          <w:szCs w:val="24"/>
        </w:rPr>
        <w:t>3</w:t>
      </w:r>
      <w:r w:rsidR="00FE6CE6">
        <w:rPr>
          <w:rFonts w:ascii="Times New Roman" w:hAnsi="Times New Roman"/>
          <w:sz w:val="24"/>
          <w:szCs w:val="24"/>
        </w:rPr>
        <w:t xml:space="preserve"> </w:t>
      </w:r>
      <w:r>
        <w:rPr>
          <w:rFonts w:ascii="Times New Roman" w:hAnsi="Times New Roman"/>
          <w:sz w:val="24"/>
          <w:szCs w:val="24"/>
        </w:rPr>
        <w:t xml:space="preserve">the full </w:t>
      </w:r>
      <w:r w:rsidR="006B1EDE">
        <w:rPr>
          <w:rFonts w:ascii="Times New Roman" w:hAnsi="Times New Roman"/>
          <w:sz w:val="24"/>
          <w:szCs w:val="24"/>
        </w:rPr>
        <w:t>parliamentary</w:t>
      </w:r>
      <w:r>
        <w:rPr>
          <w:rFonts w:ascii="Times New Roman" w:hAnsi="Times New Roman"/>
          <w:sz w:val="24"/>
          <w:szCs w:val="24"/>
        </w:rPr>
        <w:t xml:space="preserve"> process </w:t>
      </w:r>
      <w:r w:rsidR="00F54EC7">
        <w:rPr>
          <w:rFonts w:ascii="Times New Roman" w:hAnsi="Times New Roman"/>
          <w:sz w:val="24"/>
          <w:szCs w:val="24"/>
        </w:rPr>
        <w:t>may</w:t>
      </w:r>
      <w:r>
        <w:rPr>
          <w:rFonts w:ascii="Times New Roman" w:hAnsi="Times New Roman"/>
          <w:sz w:val="24"/>
          <w:szCs w:val="24"/>
        </w:rPr>
        <w:t xml:space="preserve"> not be followed (at least initially).  This means there </w:t>
      </w:r>
      <w:r w:rsidR="006B1EDE">
        <w:rPr>
          <w:rFonts w:ascii="Times New Roman" w:hAnsi="Times New Roman"/>
          <w:sz w:val="24"/>
          <w:szCs w:val="24"/>
        </w:rPr>
        <w:t>would be</w:t>
      </w:r>
      <w:r>
        <w:rPr>
          <w:rFonts w:ascii="Times New Roman" w:hAnsi="Times New Roman"/>
          <w:sz w:val="24"/>
          <w:szCs w:val="24"/>
        </w:rPr>
        <w:t xml:space="preserve"> a risk of some incoherence.  This could arise from a remedial regulation not undergoing the same level of scrutiny as a statutory amendment, and so there is a risk it </w:t>
      </w:r>
      <w:r w:rsidR="00B82FF5">
        <w:rPr>
          <w:rFonts w:ascii="Times New Roman" w:hAnsi="Times New Roman"/>
          <w:sz w:val="24"/>
          <w:szCs w:val="24"/>
        </w:rPr>
        <w:t>would</w:t>
      </w:r>
      <w:r>
        <w:rPr>
          <w:rFonts w:ascii="Times New Roman" w:hAnsi="Times New Roman"/>
          <w:sz w:val="24"/>
          <w:szCs w:val="24"/>
        </w:rPr>
        <w:t xml:space="preserve"> lack the appreciation of the broader context.  </w:t>
      </w:r>
      <w:r w:rsidR="001B6231">
        <w:rPr>
          <w:rFonts w:ascii="Times New Roman" w:hAnsi="Times New Roman"/>
          <w:sz w:val="24"/>
          <w:szCs w:val="24"/>
        </w:rPr>
        <w:t xml:space="preserve">This </w:t>
      </w:r>
      <w:r w:rsidR="00B82FF5">
        <w:rPr>
          <w:rFonts w:ascii="Times New Roman" w:hAnsi="Times New Roman"/>
          <w:sz w:val="24"/>
          <w:szCs w:val="24"/>
        </w:rPr>
        <w:t>would</w:t>
      </w:r>
      <w:r w:rsidR="001B6231">
        <w:rPr>
          <w:rFonts w:ascii="Times New Roman" w:hAnsi="Times New Roman"/>
          <w:sz w:val="24"/>
          <w:szCs w:val="24"/>
        </w:rPr>
        <w:t xml:space="preserve"> especially be the case for delegated regulations which </w:t>
      </w:r>
      <w:r w:rsidR="00B82FF5">
        <w:rPr>
          <w:rFonts w:ascii="Times New Roman" w:hAnsi="Times New Roman"/>
          <w:sz w:val="24"/>
          <w:szCs w:val="24"/>
        </w:rPr>
        <w:t>would</w:t>
      </w:r>
      <w:r w:rsidR="001B6231">
        <w:rPr>
          <w:rFonts w:ascii="Times New Roman" w:hAnsi="Times New Roman"/>
          <w:sz w:val="24"/>
          <w:szCs w:val="24"/>
        </w:rPr>
        <w:t xml:space="preserve"> not undergo the same level of scrutiny as either Order</w:t>
      </w:r>
      <w:r w:rsidR="001613EB">
        <w:rPr>
          <w:rFonts w:ascii="Times New Roman" w:hAnsi="Times New Roman"/>
          <w:sz w:val="24"/>
          <w:szCs w:val="24"/>
        </w:rPr>
        <w:t>s in Council</w:t>
      </w:r>
      <w:r w:rsidR="001B6231">
        <w:rPr>
          <w:rFonts w:ascii="Times New Roman" w:hAnsi="Times New Roman"/>
          <w:sz w:val="24"/>
          <w:szCs w:val="24"/>
        </w:rPr>
        <w:t xml:space="preserve"> or amendment Acts.  </w:t>
      </w:r>
      <w:r>
        <w:rPr>
          <w:rFonts w:ascii="Times New Roman" w:hAnsi="Times New Roman"/>
          <w:sz w:val="24"/>
          <w:szCs w:val="24"/>
        </w:rPr>
        <w:t xml:space="preserve">Taxpayers </w:t>
      </w:r>
      <w:r w:rsidR="00B82FF5">
        <w:rPr>
          <w:rFonts w:ascii="Times New Roman" w:hAnsi="Times New Roman"/>
          <w:sz w:val="24"/>
          <w:szCs w:val="24"/>
        </w:rPr>
        <w:t>would</w:t>
      </w:r>
      <w:r>
        <w:rPr>
          <w:rFonts w:ascii="Times New Roman" w:hAnsi="Times New Roman"/>
          <w:sz w:val="24"/>
          <w:szCs w:val="24"/>
        </w:rPr>
        <w:t xml:space="preserve"> need to interpret the primary legislation</w:t>
      </w:r>
      <w:r w:rsidR="001B6231">
        <w:rPr>
          <w:rFonts w:ascii="Times New Roman" w:hAnsi="Times New Roman"/>
          <w:sz w:val="24"/>
          <w:szCs w:val="24"/>
        </w:rPr>
        <w:t>, any Orders in Council and any delegated regulations</w:t>
      </w:r>
      <w:r>
        <w:rPr>
          <w:rFonts w:ascii="Times New Roman" w:hAnsi="Times New Roman"/>
          <w:sz w:val="24"/>
          <w:szCs w:val="24"/>
        </w:rPr>
        <w:t xml:space="preserve">, and there </w:t>
      </w:r>
      <w:r w:rsidR="006B1EDE">
        <w:rPr>
          <w:rFonts w:ascii="Times New Roman" w:hAnsi="Times New Roman"/>
          <w:sz w:val="24"/>
          <w:szCs w:val="24"/>
        </w:rPr>
        <w:t>would be</w:t>
      </w:r>
      <w:r>
        <w:rPr>
          <w:rFonts w:ascii="Times New Roman" w:hAnsi="Times New Roman"/>
          <w:sz w:val="24"/>
          <w:szCs w:val="24"/>
        </w:rPr>
        <w:t xml:space="preserve"> a </w:t>
      </w:r>
      <w:r w:rsidR="001B6231">
        <w:rPr>
          <w:rFonts w:ascii="Times New Roman" w:hAnsi="Times New Roman"/>
          <w:sz w:val="24"/>
          <w:szCs w:val="24"/>
        </w:rPr>
        <w:t xml:space="preserve">reasonable </w:t>
      </w:r>
      <w:r>
        <w:rPr>
          <w:rFonts w:ascii="Times New Roman" w:hAnsi="Times New Roman"/>
          <w:sz w:val="24"/>
          <w:szCs w:val="24"/>
        </w:rPr>
        <w:t xml:space="preserve">risk the remedy </w:t>
      </w:r>
      <w:r w:rsidR="00B82FF5">
        <w:rPr>
          <w:rFonts w:ascii="Times New Roman" w:hAnsi="Times New Roman"/>
          <w:sz w:val="24"/>
          <w:szCs w:val="24"/>
        </w:rPr>
        <w:t>would</w:t>
      </w:r>
      <w:r>
        <w:rPr>
          <w:rFonts w:ascii="Times New Roman" w:hAnsi="Times New Roman"/>
          <w:sz w:val="24"/>
          <w:szCs w:val="24"/>
        </w:rPr>
        <w:t xml:space="preserve"> be in conflict </w:t>
      </w:r>
      <w:r w:rsidR="001311CF">
        <w:rPr>
          <w:rFonts w:ascii="Times New Roman" w:hAnsi="Times New Roman"/>
          <w:sz w:val="24"/>
          <w:szCs w:val="24"/>
        </w:rPr>
        <w:t>with the intent of</w:t>
      </w:r>
      <w:r>
        <w:rPr>
          <w:rFonts w:ascii="Times New Roman" w:hAnsi="Times New Roman"/>
          <w:sz w:val="24"/>
          <w:szCs w:val="24"/>
        </w:rPr>
        <w:t xml:space="preserve"> some other provision in the Act.  </w:t>
      </w:r>
      <w:r w:rsidR="001311CF">
        <w:rPr>
          <w:rFonts w:ascii="Times New Roman" w:hAnsi="Times New Roman"/>
          <w:sz w:val="24"/>
          <w:szCs w:val="24"/>
        </w:rPr>
        <w:t>If the regulation was in conflict with the policy intent it would be ultra vires.</w:t>
      </w:r>
    </w:p>
    <w:p w14:paraId="459427D8" w14:textId="77777777" w:rsidR="0000480A" w:rsidRDefault="0000480A" w:rsidP="0000480A">
      <w:pPr>
        <w:pStyle w:val="Bullet-list"/>
        <w:spacing w:after="0" w:line="240" w:lineRule="auto"/>
        <w:jc w:val="both"/>
        <w:rPr>
          <w:rFonts w:ascii="Times New Roman" w:hAnsi="Times New Roman"/>
          <w:sz w:val="24"/>
          <w:szCs w:val="24"/>
        </w:rPr>
      </w:pPr>
    </w:p>
    <w:p w14:paraId="5FC96089" w14:textId="04B87300" w:rsidR="0000480A" w:rsidRDefault="0000480A" w:rsidP="0000480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regulation-making process </w:t>
      </w:r>
      <w:r w:rsidR="006B1EDE">
        <w:rPr>
          <w:rFonts w:ascii="Times New Roman" w:hAnsi="Times New Roman"/>
          <w:sz w:val="24"/>
          <w:szCs w:val="24"/>
        </w:rPr>
        <w:t>would</w:t>
      </w:r>
      <w:r>
        <w:rPr>
          <w:rFonts w:ascii="Times New Roman" w:hAnsi="Times New Roman"/>
          <w:sz w:val="24"/>
          <w:szCs w:val="24"/>
        </w:rPr>
        <w:t xml:space="preserve"> not provide the same level of certainty as the </w:t>
      </w:r>
      <w:r w:rsidR="006B1EDE">
        <w:rPr>
          <w:rFonts w:ascii="Times New Roman" w:hAnsi="Times New Roman"/>
          <w:sz w:val="24"/>
          <w:szCs w:val="24"/>
        </w:rPr>
        <w:t>parliamentary</w:t>
      </w:r>
      <w:r>
        <w:rPr>
          <w:rFonts w:ascii="Times New Roman" w:hAnsi="Times New Roman"/>
          <w:sz w:val="24"/>
          <w:szCs w:val="24"/>
        </w:rPr>
        <w:t xml:space="preserve"> process</w:t>
      </w:r>
      <w:r w:rsidR="00077222">
        <w:rPr>
          <w:rFonts w:ascii="Times New Roman" w:hAnsi="Times New Roman"/>
          <w:sz w:val="24"/>
          <w:szCs w:val="24"/>
        </w:rPr>
        <w:t>, as b</w:t>
      </w:r>
      <w:r w:rsidR="00FF0353">
        <w:rPr>
          <w:rFonts w:ascii="Times New Roman" w:hAnsi="Times New Roman"/>
          <w:sz w:val="24"/>
          <w:szCs w:val="24"/>
        </w:rPr>
        <w:t xml:space="preserve">oth Orders in Council and delegated regulations </w:t>
      </w:r>
      <w:r>
        <w:rPr>
          <w:rFonts w:ascii="Times New Roman" w:hAnsi="Times New Roman"/>
          <w:sz w:val="24"/>
          <w:szCs w:val="24"/>
        </w:rPr>
        <w:t>are subject to parliamentary disallowance and judicial review.  Further, the speed by which regulations are made means there is a</w:t>
      </w:r>
      <w:r w:rsidR="00AB09C5">
        <w:rPr>
          <w:rFonts w:ascii="Times New Roman" w:hAnsi="Times New Roman"/>
          <w:sz w:val="24"/>
          <w:szCs w:val="24"/>
        </w:rPr>
        <w:t>n increased</w:t>
      </w:r>
      <w:r>
        <w:rPr>
          <w:rFonts w:ascii="Times New Roman" w:hAnsi="Times New Roman"/>
          <w:sz w:val="24"/>
          <w:szCs w:val="24"/>
        </w:rPr>
        <w:t xml:space="preserve"> risk of mistake</w:t>
      </w:r>
      <w:r w:rsidR="006B1EDE">
        <w:rPr>
          <w:rFonts w:ascii="Times New Roman" w:hAnsi="Times New Roman"/>
          <w:sz w:val="24"/>
          <w:szCs w:val="24"/>
        </w:rPr>
        <w:t>s</w:t>
      </w:r>
      <w:r>
        <w:rPr>
          <w:rFonts w:ascii="Times New Roman" w:hAnsi="Times New Roman"/>
          <w:sz w:val="24"/>
          <w:szCs w:val="24"/>
        </w:rPr>
        <w:t xml:space="preserve">.  </w:t>
      </w:r>
      <w:r w:rsidR="00091D44">
        <w:rPr>
          <w:rFonts w:ascii="Times New Roman" w:hAnsi="Times New Roman"/>
          <w:sz w:val="24"/>
          <w:szCs w:val="24"/>
        </w:rPr>
        <w:t>Owing</w:t>
      </w:r>
      <w:r w:rsidR="006B1EDE">
        <w:rPr>
          <w:rFonts w:ascii="Times New Roman" w:hAnsi="Times New Roman"/>
          <w:sz w:val="24"/>
          <w:szCs w:val="24"/>
        </w:rPr>
        <w:t xml:space="preserve"> to the</w:t>
      </w:r>
      <w:r w:rsidR="00FF0353">
        <w:rPr>
          <w:rFonts w:ascii="Times New Roman" w:hAnsi="Times New Roman"/>
          <w:sz w:val="24"/>
          <w:szCs w:val="24"/>
        </w:rPr>
        <w:t xml:space="preserve"> reduced scrutiny for delegated regulations the risk </w:t>
      </w:r>
      <w:r w:rsidR="006B1EDE">
        <w:rPr>
          <w:rFonts w:ascii="Times New Roman" w:hAnsi="Times New Roman"/>
          <w:sz w:val="24"/>
          <w:szCs w:val="24"/>
        </w:rPr>
        <w:t>would be</w:t>
      </w:r>
      <w:r w:rsidR="00FF0353">
        <w:rPr>
          <w:rFonts w:ascii="Times New Roman" w:hAnsi="Times New Roman"/>
          <w:sz w:val="24"/>
          <w:szCs w:val="24"/>
        </w:rPr>
        <w:t xml:space="preserve"> increased</w:t>
      </w:r>
      <w:r w:rsidR="00077222">
        <w:rPr>
          <w:rFonts w:ascii="Times New Roman" w:hAnsi="Times New Roman"/>
          <w:sz w:val="24"/>
          <w:szCs w:val="24"/>
        </w:rPr>
        <w:t xml:space="preserve"> compared to option 2</w:t>
      </w:r>
      <w:r w:rsidR="00FF0353">
        <w:rPr>
          <w:rFonts w:ascii="Times New Roman" w:hAnsi="Times New Roman"/>
          <w:sz w:val="24"/>
          <w:szCs w:val="24"/>
        </w:rPr>
        <w:t xml:space="preserve">.  </w:t>
      </w:r>
      <w:r>
        <w:rPr>
          <w:rFonts w:ascii="Times New Roman" w:hAnsi="Times New Roman"/>
          <w:sz w:val="24"/>
          <w:szCs w:val="24"/>
        </w:rPr>
        <w:t xml:space="preserve">This means there </w:t>
      </w:r>
      <w:r w:rsidR="006B1EDE">
        <w:rPr>
          <w:rFonts w:ascii="Times New Roman" w:hAnsi="Times New Roman"/>
          <w:sz w:val="24"/>
          <w:szCs w:val="24"/>
        </w:rPr>
        <w:t>would be</w:t>
      </w:r>
      <w:r>
        <w:rPr>
          <w:rFonts w:ascii="Times New Roman" w:hAnsi="Times New Roman"/>
          <w:sz w:val="24"/>
          <w:szCs w:val="24"/>
        </w:rPr>
        <w:t xml:space="preserve"> a </w:t>
      </w:r>
      <w:r w:rsidR="00FF0353">
        <w:rPr>
          <w:rFonts w:ascii="Times New Roman" w:hAnsi="Times New Roman"/>
          <w:sz w:val="24"/>
          <w:szCs w:val="24"/>
        </w:rPr>
        <w:t xml:space="preserve">reasonable </w:t>
      </w:r>
      <w:r>
        <w:rPr>
          <w:rFonts w:ascii="Times New Roman" w:hAnsi="Times New Roman"/>
          <w:sz w:val="24"/>
          <w:szCs w:val="24"/>
        </w:rPr>
        <w:t xml:space="preserve">risk to the integrity to the tax system </w:t>
      </w:r>
      <w:r w:rsidR="00FF0353">
        <w:rPr>
          <w:rFonts w:ascii="Times New Roman" w:hAnsi="Times New Roman"/>
          <w:sz w:val="24"/>
          <w:szCs w:val="24"/>
        </w:rPr>
        <w:t>of</w:t>
      </w:r>
      <w:r>
        <w:rPr>
          <w:rFonts w:ascii="Times New Roman" w:hAnsi="Times New Roman"/>
          <w:sz w:val="24"/>
          <w:szCs w:val="24"/>
        </w:rPr>
        <w:t xml:space="preserve"> the remedy </w:t>
      </w:r>
      <w:r w:rsidR="00FF0353">
        <w:rPr>
          <w:rFonts w:ascii="Times New Roman" w:hAnsi="Times New Roman"/>
          <w:sz w:val="24"/>
          <w:szCs w:val="24"/>
        </w:rPr>
        <w:t>being</w:t>
      </w:r>
      <w:r>
        <w:rPr>
          <w:rFonts w:ascii="Times New Roman" w:hAnsi="Times New Roman"/>
          <w:sz w:val="24"/>
          <w:szCs w:val="24"/>
        </w:rPr>
        <w:t xml:space="preserve"> overturned, and taxpayers’ expectations </w:t>
      </w:r>
      <w:r w:rsidR="00FF0353">
        <w:rPr>
          <w:rFonts w:ascii="Times New Roman" w:hAnsi="Times New Roman"/>
          <w:sz w:val="24"/>
          <w:szCs w:val="24"/>
        </w:rPr>
        <w:t>being</w:t>
      </w:r>
      <w:r>
        <w:rPr>
          <w:rFonts w:ascii="Times New Roman" w:hAnsi="Times New Roman"/>
          <w:sz w:val="24"/>
          <w:szCs w:val="24"/>
        </w:rPr>
        <w:t xml:space="preserve"> undermined.  Taxpayers may question the integrity of the tax legislation if it </w:t>
      </w:r>
      <w:r w:rsidR="00B82FF5">
        <w:rPr>
          <w:rFonts w:ascii="Times New Roman" w:hAnsi="Times New Roman"/>
          <w:sz w:val="24"/>
          <w:szCs w:val="24"/>
        </w:rPr>
        <w:t>could not</w:t>
      </w:r>
      <w:r>
        <w:rPr>
          <w:rFonts w:ascii="Times New Roman" w:hAnsi="Times New Roman"/>
          <w:sz w:val="24"/>
          <w:szCs w:val="24"/>
        </w:rPr>
        <w:t xml:space="preserve"> be relied on.</w:t>
      </w:r>
    </w:p>
    <w:p w14:paraId="7C31C23E" w14:textId="77777777" w:rsidR="001C37D3" w:rsidRDefault="001C37D3" w:rsidP="0000480A">
      <w:pPr>
        <w:pStyle w:val="ListParagraph"/>
        <w:rPr>
          <w:rFonts w:ascii="Times New Roman" w:hAnsi="Times New Roman"/>
          <w:sz w:val="24"/>
          <w:szCs w:val="24"/>
        </w:rPr>
      </w:pPr>
    </w:p>
    <w:p w14:paraId="69B38B4C" w14:textId="7A584498" w:rsidR="00A936A8" w:rsidRDefault="00A936A8" w:rsidP="00992AF4">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Using delegated regulations to deal with transitional issues is unprecedented and could risk </w:t>
      </w:r>
      <w:r w:rsidR="006B1EDE">
        <w:rPr>
          <w:rFonts w:ascii="Times New Roman" w:hAnsi="Times New Roman"/>
          <w:sz w:val="24"/>
          <w:szCs w:val="24"/>
        </w:rPr>
        <w:t xml:space="preserve">undermining </w:t>
      </w:r>
      <w:r>
        <w:rPr>
          <w:rFonts w:ascii="Times New Roman" w:hAnsi="Times New Roman"/>
          <w:sz w:val="24"/>
          <w:szCs w:val="24"/>
        </w:rPr>
        <w:t xml:space="preserve">the integrity of the tax system.  </w:t>
      </w:r>
      <w:r w:rsidR="001C37D3">
        <w:rPr>
          <w:rFonts w:ascii="Times New Roman" w:hAnsi="Times New Roman"/>
          <w:sz w:val="24"/>
          <w:szCs w:val="24"/>
        </w:rPr>
        <w:t xml:space="preserve">It could be considered to be inconsistent with </w:t>
      </w:r>
      <w:r w:rsidR="006B1EDE">
        <w:rPr>
          <w:rFonts w:ascii="Times New Roman" w:hAnsi="Times New Roman"/>
          <w:sz w:val="24"/>
          <w:szCs w:val="24"/>
        </w:rPr>
        <w:t>fundamental</w:t>
      </w:r>
      <w:r w:rsidR="001C37D3">
        <w:rPr>
          <w:rFonts w:ascii="Times New Roman" w:hAnsi="Times New Roman"/>
          <w:sz w:val="24"/>
          <w:szCs w:val="24"/>
        </w:rPr>
        <w:t xml:space="preserve"> constitutional principles to allow the Commissioner to override primary legislation with delegated regulations.  </w:t>
      </w:r>
      <w:r>
        <w:rPr>
          <w:rFonts w:ascii="Times New Roman" w:hAnsi="Times New Roman"/>
          <w:sz w:val="24"/>
          <w:szCs w:val="24"/>
        </w:rPr>
        <w:t xml:space="preserve">Taxpayers may have concerns </w:t>
      </w:r>
      <w:r w:rsidR="006B1EDE">
        <w:rPr>
          <w:rFonts w:ascii="Times New Roman" w:hAnsi="Times New Roman"/>
          <w:sz w:val="24"/>
          <w:szCs w:val="24"/>
        </w:rPr>
        <w:t xml:space="preserve">about </w:t>
      </w:r>
      <w:r w:rsidR="00F72ABB">
        <w:rPr>
          <w:rFonts w:ascii="Times New Roman" w:hAnsi="Times New Roman"/>
          <w:sz w:val="24"/>
          <w:szCs w:val="24"/>
        </w:rPr>
        <w:t>whether the use of the approach is justified</w:t>
      </w:r>
      <w:r>
        <w:rPr>
          <w:rFonts w:ascii="Times New Roman" w:hAnsi="Times New Roman"/>
          <w:sz w:val="24"/>
          <w:szCs w:val="24"/>
        </w:rPr>
        <w:t xml:space="preserve"> and may question why it is being used.  </w:t>
      </w:r>
      <w:r w:rsidR="00992AF4">
        <w:rPr>
          <w:rFonts w:ascii="Times New Roman" w:hAnsi="Times New Roman"/>
          <w:sz w:val="24"/>
          <w:szCs w:val="24"/>
        </w:rPr>
        <w:t xml:space="preserve">This may risk </w:t>
      </w:r>
      <w:r w:rsidR="006B1EDE">
        <w:rPr>
          <w:rFonts w:ascii="Times New Roman" w:hAnsi="Times New Roman"/>
          <w:sz w:val="24"/>
          <w:szCs w:val="24"/>
        </w:rPr>
        <w:t>creating negative taxpayer perceptions about</w:t>
      </w:r>
      <w:r w:rsidR="00992AF4">
        <w:rPr>
          <w:rFonts w:ascii="Times New Roman" w:hAnsi="Times New Roman"/>
          <w:sz w:val="24"/>
          <w:szCs w:val="24"/>
        </w:rPr>
        <w:t xml:space="preserve"> the integrity of the remedies.</w:t>
      </w:r>
      <w:r w:rsidR="00783D49">
        <w:rPr>
          <w:rFonts w:ascii="Times New Roman" w:hAnsi="Times New Roman"/>
          <w:sz w:val="24"/>
          <w:szCs w:val="24"/>
        </w:rPr>
        <w:t xml:space="preserve">  It</w:t>
      </w:r>
      <w:r w:rsidR="006B1EDE">
        <w:rPr>
          <w:rFonts w:ascii="Times New Roman" w:hAnsi="Times New Roman"/>
          <w:sz w:val="24"/>
          <w:szCs w:val="24"/>
        </w:rPr>
        <w:t xml:space="preserve"> may also be seen as creating an undesirable </w:t>
      </w:r>
      <w:r w:rsidR="00783D49">
        <w:rPr>
          <w:rFonts w:ascii="Times New Roman" w:hAnsi="Times New Roman"/>
          <w:sz w:val="24"/>
          <w:szCs w:val="24"/>
        </w:rPr>
        <w:t>precedent for future changes to the tax system.</w:t>
      </w:r>
      <w:r w:rsidR="001C37D3">
        <w:rPr>
          <w:rFonts w:ascii="Times New Roman" w:hAnsi="Times New Roman"/>
          <w:sz w:val="24"/>
          <w:szCs w:val="24"/>
        </w:rPr>
        <w:t xml:space="preserve">  </w:t>
      </w:r>
    </w:p>
    <w:p w14:paraId="1B0B127B" w14:textId="77777777" w:rsidR="002833EC" w:rsidRDefault="002833EC" w:rsidP="00AB456E">
      <w:pPr>
        <w:pStyle w:val="ListParagraph"/>
        <w:rPr>
          <w:rFonts w:ascii="Times New Roman" w:hAnsi="Times New Roman"/>
          <w:sz w:val="24"/>
          <w:szCs w:val="24"/>
        </w:rPr>
      </w:pPr>
    </w:p>
    <w:p w14:paraId="64AE0CC6" w14:textId="6E633C87" w:rsidR="002833EC" w:rsidRPr="002833EC" w:rsidRDefault="002833EC" w:rsidP="00AB456E">
      <w:pPr>
        <w:pStyle w:val="Bullet-list"/>
        <w:numPr>
          <w:ilvl w:val="0"/>
          <w:numId w:val="12"/>
        </w:numPr>
        <w:spacing w:after="0" w:line="240" w:lineRule="auto"/>
        <w:ind w:left="0" w:firstLine="0"/>
        <w:jc w:val="both"/>
        <w:rPr>
          <w:rFonts w:ascii="Times New Roman" w:hAnsi="Times New Roman"/>
          <w:sz w:val="24"/>
          <w:szCs w:val="24"/>
        </w:rPr>
      </w:pPr>
      <w:r w:rsidRPr="002833EC">
        <w:rPr>
          <w:rFonts w:ascii="Times New Roman" w:hAnsi="Times New Roman"/>
          <w:sz w:val="24"/>
          <w:szCs w:val="24"/>
        </w:rPr>
        <w:t xml:space="preserve">There is a risk that the incentive on the Government </w:t>
      </w:r>
      <w:r>
        <w:rPr>
          <w:rFonts w:ascii="Times New Roman" w:hAnsi="Times New Roman"/>
          <w:sz w:val="24"/>
          <w:szCs w:val="24"/>
        </w:rPr>
        <w:t xml:space="preserve">and the Commissioner </w:t>
      </w:r>
      <w:r w:rsidRPr="002833EC">
        <w:rPr>
          <w:rFonts w:ascii="Times New Roman" w:hAnsi="Times New Roman"/>
          <w:sz w:val="24"/>
          <w:szCs w:val="24"/>
        </w:rPr>
        <w:t>would be to use the regulation-making power when it would be more appropriate to remedy the issue by a legislative amendment.  However, as noted above, the scope of the regulation-making power is limited, and is subject to disallowance and judicial review, so Inland Revenue considers the relevant risk is low.</w:t>
      </w:r>
    </w:p>
    <w:p w14:paraId="27F3D8EC" w14:textId="77777777" w:rsidR="00A936A8" w:rsidRDefault="00A936A8" w:rsidP="0000480A">
      <w:pPr>
        <w:pStyle w:val="ListParagraph"/>
        <w:rPr>
          <w:rFonts w:ascii="Times New Roman" w:hAnsi="Times New Roman"/>
          <w:sz w:val="24"/>
          <w:szCs w:val="24"/>
        </w:rPr>
      </w:pPr>
    </w:p>
    <w:p w14:paraId="6C088AF2" w14:textId="775C3449" w:rsidR="0000480A" w:rsidRDefault="00FF0353" w:rsidP="0000480A">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Delegated regulations </w:t>
      </w:r>
      <w:r w:rsidR="00B82FF5">
        <w:rPr>
          <w:rFonts w:ascii="Times New Roman" w:hAnsi="Times New Roman"/>
          <w:sz w:val="24"/>
          <w:szCs w:val="24"/>
        </w:rPr>
        <w:t>would</w:t>
      </w:r>
      <w:r w:rsidR="0000480A">
        <w:rPr>
          <w:rFonts w:ascii="Times New Roman" w:hAnsi="Times New Roman"/>
          <w:sz w:val="24"/>
          <w:szCs w:val="24"/>
        </w:rPr>
        <w:t xml:space="preserve"> not have the same level of public input as the </w:t>
      </w:r>
      <w:r w:rsidR="00D33B95">
        <w:rPr>
          <w:rFonts w:ascii="Times New Roman" w:hAnsi="Times New Roman"/>
          <w:sz w:val="24"/>
          <w:szCs w:val="24"/>
        </w:rPr>
        <w:t xml:space="preserve">full </w:t>
      </w:r>
      <w:r w:rsidR="006B1EDE">
        <w:rPr>
          <w:rFonts w:ascii="Times New Roman" w:hAnsi="Times New Roman"/>
          <w:sz w:val="24"/>
          <w:szCs w:val="24"/>
        </w:rPr>
        <w:t>parliamentary</w:t>
      </w:r>
      <w:r w:rsidR="0000480A">
        <w:rPr>
          <w:rFonts w:ascii="Times New Roman" w:hAnsi="Times New Roman"/>
          <w:sz w:val="24"/>
          <w:szCs w:val="24"/>
        </w:rPr>
        <w:t xml:space="preserve"> process (</w:t>
      </w:r>
      <w:r w:rsidR="006B1EDE">
        <w:rPr>
          <w:rFonts w:ascii="Times New Roman" w:hAnsi="Times New Roman"/>
          <w:sz w:val="24"/>
          <w:szCs w:val="24"/>
        </w:rPr>
        <w:t>which includes</w:t>
      </w:r>
      <w:r w:rsidR="0000480A">
        <w:rPr>
          <w:rFonts w:ascii="Times New Roman" w:hAnsi="Times New Roman"/>
          <w:sz w:val="24"/>
          <w:szCs w:val="24"/>
        </w:rPr>
        <w:t xml:space="preserve"> the select committee process)</w:t>
      </w:r>
      <w:r w:rsidR="00207BB6">
        <w:rPr>
          <w:rFonts w:ascii="Times New Roman" w:hAnsi="Times New Roman"/>
          <w:sz w:val="24"/>
          <w:szCs w:val="24"/>
        </w:rPr>
        <w:t xml:space="preserve"> or the process for making Orders in Council</w:t>
      </w:r>
      <w:r w:rsidR="0000480A">
        <w:rPr>
          <w:rFonts w:ascii="Times New Roman" w:hAnsi="Times New Roman"/>
          <w:sz w:val="24"/>
          <w:szCs w:val="24"/>
        </w:rPr>
        <w:t xml:space="preserve">.  As a result, there </w:t>
      </w:r>
      <w:r w:rsidR="0045084D">
        <w:rPr>
          <w:rFonts w:ascii="Times New Roman" w:hAnsi="Times New Roman"/>
          <w:sz w:val="24"/>
          <w:szCs w:val="24"/>
        </w:rPr>
        <w:t>would be</w:t>
      </w:r>
      <w:r w:rsidR="0000480A">
        <w:rPr>
          <w:rFonts w:ascii="Times New Roman" w:hAnsi="Times New Roman"/>
          <w:sz w:val="24"/>
          <w:szCs w:val="24"/>
        </w:rPr>
        <w:t xml:space="preserve"> a </w:t>
      </w:r>
      <w:r w:rsidR="00207BB6">
        <w:rPr>
          <w:rFonts w:ascii="Times New Roman" w:hAnsi="Times New Roman"/>
          <w:sz w:val="24"/>
          <w:szCs w:val="24"/>
        </w:rPr>
        <w:t>reasonable</w:t>
      </w:r>
      <w:r w:rsidR="0000480A">
        <w:rPr>
          <w:rFonts w:ascii="Times New Roman" w:hAnsi="Times New Roman"/>
          <w:sz w:val="24"/>
          <w:szCs w:val="24"/>
        </w:rPr>
        <w:t xml:space="preserve"> risk that taxpayers may perceive</w:t>
      </w:r>
      <w:r w:rsidR="00207BB6">
        <w:rPr>
          <w:rFonts w:ascii="Times New Roman" w:hAnsi="Times New Roman"/>
          <w:sz w:val="24"/>
          <w:szCs w:val="24"/>
        </w:rPr>
        <w:t xml:space="preserve"> that the remedy is unfair or </w:t>
      </w:r>
      <w:r w:rsidR="0000480A">
        <w:rPr>
          <w:rFonts w:ascii="Times New Roman" w:hAnsi="Times New Roman"/>
          <w:sz w:val="24"/>
          <w:szCs w:val="24"/>
        </w:rPr>
        <w:t>partial</w:t>
      </w:r>
      <w:r w:rsidR="00783D49">
        <w:rPr>
          <w:rFonts w:ascii="Times New Roman" w:hAnsi="Times New Roman"/>
          <w:sz w:val="24"/>
          <w:szCs w:val="24"/>
        </w:rPr>
        <w:t xml:space="preserve"> to a group of taxpayers</w:t>
      </w:r>
      <w:r w:rsidR="0000480A">
        <w:rPr>
          <w:rFonts w:ascii="Times New Roman" w:hAnsi="Times New Roman"/>
          <w:sz w:val="24"/>
          <w:szCs w:val="24"/>
        </w:rPr>
        <w:t xml:space="preserve">.  </w:t>
      </w:r>
      <w:r w:rsidR="00207BB6">
        <w:rPr>
          <w:rFonts w:ascii="Times New Roman" w:hAnsi="Times New Roman"/>
          <w:sz w:val="24"/>
          <w:szCs w:val="24"/>
        </w:rPr>
        <w:t xml:space="preserve">This </w:t>
      </w:r>
      <w:r w:rsidR="0045084D">
        <w:rPr>
          <w:rFonts w:ascii="Times New Roman" w:hAnsi="Times New Roman"/>
          <w:sz w:val="24"/>
          <w:szCs w:val="24"/>
        </w:rPr>
        <w:t>would be</w:t>
      </w:r>
      <w:r w:rsidR="00207BB6">
        <w:rPr>
          <w:rFonts w:ascii="Times New Roman" w:hAnsi="Times New Roman"/>
          <w:sz w:val="24"/>
          <w:szCs w:val="24"/>
        </w:rPr>
        <w:t xml:space="preserve"> especially a risk for delegated regulations.  </w:t>
      </w:r>
      <w:r w:rsidR="0000480A">
        <w:rPr>
          <w:rFonts w:ascii="Times New Roman" w:hAnsi="Times New Roman"/>
          <w:sz w:val="24"/>
          <w:szCs w:val="24"/>
        </w:rPr>
        <w:t xml:space="preserve">This could risk </w:t>
      </w:r>
      <w:r w:rsidR="0045084D">
        <w:rPr>
          <w:rFonts w:ascii="Times New Roman" w:hAnsi="Times New Roman"/>
          <w:sz w:val="24"/>
          <w:szCs w:val="24"/>
        </w:rPr>
        <w:t xml:space="preserve">undermining </w:t>
      </w:r>
      <w:r w:rsidR="0000480A">
        <w:rPr>
          <w:rFonts w:ascii="Times New Roman" w:hAnsi="Times New Roman"/>
          <w:sz w:val="24"/>
          <w:szCs w:val="24"/>
        </w:rPr>
        <w:t xml:space="preserve">taxpayers’ perception of the integrity of the tax system.  </w:t>
      </w:r>
    </w:p>
    <w:p w14:paraId="6D93D303" w14:textId="77777777" w:rsidR="00981B08" w:rsidRDefault="00981B08" w:rsidP="00FC1D7B">
      <w:pPr>
        <w:pStyle w:val="spacer"/>
        <w:jc w:val="both"/>
        <w:rPr>
          <w:rFonts w:ascii="Times New Roman" w:hAnsi="Times New Roman"/>
          <w:sz w:val="24"/>
          <w:szCs w:val="24"/>
          <w:lang w:val="en-AU"/>
        </w:rPr>
      </w:pPr>
      <w:bookmarkStart w:id="22" w:name="_Toc244580366"/>
      <w:bookmarkStart w:id="23" w:name="_Toc244587042"/>
      <w:bookmarkStart w:id="24" w:name="_Toc244857276"/>
      <w:bookmarkStart w:id="25" w:name="_Toc244912541"/>
      <w:bookmarkStart w:id="26" w:name="_Toc244916998"/>
    </w:p>
    <w:p w14:paraId="32A0836C" w14:textId="77777777" w:rsidR="006879E9" w:rsidRPr="004342F0" w:rsidRDefault="006879E9" w:rsidP="00FC1D7B">
      <w:pPr>
        <w:pStyle w:val="spacer"/>
        <w:jc w:val="both"/>
        <w:rPr>
          <w:rFonts w:ascii="Times New Roman" w:hAnsi="Times New Roman"/>
          <w:sz w:val="24"/>
          <w:szCs w:val="24"/>
          <w:lang w:val="en-AU"/>
        </w:rPr>
      </w:pPr>
    </w:p>
    <w:p w14:paraId="5B131A24" w14:textId="77777777" w:rsidR="000545DC" w:rsidRDefault="00D943DD" w:rsidP="00FC1D7B">
      <w:pPr>
        <w:pStyle w:val="RISheading"/>
        <w:spacing w:before="0" w:after="0"/>
        <w:jc w:val="both"/>
        <w:rPr>
          <w:spacing w:val="0"/>
          <w:w w:val="100"/>
        </w:rPr>
      </w:pPr>
      <w:r w:rsidRPr="004342F0">
        <w:rPr>
          <w:spacing w:val="0"/>
          <w:w w:val="100"/>
        </w:rPr>
        <w:t>CONSULTATION</w:t>
      </w:r>
      <w:bookmarkEnd w:id="22"/>
      <w:bookmarkEnd w:id="23"/>
      <w:bookmarkEnd w:id="24"/>
      <w:bookmarkEnd w:id="25"/>
      <w:bookmarkEnd w:id="26"/>
    </w:p>
    <w:p w14:paraId="6B18DD92" w14:textId="77777777" w:rsidR="001613EB" w:rsidRDefault="001613EB" w:rsidP="00FC1D7B">
      <w:pPr>
        <w:pStyle w:val="RISheading"/>
        <w:spacing w:before="0" w:after="0"/>
        <w:jc w:val="both"/>
        <w:rPr>
          <w:spacing w:val="0"/>
          <w:w w:val="100"/>
        </w:rPr>
      </w:pPr>
    </w:p>
    <w:p w14:paraId="58055C8E" w14:textId="7A3F10EC" w:rsidR="009D234C" w:rsidRPr="009D234C" w:rsidRDefault="009D234C" w:rsidP="009D234C">
      <w:pPr>
        <w:pStyle w:val="Bullet-list"/>
        <w:numPr>
          <w:ilvl w:val="0"/>
          <w:numId w:val="12"/>
        </w:numPr>
        <w:spacing w:after="0" w:line="240" w:lineRule="auto"/>
        <w:ind w:left="0" w:firstLine="0"/>
        <w:jc w:val="both"/>
        <w:rPr>
          <w:rFonts w:ascii="Times New Roman" w:hAnsi="Times New Roman"/>
          <w:sz w:val="24"/>
          <w:szCs w:val="24"/>
        </w:rPr>
      </w:pPr>
      <w:bookmarkStart w:id="27" w:name="_Toc244580367"/>
      <w:bookmarkStart w:id="28" w:name="_Toc244587043"/>
      <w:bookmarkStart w:id="29" w:name="_Toc244857277"/>
      <w:bookmarkStart w:id="30" w:name="_Toc244912542"/>
      <w:bookmarkStart w:id="31" w:name="_Toc244916999"/>
      <w:r w:rsidRPr="009D234C">
        <w:rPr>
          <w:rFonts w:ascii="Times New Roman" w:hAnsi="Times New Roman"/>
          <w:sz w:val="24"/>
          <w:szCs w:val="24"/>
        </w:rPr>
        <w:t xml:space="preserve">Consultation has been undertaken with the Legislation Design and Advisory Committee, Crown Law, </w:t>
      </w:r>
      <w:r w:rsidR="00D33B95">
        <w:rPr>
          <w:rFonts w:ascii="Times New Roman" w:hAnsi="Times New Roman"/>
          <w:sz w:val="24"/>
          <w:szCs w:val="24"/>
        </w:rPr>
        <w:t xml:space="preserve">the </w:t>
      </w:r>
      <w:r w:rsidRPr="009D234C">
        <w:rPr>
          <w:rFonts w:ascii="Times New Roman" w:hAnsi="Times New Roman"/>
          <w:sz w:val="24"/>
          <w:szCs w:val="24"/>
        </w:rPr>
        <w:t>Ministry of Justice and the Treasury.</w:t>
      </w:r>
      <w:r w:rsidR="001311CF">
        <w:rPr>
          <w:rFonts w:ascii="Times New Roman" w:hAnsi="Times New Roman"/>
          <w:sz w:val="24"/>
          <w:szCs w:val="24"/>
        </w:rPr>
        <w:t xml:space="preserve">  The consultation involved meeting with the relevant agencies and prov</w:t>
      </w:r>
      <w:r w:rsidR="00D33B95">
        <w:rPr>
          <w:rFonts w:ascii="Times New Roman" w:hAnsi="Times New Roman"/>
          <w:sz w:val="24"/>
          <w:szCs w:val="24"/>
        </w:rPr>
        <w:t>iding them with a draft of the C</w:t>
      </w:r>
      <w:r w:rsidR="001311CF">
        <w:rPr>
          <w:rFonts w:ascii="Times New Roman" w:hAnsi="Times New Roman"/>
          <w:sz w:val="24"/>
          <w:szCs w:val="24"/>
        </w:rPr>
        <w:t xml:space="preserve">abinet </w:t>
      </w:r>
      <w:r w:rsidR="00D33B95">
        <w:rPr>
          <w:rFonts w:ascii="Times New Roman" w:hAnsi="Times New Roman"/>
          <w:sz w:val="24"/>
          <w:szCs w:val="24"/>
        </w:rPr>
        <w:t>paper</w:t>
      </w:r>
      <w:r w:rsidR="00CE24C7">
        <w:rPr>
          <w:rFonts w:ascii="Times New Roman" w:hAnsi="Times New Roman"/>
          <w:sz w:val="24"/>
          <w:szCs w:val="24"/>
        </w:rPr>
        <w:t xml:space="preserve"> for comment</w:t>
      </w:r>
      <w:r w:rsidR="001311CF">
        <w:rPr>
          <w:rFonts w:ascii="Times New Roman" w:hAnsi="Times New Roman"/>
          <w:sz w:val="24"/>
          <w:szCs w:val="24"/>
        </w:rPr>
        <w:t>.</w:t>
      </w:r>
    </w:p>
    <w:p w14:paraId="60BC8B66" w14:textId="77777777" w:rsidR="009D234C" w:rsidRDefault="009D234C" w:rsidP="009D234C">
      <w:pPr>
        <w:pStyle w:val="Bullet-list"/>
        <w:spacing w:after="0" w:line="240" w:lineRule="auto"/>
        <w:jc w:val="both"/>
        <w:rPr>
          <w:rFonts w:ascii="Times New Roman" w:hAnsi="Times New Roman"/>
          <w:sz w:val="24"/>
          <w:szCs w:val="24"/>
        </w:rPr>
      </w:pPr>
    </w:p>
    <w:p w14:paraId="3C3CC3C3" w14:textId="39364509" w:rsidR="009D234C" w:rsidRPr="009D234C" w:rsidRDefault="00477363" w:rsidP="00477363">
      <w:pPr>
        <w:pStyle w:val="Bullet-list"/>
        <w:numPr>
          <w:ilvl w:val="0"/>
          <w:numId w:val="12"/>
        </w:numPr>
        <w:spacing w:after="0" w:line="240" w:lineRule="auto"/>
        <w:ind w:left="0" w:firstLine="0"/>
        <w:jc w:val="both"/>
        <w:rPr>
          <w:rFonts w:ascii="Times New Roman" w:hAnsi="Times New Roman"/>
          <w:sz w:val="24"/>
          <w:szCs w:val="24"/>
        </w:rPr>
      </w:pPr>
      <w:r w:rsidRPr="00477363">
        <w:rPr>
          <w:rFonts w:ascii="Times New Roman" w:hAnsi="Times New Roman"/>
          <w:sz w:val="24"/>
          <w:szCs w:val="24"/>
        </w:rPr>
        <w:t xml:space="preserve">The Legislation Design and Advisory Committee did not support option 3.  It considered that option 3 had not been sufficiently </w:t>
      </w:r>
      <w:proofErr w:type="gramStart"/>
      <w:r w:rsidRPr="00477363">
        <w:rPr>
          <w:rFonts w:ascii="Times New Roman" w:hAnsi="Times New Roman"/>
          <w:sz w:val="24"/>
          <w:szCs w:val="24"/>
        </w:rPr>
        <w:t>justified,</w:t>
      </w:r>
      <w:proofErr w:type="gramEnd"/>
      <w:r w:rsidRPr="00477363">
        <w:rPr>
          <w:rFonts w:ascii="Times New Roman" w:hAnsi="Times New Roman"/>
          <w:sz w:val="24"/>
          <w:szCs w:val="24"/>
        </w:rPr>
        <w:t xml:space="preserve"> unnecessarily complicated taxpayer's ability to access the law and delegating such powers to an official was unprecedented.  The Committee agreed with the proposal to remove the ability for the Commissioner to make delegated transitional legislation. </w:t>
      </w:r>
      <w:r w:rsidR="00D32EE8" w:rsidRPr="00D32EE8">
        <w:rPr>
          <w:rFonts w:ascii="Times New Roman" w:hAnsi="Times New Roman"/>
          <w:sz w:val="24"/>
          <w:szCs w:val="24"/>
        </w:rPr>
        <w:t xml:space="preserve"> </w:t>
      </w:r>
    </w:p>
    <w:p w14:paraId="022EE569" w14:textId="77777777" w:rsidR="009D234C" w:rsidRPr="009D234C" w:rsidRDefault="009D234C" w:rsidP="009D234C">
      <w:pPr>
        <w:pStyle w:val="Bullet-list"/>
        <w:spacing w:after="0" w:line="240" w:lineRule="auto"/>
        <w:jc w:val="both"/>
        <w:rPr>
          <w:rFonts w:ascii="Times New Roman" w:hAnsi="Times New Roman"/>
          <w:sz w:val="24"/>
          <w:szCs w:val="24"/>
        </w:rPr>
      </w:pPr>
    </w:p>
    <w:p w14:paraId="5C23B141" w14:textId="77777777" w:rsidR="009D234C" w:rsidRPr="009D234C" w:rsidRDefault="009D234C" w:rsidP="009D234C">
      <w:pPr>
        <w:pStyle w:val="Bullet-list"/>
        <w:numPr>
          <w:ilvl w:val="0"/>
          <w:numId w:val="12"/>
        </w:numPr>
        <w:spacing w:after="0" w:line="240" w:lineRule="auto"/>
        <w:ind w:left="0" w:firstLine="0"/>
        <w:jc w:val="both"/>
        <w:rPr>
          <w:rFonts w:ascii="Times New Roman" w:hAnsi="Times New Roman"/>
          <w:sz w:val="24"/>
          <w:szCs w:val="24"/>
        </w:rPr>
      </w:pPr>
      <w:r w:rsidRPr="009D234C">
        <w:rPr>
          <w:rFonts w:ascii="Times New Roman" w:hAnsi="Times New Roman"/>
          <w:sz w:val="24"/>
          <w:szCs w:val="24"/>
        </w:rPr>
        <w:t>Crown Law did not provide any comments on the proposals.  It noted that as the primary legislative provision and regulations had not yet been drafted they were not able to provide a more detailed view on any legal risk arising at this stage.</w:t>
      </w:r>
    </w:p>
    <w:p w14:paraId="6053E8B9" w14:textId="77777777" w:rsidR="009D234C" w:rsidRPr="009D234C" w:rsidRDefault="009D234C" w:rsidP="009D234C">
      <w:pPr>
        <w:pStyle w:val="Bullet-list"/>
        <w:spacing w:after="0" w:line="240" w:lineRule="auto"/>
        <w:jc w:val="both"/>
        <w:rPr>
          <w:rFonts w:ascii="Times New Roman" w:hAnsi="Times New Roman"/>
          <w:sz w:val="24"/>
          <w:szCs w:val="24"/>
        </w:rPr>
      </w:pPr>
    </w:p>
    <w:p w14:paraId="0E13F772" w14:textId="524C6F00" w:rsidR="009D234C" w:rsidRPr="009D234C" w:rsidRDefault="009D234C" w:rsidP="009D234C">
      <w:pPr>
        <w:pStyle w:val="Bullet-list"/>
        <w:numPr>
          <w:ilvl w:val="0"/>
          <w:numId w:val="12"/>
        </w:numPr>
        <w:spacing w:after="0" w:line="240" w:lineRule="auto"/>
        <w:ind w:left="0" w:firstLine="0"/>
        <w:jc w:val="both"/>
        <w:rPr>
          <w:rFonts w:ascii="Times New Roman" w:hAnsi="Times New Roman"/>
          <w:sz w:val="24"/>
          <w:szCs w:val="24"/>
        </w:rPr>
      </w:pPr>
      <w:r w:rsidRPr="009D234C">
        <w:rPr>
          <w:rFonts w:ascii="Times New Roman" w:hAnsi="Times New Roman"/>
          <w:sz w:val="24"/>
          <w:szCs w:val="24"/>
        </w:rPr>
        <w:t xml:space="preserve">The Ministry of Justice </w:t>
      </w:r>
      <w:r w:rsidR="005E2F2B">
        <w:rPr>
          <w:rFonts w:ascii="Times New Roman" w:hAnsi="Times New Roman"/>
          <w:sz w:val="24"/>
          <w:szCs w:val="24"/>
        </w:rPr>
        <w:t xml:space="preserve">was </w:t>
      </w:r>
      <w:r w:rsidRPr="009D234C">
        <w:rPr>
          <w:rFonts w:ascii="Times New Roman" w:hAnsi="Times New Roman"/>
          <w:sz w:val="24"/>
          <w:szCs w:val="24"/>
        </w:rPr>
        <w:t>of the view that officials would need to ensure that the proposed empowering provision was sufficiently defined.  It accepted that Inland Revenue did not wish to take an overly narrow approach, but noted equally it was important that the discretion was not unfettered.  The Ministry stat</w:t>
      </w:r>
      <w:r w:rsidR="00312693">
        <w:rPr>
          <w:rFonts w:ascii="Times New Roman" w:hAnsi="Times New Roman"/>
          <w:sz w:val="24"/>
          <w:szCs w:val="24"/>
        </w:rPr>
        <w:t>ed it should be drafted in the “most limited terms possible”</w:t>
      </w:r>
      <w:r w:rsidR="00385819">
        <w:rPr>
          <w:rFonts w:ascii="Times New Roman" w:hAnsi="Times New Roman"/>
          <w:sz w:val="24"/>
          <w:szCs w:val="24"/>
        </w:rPr>
        <w:t xml:space="preserve"> while accepting the broad scope of the transformation process</w:t>
      </w:r>
      <w:r w:rsidRPr="009D234C">
        <w:rPr>
          <w:rFonts w:ascii="Times New Roman" w:hAnsi="Times New Roman"/>
          <w:sz w:val="24"/>
          <w:szCs w:val="24"/>
        </w:rPr>
        <w:t xml:space="preserve">.  The Ministry would prefer to see more clarity in relation to the scope of the power and the constraints placed on it.  </w:t>
      </w:r>
      <w:r w:rsidR="00385819" w:rsidRPr="009D234C">
        <w:rPr>
          <w:rFonts w:ascii="Times New Roman" w:hAnsi="Times New Roman"/>
          <w:sz w:val="24"/>
          <w:szCs w:val="24"/>
        </w:rPr>
        <w:t xml:space="preserve">Specifically, the Ministry </w:t>
      </w:r>
      <w:r w:rsidR="00CE24C7">
        <w:rPr>
          <w:rFonts w:ascii="Times New Roman" w:hAnsi="Times New Roman"/>
          <w:sz w:val="24"/>
          <w:szCs w:val="24"/>
        </w:rPr>
        <w:t>commented that</w:t>
      </w:r>
      <w:r w:rsidR="00385819" w:rsidRPr="009D234C">
        <w:rPr>
          <w:rFonts w:ascii="Times New Roman" w:hAnsi="Times New Roman"/>
          <w:sz w:val="24"/>
          <w:szCs w:val="24"/>
        </w:rPr>
        <w:t xml:space="preserve"> the term “tax administration” </w:t>
      </w:r>
      <w:r w:rsidR="00CE24C7">
        <w:rPr>
          <w:rFonts w:ascii="Times New Roman" w:hAnsi="Times New Roman"/>
          <w:sz w:val="24"/>
          <w:szCs w:val="24"/>
        </w:rPr>
        <w:t>should</w:t>
      </w:r>
      <w:r w:rsidR="00CE24C7" w:rsidRPr="009D234C">
        <w:rPr>
          <w:rFonts w:ascii="Times New Roman" w:hAnsi="Times New Roman"/>
          <w:sz w:val="24"/>
          <w:szCs w:val="24"/>
        </w:rPr>
        <w:t xml:space="preserve"> </w:t>
      </w:r>
      <w:r w:rsidR="00385819" w:rsidRPr="009D234C">
        <w:rPr>
          <w:rFonts w:ascii="Times New Roman" w:hAnsi="Times New Roman"/>
          <w:sz w:val="24"/>
          <w:szCs w:val="24"/>
        </w:rPr>
        <w:t xml:space="preserve">be defined. </w:t>
      </w:r>
      <w:r w:rsidR="00385819">
        <w:rPr>
          <w:rFonts w:ascii="Times New Roman" w:hAnsi="Times New Roman"/>
          <w:sz w:val="24"/>
          <w:szCs w:val="24"/>
        </w:rPr>
        <w:t xml:space="preserve">In response to </w:t>
      </w:r>
      <w:r w:rsidR="00CE24C7">
        <w:rPr>
          <w:rFonts w:ascii="Times New Roman" w:hAnsi="Times New Roman"/>
          <w:sz w:val="24"/>
          <w:szCs w:val="24"/>
        </w:rPr>
        <w:t xml:space="preserve">this </w:t>
      </w:r>
      <w:r w:rsidR="00385819">
        <w:rPr>
          <w:rFonts w:ascii="Times New Roman" w:hAnsi="Times New Roman"/>
          <w:sz w:val="24"/>
          <w:szCs w:val="24"/>
        </w:rPr>
        <w:t>comment, t</w:t>
      </w:r>
      <w:r w:rsidR="005E2F2B">
        <w:rPr>
          <w:rFonts w:ascii="Times New Roman" w:hAnsi="Times New Roman"/>
          <w:sz w:val="24"/>
          <w:szCs w:val="24"/>
        </w:rPr>
        <w:t xml:space="preserve">he </w:t>
      </w:r>
      <w:r w:rsidR="00CE24C7">
        <w:rPr>
          <w:rFonts w:ascii="Times New Roman" w:hAnsi="Times New Roman"/>
          <w:sz w:val="24"/>
          <w:szCs w:val="24"/>
        </w:rPr>
        <w:t xml:space="preserve">initial </w:t>
      </w:r>
      <w:r w:rsidR="005E2F2B">
        <w:rPr>
          <w:rFonts w:ascii="Times New Roman" w:hAnsi="Times New Roman"/>
          <w:sz w:val="24"/>
          <w:szCs w:val="24"/>
        </w:rPr>
        <w:t xml:space="preserve">scope of the proposal was further clarified </w:t>
      </w:r>
      <w:r w:rsidR="00385819">
        <w:rPr>
          <w:rFonts w:ascii="Times New Roman" w:hAnsi="Times New Roman"/>
          <w:sz w:val="24"/>
          <w:szCs w:val="24"/>
        </w:rPr>
        <w:t xml:space="preserve">to emphasise that it would only apply to the tax administration rules and processes under the Tax Administration Act 1994, and not the calculation of a taxpayer’s tax liability under the Income Tax Act 2007.  Further, </w:t>
      </w:r>
      <w:r w:rsidR="00CE24C7">
        <w:rPr>
          <w:rFonts w:ascii="Times New Roman" w:hAnsi="Times New Roman"/>
          <w:sz w:val="24"/>
          <w:szCs w:val="24"/>
        </w:rPr>
        <w:t xml:space="preserve">the initial scope </w:t>
      </w:r>
      <w:r w:rsidR="00385819">
        <w:rPr>
          <w:rFonts w:ascii="Times New Roman" w:hAnsi="Times New Roman"/>
          <w:sz w:val="24"/>
          <w:szCs w:val="24"/>
        </w:rPr>
        <w:t xml:space="preserve">was clarified </w:t>
      </w:r>
      <w:r w:rsidR="006A3C79">
        <w:rPr>
          <w:rFonts w:ascii="Times New Roman" w:hAnsi="Times New Roman"/>
          <w:sz w:val="24"/>
          <w:szCs w:val="24"/>
        </w:rPr>
        <w:t xml:space="preserve">to emphasise </w:t>
      </w:r>
      <w:r w:rsidR="00385819">
        <w:rPr>
          <w:rFonts w:ascii="Times New Roman" w:hAnsi="Times New Roman"/>
          <w:sz w:val="24"/>
          <w:szCs w:val="24"/>
        </w:rPr>
        <w:t xml:space="preserve">that any regulations made would have to be consistent with the existing policy intent (so it would not provide </w:t>
      </w:r>
      <w:proofErr w:type="gramStart"/>
      <w:r w:rsidR="00385819">
        <w:rPr>
          <w:rFonts w:ascii="Times New Roman" w:hAnsi="Times New Roman"/>
          <w:sz w:val="24"/>
          <w:szCs w:val="24"/>
        </w:rPr>
        <w:t>a general</w:t>
      </w:r>
      <w:proofErr w:type="gramEnd"/>
      <w:r w:rsidR="00385819">
        <w:rPr>
          <w:rFonts w:ascii="Times New Roman" w:hAnsi="Times New Roman"/>
          <w:sz w:val="24"/>
          <w:szCs w:val="24"/>
        </w:rPr>
        <w:t xml:space="preserve"> policy-making ability).  </w:t>
      </w:r>
      <w:r w:rsidRPr="009D234C">
        <w:rPr>
          <w:rFonts w:ascii="Times New Roman" w:hAnsi="Times New Roman"/>
          <w:sz w:val="24"/>
          <w:szCs w:val="24"/>
        </w:rPr>
        <w:t>The Ministry was pleased t</w:t>
      </w:r>
      <w:r w:rsidR="000F294A">
        <w:rPr>
          <w:rFonts w:ascii="Times New Roman" w:hAnsi="Times New Roman"/>
          <w:sz w:val="24"/>
          <w:szCs w:val="24"/>
        </w:rPr>
        <w:t>o see that the proposal included</w:t>
      </w:r>
      <w:r w:rsidRPr="009D234C">
        <w:rPr>
          <w:rFonts w:ascii="Times New Roman" w:hAnsi="Times New Roman"/>
          <w:sz w:val="24"/>
          <w:szCs w:val="24"/>
        </w:rPr>
        <w:t xml:space="preserve"> safeguards such as subjecting the regulations and exemptions to disallowance and judicial review, time limits and consultation.</w:t>
      </w:r>
    </w:p>
    <w:p w14:paraId="7F6F12D8" w14:textId="77777777" w:rsidR="00AB09C5" w:rsidRDefault="00AB09C5" w:rsidP="009D234C">
      <w:pPr>
        <w:pStyle w:val="Bullet-list"/>
        <w:spacing w:after="0" w:line="240" w:lineRule="auto"/>
        <w:jc w:val="both"/>
        <w:rPr>
          <w:rFonts w:ascii="Times New Roman" w:hAnsi="Times New Roman"/>
          <w:sz w:val="24"/>
          <w:szCs w:val="24"/>
          <w:lang w:val="en-NZ"/>
        </w:rPr>
      </w:pPr>
    </w:p>
    <w:p w14:paraId="15CB73CD" w14:textId="284A3E73" w:rsidR="005C532C" w:rsidRDefault="005C532C" w:rsidP="005C532C">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No wider consultation was undertaken on the proposal because of time constraints.  The time constraints resulted from the need to have the proposal enacted as soon as possible given the </w:t>
      </w:r>
      <w:r w:rsidRPr="00D40BD3">
        <w:rPr>
          <w:rFonts w:ascii="Times New Roman" w:hAnsi="Times New Roman"/>
          <w:sz w:val="24"/>
          <w:szCs w:val="24"/>
        </w:rPr>
        <w:t xml:space="preserve">benefits of the transitional regulation-making provision and </w:t>
      </w:r>
      <w:r w:rsidRPr="005C532C">
        <w:rPr>
          <w:rFonts w:ascii="Times New Roman" w:hAnsi="Times New Roman"/>
          <w:sz w:val="24"/>
          <w:szCs w:val="24"/>
        </w:rPr>
        <w:t xml:space="preserve">the timing </w:t>
      </w:r>
      <w:r w:rsidR="00CE24C7">
        <w:rPr>
          <w:rFonts w:ascii="Times New Roman" w:hAnsi="Times New Roman"/>
          <w:sz w:val="24"/>
          <w:szCs w:val="24"/>
        </w:rPr>
        <w:t xml:space="preserve">phase </w:t>
      </w:r>
      <w:r w:rsidRPr="005C532C">
        <w:rPr>
          <w:rFonts w:ascii="Times New Roman" w:hAnsi="Times New Roman"/>
          <w:sz w:val="24"/>
          <w:szCs w:val="24"/>
        </w:rPr>
        <w:t>of the secon</w:t>
      </w:r>
      <w:r>
        <w:rPr>
          <w:rFonts w:ascii="Times New Roman" w:hAnsi="Times New Roman"/>
          <w:sz w:val="24"/>
          <w:szCs w:val="24"/>
        </w:rPr>
        <w:t xml:space="preserve">d business transformation </w:t>
      </w:r>
      <w:r w:rsidR="00CE24C7">
        <w:rPr>
          <w:rFonts w:ascii="Times New Roman" w:hAnsi="Times New Roman"/>
          <w:sz w:val="24"/>
          <w:szCs w:val="24"/>
        </w:rPr>
        <w:t>process</w:t>
      </w:r>
      <w:r w:rsidRPr="005C532C">
        <w:rPr>
          <w:rFonts w:ascii="Times New Roman" w:hAnsi="Times New Roman"/>
          <w:sz w:val="24"/>
          <w:szCs w:val="24"/>
        </w:rPr>
        <w:t>.  Any delay in enacting the empowering provision could delay the business transformation process (or increase the cost), create uncertainties for taxpayers, and risk taxpayers and Inland Revenue having to commit resources to dealing with issues that are inconsistent with the current policy intent.</w:t>
      </w:r>
      <w:r w:rsidR="005804FA">
        <w:rPr>
          <w:rFonts w:ascii="Times New Roman" w:hAnsi="Times New Roman"/>
          <w:sz w:val="24"/>
          <w:szCs w:val="24"/>
        </w:rPr>
        <w:t xml:space="preserve">  The lack of wider consultation raises a risk that potential problems with the proposals have not been fully identified.  However, consultation during the select committee process will mitigate this risk to some extent.</w:t>
      </w:r>
    </w:p>
    <w:p w14:paraId="55B64C33" w14:textId="77777777" w:rsidR="005C532C" w:rsidRPr="008B1BE0" w:rsidRDefault="005C532C" w:rsidP="005C532C">
      <w:pPr>
        <w:pStyle w:val="Bullet-list"/>
        <w:spacing w:after="0" w:line="240" w:lineRule="auto"/>
        <w:jc w:val="both"/>
        <w:rPr>
          <w:rFonts w:ascii="Times New Roman" w:hAnsi="Times New Roman"/>
          <w:sz w:val="24"/>
          <w:szCs w:val="24"/>
        </w:rPr>
      </w:pPr>
    </w:p>
    <w:p w14:paraId="686B5F0F" w14:textId="77777777" w:rsidR="000865E9" w:rsidRPr="004342F0" w:rsidRDefault="000865E9" w:rsidP="00FC1D7B">
      <w:pPr>
        <w:pStyle w:val="spacer"/>
        <w:jc w:val="both"/>
        <w:rPr>
          <w:rFonts w:ascii="Times New Roman" w:hAnsi="Times New Roman"/>
          <w:sz w:val="24"/>
          <w:szCs w:val="24"/>
          <w:lang w:val="en-AU"/>
        </w:rPr>
      </w:pPr>
    </w:p>
    <w:p w14:paraId="7A2AB78F" w14:textId="77777777" w:rsidR="000545DC" w:rsidRDefault="00D943DD" w:rsidP="00FC1D7B">
      <w:pPr>
        <w:pStyle w:val="RISheading"/>
        <w:spacing w:before="0" w:after="0"/>
        <w:jc w:val="both"/>
        <w:rPr>
          <w:spacing w:val="0"/>
          <w:w w:val="100"/>
        </w:rPr>
      </w:pPr>
      <w:r w:rsidRPr="004342F0">
        <w:rPr>
          <w:spacing w:val="0"/>
          <w:w w:val="100"/>
        </w:rPr>
        <w:t>CONCLUSIONS AND RECOMMENDATIONS</w:t>
      </w:r>
      <w:bookmarkEnd w:id="27"/>
      <w:bookmarkEnd w:id="28"/>
      <w:bookmarkEnd w:id="29"/>
      <w:bookmarkEnd w:id="30"/>
      <w:bookmarkEnd w:id="31"/>
    </w:p>
    <w:p w14:paraId="53D0E57B" w14:textId="77777777" w:rsidR="000865E9" w:rsidRPr="00782395" w:rsidRDefault="000865E9" w:rsidP="00782395">
      <w:pPr>
        <w:pStyle w:val="spacer"/>
        <w:jc w:val="both"/>
        <w:rPr>
          <w:lang w:val="en-AU"/>
        </w:rPr>
      </w:pPr>
    </w:p>
    <w:p w14:paraId="10007554" w14:textId="77777777" w:rsidR="008D077E" w:rsidRPr="00782395" w:rsidRDefault="008D077E" w:rsidP="008D082A">
      <w:pPr>
        <w:pStyle w:val="Bullet-list"/>
        <w:numPr>
          <w:ilvl w:val="0"/>
          <w:numId w:val="12"/>
        </w:numPr>
        <w:spacing w:after="0" w:line="240" w:lineRule="auto"/>
        <w:ind w:left="0" w:firstLine="0"/>
        <w:jc w:val="both"/>
      </w:pPr>
      <w:r>
        <w:rPr>
          <w:rFonts w:ascii="Times New Roman" w:hAnsi="Times New Roman"/>
          <w:sz w:val="24"/>
          <w:szCs w:val="24"/>
        </w:rPr>
        <w:t xml:space="preserve">The </w:t>
      </w:r>
      <w:r w:rsidR="00981B08">
        <w:rPr>
          <w:rFonts w:ascii="Times New Roman" w:hAnsi="Times New Roman"/>
          <w:sz w:val="24"/>
          <w:szCs w:val="24"/>
        </w:rPr>
        <w:t xml:space="preserve">table </w:t>
      </w:r>
      <w:r>
        <w:rPr>
          <w:rFonts w:ascii="Times New Roman" w:hAnsi="Times New Roman"/>
          <w:sz w:val="24"/>
          <w:szCs w:val="24"/>
        </w:rPr>
        <w:t xml:space="preserve">below </w:t>
      </w:r>
      <w:r w:rsidR="00981B08">
        <w:rPr>
          <w:rFonts w:ascii="Times New Roman" w:hAnsi="Times New Roman"/>
          <w:sz w:val="24"/>
          <w:szCs w:val="24"/>
        </w:rPr>
        <w:t xml:space="preserve">summarises </w:t>
      </w:r>
      <w:r>
        <w:rPr>
          <w:rFonts w:ascii="Times New Roman" w:hAnsi="Times New Roman"/>
          <w:sz w:val="24"/>
          <w:szCs w:val="24"/>
        </w:rPr>
        <w:t xml:space="preserve">our analysis </w:t>
      </w:r>
      <w:r w:rsidR="00981B08">
        <w:rPr>
          <w:rFonts w:ascii="Times New Roman" w:hAnsi="Times New Roman"/>
          <w:sz w:val="24"/>
          <w:szCs w:val="24"/>
        </w:rPr>
        <w:t>of the options</w:t>
      </w:r>
      <w:r>
        <w:rPr>
          <w:rFonts w:ascii="Times New Roman" w:hAnsi="Times New Roman"/>
          <w:sz w:val="24"/>
          <w:szCs w:val="24"/>
        </w:rPr>
        <w:t>.  Within this table the following symbols are used:</w:t>
      </w:r>
    </w:p>
    <w:p w14:paraId="7CA1E297" w14:textId="77777777" w:rsidR="008D077E" w:rsidRPr="00782395" w:rsidRDefault="008D077E" w:rsidP="00782395">
      <w:pPr>
        <w:pStyle w:val="Bullet-list"/>
        <w:tabs>
          <w:tab w:val="left" w:pos="1418"/>
        </w:tabs>
        <w:spacing w:after="0" w:line="240" w:lineRule="auto"/>
        <w:ind w:left="0" w:firstLine="0"/>
        <w:jc w:val="both"/>
      </w:pPr>
    </w:p>
    <w:p w14:paraId="697EBB35" w14:textId="77777777" w:rsidR="008D077E" w:rsidRPr="008D077E" w:rsidRDefault="008D077E" w:rsidP="00782395">
      <w:pPr>
        <w:pStyle w:val="ListParagraph"/>
        <w:tabs>
          <w:tab w:val="left" w:pos="1418"/>
        </w:tabs>
        <w:rPr>
          <w:rFonts w:ascii="Times New Roman" w:eastAsiaTheme="minorHAnsi" w:hAnsi="Times New Roman"/>
          <w:sz w:val="24"/>
          <w:szCs w:val="24"/>
        </w:rPr>
      </w:pPr>
      <w:r w:rsidRPr="008D077E">
        <w:rPr>
          <w:rFonts w:ascii="Wingdings 2" w:eastAsiaTheme="minorHAnsi" w:hAnsi="Wingdings 2"/>
          <w:sz w:val="24"/>
          <w:szCs w:val="24"/>
        </w:rPr>
        <w:t></w:t>
      </w:r>
      <w:r w:rsidRPr="008D077E">
        <w:rPr>
          <w:rFonts w:ascii="Wingdings 2" w:eastAsiaTheme="minorHAnsi" w:hAnsi="Wingdings 2"/>
          <w:sz w:val="24"/>
          <w:szCs w:val="24"/>
        </w:rPr>
        <w:t></w:t>
      </w:r>
      <w:r>
        <w:rPr>
          <w:rFonts w:ascii="Times New Roman" w:eastAsiaTheme="minorHAnsi" w:hAnsi="Times New Roman"/>
          <w:sz w:val="24"/>
          <w:szCs w:val="24"/>
        </w:rPr>
        <w:tab/>
      </w:r>
      <w:proofErr w:type="gramStart"/>
      <w:r w:rsidRPr="008D077E">
        <w:rPr>
          <w:rFonts w:ascii="Times New Roman" w:eastAsiaTheme="minorHAnsi" w:hAnsi="Times New Roman"/>
          <w:sz w:val="24"/>
          <w:szCs w:val="24"/>
        </w:rPr>
        <w:t>Significantly</w:t>
      </w:r>
      <w:proofErr w:type="gramEnd"/>
      <w:r w:rsidRPr="008D077E">
        <w:rPr>
          <w:rFonts w:ascii="Times New Roman" w:eastAsiaTheme="minorHAnsi" w:hAnsi="Times New Roman"/>
          <w:sz w:val="24"/>
          <w:szCs w:val="24"/>
        </w:rPr>
        <w:t xml:space="preserve"> better than the status quo </w:t>
      </w:r>
    </w:p>
    <w:p w14:paraId="3DE0BFF0" w14:textId="77777777" w:rsidR="008D077E" w:rsidRPr="008D077E" w:rsidRDefault="008D077E" w:rsidP="00782395">
      <w:pPr>
        <w:pStyle w:val="ListParagraph"/>
        <w:numPr>
          <w:ilvl w:val="0"/>
          <w:numId w:val="16"/>
        </w:numPr>
        <w:tabs>
          <w:tab w:val="left" w:pos="1418"/>
        </w:tabs>
        <w:ind w:left="720" w:hanging="11"/>
        <w:rPr>
          <w:rFonts w:ascii="Times New Roman" w:eastAsiaTheme="minorHAnsi" w:hAnsi="Times New Roman"/>
          <w:sz w:val="24"/>
          <w:szCs w:val="24"/>
        </w:rPr>
      </w:pPr>
      <w:r w:rsidRPr="008D077E">
        <w:rPr>
          <w:rFonts w:ascii="Times New Roman" w:eastAsiaTheme="minorHAnsi" w:hAnsi="Times New Roman"/>
          <w:sz w:val="24"/>
          <w:szCs w:val="24"/>
        </w:rPr>
        <w:t xml:space="preserve">Better than the status quo  </w:t>
      </w:r>
    </w:p>
    <w:p w14:paraId="7230324D" w14:textId="77777777" w:rsidR="008D077E" w:rsidRPr="008D077E" w:rsidRDefault="008D077E" w:rsidP="00782395">
      <w:pPr>
        <w:pStyle w:val="ListParagraph"/>
        <w:numPr>
          <w:ilvl w:val="0"/>
          <w:numId w:val="17"/>
        </w:numPr>
        <w:tabs>
          <w:tab w:val="left" w:pos="1418"/>
        </w:tabs>
        <w:ind w:left="720" w:hanging="11"/>
        <w:rPr>
          <w:rFonts w:ascii="Times New Roman" w:eastAsiaTheme="minorHAnsi" w:hAnsi="Times New Roman"/>
          <w:sz w:val="24"/>
          <w:szCs w:val="24"/>
        </w:rPr>
      </w:pPr>
      <w:r w:rsidRPr="008D077E">
        <w:rPr>
          <w:rFonts w:ascii="Times New Roman" w:eastAsiaTheme="minorHAnsi" w:hAnsi="Times New Roman"/>
          <w:sz w:val="24"/>
          <w:szCs w:val="24"/>
        </w:rPr>
        <w:t xml:space="preserve">No better than the status quo </w:t>
      </w:r>
    </w:p>
    <w:p w14:paraId="3E06A531" w14:textId="77777777" w:rsidR="008D077E" w:rsidRPr="008D077E" w:rsidRDefault="008D077E" w:rsidP="00782395">
      <w:pPr>
        <w:pStyle w:val="ListParagraph"/>
        <w:tabs>
          <w:tab w:val="left" w:pos="1418"/>
        </w:tabs>
        <w:rPr>
          <w:rFonts w:ascii="Times New Roman" w:eastAsiaTheme="minorHAnsi" w:hAnsi="Times New Roman"/>
          <w:sz w:val="24"/>
          <w:szCs w:val="24"/>
        </w:rPr>
      </w:pPr>
      <w:r>
        <w:rPr>
          <w:rFonts w:ascii="Wingdings 2" w:eastAsiaTheme="minorHAnsi" w:hAnsi="Wingdings 2"/>
          <w:sz w:val="24"/>
          <w:szCs w:val="24"/>
        </w:rPr>
        <w:t></w:t>
      </w:r>
      <w:r>
        <w:rPr>
          <w:rFonts w:ascii="Wingdings 2" w:eastAsiaTheme="minorHAnsi" w:hAnsi="Wingdings 2"/>
          <w:sz w:val="24"/>
          <w:szCs w:val="24"/>
        </w:rPr>
        <w:t></w:t>
      </w:r>
      <w:r>
        <w:rPr>
          <w:rFonts w:ascii="Wingdings 2" w:eastAsiaTheme="minorHAnsi" w:hAnsi="Wingdings 2"/>
          <w:sz w:val="24"/>
          <w:szCs w:val="24"/>
        </w:rPr>
        <w:tab/>
      </w:r>
      <w:r w:rsidRPr="008D077E">
        <w:rPr>
          <w:rFonts w:ascii="Times New Roman" w:eastAsiaTheme="minorHAnsi" w:hAnsi="Times New Roman"/>
          <w:sz w:val="24"/>
          <w:szCs w:val="24"/>
        </w:rPr>
        <w:t xml:space="preserve">Worse than the status quo </w:t>
      </w:r>
    </w:p>
    <w:p w14:paraId="1FFC0DF6" w14:textId="77777777" w:rsidR="00981B08" w:rsidRPr="000865E9" w:rsidRDefault="00981B08" w:rsidP="00981B08">
      <w:pPr>
        <w:pStyle w:val="TRNormal"/>
        <w:tabs>
          <w:tab w:val="left" w:pos="567"/>
        </w:tabs>
        <w:rPr>
          <w:i/>
          <w:szCs w:val="24"/>
        </w:rPr>
      </w:pPr>
    </w:p>
    <w:tbl>
      <w:tblPr>
        <w:tblStyle w:val="TableGrid"/>
        <w:tblW w:w="0" w:type="auto"/>
        <w:tblCellMar>
          <w:top w:w="85" w:type="dxa"/>
          <w:bottom w:w="85" w:type="dxa"/>
        </w:tblCellMar>
        <w:tblLook w:val="04A0" w:firstRow="1" w:lastRow="0" w:firstColumn="1" w:lastColumn="0" w:noHBand="0" w:noVBand="1"/>
      </w:tblPr>
      <w:tblGrid>
        <w:gridCol w:w="2802"/>
        <w:gridCol w:w="6485"/>
      </w:tblGrid>
      <w:tr w:rsidR="00981B08" w:rsidRPr="006E2223" w14:paraId="200F90D8" w14:textId="77777777" w:rsidTr="0030716A">
        <w:trPr>
          <w:tblHeader/>
        </w:trPr>
        <w:tc>
          <w:tcPr>
            <w:tcW w:w="2802" w:type="dxa"/>
          </w:tcPr>
          <w:p w14:paraId="23B062F2" w14:textId="77777777" w:rsidR="00981B08" w:rsidRPr="00C40759" w:rsidRDefault="00981B08" w:rsidP="00073EA9">
            <w:pPr>
              <w:pStyle w:val="TRNormal"/>
              <w:tabs>
                <w:tab w:val="left" w:pos="567"/>
              </w:tabs>
              <w:spacing w:line="240" w:lineRule="auto"/>
              <w:rPr>
                <w:b/>
                <w:sz w:val="22"/>
              </w:rPr>
            </w:pPr>
            <w:r w:rsidRPr="00C40759">
              <w:rPr>
                <w:b/>
                <w:sz w:val="22"/>
              </w:rPr>
              <w:t>Options</w:t>
            </w:r>
          </w:p>
        </w:tc>
        <w:tc>
          <w:tcPr>
            <w:tcW w:w="6485" w:type="dxa"/>
          </w:tcPr>
          <w:p w14:paraId="40D0A9D1" w14:textId="77777777" w:rsidR="00981B08" w:rsidRPr="00C40759" w:rsidRDefault="00981B08" w:rsidP="00782395">
            <w:pPr>
              <w:pStyle w:val="TRNormal"/>
              <w:tabs>
                <w:tab w:val="left" w:pos="567"/>
              </w:tabs>
              <w:spacing w:line="240" w:lineRule="auto"/>
              <w:jc w:val="left"/>
              <w:rPr>
                <w:rFonts w:ascii="Arial" w:hAnsi="Arial"/>
                <w:b/>
                <w:sz w:val="22"/>
                <w:lang w:val="en-GB"/>
              </w:rPr>
            </w:pPr>
            <w:r w:rsidRPr="00C40759">
              <w:rPr>
                <w:b/>
                <w:sz w:val="22"/>
              </w:rPr>
              <w:t>Analysis against the objective and criteria</w:t>
            </w:r>
          </w:p>
        </w:tc>
      </w:tr>
      <w:tr w:rsidR="00981B08" w:rsidRPr="001709AC" w14:paraId="50C45F40" w14:textId="77777777" w:rsidTr="00F04527">
        <w:tc>
          <w:tcPr>
            <w:tcW w:w="2802" w:type="dxa"/>
          </w:tcPr>
          <w:p w14:paraId="103460C0" w14:textId="77777777" w:rsidR="00981B08" w:rsidRPr="001709AC" w:rsidRDefault="00782395" w:rsidP="00782395">
            <w:pPr>
              <w:pStyle w:val="TRNormal"/>
              <w:tabs>
                <w:tab w:val="left" w:pos="567"/>
              </w:tabs>
              <w:spacing w:line="240" w:lineRule="auto"/>
              <w:rPr>
                <w:sz w:val="22"/>
              </w:rPr>
            </w:pPr>
            <w:r w:rsidRPr="001709AC">
              <w:rPr>
                <w:sz w:val="22"/>
              </w:rPr>
              <w:t>Option 1: s</w:t>
            </w:r>
            <w:r w:rsidR="00981B08" w:rsidRPr="001709AC">
              <w:rPr>
                <w:sz w:val="22"/>
              </w:rPr>
              <w:t>tatus quo</w:t>
            </w:r>
          </w:p>
        </w:tc>
        <w:tc>
          <w:tcPr>
            <w:tcW w:w="6485" w:type="dxa"/>
          </w:tcPr>
          <w:p w14:paraId="447054A8" w14:textId="77777777" w:rsidR="00981B08" w:rsidRPr="001709AC" w:rsidRDefault="00B00EEB" w:rsidP="00782395">
            <w:pPr>
              <w:pStyle w:val="TRNormal"/>
              <w:tabs>
                <w:tab w:val="left" w:pos="567"/>
              </w:tabs>
              <w:spacing w:line="240" w:lineRule="auto"/>
              <w:jc w:val="left"/>
              <w:rPr>
                <w:rFonts w:ascii="Arial" w:hAnsi="Arial"/>
                <w:sz w:val="22"/>
                <w:lang w:val="en-GB"/>
              </w:rPr>
            </w:pPr>
            <w:r w:rsidRPr="001709AC">
              <w:rPr>
                <w:sz w:val="22"/>
              </w:rPr>
              <w:t>Does not meet the main objective</w:t>
            </w:r>
          </w:p>
          <w:p w14:paraId="246C7FA2" w14:textId="77777777" w:rsidR="00981B08" w:rsidRPr="001709AC" w:rsidRDefault="00981B08" w:rsidP="00782395">
            <w:pPr>
              <w:pStyle w:val="TRNormal"/>
              <w:tabs>
                <w:tab w:val="left" w:pos="567"/>
              </w:tabs>
              <w:spacing w:line="240" w:lineRule="auto"/>
              <w:jc w:val="left"/>
              <w:rPr>
                <w:rFonts w:ascii="Arial" w:hAnsi="Arial"/>
                <w:sz w:val="22"/>
                <w:lang w:val="en-GB"/>
              </w:rPr>
            </w:pPr>
          </w:p>
          <w:p w14:paraId="59F6165A" w14:textId="2A730EAD" w:rsidR="00981B08" w:rsidRPr="001709AC" w:rsidRDefault="00981B08" w:rsidP="00BE2E9B">
            <w:pPr>
              <w:pStyle w:val="TRNormal"/>
              <w:tabs>
                <w:tab w:val="left" w:pos="567"/>
              </w:tabs>
              <w:spacing w:line="240" w:lineRule="auto"/>
              <w:jc w:val="left"/>
              <w:rPr>
                <w:rFonts w:ascii="Arial" w:hAnsi="Arial"/>
                <w:sz w:val="22"/>
                <w:lang w:val="en-GB"/>
              </w:rPr>
            </w:pPr>
          </w:p>
        </w:tc>
      </w:tr>
      <w:tr w:rsidR="00981B08" w:rsidRPr="001709AC" w14:paraId="65A3591A" w14:textId="77777777" w:rsidTr="00F04527">
        <w:tc>
          <w:tcPr>
            <w:tcW w:w="2802" w:type="dxa"/>
          </w:tcPr>
          <w:p w14:paraId="1886EAF3" w14:textId="3E23CAA1" w:rsidR="00981B08" w:rsidRPr="001709AC" w:rsidRDefault="00782395" w:rsidP="00BE2E9B">
            <w:pPr>
              <w:pStyle w:val="TRNormal"/>
              <w:tabs>
                <w:tab w:val="left" w:pos="567"/>
              </w:tabs>
              <w:spacing w:line="240" w:lineRule="auto"/>
              <w:rPr>
                <w:sz w:val="22"/>
              </w:rPr>
            </w:pPr>
            <w:r w:rsidRPr="001709AC">
              <w:rPr>
                <w:sz w:val="22"/>
              </w:rPr>
              <w:t xml:space="preserve">Option 2: </w:t>
            </w:r>
            <w:r w:rsidR="00BE2E9B" w:rsidRPr="001709AC">
              <w:rPr>
                <w:sz w:val="22"/>
              </w:rPr>
              <w:t>Orders in Council</w:t>
            </w:r>
            <w:r w:rsidR="00ED1200">
              <w:rPr>
                <w:sz w:val="22"/>
              </w:rPr>
              <w:t xml:space="preserve"> and exemptions</w:t>
            </w:r>
          </w:p>
        </w:tc>
        <w:tc>
          <w:tcPr>
            <w:tcW w:w="6485" w:type="dxa"/>
          </w:tcPr>
          <w:p w14:paraId="7D87FB70" w14:textId="28DFF79D" w:rsidR="00BE2E9B" w:rsidRPr="001709AC" w:rsidRDefault="00BE2E9B" w:rsidP="00BE2E9B">
            <w:pPr>
              <w:pStyle w:val="TRNormal"/>
              <w:tabs>
                <w:tab w:val="left" w:pos="567"/>
              </w:tabs>
              <w:spacing w:line="240" w:lineRule="auto"/>
              <w:jc w:val="left"/>
              <w:rPr>
                <w:rFonts w:ascii="Arial" w:hAnsi="Arial"/>
                <w:sz w:val="22"/>
                <w:lang w:val="en-GB"/>
              </w:rPr>
            </w:pPr>
            <w:r w:rsidRPr="001709AC">
              <w:rPr>
                <w:sz w:val="22"/>
              </w:rPr>
              <w:t>Meets the main objective</w:t>
            </w:r>
          </w:p>
          <w:p w14:paraId="64C5E335" w14:textId="77777777" w:rsidR="00BE2E9B" w:rsidRPr="001709AC" w:rsidRDefault="00BE2E9B" w:rsidP="00BE2E9B">
            <w:pPr>
              <w:pStyle w:val="TRNormal"/>
              <w:tabs>
                <w:tab w:val="left" w:pos="567"/>
              </w:tabs>
              <w:spacing w:line="240" w:lineRule="auto"/>
              <w:jc w:val="left"/>
              <w:rPr>
                <w:rFonts w:ascii="Arial" w:hAnsi="Arial"/>
                <w:sz w:val="22"/>
                <w:lang w:val="en-GB"/>
              </w:rPr>
            </w:pPr>
          </w:p>
          <w:p w14:paraId="2A81A642" w14:textId="772EBA04" w:rsidR="00ED1200" w:rsidRPr="001709AC" w:rsidRDefault="00ED1200" w:rsidP="00ED1200">
            <w:pPr>
              <w:pStyle w:val="TRNormal"/>
              <w:tabs>
                <w:tab w:val="left" w:pos="567"/>
              </w:tabs>
              <w:spacing w:line="240" w:lineRule="auto"/>
              <w:jc w:val="left"/>
              <w:rPr>
                <w:rFonts w:ascii="Wingdings 2" w:hAnsi="Wingdings 2"/>
                <w:sz w:val="22"/>
                <w:szCs w:val="24"/>
              </w:rPr>
            </w:pPr>
            <w:r w:rsidRPr="001709AC">
              <w:rPr>
                <w:sz w:val="22"/>
              </w:rPr>
              <w:t xml:space="preserve">Compliance </w:t>
            </w:r>
            <w:r>
              <w:rPr>
                <w:sz w:val="22"/>
              </w:rPr>
              <w:t>efficiency</w:t>
            </w:r>
            <w:r w:rsidRPr="001709AC">
              <w:rPr>
                <w:sz w:val="22"/>
              </w:rPr>
              <w:t xml:space="preserve">: </w:t>
            </w:r>
            <w:r w:rsidR="00576C4A">
              <w:rPr>
                <w:sz w:val="22"/>
              </w:rPr>
              <w:t xml:space="preserve">            </w:t>
            </w:r>
            <w:r w:rsidRPr="001709AC">
              <w:rPr>
                <w:rFonts w:ascii="Wingdings 2" w:hAnsi="Wingdings 2"/>
                <w:sz w:val="22"/>
                <w:szCs w:val="24"/>
              </w:rPr>
              <w:t></w:t>
            </w:r>
            <w:r w:rsidRPr="001709AC">
              <w:rPr>
                <w:rFonts w:ascii="Wingdings 2" w:hAnsi="Wingdings 2"/>
                <w:sz w:val="22"/>
                <w:szCs w:val="24"/>
              </w:rPr>
              <w:t></w:t>
            </w:r>
          </w:p>
          <w:p w14:paraId="16AA5B46" w14:textId="434A9B51" w:rsidR="00BE2E9B" w:rsidRPr="001709AC" w:rsidRDefault="00656DD7" w:rsidP="00BE2E9B">
            <w:pPr>
              <w:pStyle w:val="TRNormal"/>
              <w:tabs>
                <w:tab w:val="left" w:pos="567"/>
              </w:tabs>
              <w:spacing w:line="240" w:lineRule="auto"/>
              <w:jc w:val="left"/>
              <w:rPr>
                <w:rFonts w:ascii="Wingdings 2" w:hAnsi="Wingdings 2"/>
                <w:sz w:val="22"/>
                <w:szCs w:val="24"/>
                <w:lang w:val="en-GB"/>
              </w:rPr>
            </w:pPr>
            <w:r>
              <w:rPr>
                <w:sz w:val="22"/>
              </w:rPr>
              <w:t>Administrative</w:t>
            </w:r>
            <w:r w:rsidR="00BE2E9B" w:rsidRPr="001709AC">
              <w:rPr>
                <w:sz w:val="22"/>
              </w:rPr>
              <w:t xml:space="preserve"> </w:t>
            </w:r>
            <w:r w:rsidR="00ED1200">
              <w:rPr>
                <w:sz w:val="22"/>
              </w:rPr>
              <w:t>efficiency</w:t>
            </w:r>
            <w:r w:rsidR="00BE2E9B" w:rsidRPr="001709AC">
              <w:rPr>
                <w:sz w:val="22"/>
              </w:rPr>
              <w:t>:</w:t>
            </w:r>
            <w:r w:rsidR="00BE2E9B" w:rsidRPr="001709AC">
              <w:rPr>
                <w:rFonts w:ascii="Wingdings 2" w:hAnsi="Wingdings 2"/>
                <w:sz w:val="22"/>
                <w:szCs w:val="24"/>
              </w:rPr>
              <w:t></w:t>
            </w:r>
            <w:r w:rsidR="00BE2E9B" w:rsidRPr="001709AC">
              <w:rPr>
                <w:rFonts w:ascii="Wingdings 2" w:hAnsi="Wingdings 2"/>
                <w:sz w:val="22"/>
                <w:szCs w:val="24"/>
              </w:rPr>
              <w:t></w:t>
            </w:r>
            <w:r w:rsidR="00BE2E9B" w:rsidRPr="001709AC">
              <w:rPr>
                <w:rFonts w:ascii="Wingdings 2" w:hAnsi="Wingdings 2"/>
                <w:sz w:val="22"/>
                <w:szCs w:val="24"/>
              </w:rPr>
              <w:t></w:t>
            </w:r>
            <w:r w:rsidR="00BE2E9B" w:rsidRPr="001709AC">
              <w:rPr>
                <w:rFonts w:ascii="Wingdings 2" w:hAnsi="Wingdings 2"/>
                <w:sz w:val="22"/>
                <w:szCs w:val="24"/>
              </w:rPr>
              <w:t></w:t>
            </w:r>
          </w:p>
          <w:p w14:paraId="58A124FB" w14:textId="00A28E03" w:rsidR="00BE2E9B" w:rsidRPr="001709AC" w:rsidRDefault="00BE2E9B" w:rsidP="00BE2E9B">
            <w:pPr>
              <w:pStyle w:val="TRNormal"/>
              <w:tabs>
                <w:tab w:val="left" w:pos="567"/>
              </w:tabs>
              <w:spacing w:line="240" w:lineRule="auto"/>
              <w:jc w:val="left"/>
              <w:rPr>
                <w:sz w:val="22"/>
                <w:szCs w:val="24"/>
                <w:lang w:val="en-GB"/>
              </w:rPr>
            </w:pPr>
            <w:r w:rsidRPr="001709AC">
              <w:rPr>
                <w:sz w:val="22"/>
                <w:szCs w:val="24"/>
              </w:rPr>
              <w:t xml:space="preserve">Sustainability: </w:t>
            </w:r>
            <w:r w:rsidR="00576C4A">
              <w:rPr>
                <w:sz w:val="22"/>
                <w:szCs w:val="24"/>
              </w:rPr>
              <w:t xml:space="preserve">                           </w:t>
            </w:r>
            <w:r w:rsidR="00C61625" w:rsidRPr="001709AC">
              <w:rPr>
                <w:rFonts w:ascii="Wingdings 2" w:hAnsi="Wingdings 2"/>
                <w:sz w:val="22"/>
                <w:szCs w:val="24"/>
              </w:rPr>
              <w:t></w:t>
            </w:r>
          </w:p>
          <w:p w14:paraId="39148A33" w14:textId="77777777" w:rsidR="00BE2E9B" w:rsidRPr="001709AC" w:rsidRDefault="00BE2E9B" w:rsidP="00BE2E9B">
            <w:pPr>
              <w:pStyle w:val="TRNormal"/>
              <w:tabs>
                <w:tab w:val="left" w:pos="567"/>
              </w:tabs>
              <w:spacing w:line="240" w:lineRule="auto"/>
              <w:jc w:val="left"/>
              <w:rPr>
                <w:rFonts w:ascii="Wingdings 2" w:hAnsi="Wingdings 2"/>
                <w:sz w:val="22"/>
                <w:szCs w:val="24"/>
                <w:lang w:val="en-GB"/>
              </w:rPr>
            </w:pPr>
          </w:p>
          <w:p w14:paraId="3365DB85" w14:textId="0E8B2541" w:rsidR="00981B08" w:rsidRPr="001709AC" w:rsidRDefault="00BE2E9B" w:rsidP="00BE2E9B">
            <w:pPr>
              <w:pStyle w:val="TRNormal"/>
              <w:tabs>
                <w:tab w:val="left" w:pos="567"/>
              </w:tabs>
              <w:spacing w:line="240" w:lineRule="auto"/>
              <w:jc w:val="left"/>
              <w:rPr>
                <w:rFonts w:ascii="Arial" w:hAnsi="Arial"/>
                <w:sz w:val="22"/>
                <w:lang w:val="en-GB"/>
              </w:rPr>
            </w:pPr>
            <w:r w:rsidRPr="001709AC">
              <w:rPr>
                <w:sz w:val="22"/>
              </w:rPr>
              <w:t>Overall comment:  Meet</w:t>
            </w:r>
            <w:r w:rsidR="003B35FE" w:rsidRPr="001709AC">
              <w:rPr>
                <w:sz w:val="22"/>
              </w:rPr>
              <w:t>s</w:t>
            </w:r>
            <w:r w:rsidRPr="001709AC">
              <w:rPr>
                <w:sz w:val="22"/>
              </w:rPr>
              <w:t xml:space="preserve"> the main objective and best meets the criteria</w:t>
            </w:r>
          </w:p>
        </w:tc>
      </w:tr>
    </w:tbl>
    <w:p w14:paraId="59A8E457" w14:textId="77777777" w:rsidR="00F04527" w:rsidRDefault="00F04527" w:rsidP="00782395">
      <w:pPr>
        <w:pStyle w:val="spacer"/>
        <w:jc w:val="both"/>
        <w:rPr>
          <w:lang w:val="en-AU"/>
        </w:rPr>
      </w:pPr>
    </w:p>
    <w:p w14:paraId="067224F3" w14:textId="77777777" w:rsidR="00863F13" w:rsidRDefault="00863F13" w:rsidP="00782395">
      <w:pPr>
        <w:pStyle w:val="spacer"/>
        <w:jc w:val="both"/>
        <w:rPr>
          <w:lang w:val="en-AU"/>
        </w:rPr>
      </w:pPr>
    </w:p>
    <w:tbl>
      <w:tblPr>
        <w:tblStyle w:val="TableGrid"/>
        <w:tblW w:w="0" w:type="auto"/>
        <w:tblLook w:val="04A0" w:firstRow="1" w:lastRow="0" w:firstColumn="1" w:lastColumn="0" w:noHBand="0" w:noVBand="1"/>
      </w:tblPr>
      <w:tblGrid>
        <w:gridCol w:w="2802"/>
        <w:gridCol w:w="6485"/>
      </w:tblGrid>
      <w:tr w:rsidR="00863F13" w14:paraId="2DE1FFF4" w14:textId="77777777" w:rsidTr="00AB456E">
        <w:tc>
          <w:tcPr>
            <w:tcW w:w="2802" w:type="dxa"/>
          </w:tcPr>
          <w:p w14:paraId="2DF9E8FC" w14:textId="425BCD2F" w:rsidR="00863F13" w:rsidRDefault="00863F13" w:rsidP="00782395">
            <w:pPr>
              <w:pStyle w:val="spacer"/>
              <w:rPr>
                <w:lang w:val="en-AU"/>
              </w:rPr>
            </w:pPr>
            <w:r w:rsidRPr="00F04527">
              <w:rPr>
                <w:rFonts w:ascii="Times New Roman" w:hAnsi="Times New Roman"/>
                <w:sz w:val="22"/>
              </w:rPr>
              <w:t>Option 3: Hybrid approach</w:t>
            </w:r>
          </w:p>
        </w:tc>
        <w:tc>
          <w:tcPr>
            <w:tcW w:w="6485" w:type="dxa"/>
          </w:tcPr>
          <w:p w14:paraId="2936F3B8" w14:textId="77777777" w:rsidR="00863F13" w:rsidRPr="001C1A35" w:rsidRDefault="00863F13" w:rsidP="00863F13">
            <w:pPr>
              <w:pStyle w:val="spacer"/>
              <w:rPr>
                <w:rFonts w:ascii="Times New Roman" w:hAnsi="Times New Roman"/>
                <w:sz w:val="22"/>
                <w:lang w:val="en-AU"/>
              </w:rPr>
            </w:pPr>
            <w:r w:rsidRPr="001C1A35">
              <w:rPr>
                <w:rFonts w:ascii="Times New Roman" w:hAnsi="Times New Roman"/>
                <w:sz w:val="22"/>
                <w:lang w:val="en-AU"/>
              </w:rPr>
              <w:t>Meets the main objective</w:t>
            </w:r>
          </w:p>
          <w:p w14:paraId="3C30A991" w14:textId="77777777" w:rsidR="00863F13" w:rsidRPr="001C1A35" w:rsidRDefault="00863F13" w:rsidP="00863F13">
            <w:pPr>
              <w:pStyle w:val="spacer"/>
              <w:rPr>
                <w:rFonts w:ascii="Times New Roman" w:hAnsi="Times New Roman"/>
                <w:sz w:val="22"/>
                <w:lang w:val="en-AU"/>
              </w:rPr>
            </w:pPr>
          </w:p>
          <w:p w14:paraId="31E603B5" w14:textId="77777777" w:rsidR="00863F13" w:rsidRPr="001C1A35" w:rsidRDefault="00863F13" w:rsidP="00863F13">
            <w:pPr>
              <w:pStyle w:val="spacer"/>
              <w:rPr>
                <w:rFonts w:ascii="Times New Roman" w:hAnsi="Times New Roman"/>
                <w:sz w:val="22"/>
                <w:lang w:val="en-AU"/>
              </w:rPr>
            </w:pPr>
            <w:r w:rsidRPr="001C1A35">
              <w:rPr>
                <w:rFonts w:ascii="Times New Roman" w:hAnsi="Times New Roman"/>
                <w:sz w:val="22"/>
                <w:lang w:val="en-AU"/>
              </w:rPr>
              <w:t xml:space="preserve">Compliance efficiency: </w:t>
            </w:r>
            <w:r>
              <w:rPr>
                <w:rFonts w:ascii="Times New Roman" w:hAnsi="Times New Roman"/>
                <w:sz w:val="22"/>
                <w:lang w:val="en-AU"/>
              </w:rPr>
              <w:t xml:space="preserve">       </w:t>
            </w:r>
            <w:r w:rsidRPr="001709AC">
              <w:rPr>
                <w:rFonts w:ascii="Wingdings 2" w:hAnsi="Wingdings 2"/>
                <w:sz w:val="22"/>
                <w:szCs w:val="24"/>
              </w:rPr>
              <w:t></w:t>
            </w:r>
            <w:r w:rsidRPr="001709AC">
              <w:rPr>
                <w:rFonts w:ascii="Wingdings 2" w:hAnsi="Wingdings 2"/>
                <w:sz w:val="22"/>
                <w:szCs w:val="24"/>
              </w:rPr>
              <w:t></w:t>
            </w:r>
          </w:p>
          <w:p w14:paraId="6028FD09" w14:textId="77777777" w:rsidR="00863F13" w:rsidRPr="001C1A35" w:rsidRDefault="00863F13" w:rsidP="00863F13">
            <w:pPr>
              <w:pStyle w:val="spacer"/>
              <w:rPr>
                <w:rFonts w:ascii="Times New Roman" w:hAnsi="Times New Roman"/>
                <w:sz w:val="22"/>
                <w:lang w:val="en-AU"/>
              </w:rPr>
            </w:pPr>
            <w:r w:rsidRPr="001C1A35">
              <w:rPr>
                <w:rFonts w:ascii="Times New Roman" w:hAnsi="Times New Roman"/>
                <w:sz w:val="22"/>
                <w:lang w:val="en-AU"/>
              </w:rPr>
              <w:t>Administrative efficiency:</w:t>
            </w:r>
            <w:r w:rsidRPr="001709AC">
              <w:rPr>
                <w:rFonts w:ascii="Wingdings 2" w:hAnsi="Wingdings 2"/>
                <w:sz w:val="22"/>
                <w:szCs w:val="24"/>
              </w:rPr>
              <w:t></w:t>
            </w:r>
            <w:r w:rsidRPr="001709AC">
              <w:rPr>
                <w:rFonts w:ascii="Wingdings 2" w:hAnsi="Wingdings 2"/>
                <w:sz w:val="22"/>
                <w:szCs w:val="24"/>
              </w:rPr>
              <w:t></w:t>
            </w:r>
            <w:r w:rsidRPr="001709AC">
              <w:rPr>
                <w:rFonts w:ascii="Wingdings 2" w:hAnsi="Wingdings 2"/>
                <w:sz w:val="22"/>
                <w:szCs w:val="24"/>
              </w:rPr>
              <w:t></w:t>
            </w:r>
          </w:p>
          <w:p w14:paraId="1F802AA6" w14:textId="77777777" w:rsidR="00863F13" w:rsidRPr="001C1A35" w:rsidRDefault="00863F13" w:rsidP="00863F13">
            <w:pPr>
              <w:pStyle w:val="spacer"/>
              <w:rPr>
                <w:rFonts w:ascii="Times New Roman" w:hAnsi="Times New Roman"/>
                <w:sz w:val="22"/>
                <w:lang w:val="en-AU"/>
              </w:rPr>
            </w:pPr>
            <w:r w:rsidRPr="001C1A35">
              <w:rPr>
                <w:rFonts w:ascii="Times New Roman" w:hAnsi="Times New Roman"/>
                <w:sz w:val="22"/>
                <w:lang w:val="en-AU"/>
              </w:rPr>
              <w:t xml:space="preserve">Sustainability: </w:t>
            </w:r>
            <w:r>
              <w:rPr>
                <w:rFonts w:ascii="Times New Roman" w:hAnsi="Times New Roman"/>
                <w:sz w:val="22"/>
                <w:lang w:val="en-AU"/>
              </w:rPr>
              <w:t xml:space="preserve">                    </w:t>
            </w:r>
            <w:r w:rsidRPr="001709AC">
              <w:rPr>
                <w:rFonts w:ascii="Wingdings 2" w:hAnsi="Wingdings 2"/>
                <w:sz w:val="22"/>
                <w:szCs w:val="24"/>
              </w:rPr>
              <w:t></w:t>
            </w:r>
            <w:r w:rsidRPr="001709AC">
              <w:rPr>
                <w:rFonts w:ascii="Wingdings 2" w:hAnsi="Wingdings 2"/>
                <w:sz w:val="22"/>
                <w:szCs w:val="24"/>
              </w:rPr>
              <w:t></w:t>
            </w:r>
          </w:p>
          <w:p w14:paraId="12F0D6C2" w14:textId="77777777" w:rsidR="00863F13" w:rsidRPr="001C1A35" w:rsidRDefault="00863F13" w:rsidP="00863F13">
            <w:pPr>
              <w:pStyle w:val="spacer"/>
              <w:rPr>
                <w:rFonts w:ascii="Times New Roman" w:hAnsi="Times New Roman"/>
                <w:sz w:val="22"/>
                <w:lang w:val="en-AU"/>
              </w:rPr>
            </w:pPr>
          </w:p>
          <w:p w14:paraId="676BCE9B" w14:textId="3C6B89A6" w:rsidR="00863F13" w:rsidRDefault="00863F13" w:rsidP="00863F13">
            <w:pPr>
              <w:pStyle w:val="spacer"/>
              <w:rPr>
                <w:lang w:val="en-AU"/>
              </w:rPr>
            </w:pPr>
            <w:r w:rsidRPr="001C1A35">
              <w:rPr>
                <w:rFonts w:ascii="Times New Roman" w:hAnsi="Times New Roman"/>
                <w:sz w:val="22"/>
                <w:lang w:val="en-AU"/>
              </w:rPr>
              <w:t xml:space="preserve">Overall comment:  Meets the main </w:t>
            </w:r>
            <w:proofErr w:type="gramStart"/>
            <w:r w:rsidRPr="001C1A35">
              <w:rPr>
                <w:rFonts w:ascii="Times New Roman" w:hAnsi="Times New Roman"/>
                <w:sz w:val="22"/>
                <w:lang w:val="en-AU"/>
              </w:rPr>
              <w:t>objective but there are</w:t>
            </w:r>
            <w:proofErr w:type="gramEnd"/>
            <w:r w:rsidRPr="001C1A35">
              <w:rPr>
                <w:rFonts w:ascii="Times New Roman" w:hAnsi="Times New Roman"/>
                <w:sz w:val="22"/>
                <w:lang w:val="en-AU"/>
              </w:rPr>
              <w:t xml:space="preserve"> risks to the coherence and integrity of the tax system.</w:t>
            </w:r>
          </w:p>
        </w:tc>
      </w:tr>
    </w:tbl>
    <w:p w14:paraId="3F4CB6EC" w14:textId="77777777" w:rsidR="00F04527" w:rsidRDefault="00F04527" w:rsidP="00782395">
      <w:pPr>
        <w:pStyle w:val="spacer"/>
        <w:jc w:val="both"/>
        <w:rPr>
          <w:lang w:val="en-AU"/>
        </w:rPr>
      </w:pPr>
    </w:p>
    <w:p w14:paraId="2200B934" w14:textId="77777777" w:rsidR="00F92208" w:rsidRPr="00782395" w:rsidRDefault="00F92208" w:rsidP="00782395">
      <w:pPr>
        <w:pStyle w:val="spacer"/>
        <w:jc w:val="both"/>
        <w:rPr>
          <w:lang w:val="en-AU"/>
        </w:rPr>
      </w:pPr>
    </w:p>
    <w:p w14:paraId="10CDB6D1" w14:textId="1AE0BDD0" w:rsidR="000545DC" w:rsidRPr="00FC53CF" w:rsidRDefault="000865E9" w:rsidP="008D082A">
      <w:pPr>
        <w:pStyle w:val="Bullet-list"/>
        <w:numPr>
          <w:ilvl w:val="0"/>
          <w:numId w:val="12"/>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Inland Revenue prefers option </w:t>
      </w:r>
      <w:r w:rsidR="00BE2E9B">
        <w:rPr>
          <w:rFonts w:ascii="Times New Roman" w:hAnsi="Times New Roman"/>
          <w:sz w:val="24"/>
          <w:szCs w:val="24"/>
        </w:rPr>
        <w:t>2</w:t>
      </w:r>
      <w:r w:rsidR="0065318C">
        <w:rPr>
          <w:rFonts w:ascii="Times New Roman" w:hAnsi="Times New Roman"/>
          <w:sz w:val="24"/>
          <w:szCs w:val="24"/>
        </w:rPr>
        <w:t xml:space="preserve"> </w:t>
      </w:r>
      <w:r>
        <w:rPr>
          <w:rFonts w:ascii="Times New Roman" w:hAnsi="Times New Roman"/>
          <w:sz w:val="24"/>
          <w:szCs w:val="24"/>
        </w:rPr>
        <w:t>for the following reasons:</w:t>
      </w:r>
    </w:p>
    <w:p w14:paraId="3EEB28DF" w14:textId="77777777" w:rsidR="00FC53CF" w:rsidRDefault="00FC53CF" w:rsidP="00FC1D7B">
      <w:pPr>
        <w:pStyle w:val="Bullet-list"/>
        <w:spacing w:after="0" w:line="240" w:lineRule="auto"/>
        <w:ind w:left="0" w:firstLine="0"/>
        <w:jc w:val="both"/>
        <w:rPr>
          <w:rFonts w:ascii="Times New Roman" w:hAnsi="Times New Roman"/>
          <w:sz w:val="24"/>
          <w:szCs w:val="24"/>
        </w:rPr>
      </w:pPr>
    </w:p>
    <w:p w14:paraId="5E8BCEA6" w14:textId="4EDFF15A" w:rsidR="00FC53CF" w:rsidRPr="00782395" w:rsidRDefault="00C301A7"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It meets the main objective of supporting an orderly transition from the old system </w:t>
      </w:r>
      <w:r w:rsidR="00F45490">
        <w:rPr>
          <w:rFonts w:ascii="Times New Roman" w:hAnsi="Times New Roman"/>
          <w:sz w:val="24"/>
          <w:szCs w:val="24"/>
        </w:rPr>
        <w:t xml:space="preserve">(FIRST) </w:t>
      </w:r>
      <w:r>
        <w:rPr>
          <w:rFonts w:ascii="Times New Roman" w:hAnsi="Times New Roman"/>
          <w:sz w:val="24"/>
          <w:szCs w:val="24"/>
        </w:rPr>
        <w:t>to the new system</w:t>
      </w:r>
      <w:r w:rsidR="00F45490">
        <w:rPr>
          <w:rFonts w:ascii="Times New Roman" w:hAnsi="Times New Roman"/>
          <w:sz w:val="24"/>
          <w:szCs w:val="24"/>
        </w:rPr>
        <w:t xml:space="preserve"> (START)</w:t>
      </w:r>
      <w:r w:rsidR="00C03BEA">
        <w:rPr>
          <w:rFonts w:ascii="Times New Roman" w:hAnsi="Times New Roman"/>
          <w:sz w:val="24"/>
          <w:szCs w:val="24"/>
        </w:rPr>
        <w:t>.</w:t>
      </w:r>
    </w:p>
    <w:p w14:paraId="348395C4" w14:textId="77777777" w:rsidR="00FC53CF" w:rsidRPr="00782395" w:rsidRDefault="00FC53CF" w:rsidP="00782395">
      <w:pPr>
        <w:pStyle w:val="Bullet-list"/>
        <w:spacing w:after="0" w:line="240" w:lineRule="auto"/>
        <w:ind w:left="1134" w:firstLine="0"/>
        <w:jc w:val="both"/>
        <w:rPr>
          <w:rFonts w:ascii="Times New Roman" w:hAnsi="Times New Roman"/>
          <w:sz w:val="24"/>
          <w:szCs w:val="24"/>
        </w:rPr>
      </w:pPr>
    </w:p>
    <w:p w14:paraId="3715436A" w14:textId="26AB4ED1" w:rsidR="00FC53CF" w:rsidRDefault="00C301A7"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It applies an approach that is recognised constitutionally as appropriate </w:t>
      </w:r>
      <w:r w:rsidR="000F294A">
        <w:rPr>
          <w:rFonts w:ascii="Times New Roman" w:hAnsi="Times New Roman"/>
          <w:sz w:val="24"/>
          <w:szCs w:val="24"/>
        </w:rPr>
        <w:t>and</w:t>
      </w:r>
      <w:r w:rsidR="00ED1200">
        <w:rPr>
          <w:rFonts w:ascii="Times New Roman" w:hAnsi="Times New Roman"/>
          <w:sz w:val="24"/>
          <w:szCs w:val="24"/>
        </w:rPr>
        <w:t xml:space="preserve"> it meets the requirements of the </w:t>
      </w:r>
      <w:r w:rsidR="00747244">
        <w:rPr>
          <w:rFonts w:ascii="Times New Roman" w:hAnsi="Times New Roman"/>
          <w:sz w:val="24"/>
          <w:szCs w:val="24"/>
        </w:rPr>
        <w:t xml:space="preserve">LAC </w:t>
      </w:r>
      <w:r w:rsidR="00ED1200">
        <w:rPr>
          <w:rFonts w:ascii="Times New Roman" w:hAnsi="Times New Roman"/>
          <w:sz w:val="24"/>
          <w:szCs w:val="24"/>
        </w:rPr>
        <w:t>Guidelines</w:t>
      </w:r>
      <w:r>
        <w:rPr>
          <w:rFonts w:ascii="Times New Roman" w:hAnsi="Times New Roman"/>
          <w:sz w:val="24"/>
          <w:szCs w:val="24"/>
        </w:rPr>
        <w:t>, as opposed to option 3</w:t>
      </w:r>
      <w:r w:rsidR="00CC58D3">
        <w:rPr>
          <w:rFonts w:ascii="Times New Roman" w:hAnsi="Times New Roman"/>
          <w:sz w:val="24"/>
          <w:szCs w:val="24"/>
        </w:rPr>
        <w:t>.</w:t>
      </w:r>
    </w:p>
    <w:p w14:paraId="39A9144F" w14:textId="77777777" w:rsidR="00C301A7" w:rsidRDefault="00C301A7" w:rsidP="00C301A7">
      <w:pPr>
        <w:pStyle w:val="ListParagraph"/>
        <w:rPr>
          <w:rFonts w:ascii="Times New Roman" w:hAnsi="Times New Roman"/>
          <w:sz w:val="24"/>
          <w:szCs w:val="24"/>
        </w:rPr>
      </w:pPr>
    </w:p>
    <w:p w14:paraId="44317D84" w14:textId="7A2A2540" w:rsidR="00C301A7" w:rsidRPr="00782395" w:rsidRDefault="00C301A7"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It </w:t>
      </w:r>
      <w:r w:rsidR="00F45490">
        <w:rPr>
          <w:rFonts w:ascii="Times New Roman" w:hAnsi="Times New Roman"/>
          <w:sz w:val="24"/>
          <w:szCs w:val="24"/>
        </w:rPr>
        <w:t>minimises</w:t>
      </w:r>
      <w:r>
        <w:rPr>
          <w:rFonts w:ascii="Times New Roman" w:hAnsi="Times New Roman"/>
          <w:sz w:val="24"/>
          <w:szCs w:val="24"/>
        </w:rPr>
        <w:t xml:space="preserve"> taxpayer compliance costs by reducing the period of uncertainty, while reducing the risk any remedy will be overturned (in comparison to option 3)</w:t>
      </w:r>
      <w:r w:rsidR="00817709">
        <w:rPr>
          <w:rFonts w:ascii="Times New Roman" w:hAnsi="Times New Roman"/>
          <w:sz w:val="24"/>
          <w:szCs w:val="24"/>
        </w:rPr>
        <w:t>.</w:t>
      </w:r>
    </w:p>
    <w:p w14:paraId="45C810B9" w14:textId="77777777" w:rsidR="00FC53CF" w:rsidRPr="00782395" w:rsidRDefault="00FC53CF" w:rsidP="00782395">
      <w:pPr>
        <w:pStyle w:val="Bullet-list"/>
        <w:spacing w:after="0" w:line="240" w:lineRule="auto"/>
        <w:ind w:left="1134" w:firstLine="0"/>
        <w:jc w:val="both"/>
        <w:rPr>
          <w:rFonts w:ascii="Times New Roman" w:hAnsi="Times New Roman"/>
          <w:sz w:val="24"/>
          <w:szCs w:val="24"/>
        </w:rPr>
      </w:pPr>
    </w:p>
    <w:p w14:paraId="27367388" w14:textId="3DE3FAAA" w:rsidR="000865E9" w:rsidRPr="00981B08" w:rsidRDefault="00C301A7" w:rsidP="00782395">
      <w:pPr>
        <w:pStyle w:val="Bullet-list"/>
        <w:numPr>
          <w:ilvl w:val="0"/>
          <w:numId w:val="8"/>
        </w:numPr>
        <w:spacing w:after="0" w:line="240" w:lineRule="auto"/>
        <w:ind w:left="1134" w:hanging="567"/>
        <w:jc w:val="both"/>
        <w:rPr>
          <w:rFonts w:ascii="Times New Roman" w:hAnsi="Times New Roman"/>
          <w:sz w:val="24"/>
          <w:szCs w:val="24"/>
        </w:rPr>
      </w:pPr>
      <w:r>
        <w:rPr>
          <w:rFonts w:ascii="Times New Roman" w:hAnsi="Times New Roman"/>
          <w:sz w:val="24"/>
          <w:szCs w:val="24"/>
        </w:rPr>
        <w:t>It reduces administrative costs for Inland Revenue</w:t>
      </w:r>
      <w:r w:rsidR="00F45490">
        <w:rPr>
          <w:rFonts w:ascii="Times New Roman" w:hAnsi="Times New Roman"/>
          <w:sz w:val="24"/>
          <w:szCs w:val="24"/>
        </w:rPr>
        <w:t xml:space="preserve"> compared with the status quo</w:t>
      </w:r>
      <w:r w:rsidR="00965312">
        <w:rPr>
          <w:rFonts w:ascii="Times New Roman" w:hAnsi="Times New Roman"/>
          <w:sz w:val="24"/>
          <w:szCs w:val="24"/>
        </w:rPr>
        <w:t xml:space="preserve">. </w:t>
      </w:r>
    </w:p>
    <w:p w14:paraId="6EFAF894" w14:textId="77777777" w:rsidR="00FC53CF" w:rsidRPr="00782395" w:rsidRDefault="00FC53CF" w:rsidP="00782395">
      <w:pPr>
        <w:pStyle w:val="spacer"/>
        <w:jc w:val="both"/>
        <w:rPr>
          <w:rFonts w:ascii="Times New Roman" w:hAnsi="Times New Roman"/>
          <w:sz w:val="24"/>
          <w:szCs w:val="24"/>
          <w:lang w:val="en-AU"/>
        </w:rPr>
      </w:pPr>
    </w:p>
    <w:p w14:paraId="2D1F2D3E" w14:textId="77777777" w:rsidR="00D943DD" w:rsidRPr="004342F0" w:rsidRDefault="00D943DD" w:rsidP="00FC1D7B">
      <w:pPr>
        <w:pStyle w:val="spacer"/>
        <w:jc w:val="both"/>
        <w:rPr>
          <w:rFonts w:ascii="Times New Roman" w:hAnsi="Times New Roman"/>
          <w:sz w:val="24"/>
          <w:szCs w:val="24"/>
          <w:lang w:val="en-AU"/>
        </w:rPr>
      </w:pPr>
      <w:bookmarkStart w:id="32" w:name="_Toc244580368"/>
      <w:bookmarkStart w:id="33" w:name="_Toc244587044"/>
      <w:bookmarkStart w:id="34" w:name="_Toc244857278"/>
      <w:bookmarkStart w:id="35" w:name="_Toc244912543"/>
      <w:bookmarkStart w:id="36" w:name="_Toc244917000"/>
    </w:p>
    <w:p w14:paraId="20177785" w14:textId="77777777" w:rsidR="000545DC" w:rsidRDefault="00D943DD" w:rsidP="00FC1D7B">
      <w:pPr>
        <w:pStyle w:val="RISheading"/>
        <w:spacing w:before="0" w:after="0"/>
        <w:jc w:val="both"/>
        <w:rPr>
          <w:spacing w:val="0"/>
          <w:w w:val="100"/>
        </w:rPr>
      </w:pPr>
      <w:r w:rsidRPr="004342F0">
        <w:rPr>
          <w:spacing w:val="0"/>
          <w:w w:val="100"/>
        </w:rPr>
        <w:t>IMPLEMENTATION</w:t>
      </w:r>
      <w:bookmarkEnd w:id="32"/>
      <w:bookmarkEnd w:id="33"/>
      <w:bookmarkEnd w:id="34"/>
      <w:bookmarkEnd w:id="35"/>
      <w:bookmarkEnd w:id="36"/>
      <w:r w:rsidRPr="004342F0">
        <w:rPr>
          <w:spacing w:val="0"/>
          <w:w w:val="100"/>
        </w:rPr>
        <w:t xml:space="preserve"> </w:t>
      </w:r>
    </w:p>
    <w:p w14:paraId="3F50F48B" w14:textId="77777777" w:rsidR="00FC53CF" w:rsidRPr="00782395" w:rsidRDefault="00FC53CF" w:rsidP="00782395">
      <w:pPr>
        <w:pStyle w:val="spacer"/>
        <w:jc w:val="both"/>
        <w:rPr>
          <w:lang w:val="en-AU"/>
        </w:rPr>
      </w:pPr>
    </w:p>
    <w:p w14:paraId="112E894D" w14:textId="77777777" w:rsidR="008B1BE0" w:rsidRDefault="00C03BEA" w:rsidP="00740B97">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Legislative change</w:t>
      </w:r>
      <w:r w:rsidR="00401C51">
        <w:rPr>
          <w:rFonts w:ascii="Times New Roman" w:hAnsi="Times New Roman"/>
          <w:sz w:val="24"/>
          <w:szCs w:val="24"/>
        </w:rPr>
        <w:t>s to the Tax Administration Act 1994</w:t>
      </w:r>
      <w:r>
        <w:rPr>
          <w:rFonts w:ascii="Times New Roman" w:hAnsi="Times New Roman"/>
          <w:sz w:val="24"/>
          <w:szCs w:val="24"/>
        </w:rPr>
        <w:t xml:space="preserve"> would be required to </w:t>
      </w:r>
      <w:r w:rsidR="002D6F42">
        <w:rPr>
          <w:rFonts w:ascii="Times New Roman" w:hAnsi="Times New Roman"/>
          <w:sz w:val="24"/>
          <w:szCs w:val="24"/>
        </w:rPr>
        <w:t xml:space="preserve">implement </w:t>
      </w:r>
      <w:r>
        <w:rPr>
          <w:rFonts w:ascii="Times New Roman" w:hAnsi="Times New Roman"/>
          <w:sz w:val="24"/>
          <w:szCs w:val="24"/>
        </w:rPr>
        <w:t>option 2</w:t>
      </w:r>
      <w:r w:rsidR="00401C51">
        <w:rPr>
          <w:rFonts w:ascii="Times New Roman" w:hAnsi="Times New Roman"/>
          <w:sz w:val="24"/>
          <w:szCs w:val="24"/>
        </w:rPr>
        <w:t>.</w:t>
      </w:r>
      <w:r>
        <w:rPr>
          <w:rFonts w:ascii="Times New Roman" w:hAnsi="Times New Roman"/>
          <w:sz w:val="24"/>
          <w:szCs w:val="24"/>
        </w:rPr>
        <w:t xml:space="preserve"> </w:t>
      </w:r>
      <w:r w:rsidR="00ED1200">
        <w:rPr>
          <w:rFonts w:ascii="Times New Roman" w:hAnsi="Times New Roman"/>
          <w:sz w:val="24"/>
          <w:szCs w:val="24"/>
        </w:rPr>
        <w:t xml:space="preserve"> Specifically, an empowering provision would need to be enacted that included the criteria set out above.  </w:t>
      </w:r>
    </w:p>
    <w:p w14:paraId="1C18E268" w14:textId="77777777" w:rsidR="008B1BE0" w:rsidRDefault="008B1BE0" w:rsidP="008B1BE0">
      <w:pPr>
        <w:pStyle w:val="Bullet-list"/>
        <w:spacing w:after="0" w:line="240" w:lineRule="auto"/>
        <w:jc w:val="both"/>
        <w:rPr>
          <w:rFonts w:ascii="Times New Roman" w:hAnsi="Times New Roman"/>
          <w:sz w:val="24"/>
          <w:szCs w:val="24"/>
        </w:rPr>
      </w:pPr>
    </w:p>
    <w:p w14:paraId="1FC2606D" w14:textId="358102A7" w:rsidR="000545DC" w:rsidRDefault="00401C51" w:rsidP="00740B97">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w:t>
      </w:r>
      <w:r w:rsidR="00C03BEA">
        <w:rPr>
          <w:rFonts w:ascii="Times New Roman" w:hAnsi="Times New Roman"/>
          <w:sz w:val="24"/>
          <w:szCs w:val="24"/>
        </w:rPr>
        <w:t xml:space="preserve">amendment could be included in </w:t>
      </w:r>
      <w:r w:rsidR="00F45490">
        <w:rPr>
          <w:rFonts w:ascii="Times New Roman" w:hAnsi="Times New Roman"/>
          <w:sz w:val="24"/>
          <w:szCs w:val="24"/>
        </w:rPr>
        <w:t xml:space="preserve">a Supplementary Order Paper </w:t>
      </w:r>
      <w:r w:rsidR="00F45490" w:rsidRPr="00F45490">
        <w:rPr>
          <w:rFonts w:ascii="Times New Roman" w:hAnsi="Times New Roman"/>
          <w:sz w:val="24"/>
          <w:szCs w:val="24"/>
        </w:rPr>
        <w:t>at the select committee stage of the Taxation (Business Tax, Exchange of Information, and Remedial Matters) Bill.  This would allow consultation on the proposal as part of the normal select committee process.</w:t>
      </w:r>
      <w:r w:rsidR="00ED1200">
        <w:rPr>
          <w:rFonts w:ascii="Times New Roman" w:hAnsi="Times New Roman"/>
          <w:sz w:val="24"/>
          <w:szCs w:val="24"/>
        </w:rPr>
        <w:t xml:space="preserve"> </w:t>
      </w:r>
      <w:r w:rsidR="00F45490">
        <w:rPr>
          <w:rFonts w:ascii="Times New Roman" w:hAnsi="Times New Roman"/>
          <w:sz w:val="24"/>
          <w:szCs w:val="24"/>
        </w:rPr>
        <w:t>The amendment would</w:t>
      </w:r>
      <w:r w:rsidR="00ED1200">
        <w:rPr>
          <w:rFonts w:ascii="Times New Roman" w:hAnsi="Times New Roman"/>
          <w:sz w:val="24"/>
          <w:szCs w:val="24"/>
        </w:rPr>
        <w:t xml:space="preserve"> apply f</w:t>
      </w:r>
      <w:r w:rsidR="00656DD7">
        <w:rPr>
          <w:rFonts w:ascii="Times New Roman" w:hAnsi="Times New Roman"/>
          <w:sz w:val="24"/>
          <w:szCs w:val="24"/>
        </w:rPr>
        <w:t>rom</w:t>
      </w:r>
      <w:r w:rsidR="00ED1200">
        <w:rPr>
          <w:rFonts w:ascii="Times New Roman" w:hAnsi="Times New Roman"/>
          <w:sz w:val="24"/>
          <w:szCs w:val="24"/>
        </w:rPr>
        <w:t xml:space="preserve"> the date of enactment.</w:t>
      </w:r>
      <w:r w:rsidR="009A353A">
        <w:rPr>
          <w:rFonts w:ascii="Times New Roman" w:hAnsi="Times New Roman"/>
          <w:sz w:val="24"/>
          <w:szCs w:val="24"/>
        </w:rPr>
        <w:t xml:space="preserve">  </w:t>
      </w:r>
      <w:r w:rsidR="00740B97" w:rsidRPr="00740B97">
        <w:rPr>
          <w:rFonts w:ascii="Times New Roman" w:hAnsi="Times New Roman"/>
          <w:sz w:val="24"/>
          <w:szCs w:val="24"/>
        </w:rPr>
        <w:t xml:space="preserve">Explanation of the amendment and its effect </w:t>
      </w:r>
      <w:r w:rsidR="00CE24C7">
        <w:rPr>
          <w:rFonts w:ascii="Times New Roman" w:hAnsi="Times New Roman"/>
          <w:sz w:val="24"/>
          <w:szCs w:val="24"/>
        </w:rPr>
        <w:t>could</w:t>
      </w:r>
      <w:r w:rsidR="00CE24C7" w:rsidRPr="00740B97">
        <w:rPr>
          <w:rFonts w:ascii="Times New Roman" w:hAnsi="Times New Roman"/>
          <w:sz w:val="24"/>
          <w:szCs w:val="24"/>
        </w:rPr>
        <w:t xml:space="preserve"> </w:t>
      </w:r>
      <w:r w:rsidR="00740B97" w:rsidRPr="00740B97">
        <w:rPr>
          <w:rFonts w:ascii="Times New Roman" w:hAnsi="Times New Roman"/>
          <w:sz w:val="24"/>
          <w:szCs w:val="24"/>
        </w:rPr>
        <w:t xml:space="preserve">be contained in a </w:t>
      </w:r>
      <w:r w:rsidR="00740B97" w:rsidRPr="00740B97">
        <w:rPr>
          <w:rFonts w:ascii="Times New Roman" w:hAnsi="Times New Roman"/>
          <w:i/>
          <w:sz w:val="24"/>
          <w:szCs w:val="24"/>
        </w:rPr>
        <w:t>Tax Information Bulletin</w:t>
      </w:r>
      <w:r w:rsidR="00740B97" w:rsidRPr="00740B97">
        <w:rPr>
          <w:rFonts w:ascii="Times New Roman" w:hAnsi="Times New Roman"/>
          <w:sz w:val="24"/>
          <w:szCs w:val="24"/>
        </w:rPr>
        <w:t>, which w</w:t>
      </w:r>
      <w:r w:rsidR="00CE24C7">
        <w:rPr>
          <w:rFonts w:ascii="Times New Roman" w:hAnsi="Times New Roman"/>
          <w:sz w:val="24"/>
          <w:szCs w:val="24"/>
        </w:rPr>
        <w:t>ould</w:t>
      </w:r>
      <w:r w:rsidR="00740B97" w:rsidRPr="00740B97">
        <w:rPr>
          <w:rFonts w:ascii="Times New Roman" w:hAnsi="Times New Roman"/>
          <w:sz w:val="24"/>
          <w:szCs w:val="24"/>
        </w:rPr>
        <w:t xml:space="preserve"> be released shortly after the bill receive</w:t>
      </w:r>
      <w:r w:rsidR="00AB09C5">
        <w:rPr>
          <w:rFonts w:ascii="Times New Roman" w:hAnsi="Times New Roman"/>
          <w:sz w:val="24"/>
          <w:szCs w:val="24"/>
        </w:rPr>
        <w:t>d</w:t>
      </w:r>
      <w:r w:rsidR="00740B97" w:rsidRPr="00740B97">
        <w:rPr>
          <w:rFonts w:ascii="Times New Roman" w:hAnsi="Times New Roman"/>
          <w:sz w:val="24"/>
          <w:szCs w:val="24"/>
        </w:rPr>
        <w:t xml:space="preserve"> Royal assent.</w:t>
      </w:r>
    </w:p>
    <w:p w14:paraId="4C46206F" w14:textId="77777777" w:rsidR="00F45490" w:rsidRDefault="00F45490" w:rsidP="00F45490">
      <w:pPr>
        <w:pStyle w:val="Bullet-list"/>
        <w:spacing w:after="0" w:line="240" w:lineRule="auto"/>
        <w:jc w:val="both"/>
        <w:rPr>
          <w:rFonts w:ascii="Times New Roman" w:hAnsi="Times New Roman"/>
          <w:sz w:val="24"/>
          <w:szCs w:val="24"/>
        </w:rPr>
      </w:pPr>
    </w:p>
    <w:p w14:paraId="541073D7" w14:textId="314F9A0F" w:rsidR="000545DC" w:rsidRPr="004342F0" w:rsidRDefault="00C03BEA" w:rsidP="00782395">
      <w:pPr>
        <w:pStyle w:val="Bullet-list"/>
        <w:numPr>
          <w:ilvl w:val="0"/>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No systems changes</w:t>
      </w:r>
      <w:r w:rsidR="00CE4D4B">
        <w:rPr>
          <w:rFonts w:ascii="Times New Roman" w:hAnsi="Times New Roman"/>
          <w:sz w:val="24"/>
          <w:szCs w:val="24"/>
        </w:rPr>
        <w:t xml:space="preserve"> would be required to implement option 2.</w:t>
      </w:r>
      <w:r w:rsidR="00782395">
        <w:rPr>
          <w:rFonts w:ascii="Times New Roman" w:hAnsi="Times New Roman"/>
          <w:sz w:val="24"/>
          <w:szCs w:val="24"/>
        </w:rPr>
        <w:t xml:space="preserve">  </w:t>
      </w:r>
      <w:r w:rsidR="00ED1200">
        <w:rPr>
          <w:rFonts w:ascii="Times New Roman" w:hAnsi="Times New Roman"/>
          <w:sz w:val="24"/>
          <w:szCs w:val="24"/>
        </w:rPr>
        <w:t xml:space="preserve">Inland Revenue would be responsible for preparing </w:t>
      </w:r>
      <w:r w:rsidR="000F294A">
        <w:rPr>
          <w:rFonts w:ascii="Times New Roman" w:hAnsi="Times New Roman"/>
          <w:sz w:val="24"/>
          <w:szCs w:val="24"/>
        </w:rPr>
        <w:t>advice on any</w:t>
      </w:r>
      <w:r w:rsidR="00ED1200">
        <w:rPr>
          <w:rFonts w:ascii="Times New Roman" w:hAnsi="Times New Roman"/>
          <w:sz w:val="24"/>
          <w:szCs w:val="24"/>
        </w:rPr>
        <w:t xml:space="preserve"> Orders in Council but it would be the Executive Council that </w:t>
      </w:r>
      <w:r w:rsidR="00740B97">
        <w:rPr>
          <w:rFonts w:ascii="Times New Roman" w:hAnsi="Times New Roman"/>
          <w:sz w:val="24"/>
          <w:szCs w:val="24"/>
        </w:rPr>
        <w:t>would make</w:t>
      </w:r>
      <w:r w:rsidR="00ED1200">
        <w:rPr>
          <w:rFonts w:ascii="Times New Roman" w:hAnsi="Times New Roman"/>
          <w:sz w:val="24"/>
          <w:szCs w:val="24"/>
        </w:rPr>
        <w:t xml:space="preserve"> the regulations</w:t>
      </w:r>
      <w:r w:rsidR="009A353A">
        <w:rPr>
          <w:rFonts w:ascii="Times New Roman" w:hAnsi="Times New Roman"/>
          <w:sz w:val="24"/>
          <w:szCs w:val="24"/>
        </w:rPr>
        <w:t xml:space="preserve"> after consideration by Cabinet</w:t>
      </w:r>
      <w:r w:rsidR="00ED1200">
        <w:rPr>
          <w:rFonts w:ascii="Times New Roman" w:hAnsi="Times New Roman"/>
          <w:sz w:val="24"/>
          <w:szCs w:val="24"/>
        </w:rPr>
        <w:t xml:space="preserve">.  </w:t>
      </w:r>
      <w:r w:rsidR="009A353A">
        <w:rPr>
          <w:rFonts w:ascii="Times New Roman" w:hAnsi="Times New Roman"/>
          <w:sz w:val="24"/>
          <w:szCs w:val="24"/>
        </w:rPr>
        <w:t>I</w:t>
      </w:r>
      <w:r w:rsidR="00CE4D4B">
        <w:rPr>
          <w:rFonts w:ascii="Times New Roman" w:hAnsi="Times New Roman"/>
          <w:sz w:val="24"/>
          <w:szCs w:val="24"/>
        </w:rPr>
        <w:t xml:space="preserve">t would require the use of </w:t>
      </w:r>
      <w:r w:rsidR="00965312">
        <w:rPr>
          <w:rFonts w:ascii="Times New Roman" w:hAnsi="Times New Roman"/>
          <w:sz w:val="24"/>
          <w:szCs w:val="24"/>
        </w:rPr>
        <w:t>the Commissioner’s resources</w:t>
      </w:r>
      <w:r w:rsidR="00CE4D4B">
        <w:rPr>
          <w:rFonts w:ascii="Times New Roman" w:hAnsi="Times New Roman"/>
          <w:sz w:val="24"/>
          <w:szCs w:val="24"/>
        </w:rPr>
        <w:t xml:space="preserve"> to consider applications for </w:t>
      </w:r>
      <w:r w:rsidR="0065318C">
        <w:rPr>
          <w:rFonts w:ascii="Times New Roman" w:hAnsi="Times New Roman"/>
          <w:sz w:val="24"/>
          <w:szCs w:val="24"/>
        </w:rPr>
        <w:t>transitional regulations or exemptions</w:t>
      </w:r>
      <w:r w:rsidR="00965312">
        <w:rPr>
          <w:rFonts w:ascii="Times New Roman" w:hAnsi="Times New Roman"/>
          <w:sz w:val="24"/>
          <w:szCs w:val="24"/>
        </w:rPr>
        <w:t xml:space="preserve">. </w:t>
      </w:r>
      <w:r w:rsidR="00401C51">
        <w:rPr>
          <w:rFonts w:ascii="Times New Roman" w:hAnsi="Times New Roman"/>
          <w:sz w:val="24"/>
          <w:szCs w:val="24"/>
        </w:rPr>
        <w:t xml:space="preserve"> </w:t>
      </w:r>
      <w:r w:rsidR="00C301A7">
        <w:rPr>
          <w:rFonts w:ascii="Times New Roman" w:hAnsi="Times New Roman"/>
          <w:sz w:val="24"/>
          <w:szCs w:val="24"/>
        </w:rPr>
        <w:t>The administrative costs</w:t>
      </w:r>
      <w:r w:rsidR="00740B97">
        <w:rPr>
          <w:rFonts w:ascii="Times New Roman" w:hAnsi="Times New Roman"/>
          <w:sz w:val="24"/>
          <w:szCs w:val="24"/>
        </w:rPr>
        <w:t xml:space="preserve"> for Inland Revenue</w:t>
      </w:r>
      <w:r w:rsidR="00C301A7">
        <w:rPr>
          <w:rFonts w:ascii="Times New Roman" w:hAnsi="Times New Roman"/>
          <w:sz w:val="24"/>
          <w:szCs w:val="24"/>
        </w:rPr>
        <w:t xml:space="preserve">, compliance costs for taxpayers and fiscal costs </w:t>
      </w:r>
      <w:r w:rsidR="00740B97">
        <w:rPr>
          <w:rFonts w:ascii="Times New Roman" w:hAnsi="Times New Roman"/>
          <w:sz w:val="24"/>
          <w:szCs w:val="24"/>
        </w:rPr>
        <w:t xml:space="preserve">for the </w:t>
      </w:r>
      <w:r w:rsidR="00CE24C7">
        <w:rPr>
          <w:rFonts w:ascii="Times New Roman" w:hAnsi="Times New Roman"/>
          <w:sz w:val="24"/>
          <w:szCs w:val="24"/>
        </w:rPr>
        <w:t xml:space="preserve">Crown </w:t>
      </w:r>
      <w:r w:rsidR="00C301A7">
        <w:rPr>
          <w:rFonts w:ascii="Times New Roman" w:hAnsi="Times New Roman"/>
          <w:sz w:val="24"/>
          <w:szCs w:val="24"/>
        </w:rPr>
        <w:t>would need to be considered for any proposed regulations.</w:t>
      </w:r>
    </w:p>
    <w:p w14:paraId="1638ED7A" w14:textId="77777777" w:rsidR="009E39BD" w:rsidRDefault="009E39BD" w:rsidP="008D082A">
      <w:pPr>
        <w:pStyle w:val="Bullet-list"/>
        <w:spacing w:after="0" w:line="240" w:lineRule="auto"/>
        <w:ind w:left="0" w:firstLine="0"/>
        <w:jc w:val="both"/>
        <w:rPr>
          <w:rFonts w:ascii="Times New Roman" w:hAnsi="Times New Roman"/>
          <w:sz w:val="24"/>
          <w:szCs w:val="24"/>
        </w:rPr>
      </w:pPr>
    </w:p>
    <w:p w14:paraId="64E05F1F" w14:textId="77777777" w:rsidR="00955EB2" w:rsidRPr="004342F0" w:rsidRDefault="00955EB2" w:rsidP="008D082A">
      <w:pPr>
        <w:pStyle w:val="Bullet-list"/>
        <w:spacing w:after="0" w:line="240" w:lineRule="auto"/>
        <w:ind w:left="0" w:firstLine="0"/>
        <w:jc w:val="both"/>
        <w:rPr>
          <w:rFonts w:ascii="Times New Roman" w:hAnsi="Times New Roman"/>
          <w:sz w:val="24"/>
          <w:szCs w:val="24"/>
        </w:rPr>
      </w:pPr>
    </w:p>
    <w:p w14:paraId="51948233" w14:textId="77777777" w:rsidR="000545DC" w:rsidRDefault="00D943DD" w:rsidP="00FC1D7B">
      <w:pPr>
        <w:pStyle w:val="RISheading"/>
        <w:spacing w:before="0" w:after="0"/>
        <w:jc w:val="both"/>
        <w:rPr>
          <w:spacing w:val="0"/>
          <w:w w:val="100"/>
        </w:rPr>
      </w:pPr>
      <w:bookmarkStart w:id="37" w:name="_Toc244580369"/>
      <w:bookmarkStart w:id="38" w:name="_Toc244587045"/>
      <w:bookmarkStart w:id="39" w:name="_Toc244857279"/>
      <w:bookmarkStart w:id="40" w:name="_Toc244912544"/>
      <w:bookmarkStart w:id="41" w:name="_Toc244917001"/>
      <w:r w:rsidRPr="004342F0">
        <w:rPr>
          <w:spacing w:val="0"/>
          <w:w w:val="100"/>
        </w:rPr>
        <w:t>MONITORING, EVALUATION AND REVIEW</w:t>
      </w:r>
      <w:bookmarkEnd w:id="37"/>
      <w:bookmarkEnd w:id="38"/>
      <w:bookmarkEnd w:id="39"/>
      <w:bookmarkEnd w:id="40"/>
      <w:bookmarkEnd w:id="41"/>
    </w:p>
    <w:p w14:paraId="4953BC30" w14:textId="77777777" w:rsidR="00FC53CF" w:rsidRPr="00782395" w:rsidRDefault="00FC53CF" w:rsidP="00782395">
      <w:pPr>
        <w:pStyle w:val="spacer"/>
        <w:jc w:val="both"/>
        <w:rPr>
          <w:lang w:val="en-AU"/>
        </w:rPr>
      </w:pPr>
    </w:p>
    <w:p w14:paraId="43869C70" w14:textId="09013892" w:rsidR="00740B97" w:rsidRDefault="00FC53CF" w:rsidP="00FC1D7B">
      <w:pPr>
        <w:pStyle w:val="ListParagraph"/>
        <w:numPr>
          <w:ilvl w:val="0"/>
          <w:numId w:val="12"/>
        </w:numPr>
        <w:ind w:left="0" w:firstLine="0"/>
        <w:rPr>
          <w:rFonts w:ascii="Times New Roman" w:hAnsi="Times New Roman"/>
          <w:sz w:val="24"/>
          <w:szCs w:val="24"/>
          <w:lang w:val="en-AU"/>
        </w:rPr>
      </w:pPr>
      <w:r w:rsidRPr="00FC53CF">
        <w:rPr>
          <w:rFonts w:ascii="Times New Roman" w:hAnsi="Times New Roman"/>
          <w:sz w:val="24"/>
          <w:szCs w:val="24"/>
        </w:rPr>
        <w:t xml:space="preserve">Inland Revenue </w:t>
      </w:r>
      <w:r w:rsidR="00782395" w:rsidRPr="00FC53CF">
        <w:rPr>
          <w:rFonts w:ascii="Times New Roman" w:hAnsi="Times New Roman"/>
          <w:sz w:val="24"/>
          <w:szCs w:val="24"/>
        </w:rPr>
        <w:t>w</w:t>
      </w:r>
      <w:r w:rsidR="00782395">
        <w:rPr>
          <w:rFonts w:ascii="Times New Roman" w:hAnsi="Times New Roman"/>
          <w:sz w:val="24"/>
          <w:szCs w:val="24"/>
        </w:rPr>
        <w:t xml:space="preserve">ould </w:t>
      </w:r>
      <w:r w:rsidRPr="00FC53CF">
        <w:rPr>
          <w:rFonts w:ascii="Times New Roman" w:hAnsi="Times New Roman"/>
          <w:sz w:val="24"/>
          <w:szCs w:val="24"/>
        </w:rPr>
        <w:t xml:space="preserve">monitor the effectiveness of the proposed changes </w:t>
      </w:r>
      <w:r w:rsidRPr="00FC53CF">
        <w:rPr>
          <w:rFonts w:ascii="Times New Roman" w:hAnsi="Times New Roman"/>
          <w:sz w:val="24"/>
          <w:szCs w:val="24"/>
          <w:lang w:val="en-AU"/>
        </w:rPr>
        <w:t xml:space="preserve">in the first 12 months of operation.  </w:t>
      </w:r>
      <w:r w:rsidR="00740B97">
        <w:rPr>
          <w:rFonts w:ascii="Times New Roman" w:hAnsi="Times New Roman"/>
          <w:sz w:val="24"/>
          <w:szCs w:val="24"/>
          <w:lang w:val="en-AU"/>
        </w:rPr>
        <w:t>The monitoring would involve a review of any regulations made under the empowering provision within that period to see whether they were consistent with the intended policy.</w:t>
      </w:r>
    </w:p>
    <w:p w14:paraId="7DB2C81C" w14:textId="77777777" w:rsidR="00740B97" w:rsidRDefault="00740B97" w:rsidP="00740B97">
      <w:pPr>
        <w:pStyle w:val="Bullet-list"/>
        <w:spacing w:after="0" w:line="240" w:lineRule="auto"/>
        <w:jc w:val="both"/>
        <w:rPr>
          <w:rFonts w:ascii="Times New Roman" w:hAnsi="Times New Roman"/>
          <w:sz w:val="24"/>
          <w:szCs w:val="24"/>
        </w:rPr>
      </w:pPr>
    </w:p>
    <w:p w14:paraId="64002AC8" w14:textId="77777777" w:rsidR="00863F13" w:rsidRDefault="00863F13" w:rsidP="00740B97">
      <w:pPr>
        <w:pStyle w:val="Bullet-list"/>
        <w:spacing w:after="0" w:line="240" w:lineRule="auto"/>
        <w:jc w:val="both"/>
        <w:rPr>
          <w:rFonts w:ascii="Times New Roman" w:hAnsi="Times New Roman"/>
          <w:sz w:val="24"/>
          <w:szCs w:val="24"/>
        </w:rPr>
      </w:pPr>
    </w:p>
    <w:p w14:paraId="007219B9" w14:textId="77777777" w:rsidR="00740B97" w:rsidRDefault="00FC53CF" w:rsidP="00FC1D7B">
      <w:pPr>
        <w:pStyle w:val="ListParagraph"/>
        <w:numPr>
          <w:ilvl w:val="0"/>
          <w:numId w:val="12"/>
        </w:numPr>
        <w:ind w:left="0" w:firstLine="0"/>
        <w:rPr>
          <w:rFonts w:ascii="Times New Roman" w:hAnsi="Times New Roman"/>
          <w:sz w:val="24"/>
          <w:szCs w:val="24"/>
          <w:lang w:val="en-AU"/>
        </w:rPr>
      </w:pPr>
      <w:r w:rsidRPr="00FC53CF">
        <w:rPr>
          <w:rFonts w:ascii="Times New Roman" w:hAnsi="Times New Roman"/>
          <w:sz w:val="24"/>
          <w:szCs w:val="24"/>
          <w:lang w:val="en-AU"/>
        </w:rPr>
        <w:t xml:space="preserve">In general, Inland Revenue monitoring, evaluation and review of </w:t>
      </w:r>
      <w:r w:rsidR="0045084D">
        <w:rPr>
          <w:rFonts w:ascii="Times New Roman" w:hAnsi="Times New Roman"/>
          <w:sz w:val="24"/>
          <w:szCs w:val="24"/>
          <w:lang w:val="en-AU"/>
        </w:rPr>
        <w:t>new legislation</w:t>
      </w:r>
      <w:r w:rsidRPr="00FC53CF">
        <w:rPr>
          <w:rFonts w:ascii="Times New Roman" w:hAnsi="Times New Roman"/>
          <w:sz w:val="24"/>
          <w:szCs w:val="24"/>
          <w:lang w:val="en-AU"/>
        </w:rPr>
        <w:t xml:space="preserve"> takes place under the generic tax policy process (GTPP).  The GTPP is a multi-stage policy process that has been used to design tax policy (and subsequently social policy administered by Inland Revenue) in New Zealand since 1995.  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following enactment would be added to the tax policy work programme, and proposals would go through the GTPP. </w:t>
      </w:r>
      <w:r w:rsidR="00ED1200">
        <w:rPr>
          <w:rFonts w:ascii="Times New Roman" w:hAnsi="Times New Roman"/>
          <w:sz w:val="24"/>
          <w:szCs w:val="24"/>
          <w:lang w:val="en-AU"/>
        </w:rPr>
        <w:t xml:space="preserve"> </w:t>
      </w:r>
    </w:p>
    <w:p w14:paraId="331D2873" w14:textId="77777777" w:rsidR="00740B97" w:rsidRPr="00740B97" w:rsidRDefault="00740B97" w:rsidP="00740B97">
      <w:pPr>
        <w:pStyle w:val="ListParagraph"/>
        <w:rPr>
          <w:rFonts w:ascii="Times New Roman" w:hAnsi="Times New Roman"/>
          <w:sz w:val="24"/>
          <w:szCs w:val="24"/>
          <w:lang w:val="en-AU"/>
        </w:rPr>
      </w:pPr>
    </w:p>
    <w:p w14:paraId="2C67593A" w14:textId="5347D4FC" w:rsidR="00F84424" w:rsidRPr="004328A1" w:rsidRDefault="00ED1200" w:rsidP="00C84F03">
      <w:pPr>
        <w:pStyle w:val="ListParagraph"/>
        <w:numPr>
          <w:ilvl w:val="0"/>
          <w:numId w:val="12"/>
        </w:numPr>
        <w:ind w:left="0" w:firstLine="0"/>
        <w:rPr>
          <w:rFonts w:ascii="Times New Roman" w:hAnsi="Times New Roman"/>
          <w:sz w:val="24"/>
          <w:szCs w:val="24"/>
          <w:lang w:val="en-AU"/>
        </w:rPr>
      </w:pPr>
      <w:r>
        <w:rPr>
          <w:rFonts w:ascii="Times New Roman" w:hAnsi="Times New Roman"/>
          <w:sz w:val="24"/>
          <w:szCs w:val="24"/>
          <w:lang w:val="en-AU"/>
        </w:rPr>
        <w:t>The Regulations Review Committee would have a role in monitoring and reviewing any regulations made.</w:t>
      </w:r>
      <w:r w:rsidR="00740B97">
        <w:rPr>
          <w:rFonts w:ascii="Times New Roman" w:hAnsi="Times New Roman"/>
          <w:sz w:val="24"/>
          <w:szCs w:val="24"/>
          <w:lang w:val="en-AU"/>
        </w:rPr>
        <w:t xml:space="preserve">  </w:t>
      </w:r>
      <w:r w:rsidR="00C84F03">
        <w:rPr>
          <w:rFonts w:ascii="Times New Roman" w:hAnsi="Times New Roman"/>
          <w:sz w:val="24"/>
          <w:szCs w:val="24"/>
          <w:lang w:val="en-AU"/>
        </w:rPr>
        <w:t>The committee</w:t>
      </w:r>
      <w:r w:rsidR="00C84F03" w:rsidRPr="00C84F03">
        <w:rPr>
          <w:rFonts w:ascii="Times New Roman" w:hAnsi="Times New Roman"/>
          <w:sz w:val="24"/>
          <w:szCs w:val="24"/>
          <w:lang w:val="en-AU"/>
        </w:rPr>
        <w:t xml:space="preserve"> examines all regulations, investigates complaints about regulations, and examines proposed regulation-making powers in bills for consistency with good legislative practice. The committee reports to the House and other committees on any issues it identifies. </w:t>
      </w:r>
      <w:r w:rsidR="00C84F03">
        <w:rPr>
          <w:rFonts w:ascii="Times New Roman" w:hAnsi="Times New Roman"/>
          <w:sz w:val="24"/>
          <w:szCs w:val="24"/>
          <w:lang w:val="en-AU"/>
        </w:rPr>
        <w:t xml:space="preserve"> </w:t>
      </w:r>
      <w:r w:rsidR="00C84F03" w:rsidRPr="00C84F03">
        <w:rPr>
          <w:rFonts w:ascii="Times New Roman" w:hAnsi="Times New Roman"/>
          <w:sz w:val="24"/>
          <w:szCs w:val="24"/>
          <w:lang w:val="en-AU"/>
        </w:rPr>
        <w:t>The House can “disallow” a regulation, meaning it no longer has forc</w:t>
      </w:r>
      <w:r w:rsidR="00C84F03">
        <w:rPr>
          <w:rFonts w:ascii="Times New Roman" w:hAnsi="Times New Roman"/>
          <w:sz w:val="24"/>
          <w:szCs w:val="24"/>
          <w:lang w:val="en-AU"/>
        </w:rPr>
        <w:t>e.</w:t>
      </w:r>
    </w:p>
    <w:p w14:paraId="64542E26" w14:textId="30F6889E" w:rsidR="00594805" w:rsidRPr="00594805" w:rsidRDefault="00594805" w:rsidP="00594805">
      <w:pPr>
        <w:spacing w:after="0" w:line="240" w:lineRule="auto"/>
        <w:rPr>
          <w:rFonts w:ascii="Times New Roman" w:hAnsi="Times New Roman"/>
          <w:sz w:val="24"/>
          <w:szCs w:val="24"/>
          <w:lang w:val="en-NZ" w:eastAsia="en-AU"/>
        </w:rPr>
      </w:pPr>
    </w:p>
    <w:sectPr w:rsidR="00594805" w:rsidRPr="00594805" w:rsidSect="00BD1451">
      <w:footerReference w:type="even" r:id="rId9"/>
      <w:footerReference w:type="default" r:id="rId10"/>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EAC09" w14:textId="77777777" w:rsidR="00477363" w:rsidRDefault="00477363" w:rsidP="00F72085">
      <w:r>
        <w:separator/>
      </w:r>
    </w:p>
  </w:endnote>
  <w:endnote w:type="continuationSeparator" w:id="0">
    <w:p w14:paraId="106C24DF" w14:textId="77777777" w:rsidR="00477363" w:rsidRDefault="00477363"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1354" w14:textId="77777777" w:rsidR="00477363" w:rsidRDefault="00477363"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0678D9" w14:textId="77777777" w:rsidR="00477363" w:rsidRPr="00281580" w:rsidRDefault="00477363"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4903238"/>
      <w:docPartObj>
        <w:docPartGallery w:val="Page Numbers (Bottom of Page)"/>
        <w:docPartUnique/>
      </w:docPartObj>
    </w:sdtPr>
    <w:sdtEndPr>
      <w:rPr>
        <w:noProof/>
      </w:rPr>
    </w:sdtEndPr>
    <w:sdtContent>
      <w:p w14:paraId="2560D365" w14:textId="5A05522B" w:rsidR="00BD1451" w:rsidRDefault="00BD1451">
        <w:pPr>
          <w:pStyle w:val="Footer"/>
        </w:pPr>
        <w:r>
          <w:rPr>
            <w:noProof w:val="0"/>
          </w:rPr>
          <w:fldChar w:fldCharType="begin"/>
        </w:r>
        <w:r>
          <w:instrText xml:space="preserve"> PAGE   \* MERGEFORMAT </w:instrText>
        </w:r>
        <w:r>
          <w:rPr>
            <w:noProof w:val="0"/>
          </w:rPr>
          <w:fldChar w:fldCharType="separate"/>
        </w:r>
        <w:r w:rsidR="007716D4">
          <w:t>2</w:t>
        </w:r>
        <w:r>
          <w:fldChar w:fldCharType="end"/>
        </w:r>
      </w:p>
    </w:sdtContent>
  </w:sdt>
  <w:p w14:paraId="7C2AF730" w14:textId="24AD3F44" w:rsidR="00477363" w:rsidRPr="00594805" w:rsidRDefault="00477363" w:rsidP="00594805">
    <w:pPr>
      <w:pStyle w:val="Footer"/>
      <w:rPr>
        <w:rStyle w:val="PageNumber"/>
        <w:rFonts w:ascii="Times New Roman" w:hAnsi="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2CD8" w14:textId="77777777" w:rsidR="00477363" w:rsidRDefault="00477363" w:rsidP="00F72085">
      <w:r>
        <w:separator/>
      </w:r>
    </w:p>
  </w:footnote>
  <w:footnote w:type="continuationSeparator" w:id="0">
    <w:p w14:paraId="6040FC2A" w14:textId="77777777" w:rsidR="00477363" w:rsidRDefault="00477363" w:rsidP="00F72085">
      <w:r>
        <w:continuationSeparator/>
      </w:r>
    </w:p>
  </w:footnote>
  <w:footnote w:id="1">
    <w:p w14:paraId="163FC849" w14:textId="1EE70409" w:rsidR="00477363" w:rsidRPr="00AB456E" w:rsidRDefault="00477363">
      <w:pPr>
        <w:pStyle w:val="FootnoteText"/>
        <w:rPr>
          <w:rFonts w:ascii="Times New Roman" w:hAnsi="Times New Roman"/>
          <w:sz w:val="16"/>
          <w:szCs w:val="16"/>
          <w:lang w:val="en-NZ"/>
        </w:rPr>
      </w:pPr>
      <w:r w:rsidRPr="00AB456E">
        <w:rPr>
          <w:rStyle w:val="FootnoteReference"/>
          <w:rFonts w:ascii="Times New Roman" w:hAnsi="Times New Roman"/>
          <w:szCs w:val="16"/>
        </w:rPr>
        <w:footnoteRef/>
      </w:r>
      <w:r w:rsidRPr="00AB456E">
        <w:rPr>
          <w:rFonts w:ascii="Times New Roman" w:hAnsi="Times New Roman"/>
          <w:sz w:val="16"/>
          <w:szCs w:val="16"/>
        </w:rPr>
        <w:t xml:space="preserve"> </w:t>
      </w:r>
      <w:proofErr w:type="gramStart"/>
      <w:r w:rsidRPr="00AB456E">
        <w:rPr>
          <w:rFonts w:ascii="Times New Roman" w:hAnsi="Times New Roman"/>
          <w:i/>
          <w:sz w:val="16"/>
          <w:szCs w:val="16"/>
        </w:rPr>
        <w:t>Second Report of the Working Party on the Reorganisation of the Income Tax Act 1976</w:t>
      </w:r>
      <w:r w:rsidRPr="00AB456E">
        <w:rPr>
          <w:rFonts w:ascii="Times New Roman" w:hAnsi="Times New Roman"/>
          <w:sz w:val="16"/>
          <w:szCs w:val="16"/>
        </w:rPr>
        <w:t xml:space="preserve"> (September 1993) 35.</w:t>
      </w:r>
      <w:proofErr w:type="gramEnd"/>
    </w:p>
  </w:footnote>
  <w:footnote w:id="2">
    <w:p w14:paraId="72699576" w14:textId="678CA36C" w:rsidR="00477363" w:rsidRPr="00AB456E" w:rsidRDefault="00477363">
      <w:pPr>
        <w:pStyle w:val="FootnoteText"/>
        <w:rPr>
          <w:rFonts w:ascii="Times New Roman" w:hAnsi="Times New Roman"/>
          <w:sz w:val="16"/>
          <w:szCs w:val="16"/>
          <w:lang w:val="en-NZ"/>
        </w:rPr>
      </w:pPr>
      <w:r w:rsidRPr="00AB456E">
        <w:rPr>
          <w:rStyle w:val="FootnoteReference"/>
          <w:rFonts w:ascii="Times New Roman" w:hAnsi="Times New Roman"/>
          <w:szCs w:val="16"/>
        </w:rPr>
        <w:footnoteRef/>
      </w:r>
      <w:r w:rsidRPr="00AB456E">
        <w:rPr>
          <w:rFonts w:ascii="Times New Roman" w:hAnsi="Times New Roman"/>
          <w:sz w:val="16"/>
          <w:szCs w:val="16"/>
        </w:rPr>
        <w:t xml:space="preserve"> </w:t>
      </w:r>
      <w:proofErr w:type="gramStart"/>
      <w:r w:rsidRPr="00AB456E">
        <w:rPr>
          <w:rFonts w:ascii="Times New Roman" w:hAnsi="Times New Roman"/>
          <w:sz w:val="16"/>
          <w:szCs w:val="16"/>
        </w:rPr>
        <w:t>Second Report (1993) 36.</w:t>
      </w:r>
      <w:proofErr w:type="gramEnd"/>
    </w:p>
  </w:footnote>
  <w:footnote w:id="3">
    <w:p w14:paraId="54090406" w14:textId="0A2EB136" w:rsidR="00477363" w:rsidRPr="00AB456E" w:rsidRDefault="00477363" w:rsidP="005804FA">
      <w:pPr>
        <w:pStyle w:val="FootnoteText"/>
        <w:tabs>
          <w:tab w:val="clear" w:pos="425"/>
          <w:tab w:val="left" w:pos="0"/>
        </w:tabs>
        <w:ind w:left="0" w:firstLine="0"/>
        <w:rPr>
          <w:rFonts w:ascii="Times New Roman" w:hAnsi="Times New Roman"/>
          <w:sz w:val="16"/>
          <w:szCs w:val="16"/>
          <w:lang w:val="en-NZ"/>
        </w:rPr>
      </w:pPr>
      <w:r w:rsidRPr="00AB456E">
        <w:rPr>
          <w:rStyle w:val="FootnoteReference"/>
          <w:rFonts w:ascii="Times New Roman" w:hAnsi="Times New Roman"/>
        </w:rPr>
        <w:footnoteRef/>
      </w:r>
      <w:r>
        <w:t xml:space="preserve"> </w:t>
      </w:r>
      <w:r w:rsidRPr="00AB456E">
        <w:rPr>
          <w:rFonts w:ascii="Times New Roman" w:hAnsi="Times New Roman"/>
          <w:sz w:val="16"/>
          <w:szCs w:val="16"/>
          <w:lang w:val="en-NZ"/>
        </w:rPr>
        <w:t xml:space="preserve">For a discussion of this problem see Regulation-making powers that authorise transitional regulations to override primary legislation (Report of the Regulations Review Committee, I.16J, </w:t>
      </w:r>
      <w:proofErr w:type="gramStart"/>
      <w:r w:rsidRPr="00AB456E">
        <w:rPr>
          <w:rFonts w:ascii="Times New Roman" w:hAnsi="Times New Roman"/>
          <w:sz w:val="16"/>
          <w:szCs w:val="16"/>
          <w:lang w:val="en-NZ"/>
        </w:rPr>
        <w:t>July</w:t>
      </w:r>
      <w:proofErr w:type="gramEnd"/>
      <w:r w:rsidRPr="00AB456E">
        <w:rPr>
          <w:rFonts w:ascii="Times New Roman" w:hAnsi="Times New Roman"/>
          <w:sz w:val="16"/>
          <w:szCs w:val="16"/>
          <w:lang w:val="en-NZ"/>
        </w:rPr>
        <w:t xml:space="preserve"> 2014).</w:t>
      </w:r>
    </w:p>
  </w:footnote>
  <w:footnote w:id="4">
    <w:p w14:paraId="46111508" w14:textId="000A0D7E" w:rsidR="00477363" w:rsidRPr="00615ABE" w:rsidRDefault="00477363" w:rsidP="005B7592">
      <w:pPr>
        <w:pStyle w:val="FootnoteText"/>
        <w:tabs>
          <w:tab w:val="clear" w:pos="425"/>
          <w:tab w:val="left" w:pos="0"/>
        </w:tabs>
        <w:ind w:left="0" w:firstLine="0"/>
        <w:rPr>
          <w:lang w:val="en-NZ"/>
        </w:rPr>
      </w:pPr>
      <w:r w:rsidRPr="00615ABE">
        <w:rPr>
          <w:rStyle w:val="FootnoteReference"/>
          <w:rFonts w:ascii="Times New Roman" w:hAnsi="Times New Roman"/>
        </w:rPr>
        <w:footnoteRef/>
      </w:r>
      <w:r>
        <w:t xml:space="preserve"> </w:t>
      </w:r>
      <w:r w:rsidRPr="00615ABE">
        <w:rPr>
          <w:rFonts w:ascii="Times New Roman" w:hAnsi="Times New Roman"/>
          <w:sz w:val="16"/>
          <w:szCs w:val="16"/>
        </w:rPr>
        <w:t>IS 10/07: Care and management of the taxes covered by the Inland Revenue Acts – section 6A(2) and (3) of the Tax Administration Act 1994</w:t>
      </w:r>
    </w:p>
  </w:footnote>
  <w:footnote w:id="5">
    <w:p w14:paraId="6CDE5283" w14:textId="2FF3B538" w:rsidR="00477363" w:rsidRPr="005C4FB1" w:rsidRDefault="00477363" w:rsidP="005B7592">
      <w:pPr>
        <w:pStyle w:val="FootnoteText"/>
        <w:tabs>
          <w:tab w:val="clear" w:pos="425"/>
          <w:tab w:val="left" w:pos="0"/>
        </w:tabs>
        <w:ind w:left="0" w:firstLine="0"/>
        <w:rPr>
          <w:rFonts w:ascii="Times New Roman" w:hAnsi="Times New Roman"/>
          <w:lang w:val="en-NZ"/>
        </w:rPr>
      </w:pPr>
      <w:r w:rsidRPr="005C4FB1">
        <w:rPr>
          <w:rStyle w:val="FootnoteReference"/>
          <w:rFonts w:ascii="Times New Roman" w:hAnsi="Times New Roman"/>
        </w:rPr>
        <w:footnoteRef/>
      </w:r>
      <w:r w:rsidRPr="005C4FB1">
        <w:rPr>
          <w:rFonts w:ascii="Times New Roman" w:hAnsi="Times New Roman"/>
        </w:rPr>
        <w:t xml:space="preserve"> Regulation-making powers that authorise transitional regulations to override primary legislation (Report of the Regulations Review Committee, I.16J, </w:t>
      </w:r>
      <w:proofErr w:type="gramStart"/>
      <w:r w:rsidRPr="005C4FB1">
        <w:rPr>
          <w:rFonts w:ascii="Times New Roman" w:hAnsi="Times New Roman"/>
        </w:rPr>
        <w:t>July</w:t>
      </w:r>
      <w:proofErr w:type="gramEnd"/>
      <w:r w:rsidRPr="005C4FB1">
        <w:rPr>
          <w:rFonts w:ascii="Times New Roman" w:hAnsi="Times New Roman"/>
        </w:rPr>
        <w:t xml:space="preserve"> 2014</w:t>
      </w:r>
      <w:r>
        <w:rPr>
          <w:rFonts w:ascii="Times New Roman" w:hAnsi="Times New Roman"/>
        </w:rPr>
        <w:t>).</w:t>
      </w:r>
    </w:p>
  </w:footnote>
  <w:footnote w:id="6">
    <w:p w14:paraId="486C3BA2" w14:textId="77777777" w:rsidR="00477363" w:rsidRPr="005C38A2" w:rsidRDefault="00477363" w:rsidP="00994ED0">
      <w:pPr>
        <w:pStyle w:val="FootnoteText"/>
        <w:tabs>
          <w:tab w:val="clear" w:pos="425"/>
          <w:tab w:val="left" w:pos="0"/>
        </w:tabs>
        <w:ind w:left="0" w:firstLine="0"/>
        <w:rPr>
          <w:rFonts w:ascii="Times New Roman" w:hAnsi="Times New Roman"/>
          <w:lang w:val="en-NZ"/>
        </w:rPr>
      </w:pPr>
      <w:r w:rsidRPr="005C38A2">
        <w:rPr>
          <w:rStyle w:val="FootnoteReference"/>
          <w:rFonts w:ascii="Times New Roman" w:hAnsi="Times New Roman"/>
        </w:rPr>
        <w:footnoteRef/>
      </w:r>
      <w:r w:rsidRPr="005C38A2">
        <w:rPr>
          <w:rFonts w:ascii="Times New Roman" w:hAnsi="Times New Roman"/>
        </w:rPr>
        <w:t xml:space="preserve"> Regulation-making powers that authorise transitional regulations to override primary legislation (Report of the Regulations </w:t>
      </w:r>
      <w:r w:rsidRPr="005B7592">
        <w:rPr>
          <w:rFonts w:ascii="Times New Roman" w:hAnsi="Times New Roman"/>
          <w:sz w:val="16"/>
          <w:szCs w:val="16"/>
        </w:rPr>
        <w:t>Review</w:t>
      </w:r>
      <w:r w:rsidRPr="005C38A2">
        <w:rPr>
          <w:rFonts w:ascii="Times New Roman" w:hAnsi="Times New Roman"/>
        </w:rPr>
        <w:t xml:space="preserve"> Committee, I.16J, </w:t>
      </w:r>
      <w:proofErr w:type="gramStart"/>
      <w:r w:rsidRPr="005C38A2">
        <w:rPr>
          <w:rFonts w:ascii="Times New Roman" w:hAnsi="Times New Roman"/>
        </w:rPr>
        <w:t>July</w:t>
      </w:r>
      <w:proofErr w:type="gramEnd"/>
      <w:r w:rsidRPr="005C38A2">
        <w:rPr>
          <w:rFonts w:ascii="Times New Roman" w:hAnsi="Times New Roman"/>
        </w:rPr>
        <w:t xml:space="preserve"> 2014)</w:t>
      </w:r>
      <w:r>
        <w:rPr>
          <w:rFonts w:ascii="Times New Roman" w:hAnsi="Times New Roman"/>
        </w:rPr>
        <w:t>.</w:t>
      </w:r>
    </w:p>
  </w:footnote>
  <w:footnote w:id="7">
    <w:p w14:paraId="41EB37D8" w14:textId="399443CB" w:rsidR="00477363" w:rsidRPr="00AB456E" w:rsidRDefault="00477363" w:rsidP="00AB456E">
      <w:pPr>
        <w:pStyle w:val="FootnoteText"/>
        <w:tabs>
          <w:tab w:val="clear" w:pos="425"/>
        </w:tabs>
        <w:ind w:left="0" w:firstLine="0"/>
        <w:rPr>
          <w:rFonts w:ascii="Times New Roman" w:hAnsi="Times New Roman"/>
          <w:lang w:val="en-NZ"/>
        </w:rPr>
      </w:pPr>
      <w:r w:rsidRPr="00AB456E">
        <w:rPr>
          <w:rStyle w:val="FootnoteReference"/>
          <w:rFonts w:ascii="Times New Roman" w:hAnsi="Times New Roman"/>
        </w:rPr>
        <w:footnoteRef/>
      </w:r>
      <w:r w:rsidRPr="00AB456E">
        <w:rPr>
          <w:rFonts w:ascii="Times New Roman" w:hAnsi="Times New Roman"/>
        </w:rPr>
        <w:t xml:space="preserve"> Regulation-making powers that authorise transitional regulations to override primary legislation (Report of the Regulations Review Committee, I.16J, </w:t>
      </w:r>
      <w:proofErr w:type="gramStart"/>
      <w:r w:rsidRPr="00AB456E">
        <w:rPr>
          <w:rFonts w:ascii="Times New Roman" w:hAnsi="Times New Roman"/>
        </w:rPr>
        <w:t>July</w:t>
      </w:r>
      <w:proofErr w:type="gramEnd"/>
      <w:r w:rsidRPr="00AB456E">
        <w:rPr>
          <w:rFonts w:ascii="Times New Roman" w:hAnsi="Times New Roman"/>
        </w:rPr>
        <w:t xml:space="preserve"> 2014).</w:t>
      </w:r>
    </w:p>
  </w:footnote>
  <w:footnote w:id="8">
    <w:p w14:paraId="0D89FD67" w14:textId="756CE4F9" w:rsidR="00477363" w:rsidRPr="00AB456E" w:rsidRDefault="00477363" w:rsidP="00AB456E">
      <w:pPr>
        <w:pStyle w:val="FootnoteText"/>
        <w:tabs>
          <w:tab w:val="clear" w:pos="425"/>
          <w:tab w:val="left" w:pos="0"/>
        </w:tabs>
        <w:ind w:left="0" w:firstLine="0"/>
        <w:rPr>
          <w:rFonts w:ascii="Times New Roman" w:hAnsi="Times New Roman"/>
          <w:sz w:val="16"/>
          <w:szCs w:val="16"/>
          <w:lang w:val="en-NZ"/>
        </w:rPr>
      </w:pPr>
      <w:r w:rsidRPr="00AB456E">
        <w:rPr>
          <w:rStyle w:val="FootnoteReference"/>
          <w:rFonts w:ascii="Times New Roman" w:hAnsi="Times New Roman"/>
          <w:szCs w:val="16"/>
        </w:rPr>
        <w:footnoteRef/>
      </w:r>
      <w:r w:rsidRPr="00AB456E">
        <w:rPr>
          <w:rFonts w:ascii="Times New Roman" w:hAnsi="Times New Roman"/>
          <w:sz w:val="16"/>
          <w:szCs w:val="16"/>
        </w:rPr>
        <w:t xml:space="preserve"> Regulation-making powers that authorise transitional regulations to override primary legislation (Report of the Regulations Review Committee, I.16J, </w:t>
      </w:r>
      <w:proofErr w:type="gramStart"/>
      <w:r w:rsidRPr="00AB456E">
        <w:rPr>
          <w:rFonts w:ascii="Times New Roman" w:hAnsi="Times New Roman"/>
          <w:sz w:val="16"/>
          <w:szCs w:val="16"/>
        </w:rPr>
        <w:t>July</w:t>
      </w:r>
      <w:proofErr w:type="gramEnd"/>
      <w:r w:rsidRPr="00AB456E">
        <w:rPr>
          <w:rFonts w:ascii="Times New Roman" w:hAnsi="Times New Roman"/>
          <w:sz w:val="16"/>
          <w:szCs w:val="16"/>
        </w:rPr>
        <w:t xml:space="preserve"> 2014).</w:t>
      </w:r>
    </w:p>
  </w:footnote>
  <w:footnote w:id="9">
    <w:p w14:paraId="2959B0AC" w14:textId="77777777" w:rsidR="00477363" w:rsidRPr="00744C35" w:rsidRDefault="00477363" w:rsidP="00BE4EF3">
      <w:pPr>
        <w:pStyle w:val="FootnoteText"/>
        <w:tabs>
          <w:tab w:val="clear" w:pos="425"/>
          <w:tab w:val="left" w:pos="0"/>
        </w:tabs>
        <w:ind w:left="0" w:firstLine="0"/>
        <w:rPr>
          <w:rFonts w:ascii="Times New Roman" w:hAnsi="Times New Roman"/>
          <w:sz w:val="16"/>
          <w:szCs w:val="16"/>
          <w:lang w:val="en-NZ"/>
        </w:rPr>
      </w:pPr>
      <w:r w:rsidRPr="00744C35">
        <w:rPr>
          <w:rStyle w:val="FootnoteReference"/>
          <w:rFonts w:ascii="Times New Roman" w:hAnsi="Times New Roman"/>
          <w:szCs w:val="16"/>
        </w:rPr>
        <w:footnoteRef/>
      </w:r>
      <w:r w:rsidRPr="00744C35">
        <w:rPr>
          <w:rFonts w:ascii="Times New Roman" w:hAnsi="Times New Roman"/>
          <w:sz w:val="16"/>
          <w:szCs w:val="16"/>
        </w:rPr>
        <w:t xml:space="preserve"> Regulation-making powers that authorise transitional regulations to override primary legislation (Report of the Regulations Review Committee, I.16J, July 2014)</w:t>
      </w:r>
    </w:p>
  </w:footnote>
  <w:footnote w:id="10">
    <w:p w14:paraId="7CA32A27" w14:textId="7D7A0927" w:rsidR="00477363" w:rsidRPr="00AB456E" w:rsidRDefault="00477363" w:rsidP="00AB456E">
      <w:pPr>
        <w:pStyle w:val="FootnoteText"/>
        <w:tabs>
          <w:tab w:val="clear" w:pos="425"/>
          <w:tab w:val="left" w:pos="0"/>
        </w:tabs>
        <w:ind w:left="0" w:firstLine="0"/>
        <w:rPr>
          <w:rFonts w:ascii="Times New Roman" w:hAnsi="Times New Roman"/>
          <w:sz w:val="16"/>
          <w:szCs w:val="16"/>
          <w:lang w:val="en-NZ"/>
        </w:rPr>
      </w:pPr>
      <w:r w:rsidRPr="00AB456E">
        <w:rPr>
          <w:rStyle w:val="FootnoteReference"/>
          <w:rFonts w:ascii="Times New Roman" w:hAnsi="Times New Roman"/>
          <w:szCs w:val="16"/>
        </w:rPr>
        <w:footnoteRef/>
      </w:r>
      <w:r w:rsidRPr="00AB456E">
        <w:rPr>
          <w:rFonts w:ascii="Times New Roman" w:hAnsi="Times New Roman"/>
          <w:sz w:val="16"/>
          <w:szCs w:val="16"/>
        </w:rPr>
        <w:t xml:space="preserve"> Regulation-making powers that authorise transitional regulations to override primary legislation (Report of the Regulations Review Committee, I.16J, July 2014).</w:t>
      </w:r>
    </w:p>
  </w:footnote>
  <w:footnote w:id="11">
    <w:p w14:paraId="4E64C464" w14:textId="6CDEAE2C" w:rsidR="00477363" w:rsidRPr="008E3485" w:rsidRDefault="00477363" w:rsidP="005B7592">
      <w:pPr>
        <w:pStyle w:val="FootnoteText"/>
        <w:tabs>
          <w:tab w:val="clear" w:pos="425"/>
          <w:tab w:val="left" w:pos="0"/>
        </w:tabs>
        <w:ind w:left="0" w:firstLine="0"/>
        <w:rPr>
          <w:rFonts w:ascii="Times New Roman" w:hAnsi="Times New Roman"/>
          <w:sz w:val="16"/>
          <w:szCs w:val="16"/>
          <w:lang w:val="en-NZ"/>
        </w:rPr>
      </w:pPr>
      <w:r w:rsidRPr="00B67302">
        <w:rPr>
          <w:rStyle w:val="FootnoteReference"/>
          <w:rFonts w:ascii="Times New Roman" w:hAnsi="Times New Roman"/>
        </w:rPr>
        <w:footnoteRef/>
      </w:r>
      <w:r>
        <w:t xml:space="preserve"> </w:t>
      </w:r>
      <w:r w:rsidRPr="008E3485">
        <w:rPr>
          <w:rFonts w:ascii="Times New Roman" w:hAnsi="Times New Roman"/>
          <w:sz w:val="16"/>
          <w:szCs w:val="16"/>
          <w:lang w:val="en-NZ"/>
        </w:rPr>
        <w:t>At least 30 transitional regulation-making provisions have been enacted in the last 10 years: see Regulation-making powers that authorise transitional regulations to override primary legislation (I.16J, July 2014)</w:t>
      </w:r>
      <w:r>
        <w:rPr>
          <w:rFonts w:ascii="Times New Roman" w:hAnsi="Times New Roman"/>
          <w:sz w:val="16"/>
          <w:szCs w:val="16"/>
          <w:lang w:val="en-NZ"/>
        </w:rPr>
        <w:t>.  Some of situations have involved computer system changes like the student loan reform.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2EE"/>
    <w:multiLevelType w:val="hybridMultilevel"/>
    <w:tmpl w:val="0FBAA5C0"/>
    <w:lvl w:ilvl="0" w:tplc="C658CCA4">
      <w:start w:val="1"/>
      <w:numFmt w:val="decimal"/>
      <w:lvlText w:val="%1."/>
      <w:lvlJc w:val="left"/>
      <w:pPr>
        <w:ind w:left="720" w:hanging="360"/>
      </w:pPr>
      <w:rPr>
        <w:rFonts w:ascii="Times New Roman" w:hAnsi="Times New Roman" w:cs="Times New Roman" w:hint="default"/>
        <w:b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506FF0"/>
    <w:multiLevelType w:val="hybridMultilevel"/>
    <w:tmpl w:val="21C00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DC2484"/>
    <w:multiLevelType w:val="hybridMultilevel"/>
    <w:tmpl w:val="04662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70033C"/>
    <w:multiLevelType w:val="hybridMultilevel"/>
    <w:tmpl w:val="857C55A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BFC4295"/>
    <w:multiLevelType w:val="hybridMultilevel"/>
    <w:tmpl w:val="302C6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EC785F"/>
    <w:multiLevelType w:val="hybridMultilevel"/>
    <w:tmpl w:val="5F465DEC"/>
    <w:lvl w:ilvl="0" w:tplc="B4A6DDAC">
      <w:start w:val="1"/>
      <w:numFmt w:val="lowerLetter"/>
      <w:lvlText w:val="(%1)"/>
      <w:lvlJc w:val="left"/>
      <w:pPr>
        <w:ind w:left="927" w:hanging="36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nsid w:val="24CC618E"/>
    <w:multiLevelType w:val="hybridMultilevel"/>
    <w:tmpl w:val="A156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1F1368"/>
    <w:multiLevelType w:val="hybridMultilevel"/>
    <w:tmpl w:val="A57637FE"/>
    <w:lvl w:ilvl="0" w:tplc="A6E2D610">
      <w:numFmt w:val="bullet"/>
      <w:lvlText w:val=""/>
      <w:lvlJc w:val="left"/>
      <w:pPr>
        <w:ind w:left="1080" w:hanging="360"/>
      </w:pPr>
      <w:rPr>
        <w:rFonts w:ascii="Wingdings 2" w:eastAsiaTheme="minorHAnsi" w:hAnsi="Wingdings 2"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32830211"/>
    <w:multiLevelType w:val="hybridMultilevel"/>
    <w:tmpl w:val="EFAAD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F304D4A"/>
    <w:multiLevelType w:val="hybridMultilevel"/>
    <w:tmpl w:val="69380864"/>
    <w:lvl w:ilvl="0" w:tplc="D08C2A56">
      <w:numFmt w:val="bullet"/>
      <w:lvlText w:val="•"/>
      <w:lvlJc w:val="left"/>
      <w:pPr>
        <w:ind w:left="1080" w:hanging="72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2E6DA7"/>
    <w:multiLevelType w:val="hybridMultilevel"/>
    <w:tmpl w:val="BF360CFC"/>
    <w:lvl w:ilvl="0" w:tplc="14090001">
      <w:start w:val="1"/>
      <w:numFmt w:val="bullet"/>
      <w:lvlText w:val=""/>
      <w:lvlJc w:val="left"/>
      <w:pPr>
        <w:ind w:left="786" w:hanging="360"/>
      </w:pPr>
      <w:rPr>
        <w:rFonts w:ascii="Symbol" w:hAnsi="Symbol" w:hint="default"/>
        <w:b w:val="0"/>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45016E3B"/>
    <w:multiLevelType w:val="hybridMultilevel"/>
    <w:tmpl w:val="3370CAA6"/>
    <w:lvl w:ilvl="0" w:tplc="14090001">
      <w:start w:val="1"/>
      <w:numFmt w:val="bullet"/>
      <w:lvlText w:val=""/>
      <w:lvlJc w:val="left"/>
      <w:pPr>
        <w:ind w:left="720" w:hanging="360"/>
      </w:pPr>
      <w:rPr>
        <w:rFonts w:ascii="Symbol" w:hAnsi="Symbol" w:hint="default"/>
        <w:b w:val="0"/>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71D426C"/>
    <w:multiLevelType w:val="hybridMultilevel"/>
    <w:tmpl w:val="28BE767A"/>
    <w:lvl w:ilvl="0" w:tplc="C658CCA4">
      <w:start w:val="1"/>
      <w:numFmt w:val="decimal"/>
      <w:lvlText w:val="%1."/>
      <w:lvlJc w:val="left"/>
      <w:pPr>
        <w:ind w:left="786" w:hanging="360"/>
      </w:pPr>
      <w:rPr>
        <w:rFonts w:ascii="Times New Roman" w:hAnsi="Times New Roman" w:cs="Times New Roman" w:hint="default"/>
        <w:b w:val="0"/>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67770B9C"/>
    <w:multiLevelType w:val="hybridMultilevel"/>
    <w:tmpl w:val="3F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A5345B8"/>
    <w:multiLevelType w:val="hybridMultilevel"/>
    <w:tmpl w:val="BC74445C"/>
    <w:lvl w:ilvl="0" w:tplc="14090001">
      <w:start w:val="1"/>
      <w:numFmt w:val="bullet"/>
      <w:lvlText w:val=""/>
      <w:lvlJc w:val="left"/>
      <w:pPr>
        <w:ind w:left="786" w:hanging="360"/>
      </w:pPr>
      <w:rPr>
        <w:rFonts w:ascii="Symbol" w:hAnsi="Symbol" w:hint="default"/>
        <w:b w:val="0"/>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nsid w:val="74DC6420"/>
    <w:multiLevelType w:val="hybridMultilevel"/>
    <w:tmpl w:val="D4D69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63E0D35"/>
    <w:multiLevelType w:val="hybridMultilevel"/>
    <w:tmpl w:val="DAD80D3E"/>
    <w:lvl w:ilvl="0" w:tplc="539633C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63E7647"/>
    <w:multiLevelType w:val="hybridMultilevel"/>
    <w:tmpl w:val="8E607EA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E9B4E9C"/>
    <w:multiLevelType w:val="hybridMultilevel"/>
    <w:tmpl w:val="800A938E"/>
    <w:lvl w:ilvl="0" w:tplc="3BACC0D6">
      <w:numFmt w:val="bullet"/>
      <w:lvlText w:val=""/>
      <w:lvlJc w:val="left"/>
      <w:pPr>
        <w:ind w:left="1080" w:hanging="360"/>
      </w:pPr>
      <w:rPr>
        <w:rFonts w:ascii="Wingdings 2" w:eastAsiaTheme="minorHAnsi" w:hAnsi="Wingdings 2"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3"/>
  </w:num>
  <w:num w:numId="4">
    <w:abstractNumId w:val="2"/>
  </w:num>
  <w:num w:numId="5">
    <w:abstractNumId w:val="15"/>
  </w:num>
  <w:num w:numId="6">
    <w:abstractNumId w:val="5"/>
  </w:num>
  <w:num w:numId="7">
    <w:abstractNumId w:val="18"/>
  </w:num>
  <w:num w:numId="8">
    <w:abstractNumId w:val="1"/>
  </w:num>
  <w:num w:numId="9">
    <w:abstractNumId w:val="9"/>
  </w:num>
  <w:num w:numId="10">
    <w:abstractNumId w:val="6"/>
  </w:num>
  <w:num w:numId="11">
    <w:abstractNumId w:val="17"/>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20"/>
  </w:num>
  <w:num w:numId="17">
    <w:abstractNumId w:val="7"/>
  </w:num>
  <w:num w:numId="18">
    <w:abstractNumId w:val="12"/>
  </w:num>
  <w:num w:numId="19">
    <w:abstractNumId w:val="10"/>
  </w:num>
  <w:num w:numId="20">
    <w:abstractNumId w:val="4"/>
  </w:num>
  <w:num w:numId="21">
    <w:abstractNumId w:val="11"/>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270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62"/>
    <w:rsid w:val="00001073"/>
    <w:rsid w:val="00001539"/>
    <w:rsid w:val="00002433"/>
    <w:rsid w:val="000037F4"/>
    <w:rsid w:val="0000480A"/>
    <w:rsid w:val="00004A8A"/>
    <w:rsid w:val="00005DC9"/>
    <w:rsid w:val="00010986"/>
    <w:rsid w:val="00010F7D"/>
    <w:rsid w:val="00012338"/>
    <w:rsid w:val="000124EF"/>
    <w:rsid w:val="00012E4A"/>
    <w:rsid w:val="00013A18"/>
    <w:rsid w:val="00014196"/>
    <w:rsid w:val="000147DC"/>
    <w:rsid w:val="00015072"/>
    <w:rsid w:val="00016722"/>
    <w:rsid w:val="00020362"/>
    <w:rsid w:val="0002068B"/>
    <w:rsid w:val="0002098A"/>
    <w:rsid w:val="000232EB"/>
    <w:rsid w:val="00023BAB"/>
    <w:rsid w:val="00023EA6"/>
    <w:rsid w:val="00024B22"/>
    <w:rsid w:val="0002568E"/>
    <w:rsid w:val="000256BD"/>
    <w:rsid w:val="00025954"/>
    <w:rsid w:val="00030890"/>
    <w:rsid w:val="00030DEA"/>
    <w:rsid w:val="00033950"/>
    <w:rsid w:val="000343E7"/>
    <w:rsid w:val="00035185"/>
    <w:rsid w:val="00036A3D"/>
    <w:rsid w:val="00036EE4"/>
    <w:rsid w:val="00041469"/>
    <w:rsid w:val="00041CD1"/>
    <w:rsid w:val="0004221C"/>
    <w:rsid w:val="000431FE"/>
    <w:rsid w:val="000435AD"/>
    <w:rsid w:val="00045AFC"/>
    <w:rsid w:val="00045F46"/>
    <w:rsid w:val="00046F46"/>
    <w:rsid w:val="00047559"/>
    <w:rsid w:val="00047BCA"/>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442B"/>
    <w:rsid w:val="000651AB"/>
    <w:rsid w:val="000653FA"/>
    <w:rsid w:val="000655B2"/>
    <w:rsid w:val="00067564"/>
    <w:rsid w:val="0006793E"/>
    <w:rsid w:val="00070193"/>
    <w:rsid w:val="000714FB"/>
    <w:rsid w:val="0007377C"/>
    <w:rsid w:val="00073A19"/>
    <w:rsid w:val="00073EA9"/>
    <w:rsid w:val="00073F31"/>
    <w:rsid w:val="000745D3"/>
    <w:rsid w:val="00074B13"/>
    <w:rsid w:val="00074D02"/>
    <w:rsid w:val="00075066"/>
    <w:rsid w:val="0007562B"/>
    <w:rsid w:val="00077222"/>
    <w:rsid w:val="00080CE0"/>
    <w:rsid w:val="00080DE3"/>
    <w:rsid w:val="00082653"/>
    <w:rsid w:val="00082ABC"/>
    <w:rsid w:val="00082EEE"/>
    <w:rsid w:val="00083ADB"/>
    <w:rsid w:val="00083E06"/>
    <w:rsid w:val="00085660"/>
    <w:rsid w:val="00086007"/>
    <w:rsid w:val="000863E2"/>
    <w:rsid w:val="000865E9"/>
    <w:rsid w:val="00086898"/>
    <w:rsid w:val="0008712F"/>
    <w:rsid w:val="00087C41"/>
    <w:rsid w:val="00091D44"/>
    <w:rsid w:val="00092B57"/>
    <w:rsid w:val="00093600"/>
    <w:rsid w:val="00093C76"/>
    <w:rsid w:val="00095446"/>
    <w:rsid w:val="00096933"/>
    <w:rsid w:val="00096BFA"/>
    <w:rsid w:val="000A073E"/>
    <w:rsid w:val="000A20D1"/>
    <w:rsid w:val="000A39F4"/>
    <w:rsid w:val="000A3D3E"/>
    <w:rsid w:val="000A3D4B"/>
    <w:rsid w:val="000A43F8"/>
    <w:rsid w:val="000A4419"/>
    <w:rsid w:val="000A5EC6"/>
    <w:rsid w:val="000A7385"/>
    <w:rsid w:val="000B005C"/>
    <w:rsid w:val="000B01CC"/>
    <w:rsid w:val="000B0480"/>
    <w:rsid w:val="000B0615"/>
    <w:rsid w:val="000B0C12"/>
    <w:rsid w:val="000B0D42"/>
    <w:rsid w:val="000B16BF"/>
    <w:rsid w:val="000B2052"/>
    <w:rsid w:val="000B521A"/>
    <w:rsid w:val="000B5B1E"/>
    <w:rsid w:val="000C0912"/>
    <w:rsid w:val="000C0A1F"/>
    <w:rsid w:val="000C2669"/>
    <w:rsid w:val="000C26E9"/>
    <w:rsid w:val="000C315F"/>
    <w:rsid w:val="000C3EB5"/>
    <w:rsid w:val="000C43B6"/>
    <w:rsid w:val="000C684B"/>
    <w:rsid w:val="000C6D91"/>
    <w:rsid w:val="000C6EED"/>
    <w:rsid w:val="000C79FD"/>
    <w:rsid w:val="000D012A"/>
    <w:rsid w:val="000D0FA0"/>
    <w:rsid w:val="000D2A6B"/>
    <w:rsid w:val="000D31FE"/>
    <w:rsid w:val="000D53A2"/>
    <w:rsid w:val="000D5E01"/>
    <w:rsid w:val="000D6393"/>
    <w:rsid w:val="000D670A"/>
    <w:rsid w:val="000D77C0"/>
    <w:rsid w:val="000D7C12"/>
    <w:rsid w:val="000E0036"/>
    <w:rsid w:val="000E0609"/>
    <w:rsid w:val="000E1ED6"/>
    <w:rsid w:val="000E30C1"/>
    <w:rsid w:val="000E310A"/>
    <w:rsid w:val="000E3345"/>
    <w:rsid w:val="000E3979"/>
    <w:rsid w:val="000E3CE1"/>
    <w:rsid w:val="000E73FF"/>
    <w:rsid w:val="000E7C1C"/>
    <w:rsid w:val="000F03B0"/>
    <w:rsid w:val="000F162C"/>
    <w:rsid w:val="000F294A"/>
    <w:rsid w:val="000F3333"/>
    <w:rsid w:val="000F5324"/>
    <w:rsid w:val="000F6F99"/>
    <w:rsid w:val="000F7020"/>
    <w:rsid w:val="00101A24"/>
    <w:rsid w:val="00104CD3"/>
    <w:rsid w:val="001125C4"/>
    <w:rsid w:val="00113146"/>
    <w:rsid w:val="00114F56"/>
    <w:rsid w:val="001158BA"/>
    <w:rsid w:val="00116006"/>
    <w:rsid w:val="00116B51"/>
    <w:rsid w:val="0012410B"/>
    <w:rsid w:val="00125812"/>
    <w:rsid w:val="00125ADD"/>
    <w:rsid w:val="00126CD1"/>
    <w:rsid w:val="00127757"/>
    <w:rsid w:val="00130E8F"/>
    <w:rsid w:val="001311CF"/>
    <w:rsid w:val="00131364"/>
    <w:rsid w:val="001329E4"/>
    <w:rsid w:val="001333A0"/>
    <w:rsid w:val="001336E3"/>
    <w:rsid w:val="001339BB"/>
    <w:rsid w:val="00136B77"/>
    <w:rsid w:val="00136EED"/>
    <w:rsid w:val="00140F9B"/>
    <w:rsid w:val="00141B20"/>
    <w:rsid w:val="00141D39"/>
    <w:rsid w:val="00142051"/>
    <w:rsid w:val="00143437"/>
    <w:rsid w:val="00144369"/>
    <w:rsid w:val="00144ADC"/>
    <w:rsid w:val="00144BBB"/>
    <w:rsid w:val="00146FC1"/>
    <w:rsid w:val="00150932"/>
    <w:rsid w:val="00152D49"/>
    <w:rsid w:val="0015606C"/>
    <w:rsid w:val="00157E18"/>
    <w:rsid w:val="00161022"/>
    <w:rsid w:val="00161358"/>
    <w:rsid w:val="001613EB"/>
    <w:rsid w:val="001620EB"/>
    <w:rsid w:val="0016318A"/>
    <w:rsid w:val="0016538E"/>
    <w:rsid w:val="00166A7A"/>
    <w:rsid w:val="00166C49"/>
    <w:rsid w:val="001674EB"/>
    <w:rsid w:val="00167EE1"/>
    <w:rsid w:val="001705C4"/>
    <w:rsid w:val="001709AC"/>
    <w:rsid w:val="00171281"/>
    <w:rsid w:val="001712D6"/>
    <w:rsid w:val="001726B0"/>
    <w:rsid w:val="00174910"/>
    <w:rsid w:val="00175644"/>
    <w:rsid w:val="001767C7"/>
    <w:rsid w:val="00177D75"/>
    <w:rsid w:val="0018002C"/>
    <w:rsid w:val="001800AF"/>
    <w:rsid w:val="00180A3B"/>
    <w:rsid w:val="00180BD5"/>
    <w:rsid w:val="00180D17"/>
    <w:rsid w:val="00183D99"/>
    <w:rsid w:val="00183EB1"/>
    <w:rsid w:val="00184219"/>
    <w:rsid w:val="00185884"/>
    <w:rsid w:val="001878C0"/>
    <w:rsid w:val="001901C1"/>
    <w:rsid w:val="00190331"/>
    <w:rsid w:val="0019141D"/>
    <w:rsid w:val="00191B67"/>
    <w:rsid w:val="00191EEC"/>
    <w:rsid w:val="001922C2"/>
    <w:rsid w:val="001929E6"/>
    <w:rsid w:val="00193B26"/>
    <w:rsid w:val="00194873"/>
    <w:rsid w:val="00194B8A"/>
    <w:rsid w:val="00194CF9"/>
    <w:rsid w:val="00197273"/>
    <w:rsid w:val="001A0D4D"/>
    <w:rsid w:val="001A13C8"/>
    <w:rsid w:val="001A1C61"/>
    <w:rsid w:val="001A1DFB"/>
    <w:rsid w:val="001A5694"/>
    <w:rsid w:val="001A5BEE"/>
    <w:rsid w:val="001A7BC3"/>
    <w:rsid w:val="001B0726"/>
    <w:rsid w:val="001B0A7A"/>
    <w:rsid w:val="001B0DF0"/>
    <w:rsid w:val="001B1961"/>
    <w:rsid w:val="001B1A87"/>
    <w:rsid w:val="001B1BDF"/>
    <w:rsid w:val="001B24D5"/>
    <w:rsid w:val="001B2869"/>
    <w:rsid w:val="001B3F6D"/>
    <w:rsid w:val="001B3F81"/>
    <w:rsid w:val="001B4E6C"/>
    <w:rsid w:val="001B54FC"/>
    <w:rsid w:val="001B6231"/>
    <w:rsid w:val="001B7122"/>
    <w:rsid w:val="001C0CF6"/>
    <w:rsid w:val="001C1A35"/>
    <w:rsid w:val="001C2214"/>
    <w:rsid w:val="001C2524"/>
    <w:rsid w:val="001C37D3"/>
    <w:rsid w:val="001C41C2"/>
    <w:rsid w:val="001C57B6"/>
    <w:rsid w:val="001C6912"/>
    <w:rsid w:val="001D0A46"/>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4595"/>
    <w:rsid w:val="001F5D63"/>
    <w:rsid w:val="001F6486"/>
    <w:rsid w:val="001F6750"/>
    <w:rsid w:val="00200311"/>
    <w:rsid w:val="002008D1"/>
    <w:rsid w:val="00202E20"/>
    <w:rsid w:val="002036AA"/>
    <w:rsid w:val="00203789"/>
    <w:rsid w:val="00204A66"/>
    <w:rsid w:val="00205334"/>
    <w:rsid w:val="00205496"/>
    <w:rsid w:val="002073D9"/>
    <w:rsid w:val="00207BB6"/>
    <w:rsid w:val="00213B41"/>
    <w:rsid w:val="00216DB5"/>
    <w:rsid w:val="00216F08"/>
    <w:rsid w:val="00217A19"/>
    <w:rsid w:val="002212B5"/>
    <w:rsid w:val="00222CA5"/>
    <w:rsid w:val="00223298"/>
    <w:rsid w:val="00224A1F"/>
    <w:rsid w:val="00224BD6"/>
    <w:rsid w:val="002253E9"/>
    <w:rsid w:val="002258FC"/>
    <w:rsid w:val="00226226"/>
    <w:rsid w:val="00227232"/>
    <w:rsid w:val="00227D78"/>
    <w:rsid w:val="00227FE4"/>
    <w:rsid w:val="0023149E"/>
    <w:rsid w:val="002317B4"/>
    <w:rsid w:val="002331A0"/>
    <w:rsid w:val="00233DC9"/>
    <w:rsid w:val="0023447D"/>
    <w:rsid w:val="0023708B"/>
    <w:rsid w:val="00237318"/>
    <w:rsid w:val="00237BF7"/>
    <w:rsid w:val="00237FE9"/>
    <w:rsid w:val="002410E2"/>
    <w:rsid w:val="0024128C"/>
    <w:rsid w:val="0024510F"/>
    <w:rsid w:val="00245DA0"/>
    <w:rsid w:val="00247ADA"/>
    <w:rsid w:val="00250F4A"/>
    <w:rsid w:val="00251406"/>
    <w:rsid w:val="00254B74"/>
    <w:rsid w:val="00256769"/>
    <w:rsid w:val="00257836"/>
    <w:rsid w:val="00264EEE"/>
    <w:rsid w:val="0026530E"/>
    <w:rsid w:val="00265DED"/>
    <w:rsid w:val="00265E6C"/>
    <w:rsid w:val="00266A30"/>
    <w:rsid w:val="0026794D"/>
    <w:rsid w:val="00267FAB"/>
    <w:rsid w:val="0027018A"/>
    <w:rsid w:val="00270CAF"/>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355"/>
    <w:rsid w:val="002833EC"/>
    <w:rsid w:val="00283AFA"/>
    <w:rsid w:val="00283D22"/>
    <w:rsid w:val="00287290"/>
    <w:rsid w:val="00287942"/>
    <w:rsid w:val="002918D5"/>
    <w:rsid w:val="00292783"/>
    <w:rsid w:val="0029399F"/>
    <w:rsid w:val="00293E21"/>
    <w:rsid w:val="00295264"/>
    <w:rsid w:val="00295786"/>
    <w:rsid w:val="00295DFA"/>
    <w:rsid w:val="00296404"/>
    <w:rsid w:val="0029649F"/>
    <w:rsid w:val="002A05D3"/>
    <w:rsid w:val="002A06C6"/>
    <w:rsid w:val="002A107A"/>
    <w:rsid w:val="002A4092"/>
    <w:rsid w:val="002A535E"/>
    <w:rsid w:val="002A5881"/>
    <w:rsid w:val="002A5E7A"/>
    <w:rsid w:val="002A6695"/>
    <w:rsid w:val="002B0025"/>
    <w:rsid w:val="002B0801"/>
    <w:rsid w:val="002B0A3F"/>
    <w:rsid w:val="002B4468"/>
    <w:rsid w:val="002B5324"/>
    <w:rsid w:val="002B56E7"/>
    <w:rsid w:val="002B5823"/>
    <w:rsid w:val="002B733A"/>
    <w:rsid w:val="002B7F4A"/>
    <w:rsid w:val="002C0074"/>
    <w:rsid w:val="002C097E"/>
    <w:rsid w:val="002C2315"/>
    <w:rsid w:val="002C301D"/>
    <w:rsid w:val="002C4A38"/>
    <w:rsid w:val="002C5BA6"/>
    <w:rsid w:val="002C6030"/>
    <w:rsid w:val="002C65B8"/>
    <w:rsid w:val="002C734D"/>
    <w:rsid w:val="002C744C"/>
    <w:rsid w:val="002C7E07"/>
    <w:rsid w:val="002D01BF"/>
    <w:rsid w:val="002D0FAA"/>
    <w:rsid w:val="002D3E81"/>
    <w:rsid w:val="002D3FE7"/>
    <w:rsid w:val="002D4A7B"/>
    <w:rsid w:val="002D4AC3"/>
    <w:rsid w:val="002D52A0"/>
    <w:rsid w:val="002D549A"/>
    <w:rsid w:val="002D6691"/>
    <w:rsid w:val="002D6F42"/>
    <w:rsid w:val="002E0169"/>
    <w:rsid w:val="002E062E"/>
    <w:rsid w:val="002E1226"/>
    <w:rsid w:val="002E1D30"/>
    <w:rsid w:val="002E2678"/>
    <w:rsid w:val="002E28C6"/>
    <w:rsid w:val="002E3AE7"/>
    <w:rsid w:val="002E4DB3"/>
    <w:rsid w:val="002E68B7"/>
    <w:rsid w:val="002E6D37"/>
    <w:rsid w:val="002E79A6"/>
    <w:rsid w:val="002F10BF"/>
    <w:rsid w:val="002F110D"/>
    <w:rsid w:val="002F1EB2"/>
    <w:rsid w:val="002F32BD"/>
    <w:rsid w:val="002F4407"/>
    <w:rsid w:val="002F5A1A"/>
    <w:rsid w:val="002F6855"/>
    <w:rsid w:val="002F6E67"/>
    <w:rsid w:val="002F71F1"/>
    <w:rsid w:val="002F7C03"/>
    <w:rsid w:val="002F7C43"/>
    <w:rsid w:val="0030111A"/>
    <w:rsid w:val="0030153D"/>
    <w:rsid w:val="003020F3"/>
    <w:rsid w:val="003021D2"/>
    <w:rsid w:val="003022D4"/>
    <w:rsid w:val="003038AC"/>
    <w:rsid w:val="00303F2F"/>
    <w:rsid w:val="00305726"/>
    <w:rsid w:val="00305B03"/>
    <w:rsid w:val="00306C76"/>
    <w:rsid w:val="00306E9B"/>
    <w:rsid w:val="0030716A"/>
    <w:rsid w:val="00307463"/>
    <w:rsid w:val="003076FA"/>
    <w:rsid w:val="00310D70"/>
    <w:rsid w:val="0031214B"/>
    <w:rsid w:val="00312693"/>
    <w:rsid w:val="00313F3E"/>
    <w:rsid w:val="00314A19"/>
    <w:rsid w:val="00315307"/>
    <w:rsid w:val="00315D17"/>
    <w:rsid w:val="00316B54"/>
    <w:rsid w:val="003176BB"/>
    <w:rsid w:val="00317E1A"/>
    <w:rsid w:val="00320A3C"/>
    <w:rsid w:val="0032233F"/>
    <w:rsid w:val="003232C2"/>
    <w:rsid w:val="003237B0"/>
    <w:rsid w:val="0032463B"/>
    <w:rsid w:val="00324E2F"/>
    <w:rsid w:val="0032503F"/>
    <w:rsid w:val="0032594D"/>
    <w:rsid w:val="003262CE"/>
    <w:rsid w:val="003264ED"/>
    <w:rsid w:val="003308B4"/>
    <w:rsid w:val="00333209"/>
    <w:rsid w:val="0033329E"/>
    <w:rsid w:val="00334A4E"/>
    <w:rsid w:val="003352EF"/>
    <w:rsid w:val="00340A99"/>
    <w:rsid w:val="003418C0"/>
    <w:rsid w:val="003424A8"/>
    <w:rsid w:val="003425F7"/>
    <w:rsid w:val="00343012"/>
    <w:rsid w:val="00343233"/>
    <w:rsid w:val="00343B25"/>
    <w:rsid w:val="003441E3"/>
    <w:rsid w:val="003445EA"/>
    <w:rsid w:val="00347B91"/>
    <w:rsid w:val="00350175"/>
    <w:rsid w:val="00350558"/>
    <w:rsid w:val="00351EC0"/>
    <w:rsid w:val="003520E6"/>
    <w:rsid w:val="00352990"/>
    <w:rsid w:val="00353113"/>
    <w:rsid w:val="00353518"/>
    <w:rsid w:val="00355DAA"/>
    <w:rsid w:val="00360B9F"/>
    <w:rsid w:val="003613F4"/>
    <w:rsid w:val="00361819"/>
    <w:rsid w:val="00361F3D"/>
    <w:rsid w:val="00362C7C"/>
    <w:rsid w:val="00362E2F"/>
    <w:rsid w:val="00362FE1"/>
    <w:rsid w:val="00363DCE"/>
    <w:rsid w:val="00365680"/>
    <w:rsid w:val="00366A1A"/>
    <w:rsid w:val="00366BC2"/>
    <w:rsid w:val="00367B6E"/>
    <w:rsid w:val="00370B2E"/>
    <w:rsid w:val="00372D68"/>
    <w:rsid w:val="00372DD8"/>
    <w:rsid w:val="0037447C"/>
    <w:rsid w:val="0037458C"/>
    <w:rsid w:val="00374E9A"/>
    <w:rsid w:val="00375E7C"/>
    <w:rsid w:val="00375FFD"/>
    <w:rsid w:val="00381DB8"/>
    <w:rsid w:val="003826A0"/>
    <w:rsid w:val="00383462"/>
    <w:rsid w:val="00384B58"/>
    <w:rsid w:val="00385111"/>
    <w:rsid w:val="00385683"/>
    <w:rsid w:val="00385819"/>
    <w:rsid w:val="00385E6F"/>
    <w:rsid w:val="00385EC1"/>
    <w:rsid w:val="00386DD1"/>
    <w:rsid w:val="00387CA4"/>
    <w:rsid w:val="00391389"/>
    <w:rsid w:val="00391E64"/>
    <w:rsid w:val="00395750"/>
    <w:rsid w:val="0039581F"/>
    <w:rsid w:val="003961DE"/>
    <w:rsid w:val="00396861"/>
    <w:rsid w:val="0039783E"/>
    <w:rsid w:val="003A0009"/>
    <w:rsid w:val="003A0E47"/>
    <w:rsid w:val="003A12A7"/>
    <w:rsid w:val="003A4360"/>
    <w:rsid w:val="003A68AA"/>
    <w:rsid w:val="003A7561"/>
    <w:rsid w:val="003A76E4"/>
    <w:rsid w:val="003B09F2"/>
    <w:rsid w:val="003B1384"/>
    <w:rsid w:val="003B35B8"/>
    <w:rsid w:val="003B35FE"/>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5E4E"/>
    <w:rsid w:val="003E68B5"/>
    <w:rsid w:val="003F14AC"/>
    <w:rsid w:val="003F164E"/>
    <w:rsid w:val="003F27A7"/>
    <w:rsid w:val="003F2870"/>
    <w:rsid w:val="003F2D09"/>
    <w:rsid w:val="003F34BF"/>
    <w:rsid w:val="003F37EA"/>
    <w:rsid w:val="003F47F5"/>
    <w:rsid w:val="003F59CC"/>
    <w:rsid w:val="003F5E57"/>
    <w:rsid w:val="003F5F9D"/>
    <w:rsid w:val="003F7652"/>
    <w:rsid w:val="003F7EDA"/>
    <w:rsid w:val="00401C51"/>
    <w:rsid w:val="00401D87"/>
    <w:rsid w:val="00402BF8"/>
    <w:rsid w:val="00403755"/>
    <w:rsid w:val="0040387F"/>
    <w:rsid w:val="00405EB6"/>
    <w:rsid w:val="00406227"/>
    <w:rsid w:val="0040678E"/>
    <w:rsid w:val="00406C87"/>
    <w:rsid w:val="00407D3B"/>
    <w:rsid w:val="00412973"/>
    <w:rsid w:val="00412ED1"/>
    <w:rsid w:val="0041363C"/>
    <w:rsid w:val="00414E9A"/>
    <w:rsid w:val="00415CC4"/>
    <w:rsid w:val="00415FD6"/>
    <w:rsid w:val="0041672C"/>
    <w:rsid w:val="0041696F"/>
    <w:rsid w:val="004174E2"/>
    <w:rsid w:val="00420D4C"/>
    <w:rsid w:val="00423B79"/>
    <w:rsid w:val="004240D2"/>
    <w:rsid w:val="00424ADF"/>
    <w:rsid w:val="004303B8"/>
    <w:rsid w:val="00431677"/>
    <w:rsid w:val="004328A1"/>
    <w:rsid w:val="00432F28"/>
    <w:rsid w:val="00433183"/>
    <w:rsid w:val="0043324C"/>
    <w:rsid w:val="00433AED"/>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E85"/>
    <w:rsid w:val="00447F1A"/>
    <w:rsid w:val="0045084D"/>
    <w:rsid w:val="0045085A"/>
    <w:rsid w:val="00450CBA"/>
    <w:rsid w:val="0045110A"/>
    <w:rsid w:val="00452DA2"/>
    <w:rsid w:val="004532A3"/>
    <w:rsid w:val="0045414E"/>
    <w:rsid w:val="004551CC"/>
    <w:rsid w:val="00455363"/>
    <w:rsid w:val="00456B8F"/>
    <w:rsid w:val="00457045"/>
    <w:rsid w:val="004574C4"/>
    <w:rsid w:val="00457A91"/>
    <w:rsid w:val="004604E9"/>
    <w:rsid w:val="00460A55"/>
    <w:rsid w:val="004610FB"/>
    <w:rsid w:val="0046180A"/>
    <w:rsid w:val="00462BC6"/>
    <w:rsid w:val="00463FEB"/>
    <w:rsid w:val="00464FF0"/>
    <w:rsid w:val="004660F2"/>
    <w:rsid w:val="00466A00"/>
    <w:rsid w:val="00470C11"/>
    <w:rsid w:val="00471759"/>
    <w:rsid w:val="0047175C"/>
    <w:rsid w:val="00471F60"/>
    <w:rsid w:val="004721E0"/>
    <w:rsid w:val="00472F9C"/>
    <w:rsid w:val="00473301"/>
    <w:rsid w:val="00473803"/>
    <w:rsid w:val="004755FE"/>
    <w:rsid w:val="004759BF"/>
    <w:rsid w:val="00476857"/>
    <w:rsid w:val="00476B4E"/>
    <w:rsid w:val="00477363"/>
    <w:rsid w:val="0047782F"/>
    <w:rsid w:val="004828C6"/>
    <w:rsid w:val="004835D0"/>
    <w:rsid w:val="00484675"/>
    <w:rsid w:val="00484F33"/>
    <w:rsid w:val="004869CF"/>
    <w:rsid w:val="00487545"/>
    <w:rsid w:val="00490239"/>
    <w:rsid w:val="00490B1D"/>
    <w:rsid w:val="00491DC5"/>
    <w:rsid w:val="004929EC"/>
    <w:rsid w:val="00493278"/>
    <w:rsid w:val="004935F6"/>
    <w:rsid w:val="00493B10"/>
    <w:rsid w:val="00493F24"/>
    <w:rsid w:val="0049462A"/>
    <w:rsid w:val="00495017"/>
    <w:rsid w:val="0049615F"/>
    <w:rsid w:val="004971EF"/>
    <w:rsid w:val="0049727A"/>
    <w:rsid w:val="004A2043"/>
    <w:rsid w:val="004A2FD9"/>
    <w:rsid w:val="004A51CB"/>
    <w:rsid w:val="004A5D55"/>
    <w:rsid w:val="004A6D51"/>
    <w:rsid w:val="004B03BE"/>
    <w:rsid w:val="004B0A80"/>
    <w:rsid w:val="004B1950"/>
    <w:rsid w:val="004B2839"/>
    <w:rsid w:val="004B300A"/>
    <w:rsid w:val="004B47F4"/>
    <w:rsid w:val="004B4E7B"/>
    <w:rsid w:val="004B7418"/>
    <w:rsid w:val="004B78FA"/>
    <w:rsid w:val="004C0FBA"/>
    <w:rsid w:val="004C1080"/>
    <w:rsid w:val="004C246D"/>
    <w:rsid w:val="004C2B29"/>
    <w:rsid w:val="004C3AAE"/>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48E6"/>
    <w:rsid w:val="004F5252"/>
    <w:rsid w:val="004F5E93"/>
    <w:rsid w:val="004F603D"/>
    <w:rsid w:val="004F6545"/>
    <w:rsid w:val="004F6D32"/>
    <w:rsid w:val="004F6FC8"/>
    <w:rsid w:val="0050046F"/>
    <w:rsid w:val="00500EEF"/>
    <w:rsid w:val="005015CE"/>
    <w:rsid w:val="00501BD9"/>
    <w:rsid w:val="0050337C"/>
    <w:rsid w:val="005041A7"/>
    <w:rsid w:val="00504E3C"/>
    <w:rsid w:val="0050603B"/>
    <w:rsid w:val="00506456"/>
    <w:rsid w:val="00506825"/>
    <w:rsid w:val="00506FA2"/>
    <w:rsid w:val="00507196"/>
    <w:rsid w:val="00507267"/>
    <w:rsid w:val="005103B1"/>
    <w:rsid w:val="005103DD"/>
    <w:rsid w:val="00511D58"/>
    <w:rsid w:val="00514183"/>
    <w:rsid w:val="00515680"/>
    <w:rsid w:val="005159EA"/>
    <w:rsid w:val="005163B1"/>
    <w:rsid w:val="005173F5"/>
    <w:rsid w:val="00517D7F"/>
    <w:rsid w:val="00517E7D"/>
    <w:rsid w:val="00520779"/>
    <w:rsid w:val="005213B4"/>
    <w:rsid w:val="00521E8C"/>
    <w:rsid w:val="00523524"/>
    <w:rsid w:val="00523AAC"/>
    <w:rsid w:val="00523CF5"/>
    <w:rsid w:val="005246FD"/>
    <w:rsid w:val="00525A4C"/>
    <w:rsid w:val="00525C51"/>
    <w:rsid w:val="00530417"/>
    <w:rsid w:val="00530B0F"/>
    <w:rsid w:val="00531B9B"/>
    <w:rsid w:val="00532095"/>
    <w:rsid w:val="005321B7"/>
    <w:rsid w:val="005328C3"/>
    <w:rsid w:val="0053379A"/>
    <w:rsid w:val="005337D5"/>
    <w:rsid w:val="00533EBD"/>
    <w:rsid w:val="0053679A"/>
    <w:rsid w:val="00536C66"/>
    <w:rsid w:val="0054067C"/>
    <w:rsid w:val="00541C62"/>
    <w:rsid w:val="005437B7"/>
    <w:rsid w:val="00543E03"/>
    <w:rsid w:val="00545625"/>
    <w:rsid w:val="00545F4F"/>
    <w:rsid w:val="00545F60"/>
    <w:rsid w:val="00547754"/>
    <w:rsid w:val="0054782B"/>
    <w:rsid w:val="0055051C"/>
    <w:rsid w:val="00550BD7"/>
    <w:rsid w:val="005519A2"/>
    <w:rsid w:val="00551BFE"/>
    <w:rsid w:val="005520E3"/>
    <w:rsid w:val="005536BC"/>
    <w:rsid w:val="005544E5"/>
    <w:rsid w:val="00554B2A"/>
    <w:rsid w:val="00554B2F"/>
    <w:rsid w:val="00555104"/>
    <w:rsid w:val="00557118"/>
    <w:rsid w:val="00560AAF"/>
    <w:rsid w:val="005612C1"/>
    <w:rsid w:val="0056250B"/>
    <w:rsid w:val="00562BC9"/>
    <w:rsid w:val="0056357E"/>
    <w:rsid w:val="00563B07"/>
    <w:rsid w:val="00564874"/>
    <w:rsid w:val="00565AAB"/>
    <w:rsid w:val="00566834"/>
    <w:rsid w:val="005668F0"/>
    <w:rsid w:val="00567266"/>
    <w:rsid w:val="005677E2"/>
    <w:rsid w:val="0056783D"/>
    <w:rsid w:val="0057019F"/>
    <w:rsid w:val="005704E5"/>
    <w:rsid w:val="00570549"/>
    <w:rsid w:val="00570600"/>
    <w:rsid w:val="0057101F"/>
    <w:rsid w:val="00571A9D"/>
    <w:rsid w:val="00571BA5"/>
    <w:rsid w:val="0057204D"/>
    <w:rsid w:val="00573B85"/>
    <w:rsid w:val="00574342"/>
    <w:rsid w:val="0057463E"/>
    <w:rsid w:val="005754DE"/>
    <w:rsid w:val="00575D62"/>
    <w:rsid w:val="00576798"/>
    <w:rsid w:val="00576C4A"/>
    <w:rsid w:val="0057790E"/>
    <w:rsid w:val="00580450"/>
    <w:rsid w:val="005804FA"/>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262"/>
    <w:rsid w:val="005A13E7"/>
    <w:rsid w:val="005A196E"/>
    <w:rsid w:val="005A3D06"/>
    <w:rsid w:val="005A3DA9"/>
    <w:rsid w:val="005A62E6"/>
    <w:rsid w:val="005A6CC1"/>
    <w:rsid w:val="005A6CCD"/>
    <w:rsid w:val="005A7107"/>
    <w:rsid w:val="005B174D"/>
    <w:rsid w:val="005B1762"/>
    <w:rsid w:val="005B1BBA"/>
    <w:rsid w:val="005B29AF"/>
    <w:rsid w:val="005B39D2"/>
    <w:rsid w:val="005B3B36"/>
    <w:rsid w:val="005B545C"/>
    <w:rsid w:val="005B55F8"/>
    <w:rsid w:val="005B5924"/>
    <w:rsid w:val="005B6561"/>
    <w:rsid w:val="005B7592"/>
    <w:rsid w:val="005C01E0"/>
    <w:rsid w:val="005C0312"/>
    <w:rsid w:val="005C0453"/>
    <w:rsid w:val="005C21D1"/>
    <w:rsid w:val="005C24B6"/>
    <w:rsid w:val="005C29FA"/>
    <w:rsid w:val="005C2A35"/>
    <w:rsid w:val="005C363D"/>
    <w:rsid w:val="005C38A2"/>
    <w:rsid w:val="005C3E40"/>
    <w:rsid w:val="005C4FB1"/>
    <w:rsid w:val="005C532C"/>
    <w:rsid w:val="005C5F92"/>
    <w:rsid w:val="005C6EDB"/>
    <w:rsid w:val="005C746E"/>
    <w:rsid w:val="005C749E"/>
    <w:rsid w:val="005D0763"/>
    <w:rsid w:val="005D0FD8"/>
    <w:rsid w:val="005D1956"/>
    <w:rsid w:val="005D3DE0"/>
    <w:rsid w:val="005D4C84"/>
    <w:rsid w:val="005D57F3"/>
    <w:rsid w:val="005D67EA"/>
    <w:rsid w:val="005E0B96"/>
    <w:rsid w:val="005E2F2B"/>
    <w:rsid w:val="005E4156"/>
    <w:rsid w:val="005E6DB6"/>
    <w:rsid w:val="005E7559"/>
    <w:rsid w:val="005F27D5"/>
    <w:rsid w:val="005F2C40"/>
    <w:rsid w:val="005F4C43"/>
    <w:rsid w:val="005F4DCE"/>
    <w:rsid w:val="005F5FC9"/>
    <w:rsid w:val="005F7A3B"/>
    <w:rsid w:val="0060184B"/>
    <w:rsid w:val="00601A52"/>
    <w:rsid w:val="00602E73"/>
    <w:rsid w:val="00603627"/>
    <w:rsid w:val="006036A6"/>
    <w:rsid w:val="00603E2B"/>
    <w:rsid w:val="00603FA8"/>
    <w:rsid w:val="00604714"/>
    <w:rsid w:val="006050DD"/>
    <w:rsid w:val="00605386"/>
    <w:rsid w:val="006062EF"/>
    <w:rsid w:val="00607ADB"/>
    <w:rsid w:val="0061025C"/>
    <w:rsid w:val="0061033B"/>
    <w:rsid w:val="00610DB8"/>
    <w:rsid w:val="006121E5"/>
    <w:rsid w:val="00612D19"/>
    <w:rsid w:val="0061317B"/>
    <w:rsid w:val="0061389A"/>
    <w:rsid w:val="00613972"/>
    <w:rsid w:val="006159F2"/>
    <w:rsid w:val="00615ABE"/>
    <w:rsid w:val="00615E70"/>
    <w:rsid w:val="006161F9"/>
    <w:rsid w:val="006170F2"/>
    <w:rsid w:val="00617398"/>
    <w:rsid w:val="0061761D"/>
    <w:rsid w:val="006207E9"/>
    <w:rsid w:val="00621E70"/>
    <w:rsid w:val="00625131"/>
    <w:rsid w:val="00626B7E"/>
    <w:rsid w:val="00630F1B"/>
    <w:rsid w:val="00632BA7"/>
    <w:rsid w:val="00632C89"/>
    <w:rsid w:val="00632E8C"/>
    <w:rsid w:val="00634F11"/>
    <w:rsid w:val="006359F5"/>
    <w:rsid w:val="00635A18"/>
    <w:rsid w:val="00637047"/>
    <w:rsid w:val="006371BF"/>
    <w:rsid w:val="006377D3"/>
    <w:rsid w:val="00637BB7"/>
    <w:rsid w:val="00642ADD"/>
    <w:rsid w:val="00643396"/>
    <w:rsid w:val="00643788"/>
    <w:rsid w:val="0064402C"/>
    <w:rsid w:val="006445A2"/>
    <w:rsid w:val="00645C45"/>
    <w:rsid w:val="00646179"/>
    <w:rsid w:val="006464FD"/>
    <w:rsid w:val="006474EE"/>
    <w:rsid w:val="0064763A"/>
    <w:rsid w:val="006511BF"/>
    <w:rsid w:val="0065152E"/>
    <w:rsid w:val="0065318C"/>
    <w:rsid w:val="006544DB"/>
    <w:rsid w:val="00654D44"/>
    <w:rsid w:val="00656647"/>
    <w:rsid w:val="00656DD7"/>
    <w:rsid w:val="0065713B"/>
    <w:rsid w:val="0065713C"/>
    <w:rsid w:val="0065773E"/>
    <w:rsid w:val="00660B1F"/>
    <w:rsid w:val="00661852"/>
    <w:rsid w:val="00662194"/>
    <w:rsid w:val="006624D0"/>
    <w:rsid w:val="006637FA"/>
    <w:rsid w:val="00663B17"/>
    <w:rsid w:val="00666A40"/>
    <w:rsid w:val="00667518"/>
    <w:rsid w:val="00671424"/>
    <w:rsid w:val="006755C1"/>
    <w:rsid w:val="00675A28"/>
    <w:rsid w:val="00675F15"/>
    <w:rsid w:val="00676159"/>
    <w:rsid w:val="006772A7"/>
    <w:rsid w:val="006772CA"/>
    <w:rsid w:val="00677EE9"/>
    <w:rsid w:val="006804CF"/>
    <w:rsid w:val="006822DA"/>
    <w:rsid w:val="00682473"/>
    <w:rsid w:val="006829A8"/>
    <w:rsid w:val="00682FBC"/>
    <w:rsid w:val="00683A57"/>
    <w:rsid w:val="0068449E"/>
    <w:rsid w:val="00684A4C"/>
    <w:rsid w:val="00685D8C"/>
    <w:rsid w:val="006873EA"/>
    <w:rsid w:val="006879E9"/>
    <w:rsid w:val="00692162"/>
    <w:rsid w:val="00693024"/>
    <w:rsid w:val="00693DC9"/>
    <w:rsid w:val="00694ABE"/>
    <w:rsid w:val="00694E49"/>
    <w:rsid w:val="00696C7E"/>
    <w:rsid w:val="00696F28"/>
    <w:rsid w:val="006A0E74"/>
    <w:rsid w:val="006A0FE1"/>
    <w:rsid w:val="006A1097"/>
    <w:rsid w:val="006A218F"/>
    <w:rsid w:val="006A3C79"/>
    <w:rsid w:val="006A3F76"/>
    <w:rsid w:val="006A4054"/>
    <w:rsid w:val="006A40A1"/>
    <w:rsid w:val="006A44A2"/>
    <w:rsid w:val="006A5C00"/>
    <w:rsid w:val="006A6165"/>
    <w:rsid w:val="006A6392"/>
    <w:rsid w:val="006A7E28"/>
    <w:rsid w:val="006B1EDE"/>
    <w:rsid w:val="006B2116"/>
    <w:rsid w:val="006B2982"/>
    <w:rsid w:val="006B35BE"/>
    <w:rsid w:val="006B4468"/>
    <w:rsid w:val="006B4705"/>
    <w:rsid w:val="006C0A4C"/>
    <w:rsid w:val="006C1B43"/>
    <w:rsid w:val="006C1D7C"/>
    <w:rsid w:val="006C3765"/>
    <w:rsid w:val="006C39BF"/>
    <w:rsid w:val="006C4775"/>
    <w:rsid w:val="006C4AF5"/>
    <w:rsid w:val="006C6FA2"/>
    <w:rsid w:val="006C7000"/>
    <w:rsid w:val="006C7763"/>
    <w:rsid w:val="006D012B"/>
    <w:rsid w:val="006D12A7"/>
    <w:rsid w:val="006D2BD5"/>
    <w:rsid w:val="006D3ECE"/>
    <w:rsid w:val="006D4E45"/>
    <w:rsid w:val="006D5350"/>
    <w:rsid w:val="006D5897"/>
    <w:rsid w:val="006D79E1"/>
    <w:rsid w:val="006E0317"/>
    <w:rsid w:val="006E0511"/>
    <w:rsid w:val="006E12C1"/>
    <w:rsid w:val="006E27CC"/>
    <w:rsid w:val="006E5580"/>
    <w:rsid w:val="006E607F"/>
    <w:rsid w:val="006E7DC2"/>
    <w:rsid w:val="006F0D73"/>
    <w:rsid w:val="006F1342"/>
    <w:rsid w:val="006F354E"/>
    <w:rsid w:val="006F3D80"/>
    <w:rsid w:val="006F3EF5"/>
    <w:rsid w:val="006F49F0"/>
    <w:rsid w:val="006F5472"/>
    <w:rsid w:val="006F5734"/>
    <w:rsid w:val="007013AC"/>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3D62"/>
    <w:rsid w:val="00716DEA"/>
    <w:rsid w:val="0072105B"/>
    <w:rsid w:val="00722402"/>
    <w:rsid w:val="0072284E"/>
    <w:rsid w:val="00723508"/>
    <w:rsid w:val="00723702"/>
    <w:rsid w:val="00724F96"/>
    <w:rsid w:val="0073286C"/>
    <w:rsid w:val="007328CC"/>
    <w:rsid w:val="007330DF"/>
    <w:rsid w:val="00733260"/>
    <w:rsid w:val="00735070"/>
    <w:rsid w:val="0073557E"/>
    <w:rsid w:val="00735AD3"/>
    <w:rsid w:val="007364DA"/>
    <w:rsid w:val="00737F37"/>
    <w:rsid w:val="007409D2"/>
    <w:rsid w:val="00740B97"/>
    <w:rsid w:val="00742222"/>
    <w:rsid w:val="00743EA9"/>
    <w:rsid w:val="00744C35"/>
    <w:rsid w:val="007451F5"/>
    <w:rsid w:val="0074529C"/>
    <w:rsid w:val="00747244"/>
    <w:rsid w:val="007474DB"/>
    <w:rsid w:val="00747ECC"/>
    <w:rsid w:val="00750BF8"/>
    <w:rsid w:val="00750E2F"/>
    <w:rsid w:val="007515BC"/>
    <w:rsid w:val="00753328"/>
    <w:rsid w:val="00753433"/>
    <w:rsid w:val="00754E11"/>
    <w:rsid w:val="00755780"/>
    <w:rsid w:val="00756097"/>
    <w:rsid w:val="007564E5"/>
    <w:rsid w:val="00764F3A"/>
    <w:rsid w:val="00765A14"/>
    <w:rsid w:val="00765CC1"/>
    <w:rsid w:val="007669BA"/>
    <w:rsid w:val="007672AC"/>
    <w:rsid w:val="00770261"/>
    <w:rsid w:val="007712EA"/>
    <w:rsid w:val="007716D4"/>
    <w:rsid w:val="00772439"/>
    <w:rsid w:val="00773ACD"/>
    <w:rsid w:val="007759CE"/>
    <w:rsid w:val="00775ED6"/>
    <w:rsid w:val="007768C5"/>
    <w:rsid w:val="0077715B"/>
    <w:rsid w:val="007773BD"/>
    <w:rsid w:val="00777B72"/>
    <w:rsid w:val="00777E62"/>
    <w:rsid w:val="00777EEE"/>
    <w:rsid w:val="007800FC"/>
    <w:rsid w:val="007811C0"/>
    <w:rsid w:val="007819CF"/>
    <w:rsid w:val="00781DF8"/>
    <w:rsid w:val="00782395"/>
    <w:rsid w:val="0078263F"/>
    <w:rsid w:val="00783657"/>
    <w:rsid w:val="00783D49"/>
    <w:rsid w:val="007843FB"/>
    <w:rsid w:val="0078676D"/>
    <w:rsid w:val="00786840"/>
    <w:rsid w:val="00786A5D"/>
    <w:rsid w:val="007873F7"/>
    <w:rsid w:val="00787595"/>
    <w:rsid w:val="00790852"/>
    <w:rsid w:val="00790EEE"/>
    <w:rsid w:val="00791304"/>
    <w:rsid w:val="00791677"/>
    <w:rsid w:val="00791E8E"/>
    <w:rsid w:val="007931A9"/>
    <w:rsid w:val="00794E52"/>
    <w:rsid w:val="00794E6C"/>
    <w:rsid w:val="007952A7"/>
    <w:rsid w:val="00796982"/>
    <w:rsid w:val="0079724B"/>
    <w:rsid w:val="007A02C7"/>
    <w:rsid w:val="007A05C6"/>
    <w:rsid w:val="007A173A"/>
    <w:rsid w:val="007A2C70"/>
    <w:rsid w:val="007A375D"/>
    <w:rsid w:val="007A5826"/>
    <w:rsid w:val="007A657A"/>
    <w:rsid w:val="007B0F3E"/>
    <w:rsid w:val="007B249F"/>
    <w:rsid w:val="007B26AA"/>
    <w:rsid w:val="007B4330"/>
    <w:rsid w:val="007B435A"/>
    <w:rsid w:val="007B5D7E"/>
    <w:rsid w:val="007B788E"/>
    <w:rsid w:val="007B7C62"/>
    <w:rsid w:val="007C0442"/>
    <w:rsid w:val="007C17B1"/>
    <w:rsid w:val="007C43BB"/>
    <w:rsid w:val="007C6ED9"/>
    <w:rsid w:val="007C737B"/>
    <w:rsid w:val="007D1D13"/>
    <w:rsid w:val="007D20FF"/>
    <w:rsid w:val="007D36F2"/>
    <w:rsid w:val="007D3B6C"/>
    <w:rsid w:val="007D57DC"/>
    <w:rsid w:val="007E00A1"/>
    <w:rsid w:val="007E2BB1"/>
    <w:rsid w:val="007E2F2D"/>
    <w:rsid w:val="007E3A3A"/>
    <w:rsid w:val="007E3C1B"/>
    <w:rsid w:val="007E6D47"/>
    <w:rsid w:val="007E71C7"/>
    <w:rsid w:val="007F0096"/>
    <w:rsid w:val="007F2BB3"/>
    <w:rsid w:val="007F349D"/>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17709"/>
    <w:rsid w:val="00820881"/>
    <w:rsid w:val="00820A94"/>
    <w:rsid w:val="00822774"/>
    <w:rsid w:val="00822DB3"/>
    <w:rsid w:val="00823B52"/>
    <w:rsid w:val="00823B90"/>
    <w:rsid w:val="00826109"/>
    <w:rsid w:val="008304E8"/>
    <w:rsid w:val="00831ACA"/>
    <w:rsid w:val="00831AD5"/>
    <w:rsid w:val="00831BAA"/>
    <w:rsid w:val="00831E32"/>
    <w:rsid w:val="00834C7B"/>
    <w:rsid w:val="008357C4"/>
    <w:rsid w:val="00836367"/>
    <w:rsid w:val="00836D63"/>
    <w:rsid w:val="008375CF"/>
    <w:rsid w:val="00841BDF"/>
    <w:rsid w:val="008425D5"/>
    <w:rsid w:val="00843D20"/>
    <w:rsid w:val="00844454"/>
    <w:rsid w:val="00845E10"/>
    <w:rsid w:val="00847192"/>
    <w:rsid w:val="0084731D"/>
    <w:rsid w:val="00850142"/>
    <w:rsid w:val="008511D0"/>
    <w:rsid w:val="00854598"/>
    <w:rsid w:val="00854FA9"/>
    <w:rsid w:val="00857420"/>
    <w:rsid w:val="0085773A"/>
    <w:rsid w:val="008603F1"/>
    <w:rsid w:val="00860CCE"/>
    <w:rsid w:val="008613BA"/>
    <w:rsid w:val="00862540"/>
    <w:rsid w:val="00862551"/>
    <w:rsid w:val="0086294E"/>
    <w:rsid w:val="00863459"/>
    <w:rsid w:val="008637E1"/>
    <w:rsid w:val="00863D9B"/>
    <w:rsid w:val="00863EE1"/>
    <w:rsid w:val="00863F13"/>
    <w:rsid w:val="008669BF"/>
    <w:rsid w:val="00866C8F"/>
    <w:rsid w:val="00867E68"/>
    <w:rsid w:val="00871E58"/>
    <w:rsid w:val="00872CDA"/>
    <w:rsid w:val="0087340F"/>
    <w:rsid w:val="00873D37"/>
    <w:rsid w:val="00874188"/>
    <w:rsid w:val="00876879"/>
    <w:rsid w:val="008805A2"/>
    <w:rsid w:val="0088302D"/>
    <w:rsid w:val="008830FE"/>
    <w:rsid w:val="00883A51"/>
    <w:rsid w:val="00883F7F"/>
    <w:rsid w:val="008841C7"/>
    <w:rsid w:val="00885271"/>
    <w:rsid w:val="00885C28"/>
    <w:rsid w:val="00885F6B"/>
    <w:rsid w:val="008866E0"/>
    <w:rsid w:val="00887803"/>
    <w:rsid w:val="00887ABA"/>
    <w:rsid w:val="00891481"/>
    <w:rsid w:val="008917E0"/>
    <w:rsid w:val="00893683"/>
    <w:rsid w:val="00893927"/>
    <w:rsid w:val="00893A34"/>
    <w:rsid w:val="00893F1F"/>
    <w:rsid w:val="00897964"/>
    <w:rsid w:val="008A0894"/>
    <w:rsid w:val="008A0DBC"/>
    <w:rsid w:val="008A2903"/>
    <w:rsid w:val="008A2ECB"/>
    <w:rsid w:val="008A41D1"/>
    <w:rsid w:val="008A56F5"/>
    <w:rsid w:val="008A6B32"/>
    <w:rsid w:val="008A6D57"/>
    <w:rsid w:val="008A7DEB"/>
    <w:rsid w:val="008B1BE0"/>
    <w:rsid w:val="008B39F2"/>
    <w:rsid w:val="008B643A"/>
    <w:rsid w:val="008B7CC7"/>
    <w:rsid w:val="008C0BAD"/>
    <w:rsid w:val="008C1654"/>
    <w:rsid w:val="008C2E66"/>
    <w:rsid w:val="008C30AA"/>
    <w:rsid w:val="008C3CF3"/>
    <w:rsid w:val="008C4059"/>
    <w:rsid w:val="008C5061"/>
    <w:rsid w:val="008D077E"/>
    <w:rsid w:val="008D082A"/>
    <w:rsid w:val="008D2219"/>
    <w:rsid w:val="008D2E76"/>
    <w:rsid w:val="008D321E"/>
    <w:rsid w:val="008D4069"/>
    <w:rsid w:val="008D4C74"/>
    <w:rsid w:val="008D578D"/>
    <w:rsid w:val="008D6F8D"/>
    <w:rsid w:val="008E0799"/>
    <w:rsid w:val="008E144C"/>
    <w:rsid w:val="008E1524"/>
    <w:rsid w:val="008E1751"/>
    <w:rsid w:val="008E1ECA"/>
    <w:rsid w:val="008E3485"/>
    <w:rsid w:val="008E35D5"/>
    <w:rsid w:val="008E499D"/>
    <w:rsid w:val="008F122C"/>
    <w:rsid w:val="008F1742"/>
    <w:rsid w:val="008F3401"/>
    <w:rsid w:val="008F45DD"/>
    <w:rsid w:val="008F524F"/>
    <w:rsid w:val="008F546B"/>
    <w:rsid w:val="008F7F16"/>
    <w:rsid w:val="009011FA"/>
    <w:rsid w:val="0090251C"/>
    <w:rsid w:val="00903A46"/>
    <w:rsid w:val="00907EF1"/>
    <w:rsid w:val="00910F53"/>
    <w:rsid w:val="009112D6"/>
    <w:rsid w:val="00911779"/>
    <w:rsid w:val="00912583"/>
    <w:rsid w:val="00912FE6"/>
    <w:rsid w:val="0091537A"/>
    <w:rsid w:val="0091613C"/>
    <w:rsid w:val="00916AA9"/>
    <w:rsid w:val="009176AC"/>
    <w:rsid w:val="00917703"/>
    <w:rsid w:val="00921613"/>
    <w:rsid w:val="00921AD9"/>
    <w:rsid w:val="00922DFB"/>
    <w:rsid w:val="00924AF4"/>
    <w:rsid w:val="00924DAD"/>
    <w:rsid w:val="00924EF9"/>
    <w:rsid w:val="00926B17"/>
    <w:rsid w:val="00931139"/>
    <w:rsid w:val="00931186"/>
    <w:rsid w:val="00931C60"/>
    <w:rsid w:val="00932330"/>
    <w:rsid w:val="00932349"/>
    <w:rsid w:val="0093239E"/>
    <w:rsid w:val="00932A1A"/>
    <w:rsid w:val="009366A0"/>
    <w:rsid w:val="009407EE"/>
    <w:rsid w:val="00943B26"/>
    <w:rsid w:val="00944544"/>
    <w:rsid w:val="00950357"/>
    <w:rsid w:val="00951077"/>
    <w:rsid w:val="0095200D"/>
    <w:rsid w:val="009542D3"/>
    <w:rsid w:val="00955EB2"/>
    <w:rsid w:val="00956DA6"/>
    <w:rsid w:val="009575E3"/>
    <w:rsid w:val="00957F52"/>
    <w:rsid w:val="00960387"/>
    <w:rsid w:val="00960A43"/>
    <w:rsid w:val="009615EC"/>
    <w:rsid w:val="00961C3D"/>
    <w:rsid w:val="00961DC0"/>
    <w:rsid w:val="00962484"/>
    <w:rsid w:val="0096278C"/>
    <w:rsid w:val="00963DAA"/>
    <w:rsid w:val="009643C4"/>
    <w:rsid w:val="00965312"/>
    <w:rsid w:val="009655A1"/>
    <w:rsid w:val="00967BAA"/>
    <w:rsid w:val="00970DF3"/>
    <w:rsid w:val="00973779"/>
    <w:rsid w:val="00975726"/>
    <w:rsid w:val="00975870"/>
    <w:rsid w:val="00975CDC"/>
    <w:rsid w:val="009768F2"/>
    <w:rsid w:val="00976CAD"/>
    <w:rsid w:val="00981321"/>
    <w:rsid w:val="00981A56"/>
    <w:rsid w:val="00981B08"/>
    <w:rsid w:val="00983242"/>
    <w:rsid w:val="00983700"/>
    <w:rsid w:val="00984252"/>
    <w:rsid w:val="00984467"/>
    <w:rsid w:val="00985000"/>
    <w:rsid w:val="0098563C"/>
    <w:rsid w:val="0098603E"/>
    <w:rsid w:val="00986F53"/>
    <w:rsid w:val="0099034D"/>
    <w:rsid w:val="0099053A"/>
    <w:rsid w:val="009918E8"/>
    <w:rsid w:val="00991ACC"/>
    <w:rsid w:val="00991B76"/>
    <w:rsid w:val="00992345"/>
    <w:rsid w:val="009927AA"/>
    <w:rsid w:val="00992AF4"/>
    <w:rsid w:val="00993572"/>
    <w:rsid w:val="00994ED0"/>
    <w:rsid w:val="00995D58"/>
    <w:rsid w:val="0099604A"/>
    <w:rsid w:val="009962FE"/>
    <w:rsid w:val="00997E46"/>
    <w:rsid w:val="009A0E5A"/>
    <w:rsid w:val="009A1F84"/>
    <w:rsid w:val="009A237B"/>
    <w:rsid w:val="009A23EE"/>
    <w:rsid w:val="009A2C24"/>
    <w:rsid w:val="009A353A"/>
    <w:rsid w:val="009A4293"/>
    <w:rsid w:val="009A6068"/>
    <w:rsid w:val="009A6D30"/>
    <w:rsid w:val="009B0464"/>
    <w:rsid w:val="009B1209"/>
    <w:rsid w:val="009B3B03"/>
    <w:rsid w:val="009B3F9B"/>
    <w:rsid w:val="009B4464"/>
    <w:rsid w:val="009B5ED9"/>
    <w:rsid w:val="009B687E"/>
    <w:rsid w:val="009B78C5"/>
    <w:rsid w:val="009C34A0"/>
    <w:rsid w:val="009C4DC5"/>
    <w:rsid w:val="009C4F2E"/>
    <w:rsid w:val="009C5262"/>
    <w:rsid w:val="009C555D"/>
    <w:rsid w:val="009C6B0A"/>
    <w:rsid w:val="009D0114"/>
    <w:rsid w:val="009D07A9"/>
    <w:rsid w:val="009D176F"/>
    <w:rsid w:val="009D234C"/>
    <w:rsid w:val="009D5865"/>
    <w:rsid w:val="009D5E4C"/>
    <w:rsid w:val="009D6D25"/>
    <w:rsid w:val="009D76D9"/>
    <w:rsid w:val="009E03FB"/>
    <w:rsid w:val="009E17B9"/>
    <w:rsid w:val="009E39BD"/>
    <w:rsid w:val="009E56D2"/>
    <w:rsid w:val="009E5815"/>
    <w:rsid w:val="009F06E5"/>
    <w:rsid w:val="009F09E6"/>
    <w:rsid w:val="009F0F4D"/>
    <w:rsid w:val="009F39B2"/>
    <w:rsid w:val="009F630C"/>
    <w:rsid w:val="009F7B9A"/>
    <w:rsid w:val="009F7F75"/>
    <w:rsid w:val="00A0238F"/>
    <w:rsid w:val="00A0358C"/>
    <w:rsid w:val="00A03704"/>
    <w:rsid w:val="00A05AD3"/>
    <w:rsid w:val="00A067D6"/>
    <w:rsid w:val="00A06AC7"/>
    <w:rsid w:val="00A1107D"/>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3AB"/>
    <w:rsid w:val="00A2777E"/>
    <w:rsid w:val="00A3103A"/>
    <w:rsid w:val="00A31268"/>
    <w:rsid w:val="00A31E8F"/>
    <w:rsid w:val="00A321D2"/>
    <w:rsid w:val="00A331D4"/>
    <w:rsid w:val="00A3580A"/>
    <w:rsid w:val="00A40AF3"/>
    <w:rsid w:val="00A41E37"/>
    <w:rsid w:val="00A41FC7"/>
    <w:rsid w:val="00A42944"/>
    <w:rsid w:val="00A43758"/>
    <w:rsid w:val="00A44EB9"/>
    <w:rsid w:val="00A458F0"/>
    <w:rsid w:val="00A46A67"/>
    <w:rsid w:val="00A474F8"/>
    <w:rsid w:val="00A51CC9"/>
    <w:rsid w:val="00A51EF6"/>
    <w:rsid w:val="00A52763"/>
    <w:rsid w:val="00A52964"/>
    <w:rsid w:val="00A541BB"/>
    <w:rsid w:val="00A563BC"/>
    <w:rsid w:val="00A60B98"/>
    <w:rsid w:val="00A61088"/>
    <w:rsid w:val="00A637DD"/>
    <w:rsid w:val="00A640CD"/>
    <w:rsid w:val="00A65972"/>
    <w:rsid w:val="00A65EA6"/>
    <w:rsid w:val="00A66F24"/>
    <w:rsid w:val="00A72D91"/>
    <w:rsid w:val="00A731EE"/>
    <w:rsid w:val="00A73D4B"/>
    <w:rsid w:val="00A748A3"/>
    <w:rsid w:val="00A761FA"/>
    <w:rsid w:val="00A771C0"/>
    <w:rsid w:val="00A80CA4"/>
    <w:rsid w:val="00A81192"/>
    <w:rsid w:val="00A81297"/>
    <w:rsid w:val="00A82A72"/>
    <w:rsid w:val="00A8577E"/>
    <w:rsid w:val="00A85A08"/>
    <w:rsid w:val="00A86724"/>
    <w:rsid w:val="00A8672D"/>
    <w:rsid w:val="00A90B0E"/>
    <w:rsid w:val="00A90B93"/>
    <w:rsid w:val="00A92231"/>
    <w:rsid w:val="00A92E1D"/>
    <w:rsid w:val="00A936A8"/>
    <w:rsid w:val="00A93F37"/>
    <w:rsid w:val="00A94F1D"/>
    <w:rsid w:val="00A95810"/>
    <w:rsid w:val="00A95DA6"/>
    <w:rsid w:val="00A97006"/>
    <w:rsid w:val="00A97DC2"/>
    <w:rsid w:val="00AA0305"/>
    <w:rsid w:val="00AA1E55"/>
    <w:rsid w:val="00AA2A15"/>
    <w:rsid w:val="00AA2A96"/>
    <w:rsid w:val="00AA2B71"/>
    <w:rsid w:val="00AA42A7"/>
    <w:rsid w:val="00AA50D5"/>
    <w:rsid w:val="00AA714E"/>
    <w:rsid w:val="00AB09C5"/>
    <w:rsid w:val="00AB1C8B"/>
    <w:rsid w:val="00AB456E"/>
    <w:rsid w:val="00AB4B80"/>
    <w:rsid w:val="00AB7678"/>
    <w:rsid w:val="00AC014E"/>
    <w:rsid w:val="00AC238D"/>
    <w:rsid w:val="00AC4B7F"/>
    <w:rsid w:val="00AC5EB7"/>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2FE8"/>
    <w:rsid w:val="00AE31B0"/>
    <w:rsid w:val="00AE3EC0"/>
    <w:rsid w:val="00AE6FC4"/>
    <w:rsid w:val="00AF0479"/>
    <w:rsid w:val="00AF0482"/>
    <w:rsid w:val="00AF19C5"/>
    <w:rsid w:val="00AF26A2"/>
    <w:rsid w:val="00AF3DFB"/>
    <w:rsid w:val="00AF411C"/>
    <w:rsid w:val="00AF4B64"/>
    <w:rsid w:val="00AF7EC6"/>
    <w:rsid w:val="00B007B0"/>
    <w:rsid w:val="00B00EEB"/>
    <w:rsid w:val="00B01B51"/>
    <w:rsid w:val="00B03333"/>
    <w:rsid w:val="00B033B6"/>
    <w:rsid w:val="00B0379D"/>
    <w:rsid w:val="00B0406A"/>
    <w:rsid w:val="00B054D6"/>
    <w:rsid w:val="00B06841"/>
    <w:rsid w:val="00B06B03"/>
    <w:rsid w:val="00B07DB6"/>
    <w:rsid w:val="00B1128A"/>
    <w:rsid w:val="00B113E5"/>
    <w:rsid w:val="00B1162D"/>
    <w:rsid w:val="00B14C06"/>
    <w:rsid w:val="00B153F0"/>
    <w:rsid w:val="00B162A3"/>
    <w:rsid w:val="00B168FE"/>
    <w:rsid w:val="00B17ECC"/>
    <w:rsid w:val="00B23398"/>
    <w:rsid w:val="00B23A9D"/>
    <w:rsid w:val="00B245B0"/>
    <w:rsid w:val="00B26E56"/>
    <w:rsid w:val="00B31879"/>
    <w:rsid w:val="00B31F90"/>
    <w:rsid w:val="00B3311C"/>
    <w:rsid w:val="00B33125"/>
    <w:rsid w:val="00B34A3B"/>
    <w:rsid w:val="00B355C5"/>
    <w:rsid w:val="00B3673D"/>
    <w:rsid w:val="00B42131"/>
    <w:rsid w:val="00B44C6C"/>
    <w:rsid w:val="00B4757F"/>
    <w:rsid w:val="00B5187A"/>
    <w:rsid w:val="00B5229A"/>
    <w:rsid w:val="00B52E33"/>
    <w:rsid w:val="00B552BF"/>
    <w:rsid w:val="00B55CD1"/>
    <w:rsid w:val="00B57235"/>
    <w:rsid w:val="00B605F9"/>
    <w:rsid w:val="00B61C67"/>
    <w:rsid w:val="00B6314D"/>
    <w:rsid w:val="00B644F1"/>
    <w:rsid w:val="00B64BD8"/>
    <w:rsid w:val="00B67302"/>
    <w:rsid w:val="00B70EFF"/>
    <w:rsid w:val="00B713DA"/>
    <w:rsid w:val="00B71654"/>
    <w:rsid w:val="00B727C2"/>
    <w:rsid w:val="00B738C7"/>
    <w:rsid w:val="00B73E5F"/>
    <w:rsid w:val="00B747AC"/>
    <w:rsid w:val="00B75E1D"/>
    <w:rsid w:val="00B77124"/>
    <w:rsid w:val="00B8023E"/>
    <w:rsid w:val="00B806AB"/>
    <w:rsid w:val="00B82106"/>
    <w:rsid w:val="00B82526"/>
    <w:rsid w:val="00B82809"/>
    <w:rsid w:val="00B82FF5"/>
    <w:rsid w:val="00B85DBB"/>
    <w:rsid w:val="00B87915"/>
    <w:rsid w:val="00B9084D"/>
    <w:rsid w:val="00B91224"/>
    <w:rsid w:val="00B91420"/>
    <w:rsid w:val="00B92DEC"/>
    <w:rsid w:val="00B9525A"/>
    <w:rsid w:val="00B97D3F"/>
    <w:rsid w:val="00BA015D"/>
    <w:rsid w:val="00BA064C"/>
    <w:rsid w:val="00BA08F9"/>
    <w:rsid w:val="00BA0C85"/>
    <w:rsid w:val="00BA1B22"/>
    <w:rsid w:val="00BA4091"/>
    <w:rsid w:val="00BA4735"/>
    <w:rsid w:val="00BA54D5"/>
    <w:rsid w:val="00BA5A79"/>
    <w:rsid w:val="00BA60AC"/>
    <w:rsid w:val="00BB2DB8"/>
    <w:rsid w:val="00BB3A50"/>
    <w:rsid w:val="00BB4A2E"/>
    <w:rsid w:val="00BB4D9B"/>
    <w:rsid w:val="00BB647C"/>
    <w:rsid w:val="00BC0C83"/>
    <w:rsid w:val="00BC1520"/>
    <w:rsid w:val="00BC211C"/>
    <w:rsid w:val="00BC2E75"/>
    <w:rsid w:val="00BC33E7"/>
    <w:rsid w:val="00BC5A0A"/>
    <w:rsid w:val="00BC61B1"/>
    <w:rsid w:val="00BC74B2"/>
    <w:rsid w:val="00BC76B4"/>
    <w:rsid w:val="00BD1451"/>
    <w:rsid w:val="00BD1F16"/>
    <w:rsid w:val="00BD201F"/>
    <w:rsid w:val="00BD27A9"/>
    <w:rsid w:val="00BD32CD"/>
    <w:rsid w:val="00BD55D3"/>
    <w:rsid w:val="00BD6538"/>
    <w:rsid w:val="00BD6EDF"/>
    <w:rsid w:val="00BD787F"/>
    <w:rsid w:val="00BD7E26"/>
    <w:rsid w:val="00BE00F2"/>
    <w:rsid w:val="00BE209A"/>
    <w:rsid w:val="00BE2293"/>
    <w:rsid w:val="00BE2455"/>
    <w:rsid w:val="00BE24AF"/>
    <w:rsid w:val="00BE2E9B"/>
    <w:rsid w:val="00BE329A"/>
    <w:rsid w:val="00BE37DF"/>
    <w:rsid w:val="00BE37E1"/>
    <w:rsid w:val="00BE4307"/>
    <w:rsid w:val="00BE4B28"/>
    <w:rsid w:val="00BE4ED0"/>
    <w:rsid w:val="00BE4EF3"/>
    <w:rsid w:val="00BE57F6"/>
    <w:rsid w:val="00BE6E5D"/>
    <w:rsid w:val="00BE7220"/>
    <w:rsid w:val="00BF021D"/>
    <w:rsid w:val="00BF2D80"/>
    <w:rsid w:val="00BF2DF2"/>
    <w:rsid w:val="00BF32A0"/>
    <w:rsid w:val="00BF34A5"/>
    <w:rsid w:val="00BF3828"/>
    <w:rsid w:val="00BF4F27"/>
    <w:rsid w:val="00BF4F4D"/>
    <w:rsid w:val="00BF5144"/>
    <w:rsid w:val="00BF5E9D"/>
    <w:rsid w:val="00C00747"/>
    <w:rsid w:val="00C01116"/>
    <w:rsid w:val="00C02336"/>
    <w:rsid w:val="00C0260B"/>
    <w:rsid w:val="00C02DD3"/>
    <w:rsid w:val="00C03BEA"/>
    <w:rsid w:val="00C04254"/>
    <w:rsid w:val="00C043A7"/>
    <w:rsid w:val="00C044F1"/>
    <w:rsid w:val="00C050D3"/>
    <w:rsid w:val="00C10374"/>
    <w:rsid w:val="00C12840"/>
    <w:rsid w:val="00C13480"/>
    <w:rsid w:val="00C1593D"/>
    <w:rsid w:val="00C172E3"/>
    <w:rsid w:val="00C217D7"/>
    <w:rsid w:val="00C21910"/>
    <w:rsid w:val="00C22372"/>
    <w:rsid w:val="00C22791"/>
    <w:rsid w:val="00C244FF"/>
    <w:rsid w:val="00C24CFC"/>
    <w:rsid w:val="00C262A1"/>
    <w:rsid w:val="00C268EB"/>
    <w:rsid w:val="00C27FC3"/>
    <w:rsid w:val="00C301A7"/>
    <w:rsid w:val="00C317C4"/>
    <w:rsid w:val="00C33D51"/>
    <w:rsid w:val="00C34065"/>
    <w:rsid w:val="00C3458A"/>
    <w:rsid w:val="00C35BF3"/>
    <w:rsid w:val="00C3670D"/>
    <w:rsid w:val="00C36784"/>
    <w:rsid w:val="00C37270"/>
    <w:rsid w:val="00C41370"/>
    <w:rsid w:val="00C41EED"/>
    <w:rsid w:val="00C442B6"/>
    <w:rsid w:val="00C459A1"/>
    <w:rsid w:val="00C47A2B"/>
    <w:rsid w:val="00C5096F"/>
    <w:rsid w:val="00C50A32"/>
    <w:rsid w:val="00C50CC6"/>
    <w:rsid w:val="00C51FC5"/>
    <w:rsid w:val="00C5302D"/>
    <w:rsid w:val="00C53D94"/>
    <w:rsid w:val="00C5403F"/>
    <w:rsid w:val="00C55956"/>
    <w:rsid w:val="00C55CDD"/>
    <w:rsid w:val="00C5787F"/>
    <w:rsid w:val="00C57E44"/>
    <w:rsid w:val="00C60E71"/>
    <w:rsid w:val="00C61625"/>
    <w:rsid w:val="00C61A6F"/>
    <w:rsid w:val="00C62F4A"/>
    <w:rsid w:val="00C6318D"/>
    <w:rsid w:val="00C634DB"/>
    <w:rsid w:val="00C63883"/>
    <w:rsid w:val="00C65E4F"/>
    <w:rsid w:val="00C66506"/>
    <w:rsid w:val="00C667B4"/>
    <w:rsid w:val="00C70641"/>
    <w:rsid w:val="00C72EF0"/>
    <w:rsid w:val="00C7318D"/>
    <w:rsid w:val="00C74CC2"/>
    <w:rsid w:val="00C76487"/>
    <w:rsid w:val="00C765BB"/>
    <w:rsid w:val="00C77322"/>
    <w:rsid w:val="00C77ACD"/>
    <w:rsid w:val="00C81584"/>
    <w:rsid w:val="00C82226"/>
    <w:rsid w:val="00C82FC1"/>
    <w:rsid w:val="00C83726"/>
    <w:rsid w:val="00C84B8C"/>
    <w:rsid w:val="00C84F03"/>
    <w:rsid w:val="00C85536"/>
    <w:rsid w:val="00C9240D"/>
    <w:rsid w:val="00C95035"/>
    <w:rsid w:val="00C96565"/>
    <w:rsid w:val="00C975F3"/>
    <w:rsid w:val="00C9766A"/>
    <w:rsid w:val="00C9795B"/>
    <w:rsid w:val="00CA1310"/>
    <w:rsid w:val="00CA27D5"/>
    <w:rsid w:val="00CA3336"/>
    <w:rsid w:val="00CA3630"/>
    <w:rsid w:val="00CA3D33"/>
    <w:rsid w:val="00CA49A2"/>
    <w:rsid w:val="00CA4D80"/>
    <w:rsid w:val="00CA552A"/>
    <w:rsid w:val="00CA55AC"/>
    <w:rsid w:val="00CA5DA4"/>
    <w:rsid w:val="00CA6831"/>
    <w:rsid w:val="00CA683E"/>
    <w:rsid w:val="00CB0179"/>
    <w:rsid w:val="00CB0C87"/>
    <w:rsid w:val="00CB2278"/>
    <w:rsid w:val="00CB354D"/>
    <w:rsid w:val="00CB5273"/>
    <w:rsid w:val="00CB6BD8"/>
    <w:rsid w:val="00CB74C1"/>
    <w:rsid w:val="00CC0031"/>
    <w:rsid w:val="00CC1B2D"/>
    <w:rsid w:val="00CC2C4F"/>
    <w:rsid w:val="00CC3FDF"/>
    <w:rsid w:val="00CC58D3"/>
    <w:rsid w:val="00CC60B9"/>
    <w:rsid w:val="00CC61C2"/>
    <w:rsid w:val="00CC7C50"/>
    <w:rsid w:val="00CD1628"/>
    <w:rsid w:val="00CD2712"/>
    <w:rsid w:val="00CD35A0"/>
    <w:rsid w:val="00CD41EE"/>
    <w:rsid w:val="00CD476F"/>
    <w:rsid w:val="00CD59F1"/>
    <w:rsid w:val="00CD664F"/>
    <w:rsid w:val="00CD7C95"/>
    <w:rsid w:val="00CD7EA1"/>
    <w:rsid w:val="00CE03DC"/>
    <w:rsid w:val="00CE1B5A"/>
    <w:rsid w:val="00CE24C7"/>
    <w:rsid w:val="00CE2DEC"/>
    <w:rsid w:val="00CE3D5E"/>
    <w:rsid w:val="00CE3DED"/>
    <w:rsid w:val="00CE49E7"/>
    <w:rsid w:val="00CE4D4B"/>
    <w:rsid w:val="00CE642E"/>
    <w:rsid w:val="00CE76A9"/>
    <w:rsid w:val="00CF034B"/>
    <w:rsid w:val="00CF1345"/>
    <w:rsid w:val="00CF18D0"/>
    <w:rsid w:val="00CF32E9"/>
    <w:rsid w:val="00CF345C"/>
    <w:rsid w:val="00CF4E94"/>
    <w:rsid w:val="00CF56C1"/>
    <w:rsid w:val="00CF75BA"/>
    <w:rsid w:val="00D0100E"/>
    <w:rsid w:val="00D010E3"/>
    <w:rsid w:val="00D01A19"/>
    <w:rsid w:val="00D02E90"/>
    <w:rsid w:val="00D0482D"/>
    <w:rsid w:val="00D04A6F"/>
    <w:rsid w:val="00D05810"/>
    <w:rsid w:val="00D10925"/>
    <w:rsid w:val="00D15ADE"/>
    <w:rsid w:val="00D177A1"/>
    <w:rsid w:val="00D20416"/>
    <w:rsid w:val="00D20CCF"/>
    <w:rsid w:val="00D21942"/>
    <w:rsid w:val="00D22B65"/>
    <w:rsid w:val="00D230F6"/>
    <w:rsid w:val="00D23682"/>
    <w:rsid w:val="00D26C21"/>
    <w:rsid w:val="00D30BD9"/>
    <w:rsid w:val="00D30C9F"/>
    <w:rsid w:val="00D31275"/>
    <w:rsid w:val="00D3196B"/>
    <w:rsid w:val="00D324FC"/>
    <w:rsid w:val="00D32EE8"/>
    <w:rsid w:val="00D33B95"/>
    <w:rsid w:val="00D35F36"/>
    <w:rsid w:val="00D378DF"/>
    <w:rsid w:val="00D4061A"/>
    <w:rsid w:val="00D40BD3"/>
    <w:rsid w:val="00D41322"/>
    <w:rsid w:val="00D42B0C"/>
    <w:rsid w:val="00D44607"/>
    <w:rsid w:val="00D46673"/>
    <w:rsid w:val="00D47AC5"/>
    <w:rsid w:val="00D47B47"/>
    <w:rsid w:val="00D50713"/>
    <w:rsid w:val="00D5090D"/>
    <w:rsid w:val="00D5113F"/>
    <w:rsid w:val="00D5162C"/>
    <w:rsid w:val="00D52351"/>
    <w:rsid w:val="00D56336"/>
    <w:rsid w:val="00D56BA7"/>
    <w:rsid w:val="00D576E9"/>
    <w:rsid w:val="00D5781D"/>
    <w:rsid w:val="00D617EF"/>
    <w:rsid w:val="00D62564"/>
    <w:rsid w:val="00D62ECD"/>
    <w:rsid w:val="00D65CF2"/>
    <w:rsid w:val="00D6682C"/>
    <w:rsid w:val="00D66C76"/>
    <w:rsid w:val="00D66CF8"/>
    <w:rsid w:val="00D66DB5"/>
    <w:rsid w:val="00D67F9B"/>
    <w:rsid w:val="00D7008D"/>
    <w:rsid w:val="00D7086E"/>
    <w:rsid w:val="00D70C49"/>
    <w:rsid w:val="00D70F3A"/>
    <w:rsid w:val="00D71EDD"/>
    <w:rsid w:val="00D72028"/>
    <w:rsid w:val="00D72BEF"/>
    <w:rsid w:val="00D72C62"/>
    <w:rsid w:val="00D73886"/>
    <w:rsid w:val="00D74587"/>
    <w:rsid w:val="00D76AB8"/>
    <w:rsid w:val="00D772B3"/>
    <w:rsid w:val="00D77A52"/>
    <w:rsid w:val="00D81B58"/>
    <w:rsid w:val="00D81C14"/>
    <w:rsid w:val="00D832D5"/>
    <w:rsid w:val="00D83376"/>
    <w:rsid w:val="00D84B5D"/>
    <w:rsid w:val="00D84D50"/>
    <w:rsid w:val="00D853FF"/>
    <w:rsid w:val="00D8705F"/>
    <w:rsid w:val="00D87A07"/>
    <w:rsid w:val="00D9247B"/>
    <w:rsid w:val="00D92A15"/>
    <w:rsid w:val="00D934FF"/>
    <w:rsid w:val="00D943DD"/>
    <w:rsid w:val="00D957C0"/>
    <w:rsid w:val="00D965FE"/>
    <w:rsid w:val="00D97312"/>
    <w:rsid w:val="00DA0546"/>
    <w:rsid w:val="00DA1332"/>
    <w:rsid w:val="00DA377B"/>
    <w:rsid w:val="00DA48F6"/>
    <w:rsid w:val="00DA4B59"/>
    <w:rsid w:val="00DA5238"/>
    <w:rsid w:val="00DA53C1"/>
    <w:rsid w:val="00DA5621"/>
    <w:rsid w:val="00DA5B67"/>
    <w:rsid w:val="00DA7ECD"/>
    <w:rsid w:val="00DB09E4"/>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2A"/>
    <w:rsid w:val="00DE5099"/>
    <w:rsid w:val="00DE58AE"/>
    <w:rsid w:val="00DE7190"/>
    <w:rsid w:val="00DF1157"/>
    <w:rsid w:val="00DF178D"/>
    <w:rsid w:val="00DF1915"/>
    <w:rsid w:val="00DF2711"/>
    <w:rsid w:val="00DF2E2D"/>
    <w:rsid w:val="00DF38C7"/>
    <w:rsid w:val="00DF4010"/>
    <w:rsid w:val="00DF4392"/>
    <w:rsid w:val="00DF4E1F"/>
    <w:rsid w:val="00DF5446"/>
    <w:rsid w:val="00DF69A1"/>
    <w:rsid w:val="00DF6DE1"/>
    <w:rsid w:val="00DF752E"/>
    <w:rsid w:val="00DF7C65"/>
    <w:rsid w:val="00E000B6"/>
    <w:rsid w:val="00E0035B"/>
    <w:rsid w:val="00E00956"/>
    <w:rsid w:val="00E011B3"/>
    <w:rsid w:val="00E01A14"/>
    <w:rsid w:val="00E01A51"/>
    <w:rsid w:val="00E02EE2"/>
    <w:rsid w:val="00E03927"/>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118F"/>
    <w:rsid w:val="00E23A1C"/>
    <w:rsid w:val="00E245F0"/>
    <w:rsid w:val="00E249D0"/>
    <w:rsid w:val="00E2566D"/>
    <w:rsid w:val="00E27820"/>
    <w:rsid w:val="00E304B3"/>
    <w:rsid w:val="00E32827"/>
    <w:rsid w:val="00E329AF"/>
    <w:rsid w:val="00E34139"/>
    <w:rsid w:val="00E342B0"/>
    <w:rsid w:val="00E350B7"/>
    <w:rsid w:val="00E356BA"/>
    <w:rsid w:val="00E37D1E"/>
    <w:rsid w:val="00E40979"/>
    <w:rsid w:val="00E435B7"/>
    <w:rsid w:val="00E43A26"/>
    <w:rsid w:val="00E43FF0"/>
    <w:rsid w:val="00E466D8"/>
    <w:rsid w:val="00E467E4"/>
    <w:rsid w:val="00E46AF2"/>
    <w:rsid w:val="00E47557"/>
    <w:rsid w:val="00E503F7"/>
    <w:rsid w:val="00E5531B"/>
    <w:rsid w:val="00E5543F"/>
    <w:rsid w:val="00E6140D"/>
    <w:rsid w:val="00E61F52"/>
    <w:rsid w:val="00E623F2"/>
    <w:rsid w:val="00E6414B"/>
    <w:rsid w:val="00E64851"/>
    <w:rsid w:val="00E67C51"/>
    <w:rsid w:val="00E70BD3"/>
    <w:rsid w:val="00E71755"/>
    <w:rsid w:val="00E71783"/>
    <w:rsid w:val="00E71967"/>
    <w:rsid w:val="00E7237E"/>
    <w:rsid w:val="00E7269B"/>
    <w:rsid w:val="00E72A5A"/>
    <w:rsid w:val="00E72D5C"/>
    <w:rsid w:val="00E735B1"/>
    <w:rsid w:val="00E73BE0"/>
    <w:rsid w:val="00E741ED"/>
    <w:rsid w:val="00E770AD"/>
    <w:rsid w:val="00E77FD2"/>
    <w:rsid w:val="00E81DCB"/>
    <w:rsid w:val="00E85206"/>
    <w:rsid w:val="00E8686E"/>
    <w:rsid w:val="00E90B31"/>
    <w:rsid w:val="00E90BDF"/>
    <w:rsid w:val="00E91864"/>
    <w:rsid w:val="00E929ED"/>
    <w:rsid w:val="00E940AC"/>
    <w:rsid w:val="00E94F36"/>
    <w:rsid w:val="00E95883"/>
    <w:rsid w:val="00EA00F6"/>
    <w:rsid w:val="00EA258A"/>
    <w:rsid w:val="00EA35CB"/>
    <w:rsid w:val="00EA447E"/>
    <w:rsid w:val="00EA4DBC"/>
    <w:rsid w:val="00EA50AB"/>
    <w:rsid w:val="00EB037F"/>
    <w:rsid w:val="00EB10EA"/>
    <w:rsid w:val="00EB1595"/>
    <w:rsid w:val="00EB31AB"/>
    <w:rsid w:val="00EB4EFE"/>
    <w:rsid w:val="00EB5751"/>
    <w:rsid w:val="00EC175E"/>
    <w:rsid w:val="00EC1936"/>
    <w:rsid w:val="00EC22D7"/>
    <w:rsid w:val="00EC245A"/>
    <w:rsid w:val="00EC4BAE"/>
    <w:rsid w:val="00EC55F7"/>
    <w:rsid w:val="00EC5B7C"/>
    <w:rsid w:val="00EC5D37"/>
    <w:rsid w:val="00EC5F1B"/>
    <w:rsid w:val="00EC6A3F"/>
    <w:rsid w:val="00ED1200"/>
    <w:rsid w:val="00ED166C"/>
    <w:rsid w:val="00ED2391"/>
    <w:rsid w:val="00ED3DA3"/>
    <w:rsid w:val="00ED5639"/>
    <w:rsid w:val="00ED6944"/>
    <w:rsid w:val="00EE15E5"/>
    <w:rsid w:val="00EE1BF2"/>
    <w:rsid w:val="00EE3107"/>
    <w:rsid w:val="00EE6411"/>
    <w:rsid w:val="00EE66C7"/>
    <w:rsid w:val="00EE6B2F"/>
    <w:rsid w:val="00EE70C3"/>
    <w:rsid w:val="00EF02F8"/>
    <w:rsid w:val="00EF0400"/>
    <w:rsid w:val="00EF05EB"/>
    <w:rsid w:val="00EF5722"/>
    <w:rsid w:val="00EF5730"/>
    <w:rsid w:val="00EF5C83"/>
    <w:rsid w:val="00EF783D"/>
    <w:rsid w:val="00EF7D7A"/>
    <w:rsid w:val="00F002B2"/>
    <w:rsid w:val="00F00AC2"/>
    <w:rsid w:val="00F01C27"/>
    <w:rsid w:val="00F0204B"/>
    <w:rsid w:val="00F03B3D"/>
    <w:rsid w:val="00F04527"/>
    <w:rsid w:val="00F04BAA"/>
    <w:rsid w:val="00F05177"/>
    <w:rsid w:val="00F0601A"/>
    <w:rsid w:val="00F0724E"/>
    <w:rsid w:val="00F12FA2"/>
    <w:rsid w:val="00F14C67"/>
    <w:rsid w:val="00F15518"/>
    <w:rsid w:val="00F155A2"/>
    <w:rsid w:val="00F17616"/>
    <w:rsid w:val="00F22E5F"/>
    <w:rsid w:val="00F233B0"/>
    <w:rsid w:val="00F2363B"/>
    <w:rsid w:val="00F24E5E"/>
    <w:rsid w:val="00F255CA"/>
    <w:rsid w:val="00F25D76"/>
    <w:rsid w:val="00F26DA9"/>
    <w:rsid w:val="00F30E83"/>
    <w:rsid w:val="00F31D64"/>
    <w:rsid w:val="00F33537"/>
    <w:rsid w:val="00F33736"/>
    <w:rsid w:val="00F33B09"/>
    <w:rsid w:val="00F3434E"/>
    <w:rsid w:val="00F358FC"/>
    <w:rsid w:val="00F36D4A"/>
    <w:rsid w:val="00F376EB"/>
    <w:rsid w:val="00F37FE5"/>
    <w:rsid w:val="00F40EC2"/>
    <w:rsid w:val="00F40EFA"/>
    <w:rsid w:val="00F41545"/>
    <w:rsid w:val="00F41EEA"/>
    <w:rsid w:val="00F42002"/>
    <w:rsid w:val="00F4341D"/>
    <w:rsid w:val="00F4545C"/>
    <w:rsid w:val="00F45490"/>
    <w:rsid w:val="00F45E80"/>
    <w:rsid w:val="00F46D72"/>
    <w:rsid w:val="00F50177"/>
    <w:rsid w:val="00F50A00"/>
    <w:rsid w:val="00F51132"/>
    <w:rsid w:val="00F51CC5"/>
    <w:rsid w:val="00F51F90"/>
    <w:rsid w:val="00F523F4"/>
    <w:rsid w:val="00F54EC7"/>
    <w:rsid w:val="00F567BF"/>
    <w:rsid w:val="00F56AC0"/>
    <w:rsid w:val="00F56F0E"/>
    <w:rsid w:val="00F56F47"/>
    <w:rsid w:val="00F57335"/>
    <w:rsid w:val="00F57A39"/>
    <w:rsid w:val="00F61F72"/>
    <w:rsid w:val="00F62680"/>
    <w:rsid w:val="00F62F91"/>
    <w:rsid w:val="00F63723"/>
    <w:rsid w:val="00F63BA4"/>
    <w:rsid w:val="00F65E9E"/>
    <w:rsid w:val="00F7025D"/>
    <w:rsid w:val="00F70876"/>
    <w:rsid w:val="00F72085"/>
    <w:rsid w:val="00F72ABB"/>
    <w:rsid w:val="00F73758"/>
    <w:rsid w:val="00F73FF5"/>
    <w:rsid w:val="00F74EFB"/>
    <w:rsid w:val="00F764B6"/>
    <w:rsid w:val="00F76F54"/>
    <w:rsid w:val="00F7712A"/>
    <w:rsid w:val="00F77955"/>
    <w:rsid w:val="00F803F8"/>
    <w:rsid w:val="00F8144D"/>
    <w:rsid w:val="00F82B0E"/>
    <w:rsid w:val="00F83427"/>
    <w:rsid w:val="00F8415B"/>
    <w:rsid w:val="00F84424"/>
    <w:rsid w:val="00F869F8"/>
    <w:rsid w:val="00F86B46"/>
    <w:rsid w:val="00F86BE3"/>
    <w:rsid w:val="00F90EFD"/>
    <w:rsid w:val="00F92208"/>
    <w:rsid w:val="00F926D8"/>
    <w:rsid w:val="00F93F4C"/>
    <w:rsid w:val="00F9535B"/>
    <w:rsid w:val="00F95DE8"/>
    <w:rsid w:val="00F962C7"/>
    <w:rsid w:val="00F96FD2"/>
    <w:rsid w:val="00F9780A"/>
    <w:rsid w:val="00FA06AC"/>
    <w:rsid w:val="00FA0E40"/>
    <w:rsid w:val="00FA13F8"/>
    <w:rsid w:val="00FA1906"/>
    <w:rsid w:val="00FA2DB7"/>
    <w:rsid w:val="00FA2EC0"/>
    <w:rsid w:val="00FA31AD"/>
    <w:rsid w:val="00FA3F1F"/>
    <w:rsid w:val="00FA427A"/>
    <w:rsid w:val="00FA47E1"/>
    <w:rsid w:val="00FA4EA3"/>
    <w:rsid w:val="00FB0933"/>
    <w:rsid w:val="00FB0B60"/>
    <w:rsid w:val="00FB13E0"/>
    <w:rsid w:val="00FB38D6"/>
    <w:rsid w:val="00FB4CA8"/>
    <w:rsid w:val="00FB4CF0"/>
    <w:rsid w:val="00FB5EBA"/>
    <w:rsid w:val="00FB6B34"/>
    <w:rsid w:val="00FB6FF0"/>
    <w:rsid w:val="00FC07C4"/>
    <w:rsid w:val="00FC111F"/>
    <w:rsid w:val="00FC1619"/>
    <w:rsid w:val="00FC19E8"/>
    <w:rsid w:val="00FC1D7B"/>
    <w:rsid w:val="00FC22CF"/>
    <w:rsid w:val="00FC3B31"/>
    <w:rsid w:val="00FC43D1"/>
    <w:rsid w:val="00FC4434"/>
    <w:rsid w:val="00FC4541"/>
    <w:rsid w:val="00FC4F74"/>
    <w:rsid w:val="00FC5197"/>
    <w:rsid w:val="00FC53CF"/>
    <w:rsid w:val="00FC5866"/>
    <w:rsid w:val="00FC5B63"/>
    <w:rsid w:val="00FC5E53"/>
    <w:rsid w:val="00FD0BDA"/>
    <w:rsid w:val="00FD3EB9"/>
    <w:rsid w:val="00FD4975"/>
    <w:rsid w:val="00FD4992"/>
    <w:rsid w:val="00FD4E23"/>
    <w:rsid w:val="00FD79FF"/>
    <w:rsid w:val="00FE297B"/>
    <w:rsid w:val="00FE3880"/>
    <w:rsid w:val="00FE47DF"/>
    <w:rsid w:val="00FE6CE6"/>
    <w:rsid w:val="00FE7555"/>
    <w:rsid w:val="00FE75DD"/>
    <w:rsid w:val="00FF0353"/>
    <w:rsid w:val="00FF0C5F"/>
    <w:rsid w:val="00FF0CC1"/>
    <w:rsid w:val="00FF1B0F"/>
    <w:rsid w:val="00FF253E"/>
    <w:rsid w:val="00FF274C"/>
    <w:rsid w:val="00FF2B67"/>
    <w:rsid w:val="00FF354D"/>
    <w:rsid w:val="00FF4396"/>
    <w:rsid w:val="00FF61E2"/>
    <w:rsid w:val="00FF6B48"/>
    <w:rsid w:val="00FF7359"/>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white" stroke="f">
      <v:fill color="white" opacity="0"/>
      <v:stroke on="f"/>
      <o:colormru v:ext="edit" colors="#ddd,#cfcfcf,#cacaca,#66f,blue,#ccd3e1,#002469,#335087"/>
    </o:shapedefaults>
    <o:shapelayout v:ext="edit">
      <o:idmap v:ext="edit" data="1"/>
    </o:shapelayout>
  </w:shapeDefaults>
  <w:decimalSymbol w:val="."/>
  <w:listSeparator w:val=","/>
  <w14:docId w14:val="36A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932A1A"/>
    <w:pPr>
      <w:spacing w:line="300" w:lineRule="atLeast"/>
      <w:jc w:val="both"/>
    </w:pPr>
    <w:rPr>
      <w:sz w:val="24"/>
      <w:lang w:eastAsia="en-AU"/>
    </w:rPr>
  </w:style>
  <w:style w:type="character" w:customStyle="1" w:styleId="apple-converted-space">
    <w:name w:val="apple-converted-space"/>
    <w:basedOn w:val="DefaultParagraphFont"/>
    <w:rsid w:val="00A563BC"/>
  </w:style>
  <w:style w:type="paragraph" w:styleId="Revision">
    <w:name w:val="Revision"/>
    <w:hidden/>
    <w:uiPriority w:val="99"/>
    <w:semiHidden/>
    <w:rsid w:val="00531B9B"/>
    <w:rPr>
      <w:rFonts w:ascii="Arial" w:hAnsi="Arial"/>
      <w:sz w:val="22"/>
      <w:lang w:val="en-GB" w:eastAsia="en-GB"/>
    </w:rPr>
  </w:style>
  <w:style w:type="paragraph" w:customStyle="1" w:styleId="TRBodyText">
    <w:name w:val="_TRBody Text"/>
    <w:rsid w:val="009D234C"/>
    <w:pPr>
      <w:spacing w:line="300" w:lineRule="atLeast"/>
      <w:jc w:val="both"/>
    </w:pPr>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Normal">
    <w:name w:val="_TRNormal"/>
    <w:rsid w:val="00932A1A"/>
    <w:pPr>
      <w:spacing w:line="300" w:lineRule="atLeast"/>
      <w:jc w:val="both"/>
    </w:pPr>
    <w:rPr>
      <w:sz w:val="24"/>
      <w:lang w:eastAsia="en-AU"/>
    </w:rPr>
  </w:style>
  <w:style w:type="character" w:customStyle="1" w:styleId="apple-converted-space">
    <w:name w:val="apple-converted-space"/>
    <w:basedOn w:val="DefaultParagraphFont"/>
    <w:rsid w:val="00A563BC"/>
  </w:style>
  <w:style w:type="paragraph" w:styleId="Revision">
    <w:name w:val="Revision"/>
    <w:hidden/>
    <w:uiPriority w:val="99"/>
    <w:semiHidden/>
    <w:rsid w:val="00531B9B"/>
    <w:rPr>
      <w:rFonts w:ascii="Arial" w:hAnsi="Arial"/>
      <w:sz w:val="22"/>
      <w:lang w:val="en-GB" w:eastAsia="en-GB"/>
    </w:rPr>
  </w:style>
  <w:style w:type="paragraph" w:customStyle="1" w:styleId="TRBodyText">
    <w:name w:val="_TRBody Text"/>
    <w:rsid w:val="009D234C"/>
    <w:pPr>
      <w:spacing w:line="300" w:lineRule="atLeast"/>
      <w:jc w:val="both"/>
    </w:pPr>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503">
      <w:bodyDiv w:val="1"/>
      <w:marLeft w:val="0"/>
      <w:marRight w:val="0"/>
      <w:marTop w:val="0"/>
      <w:marBottom w:val="0"/>
      <w:divBdr>
        <w:top w:val="none" w:sz="0" w:space="0" w:color="auto"/>
        <w:left w:val="none" w:sz="0" w:space="0" w:color="auto"/>
        <w:bottom w:val="none" w:sz="0" w:space="0" w:color="auto"/>
        <w:right w:val="none" w:sz="0" w:space="0" w:color="auto"/>
      </w:divBdr>
    </w:div>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769169">
      <w:bodyDiv w:val="1"/>
      <w:marLeft w:val="0"/>
      <w:marRight w:val="0"/>
      <w:marTop w:val="0"/>
      <w:marBottom w:val="0"/>
      <w:divBdr>
        <w:top w:val="none" w:sz="0" w:space="0" w:color="auto"/>
        <w:left w:val="none" w:sz="0" w:space="0" w:color="auto"/>
        <w:bottom w:val="none" w:sz="0" w:space="0" w:color="auto"/>
        <w:right w:val="none" w:sz="0" w:space="0" w:color="auto"/>
      </w:divBdr>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58216">
      <w:bodyDiv w:val="1"/>
      <w:marLeft w:val="0"/>
      <w:marRight w:val="0"/>
      <w:marTop w:val="0"/>
      <w:marBottom w:val="0"/>
      <w:divBdr>
        <w:top w:val="none" w:sz="0" w:space="0" w:color="auto"/>
        <w:left w:val="none" w:sz="0" w:space="0" w:color="auto"/>
        <w:bottom w:val="none" w:sz="0" w:space="0" w:color="auto"/>
        <w:right w:val="none" w:sz="0" w:space="0" w:color="auto"/>
      </w:divBdr>
    </w:div>
    <w:div w:id="1275795385">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3094">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C6E7-E867-4ECC-86BD-348A036B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8284</Words>
  <Characters>44996</Characters>
  <Application>Microsoft Office Word</Application>
  <DocSecurity>0</DocSecurity>
  <Lines>899</Lines>
  <Paragraphs>235</Paragraphs>
  <ScaleCrop>false</ScaleCrop>
  <HeadingPairs>
    <vt:vector size="2" baseType="variant">
      <vt:variant>
        <vt:lpstr>Title</vt:lpstr>
      </vt:variant>
      <vt:variant>
        <vt:i4>1</vt:i4>
      </vt:variant>
    </vt:vector>
  </HeadingPairs>
  <TitlesOfParts>
    <vt:vector size="1" baseType="lpstr">
      <vt:lpstr>Regulatory impact statement - Transitional regulations during Inland Revenue’s business transformation (August 2016)</vt:lpstr>
    </vt:vector>
  </TitlesOfParts>
  <Company>Inland Revenue</Company>
  <LinksUpToDate>false</LinksUpToDate>
  <CharactersWithSpaces>53045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Transitional regulations during Inland Revenue’s business transformation (August 2016)</dc:title>
  <dc:creator>Policy and Strategy</dc:creator>
  <dc:description>Published in August 2016.</dc:description>
  <cp:lastModifiedBy>David Nind</cp:lastModifiedBy>
  <cp:revision>2</cp:revision>
  <dcterms:created xsi:type="dcterms:W3CDTF">2016-08-16T01:12:00Z</dcterms:created>
  <dcterms:modified xsi:type="dcterms:W3CDTF">2016-08-16T01:13:00Z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