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DC" w:rsidRPr="00F65FFA" w:rsidRDefault="007C737B" w:rsidP="00F65FFA">
      <w:pPr>
        <w:spacing w:after="0" w:line="240" w:lineRule="auto"/>
        <w:jc w:val="center"/>
        <w:rPr>
          <w:b/>
          <w:sz w:val="32"/>
          <w:lang w:val="en-NZ" w:eastAsia="en-US"/>
        </w:rPr>
      </w:pPr>
      <w:bookmarkStart w:id="0" w:name="_Regulatory_Impact_Statement"/>
      <w:bookmarkStart w:id="1" w:name="_Toc244580362"/>
      <w:bookmarkStart w:id="2" w:name="_Toc244587038"/>
      <w:bookmarkStart w:id="3" w:name="_Toc244857272"/>
      <w:bookmarkStart w:id="4" w:name="_Toc244912537"/>
      <w:bookmarkStart w:id="5" w:name="_Toc244916994"/>
      <w:bookmarkStart w:id="6" w:name="_GoBack"/>
      <w:bookmarkEnd w:id="0"/>
      <w:bookmarkEnd w:id="6"/>
      <w:r w:rsidRPr="00F65FFA">
        <w:rPr>
          <w:rFonts w:ascii="Times New Roman" w:hAnsi="Times New Roman"/>
          <w:b/>
          <w:sz w:val="32"/>
          <w:szCs w:val="24"/>
          <w:lang w:val="en-NZ" w:eastAsia="en-US"/>
        </w:rPr>
        <w:t>Regulatory Impact Statement</w:t>
      </w:r>
      <w:bookmarkEnd w:id="1"/>
      <w:bookmarkEnd w:id="2"/>
      <w:bookmarkEnd w:id="3"/>
      <w:bookmarkEnd w:id="4"/>
      <w:bookmarkEnd w:id="5"/>
    </w:p>
    <w:p w:rsidR="00E10EAF" w:rsidRDefault="00E10EAF" w:rsidP="00F65FFA">
      <w:pPr>
        <w:spacing w:after="0" w:line="240" w:lineRule="auto"/>
        <w:rPr>
          <w:lang w:val="en-NZ" w:eastAsia="en-US"/>
        </w:rPr>
      </w:pPr>
    </w:p>
    <w:p w:rsidR="00E10EAF" w:rsidRPr="00F65FFA" w:rsidRDefault="00E10EAF" w:rsidP="00F65FFA">
      <w:pPr>
        <w:spacing w:after="0" w:line="240" w:lineRule="auto"/>
        <w:rPr>
          <w:sz w:val="24"/>
          <w:szCs w:val="24"/>
          <w:lang w:val="en-NZ" w:eastAsia="en-US"/>
        </w:rPr>
      </w:pPr>
    </w:p>
    <w:p w:rsidR="000545DC" w:rsidRDefault="00B93E06" w:rsidP="00F65FFA">
      <w:pPr>
        <w:spacing w:after="0" w:line="240" w:lineRule="auto"/>
        <w:rPr>
          <w:lang w:val="en-NZ" w:eastAsia="en-US"/>
        </w:rPr>
      </w:pPr>
      <w:r w:rsidRPr="00F65FFA">
        <w:rPr>
          <w:rFonts w:ascii="Times New Roman" w:hAnsi="Times New Roman"/>
          <w:b/>
          <w:sz w:val="24"/>
          <w:szCs w:val="24"/>
          <w:lang w:val="en-NZ" w:eastAsia="en-US"/>
        </w:rPr>
        <w:t xml:space="preserve">Implementing New Zealand’s commitment to Automatic Exchange of Information </w:t>
      </w:r>
      <w:r w:rsidR="00560DF6" w:rsidRPr="00F65FFA">
        <w:rPr>
          <w:rFonts w:ascii="Times New Roman" w:hAnsi="Times New Roman"/>
          <w:b/>
          <w:sz w:val="24"/>
          <w:szCs w:val="24"/>
          <w:lang w:val="en-NZ" w:eastAsia="en-US"/>
        </w:rPr>
        <w:t>(AEOI)</w:t>
      </w:r>
    </w:p>
    <w:p w:rsidR="00E10EAF" w:rsidRPr="00F65FFA" w:rsidRDefault="00E10EAF" w:rsidP="00F65FFA">
      <w:pPr>
        <w:spacing w:after="0" w:line="240" w:lineRule="auto"/>
        <w:rPr>
          <w:lang w:val="en-NZ" w:eastAsia="en-US"/>
        </w:rPr>
      </w:pPr>
    </w:p>
    <w:p w:rsidR="000545DC" w:rsidRPr="00F65FFA" w:rsidRDefault="001C6912" w:rsidP="00F65FFA">
      <w:pPr>
        <w:spacing w:after="0" w:line="240" w:lineRule="auto"/>
        <w:rPr>
          <w:lang w:val="en-NZ" w:eastAsia="en-US"/>
        </w:rPr>
      </w:pPr>
      <w:r w:rsidRPr="00F65FFA">
        <w:rPr>
          <w:rFonts w:ascii="Times New Roman" w:hAnsi="Times New Roman"/>
          <w:b/>
          <w:sz w:val="24"/>
          <w:szCs w:val="24"/>
          <w:lang w:val="en-NZ" w:eastAsia="en-US"/>
        </w:rPr>
        <w:t xml:space="preserve">Agency </w:t>
      </w:r>
      <w:r w:rsidR="000545DC" w:rsidRPr="00F65FFA">
        <w:rPr>
          <w:rFonts w:ascii="Times New Roman" w:hAnsi="Times New Roman"/>
          <w:b/>
          <w:sz w:val="24"/>
          <w:szCs w:val="24"/>
          <w:lang w:val="en-NZ" w:eastAsia="en-US"/>
        </w:rPr>
        <w:t xml:space="preserve">Disclosure Statement </w:t>
      </w:r>
    </w:p>
    <w:p w:rsidR="00E10EAF" w:rsidRDefault="00E10EAF" w:rsidP="007E061F">
      <w:pPr>
        <w:pStyle w:val="ListParagraph"/>
        <w:ind w:left="0" w:right="170"/>
        <w:contextualSpacing w:val="0"/>
        <w:rPr>
          <w:rFonts w:ascii="Times New Roman" w:hAnsi="Times New Roman"/>
          <w:sz w:val="24"/>
          <w:szCs w:val="24"/>
        </w:rPr>
      </w:pPr>
    </w:p>
    <w:p w:rsidR="007E061F" w:rsidRPr="004342F0" w:rsidRDefault="007E061F" w:rsidP="007E061F">
      <w:pPr>
        <w:pStyle w:val="ListParagraph"/>
        <w:ind w:left="0" w:right="170"/>
        <w:contextualSpacing w:val="0"/>
        <w:rPr>
          <w:rFonts w:ascii="Times New Roman" w:hAnsi="Times New Roman"/>
          <w:sz w:val="24"/>
          <w:szCs w:val="24"/>
        </w:rPr>
      </w:pPr>
      <w:r w:rsidRPr="004342F0">
        <w:rPr>
          <w:rFonts w:ascii="Times New Roman" w:hAnsi="Times New Roman"/>
          <w:sz w:val="24"/>
          <w:szCs w:val="24"/>
        </w:rPr>
        <w:t xml:space="preserve">This Regulatory Impact Statement </w:t>
      </w:r>
      <w:r>
        <w:rPr>
          <w:rFonts w:ascii="Times New Roman" w:hAnsi="Times New Roman"/>
          <w:sz w:val="24"/>
          <w:szCs w:val="24"/>
        </w:rPr>
        <w:t xml:space="preserve">(RIS) </w:t>
      </w:r>
      <w:r w:rsidRPr="004342F0">
        <w:rPr>
          <w:rFonts w:ascii="Times New Roman" w:hAnsi="Times New Roman"/>
          <w:sz w:val="24"/>
          <w:szCs w:val="24"/>
        </w:rPr>
        <w:t>has been prepared by Inland Revenue</w:t>
      </w:r>
      <w:r>
        <w:rPr>
          <w:rFonts w:ascii="Times New Roman" w:hAnsi="Times New Roman"/>
          <w:sz w:val="24"/>
          <w:szCs w:val="24"/>
        </w:rPr>
        <w:t>.</w:t>
      </w:r>
    </w:p>
    <w:p w:rsidR="007E061F" w:rsidRDefault="007E061F" w:rsidP="007E061F">
      <w:pPr>
        <w:pStyle w:val="ListParagraph"/>
        <w:ind w:left="0" w:right="170"/>
        <w:contextualSpacing w:val="0"/>
        <w:rPr>
          <w:rFonts w:ascii="Times New Roman" w:hAnsi="Times New Roman"/>
          <w:sz w:val="24"/>
          <w:szCs w:val="24"/>
        </w:rPr>
      </w:pPr>
    </w:p>
    <w:p w:rsidR="007E061F" w:rsidRDefault="007E061F" w:rsidP="007E061F">
      <w:pPr>
        <w:pStyle w:val="ListParagraph"/>
        <w:ind w:left="0" w:right="170"/>
        <w:contextualSpacing w:val="0"/>
        <w:rPr>
          <w:rFonts w:ascii="Times New Roman" w:hAnsi="Times New Roman"/>
          <w:sz w:val="24"/>
          <w:szCs w:val="24"/>
          <w:lang w:eastAsia="en-GB"/>
        </w:rPr>
      </w:pPr>
      <w:r>
        <w:rPr>
          <w:rFonts w:ascii="Times New Roman" w:hAnsi="Times New Roman"/>
          <w:sz w:val="24"/>
          <w:szCs w:val="24"/>
          <w:lang w:eastAsia="en-GB"/>
        </w:rPr>
        <w:t xml:space="preserve">It provides an analysis of options to determine </w:t>
      </w:r>
      <w:r w:rsidRPr="006B7BB1">
        <w:rPr>
          <w:rFonts w:ascii="Times New Roman" w:hAnsi="Times New Roman"/>
          <w:sz w:val="24"/>
          <w:szCs w:val="24"/>
        </w:rPr>
        <w:t xml:space="preserve">how best to </w:t>
      </w:r>
      <w:r>
        <w:rPr>
          <w:rFonts w:ascii="Times New Roman" w:hAnsi="Times New Roman"/>
          <w:sz w:val="24"/>
          <w:szCs w:val="24"/>
        </w:rPr>
        <w:t>give effect to</w:t>
      </w:r>
      <w:r w:rsidRPr="006B7BB1">
        <w:rPr>
          <w:rFonts w:ascii="Times New Roman" w:hAnsi="Times New Roman"/>
          <w:sz w:val="24"/>
          <w:szCs w:val="24"/>
        </w:rPr>
        <w:t xml:space="preserve"> </w:t>
      </w:r>
      <w:r>
        <w:rPr>
          <w:rFonts w:ascii="Times New Roman" w:hAnsi="Times New Roman"/>
          <w:sz w:val="24"/>
          <w:szCs w:val="24"/>
        </w:rPr>
        <w:t>New Zealand’s</w:t>
      </w:r>
      <w:r w:rsidRPr="006B7BB1">
        <w:rPr>
          <w:rFonts w:ascii="Times New Roman" w:hAnsi="Times New Roman"/>
          <w:sz w:val="24"/>
          <w:szCs w:val="24"/>
        </w:rPr>
        <w:t xml:space="preserve"> commitment</w:t>
      </w:r>
      <w:r>
        <w:rPr>
          <w:rFonts w:ascii="Times New Roman" w:hAnsi="Times New Roman"/>
          <w:sz w:val="24"/>
          <w:szCs w:val="24"/>
        </w:rPr>
        <w:t>s</w:t>
      </w:r>
      <w:r w:rsidRPr="006B7BB1">
        <w:rPr>
          <w:rFonts w:ascii="Times New Roman" w:hAnsi="Times New Roman"/>
          <w:sz w:val="24"/>
          <w:szCs w:val="24"/>
        </w:rPr>
        <w:t xml:space="preserve"> </w:t>
      </w:r>
      <w:r>
        <w:rPr>
          <w:rFonts w:ascii="Times New Roman" w:hAnsi="Times New Roman"/>
          <w:sz w:val="24"/>
          <w:szCs w:val="24"/>
        </w:rPr>
        <w:t xml:space="preserve">to implement the G20/OECD standard for </w:t>
      </w:r>
      <w:r w:rsidRPr="000D2215">
        <w:rPr>
          <w:rFonts w:ascii="Times New Roman" w:hAnsi="Times New Roman"/>
          <w:i/>
          <w:sz w:val="24"/>
          <w:szCs w:val="24"/>
        </w:rPr>
        <w:t xml:space="preserve">Automatic Exchange of </w:t>
      </w:r>
      <w:r>
        <w:rPr>
          <w:rFonts w:ascii="Times New Roman" w:hAnsi="Times New Roman"/>
          <w:i/>
          <w:sz w:val="24"/>
          <w:szCs w:val="24"/>
        </w:rPr>
        <w:t xml:space="preserve">Financial Account </w:t>
      </w:r>
      <w:r w:rsidRPr="000D2215">
        <w:rPr>
          <w:rFonts w:ascii="Times New Roman" w:hAnsi="Times New Roman"/>
          <w:i/>
          <w:sz w:val="24"/>
          <w:szCs w:val="24"/>
        </w:rPr>
        <w:t>Information</w:t>
      </w:r>
      <w:r>
        <w:rPr>
          <w:rFonts w:ascii="Times New Roman" w:hAnsi="Times New Roman"/>
          <w:i/>
          <w:sz w:val="24"/>
          <w:szCs w:val="24"/>
        </w:rPr>
        <w:t xml:space="preserve"> in Tax Matters</w:t>
      </w:r>
      <w:r>
        <w:rPr>
          <w:rFonts w:ascii="Times New Roman" w:hAnsi="Times New Roman"/>
          <w:sz w:val="24"/>
          <w:szCs w:val="24"/>
          <w:lang w:eastAsia="en-GB"/>
        </w:rPr>
        <w:t xml:space="preserve">.  The AEOI standard is a global framework for cooperation between countries in the detection and prevention of tax evasion.  Specifically, </w:t>
      </w:r>
      <w:r w:rsidR="00654765">
        <w:rPr>
          <w:rFonts w:ascii="Times New Roman" w:hAnsi="Times New Roman"/>
          <w:sz w:val="24"/>
          <w:szCs w:val="24"/>
          <w:lang w:eastAsia="en-GB"/>
        </w:rPr>
        <w:t xml:space="preserve">the AEOI </w:t>
      </w:r>
      <w:r>
        <w:rPr>
          <w:rFonts w:ascii="Times New Roman" w:hAnsi="Times New Roman"/>
          <w:sz w:val="24"/>
          <w:szCs w:val="24"/>
          <w:lang w:eastAsia="en-GB"/>
        </w:rPr>
        <w:t xml:space="preserve">standard responds to international concerns that individuals and entities can relatively easily evade their tax obligations by concealing their wealth in </w:t>
      </w:r>
      <w:r w:rsidR="00EE42D0">
        <w:rPr>
          <w:rFonts w:ascii="Times New Roman" w:hAnsi="Times New Roman"/>
          <w:sz w:val="24"/>
          <w:szCs w:val="24"/>
          <w:lang w:eastAsia="en-GB"/>
        </w:rPr>
        <w:t>‘</w:t>
      </w:r>
      <w:r>
        <w:rPr>
          <w:rFonts w:ascii="Times New Roman" w:hAnsi="Times New Roman"/>
          <w:sz w:val="24"/>
          <w:szCs w:val="24"/>
          <w:lang w:eastAsia="en-GB"/>
        </w:rPr>
        <w:t>off-shore</w:t>
      </w:r>
      <w:r w:rsidR="00EE42D0">
        <w:rPr>
          <w:rFonts w:ascii="Times New Roman" w:hAnsi="Times New Roman"/>
          <w:sz w:val="24"/>
          <w:szCs w:val="24"/>
          <w:lang w:eastAsia="en-GB"/>
        </w:rPr>
        <w:t>’</w:t>
      </w:r>
      <w:r>
        <w:rPr>
          <w:rFonts w:ascii="Times New Roman" w:hAnsi="Times New Roman"/>
          <w:sz w:val="24"/>
          <w:szCs w:val="24"/>
          <w:lang w:eastAsia="en-GB"/>
        </w:rPr>
        <w:t xml:space="preserve"> financial accounts.</w:t>
      </w:r>
    </w:p>
    <w:p w:rsidR="007E061F" w:rsidRDefault="007E061F" w:rsidP="007E061F">
      <w:pPr>
        <w:pStyle w:val="ListParagraph"/>
        <w:ind w:left="0" w:right="170"/>
        <w:contextualSpacing w:val="0"/>
        <w:rPr>
          <w:rFonts w:ascii="Times New Roman" w:hAnsi="Times New Roman"/>
          <w:sz w:val="24"/>
          <w:szCs w:val="24"/>
          <w:lang w:eastAsia="en-GB"/>
        </w:rPr>
      </w:pPr>
    </w:p>
    <w:p w:rsidR="007E061F" w:rsidRDefault="007E061F" w:rsidP="007E061F">
      <w:pPr>
        <w:pStyle w:val="ListParagraph"/>
        <w:ind w:left="0" w:right="170"/>
        <w:contextualSpacing w:val="0"/>
        <w:rPr>
          <w:rFonts w:ascii="Times New Roman" w:hAnsi="Times New Roman"/>
          <w:sz w:val="24"/>
          <w:szCs w:val="24"/>
          <w:lang w:eastAsia="en-GB"/>
        </w:rPr>
      </w:pPr>
      <w:r>
        <w:rPr>
          <w:rFonts w:ascii="Times New Roman" w:hAnsi="Times New Roman"/>
          <w:sz w:val="24"/>
          <w:szCs w:val="24"/>
          <w:lang w:eastAsia="en-GB"/>
        </w:rPr>
        <w:t xml:space="preserve">New Zealand’s international commitments to implement the AEOI standard were made in 2014 and </w:t>
      </w:r>
      <w:r w:rsidR="00654765">
        <w:rPr>
          <w:rFonts w:ascii="Times New Roman" w:hAnsi="Times New Roman"/>
          <w:sz w:val="24"/>
          <w:szCs w:val="24"/>
          <w:lang w:eastAsia="en-GB"/>
        </w:rPr>
        <w:t>in 2016</w:t>
      </w:r>
      <w:r w:rsidR="009C1938">
        <w:rPr>
          <w:rFonts w:ascii="Times New Roman" w:hAnsi="Times New Roman"/>
          <w:sz w:val="24"/>
          <w:szCs w:val="24"/>
          <w:lang w:eastAsia="en-GB"/>
        </w:rPr>
        <w:t xml:space="preserve"> </w:t>
      </w:r>
      <w:r>
        <w:rPr>
          <w:rFonts w:ascii="Times New Roman" w:hAnsi="Times New Roman"/>
          <w:sz w:val="24"/>
          <w:szCs w:val="24"/>
          <w:lang w:eastAsia="en-GB"/>
        </w:rPr>
        <w:t>Cabinet supplemented those commitments with a decision to commence AEOI obligations from 1 July 2017.  For this reason, this RIS is concerned solely with implementing AEOI and detailed design matters.</w:t>
      </w:r>
    </w:p>
    <w:p w:rsidR="007E061F" w:rsidRDefault="007E061F" w:rsidP="007E061F">
      <w:pPr>
        <w:pStyle w:val="ListParagraph"/>
        <w:ind w:left="0"/>
        <w:rPr>
          <w:rFonts w:ascii="Times New Roman" w:hAnsi="Times New Roman"/>
          <w:sz w:val="24"/>
          <w:szCs w:val="24"/>
        </w:rPr>
      </w:pPr>
    </w:p>
    <w:p w:rsidR="007E061F" w:rsidRDefault="007E061F" w:rsidP="007E061F">
      <w:pPr>
        <w:pStyle w:val="ListParagraph"/>
        <w:ind w:left="0"/>
        <w:rPr>
          <w:rFonts w:ascii="Times New Roman" w:hAnsi="Times New Roman"/>
          <w:sz w:val="24"/>
          <w:szCs w:val="24"/>
        </w:rPr>
      </w:pPr>
      <w:r>
        <w:rPr>
          <w:rFonts w:ascii="Times New Roman" w:hAnsi="Times New Roman"/>
          <w:sz w:val="24"/>
          <w:szCs w:val="24"/>
        </w:rPr>
        <w:t>Three implementation options and the status quo are assessed in this RIS.  The exact form that these options will take in practice depends on the specific design features that are ultimately decided upon.  Given this and the fact that there is limited data about who may be impacted and how they may be affected by AEOI it is not possible to accurately estimate some of the costs involved (such as compliance</w:t>
      </w:r>
      <w:r w:rsidR="00A84B5E">
        <w:rPr>
          <w:rFonts w:ascii="Times New Roman" w:hAnsi="Times New Roman"/>
          <w:sz w:val="24"/>
          <w:szCs w:val="24"/>
        </w:rPr>
        <w:t xml:space="preserve"> costs</w:t>
      </w:r>
      <w:r>
        <w:rPr>
          <w:rFonts w:ascii="Times New Roman" w:hAnsi="Times New Roman"/>
          <w:sz w:val="24"/>
          <w:szCs w:val="24"/>
        </w:rPr>
        <w:t>) and benefits associated with each of the options.  Even so, we have undertaken several rounds of consultation with financial institutions and their representative</w:t>
      </w:r>
      <w:r w:rsidR="00654765">
        <w:rPr>
          <w:rFonts w:ascii="Times New Roman" w:hAnsi="Times New Roman"/>
          <w:sz w:val="24"/>
          <w:szCs w:val="24"/>
        </w:rPr>
        <w:t xml:space="preserve"> bodie</w:t>
      </w:r>
      <w:r>
        <w:rPr>
          <w:rFonts w:ascii="Times New Roman" w:hAnsi="Times New Roman"/>
          <w:sz w:val="24"/>
          <w:szCs w:val="24"/>
        </w:rPr>
        <w:t xml:space="preserve">s (the most affected by AEOI), government agencies, and the general tax community, and the feedback from consultation has helped to inform our high-level assessment of the nature and extent of </w:t>
      </w:r>
      <w:r w:rsidR="005521B1">
        <w:rPr>
          <w:rFonts w:ascii="Times New Roman" w:hAnsi="Times New Roman"/>
          <w:sz w:val="24"/>
          <w:szCs w:val="24"/>
        </w:rPr>
        <w:t xml:space="preserve">the </w:t>
      </w:r>
      <w:r>
        <w:rPr>
          <w:rFonts w:ascii="Times New Roman" w:hAnsi="Times New Roman"/>
          <w:sz w:val="24"/>
          <w:szCs w:val="24"/>
        </w:rPr>
        <w:t>costs and benefits.</w:t>
      </w:r>
    </w:p>
    <w:p w:rsidR="007E061F" w:rsidRDefault="007E061F" w:rsidP="007E061F">
      <w:pPr>
        <w:pStyle w:val="ListParagraph"/>
        <w:ind w:left="0"/>
        <w:rPr>
          <w:rFonts w:ascii="Times New Roman" w:hAnsi="Times New Roman"/>
          <w:sz w:val="24"/>
          <w:szCs w:val="24"/>
        </w:rPr>
      </w:pPr>
    </w:p>
    <w:p w:rsidR="007E061F" w:rsidRDefault="007E061F" w:rsidP="007E061F">
      <w:pPr>
        <w:pStyle w:val="ListParagraph"/>
        <w:ind w:left="0"/>
        <w:rPr>
          <w:rFonts w:ascii="Times New Roman" w:hAnsi="Times New Roman"/>
          <w:sz w:val="24"/>
          <w:szCs w:val="24"/>
        </w:rPr>
      </w:pPr>
      <w:r w:rsidRPr="004349E5">
        <w:rPr>
          <w:rFonts w:ascii="Times New Roman" w:hAnsi="Times New Roman"/>
          <w:sz w:val="24"/>
          <w:szCs w:val="24"/>
        </w:rPr>
        <w:t xml:space="preserve">It is acknowledged that implementing the </w:t>
      </w:r>
      <w:r>
        <w:rPr>
          <w:rFonts w:ascii="Times New Roman" w:hAnsi="Times New Roman"/>
          <w:sz w:val="24"/>
          <w:szCs w:val="24"/>
        </w:rPr>
        <w:t>AEOI</w:t>
      </w:r>
      <w:r w:rsidRPr="004349E5">
        <w:rPr>
          <w:rFonts w:ascii="Times New Roman" w:hAnsi="Times New Roman"/>
          <w:sz w:val="24"/>
          <w:szCs w:val="24"/>
        </w:rPr>
        <w:t xml:space="preserve"> will involve potentially significant compliance costs on financial institutions and administrative costs on Inland Revenue.</w:t>
      </w:r>
    </w:p>
    <w:p w:rsidR="007E061F" w:rsidRDefault="007E061F" w:rsidP="007E061F">
      <w:pPr>
        <w:pStyle w:val="ListParagraph"/>
        <w:ind w:left="0"/>
        <w:rPr>
          <w:rFonts w:ascii="Times New Roman" w:hAnsi="Times New Roman"/>
          <w:sz w:val="24"/>
          <w:szCs w:val="24"/>
        </w:rPr>
      </w:pPr>
    </w:p>
    <w:p w:rsidR="007E061F" w:rsidRDefault="007E061F" w:rsidP="007E061F">
      <w:pPr>
        <w:pStyle w:val="ListParagraph"/>
        <w:ind w:left="0"/>
        <w:rPr>
          <w:rFonts w:ascii="Times New Roman" w:hAnsi="Times New Roman"/>
          <w:sz w:val="24"/>
          <w:szCs w:val="24"/>
          <w:lang w:val="en-GB"/>
        </w:rPr>
      </w:pPr>
      <w:r>
        <w:rPr>
          <w:rFonts w:ascii="Times New Roman" w:hAnsi="Times New Roman"/>
          <w:sz w:val="24"/>
          <w:szCs w:val="24"/>
        </w:rPr>
        <w:t>Additionally, t</w:t>
      </w:r>
      <w:r w:rsidRPr="00436A51">
        <w:rPr>
          <w:rFonts w:ascii="Times New Roman" w:hAnsi="Times New Roman"/>
          <w:sz w:val="24"/>
          <w:szCs w:val="24"/>
          <w:lang w:val="en-GB"/>
        </w:rPr>
        <w:t>he AEOI initiative will only be successful if jurisdictions implement AEOI on the same timeline and with consistent rules.  If some jurisdictions are allowed to lag behind or implement to a lesser standard, the off-shore tax evasion problem is likely to simply relocate to those jurisdictions.</w:t>
      </w:r>
    </w:p>
    <w:p w:rsidR="004E4192" w:rsidRDefault="004E4192" w:rsidP="004E4192">
      <w:pPr>
        <w:pStyle w:val="ListParagraph"/>
        <w:ind w:left="0"/>
        <w:rPr>
          <w:rFonts w:ascii="Times New Roman" w:hAnsi="Times New Roman"/>
          <w:sz w:val="24"/>
          <w:szCs w:val="24"/>
        </w:rPr>
      </w:pPr>
    </w:p>
    <w:p w:rsidR="004E4192" w:rsidRPr="00AC6F1A" w:rsidRDefault="004E4192" w:rsidP="004E4192">
      <w:pPr>
        <w:pStyle w:val="ListParagraph"/>
        <w:ind w:left="0"/>
        <w:rPr>
          <w:rFonts w:ascii="Times New Roman" w:hAnsi="Times New Roman"/>
          <w:sz w:val="24"/>
          <w:szCs w:val="24"/>
        </w:rPr>
      </w:pPr>
      <w:r>
        <w:rPr>
          <w:rFonts w:ascii="Times New Roman" w:hAnsi="Times New Roman"/>
          <w:sz w:val="24"/>
          <w:szCs w:val="24"/>
        </w:rPr>
        <w:t>There are no other significant constraints, caveats or uncertainties concerning the analysis undertaken.</w:t>
      </w:r>
    </w:p>
    <w:p w:rsidR="007E061F" w:rsidRDefault="007E061F" w:rsidP="007E061F">
      <w:pPr>
        <w:pStyle w:val="ListParagraph"/>
        <w:ind w:left="0"/>
        <w:rPr>
          <w:rFonts w:ascii="Times New Roman" w:hAnsi="Times New Roman"/>
          <w:sz w:val="24"/>
          <w:szCs w:val="24"/>
          <w:lang w:val="en-GB"/>
        </w:rPr>
      </w:pPr>
    </w:p>
    <w:p w:rsidR="007E061F" w:rsidRPr="004E4192" w:rsidRDefault="007E061F" w:rsidP="007E061F">
      <w:pPr>
        <w:pStyle w:val="ListParagraph"/>
        <w:ind w:left="0"/>
        <w:rPr>
          <w:rFonts w:ascii="Times New Roman" w:hAnsi="Times New Roman"/>
          <w:sz w:val="24"/>
          <w:szCs w:val="24"/>
          <w:lang w:val="en-GB"/>
        </w:rPr>
      </w:pPr>
      <w:r w:rsidRPr="004E4192">
        <w:rPr>
          <w:rFonts w:ascii="Times New Roman" w:hAnsi="Times New Roman"/>
          <w:sz w:val="24"/>
          <w:szCs w:val="24"/>
          <w:lang w:val="en-GB"/>
        </w:rPr>
        <w:t xml:space="preserve">The preferred option is to </w:t>
      </w:r>
      <w:r w:rsidR="004E4192">
        <w:rPr>
          <w:rFonts w:ascii="Times New Roman" w:hAnsi="Times New Roman"/>
          <w:sz w:val="24"/>
          <w:szCs w:val="24"/>
          <w:lang w:val="en-GB"/>
        </w:rPr>
        <w:t xml:space="preserve">adopt a balanced approach to </w:t>
      </w:r>
      <w:r w:rsidRPr="004E4192">
        <w:rPr>
          <w:rFonts w:ascii="Times New Roman" w:hAnsi="Times New Roman"/>
          <w:sz w:val="24"/>
          <w:szCs w:val="24"/>
          <w:lang w:val="en-GB"/>
        </w:rPr>
        <w:t>implement</w:t>
      </w:r>
      <w:r w:rsidR="004E4192">
        <w:rPr>
          <w:rFonts w:ascii="Times New Roman" w:hAnsi="Times New Roman"/>
          <w:sz w:val="24"/>
          <w:szCs w:val="24"/>
          <w:lang w:val="en-GB"/>
        </w:rPr>
        <w:t>ation</w:t>
      </w:r>
      <w:r w:rsidRPr="004E4192">
        <w:rPr>
          <w:rFonts w:ascii="Times New Roman" w:hAnsi="Times New Roman"/>
          <w:sz w:val="24"/>
          <w:szCs w:val="24"/>
          <w:lang w:val="en-GB"/>
        </w:rPr>
        <w:t xml:space="preserve"> that seeks to </w:t>
      </w:r>
      <w:r w:rsidR="004E4192">
        <w:rPr>
          <w:rFonts w:ascii="Times New Roman" w:hAnsi="Times New Roman"/>
          <w:sz w:val="24"/>
          <w:szCs w:val="24"/>
          <w:lang w:val="en-AU"/>
        </w:rPr>
        <w:t>minimise compliance costs and administrative where possible, provided those choices do not result in New Zealand failing to meet international expectations.</w:t>
      </w:r>
    </w:p>
    <w:p w:rsidR="007E061F" w:rsidRDefault="007E061F" w:rsidP="007E061F">
      <w:pPr>
        <w:pStyle w:val="ListParagraph"/>
        <w:ind w:left="0"/>
        <w:rPr>
          <w:rFonts w:ascii="Times New Roman" w:hAnsi="Times New Roman"/>
          <w:sz w:val="24"/>
          <w:szCs w:val="24"/>
        </w:rPr>
      </w:pPr>
    </w:p>
    <w:p w:rsidR="00A84B5E" w:rsidRDefault="00A84B5E">
      <w:pPr>
        <w:spacing w:after="0" w:line="240" w:lineRule="auto"/>
        <w:rPr>
          <w:rFonts w:ascii="Times New Roman" w:hAnsi="Times New Roman"/>
          <w:sz w:val="24"/>
          <w:szCs w:val="24"/>
          <w:lang w:val="en-NZ" w:eastAsia="en-US"/>
        </w:rPr>
      </w:pPr>
      <w:r>
        <w:rPr>
          <w:rFonts w:ascii="Times New Roman" w:hAnsi="Times New Roman"/>
          <w:sz w:val="24"/>
          <w:szCs w:val="24"/>
        </w:rPr>
        <w:br w:type="page"/>
      </w:r>
    </w:p>
    <w:p w:rsidR="007E061F" w:rsidRDefault="007E061F" w:rsidP="007E061F">
      <w:pPr>
        <w:pStyle w:val="ListParagraph"/>
        <w:ind w:left="0"/>
        <w:rPr>
          <w:rFonts w:ascii="Times New Roman" w:hAnsi="Times New Roman"/>
          <w:sz w:val="24"/>
          <w:szCs w:val="24"/>
        </w:rPr>
      </w:pPr>
      <w:r>
        <w:rPr>
          <w:rFonts w:ascii="Times New Roman" w:hAnsi="Times New Roman"/>
          <w:sz w:val="24"/>
          <w:szCs w:val="24"/>
        </w:rPr>
        <w:lastRenderedPageBreak/>
        <w:t>None of the policy options considered would restrict market competition, impair property rights, reduce incentives for small businesses to operate, or override fundamental common law principles.</w:t>
      </w:r>
    </w:p>
    <w:p w:rsidR="007E061F" w:rsidRDefault="007E061F" w:rsidP="007E061F">
      <w:pPr>
        <w:pStyle w:val="ListParagraph"/>
        <w:ind w:left="0"/>
        <w:rPr>
          <w:rFonts w:ascii="Times New Roman" w:hAnsi="Times New Roman"/>
          <w:sz w:val="24"/>
          <w:szCs w:val="24"/>
        </w:rPr>
      </w:pPr>
    </w:p>
    <w:p w:rsidR="007E061F" w:rsidRDefault="007E061F" w:rsidP="007E061F">
      <w:pPr>
        <w:pStyle w:val="ListParagraph"/>
        <w:ind w:left="0"/>
        <w:rPr>
          <w:rFonts w:ascii="Times New Roman" w:hAnsi="Times New Roman"/>
          <w:sz w:val="24"/>
          <w:szCs w:val="24"/>
        </w:rPr>
      </w:pPr>
    </w:p>
    <w:p w:rsidR="00E10EAF" w:rsidRDefault="00E10EAF" w:rsidP="007E061F">
      <w:pPr>
        <w:pStyle w:val="ListParagraph"/>
        <w:ind w:left="0"/>
        <w:rPr>
          <w:rFonts w:ascii="Times New Roman" w:hAnsi="Times New Roman"/>
          <w:sz w:val="24"/>
          <w:szCs w:val="24"/>
        </w:rPr>
      </w:pPr>
    </w:p>
    <w:p w:rsidR="00E10EAF" w:rsidRDefault="00E10EAF" w:rsidP="007E061F">
      <w:pPr>
        <w:pStyle w:val="ListParagraph"/>
        <w:ind w:left="0"/>
        <w:rPr>
          <w:rFonts w:ascii="Times New Roman" w:hAnsi="Times New Roman"/>
          <w:sz w:val="24"/>
          <w:szCs w:val="24"/>
        </w:rPr>
      </w:pPr>
    </w:p>
    <w:p w:rsidR="007E061F" w:rsidRPr="00AC6F1A" w:rsidRDefault="007E061F" w:rsidP="007E061F">
      <w:pPr>
        <w:pStyle w:val="ListParagraph"/>
        <w:ind w:left="0"/>
        <w:rPr>
          <w:rFonts w:ascii="Times New Roman" w:hAnsi="Times New Roman"/>
          <w:sz w:val="24"/>
          <w:szCs w:val="24"/>
        </w:rPr>
      </w:pPr>
    </w:p>
    <w:p w:rsidR="007E061F" w:rsidRDefault="007E061F" w:rsidP="007E061F">
      <w:pPr>
        <w:pStyle w:val="ListParagraph"/>
        <w:ind w:left="0"/>
        <w:rPr>
          <w:rFonts w:ascii="Times New Roman" w:hAnsi="Times New Roman"/>
          <w:sz w:val="24"/>
          <w:szCs w:val="24"/>
        </w:rPr>
      </w:pPr>
    </w:p>
    <w:p w:rsidR="007E061F" w:rsidRPr="00AC6F1A" w:rsidRDefault="007E061F" w:rsidP="007E061F">
      <w:pPr>
        <w:pStyle w:val="ListParagraph"/>
        <w:ind w:left="0"/>
        <w:rPr>
          <w:rFonts w:ascii="Times New Roman" w:hAnsi="Times New Roman"/>
          <w:sz w:val="24"/>
          <w:szCs w:val="24"/>
        </w:rPr>
      </w:pPr>
      <w:r>
        <w:rPr>
          <w:rFonts w:ascii="Times New Roman" w:hAnsi="Times New Roman"/>
          <w:sz w:val="24"/>
          <w:szCs w:val="24"/>
        </w:rPr>
        <w:t>Emma Grigg</w:t>
      </w:r>
    </w:p>
    <w:p w:rsidR="007E061F" w:rsidRPr="00AC6F1A" w:rsidRDefault="007E061F" w:rsidP="007E061F">
      <w:pPr>
        <w:pStyle w:val="ListParagraph"/>
        <w:ind w:left="0"/>
        <w:rPr>
          <w:rFonts w:ascii="Times New Roman" w:hAnsi="Times New Roman"/>
          <w:sz w:val="24"/>
          <w:szCs w:val="24"/>
        </w:rPr>
      </w:pPr>
      <w:r>
        <w:rPr>
          <w:rFonts w:ascii="Times New Roman" w:hAnsi="Times New Roman"/>
          <w:sz w:val="24"/>
          <w:szCs w:val="24"/>
        </w:rPr>
        <w:t>Policy Director</w:t>
      </w:r>
      <w:r w:rsidRPr="00AC6F1A">
        <w:rPr>
          <w:rFonts w:ascii="Times New Roman" w:hAnsi="Times New Roman"/>
          <w:sz w:val="24"/>
          <w:szCs w:val="24"/>
        </w:rPr>
        <w:t>, Policy and Strategy</w:t>
      </w:r>
    </w:p>
    <w:p w:rsidR="007E061F" w:rsidRPr="00AC6F1A" w:rsidRDefault="007E061F" w:rsidP="007E061F">
      <w:pPr>
        <w:pStyle w:val="ListParagraph"/>
        <w:ind w:left="0"/>
        <w:rPr>
          <w:rFonts w:ascii="Times New Roman" w:hAnsi="Times New Roman"/>
          <w:sz w:val="24"/>
          <w:szCs w:val="24"/>
        </w:rPr>
      </w:pPr>
      <w:r w:rsidRPr="00AC6F1A">
        <w:rPr>
          <w:rFonts w:ascii="Times New Roman" w:hAnsi="Times New Roman"/>
          <w:sz w:val="24"/>
          <w:szCs w:val="24"/>
        </w:rPr>
        <w:t>Inland Revenue</w:t>
      </w:r>
    </w:p>
    <w:p w:rsidR="000545DC" w:rsidRPr="004342F0" w:rsidRDefault="000545DC" w:rsidP="004342F0">
      <w:pPr>
        <w:pStyle w:val="Text"/>
        <w:tabs>
          <w:tab w:val="left" w:pos="567"/>
        </w:tabs>
        <w:spacing w:before="0" w:after="0" w:line="240" w:lineRule="auto"/>
        <w:ind w:right="170"/>
        <w:rPr>
          <w:rFonts w:ascii="Times New Roman" w:hAnsi="Times New Roman"/>
          <w:sz w:val="24"/>
          <w:szCs w:val="24"/>
          <w:lang w:val="en-NZ"/>
        </w:rPr>
      </w:pPr>
    </w:p>
    <w:p w:rsidR="000545DC" w:rsidRPr="004342F0" w:rsidRDefault="00214433" w:rsidP="004342F0">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13 May 2016</w:t>
      </w:r>
    </w:p>
    <w:p w:rsidR="000545DC" w:rsidRPr="00135CC4" w:rsidRDefault="001C6912" w:rsidP="00135CC4">
      <w:pPr>
        <w:pStyle w:val="RISheading"/>
        <w:spacing w:before="0" w:after="0"/>
        <w:ind w:right="0"/>
        <w:jc w:val="both"/>
        <w:rPr>
          <w:spacing w:val="0"/>
          <w:w w:val="100"/>
          <w:lang w:val="en-NZ" w:eastAsia="en-US"/>
        </w:rPr>
      </w:pPr>
      <w:bookmarkStart w:id="7" w:name="_Toc244580363"/>
      <w:bookmarkStart w:id="8" w:name="_Toc244587039"/>
      <w:bookmarkStart w:id="9" w:name="_Toc244857273"/>
      <w:bookmarkStart w:id="10" w:name="_Toc244912538"/>
      <w:bookmarkStart w:id="11" w:name="_Toc244916995"/>
      <w:r w:rsidRPr="004342F0">
        <w:rPr>
          <w:spacing w:val="0"/>
          <w:w w:val="100"/>
        </w:rPr>
        <w:br w:type="page"/>
      </w:r>
      <w:bookmarkStart w:id="12" w:name="One"/>
      <w:bookmarkEnd w:id="12"/>
      <w:r w:rsidRPr="00135CC4">
        <w:rPr>
          <w:spacing w:val="0"/>
          <w:w w:val="100"/>
          <w:lang w:val="en-NZ" w:eastAsia="en-US"/>
        </w:rPr>
        <w:lastRenderedPageBreak/>
        <w:t>STATUS QUO AND PROBLEM DEFINITION</w:t>
      </w:r>
      <w:bookmarkEnd w:id="7"/>
      <w:bookmarkEnd w:id="8"/>
      <w:bookmarkEnd w:id="9"/>
      <w:bookmarkEnd w:id="10"/>
      <w:bookmarkEnd w:id="11"/>
    </w:p>
    <w:p w:rsidR="00135CC4" w:rsidRDefault="00135CC4" w:rsidP="006B7BB1">
      <w:pPr>
        <w:pStyle w:val="Bullet-list"/>
        <w:spacing w:after="0" w:line="240" w:lineRule="auto"/>
        <w:ind w:left="0" w:firstLine="0"/>
        <w:jc w:val="both"/>
        <w:rPr>
          <w:rFonts w:ascii="Times New Roman" w:hAnsi="Times New Roman"/>
          <w:sz w:val="24"/>
          <w:szCs w:val="24"/>
          <w:lang w:val="en-NZ"/>
        </w:rPr>
      </w:pPr>
    </w:p>
    <w:p w:rsidR="006B7BB1" w:rsidRDefault="00560DF6" w:rsidP="007946CC">
      <w:pPr>
        <w:pStyle w:val="Bullet-list"/>
        <w:spacing w:after="0" w:line="240" w:lineRule="auto"/>
        <w:ind w:left="567" w:hanging="567"/>
        <w:jc w:val="both"/>
        <w:rPr>
          <w:rFonts w:ascii="Times New Roman" w:hAnsi="Times New Roman"/>
          <w:sz w:val="24"/>
          <w:szCs w:val="24"/>
          <w:lang w:val="en-NZ"/>
        </w:rPr>
      </w:pPr>
      <w:r>
        <w:rPr>
          <w:rFonts w:ascii="Times New Roman" w:hAnsi="Times New Roman"/>
          <w:sz w:val="24"/>
          <w:szCs w:val="24"/>
          <w:lang w:val="en-NZ"/>
        </w:rPr>
        <w:fldChar w:fldCharType="begin"/>
      </w:r>
      <w:r>
        <w:rPr>
          <w:rFonts w:ascii="Times New Roman" w:hAnsi="Times New Roman"/>
          <w:sz w:val="24"/>
          <w:szCs w:val="24"/>
          <w:lang w:val="en-NZ"/>
        </w:rPr>
        <w:instrText xml:space="preserve"> AUTONUM  \* Arabic  </w:instrText>
      </w:r>
      <w:r>
        <w:rPr>
          <w:rFonts w:ascii="Times New Roman" w:hAnsi="Times New Roman"/>
          <w:sz w:val="24"/>
          <w:szCs w:val="24"/>
          <w:lang w:val="en-NZ"/>
        </w:rPr>
        <w:fldChar w:fldCharType="end"/>
      </w:r>
      <w:r>
        <w:rPr>
          <w:rFonts w:ascii="Times New Roman" w:hAnsi="Times New Roman"/>
          <w:sz w:val="24"/>
          <w:szCs w:val="24"/>
          <w:lang w:val="en-NZ"/>
        </w:rPr>
        <w:tab/>
      </w:r>
      <w:r w:rsidR="006B7BB1" w:rsidRPr="006B7BB1">
        <w:rPr>
          <w:rFonts w:ascii="Times New Roman" w:hAnsi="Times New Roman"/>
          <w:sz w:val="24"/>
          <w:szCs w:val="24"/>
          <w:lang w:val="en-NZ"/>
        </w:rPr>
        <w:t xml:space="preserve">This Regulatory Impact Statement </w:t>
      </w:r>
      <w:r w:rsidR="000B3456">
        <w:rPr>
          <w:rFonts w:ascii="Times New Roman" w:hAnsi="Times New Roman"/>
          <w:sz w:val="24"/>
          <w:szCs w:val="24"/>
          <w:lang w:val="en-NZ"/>
        </w:rPr>
        <w:t xml:space="preserve">(RIS) </w:t>
      </w:r>
      <w:r w:rsidR="006B7BB1" w:rsidRPr="006B7BB1">
        <w:rPr>
          <w:rFonts w:ascii="Times New Roman" w:hAnsi="Times New Roman"/>
          <w:sz w:val="24"/>
          <w:szCs w:val="24"/>
          <w:lang w:val="en-NZ"/>
        </w:rPr>
        <w:t xml:space="preserve">deals with the question of how best to </w:t>
      </w:r>
      <w:r w:rsidR="00FB3AE0">
        <w:rPr>
          <w:rFonts w:ascii="Times New Roman" w:hAnsi="Times New Roman"/>
          <w:sz w:val="24"/>
          <w:szCs w:val="24"/>
          <w:lang w:val="en-NZ"/>
        </w:rPr>
        <w:t>give effect to</w:t>
      </w:r>
      <w:r w:rsidR="006B7BB1" w:rsidRPr="006B7BB1">
        <w:rPr>
          <w:rFonts w:ascii="Times New Roman" w:hAnsi="Times New Roman"/>
          <w:sz w:val="24"/>
          <w:szCs w:val="24"/>
          <w:lang w:val="en-NZ"/>
        </w:rPr>
        <w:t xml:space="preserve"> </w:t>
      </w:r>
      <w:r w:rsidR="006B7BB1">
        <w:rPr>
          <w:rFonts w:ascii="Times New Roman" w:hAnsi="Times New Roman"/>
          <w:sz w:val="24"/>
          <w:szCs w:val="24"/>
          <w:lang w:val="en-NZ"/>
        </w:rPr>
        <w:t>New Zealand’s</w:t>
      </w:r>
      <w:r w:rsidR="006B7BB1" w:rsidRPr="006B7BB1">
        <w:rPr>
          <w:rFonts w:ascii="Times New Roman" w:hAnsi="Times New Roman"/>
          <w:sz w:val="24"/>
          <w:szCs w:val="24"/>
          <w:lang w:val="en-NZ"/>
        </w:rPr>
        <w:t xml:space="preserve"> commitment</w:t>
      </w:r>
      <w:r>
        <w:rPr>
          <w:rFonts w:ascii="Times New Roman" w:hAnsi="Times New Roman"/>
          <w:sz w:val="24"/>
          <w:szCs w:val="24"/>
          <w:lang w:val="en-NZ"/>
        </w:rPr>
        <w:t>s</w:t>
      </w:r>
      <w:r w:rsidR="006B7BB1" w:rsidRPr="006B7BB1">
        <w:rPr>
          <w:rFonts w:ascii="Times New Roman" w:hAnsi="Times New Roman"/>
          <w:sz w:val="24"/>
          <w:szCs w:val="24"/>
          <w:lang w:val="en-NZ"/>
        </w:rPr>
        <w:t xml:space="preserve"> </w:t>
      </w:r>
      <w:r w:rsidR="006B7BB1">
        <w:rPr>
          <w:rFonts w:ascii="Times New Roman" w:hAnsi="Times New Roman"/>
          <w:sz w:val="24"/>
          <w:szCs w:val="24"/>
          <w:lang w:val="en-NZ"/>
        </w:rPr>
        <w:t xml:space="preserve">to </w:t>
      </w:r>
      <w:r>
        <w:rPr>
          <w:rFonts w:ascii="Times New Roman" w:hAnsi="Times New Roman"/>
          <w:sz w:val="24"/>
          <w:szCs w:val="24"/>
          <w:lang w:val="en-NZ"/>
        </w:rPr>
        <w:t>implement the G20/OECD</w:t>
      </w:r>
      <w:r w:rsidR="00FB3AE0">
        <w:rPr>
          <w:rFonts w:ascii="Times New Roman" w:hAnsi="Times New Roman"/>
          <w:sz w:val="24"/>
          <w:szCs w:val="24"/>
          <w:lang w:val="en-NZ"/>
        </w:rPr>
        <w:t xml:space="preserve"> standard for</w:t>
      </w:r>
      <w:r>
        <w:rPr>
          <w:rFonts w:ascii="Times New Roman" w:hAnsi="Times New Roman"/>
          <w:sz w:val="24"/>
          <w:szCs w:val="24"/>
          <w:lang w:val="en-NZ"/>
        </w:rPr>
        <w:t xml:space="preserve"> </w:t>
      </w:r>
      <w:r w:rsidRPr="000D2215">
        <w:rPr>
          <w:rFonts w:ascii="Times New Roman" w:hAnsi="Times New Roman"/>
          <w:i/>
          <w:sz w:val="24"/>
          <w:szCs w:val="24"/>
          <w:lang w:val="en-NZ"/>
        </w:rPr>
        <w:t xml:space="preserve">Automatic Exchange of </w:t>
      </w:r>
      <w:r>
        <w:rPr>
          <w:rFonts w:ascii="Times New Roman" w:hAnsi="Times New Roman"/>
          <w:i/>
          <w:sz w:val="24"/>
          <w:szCs w:val="24"/>
          <w:lang w:val="en-NZ"/>
        </w:rPr>
        <w:t xml:space="preserve">Financial Account </w:t>
      </w:r>
      <w:r w:rsidRPr="000D2215">
        <w:rPr>
          <w:rFonts w:ascii="Times New Roman" w:hAnsi="Times New Roman"/>
          <w:i/>
          <w:sz w:val="24"/>
          <w:szCs w:val="24"/>
          <w:lang w:val="en-NZ"/>
        </w:rPr>
        <w:t>Information</w:t>
      </w:r>
      <w:r>
        <w:rPr>
          <w:rFonts w:ascii="Times New Roman" w:hAnsi="Times New Roman"/>
          <w:i/>
          <w:sz w:val="24"/>
          <w:szCs w:val="24"/>
          <w:lang w:val="en-NZ"/>
        </w:rPr>
        <w:t xml:space="preserve"> in Tax Matters</w:t>
      </w:r>
      <w:r w:rsidRPr="000D2215">
        <w:rPr>
          <w:rFonts w:ascii="Times New Roman" w:hAnsi="Times New Roman"/>
          <w:sz w:val="24"/>
          <w:szCs w:val="24"/>
          <w:lang w:val="en-NZ"/>
        </w:rPr>
        <w:t xml:space="preserve"> (</w:t>
      </w:r>
      <w:r>
        <w:rPr>
          <w:rFonts w:ascii="Times New Roman" w:hAnsi="Times New Roman"/>
          <w:sz w:val="24"/>
          <w:szCs w:val="24"/>
          <w:lang w:val="en-NZ"/>
        </w:rPr>
        <w:t xml:space="preserve">in short, Automatic Exchange of Information, or </w:t>
      </w:r>
      <w:r w:rsidRPr="000D2215">
        <w:rPr>
          <w:rFonts w:ascii="Times New Roman" w:hAnsi="Times New Roman"/>
          <w:sz w:val="24"/>
          <w:szCs w:val="24"/>
          <w:lang w:val="en-NZ"/>
        </w:rPr>
        <w:t>AEOI)</w:t>
      </w:r>
      <w:r>
        <w:rPr>
          <w:rFonts w:ascii="Times New Roman" w:hAnsi="Times New Roman"/>
          <w:sz w:val="24"/>
          <w:szCs w:val="24"/>
          <w:lang w:val="en-NZ"/>
        </w:rPr>
        <w:t>.</w:t>
      </w:r>
    </w:p>
    <w:p w:rsidR="00A93AA0" w:rsidRDefault="00A93AA0" w:rsidP="006B7BB1">
      <w:pPr>
        <w:pStyle w:val="Bullet-list"/>
        <w:spacing w:after="0" w:line="240" w:lineRule="auto"/>
        <w:ind w:left="0" w:firstLine="0"/>
        <w:jc w:val="both"/>
        <w:rPr>
          <w:rFonts w:ascii="Times New Roman" w:hAnsi="Times New Roman"/>
          <w:sz w:val="24"/>
          <w:szCs w:val="24"/>
          <w:lang w:val="en-NZ"/>
        </w:rPr>
      </w:pPr>
    </w:p>
    <w:p w:rsidR="00A93AA0" w:rsidRDefault="00A93AA0" w:rsidP="007946CC">
      <w:pPr>
        <w:pStyle w:val="Bullet-list"/>
        <w:spacing w:after="0" w:line="240" w:lineRule="auto"/>
        <w:ind w:left="567" w:hanging="567"/>
        <w:jc w:val="both"/>
        <w:rPr>
          <w:rFonts w:ascii="Times New Roman" w:hAnsi="Times New Roman"/>
          <w:sz w:val="24"/>
          <w:szCs w:val="24"/>
          <w:lang w:val="en-NZ"/>
        </w:rPr>
      </w:pPr>
      <w:r>
        <w:rPr>
          <w:rFonts w:ascii="Times New Roman" w:hAnsi="Times New Roman"/>
          <w:sz w:val="24"/>
          <w:szCs w:val="24"/>
          <w:lang w:val="en-NZ"/>
        </w:rPr>
        <w:fldChar w:fldCharType="begin"/>
      </w:r>
      <w:r>
        <w:rPr>
          <w:rFonts w:ascii="Times New Roman" w:hAnsi="Times New Roman"/>
          <w:sz w:val="24"/>
          <w:szCs w:val="24"/>
          <w:lang w:val="en-NZ"/>
        </w:rPr>
        <w:instrText xml:space="preserve"> AUTONUM  \* Arabic  </w:instrText>
      </w:r>
      <w:r>
        <w:rPr>
          <w:rFonts w:ascii="Times New Roman" w:hAnsi="Times New Roman"/>
          <w:sz w:val="24"/>
          <w:szCs w:val="24"/>
          <w:lang w:val="en-NZ"/>
        </w:rPr>
        <w:fldChar w:fldCharType="end"/>
      </w:r>
      <w:r>
        <w:rPr>
          <w:rFonts w:ascii="Times New Roman" w:hAnsi="Times New Roman"/>
          <w:sz w:val="24"/>
          <w:szCs w:val="24"/>
          <w:lang w:val="en-NZ"/>
        </w:rPr>
        <w:tab/>
        <w:t xml:space="preserve">New Zealand’s international commitments to implement the AEOI standard </w:t>
      </w:r>
      <w:r w:rsidR="00FB3AE0">
        <w:rPr>
          <w:rFonts w:ascii="Times New Roman" w:hAnsi="Times New Roman"/>
          <w:sz w:val="24"/>
          <w:szCs w:val="24"/>
          <w:lang w:val="en-NZ"/>
        </w:rPr>
        <w:t>were made</w:t>
      </w:r>
      <w:r w:rsidR="00867328">
        <w:rPr>
          <w:rFonts w:ascii="Times New Roman" w:hAnsi="Times New Roman"/>
          <w:sz w:val="24"/>
          <w:szCs w:val="24"/>
          <w:lang w:val="en-NZ"/>
        </w:rPr>
        <w:t xml:space="preserve"> on</w:t>
      </w:r>
      <w:r>
        <w:rPr>
          <w:rFonts w:ascii="Times New Roman" w:hAnsi="Times New Roman"/>
          <w:sz w:val="24"/>
          <w:szCs w:val="24"/>
          <w:lang w:val="en-NZ"/>
        </w:rPr>
        <w:t>:</w:t>
      </w:r>
    </w:p>
    <w:p w:rsidR="00A93AA0" w:rsidRDefault="00A93AA0" w:rsidP="00A93AA0">
      <w:pPr>
        <w:pStyle w:val="Bullet-list"/>
        <w:spacing w:after="0" w:line="240" w:lineRule="auto"/>
        <w:ind w:left="0" w:firstLine="0"/>
        <w:jc w:val="both"/>
        <w:rPr>
          <w:rFonts w:ascii="Times New Roman" w:hAnsi="Times New Roman"/>
          <w:sz w:val="24"/>
          <w:szCs w:val="24"/>
          <w:lang w:val="en-NZ"/>
        </w:rPr>
      </w:pPr>
    </w:p>
    <w:p w:rsidR="00A93AA0" w:rsidRDefault="00A93AA0" w:rsidP="00A93AA0">
      <w:pPr>
        <w:pStyle w:val="Bullet-list"/>
        <w:spacing w:after="0" w:line="240" w:lineRule="auto"/>
        <w:ind w:left="1134" w:hanging="567"/>
        <w:jc w:val="both"/>
        <w:rPr>
          <w:rFonts w:ascii="Times New Roman" w:hAnsi="Times New Roman"/>
          <w:sz w:val="24"/>
          <w:szCs w:val="24"/>
          <w:lang w:val="en-NZ"/>
        </w:rPr>
      </w:pPr>
      <w:r>
        <w:rPr>
          <w:rFonts w:ascii="Times New Roman" w:hAnsi="Times New Roman"/>
          <w:sz w:val="24"/>
          <w:szCs w:val="24"/>
          <w:lang w:val="en-NZ"/>
        </w:rPr>
        <w:sym w:font="Wingdings 2" w:char="F097"/>
      </w:r>
      <w:r>
        <w:rPr>
          <w:rFonts w:ascii="Times New Roman" w:hAnsi="Times New Roman"/>
          <w:sz w:val="24"/>
          <w:szCs w:val="24"/>
          <w:lang w:val="en-NZ"/>
        </w:rPr>
        <w:tab/>
      </w:r>
      <w:r w:rsidRPr="00A93AA0">
        <w:rPr>
          <w:rFonts w:ascii="Times New Roman" w:hAnsi="Times New Roman"/>
          <w:sz w:val="24"/>
          <w:szCs w:val="24"/>
          <w:lang w:val="en-NZ"/>
        </w:rPr>
        <w:t>7 May 2014</w:t>
      </w:r>
      <w:r>
        <w:rPr>
          <w:rFonts w:ascii="Times New Roman" w:hAnsi="Times New Roman"/>
          <w:sz w:val="24"/>
          <w:szCs w:val="24"/>
          <w:lang w:val="en-NZ"/>
        </w:rPr>
        <w:t xml:space="preserve">, </w:t>
      </w:r>
      <w:r w:rsidR="00FB3AE0">
        <w:rPr>
          <w:rFonts w:ascii="Times New Roman" w:hAnsi="Times New Roman"/>
          <w:sz w:val="24"/>
          <w:szCs w:val="24"/>
          <w:lang w:val="en-NZ"/>
        </w:rPr>
        <w:t xml:space="preserve">by </w:t>
      </w:r>
      <w:r>
        <w:rPr>
          <w:rFonts w:ascii="Times New Roman" w:hAnsi="Times New Roman"/>
          <w:sz w:val="24"/>
          <w:szCs w:val="24"/>
          <w:lang w:val="en-NZ"/>
        </w:rPr>
        <w:t>j</w:t>
      </w:r>
      <w:r w:rsidRPr="00A93AA0">
        <w:rPr>
          <w:rFonts w:ascii="Times New Roman" w:hAnsi="Times New Roman"/>
          <w:sz w:val="24"/>
          <w:szCs w:val="24"/>
          <w:lang w:val="en-NZ"/>
        </w:rPr>
        <w:t>oin</w:t>
      </w:r>
      <w:r>
        <w:rPr>
          <w:rFonts w:ascii="Times New Roman" w:hAnsi="Times New Roman"/>
          <w:sz w:val="24"/>
          <w:szCs w:val="24"/>
          <w:lang w:val="en-NZ"/>
        </w:rPr>
        <w:t>ing</w:t>
      </w:r>
      <w:r w:rsidRPr="00A93AA0">
        <w:rPr>
          <w:rFonts w:ascii="Times New Roman" w:hAnsi="Times New Roman"/>
          <w:sz w:val="24"/>
          <w:szCs w:val="24"/>
          <w:lang w:val="en-NZ"/>
        </w:rPr>
        <w:t xml:space="preserve"> in a general declaration of support for the AEOI initiative </w:t>
      </w:r>
      <w:r>
        <w:rPr>
          <w:rFonts w:ascii="Times New Roman" w:hAnsi="Times New Roman"/>
          <w:sz w:val="24"/>
          <w:szCs w:val="24"/>
          <w:lang w:val="en-NZ"/>
        </w:rPr>
        <w:t xml:space="preserve">issued </w:t>
      </w:r>
      <w:r w:rsidRPr="00A93AA0">
        <w:rPr>
          <w:rFonts w:ascii="Times New Roman" w:hAnsi="Times New Roman"/>
          <w:sz w:val="24"/>
          <w:szCs w:val="24"/>
          <w:lang w:val="en-NZ"/>
        </w:rPr>
        <w:t>at the OECD Ministerial Council Meeting</w:t>
      </w:r>
      <w:r>
        <w:rPr>
          <w:rFonts w:ascii="Times New Roman" w:hAnsi="Times New Roman"/>
          <w:sz w:val="24"/>
          <w:szCs w:val="24"/>
          <w:lang w:val="en-NZ"/>
        </w:rPr>
        <w:t>;</w:t>
      </w:r>
    </w:p>
    <w:p w:rsidR="00A93AA0" w:rsidRDefault="00A93AA0" w:rsidP="00A93AA0">
      <w:pPr>
        <w:pStyle w:val="Bullet-list"/>
        <w:spacing w:after="0" w:line="240" w:lineRule="auto"/>
        <w:ind w:left="1134" w:hanging="567"/>
        <w:jc w:val="both"/>
        <w:rPr>
          <w:rFonts w:ascii="Times New Roman" w:hAnsi="Times New Roman"/>
          <w:sz w:val="24"/>
          <w:szCs w:val="24"/>
          <w:lang w:val="en-NZ"/>
        </w:rPr>
      </w:pPr>
    </w:p>
    <w:p w:rsidR="00A93AA0" w:rsidRDefault="00A93AA0" w:rsidP="00A93AA0">
      <w:pPr>
        <w:pStyle w:val="Bullet-list"/>
        <w:spacing w:after="0" w:line="240" w:lineRule="auto"/>
        <w:ind w:left="1134" w:hanging="567"/>
        <w:jc w:val="both"/>
        <w:rPr>
          <w:rFonts w:ascii="Times New Roman" w:hAnsi="Times New Roman"/>
          <w:sz w:val="24"/>
          <w:szCs w:val="24"/>
          <w:lang w:val="en-NZ"/>
        </w:rPr>
      </w:pPr>
      <w:r>
        <w:rPr>
          <w:rFonts w:ascii="Times New Roman" w:hAnsi="Times New Roman"/>
          <w:sz w:val="24"/>
          <w:szCs w:val="24"/>
          <w:lang w:val="en-NZ"/>
        </w:rPr>
        <w:sym w:font="Wingdings 2" w:char="F097"/>
      </w:r>
      <w:r>
        <w:rPr>
          <w:rFonts w:ascii="Times New Roman" w:hAnsi="Times New Roman"/>
          <w:sz w:val="24"/>
          <w:szCs w:val="24"/>
          <w:lang w:val="en-NZ"/>
        </w:rPr>
        <w:tab/>
      </w:r>
      <w:r w:rsidRPr="00A93AA0">
        <w:rPr>
          <w:rFonts w:ascii="Times New Roman" w:hAnsi="Times New Roman"/>
          <w:sz w:val="24"/>
          <w:szCs w:val="24"/>
          <w:lang w:val="en-NZ"/>
        </w:rPr>
        <w:t>3 June 2014</w:t>
      </w:r>
      <w:r>
        <w:rPr>
          <w:rFonts w:ascii="Times New Roman" w:hAnsi="Times New Roman"/>
          <w:sz w:val="24"/>
          <w:szCs w:val="24"/>
          <w:lang w:val="en-NZ"/>
        </w:rPr>
        <w:t xml:space="preserve">, </w:t>
      </w:r>
      <w:r w:rsidR="00FB3AE0">
        <w:rPr>
          <w:rFonts w:ascii="Times New Roman" w:hAnsi="Times New Roman"/>
          <w:sz w:val="24"/>
          <w:szCs w:val="24"/>
          <w:lang w:val="en-NZ"/>
        </w:rPr>
        <w:t xml:space="preserve">by </w:t>
      </w:r>
      <w:r w:rsidRPr="00A93AA0">
        <w:rPr>
          <w:rFonts w:ascii="Times New Roman" w:hAnsi="Times New Roman"/>
          <w:sz w:val="24"/>
          <w:szCs w:val="24"/>
          <w:lang w:val="en-NZ"/>
        </w:rPr>
        <w:t>sign</w:t>
      </w:r>
      <w:r w:rsidR="00FB3AE0">
        <w:rPr>
          <w:rFonts w:ascii="Times New Roman" w:hAnsi="Times New Roman"/>
          <w:sz w:val="24"/>
          <w:szCs w:val="24"/>
          <w:lang w:val="en-NZ"/>
        </w:rPr>
        <w:t>ing</w:t>
      </w:r>
      <w:r w:rsidRPr="00A93AA0">
        <w:rPr>
          <w:rFonts w:ascii="Times New Roman" w:hAnsi="Times New Roman"/>
          <w:sz w:val="24"/>
          <w:szCs w:val="24"/>
          <w:lang w:val="en-NZ"/>
        </w:rPr>
        <w:t xml:space="preserve"> an administrative instrument</w:t>
      </w:r>
      <w:r w:rsidRPr="00135CC4">
        <w:rPr>
          <w:rStyle w:val="FootnoteReference"/>
          <w:rFonts w:ascii="Times New Roman" w:hAnsi="Times New Roman"/>
          <w:szCs w:val="24"/>
          <w:lang w:val="en-NZ"/>
        </w:rPr>
        <w:footnoteReference w:id="1"/>
      </w:r>
      <w:r w:rsidRPr="00135CC4">
        <w:rPr>
          <w:rFonts w:ascii="Times New Roman" w:hAnsi="Times New Roman"/>
          <w:sz w:val="24"/>
          <w:szCs w:val="24"/>
          <w:lang w:val="en-NZ"/>
        </w:rPr>
        <w:t xml:space="preserve"> </w:t>
      </w:r>
      <w:r w:rsidRPr="00A93AA0">
        <w:rPr>
          <w:rFonts w:ascii="Times New Roman" w:hAnsi="Times New Roman"/>
          <w:sz w:val="24"/>
          <w:szCs w:val="24"/>
          <w:lang w:val="en-NZ"/>
        </w:rPr>
        <w:t>that sets out the terms for AEOI exchanges (</w:t>
      </w:r>
      <w:r w:rsidR="00867328">
        <w:rPr>
          <w:rFonts w:ascii="Times New Roman" w:hAnsi="Times New Roman"/>
          <w:sz w:val="24"/>
          <w:szCs w:val="24"/>
          <w:lang w:val="en-NZ"/>
        </w:rPr>
        <w:t>the</w:t>
      </w:r>
      <w:r w:rsidRPr="00A93AA0">
        <w:rPr>
          <w:rFonts w:ascii="Times New Roman" w:hAnsi="Times New Roman"/>
          <w:sz w:val="24"/>
          <w:szCs w:val="24"/>
          <w:lang w:val="en-NZ"/>
        </w:rPr>
        <w:t xml:space="preserve"> jurisdictions we will exchange with</w:t>
      </w:r>
      <w:r w:rsidR="00867328">
        <w:rPr>
          <w:rFonts w:ascii="Times New Roman" w:hAnsi="Times New Roman"/>
          <w:sz w:val="24"/>
          <w:szCs w:val="24"/>
          <w:lang w:val="en-NZ"/>
        </w:rPr>
        <w:t xml:space="preserve"> are still to be specified</w:t>
      </w:r>
      <w:r w:rsidR="007A3499" w:rsidRPr="00135CC4">
        <w:rPr>
          <w:rStyle w:val="FootnoteReference"/>
          <w:rFonts w:ascii="Times New Roman" w:hAnsi="Times New Roman"/>
          <w:szCs w:val="24"/>
          <w:lang w:val="en-NZ"/>
        </w:rPr>
        <w:footnoteReference w:id="2"/>
      </w:r>
      <w:r w:rsidRPr="00A93AA0">
        <w:rPr>
          <w:rFonts w:ascii="Times New Roman" w:hAnsi="Times New Roman"/>
          <w:sz w:val="24"/>
          <w:szCs w:val="24"/>
          <w:lang w:val="en-NZ"/>
        </w:rPr>
        <w:t>)</w:t>
      </w:r>
      <w:r>
        <w:rPr>
          <w:rFonts w:ascii="Times New Roman" w:hAnsi="Times New Roman"/>
          <w:sz w:val="24"/>
          <w:szCs w:val="24"/>
          <w:lang w:val="en-NZ"/>
        </w:rPr>
        <w:t>; and</w:t>
      </w:r>
    </w:p>
    <w:p w:rsidR="00A93AA0" w:rsidRDefault="00A93AA0" w:rsidP="00A93AA0">
      <w:pPr>
        <w:pStyle w:val="Bullet-list"/>
        <w:spacing w:after="0" w:line="240" w:lineRule="auto"/>
        <w:ind w:left="1134" w:hanging="567"/>
        <w:jc w:val="both"/>
        <w:rPr>
          <w:rFonts w:ascii="Times New Roman" w:hAnsi="Times New Roman"/>
          <w:sz w:val="24"/>
          <w:szCs w:val="24"/>
          <w:lang w:val="en-NZ"/>
        </w:rPr>
      </w:pPr>
    </w:p>
    <w:p w:rsidR="00A93AA0" w:rsidRDefault="00A93AA0" w:rsidP="00A93AA0">
      <w:pPr>
        <w:pStyle w:val="Bullet-list"/>
        <w:spacing w:after="0" w:line="240" w:lineRule="auto"/>
        <w:ind w:left="1134" w:hanging="567"/>
        <w:jc w:val="both"/>
        <w:rPr>
          <w:rFonts w:ascii="Times New Roman" w:hAnsi="Times New Roman"/>
          <w:sz w:val="24"/>
          <w:szCs w:val="24"/>
          <w:lang w:val="en-NZ"/>
        </w:rPr>
      </w:pPr>
      <w:r>
        <w:rPr>
          <w:rFonts w:ascii="Times New Roman" w:hAnsi="Times New Roman"/>
          <w:sz w:val="24"/>
          <w:szCs w:val="24"/>
          <w:lang w:val="en-NZ"/>
        </w:rPr>
        <w:sym w:font="Wingdings 2" w:char="F097"/>
      </w:r>
      <w:r>
        <w:rPr>
          <w:rFonts w:ascii="Times New Roman" w:hAnsi="Times New Roman"/>
          <w:sz w:val="24"/>
          <w:szCs w:val="24"/>
          <w:lang w:val="en-NZ"/>
        </w:rPr>
        <w:tab/>
        <w:t xml:space="preserve">16 November 2014, </w:t>
      </w:r>
      <w:r w:rsidR="00FB3AE0">
        <w:rPr>
          <w:rFonts w:ascii="Times New Roman" w:hAnsi="Times New Roman"/>
          <w:sz w:val="24"/>
          <w:szCs w:val="24"/>
          <w:lang w:val="en-NZ"/>
        </w:rPr>
        <w:t xml:space="preserve">by </w:t>
      </w:r>
      <w:r w:rsidRPr="00A93AA0">
        <w:rPr>
          <w:rFonts w:ascii="Times New Roman" w:hAnsi="Times New Roman"/>
          <w:sz w:val="24"/>
          <w:szCs w:val="24"/>
          <w:lang w:val="en-NZ"/>
        </w:rPr>
        <w:t>reiterat</w:t>
      </w:r>
      <w:r>
        <w:rPr>
          <w:rFonts w:ascii="Times New Roman" w:hAnsi="Times New Roman"/>
          <w:sz w:val="24"/>
          <w:szCs w:val="24"/>
          <w:lang w:val="en-NZ"/>
        </w:rPr>
        <w:t>ing</w:t>
      </w:r>
      <w:r w:rsidRPr="00A93AA0">
        <w:rPr>
          <w:rFonts w:ascii="Times New Roman" w:hAnsi="Times New Roman"/>
          <w:sz w:val="24"/>
          <w:szCs w:val="24"/>
          <w:lang w:val="en-NZ"/>
        </w:rPr>
        <w:t xml:space="preserve"> our commitment at the November 2014 G20 Leaders Summit in Brisbane.</w:t>
      </w:r>
    </w:p>
    <w:p w:rsidR="00A54E12" w:rsidRDefault="00A54E12" w:rsidP="00A54E12">
      <w:pPr>
        <w:pStyle w:val="Bullet-list"/>
        <w:spacing w:after="0" w:line="240" w:lineRule="auto"/>
        <w:ind w:left="0" w:firstLine="0"/>
        <w:jc w:val="both"/>
        <w:rPr>
          <w:rFonts w:ascii="Times New Roman" w:hAnsi="Times New Roman"/>
          <w:sz w:val="24"/>
          <w:szCs w:val="24"/>
          <w:lang w:val="en-NZ"/>
        </w:rPr>
      </w:pPr>
    </w:p>
    <w:p w:rsidR="00A54E12" w:rsidRDefault="00A54E12" w:rsidP="007946CC">
      <w:pPr>
        <w:pStyle w:val="Bullet-list"/>
        <w:spacing w:after="0" w:line="240" w:lineRule="auto"/>
        <w:ind w:left="567" w:hanging="567"/>
        <w:jc w:val="both"/>
        <w:rPr>
          <w:rFonts w:ascii="Times New Roman" w:hAnsi="Times New Roman"/>
          <w:sz w:val="24"/>
          <w:szCs w:val="24"/>
          <w:lang w:val="en-NZ"/>
        </w:rPr>
      </w:pPr>
      <w:r>
        <w:rPr>
          <w:rFonts w:ascii="Times New Roman" w:hAnsi="Times New Roman"/>
          <w:sz w:val="24"/>
          <w:szCs w:val="24"/>
          <w:lang w:val="en-NZ"/>
        </w:rPr>
        <w:fldChar w:fldCharType="begin"/>
      </w:r>
      <w:r>
        <w:rPr>
          <w:rFonts w:ascii="Times New Roman" w:hAnsi="Times New Roman"/>
          <w:sz w:val="24"/>
          <w:szCs w:val="24"/>
          <w:lang w:val="en-NZ"/>
        </w:rPr>
        <w:instrText xml:space="preserve"> AUTONUM  \* Arabic  </w:instrText>
      </w:r>
      <w:r>
        <w:rPr>
          <w:rFonts w:ascii="Times New Roman" w:hAnsi="Times New Roman"/>
          <w:sz w:val="24"/>
          <w:szCs w:val="24"/>
          <w:lang w:val="en-NZ"/>
        </w:rPr>
        <w:fldChar w:fldCharType="end"/>
      </w:r>
      <w:r>
        <w:rPr>
          <w:rFonts w:ascii="Times New Roman" w:hAnsi="Times New Roman"/>
          <w:sz w:val="24"/>
          <w:szCs w:val="24"/>
          <w:lang w:val="en-NZ"/>
        </w:rPr>
        <w:tab/>
        <w:t xml:space="preserve">These commitments were general in nature.  In February 2016, Cabinet supplemented the commitments with a decision that the </w:t>
      </w:r>
      <w:r w:rsidR="008A5D0B">
        <w:rPr>
          <w:rFonts w:ascii="Times New Roman" w:hAnsi="Times New Roman"/>
          <w:sz w:val="24"/>
          <w:szCs w:val="24"/>
          <w:lang w:val="en-NZ"/>
        </w:rPr>
        <w:t xml:space="preserve">start </w:t>
      </w:r>
      <w:r>
        <w:rPr>
          <w:rFonts w:ascii="Times New Roman" w:hAnsi="Times New Roman"/>
          <w:sz w:val="24"/>
          <w:szCs w:val="24"/>
          <w:lang w:val="en-NZ"/>
        </w:rPr>
        <w:t>date f</w:t>
      </w:r>
      <w:r w:rsidR="008A5D0B">
        <w:rPr>
          <w:rFonts w:ascii="Times New Roman" w:hAnsi="Times New Roman"/>
          <w:sz w:val="24"/>
          <w:szCs w:val="24"/>
          <w:lang w:val="en-NZ"/>
        </w:rPr>
        <w:t xml:space="preserve">rom which </w:t>
      </w:r>
      <w:r>
        <w:rPr>
          <w:rFonts w:ascii="Times New Roman" w:hAnsi="Times New Roman"/>
          <w:sz w:val="24"/>
          <w:szCs w:val="24"/>
          <w:lang w:val="en-NZ"/>
        </w:rPr>
        <w:t xml:space="preserve">AEOI obligations </w:t>
      </w:r>
      <w:r w:rsidR="008A5D0B">
        <w:rPr>
          <w:rFonts w:ascii="Times New Roman" w:hAnsi="Times New Roman"/>
          <w:sz w:val="24"/>
          <w:szCs w:val="24"/>
          <w:lang w:val="en-NZ"/>
        </w:rPr>
        <w:t>will apply in New Zealand will</w:t>
      </w:r>
      <w:r>
        <w:rPr>
          <w:rFonts w:ascii="Times New Roman" w:hAnsi="Times New Roman"/>
          <w:sz w:val="24"/>
          <w:szCs w:val="24"/>
          <w:lang w:val="en-NZ"/>
        </w:rPr>
        <w:t xml:space="preserve"> be 1 July 2017.  From this date, financial institutions must start collecting the information needed for subsequent exchange.  Although 1 July 2017 is later than the start date adopted by most other </w:t>
      </w:r>
      <w:r w:rsidR="00D75EE3">
        <w:rPr>
          <w:rFonts w:ascii="Times New Roman" w:hAnsi="Times New Roman"/>
          <w:sz w:val="24"/>
          <w:szCs w:val="24"/>
          <w:lang w:val="en-NZ"/>
        </w:rPr>
        <w:t>jurisdictions</w:t>
      </w:r>
      <w:r>
        <w:rPr>
          <w:rFonts w:ascii="Times New Roman" w:hAnsi="Times New Roman"/>
          <w:sz w:val="24"/>
          <w:szCs w:val="24"/>
          <w:lang w:val="en-NZ"/>
        </w:rPr>
        <w:t>, it aligns with Australia</w:t>
      </w:r>
      <w:r w:rsidR="00B17172">
        <w:rPr>
          <w:rFonts w:ascii="Times New Roman" w:hAnsi="Times New Roman"/>
          <w:sz w:val="24"/>
          <w:szCs w:val="24"/>
          <w:lang w:val="en-NZ"/>
        </w:rPr>
        <w:t>’s start date</w:t>
      </w:r>
      <w:r>
        <w:rPr>
          <w:rFonts w:ascii="Times New Roman" w:hAnsi="Times New Roman"/>
          <w:sz w:val="24"/>
          <w:szCs w:val="24"/>
          <w:lang w:val="en-NZ"/>
        </w:rPr>
        <w:t>.</w:t>
      </w:r>
    </w:p>
    <w:p w:rsidR="00534AE7" w:rsidRDefault="00534AE7" w:rsidP="007946CC">
      <w:pPr>
        <w:pStyle w:val="Bullet-list"/>
        <w:spacing w:after="0" w:line="240" w:lineRule="auto"/>
        <w:ind w:left="567" w:hanging="567"/>
        <w:jc w:val="both"/>
        <w:rPr>
          <w:rFonts w:ascii="Times New Roman" w:hAnsi="Times New Roman"/>
          <w:sz w:val="24"/>
          <w:szCs w:val="24"/>
          <w:lang w:val="en-NZ"/>
        </w:rPr>
      </w:pPr>
    </w:p>
    <w:p w:rsidR="000D2215" w:rsidRPr="00F65FFA" w:rsidRDefault="00171172" w:rsidP="007946CC">
      <w:pPr>
        <w:spacing w:after="0" w:line="240" w:lineRule="auto"/>
        <w:ind w:left="567" w:hanging="567"/>
        <w:rPr>
          <w:lang w:val="en-NZ" w:eastAsia="en-US"/>
        </w:rPr>
      </w:pPr>
      <w:r w:rsidRPr="00F65FFA">
        <w:rPr>
          <w:rFonts w:ascii="Times New Roman" w:hAnsi="Times New Roman"/>
          <w:b/>
          <w:sz w:val="24"/>
          <w:szCs w:val="24"/>
          <w:lang w:val="en-NZ" w:eastAsia="en-US"/>
        </w:rPr>
        <w:t>International considerations</w:t>
      </w:r>
    </w:p>
    <w:p w:rsidR="00534AE7" w:rsidRDefault="00534AE7" w:rsidP="007946CC">
      <w:pPr>
        <w:pStyle w:val="Bullet-list"/>
        <w:spacing w:after="0" w:line="240" w:lineRule="auto"/>
        <w:ind w:left="567" w:hanging="567"/>
        <w:jc w:val="both"/>
        <w:rPr>
          <w:rFonts w:ascii="Times New Roman" w:hAnsi="Times New Roman"/>
          <w:sz w:val="24"/>
          <w:szCs w:val="24"/>
          <w:lang w:val="en-NZ"/>
        </w:rPr>
      </w:pPr>
    </w:p>
    <w:p w:rsidR="000D2215" w:rsidRPr="000D2215" w:rsidRDefault="007C3FB6" w:rsidP="007946CC">
      <w:pPr>
        <w:pStyle w:val="Bullet-list"/>
        <w:spacing w:after="0" w:line="240" w:lineRule="auto"/>
        <w:ind w:left="567" w:hanging="567"/>
        <w:jc w:val="both"/>
        <w:rPr>
          <w:rFonts w:ascii="Times New Roman" w:hAnsi="Times New Roman"/>
          <w:sz w:val="24"/>
          <w:szCs w:val="24"/>
        </w:rPr>
      </w:pPr>
      <w:r>
        <w:rPr>
          <w:rFonts w:ascii="Times New Roman" w:hAnsi="Times New Roman"/>
          <w:sz w:val="24"/>
          <w:szCs w:val="24"/>
          <w:lang w:val="en-NZ"/>
        </w:rPr>
        <w:fldChar w:fldCharType="begin"/>
      </w:r>
      <w:r>
        <w:rPr>
          <w:rFonts w:ascii="Times New Roman" w:hAnsi="Times New Roman"/>
          <w:sz w:val="24"/>
          <w:szCs w:val="24"/>
          <w:lang w:val="en-NZ"/>
        </w:rPr>
        <w:instrText xml:space="preserve"> AUTONUM  \* Arabic  </w:instrText>
      </w:r>
      <w:r>
        <w:rPr>
          <w:rFonts w:ascii="Times New Roman" w:hAnsi="Times New Roman"/>
          <w:sz w:val="24"/>
          <w:szCs w:val="24"/>
          <w:lang w:val="en-NZ"/>
        </w:rPr>
        <w:fldChar w:fldCharType="end"/>
      </w:r>
      <w:r>
        <w:rPr>
          <w:rFonts w:ascii="Times New Roman" w:hAnsi="Times New Roman"/>
          <w:sz w:val="24"/>
          <w:szCs w:val="24"/>
          <w:lang w:val="en-NZ"/>
        </w:rPr>
        <w:tab/>
      </w:r>
      <w:r w:rsidR="00624C11">
        <w:rPr>
          <w:rFonts w:ascii="Times New Roman" w:hAnsi="Times New Roman"/>
          <w:sz w:val="24"/>
          <w:szCs w:val="24"/>
          <w:lang w:val="en-NZ"/>
        </w:rPr>
        <w:t xml:space="preserve">AEOI </w:t>
      </w:r>
      <w:r w:rsidR="00162F09">
        <w:rPr>
          <w:rFonts w:ascii="Times New Roman" w:hAnsi="Times New Roman"/>
          <w:sz w:val="24"/>
          <w:szCs w:val="24"/>
          <w:lang w:val="en-NZ"/>
        </w:rPr>
        <w:t xml:space="preserve">is </w:t>
      </w:r>
      <w:r w:rsidR="00233A96">
        <w:rPr>
          <w:rFonts w:ascii="Times New Roman" w:hAnsi="Times New Roman"/>
          <w:sz w:val="24"/>
          <w:szCs w:val="24"/>
          <w:lang w:val="en-NZ"/>
        </w:rPr>
        <w:t xml:space="preserve">a global framework for cooperation between </w:t>
      </w:r>
      <w:r w:rsidR="00D75EE3">
        <w:rPr>
          <w:rFonts w:ascii="Times New Roman" w:hAnsi="Times New Roman"/>
          <w:sz w:val="24"/>
          <w:szCs w:val="24"/>
          <w:lang w:val="en-NZ"/>
        </w:rPr>
        <w:t>jurisdictions</w:t>
      </w:r>
      <w:r w:rsidR="00233A96">
        <w:rPr>
          <w:rFonts w:ascii="Times New Roman" w:hAnsi="Times New Roman"/>
          <w:sz w:val="24"/>
          <w:szCs w:val="24"/>
          <w:lang w:val="en-NZ"/>
        </w:rPr>
        <w:t xml:space="preserve"> in the detection and prevention of tax evasion</w:t>
      </w:r>
      <w:r w:rsidR="00233A96" w:rsidRPr="00135CC4">
        <w:rPr>
          <w:rFonts w:ascii="Times New Roman" w:hAnsi="Times New Roman"/>
          <w:sz w:val="24"/>
          <w:szCs w:val="24"/>
          <w:lang w:val="en-NZ"/>
        </w:rPr>
        <w:t>.</w:t>
      </w:r>
      <w:r w:rsidR="00855148" w:rsidRPr="00135CC4">
        <w:rPr>
          <w:rStyle w:val="FootnoteReference"/>
          <w:rFonts w:ascii="Times New Roman" w:hAnsi="Times New Roman"/>
          <w:szCs w:val="24"/>
          <w:lang w:val="en-NZ"/>
        </w:rPr>
        <w:footnoteReference w:id="3"/>
      </w:r>
      <w:r w:rsidR="00233A96">
        <w:rPr>
          <w:rFonts w:ascii="Times New Roman" w:hAnsi="Times New Roman"/>
          <w:sz w:val="24"/>
          <w:szCs w:val="24"/>
          <w:lang w:val="en-NZ"/>
        </w:rPr>
        <w:t xml:space="preserve">  Specifically, </w:t>
      </w:r>
      <w:r w:rsidR="00C1094F">
        <w:rPr>
          <w:rFonts w:ascii="Times New Roman" w:hAnsi="Times New Roman"/>
          <w:sz w:val="24"/>
          <w:szCs w:val="24"/>
          <w:lang w:val="en-NZ"/>
        </w:rPr>
        <w:t>AEOI</w:t>
      </w:r>
      <w:r w:rsidR="00233A96">
        <w:rPr>
          <w:rFonts w:ascii="Times New Roman" w:hAnsi="Times New Roman"/>
          <w:sz w:val="24"/>
          <w:szCs w:val="24"/>
          <w:lang w:val="en-NZ"/>
        </w:rPr>
        <w:t xml:space="preserve"> </w:t>
      </w:r>
      <w:r w:rsidR="003A7E73">
        <w:rPr>
          <w:rFonts w:ascii="Times New Roman" w:hAnsi="Times New Roman"/>
          <w:sz w:val="24"/>
          <w:szCs w:val="24"/>
          <w:lang w:val="en-NZ"/>
        </w:rPr>
        <w:t xml:space="preserve">responds to </w:t>
      </w:r>
      <w:r w:rsidR="00C1094F">
        <w:rPr>
          <w:rFonts w:ascii="Times New Roman" w:hAnsi="Times New Roman"/>
          <w:sz w:val="24"/>
          <w:szCs w:val="24"/>
          <w:lang w:val="en-NZ"/>
        </w:rPr>
        <w:t xml:space="preserve">international </w:t>
      </w:r>
      <w:r w:rsidR="00D52E1B" w:rsidRPr="000D2215">
        <w:rPr>
          <w:rFonts w:ascii="Times New Roman" w:hAnsi="Times New Roman"/>
          <w:sz w:val="24"/>
          <w:szCs w:val="24"/>
          <w:lang w:val="en-NZ"/>
        </w:rPr>
        <w:t>concern</w:t>
      </w:r>
      <w:r w:rsidR="00D52E1B">
        <w:rPr>
          <w:rFonts w:ascii="Times New Roman" w:hAnsi="Times New Roman"/>
          <w:sz w:val="24"/>
          <w:szCs w:val="24"/>
          <w:lang w:val="en-NZ"/>
        </w:rPr>
        <w:t>s</w:t>
      </w:r>
      <w:r w:rsidR="00D52E1B" w:rsidRPr="000D2215">
        <w:rPr>
          <w:rFonts w:ascii="Times New Roman" w:hAnsi="Times New Roman"/>
          <w:sz w:val="24"/>
          <w:szCs w:val="24"/>
          <w:lang w:val="en-NZ"/>
        </w:rPr>
        <w:t xml:space="preserve"> that individuals and entities </w:t>
      </w:r>
      <w:r w:rsidR="00D52E1B">
        <w:rPr>
          <w:rFonts w:ascii="Times New Roman" w:hAnsi="Times New Roman"/>
          <w:sz w:val="24"/>
          <w:szCs w:val="24"/>
          <w:lang w:val="en-NZ"/>
        </w:rPr>
        <w:t>can, with relative ease,</w:t>
      </w:r>
      <w:r w:rsidR="00D52E1B" w:rsidRPr="000D2215">
        <w:rPr>
          <w:rFonts w:ascii="Times New Roman" w:hAnsi="Times New Roman"/>
          <w:sz w:val="24"/>
          <w:szCs w:val="24"/>
          <w:lang w:val="en-NZ"/>
        </w:rPr>
        <w:t xml:space="preserve"> evad</w:t>
      </w:r>
      <w:r w:rsidR="00D52E1B">
        <w:rPr>
          <w:rFonts w:ascii="Times New Roman" w:hAnsi="Times New Roman"/>
          <w:sz w:val="24"/>
          <w:szCs w:val="24"/>
          <w:lang w:val="en-NZ"/>
        </w:rPr>
        <w:t>e</w:t>
      </w:r>
      <w:r w:rsidR="00D52E1B" w:rsidRPr="000D2215">
        <w:rPr>
          <w:rFonts w:ascii="Times New Roman" w:hAnsi="Times New Roman"/>
          <w:sz w:val="24"/>
          <w:szCs w:val="24"/>
          <w:lang w:val="en-NZ"/>
        </w:rPr>
        <w:t xml:space="preserve"> their tax obligations by concealing their wealth in </w:t>
      </w:r>
      <w:r w:rsidR="00D52E1B">
        <w:rPr>
          <w:rFonts w:ascii="Times New Roman" w:hAnsi="Times New Roman"/>
          <w:sz w:val="24"/>
          <w:szCs w:val="24"/>
          <w:lang w:val="en-NZ"/>
        </w:rPr>
        <w:t>‘</w:t>
      </w:r>
      <w:r w:rsidR="00D52E1B" w:rsidRPr="000D2215">
        <w:rPr>
          <w:rFonts w:ascii="Times New Roman" w:hAnsi="Times New Roman"/>
          <w:sz w:val="24"/>
          <w:szCs w:val="24"/>
          <w:lang w:val="en-NZ"/>
        </w:rPr>
        <w:t>off</w:t>
      </w:r>
      <w:r w:rsidR="00EE42D0">
        <w:rPr>
          <w:rFonts w:ascii="Times New Roman" w:hAnsi="Times New Roman"/>
          <w:sz w:val="24"/>
          <w:szCs w:val="24"/>
          <w:lang w:val="en-NZ"/>
        </w:rPr>
        <w:t>-</w:t>
      </w:r>
      <w:r w:rsidR="00D52E1B" w:rsidRPr="000D2215">
        <w:rPr>
          <w:rFonts w:ascii="Times New Roman" w:hAnsi="Times New Roman"/>
          <w:sz w:val="24"/>
          <w:szCs w:val="24"/>
          <w:lang w:val="en-NZ"/>
        </w:rPr>
        <w:t>shore</w:t>
      </w:r>
      <w:r w:rsidR="00D52E1B">
        <w:rPr>
          <w:rFonts w:ascii="Times New Roman" w:hAnsi="Times New Roman"/>
          <w:sz w:val="24"/>
          <w:szCs w:val="24"/>
          <w:lang w:val="en-NZ"/>
        </w:rPr>
        <w:t>’</w:t>
      </w:r>
      <w:r w:rsidR="00D52E1B" w:rsidRPr="000D2215">
        <w:rPr>
          <w:rFonts w:ascii="Times New Roman" w:hAnsi="Times New Roman"/>
          <w:sz w:val="24"/>
          <w:szCs w:val="24"/>
          <w:lang w:val="en-NZ"/>
        </w:rPr>
        <w:t xml:space="preserve"> financial accounts.</w:t>
      </w:r>
    </w:p>
    <w:p w:rsidR="000D2215" w:rsidRPr="000D2215" w:rsidRDefault="000D2215" w:rsidP="007946CC">
      <w:pPr>
        <w:pStyle w:val="Bullet-list"/>
        <w:spacing w:after="0" w:line="240" w:lineRule="auto"/>
        <w:ind w:left="567" w:hanging="567"/>
        <w:jc w:val="both"/>
        <w:rPr>
          <w:rFonts w:ascii="Times New Roman" w:hAnsi="Times New Roman"/>
          <w:sz w:val="24"/>
          <w:szCs w:val="24"/>
        </w:rPr>
      </w:pPr>
    </w:p>
    <w:p w:rsidR="00221E4D" w:rsidRDefault="005E2D88" w:rsidP="007946CC">
      <w:pPr>
        <w:pStyle w:val="Bullet-list"/>
        <w:spacing w:after="0" w:line="240" w:lineRule="auto"/>
        <w:ind w:left="567" w:hanging="567"/>
        <w:jc w:val="both"/>
        <w:rPr>
          <w:rFonts w:ascii="Times New Roman" w:hAnsi="Times New Roman"/>
          <w:sz w:val="24"/>
          <w:szCs w:val="24"/>
          <w:lang w:val="en-NZ"/>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r>
      <w:r w:rsidR="00D75EE3">
        <w:rPr>
          <w:rFonts w:ascii="Times New Roman" w:hAnsi="Times New Roman"/>
          <w:sz w:val="24"/>
          <w:szCs w:val="24"/>
        </w:rPr>
        <w:t>Jurisdictions</w:t>
      </w:r>
      <w:r w:rsidR="00A93AA0">
        <w:rPr>
          <w:rFonts w:ascii="Times New Roman" w:hAnsi="Times New Roman"/>
          <w:sz w:val="24"/>
          <w:szCs w:val="24"/>
        </w:rPr>
        <w:t xml:space="preserve"> implementing </w:t>
      </w:r>
      <w:r w:rsidR="003A7E73">
        <w:rPr>
          <w:rFonts w:ascii="Times New Roman" w:hAnsi="Times New Roman"/>
          <w:sz w:val="24"/>
          <w:szCs w:val="24"/>
        </w:rPr>
        <w:t xml:space="preserve">AEOI </w:t>
      </w:r>
      <w:r w:rsidR="00BA1E0C">
        <w:rPr>
          <w:rFonts w:ascii="Times New Roman" w:hAnsi="Times New Roman"/>
          <w:sz w:val="24"/>
          <w:szCs w:val="24"/>
        </w:rPr>
        <w:t>must</w:t>
      </w:r>
      <w:r w:rsidR="00221E4D">
        <w:rPr>
          <w:rFonts w:ascii="Times New Roman" w:hAnsi="Times New Roman"/>
          <w:sz w:val="24"/>
          <w:szCs w:val="24"/>
          <w:lang w:val="en-NZ"/>
        </w:rPr>
        <w:t>:</w:t>
      </w:r>
    </w:p>
    <w:p w:rsidR="000D4834" w:rsidRPr="007C3FB6" w:rsidRDefault="000D4834" w:rsidP="007946CC">
      <w:pPr>
        <w:pStyle w:val="Bullet-list"/>
        <w:spacing w:after="0" w:line="240" w:lineRule="auto"/>
        <w:ind w:left="567" w:hanging="567"/>
        <w:jc w:val="both"/>
        <w:rPr>
          <w:rFonts w:ascii="Times New Roman" w:hAnsi="Times New Roman"/>
          <w:sz w:val="24"/>
          <w:szCs w:val="24"/>
        </w:rPr>
      </w:pPr>
    </w:p>
    <w:p w:rsidR="00221E4D" w:rsidRDefault="00221E4D" w:rsidP="00233A96">
      <w:pPr>
        <w:pStyle w:val="Bullet-list"/>
        <w:spacing w:after="0" w:line="240" w:lineRule="auto"/>
        <w:ind w:left="1134" w:hanging="567"/>
        <w:jc w:val="both"/>
        <w:rPr>
          <w:rFonts w:ascii="Times New Roman" w:hAnsi="Times New Roman"/>
          <w:sz w:val="24"/>
          <w:szCs w:val="24"/>
          <w:lang w:val="en-NZ"/>
        </w:rPr>
      </w:pPr>
      <w:r>
        <w:rPr>
          <w:rFonts w:ascii="Times New Roman" w:hAnsi="Times New Roman"/>
          <w:sz w:val="24"/>
          <w:szCs w:val="24"/>
          <w:lang w:val="en-NZ"/>
        </w:rPr>
        <w:sym w:font="Wingdings 2" w:char="F097"/>
      </w:r>
      <w:r>
        <w:rPr>
          <w:rFonts w:ascii="Times New Roman" w:hAnsi="Times New Roman"/>
          <w:sz w:val="24"/>
          <w:szCs w:val="24"/>
          <w:lang w:val="en-NZ"/>
        </w:rPr>
        <w:tab/>
      </w:r>
      <w:r w:rsidR="00233A96">
        <w:rPr>
          <w:rFonts w:ascii="Times New Roman" w:hAnsi="Times New Roman"/>
          <w:sz w:val="24"/>
          <w:szCs w:val="24"/>
          <w:lang w:val="en-NZ"/>
        </w:rPr>
        <w:t xml:space="preserve">enact </w:t>
      </w:r>
      <w:r>
        <w:rPr>
          <w:rFonts w:ascii="Times New Roman" w:hAnsi="Times New Roman"/>
          <w:sz w:val="24"/>
          <w:szCs w:val="24"/>
          <w:lang w:val="en-NZ"/>
        </w:rPr>
        <w:t xml:space="preserve">legislation </w:t>
      </w:r>
      <w:r w:rsidR="00E04AB2">
        <w:rPr>
          <w:rFonts w:ascii="Times New Roman" w:hAnsi="Times New Roman"/>
          <w:sz w:val="24"/>
          <w:szCs w:val="24"/>
          <w:lang w:val="en-NZ"/>
        </w:rPr>
        <w:t>that</w:t>
      </w:r>
      <w:r>
        <w:rPr>
          <w:rFonts w:ascii="Times New Roman" w:hAnsi="Times New Roman"/>
          <w:sz w:val="24"/>
          <w:szCs w:val="24"/>
          <w:lang w:val="en-NZ"/>
        </w:rPr>
        <w:t xml:space="preserve"> </w:t>
      </w:r>
      <w:r w:rsidR="00233A96">
        <w:rPr>
          <w:rFonts w:ascii="Times New Roman" w:hAnsi="Times New Roman"/>
          <w:sz w:val="24"/>
          <w:szCs w:val="24"/>
          <w:lang w:val="en-NZ"/>
        </w:rPr>
        <w:t xml:space="preserve">will </w:t>
      </w:r>
      <w:r w:rsidR="00684530">
        <w:rPr>
          <w:rFonts w:ascii="Times New Roman" w:hAnsi="Times New Roman"/>
          <w:sz w:val="24"/>
          <w:szCs w:val="24"/>
          <w:lang w:val="en-NZ"/>
        </w:rPr>
        <w:t>impose</w:t>
      </w:r>
      <w:r w:rsidR="00E04AB2">
        <w:rPr>
          <w:rFonts w:ascii="Times New Roman" w:hAnsi="Times New Roman"/>
          <w:sz w:val="24"/>
          <w:szCs w:val="24"/>
          <w:lang w:val="en-NZ"/>
        </w:rPr>
        <w:t xml:space="preserve"> obligations</w:t>
      </w:r>
      <w:r w:rsidR="00684530">
        <w:rPr>
          <w:rFonts w:ascii="Times New Roman" w:hAnsi="Times New Roman"/>
          <w:sz w:val="24"/>
          <w:szCs w:val="24"/>
          <w:lang w:val="en-NZ"/>
        </w:rPr>
        <w:t xml:space="preserve"> on</w:t>
      </w:r>
      <w:r>
        <w:rPr>
          <w:rFonts w:ascii="Times New Roman" w:hAnsi="Times New Roman"/>
          <w:sz w:val="24"/>
          <w:szCs w:val="24"/>
          <w:lang w:val="en-NZ"/>
        </w:rPr>
        <w:t xml:space="preserve"> financial institutions to</w:t>
      </w:r>
      <w:r w:rsidR="00233A96">
        <w:rPr>
          <w:rFonts w:ascii="Times New Roman" w:hAnsi="Times New Roman"/>
          <w:sz w:val="24"/>
          <w:szCs w:val="24"/>
          <w:lang w:val="en-NZ"/>
        </w:rPr>
        <w:t xml:space="preserve"> collect and report information to </w:t>
      </w:r>
      <w:r w:rsidR="00603033">
        <w:rPr>
          <w:rFonts w:ascii="Times New Roman" w:hAnsi="Times New Roman"/>
          <w:sz w:val="24"/>
          <w:szCs w:val="24"/>
          <w:lang w:val="en-NZ"/>
        </w:rPr>
        <w:t>their local tax authority</w:t>
      </w:r>
      <w:r w:rsidR="00233A96">
        <w:rPr>
          <w:rFonts w:ascii="Times New Roman" w:hAnsi="Times New Roman"/>
          <w:sz w:val="24"/>
          <w:szCs w:val="24"/>
          <w:lang w:val="en-NZ"/>
        </w:rPr>
        <w:t xml:space="preserve"> on accounts </w:t>
      </w:r>
      <w:r>
        <w:rPr>
          <w:rFonts w:ascii="Times New Roman" w:hAnsi="Times New Roman"/>
          <w:sz w:val="24"/>
          <w:szCs w:val="24"/>
          <w:lang w:val="en-NZ"/>
        </w:rPr>
        <w:t xml:space="preserve">held </w:t>
      </w:r>
      <w:r w:rsidR="00ED6DE6">
        <w:rPr>
          <w:rFonts w:ascii="Times New Roman" w:hAnsi="Times New Roman"/>
          <w:sz w:val="24"/>
          <w:szCs w:val="24"/>
          <w:lang w:val="en-NZ"/>
        </w:rPr>
        <w:t xml:space="preserve">or </w:t>
      </w:r>
      <w:r w:rsidR="002D6C66">
        <w:rPr>
          <w:rFonts w:ascii="Times New Roman" w:hAnsi="Times New Roman"/>
          <w:sz w:val="24"/>
          <w:szCs w:val="24"/>
          <w:lang w:val="en-NZ"/>
        </w:rPr>
        <w:t xml:space="preserve">(in certain circumstances) </w:t>
      </w:r>
      <w:r w:rsidR="00ED6DE6">
        <w:rPr>
          <w:rFonts w:ascii="Times New Roman" w:hAnsi="Times New Roman"/>
          <w:sz w:val="24"/>
          <w:szCs w:val="24"/>
          <w:lang w:val="en-NZ"/>
        </w:rPr>
        <w:t xml:space="preserve">controlled </w:t>
      </w:r>
      <w:r>
        <w:rPr>
          <w:rFonts w:ascii="Times New Roman" w:hAnsi="Times New Roman"/>
          <w:sz w:val="24"/>
          <w:szCs w:val="24"/>
          <w:lang w:val="en-NZ"/>
        </w:rPr>
        <w:t>by non-residents</w:t>
      </w:r>
      <w:r w:rsidR="00135CC4">
        <w:rPr>
          <w:rFonts w:ascii="Times New Roman" w:hAnsi="Times New Roman"/>
          <w:sz w:val="24"/>
          <w:szCs w:val="24"/>
          <w:lang w:val="en-NZ"/>
        </w:rPr>
        <w:t>;</w:t>
      </w:r>
      <w:r w:rsidRPr="000D2215">
        <w:rPr>
          <w:rFonts w:ascii="Times New Roman" w:hAnsi="Times New Roman"/>
          <w:sz w:val="24"/>
          <w:szCs w:val="24"/>
          <w:lang w:val="en-NZ"/>
        </w:rPr>
        <w:t xml:space="preserve"> </w:t>
      </w:r>
      <w:r>
        <w:rPr>
          <w:rFonts w:ascii="Times New Roman" w:hAnsi="Times New Roman"/>
          <w:sz w:val="24"/>
          <w:szCs w:val="24"/>
          <w:lang w:val="en-NZ"/>
        </w:rPr>
        <w:t>and</w:t>
      </w:r>
    </w:p>
    <w:p w:rsidR="000D4834" w:rsidRDefault="000D4834" w:rsidP="00233A96">
      <w:pPr>
        <w:pStyle w:val="Bullet-list"/>
        <w:spacing w:after="0" w:line="240" w:lineRule="auto"/>
        <w:ind w:left="1134" w:hanging="567"/>
        <w:jc w:val="both"/>
        <w:rPr>
          <w:rFonts w:ascii="Times New Roman" w:hAnsi="Times New Roman"/>
          <w:sz w:val="24"/>
          <w:szCs w:val="24"/>
          <w:lang w:val="en-NZ"/>
        </w:rPr>
      </w:pPr>
    </w:p>
    <w:p w:rsidR="00221E4D" w:rsidRDefault="00221E4D" w:rsidP="00221E4D">
      <w:pPr>
        <w:pStyle w:val="Bullet-list"/>
        <w:spacing w:after="0" w:line="240" w:lineRule="auto"/>
        <w:ind w:left="1134" w:hanging="567"/>
        <w:jc w:val="both"/>
        <w:rPr>
          <w:rFonts w:ascii="Times New Roman" w:hAnsi="Times New Roman"/>
          <w:sz w:val="24"/>
          <w:szCs w:val="24"/>
          <w:lang w:val="en-NZ"/>
        </w:rPr>
      </w:pPr>
      <w:r>
        <w:rPr>
          <w:rFonts w:ascii="Times New Roman" w:hAnsi="Times New Roman"/>
          <w:sz w:val="24"/>
          <w:szCs w:val="24"/>
          <w:lang w:val="en-NZ"/>
        </w:rPr>
        <w:sym w:font="Wingdings 2" w:char="F097"/>
      </w:r>
      <w:r>
        <w:rPr>
          <w:rFonts w:ascii="Times New Roman" w:hAnsi="Times New Roman"/>
          <w:sz w:val="24"/>
          <w:szCs w:val="24"/>
          <w:lang w:val="en-NZ"/>
        </w:rPr>
        <w:tab/>
      </w:r>
      <w:r w:rsidR="00FB3AE0">
        <w:rPr>
          <w:rFonts w:ascii="Times New Roman" w:hAnsi="Times New Roman"/>
          <w:sz w:val="24"/>
          <w:szCs w:val="24"/>
          <w:lang w:val="en-NZ"/>
        </w:rPr>
        <w:t xml:space="preserve">establish the legal mechanisms (primarily tax treaties) necessary for </w:t>
      </w:r>
      <w:r w:rsidR="00233A96">
        <w:rPr>
          <w:rFonts w:ascii="Times New Roman" w:hAnsi="Times New Roman"/>
          <w:sz w:val="24"/>
          <w:szCs w:val="24"/>
          <w:lang w:val="en-NZ"/>
        </w:rPr>
        <w:t>exchang</w:t>
      </w:r>
      <w:r w:rsidR="00FB3AE0">
        <w:rPr>
          <w:rFonts w:ascii="Times New Roman" w:hAnsi="Times New Roman"/>
          <w:sz w:val="24"/>
          <w:szCs w:val="24"/>
          <w:lang w:val="en-NZ"/>
        </w:rPr>
        <w:t>ing</w:t>
      </w:r>
      <w:r w:rsidR="00233A96">
        <w:rPr>
          <w:rFonts w:ascii="Times New Roman" w:hAnsi="Times New Roman"/>
          <w:sz w:val="24"/>
          <w:szCs w:val="24"/>
          <w:lang w:val="en-NZ"/>
        </w:rPr>
        <w:t xml:space="preserve"> that information with </w:t>
      </w:r>
      <w:r w:rsidR="000D4834">
        <w:rPr>
          <w:rFonts w:ascii="Times New Roman" w:hAnsi="Times New Roman"/>
          <w:sz w:val="24"/>
          <w:szCs w:val="24"/>
          <w:lang w:val="en-NZ"/>
        </w:rPr>
        <w:t xml:space="preserve">other </w:t>
      </w:r>
      <w:r w:rsidR="00D75EE3">
        <w:rPr>
          <w:rFonts w:ascii="Times New Roman" w:hAnsi="Times New Roman"/>
          <w:sz w:val="24"/>
          <w:szCs w:val="24"/>
          <w:lang w:val="en-NZ"/>
        </w:rPr>
        <w:t>jurisdictions</w:t>
      </w:r>
      <w:r w:rsidRPr="000D2215">
        <w:rPr>
          <w:rFonts w:ascii="Times New Roman" w:hAnsi="Times New Roman"/>
          <w:sz w:val="24"/>
          <w:szCs w:val="24"/>
          <w:lang w:val="en-NZ"/>
        </w:rPr>
        <w:t>.</w:t>
      </w:r>
    </w:p>
    <w:p w:rsidR="00794DF3" w:rsidRDefault="00794DF3" w:rsidP="00794DF3">
      <w:pPr>
        <w:pStyle w:val="Bullet-list"/>
        <w:spacing w:after="0" w:line="240" w:lineRule="auto"/>
        <w:ind w:left="0" w:firstLine="0"/>
        <w:jc w:val="both"/>
        <w:rPr>
          <w:rFonts w:ascii="Times New Roman" w:hAnsi="Times New Roman"/>
          <w:sz w:val="24"/>
          <w:szCs w:val="24"/>
          <w:lang w:val="en-NZ"/>
        </w:rPr>
      </w:pPr>
    </w:p>
    <w:p w:rsidR="00794DF3" w:rsidRDefault="00794DF3" w:rsidP="007946CC">
      <w:pPr>
        <w:pStyle w:val="Bullet-list"/>
        <w:spacing w:after="0" w:line="240" w:lineRule="auto"/>
        <w:ind w:left="567" w:hanging="567"/>
        <w:jc w:val="both"/>
        <w:rPr>
          <w:rFonts w:ascii="Times New Roman" w:hAnsi="Times New Roman"/>
          <w:sz w:val="24"/>
          <w:szCs w:val="24"/>
          <w:lang w:val="en-NZ"/>
        </w:rPr>
      </w:pPr>
      <w:r>
        <w:rPr>
          <w:rFonts w:ascii="Times New Roman" w:hAnsi="Times New Roman"/>
          <w:sz w:val="24"/>
          <w:szCs w:val="24"/>
          <w:lang w:val="en-NZ"/>
        </w:rPr>
        <w:fldChar w:fldCharType="begin"/>
      </w:r>
      <w:r>
        <w:rPr>
          <w:rFonts w:ascii="Times New Roman" w:hAnsi="Times New Roman"/>
          <w:sz w:val="24"/>
          <w:szCs w:val="24"/>
          <w:lang w:val="en-NZ"/>
        </w:rPr>
        <w:instrText xml:space="preserve"> AUTONUM  \* Arabic  </w:instrText>
      </w:r>
      <w:r>
        <w:rPr>
          <w:rFonts w:ascii="Times New Roman" w:hAnsi="Times New Roman"/>
          <w:sz w:val="24"/>
          <w:szCs w:val="24"/>
          <w:lang w:val="en-NZ"/>
        </w:rPr>
        <w:fldChar w:fldCharType="end"/>
      </w:r>
      <w:r>
        <w:rPr>
          <w:rFonts w:ascii="Times New Roman" w:hAnsi="Times New Roman"/>
          <w:sz w:val="24"/>
          <w:szCs w:val="24"/>
          <w:lang w:val="en-NZ"/>
        </w:rPr>
        <w:tab/>
      </w:r>
      <w:r w:rsidRPr="000D2215">
        <w:rPr>
          <w:rFonts w:ascii="Times New Roman" w:hAnsi="Times New Roman"/>
          <w:sz w:val="24"/>
          <w:szCs w:val="24"/>
          <w:lang w:val="en-NZ"/>
        </w:rPr>
        <w:t xml:space="preserve">The </w:t>
      </w:r>
      <w:r>
        <w:rPr>
          <w:rFonts w:ascii="Times New Roman" w:hAnsi="Times New Roman"/>
          <w:sz w:val="24"/>
          <w:szCs w:val="24"/>
          <w:lang w:val="en-NZ"/>
        </w:rPr>
        <w:t xml:space="preserve">exchanged </w:t>
      </w:r>
      <w:r w:rsidRPr="000D2215">
        <w:rPr>
          <w:rFonts w:ascii="Times New Roman" w:hAnsi="Times New Roman"/>
          <w:sz w:val="24"/>
          <w:szCs w:val="24"/>
          <w:lang w:val="en-NZ"/>
        </w:rPr>
        <w:t xml:space="preserve">information will be used by </w:t>
      </w:r>
      <w:r>
        <w:rPr>
          <w:rFonts w:ascii="Times New Roman" w:hAnsi="Times New Roman"/>
          <w:sz w:val="24"/>
          <w:szCs w:val="24"/>
          <w:lang w:val="en-NZ"/>
        </w:rPr>
        <w:t>the receiving</w:t>
      </w:r>
      <w:r w:rsidRPr="000D2215">
        <w:rPr>
          <w:rFonts w:ascii="Times New Roman" w:hAnsi="Times New Roman"/>
          <w:sz w:val="24"/>
          <w:szCs w:val="24"/>
          <w:lang w:val="en-NZ"/>
        </w:rPr>
        <w:t xml:space="preserve"> </w:t>
      </w:r>
      <w:r w:rsidR="00D75EE3">
        <w:rPr>
          <w:rFonts w:ascii="Times New Roman" w:hAnsi="Times New Roman"/>
          <w:sz w:val="24"/>
          <w:szCs w:val="24"/>
          <w:lang w:val="en-NZ"/>
        </w:rPr>
        <w:t xml:space="preserve">jurisdiction </w:t>
      </w:r>
      <w:r w:rsidRPr="000D2215">
        <w:rPr>
          <w:rFonts w:ascii="Times New Roman" w:hAnsi="Times New Roman"/>
          <w:sz w:val="24"/>
          <w:szCs w:val="24"/>
          <w:lang w:val="en-NZ"/>
        </w:rPr>
        <w:t xml:space="preserve">to </w:t>
      </w:r>
      <w:r>
        <w:rPr>
          <w:rFonts w:ascii="Times New Roman" w:hAnsi="Times New Roman"/>
          <w:sz w:val="24"/>
          <w:szCs w:val="24"/>
          <w:lang w:val="en-NZ"/>
        </w:rPr>
        <w:t>ensure that their tax residents have correctly reported off</w:t>
      </w:r>
      <w:r w:rsidR="00EE42D0">
        <w:rPr>
          <w:rFonts w:ascii="Times New Roman" w:hAnsi="Times New Roman"/>
          <w:sz w:val="24"/>
          <w:szCs w:val="24"/>
          <w:lang w:val="en-NZ"/>
        </w:rPr>
        <w:t>-</w:t>
      </w:r>
      <w:r>
        <w:rPr>
          <w:rFonts w:ascii="Times New Roman" w:hAnsi="Times New Roman"/>
          <w:sz w:val="24"/>
          <w:szCs w:val="24"/>
          <w:lang w:val="en-NZ"/>
        </w:rPr>
        <w:t>shore income for tax purposes.</w:t>
      </w:r>
    </w:p>
    <w:p w:rsidR="00221E4D" w:rsidRDefault="00221E4D" w:rsidP="007C3FB6">
      <w:pPr>
        <w:pStyle w:val="Bullet-list"/>
        <w:spacing w:after="0" w:line="240" w:lineRule="auto"/>
        <w:ind w:left="0" w:firstLine="0"/>
        <w:jc w:val="both"/>
        <w:rPr>
          <w:rFonts w:ascii="Times New Roman" w:hAnsi="Times New Roman"/>
          <w:sz w:val="24"/>
          <w:szCs w:val="24"/>
          <w:lang w:val="en-NZ"/>
        </w:rPr>
      </w:pPr>
    </w:p>
    <w:p w:rsidR="00261CEF" w:rsidRDefault="00261CEF" w:rsidP="007946CC">
      <w:pPr>
        <w:pStyle w:val="Bullet-list"/>
        <w:spacing w:after="0" w:line="240" w:lineRule="auto"/>
        <w:ind w:left="567" w:hanging="567"/>
        <w:jc w:val="both"/>
        <w:rPr>
          <w:rFonts w:ascii="Times New Roman" w:hAnsi="Times New Roman"/>
          <w:sz w:val="24"/>
          <w:szCs w:val="24"/>
          <w:lang w:val="en-NZ"/>
        </w:rPr>
      </w:pPr>
      <w:r>
        <w:rPr>
          <w:rFonts w:ascii="Times New Roman" w:hAnsi="Times New Roman"/>
          <w:sz w:val="24"/>
          <w:szCs w:val="24"/>
          <w:lang w:val="en-NZ"/>
        </w:rPr>
        <w:fldChar w:fldCharType="begin"/>
      </w:r>
      <w:r>
        <w:rPr>
          <w:rFonts w:ascii="Times New Roman" w:hAnsi="Times New Roman"/>
          <w:sz w:val="24"/>
          <w:szCs w:val="24"/>
          <w:lang w:val="en-NZ"/>
        </w:rPr>
        <w:instrText xml:space="preserve"> AUTONUM  \* Arabic  </w:instrText>
      </w:r>
      <w:r>
        <w:rPr>
          <w:rFonts w:ascii="Times New Roman" w:hAnsi="Times New Roman"/>
          <w:sz w:val="24"/>
          <w:szCs w:val="24"/>
          <w:lang w:val="en-NZ"/>
        </w:rPr>
        <w:fldChar w:fldCharType="end"/>
      </w:r>
      <w:r>
        <w:rPr>
          <w:rFonts w:ascii="Times New Roman" w:hAnsi="Times New Roman"/>
          <w:sz w:val="24"/>
          <w:szCs w:val="24"/>
          <w:lang w:val="en-NZ"/>
        </w:rPr>
        <w:tab/>
        <w:t xml:space="preserve">This </w:t>
      </w:r>
      <w:r w:rsidR="000B3456">
        <w:rPr>
          <w:rFonts w:ascii="Times New Roman" w:hAnsi="Times New Roman"/>
          <w:sz w:val="24"/>
          <w:szCs w:val="24"/>
          <w:lang w:val="en-NZ"/>
        </w:rPr>
        <w:t>RIS</w:t>
      </w:r>
      <w:r>
        <w:rPr>
          <w:rFonts w:ascii="Times New Roman" w:hAnsi="Times New Roman"/>
          <w:sz w:val="24"/>
          <w:szCs w:val="24"/>
          <w:lang w:val="en-NZ"/>
        </w:rPr>
        <w:t xml:space="preserve"> pertains solely to the </w:t>
      </w:r>
      <w:r w:rsidR="002D6C66">
        <w:rPr>
          <w:rFonts w:ascii="Times New Roman" w:hAnsi="Times New Roman"/>
          <w:sz w:val="24"/>
          <w:szCs w:val="24"/>
          <w:lang w:val="en-NZ"/>
        </w:rPr>
        <w:t xml:space="preserve">above </w:t>
      </w:r>
      <w:r>
        <w:rPr>
          <w:rFonts w:ascii="Times New Roman" w:hAnsi="Times New Roman"/>
          <w:sz w:val="24"/>
          <w:szCs w:val="24"/>
          <w:lang w:val="en-NZ"/>
        </w:rPr>
        <w:t>requirement to enact legislation.  It contains only passing reference</w:t>
      </w:r>
      <w:r w:rsidR="000B3456">
        <w:rPr>
          <w:rFonts w:ascii="Times New Roman" w:hAnsi="Times New Roman"/>
          <w:sz w:val="24"/>
          <w:szCs w:val="24"/>
          <w:lang w:val="en-NZ"/>
        </w:rPr>
        <w:t>s</w:t>
      </w:r>
      <w:r>
        <w:rPr>
          <w:rFonts w:ascii="Times New Roman" w:hAnsi="Times New Roman"/>
          <w:sz w:val="24"/>
          <w:szCs w:val="24"/>
          <w:lang w:val="en-NZ"/>
        </w:rPr>
        <w:t xml:space="preserve"> to certain necessary associated processes (for example, the publishing of </w:t>
      </w:r>
      <w:r w:rsidR="000B3456">
        <w:rPr>
          <w:rFonts w:ascii="Times New Roman" w:hAnsi="Times New Roman"/>
          <w:sz w:val="24"/>
          <w:szCs w:val="24"/>
          <w:lang w:val="en-NZ"/>
        </w:rPr>
        <w:t xml:space="preserve">New Zealand-specific lists of exchange partners and </w:t>
      </w:r>
      <w:r>
        <w:rPr>
          <w:rFonts w:ascii="Times New Roman" w:hAnsi="Times New Roman"/>
          <w:sz w:val="24"/>
          <w:szCs w:val="24"/>
          <w:lang w:val="en-NZ"/>
        </w:rPr>
        <w:t>excluded entities/accounts) and legal mechanisms for exchange.</w:t>
      </w:r>
    </w:p>
    <w:p w:rsidR="00261CEF" w:rsidRDefault="00261CEF" w:rsidP="007946CC">
      <w:pPr>
        <w:pStyle w:val="Bullet-list"/>
        <w:spacing w:after="0" w:line="240" w:lineRule="auto"/>
        <w:ind w:left="567" w:hanging="567"/>
        <w:jc w:val="both"/>
        <w:rPr>
          <w:rFonts w:ascii="Times New Roman" w:hAnsi="Times New Roman"/>
          <w:sz w:val="24"/>
          <w:szCs w:val="24"/>
          <w:lang w:val="en-NZ"/>
        </w:rPr>
      </w:pPr>
    </w:p>
    <w:p w:rsidR="00794DF3" w:rsidRDefault="00794DF3" w:rsidP="007946CC">
      <w:pPr>
        <w:pStyle w:val="Bullet-list"/>
        <w:tabs>
          <w:tab w:val="num" w:pos="567"/>
        </w:tabs>
        <w:spacing w:after="0" w:line="240" w:lineRule="auto"/>
        <w:ind w:left="567" w:hanging="567"/>
        <w:jc w:val="both"/>
        <w:rPr>
          <w:rFonts w:ascii="Times New Roman" w:hAnsi="Times New Roman"/>
          <w:sz w:val="24"/>
          <w:szCs w:val="24"/>
          <w:lang w:val="en-NZ"/>
        </w:rPr>
      </w:pPr>
      <w:r>
        <w:rPr>
          <w:rFonts w:ascii="Times New Roman" w:hAnsi="Times New Roman"/>
          <w:sz w:val="24"/>
          <w:szCs w:val="24"/>
          <w:lang w:val="en-NZ"/>
        </w:rPr>
        <w:fldChar w:fldCharType="begin"/>
      </w:r>
      <w:r>
        <w:rPr>
          <w:rFonts w:ascii="Times New Roman" w:hAnsi="Times New Roman"/>
          <w:sz w:val="24"/>
          <w:szCs w:val="24"/>
          <w:lang w:val="en-NZ"/>
        </w:rPr>
        <w:instrText xml:space="preserve"> AUTONUM  \* Arabic  </w:instrText>
      </w:r>
      <w:r>
        <w:rPr>
          <w:rFonts w:ascii="Times New Roman" w:hAnsi="Times New Roman"/>
          <w:sz w:val="24"/>
          <w:szCs w:val="24"/>
          <w:lang w:val="en-NZ"/>
        </w:rPr>
        <w:fldChar w:fldCharType="end"/>
      </w:r>
      <w:r>
        <w:rPr>
          <w:rFonts w:ascii="Times New Roman" w:hAnsi="Times New Roman"/>
          <w:sz w:val="24"/>
          <w:szCs w:val="24"/>
          <w:lang w:val="en-NZ"/>
        </w:rPr>
        <w:tab/>
      </w:r>
      <w:r w:rsidRPr="00A44007">
        <w:rPr>
          <w:rFonts w:ascii="Times New Roman" w:hAnsi="Times New Roman"/>
          <w:sz w:val="24"/>
          <w:szCs w:val="24"/>
          <w:lang w:val="en-NZ"/>
        </w:rPr>
        <w:t>The AEOI initiative will only be successful if jurisdictions implement AEOI on the same timeline</w:t>
      </w:r>
      <w:r>
        <w:rPr>
          <w:rFonts w:ascii="Times New Roman" w:hAnsi="Times New Roman"/>
          <w:sz w:val="24"/>
          <w:szCs w:val="24"/>
          <w:lang w:val="en-NZ"/>
        </w:rPr>
        <w:t xml:space="preserve"> and with consistent rules</w:t>
      </w:r>
      <w:r w:rsidRPr="00A44007">
        <w:rPr>
          <w:rFonts w:ascii="Times New Roman" w:hAnsi="Times New Roman"/>
          <w:sz w:val="24"/>
          <w:szCs w:val="24"/>
          <w:lang w:val="en-NZ"/>
        </w:rPr>
        <w:t xml:space="preserve">.  If </w:t>
      </w:r>
      <w:r>
        <w:rPr>
          <w:rFonts w:ascii="Times New Roman" w:hAnsi="Times New Roman"/>
          <w:sz w:val="24"/>
          <w:szCs w:val="24"/>
          <w:lang w:val="en-NZ"/>
        </w:rPr>
        <w:t>some</w:t>
      </w:r>
      <w:r w:rsidRPr="00A44007">
        <w:rPr>
          <w:rFonts w:ascii="Times New Roman" w:hAnsi="Times New Roman"/>
          <w:sz w:val="24"/>
          <w:szCs w:val="24"/>
          <w:lang w:val="en-NZ"/>
        </w:rPr>
        <w:t xml:space="preserve"> jurisdiction</w:t>
      </w:r>
      <w:r>
        <w:rPr>
          <w:rFonts w:ascii="Times New Roman" w:hAnsi="Times New Roman"/>
          <w:sz w:val="24"/>
          <w:szCs w:val="24"/>
          <w:lang w:val="en-NZ"/>
        </w:rPr>
        <w:t>s</w:t>
      </w:r>
      <w:r w:rsidRPr="00A44007">
        <w:rPr>
          <w:rFonts w:ascii="Times New Roman" w:hAnsi="Times New Roman"/>
          <w:sz w:val="24"/>
          <w:szCs w:val="24"/>
          <w:lang w:val="en-NZ"/>
        </w:rPr>
        <w:t xml:space="preserve"> lag behind</w:t>
      </w:r>
      <w:r>
        <w:rPr>
          <w:rFonts w:ascii="Times New Roman" w:hAnsi="Times New Roman"/>
          <w:sz w:val="24"/>
          <w:szCs w:val="24"/>
          <w:lang w:val="en-NZ"/>
        </w:rPr>
        <w:t xml:space="preserve"> or implement </w:t>
      </w:r>
      <w:r w:rsidR="00261CEF">
        <w:rPr>
          <w:rFonts w:ascii="Times New Roman" w:hAnsi="Times New Roman"/>
          <w:sz w:val="24"/>
          <w:szCs w:val="24"/>
          <w:lang w:val="en-NZ"/>
        </w:rPr>
        <w:t xml:space="preserve">to </w:t>
      </w:r>
      <w:r>
        <w:rPr>
          <w:rFonts w:ascii="Times New Roman" w:hAnsi="Times New Roman"/>
          <w:sz w:val="24"/>
          <w:szCs w:val="24"/>
          <w:lang w:val="en-NZ"/>
        </w:rPr>
        <w:t>a lesser standard</w:t>
      </w:r>
      <w:r w:rsidRPr="00A44007">
        <w:rPr>
          <w:rFonts w:ascii="Times New Roman" w:hAnsi="Times New Roman"/>
          <w:sz w:val="24"/>
          <w:szCs w:val="24"/>
          <w:lang w:val="en-NZ"/>
        </w:rPr>
        <w:t>, the off</w:t>
      </w:r>
      <w:r>
        <w:rPr>
          <w:rFonts w:ascii="Times New Roman" w:hAnsi="Times New Roman"/>
          <w:sz w:val="24"/>
          <w:szCs w:val="24"/>
          <w:lang w:val="en-NZ"/>
        </w:rPr>
        <w:t>-</w:t>
      </w:r>
      <w:r w:rsidRPr="00A44007">
        <w:rPr>
          <w:rFonts w:ascii="Times New Roman" w:hAnsi="Times New Roman"/>
          <w:sz w:val="24"/>
          <w:szCs w:val="24"/>
          <w:lang w:val="en-NZ"/>
        </w:rPr>
        <w:t xml:space="preserve">shore tax evasion problem is likely to simply </w:t>
      </w:r>
      <w:r>
        <w:rPr>
          <w:rFonts w:ascii="Times New Roman" w:hAnsi="Times New Roman"/>
          <w:sz w:val="24"/>
          <w:szCs w:val="24"/>
          <w:lang w:val="en-NZ"/>
        </w:rPr>
        <w:t>relocate to those jurisdictions.</w:t>
      </w:r>
    </w:p>
    <w:p w:rsidR="00794DF3" w:rsidRDefault="00794DF3" w:rsidP="007946CC">
      <w:pPr>
        <w:pStyle w:val="Numberparagraph"/>
        <w:numPr>
          <w:ilvl w:val="0"/>
          <w:numId w:val="0"/>
        </w:numPr>
        <w:ind w:left="567" w:hanging="567"/>
      </w:pPr>
    </w:p>
    <w:p w:rsidR="00794DF3" w:rsidRDefault="00794DF3" w:rsidP="007946CC">
      <w:pPr>
        <w:pStyle w:val="Numberparagraph"/>
        <w:numPr>
          <w:ilvl w:val="0"/>
          <w:numId w:val="0"/>
        </w:numPr>
        <w:ind w:left="567" w:hanging="567"/>
      </w:pPr>
      <w:r>
        <w:fldChar w:fldCharType="begin"/>
      </w:r>
      <w:r>
        <w:instrText xml:space="preserve"> AUTONUM  \* Arabic  </w:instrText>
      </w:r>
      <w:r>
        <w:fldChar w:fldCharType="end"/>
      </w:r>
      <w:r>
        <w:tab/>
        <w:t>Accordingly,</w:t>
      </w:r>
      <w:r w:rsidRPr="00A44007">
        <w:t xml:space="preserve"> the G20 has </w:t>
      </w:r>
      <w:r>
        <w:t xml:space="preserve">taken a strong stance on ensuring that jurisdictions implement AEOI on a consistent and timely basis.  Similar to the global standard for Anti-Money Laundering/Countering </w:t>
      </w:r>
      <w:r w:rsidR="00CE5455">
        <w:t xml:space="preserve">the Financing of </w:t>
      </w:r>
      <w:r>
        <w:t>Terroris</w:t>
      </w:r>
      <w:r w:rsidR="00CE5455">
        <w:t>m</w:t>
      </w:r>
      <w:r>
        <w:t xml:space="preserve"> (AML/CFT), the AEOI standard constitutes ‘soft law’ (that is, </w:t>
      </w:r>
      <w:r w:rsidR="000B3456">
        <w:t xml:space="preserve">international </w:t>
      </w:r>
      <w:r>
        <w:t xml:space="preserve">recommendations that are </w:t>
      </w:r>
      <w:r w:rsidR="000B3456">
        <w:t>effectively mandatory, rather than</w:t>
      </w:r>
      <w:r>
        <w:t xml:space="preserve"> just ‘best practice’).</w:t>
      </w:r>
    </w:p>
    <w:p w:rsidR="00794DF3" w:rsidRDefault="00794DF3" w:rsidP="007946CC">
      <w:pPr>
        <w:pStyle w:val="Numberparagraph"/>
        <w:numPr>
          <w:ilvl w:val="0"/>
          <w:numId w:val="0"/>
        </w:numPr>
        <w:ind w:left="567" w:hanging="567"/>
      </w:pPr>
    </w:p>
    <w:p w:rsidR="00794DF3" w:rsidRDefault="00794DF3" w:rsidP="007946CC">
      <w:pPr>
        <w:pStyle w:val="Numberparagraph"/>
        <w:numPr>
          <w:ilvl w:val="0"/>
          <w:numId w:val="0"/>
        </w:numPr>
        <w:ind w:left="567" w:hanging="567"/>
      </w:pPr>
      <w:r>
        <w:fldChar w:fldCharType="begin"/>
      </w:r>
      <w:r>
        <w:instrText xml:space="preserve"> AUTONUM  \* Arabic  </w:instrText>
      </w:r>
      <w:r>
        <w:fldChar w:fldCharType="end"/>
      </w:r>
      <w:r>
        <w:tab/>
        <w:t xml:space="preserve">As regards consistency, the </w:t>
      </w:r>
      <w:r w:rsidRPr="00BA417E">
        <w:rPr>
          <w:i/>
        </w:rPr>
        <w:t xml:space="preserve">Global Forum on Transparency and Exchange of Information for Tax Purposes </w:t>
      </w:r>
      <w:r>
        <w:t xml:space="preserve">(the Global Forum) has been tasked </w:t>
      </w:r>
      <w:r w:rsidR="000B3456">
        <w:t xml:space="preserve">by the G20 </w:t>
      </w:r>
      <w:r>
        <w:t>with conducting peer reviews and on-going monitoring to ensure that jurisdictions implement the standard as it is set out in the OECD documentation.</w:t>
      </w:r>
    </w:p>
    <w:p w:rsidR="00794DF3" w:rsidRDefault="00794DF3" w:rsidP="007946CC">
      <w:pPr>
        <w:pStyle w:val="Numberparagraph"/>
        <w:numPr>
          <w:ilvl w:val="0"/>
          <w:numId w:val="0"/>
        </w:numPr>
        <w:ind w:left="567" w:hanging="567"/>
      </w:pPr>
    </w:p>
    <w:p w:rsidR="00794DF3" w:rsidRDefault="00794DF3" w:rsidP="007946CC">
      <w:pPr>
        <w:pStyle w:val="Numberparagraph"/>
        <w:numPr>
          <w:ilvl w:val="0"/>
          <w:numId w:val="0"/>
        </w:numPr>
        <w:ind w:left="567" w:hanging="567"/>
      </w:pPr>
      <w:r>
        <w:fldChar w:fldCharType="begin"/>
      </w:r>
      <w:r>
        <w:instrText xml:space="preserve"> AUTONUM  \* Arabic  </w:instrText>
      </w:r>
      <w:r>
        <w:fldChar w:fldCharType="end"/>
      </w:r>
      <w:r>
        <w:tab/>
        <w:t xml:space="preserve">As regards timing, the G20 and OECD </w:t>
      </w:r>
      <w:r w:rsidR="00B17172">
        <w:t>have identified a target group of 101</w:t>
      </w:r>
      <w:r>
        <w:t xml:space="preserve"> countries </w:t>
      </w:r>
      <w:r w:rsidR="00B17172">
        <w:t>that must</w:t>
      </w:r>
      <w:r>
        <w:t xml:space="preserve"> implement AEOI on a timeline that will enable first exchanges to be completed by 30 September 2018.  </w:t>
      </w:r>
      <w:r w:rsidR="00B17172">
        <w:t>The target group includes a</w:t>
      </w:r>
      <w:r>
        <w:t xml:space="preserve">ll </w:t>
      </w:r>
      <w:r w:rsidR="00B17172">
        <w:t xml:space="preserve">G20 and OECD member countries, and any other </w:t>
      </w:r>
      <w:r>
        <w:t>jurisdictions that have been identified as having or operating as an international finance centre are expected to implement AEOI on a similar timeline.</w:t>
      </w:r>
      <w:r w:rsidR="00B17172">
        <w:t xml:space="preserve">  As an OECD member country, New Zealand is included in the target group.</w:t>
      </w:r>
    </w:p>
    <w:p w:rsidR="00B52F7E" w:rsidRDefault="00B52F7E" w:rsidP="007946CC">
      <w:pPr>
        <w:pStyle w:val="Numberparagraph"/>
        <w:numPr>
          <w:ilvl w:val="0"/>
          <w:numId w:val="0"/>
        </w:numPr>
        <w:ind w:left="567" w:hanging="567"/>
      </w:pPr>
    </w:p>
    <w:p w:rsidR="00B52F7E" w:rsidRDefault="00B52F7E" w:rsidP="007946CC">
      <w:pPr>
        <w:pStyle w:val="Numberparagraph"/>
        <w:numPr>
          <w:ilvl w:val="0"/>
          <w:numId w:val="0"/>
        </w:numPr>
        <w:ind w:left="567" w:hanging="567"/>
      </w:pPr>
      <w:r>
        <w:fldChar w:fldCharType="begin"/>
      </w:r>
      <w:r>
        <w:instrText xml:space="preserve"> AUTONUM  \* Arabic  </w:instrText>
      </w:r>
      <w:r>
        <w:fldChar w:fldCharType="end"/>
      </w:r>
      <w:r>
        <w:tab/>
        <w:t xml:space="preserve">To clarify, 1 July 2017 will be the start date from which </w:t>
      </w:r>
      <w:r w:rsidR="00B17172">
        <w:t xml:space="preserve">New Zealand </w:t>
      </w:r>
      <w:r>
        <w:t xml:space="preserve">financial institutions </w:t>
      </w:r>
      <w:r w:rsidR="00B17172">
        <w:t xml:space="preserve">are to </w:t>
      </w:r>
      <w:r>
        <w:t>begin collecting information for subsequent reporting to Inland Revenue.  Inland Revenue must then exchange that information with tax treaty partners by 30 September 2018.</w:t>
      </w:r>
    </w:p>
    <w:p w:rsidR="00794DF3" w:rsidRDefault="00794DF3" w:rsidP="007946CC">
      <w:pPr>
        <w:pStyle w:val="Numberparagraph"/>
        <w:numPr>
          <w:ilvl w:val="0"/>
          <w:numId w:val="0"/>
        </w:numPr>
        <w:ind w:left="567" w:hanging="567"/>
      </w:pPr>
    </w:p>
    <w:p w:rsidR="00794DF3" w:rsidRDefault="00794DF3" w:rsidP="007946CC">
      <w:pPr>
        <w:pStyle w:val="Numberparagraph"/>
        <w:numPr>
          <w:ilvl w:val="0"/>
          <w:numId w:val="0"/>
        </w:numPr>
        <w:ind w:left="567" w:hanging="567"/>
      </w:pPr>
      <w:r>
        <w:fldChar w:fldCharType="begin"/>
      </w:r>
      <w:r>
        <w:instrText xml:space="preserve"> AUTONUM  \* Arabic  </w:instrText>
      </w:r>
      <w:r>
        <w:fldChar w:fldCharType="end"/>
      </w:r>
      <w:r>
        <w:tab/>
      </w:r>
      <w:r w:rsidR="00163D03">
        <w:t xml:space="preserve">All </w:t>
      </w:r>
      <w:r w:rsidR="000B3456">
        <w:t>101</w:t>
      </w:r>
      <w:r>
        <w:t xml:space="preserve"> jurisdictions in the above target group have committed to implement AEOI according to the G20 requirements.  </w:t>
      </w:r>
      <w:r w:rsidRPr="005B1DFE">
        <w:t xml:space="preserve">A small number of these, referred to as ‘early adopters’, </w:t>
      </w:r>
      <w:r>
        <w:t>have committed</w:t>
      </w:r>
      <w:r w:rsidRPr="005B1DFE">
        <w:t xml:space="preserve"> to complete their first exchanges </w:t>
      </w:r>
      <w:r>
        <w:t>a year earlier than the September 2018 deadline</w:t>
      </w:r>
      <w:r w:rsidR="000B3456">
        <w:t>.</w:t>
      </w:r>
    </w:p>
    <w:p w:rsidR="00794DF3" w:rsidRDefault="00794DF3" w:rsidP="007946CC">
      <w:pPr>
        <w:pStyle w:val="Numberparagraph"/>
        <w:numPr>
          <w:ilvl w:val="0"/>
          <w:numId w:val="0"/>
        </w:numPr>
        <w:ind w:left="567" w:hanging="567"/>
      </w:pPr>
    </w:p>
    <w:p w:rsidR="00794DF3" w:rsidRDefault="00794DF3" w:rsidP="007946CC">
      <w:pPr>
        <w:pStyle w:val="Numberparagraph"/>
        <w:numPr>
          <w:ilvl w:val="0"/>
          <w:numId w:val="0"/>
        </w:numPr>
        <w:ind w:left="567" w:hanging="567"/>
      </w:pPr>
      <w:r>
        <w:fldChar w:fldCharType="begin"/>
      </w:r>
      <w:r>
        <w:instrText xml:space="preserve"> AUTONUM  \* Arabic  </w:instrText>
      </w:r>
      <w:r>
        <w:fldChar w:fldCharType="end"/>
      </w:r>
      <w:r>
        <w:tab/>
        <w:t xml:space="preserve">Jurisdictions outside of </w:t>
      </w:r>
      <w:r w:rsidRPr="00B17172">
        <w:t>the target group</w:t>
      </w:r>
      <w:r>
        <w:t xml:space="preserve"> do not face implementation deadlines as they are not considered to pose a significant risk in the context of off-shore tax evasion</w:t>
      </w:r>
      <w:r w:rsidRPr="00534AE7">
        <w:t>.</w:t>
      </w:r>
      <w:r w:rsidRPr="00534AE7">
        <w:rPr>
          <w:rStyle w:val="FootnoteReference"/>
          <w:rFonts w:ascii="Times New Roman" w:hAnsi="Times New Roman"/>
        </w:rPr>
        <w:footnoteReference w:id="4"/>
      </w:r>
    </w:p>
    <w:p w:rsidR="00534AE7" w:rsidRDefault="00534AE7" w:rsidP="007946CC">
      <w:pPr>
        <w:pStyle w:val="Numberparagraph"/>
        <w:numPr>
          <w:ilvl w:val="0"/>
          <w:numId w:val="0"/>
        </w:numPr>
        <w:ind w:left="567" w:hanging="567"/>
      </w:pPr>
    </w:p>
    <w:p w:rsidR="00171172" w:rsidRPr="00F65FFA" w:rsidRDefault="00171172" w:rsidP="007946CC">
      <w:pPr>
        <w:spacing w:after="0" w:line="240" w:lineRule="auto"/>
        <w:ind w:left="567" w:hanging="567"/>
        <w:rPr>
          <w:lang w:val="en-NZ" w:eastAsia="en-US"/>
        </w:rPr>
      </w:pPr>
      <w:r w:rsidRPr="00F65FFA">
        <w:rPr>
          <w:rFonts w:ascii="Times New Roman" w:hAnsi="Times New Roman"/>
          <w:b/>
          <w:sz w:val="24"/>
          <w:szCs w:val="24"/>
          <w:lang w:val="en-NZ" w:eastAsia="en-US"/>
        </w:rPr>
        <w:t>Domestic considerations</w:t>
      </w:r>
    </w:p>
    <w:p w:rsidR="00534AE7" w:rsidRDefault="00534AE7" w:rsidP="007946CC">
      <w:pPr>
        <w:pStyle w:val="Numberparagraph"/>
        <w:numPr>
          <w:ilvl w:val="0"/>
          <w:numId w:val="0"/>
        </w:numPr>
        <w:ind w:left="567" w:hanging="567"/>
      </w:pPr>
    </w:p>
    <w:p w:rsidR="00794DF3" w:rsidRDefault="00794DF3" w:rsidP="007946CC">
      <w:pPr>
        <w:pStyle w:val="Numberparagraph"/>
        <w:numPr>
          <w:ilvl w:val="0"/>
          <w:numId w:val="0"/>
        </w:numPr>
        <w:ind w:left="567" w:hanging="567"/>
      </w:pPr>
      <w:r>
        <w:fldChar w:fldCharType="begin"/>
      </w:r>
      <w:r>
        <w:instrText xml:space="preserve"> AUTONUM  \* Arabic  </w:instrText>
      </w:r>
      <w:r>
        <w:fldChar w:fldCharType="end"/>
      </w:r>
      <w:r>
        <w:tab/>
        <w:t>The principal benefit for New Zealand in implementing AEOI lies in the information we will receive reciprocally from our treaty partners.  This information will be available to Inland Revenue to verify that its tax residents are correctly reporting off</w:t>
      </w:r>
      <w:r w:rsidR="00EE42D0">
        <w:t>-</w:t>
      </w:r>
      <w:r>
        <w:t xml:space="preserve">shore financial assets and/or income.  </w:t>
      </w:r>
    </w:p>
    <w:p w:rsidR="00794DF3" w:rsidRDefault="00794DF3" w:rsidP="00794DF3">
      <w:pPr>
        <w:pStyle w:val="Numberparagraph"/>
        <w:numPr>
          <w:ilvl w:val="0"/>
          <w:numId w:val="0"/>
        </w:numPr>
      </w:pPr>
    </w:p>
    <w:p w:rsidR="00794DF3" w:rsidRDefault="00794DF3" w:rsidP="007946CC">
      <w:pPr>
        <w:pStyle w:val="Numberparagraph"/>
        <w:numPr>
          <w:ilvl w:val="0"/>
          <w:numId w:val="0"/>
        </w:numPr>
        <w:ind w:left="567" w:hanging="567"/>
      </w:pPr>
      <w:r>
        <w:fldChar w:fldCharType="begin"/>
      </w:r>
      <w:r>
        <w:instrText xml:space="preserve"> AUTONUM  \* Arabic  </w:instrText>
      </w:r>
      <w:r>
        <w:fldChar w:fldCharType="end"/>
      </w:r>
      <w:r>
        <w:tab/>
      </w:r>
      <w:r w:rsidRPr="00794DF3">
        <w:t>To the extent that this facilitates a reduction in tax evasion (either through evasion actually detected, or more generally by deterring such activity), New Zealand will derive fiscal benefits.</w:t>
      </w:r>
      <w:r>
        <w:t xml:space="preserve">  AEOI can generally also be expected to enhance voluntary </w:t>
      </w:r>
      <w:r w:rsidR="00084AC0">
        <w:t xml:space="preserve">tax </w:t>
      </w:r>
      <w:r>
        <w:t>compliance, through improved taxpayer perceptions that everyone is paying their fair share of tax.</w:t>
      </w:r>
    </w:p>
    <w:p w:rsidR="00794DF3" w:rsidRDefault="00794DF3" w:rsidP="007946CC">
      <w:pPr>
        <w:pStyle w:val="Numberparagraph"/>
        <w:numPr>
          <w:ilvl w:val="0"/>
          <w:numId w:val="0"/>
        </w:numPr>
        <w:ind w:left="567" w:hanging="567"/>
      </w:pPr>
    </w:p>
    <w:p w:rsidR="00794DF3" w:rsidRDefault="00794DF3" w:rsidP="007946CC">
      <w:pPr>
        <w:pStyle w:val="Numberparagraph"/>
        <w:numPr>
          <w:ilvl w:val="0"/>
          <w:numId w:val="0"/>
        </w:numPr>
        <w:ind w:left="567" w:hanging="567"/>
      </w:pPr>
      <w:r>
        <w:fldChar w:fldCharType="begin"/>
      </w:r>
      <w:r>
        <w:instrText xml:space="preserve"> AUTONUM  \* Arabic  </w:instrText>
      </w:r>
      <w:r>
        <w:fldChar w:fldCharType="end"/>
      </w:r>
      <w:r>
        <w:tab/>
        <w:t xml:space="preserve">New Zealand has been a strong supporter of all international initiatives to improve transparency and </w:t>
      </w:r>
      <w:r w:rsidR="000B3456">
        <w:t xml:space="preserve">international cooperation in </w:t>
      </w:r>
      <w:r>
        <w:t>tax</w:t>
      </w:r>
      <w:r w:rsidR="000B3456">
        <w:t xml:space="preserve"> matters</w:t>
      </w:r>
      <w:r>
        <w:t>.  There will be reputational benefits for New Zealand from being seen to be compliant with international standards.</w:t>
      </w:r>
    </w:p>
    <w:p w:rsidR="00794DF3" w:rsidRDefault="00794DF3" w:rsidP="007946CC">
      <w:pPr>
        <w:pStyle w:val="Bullet-list"/>
        <w:spacing w:after="0" w:line="240" w:lineRule="auto"/>
        <w:ind w:left="567" w:hanging="567"/>
        <w:jc w:val="both"/>
        <w:rPr>
          <w:rFonts w:ascii="Times New Roman" w:hAnsi="Times New Roman"/>
          <w:sz w:val="24"/>
          <w:szCs w:val="24"/>
        </w:rPr>
      </w:pPr>
    </w:p>
    <w:p w:rsidR="0008167F" w:rsidRDefault="0008167F" w:rsidP="007946CC">
      <w:pPr>
        <w:pStyle w:val="Bullet-list"/>
        <w:spacing w:after="0" w:line="240" w:lineRule="auto"/>
        <w:ind w:left="567" w:hanging="567"/>
        <w:jc w:val="both"/>
        <w:rPr>
          <w:rFonts w:ascii="Times New Roman" w:hAnsi="Times New Roman"/>
          <w:sz w:val="24"/>
          <w:szCs w:val="24"/>
          <w:lang w:val="en-NZ"/>
        </w:rPr>
      </w:pPr>
      <w:r>
        <w:rPr>
          <w:rFonts w:ascii="Times New Roman" w:hAnsi="Times New Roman"/>
          <w:sz w:val="24"/>
          <w:szCs w:val="24"/>
          <w:lang w:val="en-NZ"/>
        </w:rPr>
        <w:fldChar w:fldCharType="begin"/>
      </w:r>
      <w:r>
        <w:rPr>
          <w:rFonts w:ascii="Times New Roman" w:hAnsi="Times New Roman"/>
          <w:sz w:val="24"/>
          <w:szCs w:val="24"/>
          <w:lang w:val="en-NZ"/>
        </w:rPr>
        <w:instrText xml:space="preserve"> AUTONUM  \* Arabic  </w:instrText>
      </w:r>
      <w:r>
        <w:rPr>
          <w:rFonts w:ascii="Times New Roman" w:hAnsi="Times New Roman"/>
          <w:sz w:val="24"/>
          <w:szCs w:val="24"/>
          <w:lang w:val="en-NZ"/>
        </w:rPr>
        <w:fldChar w:fldCharType="end"/>
      </w:r>
      <w:r>
        <w:rPr>
          <w:rFonts w:ascii="Times New Roman" w:hAnsi="Times New Roman"/>
          <w:sz w:val="24"/>
          <w:szCs w:val="24"/>
          <w:lang w:val="en-NZ"/>
        </w:rPr>
        <w:tab/>
        <w:t xml:space="preserve">It is acknowledged that AEOI implementation will impose </w:t>
      </w:r>
      <w:r w:rsidR="000B3456">
        <w:rPr>
          <w:rFonts w:ascii="Times New Roman" w:hAnsi="Times New Roman"/>
          <w:sz w:val="24"/>
          <w:szCs w:val="24"/>
          <w:lang w:val="en-NZ"/>
        </w:rPr>
        <w:t xml:space="preserve">potentially </w:t>
      </w:r>
      <w:r>
        <w:rPr>
          <w:rFonts w:ascii="Times New Roman" w:hAnsi="Times New Roman"/>
          <w:sz w:val="24"/>
          <w:szCs w:val="24"/>
          <w:lang w:val="en-NZ"/>
        </w:rPr>
        <w:t>significant compliance costs on financial institutions</w:t>
      </w:r>
      <w:r w:rsidR="002D6C66">
        <w:rPr>
          <w:rFonts w:ascii="Times New Roman" w:hAnsi="Times New Roman"/>
          <w:sz w:val="24"/>
          <w:szCs w:val="24"/>
          <w:lang w:val="en-NZ"/>
        </w:rPr>
        <w:t xml:space="preserve"> and administrative costs for Inland Revenue</w:t>
      </w:r>
      <w:r>
        <w:rPr>
          <w:rFonts w:ascii="Times New Roman" w:hAnsi="Times New Roman"/>
          <w:sz w:val="24"/>
          <w:szCs w:val="24"/>
          <w:lang w:val="en-NZ"/>
        </w:rPr>
        <w:t xml:space="preserve">.  However, </w:t>
      </w:r>
      <w:r w:rsidR="00214433">
        <w:rPr>
          <w:rFonts w:ascii="Times New Roman" w:hAnsi="Times New Roman"/>
          <w:sz w:val="24"/>
          <w:szCs w:val="24"/>
          <w:lang w:val="en-NZ"/>
        </w:rPr>
        <w:t>failure to implement AEOI, or to implement AEOI to a lesser standard so as to reduce compliance costs and administrative costs would</w:t>
      </w:r>
      <w:r>
        <w:rPr>
          <w:rFonts w:ascii="Times New Roman" w:hAnsi="Times New Roman"/>
          <w:sz w:val="24"/>
          <w:szCs w:val="24"/>
          <w:lang w:val="en-NZ"/>
        </w:rPr>
        <w:t xml:space="preserve"> damage New Zealand’s international reputation.</w:t>
      </w:r>
    </w:p>
    <w:p w:rsidR="00534AE7" w:rsidRDefault="00534AE7" w:rsidP="007946CC">
      <w:pPr>
        <w:pStyle w:val="Bullet-list"/>
        <w:spacing w:after="0" w:line="240" w:lineRule="auto"/>
        <w:ind w:left="567" w:hanging="567"/>
        <w:jc w:val="both"/>
        <w:rPr>
          <w:rFonts w:ascii="Times New Roman" w:hAnsi="Times New Roman"/>
          <w:sz w:val="24"/>
          <w:szCs w:val="24"/>
          <w:lang w:val="en-NZ"/>
        </w:rPr>
      </w:pPr>
    </w:p>
    <w:p w:rsidR="00A54E12" w:rsidRPr="00F65FFA" w:rsidRDefault="00A54E12" w:rsidP="007946CC">
      <w:pPr>
        <w:spacing w:after="0" w:line="240" w:lineRule="auto"/>
        <w:ind w:left="567" w:hanging="567"/>
        <w:rPr>
          <w:lang w:val="en-NZ" w:eastAsia="en-US"/>
        </w:rPr>
      </w:pPr>
      <w:r w:rsidRPr="00F65FFA">
        <w:rPr>
          <w:rFonts w:ascii="Times New Roman" w:hAnsi="Times New Roman"/>
          <w:b/>
          <w:sz w:val="24"/>
          <w:szCs w:val="24"/>
          <w:lang w:val="en-NZ" w:eastAsia="en-US"/>
        </w:rPr>
        <w:t>The Common Reporting Standard (CRS)</w:t>
      </w:r>
    </w:p>
    <w:p w:rsidR="00534AE7" w:rsidRDefault="00534AE7" w:rsidP="007946CC">
      <w:pPr>
        <w:pStyle w:val="Bullet-list"/>
        <w:tabs>
          <w:tab w:val="num" w:pos="567"/>
        </w:tabs>
        <w:spacing w:after="0" w:line="240" w:lineRule="auto"/>
        <w:ind w:left="567" w:hanging="567"/>
        <w:jc w:val="both"/>
        <w:rPr>
          <w:rFonts w:ascii="Times New Roman" w:hAnsi="Times New Roman"/>
          <w:sz w:val="24"/>
          <w:szCs w:val="24"/>
          <w:lang w:val="en-NZ"/>
        </w:rPr>
      </w:pPr>
    </w:p>
    <w:p w:rsidR="00A54E12" w:rsidRDefault="00A54E12" w:rsidP="007946CC">
      <w:pPr>
        <w:pStyle w:val="Bullet-list"/>
        <w:tabs>
          <w:tab w:val="num" w:pos="567"/>
        </w:tabs>
        <w:spacing w:after="0" w:line="240" w:lineRule="auto"/>
        <w:ind w:left="567" w:hanging="567"/>
        <w:jc w:val="both"/>
        <w:rPr>
          <w:rFonts w:ascii="Times New Roman" w:hAnsi="Times New Roman"/>
          <w:sz w:val="24"/>
          <w:szCs w:val="24"/>
          <w:lang w:val="en-NZ"/>
        </w:rPr>
      </w:pPr>
      <w:r>
        <w:rPr>
          <w:rFonts w:ascii="Times New Roman" w:hAnsi="Times New Roman"/>
          <w:sz w:val="24"/>
          <w:szCs w:val="24"/>
          <w:lang w:val="en-NZ"/>
        </w:rPr>
        <w:fldChar w:fldCharType="begin"/>
      </w:r>
      <w:r>
        <w:rPr>
          <w:rFonts w:ascii="Times New Roman" w:hAnsi="Times New Roman"/>
          <w:sz w:val="24"/>
          <w:szCs w:val="24"/>
          <w:lang w:val="en-NZ"/>
        </w:rPr>
        <w:instrText xml:space="preserve"> AUTONUM  \* Arabic  </w:instrText>
      </w:r>
      <w:r>
        <w:rPr>
          <w:rFonts w:ascii="Times New Roman" w:hAnsi="Times New Roman"/>
          <w:sz w:val="24"/>
          <w:szCs w:val="24"/>
          <w:lang w:val="en-NZ"/>
        </w:rPr>
        <w:fldChar w:fldCharType="end"/>
      </w:r>
      <w:r>
        <w:rPr>
          <w:rFonts w:ascii="Times New Roman" w:hAnsi="Times New Roman"/>
          <w:sz w:val="24"/>
          <w:szCs w:val="24"/>
          <w:lang w:val="en-NZ"/>
        </w:rPr>
        <w:tab/>
        <w:t xml:space="preserve">New Zealand’s </w:t>
      </w:r>
      <w:r w:rsidR="00612AB9">
        <w:rPr>
          <w:rFonts w:ascii="Times New Roman" w:hAnsi="Times New Roman"/>
          <w:sz w:val="24"/>
          <w:szCs w:val="24"/>
          <w:lang w:val="en-NZ"/>
        </w:rPr>
        <w:t xml:space="preserve">enabling </w:t>
      </w:r>
      <w:r>
        <w:rPr>
          <w:rFonts w:ascii="Times New Roman" w:hAnsi="Times New Roman"/>
          <w:sz w:val="24"/>
          <w:szCs w:val="24"/>
          <w:lang w:val="en-NZ"/>
        </w:rPr>
        <w:t xml:space="preserve">legislation will largely involve imposing obligations on </w:t>
      </w:r>
      <w:r>
        <w:rPr>
          <w:rFonts w:ascii="Times New Roman" w:hAnsi="Times New Roman"/>
          <w:sz w:val="24"/>
          <w:szCs w:val="24"/>
        </w:rPr>
        <w:t>financial institutions</w:t>
      </w:r>
      <w:r w:rsidR="00D75EE3">
        <w:rPr>
          <w:rFonts w:ascii="Times New Roman" w:hAnsi="Times New Roman"/>
          <w:sz w:val="24"/>
          <w:szCs w:val="24"/>
        </w:rPr>
        <w:t>.</w:t>
      </w:r>
      <w:r w:rsidRPr="000D2215">
        <w:rPr>
          <w:rFonts w:ascii="Times New Roman" w:hAnsi="Times New Roman"/>
          <w:sz w:val="24"/>
          <w:szCs w:val="24"/>
          <w:lang w:val="en-NZ"/>
        </w:rPr>
        <w:t xml:space="preserve">  The</w:t>
      </w:r>
      <w:r>
        <w:rPr>
          <w:rFonts w:ascii="Times New Roman" w:hAnsi="Times New Roman"/>
          <w:sz w:val="24"/>
          <w:szCs w:val="24"/>
          <w:lang w:val="en-NZ"/>
        </w:rPr>
        <w:t>se</w:t>
      </w:r>
      <w:r w:rsidRPr="000D2215">
        <w:rPr>
          <w:rFonts w:ascii="Times New Roman" w:hAnsi="Times New Roman"/>
          <w:sz w:val="24"/>
          <w:szCs w:val="24"/>
          <w:lang w:val="en-NZ"/>
        </w:rPr>
        <w:t xml:space="preserve"> </w:t>
      </w:r>
      <w:r>
        <w:rPr>
          <w:rFonts w:ascii="Times New Roman" w:hAnsi="Times New Roman"/>
          <w:sz w:val="24"/>
          <w:szCs w:val="24"/>
          <w:lang w:val="en-NZ"/>
        </w:rPr>
        <w:t>obligations</w:t>
      </w:r>
      <w:r w:rsidRPr="000D2215">
        <w:rPr>
          <w:rFonts w:ascii="Times New Roman" w:hAnsi="Times New Roman"/>
          <w:sz w:val="24"/>
          <w:szCs w:val="24"/>
          <w:lang w:val="en-NZ"/>
        </w:rPr>
        <w:t xml:space="preserve"> are set out in </w:t>
      </w:r>
      <w:r>
        <w:rPr>
          <w:rFonts w:ascii="Times New Roman" w:hAnsi="Times New Roman"/>
          <w:sz w:val="24"/>
          <w:szCs w:val="24"/>
          <w:lang w:val="en-NZ"/>
        </w:rPr>
        <w:t xml:space="preserve">a key element of the AEOI standard referred to as </w:t>
      </w:r>
      <w:r w:rsidRPr="000D2215">
        <w:rPr>
          <w:rFonts w:ascii="Times New Roman" w:hAnsi="Times New Roman"/>
          <w:sz w:val="24"/>
          <w:szCs w:val="24"/>
          <w:lang w:val="en-NZ"/>
        </w:rPr>
        <w:t xml:space="preserve">the </w:t>
      </w:r>
      <w:r w:rsidRPr="002C3999">
        <w:rPr>
          <w:rFonts w:ascii="Times New Roman" w:hAnsi="Times New Roman"/>
          <w:i/>
          <w:sz w:val="24"/>
          <w:szCs w:val="24"/>
          <w:lang w:val="en-NZ"/>
        </w:rPr>
        <w:t>Common Reporting Standard</w:t>
      </w:r>
      <w:r w:rsidRPr="000D2215">
        <w:rPr>
          <w:rFonts w:ascii="Times New Roman" w:hAnsi="Times New Roman"/>
          <w:sz w:val="24"/>
          <w:szCs w:val="24"/>
          <w:lang w:val="en-NZ"/>
        </w:rPr>
        <w:t xml:space="preserve"> (CRS)</w:t>
      </w:r>
      <w:r>
        <w:rPr>
          <w:rFonts w:ascii="Times New Roman" w:hAnsi="Times New Roman"/>
          <w:sz w:val="24"/>
          <w:szCs w:val="24"/>
          <w:lang w:val="en-NZ"/>
        </w:rPr>
        <w:t>.</w:t>
      </w:r>
    </w:p>
    <w:p w:rsidR="00A54E12" w:rsidRDefault="00A54E12" w:rsidP="007946CC">
      <w:pPr>
        <w:pStyle w:val="Bullet-list"/>
        <w:tabs>
          <w:tab w:val="num" w:pos="567"/>
        </w:tabs>
        <w:spacing w:after="0" w:line="240" w:lineRule="auto"/>
        <w:ind w:left="567" w:hanging="567"/>
        <w:jc w:val="both"/>
        <w:rPr>
          <w:rFonts w:ascii="Times New Roman" w:hAnsi="Times New Roman"/>
          <w:sz w:val="24"/>
          <w:szCs w:val="24"/>
          <w:lang w:val="en-NZ"/>
        </w:rPr>
      </w:pPr>
    </w:p>
    <w:p w:rsidR="00C31F16" w:rsidRDefault="00C31F16" w:rsidP="007946CC">
      <w:pPr>
        <w:pStyle w:val="Bullet-list"/>
        <w:tabs>
          <w:tab w:val="num" w:pos="567"/>
        </w:tabs>
        <w:spacing w:after="0" w:line="240" w:lineRule="auto"/>
        <w:ind w:left="567" w:hanging="567"/>
        <w:jc w:val="both"/>
        <w:rPr>
          <w:rFonts w:ascii="Times New Roman" w:hAnsi="Times New Roman"/>
          <w:sz w:val="24"/>
          <w:szCs w:val="24"/>
          <w:lang w:val="en-NZ"/>
        </w:rPr>
      </w:pPr>
      <w:r>
        <w:rPr>
          <w:rFonts w:ascii="Times New Roman" w:hAnsi="Times New Roman"/>
          <w:sz w:val="24"/>
          <w:szCs w:val="24"/>
          <w:lang w:val="en-NZ"/>
        </w:rPr>
        <w:fldChar w:fldCharType="begin"/>
      </w:r>
      <w:r>
        <w:rPr>
          <w:rFonts w:ascii="Times New Roman" w:hAnsi="Times New Roman"/>
          <w:sz w:val="24"/>
          <w:szCs w:val="24"/>
          <w:lang w:val="en-NZ"/>
        </w:rPr>
        <w:instrText xml:space="preserve"> AUTONUM  \* Arabic  </w:instrText>
      </w:r>
      <w:r>
        <w:rPr>
          <w:rFonts w:ascii="Times New Roman" w:hAnsi="Times New Roman"/>
          <w:sz w:val="24"/>
          <w:szCs w:val="24"/>
          <w:lang w:val="en-NZ"/>
        </w:rPr>
        <w:fldChar w:fldCharType="end"/>
      </w:r>
      <w:r>
        <w:rPr>
          <w:rFonts w:ascii="Times New Roman" w:hAnsi="Times New Roman"/>
          <w:sz w:val="24"/>
          <w:szCs w:val="24"/>
          <w:lang w:val="en-NZ"/>
        </w:rPr>
        <w:tab/>
        <w:t>The rules set out in the CRS (</w:t>
      </w:r>
      <w:r w:rsidR="00A54E12">
        <w:rPr>
          <w:rFonts w:ascii="Times New Roman" w:hAnsi="Times New Roman"/>
          <w:sz w:val="24"/>
          <w:szCs w:val="24"/>
          <w:lang w:val="en-NZ"/>
        </w:rPr>
        <w:t xml:space="preserve">as </w:t>
      </w:r>
      <w:r>
        <w:rPr>
          <w:rFonts w:ascii="Times New Roman" w:hAnsi="Times New Roman"/>
          <w:sz w:val="24"/>
          <w:szCs w:val="24"/>
          <w:lang w:val="en-NZ"/>
        </w:rPr>
        <w:t xml:space="preserve">clarified </w:t>
      </w:r>
      <w:r w:rsidR="00A54E12">
        <w:rPr>
          <w:rFonts w:ascii="Times New Roman" w:hAnsi="Times New Roman"/>
          <w:sz w:val="24"/>
          <w:szCs w:val="24"/>
          <w:lang w:val="en-NZ"/>
        </w:rPr>
        <w:t xml:space="preserve">and supplemented </w:t>
      </w:r>
      <w:r>
        <w:rPr>
          <w:rFonts w:ascii="Times New Roman" w:hAnsi="Times New Roman"/>
          <w:sz w:val="24"/>
          <w:szCs w:val="24"/>
          <w:lang w:val="en-NZ"/>
        </w:rPr>
        <w:t xml:space="preserve">in </w:t>
      </w:r>
      <w:r w:rsidR="00A54E12">
        <w:rPr>
          <w:rFonts w:ascii="Times New Roman" w:hAnsi="Times New Roman"/>
          <w:sz w:val="24"/>
          <w:szCs w:val="24"/>
          <w:lang w:val="en-NZ"/>
        </w:rPr>
        <w:t>the</w:t>
      </w:r>
      <w:r>
        <w:rPr>
          <w:rFonts w:ascii="Times New Roman" w:hAnsi="Times New Roman"/>
          <w:sz w:val="24"/>
          <w:szCs w:val="24"/>
          <w:lang w:val="en-NZ"/>
        </w:rPr>
        <w:t xml:space="preserve"> accompanying OECD commentary) are complex.  </w:t>
      </w:r>
      <w:r w:rsidR="00260D29">
        <w:rPr>
          <w:rFonts w:ascii="Times New Roman" w:hAnsi="Times New Roman"/>
          <w:sz w:val="24"/>
          <w:szCs w:val="24"/>
          <w:lang w:val="en-NZ"/>
        </w:rPr>
        <w:t>In broad</w:t>
      </w:r>
      <w:r w:rsidR="006B7BB1">
        <w:rPr>
          <w:rFonts w:ascii="Times New Roman" w:hAnsi="Times New Roman"/>
          <w:sz w:val="24"/>
          <w:szCs w:val="24"/>
          <w:lang w:val="en-NZ"/>
        </w:rPr>
        <w:t xml:space="preserve"> terms</w:t>
      </w:r>
      <w:r w:rsidR="00260D29">
        <w:rPr>
          <w:rFonts w:ascii="Times New Roman" w:hAnsi="Times New Roman"/>
          <w:sz w:val="24"/>
          <w:szCs w:val="24"/>
          <w:lang w:val="en-NZ"/>
        </w:rPr>
        <w:t xml:space="preserve">, </w:t>
      </w:r>
      <w:r>
        <w:rPr>
          <w:rFonts w:ascii="Times New Roman" w:hAnsi="Times New Roman"/>
          <w:sz w:val="24"/>
          <w:szCs w:val="24"/>
          <w:lang w:val="en-NZ"/>
        </w:rPr>
        <w:t xml:space="preserve">incorporating the CRS into New Zealand domestic law </w:t>
      </w:r>
      <w:r w:rsidR="000B3456">
        <w:rPr>
          <w:rFonts w:ascii="Times New Roman" w:hAnsi="Times New Roman"/>
          <w:sz w:val="24"/>
          <w:szCs w:val="24"/>
          <w:lang w:val="en-NZ"/>
        </w:rPr>
        <w:t>will</w:t>
      </w:r>
      <w:r w:rsidR="006B7BB1">
        <w:rPr>
          <w:rFonts w:ascii="Times New Roman" w:hAnsi="Times New Roman"/>
          <w:sz w:val="24"/>
          <w:szCs w:val="24"/>
          <w:lang w:val="en-NZ"/>
        </w:rPr>
        <w:t xml:space="preserve"> </w:t>
      </w:r>
      <w:r w:rsidR="00260D29">
        <w:rPr>
          <w:rFonts w:ascii="Times New Roman" w:hAnsi="Times New Roman"/>
          <w:sz w:val="24"/>
          <w:szCs w:val="24"/>
          <w:lang w:val="en-NZ"/>
        </w:rPr>
        <w:t>involve imposing</w:t>
      </w:r>
      <w:r w:rsidR="00D75EE3">
        <w:rPr>
          <w:rFonts w:ascii="Times New Roman" w:hAnsi="Times New Roman"/>
          <w:sz w:val="24"/>
          <w:szCs w:val="24"/>
          <w:lang w:val="en-NZ"/>
        </w:rPr>
        <w:t xml:space="preserve"> </w:t>
      </w:r>
      <w:r w:rsidR="00D75EE3" w:rsidRPr="00D75EE3">
        <w:rPr>
          <w:rFonts w:ascii="Times New Roman" w:hAnsi="Times New Roman"/>
          <w:i/>
          <w:sz w:val="24"/>
          <w:szCs w:val="24"/>
          <w:lang w:val="en-NZ"/>
        </w:rPr>
        <w:t>due diligence</w:t>
      </w:r>
      <w:r w:rsidR="00D75EE3">
        <w:rPr>
          <w:rFonts w:ascii="Times New Roman" w:hAnsi="Times New Roman"/>
          <w:sz w:val="24"/>
          <w:szCs w:val="24"/>
          <w:lang w:val="en-NZ"/>
        </w:rPr>
        <w:t xml:space="preserve"> and </w:t>
      </w:r>
      <w:r w:rsidR="00D75EE3" w:rsidRPr="00D75EE3">
        <w:rPr>
          <w:rFonts w:ascii="Times New Roman" w:hAnsi="Times New Roman"/>
          <w:i/>
          <w:sz w:val="24"/>
          <w:szCs w:val="24"/>
          <w:lang w:val="en-NZ"/>
        </w:rPr>
        <w:t>reporting</w:t>
      </w:r>
      <w:r w:rsidR="00D75EE3">
        <w:rPr>
          <w:rFonts w:ascii="Times New Roman" w:hAnsi="Times New Roman"/>
          <w:sz w:val="24"/>
          <w:szCs w:val="24"/>
          <w:lang w:val="en-NZ"/>
        </w:rPr>
        <w:t xml:space="preserve"> </w:t>
      </w:r>
      <w:r>
        <w:rPr>
          <w:rFonts w:ascii="Times New Roman" w:hAnsi="Times New Roman"/>
          <w:sz w:val="24"/>
          <w:szCs w:val="24"/>
          <w:lang w:val="en-NZ"/>
        </w:rPr>
        <w:t xml:space="preserve">obligations on </w:t>
      </w:r>
      <w:r w:rsidRPr="000D2215">
        <w:rPr>
          <w:rFonts w:ascii="Times New Roman" w:hAnsi="Times New Roman"/>
          <w:sz w:val="24"/>
          <w:szCs w:val="24"/>
          <w:lang w:val="en-NZ"/>
        </w:rPr>
        <w:t xml:space="preserve">New Zealand </w:t>
      </w:r>
      <w:r>
        <w:rPr>
          <w:rFonts w:ascii="Times New Roman" w:hAnsi="Times New Roman"/>
          <w:sz w:val="24"/>
          <w:szCs w:val="24"/>
          <w:lang w:val="en-NZ"/>
        </w:rPr>
        <w:t>financial institutions</w:t>
      </w:r>
      <w:r w:rsidR="00D75EE3" w:rsidRPr="00D75EE3">
        <w:rPr>
          <w:rFonts w:ascii="Times New Roman" w:hAnsi="Times New Roman"/>
          <w:sz w:val="24"/>
          <w:szCs w:val="24"/>
          <w:lang w:val="en-NZ"/>
        </w:rPr>
        <w:t xml:space="preserve"> </w:t>
      </w:r>
      <w:r w:rsidR="00D75EE3">
        <w:rPr>
          <w:rFonts w:ascii="Times New Roman" w:hAnsi="Times New Roman"/>
          <w:sz w:val="24"/>
          <w:szCs w:val="24"/>
          <w:lang w:val="en-NZ"/>
        </w:rPr>
        <w:t xml:space="preserve">in respect of </w:t>
      </w:r>
      <w:r w:rsidR="00D75EE3" w:rsidRPr="000D2215">
        <w:rPr>
          <w:rFonts w:ascii="Times New Roman" w:hAnsi="Times New Roman"/>
          <w:sz w:val="24"/>
          <w:szCs w:val="24"/>
          <w:lang w:val="en-NZ"/>
        </w:rPr>
        <w:t>the</w:t>
      </w:r>
      <w:r w:rsidR="00D75EE3">
        <w:rPr>
          <w:rFonts w:ascii="Times New Roman" w:hAnsi="Times New Roman"/>
          <w:sz w:val="24"/>
          <w:szCs w:val="24"/>
          <w:lang w:val="en-NZ"/>
        </w:rPr>
        <w:t>ir</w:t>
      </w:r>
      <w:r w:rsidR="00D75EE3" w:rsidRPr="000D2215">
        <w:rPr>
          <w:rFonts w:ascii="Times New Roman" w:hAnsi="Times New Roman"/>
          <w:sz w:val="24"/>
          <w:szCs w:val="24"/>
          <w:lang w:val="en-NZ"/>
        </w:rPr>
        <w:t xml:space="preserve"> </w:t>
      </w:r>
      <w:r w:rsidR="00D75EE3">
        <w:rPr>
          <w:rFonts w:ascii="Times New Roman" w:hAnsi="Times New Roman"/>
          <w:sz w:val="24"/>
          <w:szCs w:val="24"/>
          <w:lang w:val="en-NZ"/>
        </w:rPr>
        <w:t xml:space="preserve">financial </w:t>
      </w:r>
      <w:r w:rsidR="00D75EE3" w:rsidRPr="000D2215">
        <w:rPr>
          <w:rFonts w:ascii="Times New Roman" w:hAnsi="Times New Roman"/>
          <w:sz w:val="24"/>
          <w:szCs w:val="24"/>
          <w:lang w:val="en-NZ"/>
        </w:rPr>
        <w:t>accounts</w:t>
      </w:r>
      <w:r w:rsidR="00D75EE3">
        <w:rPr>
          <w:rFonts w:ascii="Times New Roman" w:hAnsi="Times New Roman"/>
          <w:sz w:val="24"/>
          <w:szCs w:val="24"/>
          <w:lang w:val="en-NZ"/>
        </w:rPr>
        <w:t>.</w:t>
      </w:r>
    </w:p>
    <w:p w:rsidR="00D75EE3" w:rsidRDefault="00D75EE3" w:rsidP="00C31F16">
      <w:pPr>
        <w:pStyle w:val="Bullet-list"/>
        <w:tabs>
          <w:tab w:val="num" w:pos="567"/>
        </w:tabs>
        <w:spacing w:after="0" w:line="240" w:lineRule="auto"/>
        <w:ind w:left="0" w:firstLine="0"/>
        <w:jc w:val="both"/>
        <w:rPr>
          <w:rFonts w:ascii="Times New Roman" w:hAnsi="Times New Roman"/>
          <w:sz w:val="24"/>
          <w:szCs w:val="24"/>
          <w:lang w:val="en-NZ"/>
        </w:rPr>
      </w:pPr>
    </w:p>
    <w:p w:rsidR="00D75EE3" w:rsidRDefault="00D75EE3" w:rsidP="00D75EE3">
      <w:pPr>
        <w:pStyle w:val="Bullet-list"/>
        <w:tabs>
          <w:tab w:val="num" w:pos="567"/>
        </w:tabs>
        <w:spacing w:after="0" w:line="240" w:lineRule="auto"/>
        <w:ind w:left="0" w:firstLine="0"/>
        <w:jc w:val="both"/>
        <w:rPr>
          <w:rFonts w:ascii="Times New Roman" w:hAnsi="Times New Roman"/>
          <w:sz w:val="24"/>
          <w:szCs w:val="24"/>
          <w:lang w:val="en-NZ"/>
        </w:rPr>
      </w:pPr>
      <w:r>
        <w:rPr>
          <w:rFonts w:ascii="Times New Roman" w:hAnsi="Times New Roman"/>
          <w:sz w:val="24"/>
          <w:szCs w:val="24"/>
          <w:lang w:val="en-NZ"/>
        </w:rPr>
        <w:fldChar w:fldCharType="begin"/>
      </w:r>
      <w:r>
        <w:rPr>
          <w:rFonts w:ascii="Times New Roman" w:hAnsi="Times New Roman"/>
          <w:sz w:val="24"/>
          <w:szCs w:val="24"/>
          <w:lang w:val="en-NZ"/>
        </w:rPr>
        <w:instrText xml:space="preserve"> AUTONUM  \* Arabic  </w:instrText>
      </w:r>
      <w:r>
        <w:rPr>
          <w:rFonts w:ascii="Times New Roman" w:hAnsi="Times New Roman"/>
          <w:sz w:val="24"/>
          <w:szCs w:val="24"/>
          <w:lang w:val="en-NZ"/>
        </w:rPr>
        <w:fldChar w:fldCharType="end"/>
      </w:r>
      <w:r>
        <w:rPr>
          <w:rFonts w:ascii="Times New Roman" w:hAnsi="Times New Roman"/>
          <w:sz w:val="24"/>
          <w:szCs w:val="24"/>
          <w:lang w:val="en-NZ"/>
        </w:rPr>
        <w:tab/>
      </w:r>
      <w:r w:rsidR="007E061F" w:rsidRPr="00F65FFA">
        <w:rPr>
          <w:rFonts w:ascii="Times New Roman" w:hAnsi="Times New Roman"/>
          <w:sz w:val="24"/>
          <w:szCs w:val="24"/>
          <w:lang w:val="en-NZ"/>
        </w:rPr>
        <w:t xml:space="preserve">Due </w:t>
      </w:r>
      <w:r w:rsidRPr="00F65FFA">
        <w:rPr>
          <w:rFonts w:ascii="Times New Roman" w:hAnsi="Times New Roman"/>
          <w:sz w:val="24"/>
          <w:szCs w:val="24"/>
          <w:lang w:val="en-NZ"/>
        </w:rPr>
        <w:t>diligence</w:t>
      </w:r>
      <w:r w:rsidRPr="000D2215">
        <w:rPr>
          <w:rFonts w:ascii="Times New Roman" w:hAnsi="Times New Roman"/>
          <w:sz w:val="24"/>
          <w:szCs w:val="24"/>
          <w:lang w:val="en-NZ"/>
        </w:rPr>
        <w:t xml:space="preserve"> </w:t>
      </w:r>
      <w:r>
        <w:rPr>
          <w:rFonts w:ascii="Times New Roman" w:hAnsi="Times New Roman"/>
          <w:sz w:val="24"/>
          <w:szCs w:val="24"/>
          <w:lang w:val="en-NZ"/>
        </w:rPr>
        <w:t xml:space="preserve">will be undertaken </w:t>
      </w:r>
      <w:r w:rsidRPr="000D2215">
        <w:rPr>
          <w:rFonts w:ascii="Times New Roman" w:hAnsi="Times New Roman"/>
          <w:sz w:val="24"/>
          <w:szCs w:val="24"/>
          <w:lang w:val="en-NZ"/>
        </w:rPr>
        <w:t xml:space="preserve">to identify the </w:t>
      </w:r>
      <w:r w:rsidRPr="006C5504">
        <w:rPr>
          <w:rFonts w:ascii="Times New Roman" w:hAnsi="Times New Roman"/>
          <w:i/>
          <w:sz w:val="24"/>
          <w:szCs w:val="24"/>
          <w:lang w:val="en-NZ"/>
        </w:rPr>
        <w:t>tax residence</w:t>
      </w:r>
      <w:r w:rsidRPr="000D2215">
        <w:rPr>
          <w:rFonts w:ascii="Times New Roman" w:hAnsi="Times New Roman"/>
          <w:sz w:val="24"/>
          <w:szCs w:val="24"/>
          <w:lang w:val="en-NZ"/>
        </w:rPr>
        <w:t xml:space="preserve"> of</w:t>
      </w:r>
      <w:r>
        <w:rPr>
          <w:rFonts w:ascii="Times New Roman" w:hAnsi="Times New Roman"/>
          <w:sz w:val="24"/>
          <w:szCs w:val="24"/>
          <w:lang w:val="en-NZ"/>
        </w:rPr>
        <w:t>:</w:t>
      </w:r>
    </w:p>
    <w:p w:rsidR="007E061F" w:rsidRDefault="007E061F" w:rsidP="00D75EE3">
      <w:pPr>
        <w:pStyle w:val="Bullet-list"/>
        <w:tabs>
          <w:tab w:val="num" w:pos="567"/>
        </w:tabs>
        <w:spacing w:after="0" w:line="240" w:lineRule="auto"/>
        <w:ind w:left="0" w:firstLine="0"/>
        <w:jc w:val="both"/>
        <w:rPr>
          <w:rFonts w:ascii="Times New Roman" w:hAnsi="Times New Roman"/>
          <w:sz w:val="24"/>
          <w:szCs w:val="24"/>
          <w:lang w:val="en-NZ"/>
        </w:rPr>
      </w:pPr>
    </w:p>
    <w:p w:rsidR="00D75EE3" w:rsidRDefault="00D75EE3" w:rsidP="00D75EE3">
      <w:pPr>
        <w:pStyle w:val="Bullet-list"/>
        <w:spacing w:after="0" w:line="240" w:lineRule="auto"/>
        <w:ind w:left="1134" w:hanging="567"/>
        <w:jc w:val="both"/>
        <w:rPr>
          <w:rFonts w:ascii="Times New Roman" w:hAnsi="Times New Roman"/>
          <w:sz w:val="24"/>
          <w:szCs w:val="24"/>
          <w:lang w:val="en-NZ"/>
        </w:rPr>
      </w:pPr>
      <w:r>
        <w:rPr>
          <w:rFonts w:ascii="Times New Roman" w:hAnsi="Times New Roman"/>
          <w:sz w:val="24"/>
          <w:szCs w:val="24"/>
          <w:lang w:val="en-NZ"/>
        </w:rPr>
        <w:sym w:font="Wingdings 2" w:char="F097"/>
      </w:r>
      <w:r>
        <w:rPr>
          <w:rFonts w:ascii="Times New Roman" w:hAnsi="Times New Roman"/>
          <w:sz w:val="24"/>
          <w:szCs w:val="24"/>
          <w:lang w:val="en-NZ"/>
        </w:rPr>
        <w:tab/>
      </w:r>
      <w:r w:rsidRPr="000D2215">
        <w:rPr>
          <w:rFonts w:ascii="Times New Roman" w:hAnsi="Times New Roman"/>
          <w:sz w:val="24"/>
          <w:szCs w:val="24"/>
          <w:lang w:val="en-NZ"/>
        </w:rPr>
        <w:t>the account holders</w:t>
      </w:r>
      <w:r w:rsidR="00163D03">
        <w:rPr>
          <w:rFonts w:ascii="Times New Roman" w:hAnsi="Times New Roman"/>
          <w:sz w:val="24"/>
          <w:szCs w:val="24"/>
          <w:lang w:val="en-NZ"/>
        </w:rPr>
        <w:t>;</w:t>
      </w:r>
      <w:r w:rsidRPr="000D2215">
        <w:rPr>
          <w:rFonts w:ascii="Times New Roman" w:hAnsi="Times New Roman"/>
          <w:sz w:val="24"/>
          <w:szCs w:val="24"/>
          <w:lang w:val="en-NZ"/>
        </w:rPr>
        <w:t xml:space="preserve"> and</w:t>
      </w:r>
    </w:p>
    <w:p w:rsidR="007E061F" w:rsidRDefault="007E061F" w:rsidP="00D75EE3">
      <w:pPr>
        <w:pStyle w:val="Bullet-list"/>
        <w:spacing w:after="0" w:line="240" w:lineRule="auto"/>
        <w:ind w:left="1134" w:hanging="567"/>
        <w:jc w:val="both"/>
        <w:rPr>
          <w:rFonts w:ascii="Times New Roman" w:hAnsi="Times New Roman"/>
          <w:sz w:val="24"/>
          <w:szCs w:val="24"/>
          <w:lang w:val="en-NZ"/>
        </w:rPr>
      </w:pPr>
    </w:p>
    <w:p w:rsidR="00D75EE3" w:rsidRDefault="00D75EE3" w:rsidP="00D75EE3">
      <w:pPr>
        <w:pStyle w:val="Bullet-list"/>
        <w:spacing w:after="0" w:line="240" w:lineRule="auto"/>
        <w:ind w:left="1134" w:hanging="567"/>
        <w:jc w:val="both"/>
        <w:rPr>
          <w:rFonts w:ascii="Times New Roman" w:hAnsi="Times New Roman"/>
          <w:sz w:val="24"/>
          <w:szCs w:val="24"/>
          <w:lang w:val="en-NZ"/>
        </w:rPr>
      </w:pPr>
      <w:r>
        <w:rPr>
          <w:rFonts w:ascii="Times New Roman" w:hAnsi="Times New Roman"/>
          <w:sz w:val="24"/>
          <w:szCs w:val="24"/>
          <w:lang w:val="en-NZ"/>
        </w:rPr>
        <w:sym w:font="Wingdings 2" w:char="F097"/>
      </w:r>
      <w:r>
        <w:rPr>
          <w:rFonts w:ascii="Times New Roman" w:hAnsi="Times New Roman"/>
          <w:sz w:val="24"/>
          <w:szCs w:val="24"/>
          <w:lang w:val="en-NZ"/>
        </w:rPr>
        <w:tab/>
      </w:r>
      <w:r w:rsidRPr="000D2215">
        <w:rPr>
          <w:rFonts w:ascii="Times New Roman" w:hAnsi="Times New Roman"/>
          <w:sz w:val="24"/>
          <w:szCs w:val="24"/>
          <w:lang w:val="en-NZ"/>
        </w:rPr>
        <w:t>the controlling persons of accounts held by</w:t>
      </w:r>
      <w:r>
        <w:rPr>
          <w:rFonts w:ascii="Times New Roman" w:hAnsi="Times New Roman"/>
          <w:sz w:val="24"/>
          <w:szCs w:val="24"/>
          <w:lang w:val="en-NZ"/>
        </w:rPr>
        <w:t xml:space="preserve"> certain passive entities.</w:t>
      </w:r>
    </w:p>
    <w:p w:rsidR="00D75EE3" w:rsidRDefault="00D75EE3" w:rsidP="00D75EE3">
      <w:pPr>
        <w:pStyle w:val="Bullet-list"/>
        <w:spacing w:after="0" w:line="240" w:lineRule="auto"/>
        <w:ind w:left="0" w:firstLine="0"/>
        <w:jc w:val="both"/>
        <w:rPr>
          <w:rFonts w:ascii="Times New Roman" w:hAnsi="Times New Roman"/>
          <w:sz w:val="24"/>
          <w:szCs w:val="24"/>
          <w:lang w:val="en-NZ"/>
        </w:rPr>
      </w:pPr>
    </w:p>
    <w:p w:rsidR="00D75EE3" w:rsidRDefault="00D75EE3" w:rsidP="00D75EE3">
      <w:pPr>
        <w:pStyle w:val="Bullet-list"/>
        <w:tabs>
          <w:tab w:val="num" w:pos="567"/>
        </w:tabs>
        <w:spacing w:after="0" w:line="240" w:lineRule="auto"/>
        <w:ind w:left="0" w:firstLine="0"/>
        <w:jc w:val="both"/>
        <w:rPr>
          <w:rFonts w:ascii="Times New Roman" w:hAnsi="Times New Roman"/>
          <w:sz w:val="24"/>
          <w:szCs w:val="24"/>
          <w:lang w:val="en-NZ"/>
        </w:rPr>
      </w:pPr>
      <w:r>
        <w:rPr>
          <w:rFonts w:ascii="Times New Roman" w:hAnsi="Times New Roman"/>
          <w:sz w:val="24"/>
          <w:szCs w:val="24"/>
          <w:lang w:val="en-NZ"/>
        </w:rPr>
        <w:fldChar w:fldCharType="begin"/>
      </w:r>
      <w:r>
        <w:rPr>
          <w:rFonts w:ascii="Times New Roman" w:hAnsi="Times New Roman"/>
          <w:sz w:val="24"/>
          <w:szCs w:val="24"/>
          <w:lang w:val="en-NZ"/>
        </w:rPr>
        <w:instrText xml:space="preserve"> AUTONUM  \* Arabic  </w:instrText>
      </w:r>
      <w:r>
        <w:rPr>
          <w:rFonts w:ascii="Times New Roman" w:hAnsi="Times New Roman"/>
          <w:sz w:val="24"/>
          <w:szCs w:val="24"/>
          <w:lang w:val="en-NZ"/>
        </w:rPr>
        <w:fldChar w:fldCharType="end"/>
      </w:r>
      <w:r>
        <w:rPr>
          <w:rFonts w:ascii="Times New Roman" w:hAnsi="Times New Roman"/>
          <w:sz w:val="24"/>
          <w:szCs w:val="24"/>
          <w:lang w:val="en-NZ"/>
        </w:rPr>
        <w:tab/>
        <w:t>The due diligence procedures are highly prescriptive.  In very generalised terms:</w:t>
      </w:r>
    </w:p>
    <w:p w:rsidR="007E061F" w:rsidRDefault="007E061F" w:rsidP="00D75EE3">
      <w:pPr>
        <w:pStyle w:val="Bullet-list"/>
        <w:tabs>
          <w:tab w:val="num" w:pos="567"/>
        </w:tabs>
        <w:spacing w:after="0" w:line="240" w:lineRule="auto"/>
        <w:ind w:left="0" w:firstLine="0"/>
        <w:jc w:val="both"/>
        <w:rPr>
          <w:rFonts w:ascii="Times New Roman" w:hAnsi="Times New Roman"/>
          <w:sz w:val="24"/>
          <w:szCs w:val="24"/>
          <w:lang w:val="en-NZ"/>
        </w:rPr>
      </w:pPr>
    </w:p>
    <w:p w:rsidR="00D75EE3" w:rsidRDefault="00D75EE3" w:rsidP="00D75EE3">
      <w:pPr>
        <w:pStyle w:val="Bullet-list"/>
        <w:spacing w:after="0" w:line="240" w:lineRule="auto"/>
        <w:ind w:left="1134" w:hanging="567"/>
        <w:jc w:val="both"/>
        <w:rPr>
          <w:rFonts w:ascii="Times New Roman" w:hAnsi="Times New Roman"/>
          <w:sz w:val="24"/>
          <w:szCs w:val="24"/>
          <w:lang w:val="en-NZ"/>
        </w:rPr>
      </w:pPr>
      <w:r>
        <w:rPr>
          <w:rFonts w:ascii="Times New Roman" w:hAnsi="Times New Roman"/>
          <w:sz w:val="24"/>
          <w:szCs w:val="24"/>
          <w:lang w:val="en-NZ"/>
        </w:rPr>
        <w:sym w:font="Wingdings 2" w:char="F097"/>
      </w:r>
      <w:r>
        <w:rPr>
          <w:rFonts w:ascii="Times New Roman" w:hAnsi="Times New Roman"/>
          <w:sz w:val="24"/>
          <w:szCs w:val="24"/>
          <w:lang w:val="en-NZ"/>
        </w:rPr>
        <w:tab/>
        <w:t xml:space="preserve">in respect of </w:t>
      </w:r>
      <w:r w:rsidRPr="00D75EE3">
        <w:rPr>
          <w:rFonts w:ascii="Times New Roman" w:hAnsi="Times New Roman"/>
          <w:i/>
          <w:sz w:val="24"/>
          <w:szCs w:val="24"/>
          <w:lang w:val="en-NZ"/>
        </w:rPr>
        <w:t>pre-existing accounts</w:t>
      </w:r>
      <w:r>
        <w:rPr>
          <w:rFonts w:ascii="Times New Roman" w:hAnsi="Times New Roman"/>
          <w:sz w:val="24"/>
          <w:szCs w:val="24"/>
          <w:lang w:val="en-NZ"/>
        </w:rPr>
        <w:t xml:space="preserve"> (accounts already open as at 1 July 2017</w:t>
      </w:r>
      <w:r w:rsidRPr="00796019">
        <w:rPr>
          <w:rFonts w:ascii="Times New Roman" w:hAnsi="Times New Roman"/>
          <w:sz w:val="24"/>
          <w:szCs w:val="24"/>
          <w:lang w:val="en-NZ"/>
        </w:rPr>
        <w:t>)</w:t>
      </w:r>
      <w:r>
        <w:rPr>
          <w:rFonts w:ascii="Times New Roman" w:hAnsi="Times New Roman"/>
          <w:sz w:val="24"/>
          <w:szCs w:val="24"/>
          <w:lang w:val="en-NZ"/>
        </w:rPr>
        <w:t xml:space="preserve">, financial institutions will generally be allowed to rely on documentation already held for other purposes (particularly that collected </w:t>
      </w:r>
      <w:r w:rsidR="00427662">
        <w:rPr>
          <w:rFonts w:ascii="Times New Roman" w:hAnsi="Times New Roman"/>
          <w:sz w:val="24"/>
          <w:szCs w:val="24"/>
          <w:lang w:val="en-NZ"/>
        </w:rPr>
        <w:t xml:space="preserve">for </w:t>
      </w:r>
      <w:r>
        <w:rPr>
          <w:rFonts w:ascii="Times New Roman" w:hAnsi="Times New Roman"/>
          <w:sz w:val="24"/>
          <w:szCs w:val="24"/>
          <w:lang w:val="en-NZ"/>
        </w:rPr>
        <w:t xml:space="preserve">AML/CFT or other </w:t>
      </w:r>
      <w:r w:rsidR="00CE5455">
        <w:rPr>
          <w:rFonts w:ascii="Times New Roman" w:hAnsi="Times New Roman"/>
          <w:sz w:val="24"/>
          <w:szCs w:val="24"/>
          <w:lang w:val="en-NZ"/>
        </w:rPr>
        <w:t>‘</w:t>
      </w:r>
      <w:r>
        <w:rPr>
          <w:rFonts w:ascii="Times New Roman" w:hAnsi="Times New Roman"/>
          <w:sz w:val="24"/>
          <w:szCs w:val="24"/>
          <w:lang w:val="en-NZ"/>
        </w:rPr>
        <w:t>know-your-customer</w:t>
      </w:r>
      <w:r w:rsidR="00CE5455">
        <w:rPr>
          <w:rFonts w:ascii="Times New Roman" w:hAnsi="Times New Roman"/>
          <w:sz w:val="24"/>
          <w:szCs w:val="24"/>
          <w:lang w:val="en-NZ"/>
        </w:rPr>
        <w:t>’</w:t>
      </w:r>
      <w:r>
        <w:rPr>
          <w:rFonts w:ascii="Times New Roman" w:hAnsi="Times New Roman"/>
          <w:sz w:val="24"/>
          <w:szCs w:val="24"/>
          <w:lang w:val="en-NZ"/>
        </w:rPr>
        <w:t xml:space="preserve"> purposes) to determine the tax residence of each account holder and (where relevant) controlling person;</w:t>
      </w:r>
    </w:p>
    <w:p w:rsidR="007E061F" w:rsidRDefault="007E061F" w:rsidP="00D75EE3">
      <w:pPr>
        <w:pStyle w:val="Bullet-list"/>
        <w:spacing w:after="0" w:line="240" w:lineRule="auto"/>
        <w:ind w:left="1134" w:hanging="567"/>
        <w:jc w:val="both"/>
        <w:rPr>
          <w:rFonts w:ascii="Times New Roman" w:hAnsi="Times New Roman"/>
          <w:sz w:val="24"/>
          <w:szCs w:val="24"/>
          <w:lang w:val="en-NZ"/>
        </w:rPr>
      </w:pPr>
    </w:p>
    <w:p w:rsidR="00D75EE3" w:rsidRDefault="00D75EE3" w:rsidP="00D75EE3">
      <w:pPr>
        <w:pStyle w:val="Bullet-list"/>
        <w:spacing w:after="0" w:line="240" w:lineRule="auto"/>
        <w:ind w:left="1134" w:hanging="567"/>
        <w:jc w:val="both"/>
        <w:rPr>
          <w:rFonts w:ascii="Times New Roman" w:hAnsi="Times New Roman"/>
          <w:sz w:val="24"/>
          <w:szCs w:val="24"/>
          <w:lang w:val="en-NZ"/>
        </w:rPr>
      </w:pPr>
      <w:r>
        <w:rPr>
          <w:rFonts w:ascii="Times New Roman" w:hAnsi="Times New Roman"/>
          <w:sz w:val="24"/>
          <w:szCs w:val="24"/>
          <w:lang w:val="en-NZ"/>
        </w:rPr>
        <w:sym w:font="Wingdings 2" w:char="F097"/>
      </w:r>
      <w:r>
        <w:rPr>
          <w:rFonts w:ascii="Times New Roman" w:hAnsi="Times New Roman"/>
          <w:sz w:val="24"/>
          <w:szCs w:val="24"/>
          <w:lang w:val="en-NZ"/>
        </w:rPr>
        <w:tab/>
        <w:t xml:space="preserve">in respect of </w:t>
      </w:r>
      <w:r w:rsidRPr="00D75EE3">
        <w:rPr>
          <w:rFonts w:ascii="Times New Roman" w:hAnsi="Times New Roman"/>
          <w:i/>
          <w:sz w:val="24"/>
          <w:szCs w:val="24"/>
          <w:lang w:val="en-NZ"/>
        </w:rPr>
        <w:t>new accounts</w:t>
      </w:r>
      <w:r>
        <w:rPr>
          <w:rFonts w:ascii="Times New Roman" w:hAnsi="Times New Roman"/>
          <w:sz w:val="24"/>
          <w:szCs w:val="24"/>
          <w:lang w:val="en-NZ"/>
        </w:rPr>
        <w:t xml:space="preserve"> (accounts opened on or after 1 July 2017</w:t>
      </w:r>
      <w:r w:rsidRPr="00796019">
        <w:rPr>
          <w:rFonts w:ascii="Times New Roman" w:hAnsi="Times New Roman"/>
          <w:sz w:val="24"/>
          <w:szCs w:val="24"/>
          <w:lang w:val="en-NZ"/>
        </w:rPr>
        <w:t>)</w:t>
      </w:r>
      <w:r w:rsidRPr="002063FA">
        <w:rPr>
          <w:rFonts w:ascii="Times New Roman" w:hAnsi="Times New Roman"/>
          <w:sz w:val="24"/>
          <w:szCs w:val="24"/>
          <w:lang w:val="en-NZ"/>
        </w:rPr>
        <w:t>,</w:t>
      </w:r>
      <w:r>
        <w:rPr>
          <w:rFonts w:ascii="Times New Roman" w:hAnsi="Times New Roman"/>
          <w:sz w:val="24"/>
          <w:szCs w:val="24"/>
          <w:lang w:val="en-NZ"/>
        </w:rPr>
        <w:t xml:space="preserve"> financial institutions will generally determine tax residence by obtaining a </w:t>
      </w:r>
      <w:r w:rsidRPr="00A84180">
        <w:rPr>
          <w:rFonts w:ascii="Times New Roman" w:hAnsi="Times New Roman"/>
          <w:i/>
          <w:sz w:val="24"/>
          <w:szCs w:val="24"/>
          <w:lang w:val="en-NZ"/>
        </w:rPr>
        <w:t>self-certification</w:t>
      </w:r>
      <w:r>
        <w:rPr>
          <w:rFonts w:ascii="Times New Roman" w:hAnsi="Times New Roman"/>
          <w:sz w:val="24"/>
          <w:szCs w:val="24"/>
          <w:lang w:val="en-NZ"/>
        </w:rPr>
        <w:t xml:space="preserve"> from each account holder and (where relevant) controlling person; and</w:t>
      </w:r>
    </w:p>
    <w:p w:rsidR="007E061F" w:rsidRDefault="007E061F" w:rsidP="00D75EE3">
      <w:pPr>
        <w:pStyle w:val="Bullet-list"/>
        <w:spacing w:after="0" w:line="240" w:lineRule="auto"/>
        <w:ind w:left="1134" w:hanging="567"/>
        <w:jc w:val="both"/>
        <w:rPr>
          <w:rFonts w:ascii="Times New Roman" w:hAnsi="Times New Roman"/>
          <w:sz w:val="24"/>
          <w:szCs w:val="24"/>
          <w:lang w:val="en-NZ"/>
        </w:rPr>
      </w:pPr>
    </w:p>
    <w:p w:rsidR="00D75EE3" w:rsidRDefault="00D75EE3" w:rsidP="00D75EE3">
      <w:pPr>
        <w:pStyle w:val="Bullet-list"/>
        <w:spacing w:after="0" w:line="240" w:lineRule="auto"/>
        <w:ind w:left="1134" w:hanging="567"/>
        <w:jc w:val="both"/>
        <w:rPr>
          <w:rFonts w:ascii="Times New Roman" w:hAnsi="Times New Roman"/>
          <w:sz w:val="24"/>
          <w:szCs w:val="24"/>
          <w:lang w:val="en-NZ"/>
        </w:rPr>
      </w:pPr>
      <w:r>
        <w:rPr>
          <w:rFonts w:ascii="Times New Roman" w:hAnsi="Times New Roman"/>
          <w:sz w:val="24"/>
          <w:szCs w:val="24"/>
          <w:lang w:val="en-NZ"/>
        </w:rPr>
        <w:sym w:font="Wingdings 2" w:char="F097"/>
      </w:r>
      <w:r>
        <w:rPr>
          <w:rFonts w:ascii="Times New Roman" w:hAnsi="Times New Roman"/>
          <w:sz w:val="24"/>
          <w:szCs w:val="24"/>
          <w:lang w:val="en-NZ"/>
        </w:rPr>
        <w:tab/>
        <w:t xml:space="preserve">the </w:t>
      </w:r>
      <w:r w:rsidRPr="00D75EE3">
        <w:rPr>
          <w:rFonts w:ascii="Times New Roman" w:hAnsi="Times New Roman"/>
          <w:i/>
          <w:sz w:val="24"/>
          <w:szCs w:val="24"/>
          <w:lang w:val="en-NZ"/>
        </w:rPr>
        <w:t>passive entity</w:t>
      </w:r>
      <w:r>
        <w:rPr>
          <w:rFonts w:ascii="Times New Roman" w:hAnsi="Times New Roman"/>
          <w:b/>
          <w:sz w:val="24"/>
          <w:szCs w:val="24"/>
          <w:lang w:val="en-NZ"/>
        </w:rPr>
        <w:t xml:space="preserve"> </w:t>
      </w:r>
      <w:r w:rsidRPr="00BB7761">
        <w:rPr>
          <w:rFonts w:ascii="Times New Roman" w:hAnsi="Times New Roman"/>
          <w:sz w:val="24"/>
          <w:szCs w:val="24"/>
          <w:lang w:val="en-NZ"/>
        </w:rPr>
        <w:t>account holders</w:t>
      </w:r>
      <w:r>
        <w:rPr>
          <w:rFonts w:ascii="Times New Roman" w:hAnsi="Times New Roman"/>
          <w:b/>
          <w:sz w:val="24"/>
          <w:szCs w:val="24"/>
          <w:lang w:val="en-NZ"/>
        </w:rPr>
        <w:t xml:space="preserve"> </w:t>
      </w:r>
      <w:r>
        <w:rPr>
          <w:rFonts w:ascii="Times New Roman" w:hAnsi="Times New Roman"/>
          <w:sz w:val="24"/>
          <w:szCs w:val="24"/>
          <w:lang w:val="en-NZ"/>
        </w:rPr>
        <w:t xml:space="preserve">to be ‘looked through’ to determine their controlling persons are those that (i) are not themselves financial institutions, and (ii) have assets that primarily produce or are held for the production of </w:t>
      </w:r>
      <w:r w:rsidRPr="00BD40C4">
        <w:rPr>
          <w:rFonts w:ascii="Times New Roman" w:hAnsi="Times New Roman"/>
          <w:i/>
          <w:sz w:val="24"/>
          <w:szCs w:val="24"/>
          <w:lang w:val="en-NZ"/>
        </w:rPr>
        <w:t>passive income</w:t>
      </w:r>
      <w:r>
        <w:rPr>
          <w:rFonts w:ascii="Times New Roman" w:hAnsi="Times New Roman"/>
          <w:sz w:val="24"/>
          <w:szCs w:val="24"/>
          <w:lang w:val="en-NZ"/>
        </w:rPr>
        <w:t xml:space="preserve"> (such as interest or dividends) – entities that meet these criteria are referred to as </w:t>
      </w:r>
      <w:r w:rsidRPr="00796019">
        <w:rPr>
          <w:rFonts w:ascii="Times New Roman" w:hAnsi="Times New Roman"/>
          <w:sz w:val="24"/>
          <w:szCs w:val="24"/>
          <w:lang w:val="en-NZ"/>
        </w:rPr>
        <w:t>passive non-financial entities</w:t>
      </w:r>
      <w:r>
        <w:rPr>
          <w:rFonts w:ascii="Times New Roman" w:hAnsi="Times New Roman"/>
          <w:sz w:val="24"/>
          <w:szCs w:val="24"/>
          <w:lang w:val="en-NZ"/>
        </w:rPr>
        <w:t xml:space="preserve"> (</w:t>
      </w:r>
      <w:r w:rsidRPr="00A84180">
        <w:rPr>
          <w:rFonts w:ascii="Times New Roman" w:hAnsi="Times New Roman"/>
          <w:i/>
          <w:sz w:val="24"/>
          <w:szCs w:val="24"/>
          <w:lang w:val="en-NZ"/>
        </w:rPr>
        <w:t>passive NFEs</w:t>
      </w:r>
      <w:r>
        <w:rPr>
          <w:rFonts w:ascii="Times New Roman" w:hAnsi="Times New Roman"/>
          <w:sz w:val="24"/>
          <w:szCs w:val="24"/>
          <w:lang w:val="en-NZ"/>
        </w:rPr>
        <w:t>).</w:t>
      </w:r>
    </w:p>
    <w:p w:rsidR="00D75EE3" w:rsidRDefault="00D75EE3" w:rsidP="00D75EE3">
      <w:pPr>
        <w:pStyle w:val="Bullet-list"/>
        <w:spacing w:after="0" w:line="240" w:lineRule="auto"/>
        <w:ind w:left="0" w:firstLine="0"/>
        <w:jc w:val="both"/>
        <w:rPr>
          <w:rFonts w:ascii="Times New Roman" w:hAnsi="Times New Roman"/>
          <w:sz w:val="24"/>
          <w:szCs w:val="24"/>
          <w:lang w:val="en-NZ"/>
        </w:rPr>
      </w:pPr>
    </w:p>
    <w:p w:rsidR="00D75EE3" w:rsidRDefault="00D75EE3" w:rsidP="007946CC">
      <w:pPr>
        <w:pStyle w:val="Bullet-list"/>
        <w:tabs>
          <w:tab w:val="num" w:pos="567"/>
        </w:tabs>
        <w:spacing w:after="0" w:line="240" w:lineRule="auto"/>
        <w:ind w:left="567" w:hanging="567"/>
        <w:jc w:val="both"/>
        <w:rPr>
          <w:rFonts w:ascii="Times New Roman" w:hAnsi="Times New Roman"/>
          <w:sz w:val="24"/>
          <w:szCs w:val="24"/>
          <w:lang w:val="en-NZ"/>
        </w:rPr>
      </w:pPr>
      <w:r>
        <w:rPr>
          <w:rFonts w:ascii="Times New Roman" w:hAnsi="Times New Roman"/>
          <w:sz w:val="24"/>
          <w:szCs w:val="24"/>
          <w:lang w:val="en-NZ"/>
        </w:rPr>
        <w:fldChar w:fldCharType="begin"/>
      </w:r>
      <w:r>
        <w:rPr>
          <w:rFonts w:ascii="Times New Roman" w:hAnsi="Times New Roman"/>
          <w:sz w:val="24"/>
          <w:szCs w:val="24"/>
          <w:lang w:val="en-NZ"/>
        </w:rPr>
        <w:instrText xml:space="preserve"> AUTONUM  \* Arabic  </w:instrText>
      </w:r>
      <w:r>
        <w:rPr>
          <w:rFonts w:ascii="Times New Roman" w:hAnsi="Times New Roman"/>
          <w:sz w:val="24"/>
          <w:szCs w:val="24"/>
          <w:lang w:val="en-NZ"/>
        </w:rPr>
        <w:fldChar w:fldCharType="end"/>
      </w:r>
      <w:r>
        <w:rPr>
          <w:rFonts w:ascii="Times New Roman" w:hAnsi="Times New Roman"/>
          <w:sz w:val="24"/>
          <w:szCs w:val="24"/>
          <w:lang w:val="en-NZ"/>
        </w:rPr>
        <w:tab/>
        <w:t xml:space="preserve">Financial institutions will be required to </w:t>
      </w:r>
      <w:r w:rsidRPr="00F65FFA">
        <w:rPr>
          <w:rFonts w:ascii="Times New Roman" w:hAnsi="Times New Roman"/>
          <w:sz w:val="24"/>
          <w:szCs w:val="24"/>
          <w:lang w:val="en-NZ"/>
        </w:rPr>
        <w:t>report</w:t>
      </w:r>
      <w:r w:rsidRPr="00081F37">
        <w:rPr>
          <w:rFonts w:ascii="Times New Roman" w:hAnsi="Times New Roman"/>
          <w:sz w:val="24"/>
          <w:szCs w:val="24"/>
          <w:lang w:val="en-NZ"/>
        </w:rPr>
        <w:t xml:space="preserve"> </w:t>
      </w:r>
      <w:r>
        <w:rPr>
          <w:rFonts w:ascii="Times New Roman" w:hAnsi="Times New Roman"/>
          <w:sz w:val="24"/>
          <w:szCs w:val="24"/>
          <w:lang w:val="en-NZ"/>
        </w:rPr>
        <w:t xml:space="preserve">(on an annual basis) the following </w:t>
      </w:r>
      <w:r w:rsidRPr="00081F37">
        <w:rPr>
          <w:rFonts w:ascii="Times New Roman" w:hAnsi="Times New Roman"/>
          <w:sz w:val="24"/>
          <w:szCs w:val="24"/>
          <w:lang w:val="en-NZ"/>
        </w:rPr>
        <w:t>information to Inland Revenue</w:t>
      </w:r>
      <w:r>
        <w:rPr>
          <w:rFonts w:ascii="Times New Roman" w:hAnsi="Times New Roman"/>
          <w:sz w:val="24"/>
          <w:szCs w:val="24"/>
          <w:lang w:val="en-NZ"/>
        </w:rPr>
        <w:t>:</w:t>
      </w:r>
    </w:p>
    <w:p w:rsidR="007E061F" w:rsidRDefault="007E061F" w:rsidP="00D75EE3">
      <w:pPr>
        <w:pStyle w:val="Bullet-list"/>
        <w:tabs>
          <w:tab w:val="num" w:pos="567"/>
        </w:tabs>
        <w:spacing w:after="0" w:line="240" w:lineRule="auto"/>
        <w:ind w:left="0" w:firstLine="0"/>
        <w:jc w:val="both"/>
        <w:rPr>
          <w:rFonts w:ascii="Times New Roman" w:hAnsi="Times New Roman"/>
          <w:sz w:val="24"/>
          <w:szCs w:val="24"/>
          <w:lang w:val="en-NZ"/>
        </w:rPr>
      </w:pPr>
    </w:p>
    <w:p w:rsidR="00D75EE3" w:rsidRDefault="00D75EE3" w:rsidP="00D75EE3">
      <w:pPr>
        <w:pStyle w:val="Bullet-list"/>
        <w:spacing w:after="0" w:line="240" w:lineRule="auto"/>
        <w:ind w:left="1134" w:hanging="567"/>
        <w:jc w:val="both"/>
        <w:rPr>
          <w:rFonts w:ascii="Times New Roman" w:hAnsi="Times New Roman"/>
          <w:sz w:val="24"/>
          <w:szCs w:val="24"/>
          <w:lang w:val="en-NZ"/>
        </w:rPr>
      </w:pPr>
      <w:r>
        <w:rPr>
          <w:rFonts w:ascii="Times New Roman" w:hAnsi="Times New Roman"/>
          <w:sz w:val="24"/>
          <w:szCs w:val="24"/>
          <w:lang w:val="en-NZ"/>
        </w:rPr>
        <w:sym w:font="Wingdings 2" w:char="F097"/>
      </w:r>
      <w:r>
        <w:rPr>
          <w:rFonts w:ascii="Times New Roman" w:hAnsi="Times New Roman"/>
          <w:sz w:val="24"/>
          <w:szCs w:val="24"/>
          <w:lang w:val="en-NZ"/>
        </w:rPr>
        <w:tab/>
        <w:t>In respect of account holders or controlling persons that have been identified as tax residents of jurisdictions that have implemented AEOI,</w:t>
      </w:r>
      <w:r w:rsidRPr="00F65FFA">
        <w:rPr>
          <w:rStyle w:val="FootnoteReference"/>
          <w:rFonts w:ascii="Times New Roman" w:hAnsi="Times New Roman"/>
          <w:szCs w:val="24"/>
          <w:lang w:val="en-NZ"/>
        </w:rPr>
        <w:footnoteReference w:id="5"/>
      </w:r>
      <w:r w:rsidRPr="00EE42D0">
        <w:rPr>
          <w:rFonts w:ascii="Times New Roman" w:hAnsi="Times New Roman"/>
          <w:sz w:val="24"/>
          <w:szCs w:val="24"/>
          <w:lang w:val="en-NZ"/>
        </w:rPr>
        <w:t xml:space="preserve"> </w:t>
      </w:r>
      <w:r>
        <w:rPr>
          <w:rFonts w:ascii="Times New Roman" w:hAnsi="Times New Roman"/>
          <w:sz w:val="24"/>
          <w:szCs w:val="24"/>
          <w:lang w:val="en-NZ"/>
        </w:rPr>
        <w:t>they must generally report:</w:t>
      </w:r>
    </w:p>
    <w:p w:rsidR="007E061F" w:rsidRDefault="007E061F" w:rsidP="00D75EE3">
      <w:pPr>
        <w:pStyle w:val="Bullet-list"/>
        <w:spacing w:after="0" w:line="240" w:lineRule="auto"/>
        <w:ind w:left="1134" w:hanging="567"/>
        <w:jc w:val="both"/>
        <w:rPr>
          <w:rFonts w:ascii="Times New Roman" w:hAnsi="Times New Roman"/>
          <w:sz w:val="24"/>
          <w:szCs w:val="24"/>
          <w:lang w:val="en-NZ"/>
        </w:rPr>
      </w:pPr>
    </w:p>
    <w:p w:rsidR="00D75EE3" w:rsidRDefault="00A72D22" w:rsidP="00D75EE3">
      <w:pPr>
        <w:pStyle w:val="Bullet-list"/>
        <w:spacing w:after="0" w:line="240" w:lineRule="auto"/>
        <w:ind w:left="1701" w:hanging="567"/>
        <w:jc w:val="both"/>
        <w:rPr>
          <w:rFonts w:ascii="Times New Roman" w:hAnsi="Times New Roman"/>
          <w:sz w:val="24"/>
          <w:szCs w:val="24"/>
          <w:lang w:val="en-NZ"/>
        </w:rPr>
      </w:pPr>
      <w:r>
        <w:rPr>
          <w:rFonts w:ascii="Times New Roman" w:hAnsi="Times New Roman"/>
          <w:sz w:val="24"/>
          <w:szCs w:val="24"/>
          <w:lang w:val="en-NZ"/>
        </w:rPr>
        <w:t>–</w:t>
      </w:r>
      <w:r w:rsidR="00D75EE3">
        <w:rPr>
          <w:rFonts w:ascii="Times New Roman" w:hAnsi="Times New Roman"/>
          <w:sz w:val="24"/>
          <w:szCs w:val="24"/>
          <w:lang w:val="en-NZ"/>
        </w:rPr>
        <w:tab/>
      </w:r>
      <w:r w:rsidR="00D75EE3" w:rsidRPr="00D75EE3">
        <w:rPr>
          <w:rFonts w:ascii="Times New Roman" w:hAnsi="Times New Roman"/>
          <w:i/>
          <w:sz w:val="24"/>
          <w:szCs w:val="24"/>
          <w:lang w:val="en-NZ"/>
        </w:rPr>
        <w:t>identity information</w:t>
      </w:r>
      <w:r w:rsidR="00D75EE3">
        <w:rPr>
          <w:rFonts w:ascii="Times New Roman" w:hAnsi="Times New Roman"/>
          <w:sz w:val="24"/>
          <w:szCs w:val="24"/>
          <w:lang w:val="en-NZ"/>
        </w:rPr>
        <w:t xml:space="preserve"> </w:t>
      </w:r>
      <w:r w:rsidR="00D75EE3" w:rsidRPr="000D2215">
        <w:rPr>
          <w:rFonts w:ascii="Times New Roman" w:hAnsi="Times New Roman"/>
          <w:sz w:val="24"/>
          <w:szCs w:val="24"/>
          <w:lang w:val="en-NZ"/>
        </w:rPr>
        <w:t xml:space="preserve">such as </w:t>
      </w:r>
      <w:r w:rsidR="00D75EE3">
        <w:rPr>
          <w:rFonts w:ascii="Times New Roman" w:hAnsi="Times New Roman"/>
          <w:sz w:val="24"/>
          <w:szCs w:val="24"/>
          <w:lang w:val="en-NZ"/>
        </w:rPr>
        <w:t>name, address, and (in defined circumstances) date of birth and tax identification number; and</w:t>
      </w:r>
    </w:p>
    <w:p w:rsidR="007E061F" w:rsidRDefault="007E061F" w:rsidP="00D75EE3">
      <w:pPr>
        <w:pStyle w:val="Bullet-list"/>
        <w:spacing w:after="0" w:line="240" w:lineRule="auto"/>
        <w:ind w:left="1701" w:hanging="567"/>
        <w:jc w:val="both"/>
        <w:rPr>
          <w:rFonts w:ascii="Times New Roman" w:hAnsi="Times New Roman"/>
          <w:sz w:val="24"/>
          <w:szCs w:val="24"/>
          <w:lang w:val="en-NZ"/>
        </w:rPr>
      </w:pPr>
    </w:p>
    <w:p w:rsidR="00D75EE3" w:rsidRDefault="00A72D22" w:rsidP="00D75EE3">
      <w:pPr>
        <w:pStyle w:val="Bullet-list"/>
        <w:spacing w:after="0" w:line="240" w:lineRule="auto"/>
        <w:ind w:left="1701" w:hanging="567"/>
        <w:jc w:val="both"/>
        <w:rPr>
          <w:rFonts w:ascii="Times New Roman" w:hAnsi="Times New Roman"/>
          <w:sz w:val="24"/>
          <w:szCs w:val="24"/>
          <w:lang w:val="en-NZ"/>
        </w:rPr>
      </w:pPr>
      <w:r>
        <w:rPr>
          <w:rFonts w:ascii="Times New Roman" w:hAnsi="Times New Roman"/>
          <w:sz w:val="24"/>
          <w:szCs w:val="24"/>
          <w:lang w:val="en-NZ"/>
        </w:rPr>
        <w:t>–</w:t>
      </w:r>
      <w:r w:rsidR="00D75EE3">
        <w:rPr>
          <w:rFonts w:ascii="Times New Roman" w:hAnsi="Times New Roman"/>
          <w:sz w:val="24"/>
          <w:szCs w:val="24"/>
          <w:lang w:val="en-NZ"/>
        </w:rPr>
        <w:tab/>
      </w:r>
      <w:r w:rsidR="00D75EE3" w:rsidRPr="00D75EE3">
        <w:rPr>
          <w:rFonts w:ascii="Times New Roman" w:hAnsi="Times New Roman"/>
          <w:i/>
          <w:sz w:val="24"/>
          <w:szCs w:val="24"/>
          <w:lang w:val="en-NZ"/>
        </w:rPr>
        <w:t>financial account information</w:t>
      </w:r>
      <w:r w:rsidR="00D75EE3">
        <w:rPr>
          <w:rFonts w:ascii="Times New Roman" w:hAnsi="Times New Roman"/>
          <w:sz w:val="24"/>
          <w:szCs w:val="24"/>
          <w:lang w:val="en-NZ"/>
        </w:rPr>
        <w:t xml:space="preserve"> such as </w:t>
      </w:r>
      <w:r w:rsidR="00D75EE3" w:rsidRPr="000D2215">
        <w:rPr>
          <w:rFonts w:ascii="Times New Roman" w:hAnsi="Times New Roman"/>
          <w:sz w:val="24"/>
          <w:szCs w:val="24"/>
          <w:lang w:val="en-NZ"/>
        </w:rPr>
        <w:t>account balances and interest, dividends and other income earned</w:t>
      </w:r>
      <w:r w:rsidR="00D75EE3">
        <w:rPr>
          <w:rFonts w:ascii="Times New Roman" w:hAnsi="Times New Roman"/>
          <w:sz w:val="24"/>
          <w:szCs w:val="24"/>
          <w:lang w:val="en-NZ"/>
        </w:rPr>
        <w:t>.</w:t>
      </w:r>
    </w:p>
    <w:p w:rsidR="007E061F" w:rsidRDefault="007E061F" w:rsidP="00D75EE3">
      <w:pPr>
        <w:pStyle w:val="Bullet-list"/>
        <w:spacing w:after="0" w:line="240" w:lineRule="auto"/>
        <w:ind w:left="1701" w:hanging="567"/>
        <w:jc w:val="both"/>
        <w:rPr>
          <w:rFonts w:ascii="Times New Roman" w:hAnsi="Times New Roman"/>
          <w:sz w:val="24"/>
          <w:szCs w:val="24"/>
          <w:lang w:val="en-NZ"/>
        </w:rPr>
      </w:pPr>
    </w:p>
    <w:p w:rsidR="00D75EE3" w:rsidRDefault="00D75EE3" w:rsidP="00D75EE3">
      <w:pPr>
        <w:pStyle w:val="Bullet-list"/>
        <w:spacing w:after="0" w:line="240" w:lineRule="auto"/>
        <w:ind w:left="1134" w:hanging="567"/>
        <w:jc w:val="both"/>
        <w:rPr>
          <w:rFonts w:ascii="Times New Roman" w:hAnsi="Times New Roman"/>
          <w:sz w:val="24"/>
          <w:szCs w:val="24"/>
          <w:lang w:val="en-NZ"/>
        </w:rPr>
      </w:pPr>
      <w:r>
        <w:rPr>
          <w:rFonts w:ascii="Times New Roman" w:hAnsi="Times New Roman"/>
          <w:sz w:val="24"/>
          <w:szCs w:val="24"/>
          <w:lang w:val="en-NZ"/>
        </w:rPr>
        <w:sym w:font="Wingdings 2" w:char="F097"/>
      </w:r>
      <w:r>
        <w:rPr>
          <w:rFonts w:ascii="Times New Roman" w:hAnsi="Times New Roman"/>
          <w:sz w:val="24"/>
          <w:szCs w:val="24"/>
          <w:lang w:val="en-NZ"/>
        </w:rPr>
        <w:tab/>
        <w:t>If they have been unable to determine the status of an account</w:t>
      </w:r>
      <w:r w:rsidR="00427662">
        <w:rPr>
          <w:rFonts w:ascii="Times New Roman" w:hAnsi="Times New Roman"/>
          <w:sz w:val="24"/>
          <w:szCs w:val="24"/>
          <w:lang w:val="en-NZ"/>
        </w:rPr>
        <w:t>,</w:t>
      </w:r>
      <w:r>
        <w:rPr>
          <w:rFonts w:ascii="Times New Roman" w:hAnsi="Times New Roman"/>
          <w:sz w:val="24"/>
          <w:szCs w:val="24"/>
          <w:lang w:val="en-NZ"/>
        </w:rPr>
        <w:t xml:space="preserve"> they are required to report the account as an ‘</w:t>
      </w:r>
      <w:r w:rsidRPr="00D75EE3">
        <w:rPr>
          <w:rFonts w:ascii="Times New Roman" w:hAnsi="Times New Roman"/>
          <w:i/>
          <w:sz w:val="24"/>
          <w:szCs w:val="24"/>
          <w:lang w:val="en-NZ"/>
        </w:rPr>
        <w:t>undocumented account’</w:t>
      </w:r>
      <w:r w:rsidRPr="006348F0">
        <w:rPr>
          <w:rFonts w:ascii="Times New Roman" w:hAnsi="Times New Roman"/>
          <w:sz w:val="24"/>
          <w:szCs w:val="24"/>
          <w:lang w:val="en-NZ"/>
        </w:rPr>
        <w:t xml:space="preserve"> </w:t>
      </w:r>
      <w:r>
        <w:rPr>
          <w:rFonts w:ascii="Times New Roman" w:hAnsi="Times New Roman"/>
          <w:sz w:val="24"/>
          <w:szCs w:val="24"/>
          <w:lang w:val="en-NZ"/>
        </w:rPr>
        <w:t>in defined circumstances.</w:t>
      </w:r>
    </w:p>
    <w:p w:rsidR="00D75EE3" w:rsidRDefault="00D75EE3" w:rsidP="00D75EE3">
      <w:pPr>
        <w:pStyle w:val="Numberparagraph"/>
        <w:numPr>
          <w:ilvl w:val="0"/>
          <w:numId w:val="0"/>
        </w:numPr>
      </w:pPr>
    </w:p>
    <w:p w:rsidR="00D75EE3" w:rsidRDefault="00D75EE3" w:rsidP="007946CC">
      <w:pPr>
        <w:pStyle w:val="Numberparagraph"/>
        <w:numPr>
          <w:ilvl w:val="0"/>
          <w:numId w:val="0"/>
        </w:numPr>
        <w:ind w:left="567" w:hanging="567"/>
      </w:pPr>
      <w:r>
        <w:fldChar w:fldCharType="begin"/>
      </w:r>
      <w:r>
        <w:instrText xml:space="preserve"> AUTONUM  \* Arabic  </w:instrText>
      </w:r>
      <w:r>
        <w:fldChar w:fldCharType="end"/>
      </w:r>
      <w:r>
        <w:tab/>
        <w:t xml:space="preserve">The CRS also requires implementing jurisdictions to have rules and procedures in place to ensure </w:t>
      </w:r>
      <w:r w:rsidRPr="00F65FFA">
        <w:t>compliance</w:t>
      </w:r>
      <w:r>
        <w:t xml:space="preserve"> and address non-compliance.  This includes appropriate anti-avoidance rules, document retention requirements, auditing programmes, and sanctions to deal with identified non-compliance.  Jurisdictions are specifically required to follow up on any undocumented accounts that are reported.</w:t>
      </w:r>
    </w:p>
    <w:p w:rsidR="00D75EE3" w:rsidRDefault="00D75EE3" w:rsidP="007946CC">
      <w:pPr>
        <w:pStyle w:val="Numberparagraph"/>
        <w:numPr>
          <w:ilvl w:val="0"/>
          <w:numId w:val="0"/>
        </w:numPr>
        <w:ind w:left="567" w:hanging="567"/>
      </w:pPr>
    </w:p>
    <w:p w:rsidR="00D75EE3" w:rsidRDefault="00D75EE3" w:rsidP="007946CC">
      <w:pPr>
        <w:pStyle w:val="Bullet-list"/>
        <w:tabs>
          <w:tab w:val="num" w:pos="567"/>
        </w:tabs>
        <w:spacing w:after="0" w:line="240" w:lineRule="auto"/>
        <w:ind w:left="567" w:hanging="567"/>
        <w:jc w:val="both"/>
        <w:rPr>
          <w:rFonts w:ascii="Times New Roman" w:hAnsi="Times New Roman"/>
          <w:sz w:val="24"/>
          <w:szCs w:val="24"/>
          <w:lang w:val="en-NZ"/>
        </w:rPr>
      </w:pPr>
      <w:r w:rsidRPr="00662BE3">
        <w:rPr>
          <w:rFonts w:ascii="Times New Roman" w:hAnsi="Times New Roman"/>
          <w:sz w:val="24"/>
          <w:szCs w:val="24"/>
          <w:lang w:val="en-NZ"/>
        </w:rPr>
        <w:fldChar w:fldCharType="begin"/>
      </w:r>
      <w:r w:rsidRPr="00662BE3">
        <w:rPr>
          <w:rFonts w:ascii="Times New Roman" w:hAnsi="Times New Roman"/>
          <w:sz w:val="24"/>
          <w:szCs w:val="24"/>
          <w:lang w:val="en-NZ"/>
        </w:rPr>
        <w:instrText xml:space="preserve"> AUTONUM  \* Arabic  </w:instrText>
      </w:r>
      <w:r w:rsidRPr="00662BE3">
        <w:rPr>
          <w:rFonts w:ascii="Times New Roman" w:hAnsi="Times New Roman"/>
          <w:sz w:val="24"/>
          <w:szCs w:val="24"/>
          <w:lang w:val="en-NZ"/>
        </w:rPr>
        <w:fldChar w:fldCharType="end"/>
      </w:r>
      <w:r w:rsidRPr="00662BE3">
        <w:rPr>
          <w:rFonts w:ascii="Times New Roman" w:hAnsi="Times New Roman"/>
          <w:sz w:val="24"/>
          <w:szCs w:val="24"/>
          <w:lang w:val="en-NZ"/>
        </w:rPr>
        <w:tab/>
      </w:r>
      <w:r>
        <w:rPr>
          <w:rFonts w:ascii="Times New Roman" w:hAnsi="Times New Roman"/>
          <w:sz w:val="24"/>
          <w:szCs w:val="24"/>
          <w:lang w:val="en-NZ"/>
        </w:rPr>
        <w:t xml:space="preserve">The CRS contains </w:t>
      </w:r>
      <w:r w:rsidRPr="00F65FFA">
        <w:rPr>
          <w:rFonts w:ascii="Times New Roman" w:hAnsi="Times New Roman"/>
          <w:sz w:val="24"/>
          <w:szCs w:val="24"/>
          <w:lang w:val="en-NZ"/>
        </w:rPr>
        <w:t>exclusions</w:t>
      </w:r>
      <w:r w:rsidRPr="00662BE3">
        <w:rPr>
          <w:rFonts w:ascii="Times New Roman" w:hAnsi="Times New Roman"/>
          <w:sz w:val="24"/>
          <w:szCs w:val="24"/>
          <w:lang w:val="en-NZ"/>
        </w:rPr>
        <w:t xml:space="preserve"> for certain categories </w:t>
      </w:r>
      <w:r w:rsidRPr="007D146B">
        <w:rPr>
          <w:rFonts w:ascii="Times New Roman" w:hAnsi="Times New Roman"/>
          <w:sz w:val="24"/>
          <w:szCs w:val="24"/>
          <w:lang w:val="en-NZ"/>
        </w:rPr>
        <w:t>of financial institution and financial account that are considered to pose a low risk of fa</w:t>
      </w:r>
      <w:r w:rsidRPr="00662BE3">
        <w:rPr>
          <w:rFonts w:ascii="Times New Roman" w:hAnsi="Times New Roman"/>
          <w:sz w:val="24"/>
          <w:szCs w:val="24"/>
          <w:lang w:val="en-NZ"/>
        </w:rPr>
        <w:t xml:space="preserve">cilitating </w:t>
      </w:r>
      <w:r>
        <w:rPr>
          <w:rFonts w:ascii="Times New Roman" w:hAnsi="Times New Roman"/>
          <w:sz w:val="24"/>
          <w:szCs w:val="24"/>
          <w:lang w:val="en-NZ"/>
        </w:rPr>
        <w:t xml:space="preserve">or being used for </w:t>
      </w:r>
      <w:r w:rsidRPr="00662BE3">
        <w:rPr>
          <w:rFonts w:ascii="Times New Roman" w:hAnsi="Times New Roman"/>
          <w:sz w:val="24"/>
          <w:szCs w:val="24"/>
          <w:lang w:val="en-NZ"/>
        </w:rPr>
        <w:t xml:space="preserve">tax evasion.  </w:t>
      </w:r>
      <w:r>
        <w:rPr>
          <w:rFonts w:ascii="Times New Roman" w:hAnsi="Times New Roman"/>
          <w:sz w:val="24"/>
          <w:szCs w:val="24"/>
          <w:lang w:val="en-NZ"/>
        </w:rPr>
        <w:t xml:space="preserve">However, in some cases the criteria for exclusion are not automatic, and require submissions to be made by the financial institutions concerned.  These criteria are very stringent.  The application of the criteria in such cases will </w:t>
      </w:r>
      <w:r w:rsidRPr="00662BE3">
        <w:rPr>
          <w:rFonts w:ascii="Times New Roman" w:hAnsi="Times New Roman"/>
          <w:sz w:val="24"/>
          <w:szCs w:val="24"/>
          <w:lang w:val="en-NZ"/>
        </w:rPr>
        <w:t xml:space="preserve">be dealt with as a stage two implementation matter.  </w:t>
      </w:r>
      <w:r>
        <w:rPr>
          <w:rFonts w:ascii="Times New Roman" w:hAnsi="Times New Roman"/>
          <w:sz w:val="24"/>
          <w:szCs w:val="24"/>
          <w:lang w:val="en-NZ"/>
        </w:rPr>
        <w:t xml:space="preserve">The </w:t>
      </w:r>
      <w:r w:rsidRPr="00662BE3">
        <w:rPr>
          <w:rFonts w:ascii="Times New Roman" w:hAnsi="Times New Roman"/>
          <w:sz w:val="24"/>
          <w:szCs w:val="24"/>
          <w:lang w:val="en-NZ"/>
        </w:rPr>
        <w:t xml:space="preserve">process will involve </w:t>
      </w:r>
      <w:r>
        <w:rPr>
          <w:rFonts w:ascii="Times New Roman" w:hAnsi="Times New Roman"/>
          <w:sz w:val="24"/>
          <w:szCs w:val="24"/>
          <w:lang w:val="en-NZ"/>
        </w:rPr>
        <w:t xml:space="preserve">Inland Revenue </w:t>
      </w:r>
      <w:r w:rsidRPr="00662BE3">
        <w:rPr>
          <w:rFonts w:ascii="Times New Roman" w:hAnsi="Times New Roman"/>
          <w:sz w:val="24"/>
          <w:szCs w:val="24"/>
          <w:lang w:val="en-NZ"/>
        </w:rPr>
        <w:t xml:space="preserve">calling for submissions, </w:t>
      </w:r>
      <w:r>
        <w:rPr>
          <w:rFonts w:ascii="Times New Roman" w:hAnsi="Times New Roman"/>
          <w:sz w:val="24"/>
          <w:szCs w:val="24"/>
          <w:lang w:val="en-NZ"/>
        </w:rPr>
        <w:t xml:space="preserve">and if possible making the necessary determinations </w:t>
      </w:r>
      <w:r w:rsidRPr="00662BE3">
        <w:rPr>
          <w:rFonts w:ascii="Times New Roman" w:hAnsi="Times New Roman"/>
          <w:sz w:val="24"/>
          <w:szCs w:val="24"/>
          <w:lang w:val="en-NZ"/>
        </w:rPr>
        <w:t>b</w:t>
      </w:r>
      <w:r>
        <w:rPr>
          <w:rFonts w:ascii="Times New Roman" w:hAnsi="Times New Roman"/>
          <w:sz w:val="24"/>
          <w:szCs w:val="24"/>
          <w:lang w:val="en-NZ"/>
        </w:rPr>
        <w:t>efore</w:t>
      </w:r>
      <w:r w:rsidRPr="00662BE3">
        <w:rPr>
          <w:rFonts w:ascii="Times New Roman" w:hAnsi="Times New Roman"/>
          <w:sz w:val="24"/>
          <w:szCs w:val="24"/>
          <w:lang w:val="en-NZ"/>
        </w:rPr>
        <w:t xml:space="preserve"> the end of </w:t>
      </w:r>
      <w:r>
        <w:rPr>
          <w:rFonts w:ascii="Times New Roman" w:hAnsi="Times New Roman"/>
          <w:sz w:val="24"/>
          <w:szCs w:val="24"/>
          <w:lang w:val="en-NZ"/>
        </w:rPr>
        <w:t>2016</w:t>
      </w:r>
      <w:r w:rsidRPr="00662BE3">
        <w:rPr>
          <w:rFonts w:ascii="Times New Roman" w:hAnsi="Times New Roman"/>
          <w:sz w:val="24"/>
          <w:szCs w:val="24"/>
          <w:lang w:val="en-NZ"/>
        </w:rPr>
        <w:t>.</w:t>
      </w:r>
    </w:p>
    <w:p w:rsidR="00534AE7" w:rsidRDefault="00534AE7" w:rsidP="00D75EE3">
      <w:pPr>
        <w:pStyle w:val="Bullet-list"/>
        <w:tabs>
          <w:tab w:val="num" w:pos="567"/>
        </w:tabs>
        <w:spacing w:after="0" w:line="240" w:lineRule="auto"/>
        <w:ind w:left="0" w:firstLine="0"/>
        <w:jc w:val="both"/>
        <w:rPr>
          <w:rFonts w:ascii="Times New Roman" w:hAnsi="Times New Roman"/>
          <w:sz w:val="24"/>
          <w:szCs w:val="24"/>
          <w:lang w:val="en-NZ"/>
        </w:rPr>
      </w:pPr>
    </w:p>
    <w:p w:rsidR="00B66FD7" w:rsidRPr="00F65FFA" w:rsidRDefault="005C5151" w:rsidP="00F65FFA">
      <w:pPr>
        <w:spacing w:after="0" w:line="240" w:lineRule="auto"/>
        <w:rPr>
          <w:lang w:val="en-NZ" w:eastAsia="en-US"/>
        </w:rPr>
      </w:pPr>
      <w:r w:rsidRPr="00F65FFA">
        <w:rPr>
          <w:rFonts w:ascii="Times New Roman" w:hAnsi="Times New Roman"/>
          <w:b/>
          <w:sz w:val="24"/>
          <w:szCs w:val="24"/>
          <w:lang w:val="en-NZ" w:eastAsia="en-US"/>
        </w:rPr>
        <w:t>New Zealand’s precedents and existing mechanisms</w:t>
      </w:r>
    </w:p>
    <w:p w:rsidR="00534AE7" w:rsidRDefault="00534AE7" w:rsidP="00F90B85">
      <w:pPr>
        <w:pStyle w:val="Bullet-list"/>
        <w:spacing w:after="0" w:line="240" w:lineRule="auto"/>
        <w:ind w:left="0" w:firstLine="0"/>
        <w:jc w:val="both"/>
        <w:rPr>
          <w:rFonts w:ascii="Times New Roman" w:hAnsi="Times New Roman"/>
          <w:sz w:val="24"/>
          <w:szCs w:val="24"/>
          <w:lang w:val="en-NZ"/>
        </w:rPr>
      </w:pPr>
    </w:p>
    <w:p w:rsidR="00073EDA" w:rsidRDefault="001F1FFD" w:rsidP="007946CC">
      <w:pPr>
        <w:pStyle w:val="Bullet-list"/>
        <w:spacing w:after="0" w:line="240" w:lineRule="auto"/>
        <w:ind w:left="567" w:hanging="567"/>
        <w:jc w:val="both"/>
        <w:rPr>
          <w:rFonts w:ascii="Times New Roman" w:hAnsi="Times New Roman"/>
          <w:sz w:val="24"/>
          <w:szCs w:val="24"/>
          <w:lang w:val="en-NZ"/>
        </w:rPr>
      </w:pPr>
      <w:r w:rsidRPr="001F1FFD">
        <w:rPr>
          <w:rFonts w:ascii="Times New Roman" w:hAnsi="Times New Roman"/>
          <w:sz w:val="24"/>
          <w:szCs w:val="24"/>
          <w:lang w:val="en-NZ"/>
        </w:rPr>
        <w:fldChar w:fldCharType="begin"/>
      </w:r>
      <w:r w:rsidRPr="001F1FFD">
        <w:rPr>
          <w:rFonts w:ascii="Times New Roman" w:hAnsi="Times New Roman"/>
          <w:sz w:val="24"/>
          <w:szCs w:val="24"/>
          <w:lang w:val="en-NZ"/>
        </w:rPr>
        <w:instrText xml:space="preserve"> AUTONUM  \* Arabic  </w:instrText>
      </w:r>
      <w:r w:rsidRPr="001F1FFD">
        <w:rPr>
          <w:rFonts w:ascii="Times New Roman" w:hAnsi="Times New Roman"/>
          <w:sz w:val="24"/>
          <w:szCs w:val="24"/>
          <w:lang w:val="en-NZ"/>
        </w:rPr>
        <w:fldChar w:fldCharType="end"/>
      </w:r>
      <w:r w:rsidRPr="001F1FFD">
        <w:rPr>
          <w:rFonts w:ascii="Times New Roman" w:hAnsi="Times New Roman"/>
          <w:sz w:val="24"/>
          <w:szCs w:val="24"/>
          <w:lang w:val="en-NZ"/>
        </w:rPr>
        <w:tab/>
      </w:r>
      <w:r w:rsidR="00603033">
        <w:rPr>
          <w:rFonts w:ascii="Times New Roman" w:hAnsi="Times New Roman"/>
          <w:sz w:val="24"/>
          <w:szCs w:val="24"/>
          <w:lang w:val="en-NZ"/>
        </w:rPr>
        <w:t>New Zealand has had an active exchange of information programme for many years</w:t>
      </w:r>
      <w:r w:rsidR="006D09FE">
        <w:rPr>
          <w:rFonts w:ascii="Times New Roman" w:hAnsi="Times New Roman"/>
          <w:sz w:val="24"/>
          <w:szCs w:val="24"/>
          <w:lang w:val="en-NZ"/>
        </w:rPr>
        <w:t xml:space="preserve">.  This </w:t>
      </w:r>
      <w:r w:rsidR="003A7E73">
        <w:rPr>
          <w:rFonts w:ascii="Times New Roman" w:hAnsi="Times New Roman"/>
          <w:sz w:val="24"/>
          <w:szCs w:val="24"/>
          <w:lang w:val="en-NZ"/>
        </w:rPr>
        <w:t xml:space="preserve">primarily </w:t>
      </w:r>
      <w:r w:rsidR="006D09FE">
        <w:rPr>
          <w:rFonts w:ascii="Times New Roman" w:hAnsi="Times New Roman"/>
          <w:sz w:val="24"/>
          <w:szCs w:val="24"/>
          <w:lang w:val="en-NZ"/>
        </w:rPr>
        <w:t>operates on the basis of responding to specific</w:t>
      </w:r>
      <w:r w:rsidR="003A7E73">
        <w:rPr>
          <w:rFonts w:ascii="Times New Roman" w:hAnsi="Times New Roman"/>
          <w:sz w:val="24"/>
          <w:szCs w:val="24"/>
          <w:lang w:val="en-NZ"/>
        </w:rPr>
        <w:t xml:space="preserve"> request</w:t>
      </w:r>
      <w:r w:rsidR="006D09FE">
        <w:rPr>
          <w:rFonts w:ascii="Times New Roman" w:hAnsi="Times New Roman"/>
          <w:sz w:val="24"/>
          <w:szCs w:val="24"/>
          <w:lang w:val="en-NZ"/>
        </w:rPr>
        <w:t>s for information</w:t>
      </w:r>
      <w:r w:rsidR="003A7E73">
        <w:rPr>
          <w:rFonts w:ascii="Times New Roman" w:hAnsi="Times New Roman"/>
          <w:sz w:val="24"/>
          <w:szCs w:val="24"/>
          <w:lang w:val="en-NZ"/>
        </w:rPr>
        <w:t>, but certain categories of information</w:t>
      </w:r>
      <w:r w:rsidR="006D09FE">
        <w:rPr>
          <w:rFonts w:ascii="Times New Roman" w:hAnsi="Times New Roman"/>
          <w:sz w:val="24"/>
          <w:szCs w:val="24"/>
          <w:lang w:val="en-NZ"/>
        </w:rPr>
        <w:t xml:space="preserve"> are subject to automatic exchange</w:t>
      </w:r>
      <w:r w:rsidR="003A7E73">
        <w:rPr>
          <w:rFonts w:ascii="Times New Roman" w:hAnsi="Times New Roman"/>
          <w:sz w:val="24"/>
          <w:szCs w:val="24"/>
          <w:lang w:val="en-NZ"/>
        </w:rPr>
        <w:t xml:space="preserve">.  </w:t>
      </w:r>
      <w:r w:rsidR="006D09FE">
        <w:rPr>
          <w:rFonts w:ascii="Times New Roman" w:hAnsi="Times New Roman"/>
          <w:sz w:val="24"/>
          <w:szCs w:val="24"/>
          <w:lang w:val="en-NZ"/>
        </w:rPr>
        <w:t>As yet, we only automatically</w:t>
      </w:r>
      <w:r w:rsidR="00073EDA">
        <w:rPr>
          <w:rFonts w:ascii="Times New Roman" w:hAnsi="Times New Roman"/>
          <w:sz w:val="24"/>
          <w:szCs w:val="24"/>
          <w:lang w:val="en-NZ"/>
        </w:rPr>
        <w:t xml:space="preserve"> exchange </w:t>
      </w:r>
      <w:r w:rsidR="00073EDA" w:rsidRPr="006B7BB1">
        <w:rPr>
          <w:rFonts w:ascii="Times New Roman" w:hAnsi="Times New Roman"/>
          <w:i/>
          <w:sz w:val="24"/>
          <w:szCs w:val="24"/>
          <w:lang w:val="en-NZ"/>
        </w:rPr>
        <w:t>financial account</w:t>
      </w:r>
      <w:r w:rsidR="00073EDA">
        <w:rPr>
          <w:rFonts w:ascii="Times New Roman" w:hAnsi="Times New Roman"/>
          <w:sz w:val="24"/>
          <w:szCs w:val="24"/>
          <w:lang w:val="en-NZ"/>
        </w:rPr>
        <w:t xml:space="preserve"> information with </w:t>
      </w:r>
      <w:r w:rsidR="003A7E73">
        <w:rPr>
          <w:rFonts w:ascii="Times New Roman" w:hAnsi="Times New Roman"/>
          <w:sz w:val="24"/>
          <w:szCs w:val="24"/>
          <w:lang w:val="en-NZ"/>
        </w:rPr>
        <w:t xml:space="preserve">one country – </w:t>
      </w:r>
      <w:r w:rsidR="00073EDA">
        <w:rPr>
          <w:rFonts w:ascii="Times New Roman" w:hAnsi="Times New Roman"/>
          <w:sz w:val="24"/>
          <w:szCs w:val="24"/>
          <w:lang w:val="en-NZ"/>
        </w:rPr>
        <w:t>the United States (US)</w:t>
      </w:r>
      <w:r w:rsidR="003A7E73">
        <w:rPr>
          <w:rFonts w:ascii="Times New Roman" w:hAnsi="Times New Roman"/>
          <w:sz w:val="24"/>
          <w:szCs w:val="24"/>
          <w:lang w:val="en-NZ"/>
        </w:rPr>
        <w:t>, pursuant to their</w:t>
      </w:r>
      <w:r w:rsidR="00603033">
        <w:rPr>
          <w:rFonts w:ascii="Times New Roman" w:hAnsi="Times New Roman"/>
          <w:sz w:val="24"/>
          <w:szCs w:val="24"/>
          <w:lang w:val="en-NZ"/>
        </w:rPr>
        <w:t xml:space="preserve"> 2010 </w:t>
      </w:r>
      <w:r w:rsidR="00073EDA" w:rsidRPr="00E72EA1">
        <w:rPr>
          <w:rFonts w:ascii="Times New Roman" w:hAnsi="Times New Roman"/>
          <w:i/>
          <w:sz w:val="24"/>
          <w:szCs w:val="24"/>
        </w:rPr>
        <w:t>Foreign Account Tax Compliance Act</w:t>
      </w:r>
      <w:r w:rsidR="00073EDA">
        <w:rPr>
          <w:rFonts w:ascii="Times New Roman" w:hAnsi="Times New Roman"/>
          <w:sz w:val="24"/>
          <w:szCs w:val="24"/>
        </w:rPr>
        <w:t xml:space="preserve"> (FATCA) initiative</w:t>
      </w:r>
      <w:r w:rsidR="00073EDA">
        <w:rPr>
          <w:rFonts w:ascii="Times New Roman" w:hAnsi="Times New Roman"/>
          <w:sz w:val="24"/>
          <w:szCs w:val="24"/>
          <w:lang w:val="en-NZ"/>
        </w:rPr>
        <w:t>.</w:t>
      </w:r>
    </w:p>
    <w:p w:rsidR="00B32D2F" w:rsidRDefault="00B32D2F" w:rsidP="007946CC">
      <w:pPr>
        <w:pStyle w:val="Bullet-list"/>
        <w:spacing w:after="0" w:line="240" w:lineRule="auto"/>
        <w:ind w:left="567" w:hanging="567"/>
        <w:jc w:val="both"/>
        <w:rPr>
          <w:rFonts w:ascii="Times New Roman" w:hAnsi="Times New Roman"/>
          <w:sz w:val="24"/>
          <w:szCs w:val="24"/>
          <w:lang w:val="en-NZ"/>
        </w:rPr>
      </w:pPr>
    </w:p>
    <w:p w:rsidR="005521B1" w:rsidRDefault="00B32D2F" w:rsidP="007946CC">
      <w:pPr>
        <w:pStyle w:val="Bullet-list"/>
        <w:spacing w:after="0" w:line="240" w:lineRule="auto"/>
        <w:ind w:left="567" w:hanging="567"/>
        <w:jc w:val="both"/>
        <w:rPr>
          <w:rFonts w:ascii="Times New Roman" w:hAnsi="Times New Roman"/>
          <w:sz w:val="24"/>
          <w:szCs w:val="24"/>
          <w:lang w:val="en-NZ"/>
        </w:rPr>
      </w:pPr>
      <w:r>
        <w:rPr>
          <w:rFonts w:ascii="Times New Roman" w:hAnsi="Times New Roman"/>
          <w:sz w:val="24"/>
          <w:szCs w:val="24"/>
          <w:lang w:val="en-NZ"/>
        </w:rPr>
        <w:fldChar w:fldCharType="begin"/>
      </w:r>
      <w:r>
        <w:rPr>
          <w:rFonts w:ascii="Times New Roman" w:hAnsi="Times New Roman"/>
          <w:sz w:val="24"/>
          <w:szCs w:val="24"/>
          <w:lang w:val="en-NZ"/>
        </w:rPr>
        <w:instrText xml:space="preserve"> AUTONUM  \* Arabic  </w:instrText>
      </w:r>
      <w:r>
        <w:rPr>
          <w:rFonts w:ascii="Times New Roman" w:hAnsi="Times New Roman"/>
          <w:sz w:val="24"/>
          <w:szCs w:val="24"/>
          <w:lang w:val="en-NZ"/>
        </w:rPr>
        <w:fldChar w:fldCharType="end"/>
      </w:r>
      <w:r>
        <w:rPr>
          <w:rFonts w:ascii="Times New Roman" w:hAnsi="Times New Roman"/>
          <w:sz w:val="24"/>
          <w:szCs w:val="24"/>
          <w:lang w:val="en-NZ"/>
        </w:rPr>
        <w:tab/>
        <w:t xml:space="preserve">FATCA operates on a similar basis to AEOI, in that </w:t>
      </w:r>
      <w:r>
        <w:rPr>
          <w:rFonts w:ascii="Times New Roman" w:hAnsi="Times New Roman"/>
          <w:sz w:val="24"/>
          <w:szCs w:val="24"/>
        </w:rPr>
        <w:t>New Zealand financial institutions are required to identify accounts held or controlled by US tax residents or citizens</w:t>
      </w:r>
      <w:r w:rsidRPr="00F65FFA">
        <w:rPr>
          <w:rStyle w:val="FootnoteReference"/>
          <w:rFonts w:ascii="Times New Roman" w:hAnsi="Times New Roman"/>
          <w:szCs w:val="24"/>
        </w:rPr>
        <w:footnoteReference w:id="6"/>
      </w:r>
      <w:r w:rsidRPr="00E66C57">
        <w:rPr>
          <w:rFonts w:ascii="Times New Roman" w:hAnsi="Times New Roman"/>
          <w:sz w:val="24"/>
          <w:szCs w:val="24"/>
        </w:rPr>
        <w:t xml:space="preserve">  </w:t>
      </w:r>
      <w:r>
        <w:rPr>
          <w:rFonts w:ascii="Times New Roman" w:hAnsi="Times New Roman"/>
          <w:sz w:val="24"/>
          <w:szCs w:val="24"/>
        </w:rPr>
        <w:t xml:space="preserve">Financial account information on those accounts is then reported to Inland Revenue, which automatically exchanges the information with the </w:t>
      </w:r>
      <w:r w:rsidR="00E220B4">
        <w:rPr>
          <w:rFonts w:ascii="Times New Roman" w:hAnsi="Times New Roman"/>
          <w:sz w:val="24"/>
          <w:szCs w:val="24"/>
        </w:rPr>
        <w:t>US.</w:t>
      </w:r>
    </w:p>
    <w:p w:rsidR="00073EDA" w:rsidRDefault="00073EDA" w:rsidP="00F90B85">
      <w:pPr>
        <w:pStyle w:val="Bullet-list"/>
        <w:spacing w:after="0" w:line="240" w:lineRule="auto"/>
        <w:ind w:left="0" w:firstLine="0"/>
        <w:jc w:val="both"/>
        <w:rPr>
          <w:rFonts w:ascii="Times New Roman" w:hAnsi="Times New Roman"/>
          <w:sz w:val="24"/>
          <w:szCs w:val="24"/>
          <w:lang w:val="en-NZ"/>
        </w:rPr>
      </w:pPr>
    </w:p>
    <w:p w:rsidR="00073EDA" w:rsidRDefault="00073EDA" w:rsidP="007946CC">
      <w:pPr>
        <w:pStyle w:val="Bullet-list"/>
        <w:spacing w:after="0" w:line="240" w:lineRule="auto"/>
        <w:ind w:left="567" w:hanging="567"/>
        <w:jc w:val="both"/>
        <w:rPr>
          <w:rFonts w:ascii="Times New Roman" w:hAnsi="Times New Roman"/>
          <w:sz w:val="24"/>
          <w:szCs w:val="24"/>
          <w:lang w:val="en-NZ"/>
        </w:rPr>
      </w:pPr>
      <w:r>
        <w:rPr>
          <w:rFonts w:ascii="Times New Roman" w:hAnsi="Times New Roman"/>
          <w:sz w:val="24"/>
          <w:szCs w:val="24"/>
          <w:lang w:val="en-NZ"/>
        </w:rPr>
        <w:fldChar w:fldCharType="begin"/>
      </w:r>
      <w:r>
        <w:rPr>
          <w:rFonts w:ascii="Times New Roman" w:hAnsi="Times New Roman"/>
          <w:sz w:val="24"/>
          <w:szCs w:val="24"/>
          <w:lang w:val="en-NZ"/>
        </w:rPr>
        <w:instrText xml:space="preserve"> AUTONUM  \* Arabic  </w:instrText>
      </w:r>
      <w:r>
        <w:rPr>
          <w:rFonts w:ascii="Times New Roman" w:hAnsi="Times New Roman"/>
          <w:sz w:val="24"/>
          <w:szCs w:val="24"/>
          <w:lang w:val="en-NZ"/>
        </w:rPr>
        <w:fldChar w:fldCharType="end"/>
      </w:r>
      <w:r>
        <w:rPr>
          <w:rFonts w:ascii="Times New Roman" w:hAnsi="Times New Roman"/>
          <w:sz w:val="24"/>
          <w:szCs w:val="24"/>
          <w:lang w:val="en-NZ"/>
        </w:rPr>
        <w:tab/>
        <w:t xml:space="preserve">The </w:t>
      </w:r>
      <w:r w:rsidR="004E156F">
        <w:rPr>
          <w:rFonts w:ascii="Times New Roman" w:hAnsi="Times New Roman"/>
          <w:sz w:val="24"/>
          <w:szCs w:val="24"/>
          <w:lang w:val="en-NZ"/>
        </w:rPr>
        <w:t xml:space="preserve">framework </w:t>
      </w:r>
      <w:r>
        <w:rPr>
          <w:rFonts w:ascii="Times New Roman" w:hAnsi="Times New Roman"/>
          <w:sz w:val="24"/>
          <w:szCs w:val="24"/>
          <w:lang w:val="en-NZ"/>
        </w:rPr>
        <w:t xml:space="preserve">legislation </w:t>
      </w:r>
      <w:r w:rsidR="004E156F">
        <w:rPr>
          <w:rFonts w:ascii="Times New Roman" w:hAnsi="Times New Roman"/>
          <w:sz w:val="24"/>
          <w:szCs w:val="24"/>
          <w:lang w:val="en-NZ"/>
        </w:rPr>
        <w:t>for</w:t>
      </w:r>
      <w:r>
        <w:rPr>
          <w:rFonts w:ascii="Times New Roman" w:hAnsi="Times New Roman"/>
          <w:sz w:val="24"/>
          <w:szCs w:val="24"/>
          <w:lang w:val="en-NZ"/>
        </w:rPr>
        <w:t xml:space="preserve"> FATCA in New Zealand </w:t>
      </w:r>
      <w:r w:rsidR="004E156F">
        <w:rPr>
          <w:rFonts w:ascii="Times New Roman" w:hAnsi="Times New Roman"/>
          <w:sz w:val="24"/>
          <w:szCs w:val="24"/>
          <w:lang w:val="en-NZ"/>
        </w:rPr>
        <w:t xml:space="preserve">is contained in </w:t>
      </w:r>
      <w:r>
        <w:rPr>
          <w:rFonts w:ascii="Times New Roman" w:hAnsi="Times New Roman"/>
          <w:sz w:val="24"/>
          <w:szCs w:val="24"/>
          <w:lang w:val="en-NZ"/>
        </w:rPr>
        <w:t xml:space="preserve">Part 11B of </w:t>
      </w:r>
      <w:r w:rsidR="00603033">
        <w:rPr>
          <w:rFonts w:ascii="Times New Roman" w:hAnsi="Times New Roman"/>
          <w:sz w:val="24"/>
          <w:szCs w:val="24"/>
          <w:lang w:val="en-NZ"/>
        </w:rPr>
        <w:t>the Tax Administration Act 1994</w:t>
      </w:r>
      <w:r w:rsidR="004E156F">
        <w:rPr>
          <w:rFonts w:ascii="Times New Roman" w:hAnsi="Times New Roman"/>
          <w:sz w:val="24"/>
          <w:szCs w:val="24"/>
          <w:lang w:val="en-NZ"/>
        </w:rPr>
        <w:t>.  The detailed rules</w:t>
      </w:r>
      <w:r>
        <w:rPr>
          <w:rFonts w:ascii="Times New Roman" w:hAnsi="Times New Roman"/>
          <w:sz w:val="24"/>
          <w:szCs w:val="24"/>
          <w:lang w:val="en-NZ"/>
        </w:rPr>
        <w:t xml:space="preserve"> </w:t>
      </w:r>
      <w:r w:rsidR="00E220B4">
        <w:rPr>
          <w:rFonts w:ascii="Times New Roman" w:hAnsi="Times New Roman"/>
          <w:sz w:val="24"/>
          <w:szCs w:val="24"/>
          <w:lang w:val="en-NZ"/>
        </w:rPr>
        <w:t>are set out</w:t>
      </w:r>
      <w:r>
        <w:rPr>
          <w:rFonts w:ascii="Times New Roman" w:hAnsi="Times New Roman"/>
          <w:sz w:val="24"/>
          <w:szCs w:val="24"/>
          <w:lang w:val="en-NZ"/>
        </w:rPr>
        <w:t xml:space="preserve"> in an Intergovernmental Agreement (IGA) with the US that </w:t>
      </w:r>
      <w:r w:rsidR="00603033">
        <w:rPr>
          <w:rFonts w:ascii="Times New Roman" w:hAnsi="Times New Roman"/>
          <w:sz w:val="24"/>
          <w:szCs w:val="24"/>
          <w:lang w:val="en-NZ"/>
        </w:rPr>
        <w:t>has been</w:t>
      </w:r>
      <w:r>
        <w:rPr>
          <w:rFonts w:ascii="Times New Roman" w:hAnsi="Times New Roman"/>
          <w:sz w:val="24"/>
          <w:szCs w:val="24"/>
          <w:lang w:val="en-NZ"/>
        </w:rPr>
        <w:t xml:space="preserve"> given </w:t>
      </w:r>
      <w:r w:rsidR="00603033">
        <w:rPr>
          <w:rFonts w:ascii="Times New Roman" w:hAnsi="Times New Roman"/>
          <w:sz w:val="24"/>
          <w:szCs w:val="24"/>
          <w:lang w:val="en-NZ"/>
        </w:rPr>
        <w:t xml:space="preserve">legislative </w:t>
      </w:r>
      <w:r>
        <w:rPr>
          <w:rFonts w:ascii="Times New Roman" w:hAnsi="Times New Roman"/>
          <w:sz w:val="24"/>
          <w:szCs w:val="24"/>
          <w:lang w:val="en-NZ"/>
        </w:rPr>
        <w:t>effect in New Zealand by Order in Council.</w:t>
      </w:r>
    </w:p>
    <w:p w:rsidR="00073EDA" w:rsidRDefault="00073EDA" w:rsidP="007946CC">
      <w:pPr>
        <w:pStyle w:val="Bullet-list"/>
        <w:spacing w:after="0" w:line="240" w:lineRule="auto"/>
        <w:ind w:left="567" w:hanging="567"/>
        <w:jc w:val="both"/>
        <w:rPr>
          <w:rFonts w:ascii="Times New Roman" w:hAnsi="Times New Roman"/>
          <w:sz w:val="24"/>
          <w:szCs w:val="24"/>
          <w:lang w:val="en-NZ"/>
        </w:rPr>
      </w:pPr>
    </w:p>
    <w:p w:rsidR="00073EDA" w:rsidRPr="00603033" w:rsidRDefault="00073EDA" w:rsidP="007946CC">
      <w:pPr>
        <w:pStyle w:val="Bullet-list"/>
        <w:spacing w:after="0" w:line="240" w:lineRule="auto"/>
        <w:ind w:left="567" w:hanging="567"/>
        <w:jc w:val="both"/>
        <w:rPr>
          <w:rFonts w:ascii="Times New Roman" w:hAnsi="Times New Roman"/>
          <w:sz w:val="24"/>
          <w:szCs w:val="24"/>
          <w:u w:val="single"/>
          <w:lang w:val="en-NZ"/>
        </w:rPr>
      </w:pPr>
      <w:r>
        <w:rPr>
          <w:rFonts w:ascii="Times New Roman" w:hAnsi="Times New Roman"/>
          <w:sz w:val="24"/>
          <w:szCs w:val="24"/>
          <w:lang w:val="en-NZ"/>
        </w:rPr>
        <w:fldChar w:fldCharType="begin"/>
      </w:r>
      <w:r>
        <w:rPr>
          <w:rFonts w:ascii="Times New Roman" w:hAnsi="Times New Roman"/>
          <w:sz w:val="24"/>
          <w:szCs w:val="24"/>
          <w:lang w:val="en-NZ"/>
        </w:rPr>
        <w:instrText xml:space="preserve"> AUTONUM  \* Arabic  </w:instrText>
      </w:r>
      <w:r>
        <w:rPr>
          <w:rFonts w:ascii="Times New Roman" w:hAnsi="Times New Roman"/>
          <w:sz w:val="24"/>
          <w:szCs w:val="24"/>
          <w:lang w:val="en-NZ"/>
        </w:rPr>
        <w:fldChar w:fldCharType="end"/>
      </w:r>
      <w:r>
        <w:rPr>
          <w:rFonts w:ascii="Times New Roman" w:hAnsi="Times New Roman"/>
          <w:sz w:val="24"/>
          <w:szCs w:val="24"/>
          <w:lang w:val="en-NZ"/>
        </w:rPr>
        <w:tab/>
        <w:t xml:space="preserve">Part 11B </w:t>
      </w:r>
      <w:r w:rsidR="00427662">
        <w:rPr>
          <w:rFonts w:ascii="Times New Roman" w:hAnsi="Times New Roman"/>
          <w:sz w:val="24"/>
          <w:szCs w:val="24"/>
          <w:lang w:val="en-NZ"/>
        </w:rPr>
        <w:t xml:space="preserve">of the Act </w:t>
      </w:r>
      <w:r>
        <w:rPr>
          <w:rFonts w:ascii="Times New Roman" w:hAnsi="Times New Roman"/>
          <w:sz w:val="24"/>
          <w:szCs w:val="24"/>
          <w:lang w:val="en-NZ"/>
        </w:rPr>
        <w:t xml:space="preserve">contemplates entering into similar arrangements with other countries.  Strictly, therefore, New Zealand legislation already </w:t>
      </w:r>
      <w:r w:rsidR="00603033">
        <w:rPr>
          <w:rFonts w:ascii="Times New Roman" w:hAnsi="Times New Roman"/>
          <w:sz w:val="24"/>
          <w:szCs w:val="24"/>
          <w:lang w:val="en-NZ"/>
        </w:rPr>
        <w:t>provides for</w:t>
      </w:r>
      <w:r>
        <w:rPr>
          <w:rFonts w:ascii="Times New Roman" w:hAnsi="Times New Roman"/>
          <w:sz w:val="24"/>
          <w:szCs w:val="24"/>
          <w:lang w:val="en-NZ"/>
        </w:rPr>
        <w:t xml:space="preserve"> automatic exchange of financial account information</w:t>
      </w:r>
      <w:r w:rsidR="00B32D2F">
        <w:rPr>
          <w:rFonts w:ascii="Times New Roman" w:hAnsi="Times New Roman"/>
          <w:sz w:val="24"/>
          <w:szCs w:val="24"/>
          <w:lang w:val="en-NZ"/>
        </w:rPr>
        <w:t xml:space="preserve"> with countries other than the US</w:t>
      </w:r>
      <w:r>
        <w:rPr>
          <w:rFonts w:ascii="Times New Roman" w:hAnsi="Times New Roman"/>
          <w:sz w:val="24"/>
          <w:szCs w:val="24"/>
          <w:lang w:val="en-NZ"/>
        </w:rPr>
        <w:t xml:space="preserve">.  However, </w:t>
      </w:r>
      <w:r w:rsidR="00603033">
        <w:rPr>
          <w:rFonts w:ascii="Times New Roman" w:hAnsi="Times New Roman"/>
          <w:sz w:val="24"/>
          <w:szCs w:val="24"/>
          <w:lang w:val="en-NZ"/>
        </w:rPr>
        <w:t xml:space="preserve">the legislation as currently framed requires entering </w:t>
      </w:r>
      <w:r w:rsidR="00B32D2F">
        <w:rPr>
          <w:rFonts w:ascii="Times New Roman" w:hAnsi="Times New Roman"/>
          <w:sz w:val="24"/>
          <w:szCs w:val="24"/>
          <w:lang w:val="en-NZ"/>
        </w:rPr>
        <w:t xml:space="preserve">into </w:t>
      </w:r>
      <w:r w:rsidR="00603033">
        <w:rPr>
          <w:rFonts w:ascii="Times New Roman" w:hAnsi="Times New Roman"/>
          <w:sz w:val="24"/>
          <w:szCs w:val="24"/>
          <w:lang w:val="en-NZ"/>
        </w:rPr>
        <w:t>further</w:t>
      </w:r>
      <w:r w:rsidR="00B32D2F">
        <w:rPr>
          <w:rFonts w:ascii="Times New Roman" w:hAnsi="Times New Roman"/>
          <w:sz w:val="24"/>
          <w:szCs w:val="24"/>
          <w:lang w:val="en-NZ"/>
        </w:rPr>
        <w:t xml:space="preserve"> arrangements through t</w:t>
      </w:r>
      <w:r w:rsidR="00603033">
        <w:rPr>
          <w:rFonts w:ascii="Times New Roman" w:hAnsi="Times New Roman"/>
          <w:sz w:val="24"/>
          <w:szCs w:val="24"/>
          <w:lang w:val="en-NZ"/>
        </w:rPr>
        <w:t xml:space="preserve">reaties similar to the US IGA.  This does not match the approach taken by the </w:t>
      </w:r>
      <w:r w:rsidR="006D09FE">
        <w:rPr>
          <w:rFonts w:ascii="Times New Roman" w:hAnsi="Times New Roman"/>
          <w:sz w:val="24"/>
          <w:szCs w:val="24"/>
          <w:lang w:val="en-NZ"/>
        </w:rPr>
        <w:t xml:space="preserve">G20 and </w:t>
      </w:r>
      <w:r w:rsidR="00603033">
        <w:rPr>
          <w:rFonts w:ascii="Times New Roman" w:hAnsi="Times New Roman"/>
          <w:sz w:val="24"/>
          <w:szCs w:val="24"/>
          <w:lang w:val="en-NZ"/>
        </w:rPr>
        <w:t>OECD for AEOI.</w:t>
      </w:r>
    </w:p>
    <w:p w:rsidR="00073EDA" w:rsidRDefault="00073EDA" w:rsidP="007946CC">
      <w:pPr>
        <w:pStyle w:val="Bullet-list"/>
        <w:spacing w:after="0" w:line="240" w:lineRule="auto"/>
        <w:ind w:left="567" w:hanging="567"/>
        <w:jc w:val="both"/>
        <w:rPr>
          <w:rFonts w:ascii="Times New Roman" w:hAnsi="Times New Roman"/>
          <w:sz w:val="24"/>
          <w:szCs w:val="24"/>
          <w:lang w:val="en-NZ"/>
        </w:rPr>
      </w:pPr>
    </w:p>
    <w:p w:rsidR="00793591" w:rsidRDefault="00793591" w:rsidP="007946CC">
      <w:pPr>
        <w:pStyle w:val="Bullet-list"/>
        <w:spacing w:after="0" w:line="240" w:lineRule="auto"/>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t xml:space="preserve">FATCA and AEOI rely </w:t>
      </w:r>
      <w:r w:rsidR="00C94EF9">
        <w:rPr>
          <w:rFonts w:ascii="Times New Roman" w:hAnsi="Times New Roman"/>
          <w:sz w:val="24"/>
          <w:szCs w:val="24"/>
        </w:rPr>
        <w:t>in part on information already required to be c</w:t>
      </w:r>
      <w:r>
        <w:rPr>
          <w:rFonts w:ascii="Times New Roman" w:hAnsi="Times New Roman"/>
          <w:sz w:val="24"/>
          <w:szCs w:val="24"/>
        </w:rPr>
        <w:t>ollected by financial in</w:t>
      </w:r>
      <w:r w:rsidR="004B4F32">
        <w:rPr>
          <w:rFonts w:ascii="Times New Roman" w:hAnsi="Times New Roman"/>
          <w:sz w:val="24"/>
          <w:szCs w:val="24"/>
        </w:rPr>
        <w:t xml:space="preserve">stitutions from account holders, </w:t>
      </w:r>
      <w:r w:rsidR="00CE5455">
        <w:rPr>
          <w:rFonts w:ascii="Times New Roman" w:hAnsi="Times New Roman"/>
          <w:sz w:val="24"/>
          <w:szCs w:val="24"/>
        </w:rPr>
        <w:t xml:space="preserve">particularly </w:t>
      </w:r>
      <w:r>
        <w:rPr>
          <w:rFonts w:ascii="Times New Roman" w:hAnsi="Times New Roman"/>
          <w:sz w:val="24"/>
          <w:szCs w:val="24"/>
        </w:rPr>
        <w:t xml:space="preserve">under AML/CFT </w:t>
      </w:r>
      <w:r w:rsidR="006D09FE">
        <w:rPr>
          <w:rFonts w:ascii="Times New Roman" w:hAnsi="Times New Roman"/>
          <w:sz w:val="24"/>
          <w:szCs w:val="24"/>
        </w:rPr>
        <w:t>‘know-your-customer’ requirements</w:t>
      </w:r>
      <w:r>
        <w:rPr>
          <w:rFonts w:ascii="Times New Roman" w:hAnsi="Times New Roman"/>
          <w:sz w:val="24"/>
          <w:szCs w:val="24"/>
        </w:rPr>
        <w:t xml:space="preserve">.  However, the overlap between the </w:t>
      </w:r>
      <w:r w:rsidR="00C94EF9">
        <w:rPr>
          <w:rFonts w:ascii="Times New Roman" w:hAnsi="Times New Roman"/>
          <w:sz w:val="24"/>
          <w:szCs w:val="24"/>
        </w:rPr>
        <w:t>AML/CFT</w:t>
      </w:r>
      <w:r>
        <w:rPr>
          <w:rFonts w:ascii="Times New Roman" w:hAnsi="Times New Roman"/>
          <w:sz w:val="24"/>
          <w:szCs w:val="24"/>
        </w:rPr>
        <w:t xml:space="preserve"> requirements is not an exact match for </w:t>
      </w:r>
      <w:r w:rsidR="00C94EF9">
        <w:rPr>
          <w:rFonts w:ascii="Times New Roman" w:hAnsi="Times New Roman"/>
          <w:sz w:val="24"/>
          <w:szCs w:val="24"/>
        </w:rPr>
        <w:t xml:space="preserve">those applying </w:t>
      </w:r>
      <w:r>
        <w:rPr>
          <w:rFonts w:ascii="Times New Roman" w:hAnsi="Times New Roman"/>
          <w:sz w:val="24"/>
          <w:szCs w:val="24"/>
        </w:rPr>
        <w:t xml:space="preserve">under the CRS.  </w:t>
      </w:r>
      <w:r w:rsidR="00C94EF9">
        <w:rPr>
          <w:rFonts w:ascii="Times New Roman" w:hAnsi="Times New Roman"/>
          <w:sz w:val="24"/>
          <w:szCs w:val="24"/>
        </w:rPr>
        <w:t>For example</w:t>
      </w:r>
      <w:r>
        <w:rPr>
          <w:rFonts w:ascii="Times New Roman" w:hAnsi="Times New Roman"/>
          <w:sz w:val="24"/>
          <w:szCs w:val="24"/>
        </w:rPr>
        <w:t xml:space="preserve">, </w:t>
      </w:r>
      <w:r w:rsidR="004B4F32">
        <w:rPr>
          <w:rFonts w:ascii="Times New Roman" w:hAnsi="Times New Roman"/>
          <w:sz w:val="24"/>
          <w:szCs w:val="24"/>
        </w:rPr>
        <w:t xml:space="preserve">under </w:t>
      </w:r>
      <w:r w:rsidR="00C94EF9">
        <w:rPr>
          <w:rFonts w:ascii="Times New Roman" w:hAnsi="Times New Roman"/>
          <w:sz w:val="24"/>
          <w:szCs w:val="24"/>
        </w:rPr>
        <w:t xml:space="preserve">New Zealand’s </w:t>
      </w:r>
      <w:r>
        <w:rPr>
          <w:rFonts w:ascii="Times New Roman" w:hAnsi="Times New Roman"/>
          <w:sz w:val="24"/>
          <w:szCs w:val="24"/>
        </w:rPr>
        <w:t xml:space="preserve">AML/CFT </w:t>
      </w:r>
      <w:r w:rsidR="00C94EF9">
        <w:rPr>
          <w:rFonts w:ascii="Times New Roman" w:hAnsi="Times New Roman"/>
          <w:sz w:val="24"/>
          <w:szCs w:val="24"/>
        </w:rPr>
        <w:t xml:space="preserve">laws </w:t>
      </w:r>
      <w:r w:rsidR="004B4F32">
        <w:rPr>
          <w:rFonts w:ascii="Times New Roman" w:hAnsi="Times New Roman"/>
          <w:sz w:val="24"/>
          <w:szCs w:val="24"/>
        </w:rPr>
        <w:t xml:space="preserve">a financial institution </w:t>
      </w:r>
      <w:r>
        <w:rPr>
          <w:rFonts w:ascii="Times New Roman" w:hAnsi="Times New Roman"/>
          <w:sz w:val="24"/>
          <w:szCs w:val="24"/>
        </w:rPr>
        <w:t xml:space="preserve">may not collect all of the information required by the CRS in </w:t>
      </w:r>
      <w:r w:rsidR="00CE5455">
        <w:rPr>
          <w:rFonts w:ascii="Times New Roman" w:hAnsi="Times New Roman"/>
          <w:sz w:val="24"/>
          <w:szCs w:val="24"/>
        </w:rPr>
        <w:t>respect of discretionary trusts</w:t>
      </w:r>
      <w:r w:rsidR="006D09FE">
        <w:rPr>
          <w:rFonts w:ascii="Times New Roman" w:hAnsi="Times New Roman"/>
          <w:sz w:val="24"/>
          <w:szCs w:val="24"/>
        </w:rPr>
        <w:t>.  Accordingly, in some areas, the AEOI due diligence obligations will require information to be obtained that is not required under AML/CFT</w:t>
      </w:r>
      <w:r w:rsidR="00DC6111">
        <w:rPr>
          <w:rFonts w:ascii="Times New Roman" w:hAnsi="Times New Roman"/>
          <w:sz w:val="24"/>
          <w:szCs w:val="24"/>
        </w:rPr>
        <w:t xml:space="preserve"> laws</w:t>
      </w:r>
      <w:r w:rsidR="006D09FE">
        <w:rPr>
          <w:rFonts w:ascii="Times New Roman" w:hAnsi="Times New Roman"/>
          <w:sz w:val="24"/>
          <w:szCs w:val="24"/>
        </w:rPr>
        <w:t>.</w:t>
      </w:r>
    </w:p>
    <w:p w:rsidR="00793591" w:rsidRDefault="00793591" w:rsidP="007946CC">
      <w:pPr>
        <w:pStyle w:val="Bullet-list"/>
        <w:spacing w:after="0" w:line="240" w:lineRule="auto"/>
        <w:ind w:left="567" w:hanging="567"/>
        <w:jc w:val="both"/>
        <w:rPr>
          <w:rFonts w:ascii="Times New Roman" w:hAnsi="Times New Roman"/>
          <w:sz w:val="24"/>
          <w:szCs w:val="24"/>
        </w:rPr>
      </w:pPr>
    </w:p>
    <w:p w:rsidR="00E72EA1" w:rsidRDefault="00E72EA1" w:rsidP="007946CC">
      <w:pPr>
        <w:pStyle w:val="Bullet-list"/>
        <w:spacing w:after="0" w:line="240" w:lineRule="auto"/>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r>
      <w:r w:rsidR="00DC6111">
        <w:rPr>
          <w:rFonts w:ascii="Times New Roman" w:hAnsi="Times New Roman"/>
          <w:sz w:val="24"/>
          <w:szCs w:val="24"/>
        </w:rPr>
        <w:t>Although AEOI exchanges can be made under other tax treaties, international expectations are</w:t>
      </w:r>
      <w:r w:rsidR="00B32D2F">
        <w:rPr>
          <w:rFonts w:ascii="Times New Roman" w:hAnsi="Times New Roman"/>
          <w:sz w:val="24"/>
          <w:szCs w:val="24"/>
        </w:rPr>
        <w:t xml:space="preserve"> that most, if not all, AEOI exchanges will take place under the OECD/Council of Europe </w:t>
      </w:r>
      <w:r w:rsidR="00B32D2F" w:rsidRPr="006729AC">
        <w:rPr>
          <w:rFonts w:ascii="Times New Roman" w:hAnsi="Times New Roman"/>
          <w:i/>
          <w:sz w:val="24"/>
          <w:szCs w:val="24"/>
        </w:rPr>
        <w:t>Multilateral Convention on Mutual Administrative Assistance in Tax Matters</w:t>
      </w:r>
      <w:r w:rsidR="00B32D2F">
        <w:rPr>
          <w:rFonts w:ascii="Times New Roman" w:hAnsi="Times New Roman"/>
          <w:sz w:val="24"/>
          <w:szCs w:val="24"/>
        </w:rPr>
        <w:t xml:space="preserve"> (the Multilateral Convention).  New Zealand signed the Multilateral Convention</w:t>
      </w:r>
      <w:r w:rsidR="00B32D2F" w:rsidRPr="00B32D2F">
        <w:rPr>
          <w:rFonts w:ascii="Times New Roman" w:hAnsi="Times New Roman"/>
          <w:sz w:val="24"/>
          <w:szCs w:val="24"/>
        </w:rPr>
        <w:t xml:space="preserve"> </w:t>
      </w:r>
      <w:r w:rsidR="00C94EF9">
        <w:rPr>
          <w:rFonts w:ascii="Times New Roman" w:hAnsi="Times New Roman"/>
          <w:sz w:val="24"/>
          <w:szCs w:val="24"/>
        </w:rPr>
        <w:t>in 2012.</w:t>
      </w:r>
    </w:p>
    <w:p w:rsidR="00E66C57" w:rsidRDefault="00E66C57" w:rsidP="007946CC">
      <w:pPr>
        <w:pStyle w:val="Bullet-list"/>
        <w:spacing w:after="0" w:line="240" w:lineRule="auto"/>
        <w:ind w:left="567" w:hanging="567"/>
        <w:jc w:val="both"/>
        <w:rPr>
          <w:rFonts w:ascii="Times New Roman" w:hAnsi="Times New Roman"/>
          <w:sz w:val="24"/>
          <w:szCs w:val="24"/>
        </w:rPr>
      </w:pPr>
    </w:p>
    <w:p w:rsidR="00E66C57" w:rsidRDefault="00E66C57" w:rsidP="007946CC">
      <w:pPr>
        <w:pStyle w:val="Bullet-list"/>
        <w:spacing w:after="0" w:line="240" w:lineRule="auto"/>
        <w:ind w:left="567" w:hanging="567"/>
        <w:jc w:val="both"/>
        <w:rPr>
          <w:rFonts w:ascii="Times New Roman" w:hAnsi="Times New Roman"/>
          <w:sz w:val="24"/>
          <w:szCs w:val="24"/>
        </w:rPr>
      </w:pPr>
    </w:p>
    <w:p w:rsidR="000545DC" w:rsidRPr="00F65FFA" w:rsidRDefault="00D943DD" w:rsidP="007946CC">
      <w:pPr>
        <w:spacing w:after="0" w:line="240" w:lineRule="auto"/>
        <w:ind w:left="567" w:hanging="567"/>
        <w:rPr>
          <w:lang w:val="en-NZ" w:eastAsia="en-US"/>
        </w:rPr>
      </w:pPr>
      <w:bookmarkStart w:id="13" w:name="_Toc244580364"/>
      <w:bookmarkStart w:id="14" w:name="_Toc244587040"/>
      <w:bookmarkStart w:id="15" w:name="_Toc244857274"/>
      <w:bookmarkStart w:id="16" w:name="_Toc244912539"/>
      <w:bookmarkStart w:id="17" w:name="_Toc244916996"/>
      <w:r w:rsidRPr="00F65FFA">
        <w:rPr>
          <w:rFonts w:ascii="Times New Roman" w:hAnsi="Times New Roman"/>
          <w:b/>
          <w:sz w:val="24"/>
          <w:szCs w:val="24"/>
          <w:lang w:val="en-NZ" w:eastAsia="en-US"/>
        </w:rPr>
        <w:t>OBJECTIVES</w:t>
      </w:r>
      <w:bookmarkEnd w:id="13"/>
      <w:bookmarkEnd w:id="14"/>
      <w:bookmarkEnd w:id="15"/>
      <w:bookmarkEnd w:id="16"/>
      <w:bookmarkEnd w:id="17"/>
    </w:p>
    <w:p w:rsidR="00E66C57" w:rsidRDefault="00E66C57" w:rsidP="007946CC">
      <w:pPr>
        <w:pStyle w:val="spacer"/>
        <w:ind w:left="567" w:hanging="567"/>
        <w:jc w:val="both"/>
        <w:rPr>
          <w:rFonts w:ascii="Times New Roman" w:hAnsi="Times New Roman"/>
          <w:sz w:val="24"/>
          <w:szCs w:val="24"/>
        </w:rPr>
      </w:pPr>
    </w:p>
    <w:p w:rsidR="006C37E8" w:rsidRDefault="006C37E8" w:rsidP="007946CC">
      <w:pPr>
        <w:pStyle w:val="spacer"/>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t xml:space="preserve">The policy options considered in this </w:t>
      </w:r>
      <w:r w:rsidR="00A72D22">
        <w:rPr>
          <w:rFonts w:ascii="Times New Roman" w:hAnsi="Times New Roman"/>
          <w:sz w:val="24"/>
          <w:szCs w:val="24"/>
        </w:rPr>
        <w:t>RIS</w:t>
      </w:r>
      <w:r>
        <w:rPr>
          <w:rFonts w:ascii="Times New Roman" w:hAnsi="Times New Roman"/>
          <w:sz w:val="24"/>
          <w:szCs w:val="24"/>
        </w:rPr>
        <w:t xml:space="preserve"> </w:t>
      </w:r>
      <w:r w:rsidR="00A42C83">
        <w:rPr>
          <w:rFonts w:ascii="Times New Roman" w:hAnsi="Times New Roman"/>
          <w:sz w:val="24"/>
          <w:szCs w:val="24"/>
        </w:rPr>
        <w:t>will</w:t>
      </w:r>
      <w:r>
        <w:rPr>
          <w:rFonts w:ascii="Times New Roman" w:hAnsi="Times New Roman"/>
          <w:sz w:val="24"/>
          <w:szCs w:val="24"/>
        </w:rPr>
        <w:t xml:space="preserve"> be assessed against the following objectives:</w:t>
      </w:r>
    </w:p>
    <w:p w:rsidR="006C37E8" w:rsidRDefault="006C37E8" w:rsidP="006C37E8">
      <w:pPr>
        <w:pStyle w:val="spacer"/>
        <w:rPr>
          <w:rFonts w:ascii="Times New Roman" w:hAnsi="Times New Roman"/>
          <w:sz w:val="24"/>
          <w:szCs w:val="24"/>
        </w:rPr>
      </w:pPr>
    </w:p>
    <w:p w:rsidR="000959C1" w:rsidRDefault="000959C1" w:rsidP="000959C1">
      <w:pPr>
        <w:pStyle w:val="spacer"/>
        <w:ind w:left="1134" w:hanging="567"/>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To implement AEOI in a way that ensures </w:t>
      </w:r>
      <w:r w:rsidRPr="006B7BB1">
        <w:rPr>
          <w:rFonts w:ascii="Times New Roman" w:hAnsi="Times New Roman"/>
          <w:b/>
          <w:sz w:val="24"/>
          <w:szCs w:val="24"/>
        </w:rPr>
        <w:t>consisten</w:t>
      </w:r>
      <w:r>
        <w:rPr>
          <w:rFonts w:ascii="Times New Roman" w:hAnsi="Times New Roman"/>
          <w:b/>
          <w:sz w:val="24"/>
          <w:szCs w:val="24"/>
        </w:rPr>
        <w:t>cy</w:t>
      </w:r>
      <w:r w:rsidRPr="006B7BB1">
        <w:rPr>
          <w:rFonts w:ascii="Times New Roman" w:hAnsi="Times New Roman"/>
          <w:b/>
          <w:sz w:val="24"/>
          <w:szCs w:val="24"/>
        </w:rPr>
        <w:t xml:space="preserve"> with the requirements </w:t>
      </w:r>
      <w:r>
        <w:rPr>
          <w:rFonts w:ascii="Times New Roman" w:hAnsi="Times New Roman"/>
          <w:b/>
          <w:sz w:val="24"/>
          <w:szCs w:val="24"/>
        </w:rPr>
        <w:t>of t</w:t>
      </w:r>
      <w:r w:rsidRPr="006B7BB1">
        <w:rPr>
          <w:rFonts w:ascii="Times New Roman" w:hAnsi="Times New Roman"/>
          <w:b/>
          <w:sz w:val="24"/>
          <w:szCs w:val="24"/>
        </w:rPr>
        <w:t>he CRS</w:t>
      </w:r>
      <w:r>
        <w:rPr>
          <w:rFonts w:ascii="Times New Roman" w:hAnsi="Times New Roman"/>
          <w:sz w:val="24"/>
          <w:szCs w:val="24"/>
        </w:rPr>
        <w:t xml:space="preserve"> and its accompanying commentary so as to enable New Zealand to:</w:t>
      </w:r>
    </w:p>
    <w:p w:rsidR="000959C1" w:rsidRDefault="000959C1" w:rsidP="000959C1">
      <w:pPr>
        <w:pStyle w:val="spacer"/>
        <w:ind w:left="1134" w:hanging="567"/>
        <w:jc w:val="both"/>
        <w:rPr>
          <w:rFonts w:ascii="Times New Roman" w:hAnsi="Times New Roman"/>
          <w:sz w:val="24"/>
          <w:szCs w:val="24"/>
        </w:rPr>
      </w:pPr>
    </w:p>
    <w:p w:rsidR="000959C1" w:rsidRDefault="000959C1" w:rsidP="000959C1">
      <w:pPr>
        <w:pStyle w:val="spacer"/>
        <w:ind w:left="1701" w:hanging="567"/>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meet international expectations;</w:t>
      </w:r>
    </w:p>
    <w:p w:rsidR="000959C1" w:rsidRDefault="000959C1" w:rsidP="000959C1">
      <w:pPr>
        <w:pStyle w:val="spacer"/>
        <w:ind w:left="1134"/>
        <w:jc w:val="both"/>
        <w:rPr>
          <w:rFonts w:ascii="Times New Roman" w:hAnsi="Times New Roman"/>
          <w:sz w:val="24"/>
          <w:szCs w:val="24"/>
        </w:rPr>
      </w:pPr>
    </w:p>
    <w:p w:rsidR="000959C1" w:rsidRDefault="000959C1" w:rsidP="000959C1">
      <w:pPr>
        <w:pStyle w:val="spacer"/>
        <w:ind w:left="1701" w:hanging="567"/>
        <w:jc w:val="both"/>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comply with the international deadline of 30 September 2018 for completing first exchanges; and</w:t>
      </w:r>
    </w:p>
    <w:p w:rsidR="000959C1" w:rsidRDefault="000959C1" w:rsidP="000959C1">
      <w:pPr>
        <w:pStyle w:val="spacer"/>
        <w:ind w:left="1701" w:hanging="567"/>
        <w:jc w:val="both"/>
        <w:rPr>
          <w:rFonts w:ascii="Times New Roman" w:hAnsi="Times New Roman"/>
          <w:sz w:val="24"/>
          <w:szCs w:val="24"/>
        </w:rPr>
      </w:pPr>
    </w:p>
    <w:p w:rsidR="000959C1" w:rsidRDefault="000959C1" w:rsidP="000959C1">
      <w:pPr>
        <w:pStyle w:val="spacer"/>
        <w:ind w:left="1701" w:hanging="567"/>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successfully undergo Global Forum peer review.</w:t>
      </w:r>
    </w:p>
    <w:p w:rsidR="000959C1" w:rsidRDefault="000959C1" w:rsidP="000959C1">
      <w:pPr>
        <w:pStyle w:val="spacer"/>
        <w:ind w:left="1701" w:hanging="567"/>
        <w:jc w:val="both"/>
        <w:rPr>
          <w:rFonts w:ascii="Times New Roman" w:hAnsi="Times New Roman"/>
          <w:sz w:val="24"/>
          <w:szCs w:val="24"/>
        </w:rPr>
      </w:pPr>
    </w:p>
    <w:p w:rsidR="000959C1" w:rsidRDefault="000959C1" w:rsidP="000959C1">
      <w:pPr>
        <w:pStyle w:val="spacer"/>
        <w:ind w:left="1134"/>
        <w:jc w:val="both"/>
        <w:rPr>
          <w:rFonts w:ascii="Times New Roman" w:hAnsi="Times New Roman"/>
          <w:sz w:val="24"/>
          <w:szCs w:val="24"/>
        </w:rPr>
      </w:pPr>
      <w:r>
        <w:rPr>
          <w:rFonts w:ascii="Times New Roman" w:hAnsi="Times New Roman"/>
          <w:sz w:val="24"/>
          <w:szCs w:val="24"/>
        </w:rPr>
        <w:t xml:space="preserve">(This objective reflects the aim of achieving sustainability and fairness in an </w:t>
      </w:r>
      <w:r w:rsidR="005C5151">
        <w:rPr>
          <w:rFonts w:ascii="Times New Roman" w:hAnsi="Times New Roman"/>
          <w:sz w:val="24"/>
          <w:szCs w:val="24"/>
        </w:rPr>
        <w:t>international environment that is focused on establishing a global level playing field through implementation consistency</w:t>
      </w:r>
      <w:r>
        <w:rPr>
          <w:rFonts w:ascii="Times New Roman" w:hAnsi="Times New Roman"/>
          <w:sz w:val="24"/>
          <w:szCs w:val="24"/>
        </w:rPr>
        <w:t>.)</w:t>
      </w:r>
    </w:p>
    <w:p w:rsidR="000959C1" w:rsidRDefault="000959C1" w:rsidP="000959C1">
      <w:pPr>
        <w:pStyle w:val="spacer"/>
        <w:ind w:left="1134" w:hanging="567"/>
        <w:jc w:val="both"/>
        <w:rPr>
          <w:rFonts w:ascii="Times New Roman" w:hAnsi="Times New Roman"/>
          <w:sz w:val="24"/>
          <w:szCs w:val="24"/>
        </w:rPr>
      </w:pPr>
    </w:p>
    <w:p w:rsidR="000959C1" w:rsidRDefault="000959C1" w:rsidP="000959C1">
      <w:pPr>
        <w:pStyle w:val="spacer"/>
        <w:ind w:left="1134" w:hanging="567"/>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To implement AEOI in a manner that </w:t>
      </w:r>
      <w:r w:rsidRPr="006B7BB1">
        <w:rPr>
          <w:rFonts w:ascii="Times New Roman" w:hAnsi="Times New Roman"/>
          <w:b/>
          <w:sz w:val="24"/>
          <w:szCs w:val="24"/>
        </w:rPr>
        <w:t>maximises the opportunity for New Zealand to derive domestic and international benefits</w:t>
      </w:r>
      <w:r>
        <w:rPr>
          <w:rFonts w:ascii="Times New Roman" w:hAnsi="Times New Roman"/>
          <w:sz w:val="24"/>
          <w:szCs w:val="24"/>
        </w:rPr>
        <w:t>.  (This objective is primarily concerned with efficiency and sustainability.)</w:t>
      </w:r>
    </w:p>
    <w:p w:rsidR="000959C1" w:rsidRDefault="000959C1" w:rsidP="000959C1">
      <w:pPr>
        <w:pStyle w:val="spacer"/>
        <w:ind w:left="1134" w:hanging="567"/>
        <w:jc w:val="both"/>
        <w:rPr>
          <w:rFonts w:ascii="Times New Roman" w:hAnsi="Times New Roman"/>
          <w:sz w:val="24"/>
          <w:szCs w:val="24"/>
        </w:rPr>
      </w:pPr>
    </w:p>
    <w:p w:rsidR="00A42C83" w:rsidRDefault="00004720" w:rsidP="000959C1">
      <w:pPr>
        <w:pStyle w:val="spacer"/>
        <w:ind w:left="1134" w:hanging="567"/>
        <w:jc w:val="both"/>
        <w:rPr>
          <w:rFonts w:ascii="Times New Roman" w:hAnsi="Times New Roman"/>
          <w:sz w:val="24"/>
          <w:szCs w:val="24"/>
        </w:rPr>
      </w:pPr>
      <w:r>
        <w:rPr>
          <w:rFonts w:ascii="Times New Roman" w:hAnsi="Times New Roman"/>
          <w:sz w:val="24"/>
          <w:szCs w:val="24"/>
        </w:rPr>
        <w:t>(</w:t>
      </w:r>
      <w:r w:rsidR="000959C1">
        <w:rPr>
          <w:rFonts w:ascii="Times New Roman" w:hAnsi="Times New Roman"/>
          <w:sz w:val="24"/>
          <w:szCs w:val="24"/>
        </w:rPr>
        <w:t>c</w:t>
      </w:r>
      <w:r>
        <w:rPr>
          <w:rFonts w:ascii="Times New Roman" w:hAnsi="Times New Roman"/>
          <w:sz w:val="24"/>
          <w:szCs w:val="24"/>
        </w:rPr>
        <w:t>)</w:t>
      </w:r>
      <w:r w:rsidR="000959C1">
        <w:rPr>
          <w:rFonts w:ascii="Times New Roman" w:hAnsi="Times New Roman"/>
          <w:sz w:val="24"/>
          <w:szCs w:val="24"/>
        </w:rPr>
        <w:tab/>
      </w:r>
      <w:r w:rsidR="00A42C83">
        <w:rPr>
          <w:rFonts w:ascii="Times New Roman" w:hAnsi="Times New Roman"/>
          <w:sz w:val="24"/>
          <w:szCs w:val="24"/>
        </w:rPr>
        <w:t xml:space="preserve">To implement AEOI in a manner that </w:t>
      </w:r>
      <w:r w:rsidR="00A42C83" w:rsidRPr="006B7BB1">
        <w:rPr>
          <w:rFonts w:ascii="Times New Roman" w:hAnsi="Times New Roman"/>
          <w:b/>
          <w:sz w:val="24"/>
          <w:szCs w:val="24"/>
        </w:rPr>
        <w:t>minimises the compliance costs</w:t>
      </w:r>
      <w:r w:rsidR="00A42C83">
        <w:rPr>
          <w:rFonts w:ascii="Times New Roman" w:hAnsi="Times New Roman"/>
          <w:sz w:val="24"/>
          <w:szCs w:val="24"/>
        </w:rPr>
        <w:t xml:space="preserve"> that will be imposed on financial institutions.</w:t>
      </w:r>
      <w:r w:rsidR="00340094">
        <w:rPr>
          <w:rFonts w:ascii="Times New Roman" w:hAnsi="Times New Roman"/>
          <w:sz w:val="24"/>
          <w:szCs w:val="24"/>
        </w:rPr>
        <w:t xml:space="preserve">  (This objective is primarily concerned with fairness and efficiency.)</w:t>
      </w:r>
    </w:p>
    <w:p w:rsidR="00A42C83" w:rsidRDefault="00A42C83" w:rsidP="00A42C83">
      <w:pPr>
        <w:pStyle w:val="spacer"/>
        <w:ind w:left="1134" w:hanging="567"/>
        <w:jc w:val="both"/>
        <w:rPr>
          <w:rFonts w:ascii="Times New Roman" w:hAnsi="Times New Roman"/>
          <w:sz w:val="24"/>
          <w:szCs w:val="24"/>
        </w:rPr>
      </w:pPr>
    </w:p>
    <w:p w:rsidR="006C37E8" w:rsidRDefault="00004720" w:rsidP="00A42C83">
      <w:pPr>
        <w:pStyle w:val="spacer"/>
        <w:ind w:left="1134" w:hanging="567"/>
        <w:jc w:val="both"/>
        <w:rPr>
          <w:rFonts w:ascii="Times New Roman" w:hAnsi="Times New Roman"/>
          <w:sz w:val="24"/>
          <w:szCs w:val="24"/>
        </w:rPr>
      </w:pPr>
      <w:r>
        <w:rPr>
          <w:rFonts w:ascii="Times New Roman" w:hAnsi="Times New Roman"/>
          <w:sz w:val="24"/>
          <w:szCs w:val="24"/>
        </w:rPr>
        <w:t>(</w:t>
      </w:r>
      <w:r w:rsidR="000959C1">
        <w:rPr>
          <w:rFonts w:ascii="Times New Roman" w:hAnsi="Times New Roman"/>
          <w:sz w:val="24"/>
          <w:szCs w:val="24"/>
        </w:rPr>
        <w:t>d</w:t>
      </w:r>
      <w:r>
        <w:rPr>
          <w:rFonts w:ascii="Times New Roman" w:hAnsi="Times New Roman"/>
          <w:sz w:val="24"/>
          <w:szCs w:val="24"/>
        </w:rPr>
        <w:t>)</w:t>
      </w:r>
      <w:r w:rsidR="00A42C83">
        <w:rPr>
          <w:rFonts w:ascii="Times New Roman" w:hAnsi="Times New Roman"/>
          <w:sz w:val="24"/>
          <w:szCs w:val="24"/>
        </w:rPr>
        <w:tab/>
        <w:t xml:space="preserve">To implement AEOI in a manner that </w:t>
      </w:r>
      <w:r w:rsidR="00A42C83" w:rsidRPr="006B7BB1">
        <w:rPr>
          <w:rFonts w:ascii="Times New Roman" w:hAnsi="Times New Roman"/>
          <w:b/>
          <w:sz w:val="24"/>
          <w:szCs w:val="24"/>
        </w:rPr>
        <w:t>minimises the administrative costs</w:t>
      </w:r>
      <w:r w:rsidR="00A42C83">
        <w:rPr>
          <w:rFonts w:ascii="Times New Roman" w:hAnsi="Times New Roman"/>
          <w:sz w:val="24"/>
          <w:szCs w:val="24"/>
        </w:rPr>
        <w:t xml:space="preserve"> that will be imposed on </w:t>
      </w:r>
      <w:r w:rsidR="004B4F32">
        <w:rPr>
          <w:rFonts w:ascii="Times New Roman" w:hAnsi="Times New Roman"/>
          <w:sz w:val="24"/>
          <w:szCs w:val="24"/>
        </w:rPr>
        <w:t>New Zealand regulatory agencies</w:t>
      </w:r>
      <w:r w:rsidR="006C37E8">
        <w:rPr>
          <w:rFonts w:ascii="Times New Roman" w:hAnsi="Times New Roman"/>
          <w:sz w:val="24"/>
          <w:szCs w:val="24"/>
        </w:rPr>
        <w:t>.</w:t>
      </w:r>
      <w:r w:rsidR="00340094">
        <w:rPr>
          <w:rFonts w:ascii="Times New Roman" w:hAnsi="Times New Roman"/>
          <w:sz w:val="24"/>
          <w:szCs w:val="24"/>
        </w:rPr>
        <w:t xml:space="preserve">  (This objective is primarily concerned with efficiency.)</w:t>
      </w:r>
    </w:p>
    <w:p w:rsidR="00205C33" w:rsidRDefault="00205C33" w:rsidP="006B7BB1">
      <w:pPr>
        <w:pStyle w:val="spacer"/>
        <w:jc w:val="both"/>
        <w:rPr>
          <w:rFonts w:ascii="Times New Roman" w:hAnsi="Times New Roman"/>
          <w:sz w:val="24"/>
          <w:szCs w:val="24"/>
        </w:rPr>
      </w:pPr>
    </w:p>
    <w:p w:rsidR="005C5151" w:rsidRDefault="005C5151" w:rsidP="007946CC">
      <w:pPr>
        <w:pStyle w:val="spacer"/>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t>These objectives are listed in descending order of importance.</w:t>
      </w:r>
    </w:p>
    <w:p w:rsidR="005C5151" w:rsidRDefault="005C5151" w:rsidP="007946CC">
      <w:pPr>
        <w:pStyle w:val="spacer"/>
        <w:ind w:left="567" w:hanging="567"/>
        <w:jc w:val="both"/>
        <w:rPr>
          <w:rFonts w:ascii="Times New Roman" w:hAnsi="Times New Roman"/>
          <w:sz w:val="24"/>
          <w:szCs w:val="24"/>
        </w:rPr>
      </w:pPr>
    </w:p>
    <w:p w:rsidR="002357E2" w:rsidRDefault="005C5151" w:rsidP="007946CC">
      <w:pPr>
        <w:pStyle w:val="spacer"/>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t xml:space="preserve">Objective (a) is the overarching consideration, given that New Zealand’s implementation of the AEOI standard will be subject to peer review and other international scrutiny.  </w:t>
      </w:r>
      <w:r w:rsidR="002357E2">
        <w:rPr>
          <w:rFonts w:ascii="Times New Roman" w:hAnsi="Times New Roman"/>
          <w:sz w:val="24"/>
          <w:szCs w:val="24"/>
        </w:rPr>
        <w:t>The identification of d</w:t>
      </w:r>
      <w:r>
        <w:rPr>
          <w:rFonts w:ascii="Times New Roman" w:hAnsi="Times New Roman"/>
          <w:sz w:val="24"/>
          <w:szCs w:val="24"/>
        </w:rPr>
        <w:t xml:space="preserve">eficiencies </w:t>
      </w:r>
      <w:r w:rsidR="002357E2">
        <w:rPr>
          <w:rFonts w:ascii="Times New Roman" w:hAnsi="Times New Roman"/>
          <w:sz w:val="24"/>
          <w:szCs w:val="24"/>
        </w:rPr>
        <w:t xml:space="preserve">would </w:t>
      </w:r>
      <w:r w:rsidR="00DC6111">
        <w:rPr>
          <w:rFonts w:ascii="Times New Roman" w:hAnsi="Times New Roman"/>
          <w:sz w:val="24"/>
          <w:szCs w:val="24"/>
        </w:rPr>
        <w:t xml:space="preserve">damage New Zealand’s international reputation and </w:t>
      </w:r>
      <w:r w:rsidR="002357E2">
        <w:rPr>
          <w:rFonts w:ascii="Times New Roman" w:hAnsi="Times New Roman"/>
          <w:sz w:val="24"/>
          <w:szCs w:val="24"/>
        </w:rPr>
        <w:t xml:space="preserve">result in international and domestic pressure to take </w:t>
      </w:r>
      <w:r w:rsidR="00DC6111">
        <w:rPr>
          <w:rFonts w:ascii="Times New Roman" w:hAnsi="Times New Roman"/>
          <w:sz w:val="24"/>
          <w:szCs w:val="24"/>
        </w:rPr>
        <w:t xml:space="preserve">immediate </w:t>
      </w:r>
      <w:r w:rsidR="002357E2">
        <w:rPr>
          <w:rFonts w:ascii="Times New Roman" w:hAnsi="Times New Roman"/>
          <w:sz w:val="24"/>
          <w:szCs w:val="24"/>
        </w:rPr>
        <w:t xml:space="preserve">remedial action.  More generally </w:t>
      </w:r>
      <w:r w:rsidR="0030392F">
        <w:rPr>
          <w:rFonts w:ascii="Times New Roman" w:hAnsi="Times New Roman"/>
          <w:sz w:val="24"/>
          <w:szCs w:val="24"/>
        </w:rPr>
        <w:t xml:space="preserve">failure to implement AEOI correctly </w:t>
      </w:r>
      <w:r w:rsidR="002357E2">
        <w:rPr>
          <w:rFonts w:ascii="Times New Roman" w:hAnsi="Times New Roman"/>
          <w:sz w:val="24"/>
          <w:szCs w:val="24"/>
        </w:rPr>
        <w:t>could result in suspicion of New Zealand’s motives</w:t>
      </w:r>
      <w:r w:rsidR="0030392F">
        <w:rPr>
          <w:rFonts w:ascii="Times New Roman" w:hAnsi="Times New Roman"/>
          <w:sz w:val="24"/>
          <w:szCs w:val="24"/>
        </w:rPr>
        <w:t xml:space="preserve">, potentially </w:t>
      </w:r>
      <w:r w:rsidR="00DC6111">
        <w:rPr>
          <w:rFonts w:ascii="Times New Roman" w:hAnsi="Times New Roman"/>
          <w:sz w:val="24"/>
          <w:szCs w:val="24"/>
        </w:rPr>
        <w:t>leading to</w:t>
      </w:r>
      <w:r w:rsidR="0030392F">
        <w:rPr>
          <w:rFonts w:ascii="Times New Roman" w:hAnsi="Times New Roman"/>
          <w:sz w:val="24"/>
          <w:szCs w:val="24"/>
        </w:rPr>
        <w:t xml:space="preserve"> greater scrutiny of </w:t>
      </w:r>
      <w:r w:rsidR="00DC6111">
        <w:rPr>
          <w:rFonts w:ascii="Times New Roman" w:hAnsi="Times New Roman"/>
          <w:sz w:val="24"/>
          <w:szCs w:val="24"/>
        </w:rPr>
        <w:t xml:space="preserve">the </w:t>
      </w:r>
      <w:r w:rsidR="0030392F">
        <w:rPr>
          <w:rFonts w:ascii="Times New Roman" w:hAnsi="Times New Roman"/>
          <w:sz w:val="24"/>
          <w:szCs w:val="24"/>
        </w:rPr>
        <w:t>off-shore activities of New Zealand tax residents and adding to the cost for New Zealanders of doing business internationally.</w:t>
      </w:r>
    </w:p>
    <w:p w:rsidR="002357E2" w:rsidRDefault="002357E2" w:rsidP="007946CC">
      <w:pPr>
        <w:pStyle w:val="spacer"/>
        <w:ind w:left="567" w:hanging="567"/>
        <w:jc w:val="both"/>
        <w:rPr>
          <w:rFonts w:ascii="Times New Roman" w:hAnsi="Times New Roman"/>
          <w:sz w:val="24"/>
          <w:szCs w:val="24"/>
        </w:rPr>
      </w:pPr>
    </w:p>
    <w:p w:rsidR="0030392F" w:rsidRDefault="002357E2" w:rsidP="007946CC">
      <w:pPr>
        <w:pStyle w:val="spacer"/>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t xml:space="preserve">Objective (b) </w:t>
      </w:r>
      <w:r w:rsidR="0030392F">
        <w:rPr>
          <w:rFonts w:ascii="Times New Roman" w:hAnsi="Times New Roman"/>
          <w:sz w:val="24"/>
          <w:szCs w:val="24"/>
        </w:rPr>
        <w:t xml:space="preserve">reflects the </w:t>
      </w:r>
      <w:r w:rsidR="00097CEA">
        <w:rPr>
          <w:rFonts w:ascii="Times New Roman" w:hAnsi="Times New Roman"/>
          <w:sz w:val="24"/>
          <w:szCs w:val="24"/>
        </w:rPr>
        <w:t>objective</w:t>
      </w:r>
      <w:r w:rsidR="0030392F">
        <w:rPr>
          <w:rFonts w:ascii="Times New Roman" w:hAnsi="Times New Roman"/>
          <w:sz w:val="24"/>
          <w:szCs w:val="24"/>
        </w:rPr>
        <w:t xml:space="preserve"> of the AEOI standard, which is to </w:t>
      </w:r>
      <w:r>
        <w:rPr>
          <w:rFonts w:ascii="Times New Roman" w:hAnsi="Times New Roman"/>
          <w:sz w:val="24"/>
          <w:szCs w:val="24"/>
        </w:rPr>
        <w:t xml:space="preserve">facilitate the detection and prevention of off-shore tax evasion.  </w:t>
      </w:r>
      <w:r w:rsidR="00DC6111">
        <w:rPr>
          <w:rFonts w:ascii="Times New Roman" w:hAnsi="Times New Roman"/>
          <w:sz w:val="24"/>
          <w:szCs w:val="24"/>
        </w:rPr>
        <w:t>I</w:t>
      </w:r>
      <w:r w:rsidR="0030392F">
        <w:rPr>
          <w:rFonts w:ascii="Times New Roman" w:hAnsi="Times New Roman"/>
          <w:sz w:val="24"/>
          <w:szCs w:val="24"/>
        </w:rPr>
        <w:t xml:space="preserve">mplementation is </w:t>
      </w:r>
      <w:r w:rsidR="00DC6111">
        <w:rPr>
          <w:rFonts w:ascii="Times New Roman" w:hAnsi="Times New Roman"/>
          <w:sz w:val="24"/>
          <w:szCs w:val="24"/>
        </w:rPr>
        <w:t xml:space="preserve">not just about compliance with </w:t>
      </w:r>
      <w:r w:rsidR="0030392F">
        <w:rPr>
          <w:rFonts w:ascii="Times New Roman" w:hAnsi="Times New Roman"/>
          <w:sz w:val="24"/>
          <w:szCs w:val="24"/>
        </w:rPr>
        <w:t>an international imperative</w:t>
      </w:r>
      <w:r w:rsidR="00DC6111">
        <w:rPr>
          <w:rFonts w:ascii="Times New Roman" w:hAnsi="Times New Roman"/>
          <w:sz w:val="24"/>
          <w:szCs w:val="24"/>
        </w:rPr>
        <w:t>.  The</w:t>
      </w:r>
      <w:r w:rsidR="003164D7">
        <w:rPr>
          <w:rFonts w:ascii="Times New Roman" w:hAnsi="Times New Roman"/>
          <w:sz w:val="24"/>
          <w:szCs w:val="24"/>
        </w:rPr>
        <w:t xml:space="preserve"> ultimate </w:t>
      </w:r>
      <w:r w:rsidR="00097CEA">
        <w:rPr>
          <w:rFonts w:ascii="Times New Roman" w:hAnsi="Times New Roman"/>
          <w:sz w:val="24"/>
          <w:szCs w:val="24"/>
        </w:rPr>
        <w:t>purpose</w:t>
      </w:r>
      <w:r w:rsidR="003164D7">
        <w:rPr>
          <w:rFonts w:ascii="Times New Roman" w:hAnsi="Times New Roman"/>
          <w:sz w:val="24"/>
          <w:szCs w:val="24"/>
        </w:rPr>
        <w:t xml:space="preserve"> </w:t>
      </w:r>
      <w:r w:rsidR="00DC6111">
        <w:rPr>
          <w:rFonts w:ascii="Times New Roman" w:hAnsi="Times New Roman"/>
          <w:sz w:val="24"/>
          <w:szCs w:val="24"/>
        </w:rPr>
        <w:t xml:space="preserve">of AEOI </w:t>
      </w:r>
      <w:r w:rsidR="003164D7">
        <w:rPr>
          <w:rFonts w:ascii="Times New Roman" w:hAnsi="Times New Roman"/>
          <w:sz w:val="24"/>
          <w:szCs w:val="24"/>
        </w:rPr>
        <w:t>is</w:t>
      </w:r>
      <w:r w:rsidR="0030392F">
        <w:rPr>
          <w:rFonts w:ascii="Times New Roman" w:hAnsi="Times New Roman"/>
          <w:sz w:val="24"/>
          <w:szCs w:val="24"/>
        </w:rPr>
        <w:t xml:space="preserve"> to </w:t>
      </w:r>
      <w:r w:rsidR="00DC6111">
        <w:rPr>
          <w:rFonts w:ascii="Times New Roman" w:hAnsi="Times New Roman"/>
          <w:sz w:val="24"/>
          <w:szCs w:val="24"/>
        </w:rPr>
        <w:t>improve tax compliance</w:t>
      </w:r>
      <w:r w:rsidR="0030392F">
        <w:rPr>
          <w:rFonts w:ascii="Times New Roman" w:hAnsi="Times New Roman"/>
          <w:sz w:val="24"/>
          <w:szCs w:val="24"/>
        </w:rPr>
        <w:t xml:space="preserve"> and provide fis</w:t>
      </w:r>
      <w:r w:rsidR="003164D7">
        <w:rPr>
          <w:rFonts w:ascii="Times New Roman" w:hAnsi="Times New Roman"/>
          <w:sz w:val="24"/>
          <w:szCs w:val="24"/>
        </w:rPr>
        <w:t>cal benefits to jurisdictions.</w:t>
      </w:r>
      <w:r w:rsidR="00097CEA">
        <w:rPr>
          <w:rFonts w:ascii="Times New Roman" w:hAnsi="Times New Roman"/>
          <w:sz w:val="24"/>
          <w:szCs w:val="24"/>
        </w:rPr>
        <w:t xml:space="preserve">  It is important that this objective be </w:t>
      </w:r>
      <w:r w:rsidR="00DC6111">
        <w:rPr>
          <w:rFonts w:ascii="Times New Roman" w:hAnsi="Times New Roman"/>
          <w:sz w:val="24"/>
          <w:szCs w:val="24"/>
        </w:rPr>
        <w:t>viewed as a key</w:t>
      </w:r>
      <w:r w:rsidR="00097CEA">
        <w:rPr>
          <w:rFonts w:ascii="Times New Roman" w:hAnsi="Times New Roman"/>
          <w:sz w:val="24"/>
          <w:szCs w:val="24"/>
        </w:rPr>
        <w:t xml:space="preserve"> focus.</w:t>
      </w:r>
    </w:p>
    <w:p w:rsidR="0030392F" w:rsidRDefault="0030392F" w:rsidP="007946CC">
      <w:pPr>
        <w:pStyle w:val="spacer"/>
        <w:ind w:left="567" w:hanging="567"/>
        <w:jc w:val="both"/>
        <w:rPr>
          <w:rFonts w:ascii="Times New Roman" w:hAnsi="Times New Roman"/>
          <w:sz w:val="24"/>
          <w:szCs w:val="24"/>
        </w:rPr>
      </w:pPr>
    </w:p>
    <w:p w:rsidR="004D040C" w:rsidRDefault="0030392F" w:rsidP="007946CC">
      <w:pPr>
        <w:pStyle w:val="spacer"/>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t xml:space="preserve">Objectives (c) and (d) </w:t>
      </w:r>
      <w:r w:rsidR="003164D7">
        <w:rPr>
          <w:rFonts w:ascii="Times New Roman" w:hAnsi="Times New Roman"/>
          <w:sz w:val="24"/>
          <w:szCs w:val="24"/>
        </w:rPr>
        <w:t xml:space="preserve">reflect acknowledgement that implementing AEOI will impose </w:t>
      </w:r>
      <w:r w:rsidR="00097CEA">
        <w:rPr>
          <w:rFonts w:ascii="Times New Roman" w:hAnsi="Times New Roman"/>
          <w:sz w:val="24"/>
          <w:szCs w:val="24"/>
        </w:rPr>
        <w:t xml:space="preserve">potentially significant </w:t>
      </w:r>
      <w:r w:rsidR="003164D7">
        <w:rPr>
          <w:rFonts w:ascii="Times New Roman" w:hAnsi="Times New Roman"/>
          <w:sz w:val="24"/>
          <w:szCs w:val="24"/>
        </w:rPr>
        <w:t xml:space="preserve">compliance costs on financial institutions and administrative costs on </w:t>
      </w:r>
      <w:r w:rsidR="004B4F32">
        <w:rPr>
          <w:rFonts w:ascii="Times New Roman" w:hAnsi="Times New Roman"/>
          <w:sz w:val="24"/>
          <w:szCs w:val="24"/>
        </w:rPr>
        <w:t>New Zealand regulatory agencies</w:t>
      </w:r>
      <w:r w:rsidR="003164D7">
        <w:rPr>
          <w:rFonts w:ascii="Times New Roman" w:hAnsi="Times New Roman"/>
          <w:sz w:val="24"/>
          <w:szCs w:val="24"/>
        </w:rPr>
        <w:t>.</w:t>
      </w:r>
      <w:r w:rsidR="004B4F32">
        <w:rPr>
          <w:rFonts w:ascii="Times New Roman" w:hAnsi="Times New Roman"/>
          <w:sz w:val="24"/>
          <w:szCs w:val="24"/>
        </w:rPr>
        <w:t xml:space="preserve"> </w:t>
      </w:r>
      <w:r w:rsidR="003164D7">
        <w:rPr>
          <w:rFonts w:ascii="Times New Roman" w:hAnsi="Times New Roman"/>
          <w:sz w:val="24"/>
          <w:szCs w:val="24"/>
        </w:rPr>
        <w:t xml:space="preserve"> However, implementation decisions to reduce compliance and/or administrative costs should only be made if that is achievable without </w:t>
      </w:r>
      <w:r w:rsidR="005C5151">
        <w:rPr>
          <w:rFonts w:ascii="Times New Roman" w:hAnsi="Times New Roman"/>
          <w:sz w:val="24"/>
          <w:szCs w:val="24"/>
        </w:rPr>
        <w:t>lower</w:t>
      </w:r>
      <w:r w:rsidR="00097CEA">
        <w:rPr>
          <w:rFonts w:ascii="Times New Roman" w:hAnsi="Times New Roman"/>
          <w:sz w:val="24"/>
          <w:szCs w:val="24"/>
        </w:rPr>
        <w:t>ing</w:t>
      </w:r>
      <w:r w:rsidR="005C5151">
        <w:rPr>
          <w:rFonts w:ascii="Times New Roman" w:hAnsi="Times New Roman"/>
          <w:sz w:val="24"/>
          <w:szCs w:val="24"/>
        </w:rPr>
        <w:t xml:space="preserve"> </w:t>
      </w:r>
      <w:r w:rsidR="003164D7">
        <w:rPr>
          <w:rFonts w:ascii="Times New Roman" w:hAnsi="Times New Roman"/>
          <w:sz w:val="24"/>
          <w:szCs w:val="24"/>
        </w:rPr>
        <w:t xml:space="preserve">the overall effectiveness of the </w:t>
      </w:r>
      <w:r w:rsidR="005C5151">
        <w:rPr>
          <w:rFonts w:ascii="Times New Roman" w:hAnsi="Times New Roman"/>
          <w:sz w:val="24"/>
          <w:szCs w:val="24"/>
        </w:rPr>
        <w:t xml:space="preserve">standard </w:t>
      </w:r>
      <w:r w:rsidR="003164D7">
        <w:rPr>
          <w:rFonts w:ascii="Times New Roman" w:hAnsi="Times New Roman"/>
          <w:sz w:val="24"/>
          <w:szCs w:val="24"/>
        </w:rPr>
        <w:t xml:space="preserve">in New Zealand or </w:t>
      </w:r>
      <w:r w:rsidR="00097CEA">
        <w:rPr>
          <w:rFonts w:ascii="Times New Roman" w:hAnsi="Times New Roman"/>
          <w:sz w:val="24"/>
          <w:szCs w:val="24"/>
        </w:rPr>
        <w:t xml:space="preserve">being seen as </w:t>
      </w:r>
      <w:r w:rsidR="003164D7">
        <w:rPr>
          <w:rFonts w:ascii="Times New Roman" w:hAnsi="Times New Roman"/>
          <w:sz w:val="24"/>
          <w:szCs w:val="24"/>
        </w:rPr>
        <w:t>undermining the multilateral initiative.</w:t>
      </w:r>
    </w:p>
    <w:p w:rsidR="00E66C57" w:rsidRDefault="00E66C57" w:rsidP="007946CC">
      <w:pPr>
        <w:pStyle w:val="spacer"/>
        <w:ind w:left="567" w:hanging="567"/>
        <w:jc w:val="both"/>
        <w:rPr>
          <w:rFonts w:ascii="Times New Roman" w:hAnsi="Times New Roman"/>
          <w:sz w:val="24"/>
          <w:szCs w:val="24"/>
        </w:rPr>
      </w:pPr>
    </w:p>
    <w:p w:rsidR="00E66C57" w:rsidRDefault="00E66C57" w:rsidP="007946CC">
      <w:pPr>
        <w:pStyle w:val="spacer"/>
        <w:ind w:left="567" w:hanging="567"/>
        <w:jc w:val="both"/>
        <w:rPr>
          <w:rFonts w:ascii="Times New Roman" w:hAnsi="Times New Roman"/>
          <w:sz w:val="24"/>
          <w:szCs w:val="24"/>
        </w:rPr>
      </w:pPr>
    </w:p>
    <w:p w:rsidR="00320A3C" w:rsidRPr="00F65FFA" w:rsidRDefault="00D943DD" w:rsidP="007946CC">
      <w:pPr>
        <w:spacing w:after="0" w:line="240" w:lineRule="auto"/>
        <w:ind w:left="567" w:hanging="567"/>
        <w:rPr>
          <w:lang w:val="en-NZ" w:eastAsia="en-US"/>
        </w:rPr>
      </w:pPr>
      <w:bookmarkStart w:id="18" w:name="_Toc244580365"/>
      <w:bookmarkStart w:id="19" w:name="_Toc244587041"/>
      <w:bookmarkStart w:id="20" w:name="_Toc244857275"/>
      <w:bookmarkStart w:id="21" w:name="_Toc244912540"/>
      <w:bookmarkStart w:id="22" w:name="_Toc244916997"/>
      <w:r w:rsidRPr="00F65FFA">
        <w:rPr>
          <w:rFonts w:ascii="Times New Roman" w:hAnsi="Times New Roman"/>
          <w:b/>
          <w:sz w:val="24"/>
          <w:szCs w:val="24"/>
          <w:lang w:val="en-NZ" w:eastAsia="en-US"/>
        </w:rPr>
        <w:t>REGULATORY IMPACT ANALYSIS</w:t>
      </w:r>
      <w:bookmarkEnd w:id="18"/>
      <w:bookmarkEnd w:id="19"/>
      <w:bookmarkEnd w:id="20"/>
      <w:bookmarkEnd w:id="21"/>
      <w:bookmarkEnd w:id="22"/>
      <w:r w:rsidRPr="00F65FFA">
        <w:rPr>
          <w:rFonts w:ascii="Times New Roman" w:hAnsi="Times New Roman"/>
          <w:b/>
          <w:sz w:val="24"/>
          <w:szCs w:val="24"/>
          <w:lang w:val="en-NZ" w:eastAsia="en-US"/>
        </w:rPr>
        <w:t xml:space="preserve"> </w:t>
      </w:r>
    </w:p>
    <w:p w:rsidR="00E66C57" w:rsidRDefault="00E66C57" w:rsidP="007946CC">
      <w:pPr>
        <w:pStyle w:val="spacer"/>
        <w:ind w:left="567" w:hanging="567"/>
        <w:rPr>
          <w:rFonts w:ascii="Times New Roman" w:hAnsi="Times New Roman"/>
          <w:sz w:val="24"/>
          <w:szCs w:val="24"/>
          <w:lang w:val="en-AU"/>
        </w:rPr>
      </w:pPr>
    </w:p>
    <w:p w:rsidR="00C1094F" w:rsidRDefault="00C1094F" w:rsidP="007946CC">
      <w:pPr>
        <w:pStyle w:val="spacer"/>
        <w:ind w:left="567" w:hanging="567"/>
        <w:jc w:val="both"/>
        <w:rPr>
          <w:rFonts w:ascii="Times New Roman" w:hAnsi="Times New Roman"/>
          <w:sz w:val="24"/>
          <w:szCs w:val="24"/>
        </w:rPr>
      </w:pPr>
      <w:r>
        <w:rPr>
          <w:rFonts w:ascii="Times New Roman" w:hAnsi="Times New Roman"/>
          <w:sz w:val="24"/>
          <w:szCs w:val="24"/>
          <w:lang w:val="en-AU"/>
        </w:rPr>
        <w:fldChar w:fldCharType="begin"/>
      </w:r>
      <w:r>
        <w:rPr>
          <w:rFonts w:ascii="Times New Roman" w:hAnsi="Times New Roman"/>
          <w:sz w:val="24"/>
          <w:szCs w:val="24"/>
          <w:lang w:val="en-AU"/>
        </w:rPr>
        <w:instrText xml:space="preserve"> AUTONUM  \* Arabic  </w:instrText>
      </w:r>
      <w:r>
        <w:rPr>
          <w:rFonts w:ascii="Times New Roman" w:hAnsi="Times New Roman"/>
          <w:sz w:val="24"/>
          <w:szCs w:val="24"/>
          <w:lang w:val="en-AU"/>
        </w:rPr>
        <w:fldChar w:fldCharType="end"/>
      </w:r>
      <w:r>
        <w:rPr>
          <w:rFonts w:ascii="Times New Roman" w:hAnsi="Times New Roman"/>
          <w:sz w:val="24"/>
          <w:szCs w:val="24"/>
          <w:lang w:val="en-AU"/>
        </w:rPr>
        <w:tab/>
      </w:r>
      <w:r w:rsidR="00280350">
        <w:rPr>
          <w:rFonts w:ascii="Times New Roman" w:hAnsi="Times New Roman"/>
          <w:sz w:val="24"/>
          <w:szCs w:val="24"/>
          <w:lang w:val="en-AU"/>
        </w:rPr>
        <w:t>Four</w:t>
      </w:r>
      <w:r>
        <w:rPr>
          <w:rFonts w:ascii="Times New Roman" w:hAnsi="Times New Roman"/>
          <w:sz w:val="24"/>
          <w:szCs w:val="24"/>
          <w:lang w:val="en-AU"/>
        </w:rPr>
        <w:t xml:space="preserve"> policy options have been considered for implementing the AEOI standard described above</w:t>
      </w:r>
      <w:r>
        <w:rPr>
          <w:rFonts w:ascii="Times New Roman" w:hAnsi="Times New Roman"/>
          <w:sz w:val="24"/>
          <w:szCs w:val="24"/>
        </w:rPr>
        <w:t>:</w:t>
      </w:r>
    </w:p>
    <w:p w:rsidR="00C1094F" w:rsidRDefault="00C1094F" w:rsidP="007946CC">
      <w:pPr>
        <w:pStyle w:val="spacer"/>
        <w:ind w:left="567" w:hanging="567"/>
        <w:rPr>
          <w:rFonts w:ascii="Times New Roman" w:hAnsi="Times New Roman"/>
          <w:sz w:val="24"/>
          <w:szCs w:val="24"/>
        </w:rPr>
      </w:pPr>
    </w:p>
    <w:p w:rsidR="00C1094F" w:rsidRPr="00EC58EB" w:rsidRDefault="004E4192" w:rsidP="0014306D">
      <w:pPr>
        <w:pStyle w:val="spacer"/>
        <w:ind w:left="567"/>
        <w:jc w:val="both"/>
        <w:rPr>
          <w:rFonts w:ascii="Times New Roman" w:hAnsi="Times New Roman"/>
          <w:sz w:val="24"/>
          <w:szCs w:val="24"/>
        </w:rPr>
      </w:pPr>
      <w:r>
        <w:rPr>
          <w:rFonts w:ascii="Times New Roman" w:hAnsi="Times New Roman"/>
          <w:sz w:val="24"/>
          <w:szCs w:val="24"/>
        </w:rPr>
        <w:sym w:font="Wingdings 2" w:char="F097"/>
      </w:r>
      <w:r>
        <w:rPr>
          <w:rFonts w:ascii="Times New Roman" w:hAnsi="Times New Roman"/>
          <w:sz w:val="24"/>
          <w:szCs w:val="24"/>
        </w:rPr>
        <w:tab/>
      </w:r>
      <w:r w:rsidR="00C1094F">
        <w:rPr>
          <w:rFonts w:ascii="Times New Roman" w:hAnsi="Times New Roman"/>
          <w:sz w:val="24"/>
          <w:szCs w:val="24"/>
        </w:rPr>
        <w:t xml:space="preserve">Option 1: </w:t>
      </w:r>
      <w:r w:rsidR="00EC58EB">
        <w:rPr>
          <w:rFonts w:ascii="Times New Roman" w:hAnsi="Times New Roman"/>
          <w:sz w:val="24"/>
          <w:szCs w:val="24"/>
        </w:rPr>
        <w:t xml:space="preserve">Maintain the </w:t>
      </w:r>
      <w:r w:rsidR="00EC58EB" w:rsidRPr="00EC58EB">
        <w:rPr>
          <w:rFonts w:ascii="Times New Roman" w:hAnsi="Times New Roman"/>
          <w:b/>
          <w:sz w:val="24"/>
          <w:szCs w:val="24"/>
        </w:rPr>
        <w:t>status quo</w:t>
      </w:r>
      <w:r w:rsidR="00EC58EB">
        <w:rPr>
          <w:rFonts w:ascii="Times New Roman" w:hAnsi="Times New Roman"/>
          <w:sz w:val="24"/>
          <w:szCs w:val="24"/>
        </w:rPr>
        <w:t xml:space="preserve"> – that </w:t>
      </w:r>
      <w:r w:rsidR="00EC58EB" w:rsidRPr="00EC58EB">
        <w:rPr>
          <w:rFonts w:ascii="Times New Roman" w:hAnsi="Times New Roman"/>
          <w:sz w:val="24"/>
          <w:szCs w:val="24"/>
        </w:rPr>
        <w:t xml:space="preserve">is, do </w:t>
      </w:r>
      <w:r w:rsidR="00C1094F" w:rsidRPr="00EC58EB">
        <w:rPr>
          <w:rFonts w:ascii="Times New Roman" w:hAnsi="Times New Roman"/>
          <w:sz w:val="24"/>
          <w:szCs w:val="24"/>
        </w:rPr>
        <w:t>not implement AEOI</w:t>
      </w:r>
      <w:r w:rsidR="00EC58EB" w:rsidRPr="00EC58EB">
        <w:rPr>
          <w:rFonts w:ascii="Times New Roman" w:hAnsi="Times New Roman"/>
          <w:sz w:val="24"/>
          <w:szCs w:val="24"/>
        </w:rPr>
        <w:t>.</w:t>
      </w:r>
    </w:p>
    <w:p w:rsidR="00C1094F" w:rsidRDefault="00C1094F" w:rsidP="0014306D">
      <w:pPr>
        <w:pStyle w:val="spacer"/>
        <w:ind w:left="567"/>
        <w:jc w:val="both"/>
        <w:rPr>
          <w:rFonts w:ascii="Times New Roman" w:hAnsi="Times New Roman"/>
          <w:sz w:val="24"/>
          <w:szCs w:val="24"/>
        </w:rPr>
      </w:pPr>
    </w:p>
    <w:p w:rsidR="00C1094F" w:rsidRPr="00460786" w:rsidRDefault="004E4192" w:rsidP="0014306D">
      <w:pPr>
        <w:pStyle w:val="spacer"/>
        <w:ind w:left="1134" w:hanging="567"/>
        <w:jc w:val="both"/>
        <w:rPr>
          <w:rFonts w:ascii="Times New Roman" w:hAnsi="Times New Roman"/>
          <w:sz w:val="24"/>
          <w:szCs w:val="24"/>
        </w:rPr>
      </w:pPr>
      <w:r>
        <w:rPr>
          <w:rFonts w:ascii="Times New Roman" w:hAnsi="Times New Roman"/>
          <w:sz w:val="24"/>
          <w:szCs w:val="24"/>
        </w:rPr>
        <w:sym w:font="Wingdings 2" w:char="F097"/>
      </w:r>
      <w:r>
        <w:rPr>
          <w:rFonts w:ascii="Times New Roman" w:hAnsi="Times New Roman"/>
          <w:sz w:val="24"/>
          <w:szCs w:val="24"/>
        </w:rPr>
        <w:tab/>
      </w:r>
      <w:r w:rsidR="00C1094F">
        <w:rPr>
          <w:rFonts w:ascii="Times New Roman" w:hAnsi="Times New Roman"/>
          <w:sz w:val="24"/>
          <w:szCs w:val="24"/>
        </w:rPr>
        <w:t xml:space="preserve">Option 2: </w:t>
      </w:r>
      <w:r w:rsidR="00EC58EB">
        <w:rPr>
          <w:rFonts w:ascii="Times New Roman" w:hAnsi="Times New Roman"/>
          <w:sz w:val="24"/>
          <w:szCs w:val="24"/>
        </w:rPr>
        <w:t xml:space="preserve">A </w:t>
      </w:r>
      <w:r w:rsidR="00EC58EB" w:rsidRPr="00A72D22">
        <w:rPr>
          <w:rFonts w:ascii="Times New Roman" w:hAnsi="Times New Roman"/>
          <w:b/>
          <w:sz w:val="24"/>
          <w:szCs w:val="24"/>
        </w:rPr>
        <w:t>low cost</w:t>
      </w:r>
      <w:r w:rsidR="00EC58EB" w:rsidRPr="00EC58EB">
        <w:rPr>
          <w:rFonts w:ascii="Times New Roman" w:hAnsi="Times New Roman"/>
          <w:b/>
          <w:sz w:val="24"/>
          <w:szCs w:val="24"/>
        </w:rPr>
        <w:t xml:space="preserve"> approach</w:t>
      </w:r>
      <w:r w:rsidR="00EC58EB">
        <w:rPr>
          <w:rFonts w:ascii="Times New Roman" w:hAnsi="Times New Roman"/>
          <w:sz w:val="24"/>
          <w:szCs w:val="24"/>
        </w:rPr>
        <w:t xml:space="preserve"> – that is, </w:t>
      </w:r>
      <w:r w:rsidR="00097CEA">
        <w:rPr>
          <w:rFonts w:ascii="Times New Roman" w:hAnsi="Times New Roman"/>
          <w:sz w:val="24"/>
          <w:szCs w:val="24"/>
        </w:rPr>
        <w:t xml:space="preserve">to </w:t>
      </w:r>
      <w:r w:rsidR="00EC58EB">
        <w:rPr>
          <w:rFonts w:ascii="Times New Roman" w:hAnsi="Times New Roman"/>
          <w:sz w:val="24"/>
          <w:szCs w:val="24"/>
        </w:rPr>
        <w:t>i</w:t>
      </w:r>
      <w:r w:rsidR="00162F09" w:rsidRPr="00162F09">
        <w:rPr>
          <w:rFonts w:ascii="Times New Roman" w:hAnsi="Times New Roman"/>
          <w:sz w:val="24"/>
          <w:szCs w:val="24"/>
        </w:rPr>
        <w:t>mplement AEOI</w:t>
      </w:r>
      <w:r w:rsidR="0014306D">
        <w:rPr>
          <w:rFonts w:ascii="Times New Roman" w:hAnsi="Times New Roman"/>
          <w:sz w:val="24"/>
          <w:szCs w:val="24"/>
        </w:rPr>
        <w:t xml:space="preserve"> </w:t>
      </w:r>
      <w:r w:rsidR="00280350">
        <w:rPr>
          <w:rFonts w:ascii="Times New Roman" w:hAnsi="Times New Roman"/>
          <w:sz w:val="24"/>
          <w:szCs w:val="24"/>
        </w:rPr>
        <w:t xml:space="preserve">on the basis of </w:t>
      </w:r>
      <w:r w:rsidR="00097CEA">
        <w:rPr>
          <w:rFonts w:ascii="Times New Roman" w:hAnsi="Times New Roman"/>
          <w:sz w:val="24"/>
          <w:szCs w:val="24"/>
        </w:rPr>
        <w:t>design</w:t>
      </w:r>
      <w:r w:rsidR="00280350">
        <w:rPr>
          <w:rFonts w:ascii="Times New Roman" w:hAnsi="Times New Roman"/>
          <w:sz w:val="24"/>
          <w:szCs w:val="24"/>
        </w:rPr>
        <w:t xml:space="preserve"> decisions </w:t>
      </w:r>
      <w:r w:rsidR="00460786" w:rsidRPr="00EC58EB">
        <w:rPr>
          <w:rFonts w:ascii="Times New Roman" w:hAnsi="Times New Roman"/>
          <w:sz w:val="24"/>
          <w:szCs w:val="24"/>
        </w:rPr>
        <w:t xml:space="preserve">that favour </w:t>
      </w:r>
      <w:r w:rsidR="0008167F" w:rsidRPr="00EC58EB">
        <w:rPr>
          <w:rFonts w:ascii="Times New Roman" w:hAnsi="Times New Roman"/>
          <w:sz w:val="24"/>
          <w:szCs w:val="24"/>
        </w:rPr>
        <w:t>minimising</w:t>
      </w:r>
      <w:r w:rsidR="0014306D" w:rsidRPr="00EC58EB">
        <w:rPr>
          <w:rFonts w:ascii="Times New Roman" w:hAnsi="Times New Roman"/>
          <w:sz w:val="24"/>
          <w:szCs w:val="24"/>
        </w:rPr>
        <w:t xml:space="preserve"> compliance cost</w:t>
      </w:r>
      <w:r w:rsidR="000023B3" w:rsidRPr="00EC58EB">
        <w:rPr>
          <w:rFonts w:ascii="Times New Roman" w:hAnsi="Times New Roman"/>
          <w:sz w:val="24"/>
          <w:szCs w:val="24"/>
        </w:rPr>
        <w:t>s</w:t>
      </w:r>
      <w:r w:rsidR="0014306D" w:rsidRPr="00EC58EB">
        <w:rPr>
          <w:rFonts w:ascii="Times New Roman" w:hAnsi="Times New Roman"/>
          <w:sz w:val="24"/>
          <w:szCs w:val="24"/>
        </w:rPr>
        <w:t xml:space="preserve"> </w:t>
      </w:r>
      <w:r w:rsidR="000023B3" w:rsidRPr="00EC58EB">
        <w:rPr>
          <w:rFonts w:ascii="Times New Roman" w:hAnsi="Times New Roman"/>
          <w:sz w:val="24"/>
          <w:szCs w:val="24"/>
        </w:rPr>
        <w:t>for</w:t>
      </w:r>
      <w:r w:rsidR="0014306D" w:rsidRPr="00EC58EB">
        <w:rPr>
          <w:rFonts w:ascii="Times New Roman" w:hAnsi="Times New Roman"/>
          <w:sz w:val="24"/>
          <w:szCs w:val="24"/>
        </w:rPr>
        <w:t xml:space="preserve"> financial institutions</w:t>
      </w:r>
      <w:r w:rsidR="00D36FA6" w:rsidRPr="00EC58EB">
        <w:rPr>
          <w:rFonts w:ascii="Times New Roman" w:hAnsi="Times New Roman"/>
          <w:sz w:val="24"/>
          <w:szCs w:val="24"/>
        </w:rPr>
        <w:t xml:space="preserve"> and </w:t>
      </w:r>
      <w:r w:rsidR="00597E1E" w:rsidRPr="00EC58EB">
        <w:rPr>
          <w:rFonts w:ascii="Times New Roman" w:hAnsi="Times New Roman"/>
          <w:sz w:val="24"/>
          <w:szCs w:val="24"/>
        </w:rPr>
        <w:t>administrative costs for</w:t>
      </w:r>
      <w:r w:rsidR="00597E1E">
        <w:rPr>
          <w:rFonts w:ascii="Times New Roman" w:hAnsi="Times New Roman"/>
          <w:sz w:val="24"/>
          <w:szCs w:val="24"/>
        </w:rPr>
        <w:t xml:space="preserve"> Inland Revenue </w:t>
      </w:r>
      <w:r w:rsidR="00460786" w:rsidRPr="00460786">
        <w:rPr>
          <w:rFonts w:ascii="Times New Roman" w:hAnsi="Times New Roman"/>
          <w:sz w:val="24"/>
          <w:szCs w:val="24"/>
        </w:rPr>
        <w:t xml:space="preserve">over </w:t>
      </w:r>
      <w:r w:rsidR="0014306D" w:rsidRPr="00460786">
        <w:rPr>
          <w:rFonts w:ascii="Times New Roman" w:hAnsi="Times New Roman"/>
          <w:sz w:val="24"/>
          <w:szCs w:val="24"/>
        </w:rPr>
        <w:t>meet</w:t>
      </w:r>
      <w:r w:rsidR="00460786" w:rsidRPr="00460786">
        <w:rPr>
          <w:rFonts w:ascii="Times New Roman" w:hAnsi="Times New Roman"/>
          <w:sz w:val="24"/>
          <w:szCs w:val="24"/>
        </w:rPr>
        <w:t>ing</w:t>
      </w:r>
      <w:r w:rsidR="0014306D" w:rsidRPr="00460786">
        <w:rPr>
          <w:rFonts w:ascii="Times New Roman" w:hAnsi="Times New Roman"/>
          <w:sz w:val="24"/>
          <w:szCs w:val="24"/>
        </w:rPr>
        <w:t xml:space="preserve"> international expectations</w:t>
      </w:r>
      <w:r w:rsidR="003F2DAA" w:rsidRPr="00460786">
        <w:rPr>
          <w:rFonts w:ascii="Times New Roman" w:hAnsi="Times New Roman"/>
          <w:sz w:val="24"/>
          <w:szCs w:val="24"/>
        </w:rPr>
        <w:t>.</w:t>
      </w:r>
    </w:p>
    <w:p w:rsidR="00C1094F" w:rsidRDefault="00C1094F" w:rsidP="0014306D">
      <w:pPr>
        <w:pStyle w:val="spacer"/>
        <w:ind w:left="1134" w:hanging="567"/>
        <w:jc w:val="both"/>
        <w:rPr>
          <w:rFonts w:ascii="Times New Roman" w:hAnsi="Times New Roman"/>
          <w:sz w:val="24"/>
          <w:szCs w:val="24"/>
        </w:rPr>
      </w:pPr>
    </w:p>
    <w:p w:rsidR="00280350" w:rsidRDefault="004E4192" w:rsidP="00280350">
      <w:pPr>
        <w:pStyle w:val="spacer"/>
        <w:ind w:left="1134" w:hanging="567"/>
        <w:jc w:val="both"/>
        <w:rPr>
          <w:rFonts w:ascii="Times New Roman" w:hAnsi="Times New Roman"/>
          <w:sz w:val="24"/>
          <w:szCs w:val="24"/>
        </w:rPr>
      </w:pPr>
      <w:r>
        <w:rPr>
          <w:rFonts w:ascii="Times New Roman" w:hAnsi="Times New Roman"/>
          <w:sz w:val="24"/>
          <w:szCs w:val="24"/>
        </w:rPr>
        <w:sym w:font="Wingdings 2" w:char="F097"/>
      </w:r>
      <w:r>
        <w:rPr>
          <w:rFonts w:ascii="Times New Roman" w:hAnsi="Times New Roman"/>
          <w:sz w:val="24"/>
          <w:szCs w:val="24"/>
        </w:rPr>
        <w:tab/>
      </w:r>
      <w:r w:rsidR="00C1094F">
        <w:rPr>
          <w:rFonts w:ascii="Times New Roman" w:hAnsi="Times New Roman"/>
          <w:sz w:val="24"/>
          <w:szCs w:val="24"/>
        </w:rPr>
        <w:t xml:space="preserve">Option 3: </w:t>
      </w:r>
      <w:r w:rsidR="00EC58EB" w:rsidRPr="002C3999">
        <w:rPr>
          <w:rFonts w:ascii="Times New Roman" w:hAnsi="Times New Roman"/>
          <w:sz w:val="24"/>
          <w:szCs w:val="24"/>
        </w:rPr>
        <w:t xml:space="preserve">A </w:t>
      </w:r>
      <w:r w:rsidR="00EC58EB" w:rsidRPr="00EC58EB">
        <w:rPr>
          <w:rFonts w:ascii="Times New Roman" w:hAnsi="Times New Roman"/>
          <w:b/>
          <w:sz w:val="24"/>
          <w:szCs w:val="24"/>
        </w:rPr>
        <w:t>balanced approach</w:t>
      </w:r>
      <w:r w:rsidR="00EC58EB">
        <w:rPr>
          <w:rFonts w:ascii="Times New Roman" w:hAnsi="Times New Roman"/>
          <w:sz w:val="24"/>
          <w:szCs w:val="24"/>
        </w:rPr>
        <w:t xml:space="preserve"> – that is, </w:t>
      </w:r>
      <w:r w:rsidR="00097CEA">
        <w:rPr>
          <w:rFonts w:ascii="Times New Roman" w:hAnsi="Times New Roman"/>
          <w:sz w:val="24"/>
          <w:szCs w:val="24"/>
        </w:rPr>
        <w:t xml:space="preserve">to </w:t>
      </w:r>
      <w:r w:rsidR="00EC58EB">
        <w:rPr>
          <w:rFonts w:ascii="Times New Roman" w:hAnsi="Times New Roman"/>
          <w:sz w:val="24"/>
          <w:szCs w:val="24"/>
        </w:rPr>
        <w:t>i</w:t>
      </w:r>
      <w:r w:rsidR="00280350" w:rsidRPr="00162F09">
        <w:rPr>
          <w:rFonts w:ascii="Times New Roman" w:hAnsi="Times New Roman"/>
          <w:sz w:val="24"/>
          <w:szCs w:val="24"/>
        </w:rPr>
        <w:t>mplement AEOI</w:t>
      </w:r>
      <w:r w:rsidR="00280350">
        <w:rPr>
          <w:rFonts w:ascii="Times New Roman" w:hAnsi="Times New Roman"/>
          <w:sz w:val="24"/>
          <w:szCs w:val="24"/>
        </w:rPr>
        <w:t xml:space="preserve"> on the basis of implementation decisions </w:t>
      </w:r>
      <w:r w:rsidR="003F2DAA">
        <w:rPr>
          <w:rFonts w:ascii="Times New Roman" w:hAnsi="Times New Roman"/>
          <w:sz w:val="24"/>
          <w:szCs w:val="24"/>
        </w:rPr>
        <w:t xml:space="preserve">that </w:t>
      </w:r>
      <w:r w:rsidR="00460786">
        <w:rPr>
          <w:rFonts w:ascii="Times New Roman" w:hAnsi="Times New Roman"/>
          <w:sz w:val="24"/>
          <w:szCs w:val="24"/>
        </w:rPr>
        <w:t xml:space="preserve">strike a balance between minimising </w:t>
      </w:r>
      <w:r w:rsidR="00280350" w:rsidRPr="00280350">
        <w:rPr>
          <w:rFonts w:ascii="Times New Roman" w:hAnsi="Times New Roman"/>
          <w:sz w:val="24"/>
          <w:szCs w:val="24"/>
        </w:rPr>
        <w:t>compliance cost</w:t>
      </w:r>
      <w:r w:rsidR="000023B3">
        <w:rPr>
          <w:rFonts w:ascii="Times New Roman" w:hAnsi="Times New Roman"/>
          <w:sz w:val="24"/>
          <w:szCs w:val="24"/>
        </w:rPr>
        <w:t xml:space="preserve">s for </w:t>
      </w:r>
      <w:r w:rsidR="00280350" w:rsidRPr="00280350">
        <w:rPr>
          <w:rFonts w:ascii="Times New Roman" w:hAnsi="Times New Roman"/>
          <w:sz w:val="24"/>
          <w:szCs w:val="24"/>
        </w:rPr>
        <w:t>financial institutions</w:t>
      </w:r>
      <w:r w:rsidR="00D36FA6">
        <w:rPr>
          <w:rFonts w:ascii="Times New Roman" w:hAnsi="Times New Roman"/>
          <w:sz w:val="24"/>
          <w:szCs w:val="24"/>
        </w:rPr>
        <w:t xml:space="preserve"> and </w:t>
      </w:r>
      <w:r w:rsidR="00597E1E">
        <w:rPr>
          <w:rFonts w:ascii="Times New Roman" w:hAnsi="Times New Roman"/>
          <w:sz w:val="24"/>
          <w:szCs w:val="24"/>
        </w:rPr>
        <w:t xml:space="preserve">minimising administrative costs for </w:t>
      </w:r>
      <w:r w:rsidR="004B4F32">
        <w:rPr>
          <w:rFonts w:ascii="Times New Roman" w:hAnsi="Times New Roman"/>
          <w:sz w:val="24"/>
          <w:szCs w:val="24"/>
        </w:rPr>
        <w:t>New Zealand regulatory agencies</w:t>
      </w:r>
      <w:r w:rsidR="00460786">
        <w:rPr>
          <w:rFonts w:ascii="Times New Roman" w:hAnsi="Times New Roman"/>
          <w:sz w:val="24"/>
          <w:szCs w:val="24"/>
        </w:rPr>
        <w:t xml:space="preserve"> and</w:t>
      </w:r>
      <w:r w:rsidR="003F2DAA">
        <w:rPr>
          <w:rFonts w:ascii="Times New Roman" w:hAnsi="Times New Roman"/>
          <w:sz w:val="24"/>
          <w:szCs w:val="24"/>
        </w:rPr>
        <w:t xml:space="preserve"> </w:t>
      </w:r>
      <w:r w:rsidR="00280350" w:rsidRPr="00460786">
        <w:rPr>
          <w:rFonts w:ascii="Times New Roman" w:hAnsi="Times New Roman"/>
          <w:sz w:val="24"/>
          <w:szCs w:val="24"/>
        </w:rPr>
        <w:t>meet</w:t>
      </w:r>
      <w:r w:rsidR="00460786">
        <w:rPr>
          <w:rFonts w:ascii="Times New Roman" w:hAnsi="Times New Roman"/>
          <w:sz w:val="24"/>
          <w:szCs w:val="24"/>
        </w:rPr>
        <w:t>ing</w:t>
      </w:r>
      <w:r w:rsidR="00280350" w:rsidRPr="00460786">
        <w:rPr>
          <w:rFonts w:ascii="Times New Roman" w:hAnsi="Times New Roman"/>
          <w:sz w:val="24"/>
          <w:szCs w:val="24"/>
        </w:rPr>
        <w:t xml:space="preserve"> international expectations</w:t>
      </w:r>
      <w:r w:rsidR="00EC58EB">
        <w:rPr>
          <w:rFonts w:ascii="Times New Roman" w:hAnsi="Times New Roman"/>
          <w:sz w:val="24"/>
          <w:szCs w:val="24"/>
        </w:rPr>
        <w:t>.</w:t>
      </w:r>
    </w:p>
    <w:p w:rsidR="00410626" w:rsidRDefault="00410626">
      <w:pPr>
        <w:spacing w:after="0" w:line="240" w:lineRule="auto"/>
        <w:rPr>
          <w:rFonts w:ascii="Times New Roman" w:hAnsi="Times New Roman"/>
          <w:sz w:val="24"/>
          <w:szCs w:val="24"/>
        </w:rPr>
      </w:pPr>
    </w:p>
    <w:p w:rsidR="00C1094F" w:rsidRDefault="004E4192" w:rsidP="0014306D">
      <w:pPr>
        <w:pStyle w:val="spacer"/>
        <w:ind w:left="1134" w:hanging="567"/>
        <w:jc w:val="both"/>
        <w:rPr>
          <w:rFonts w:ascii="Times New Roman" w:hAnsi="Times New Roman"/>
          <w:sz w:val="24"/>
          <w:szCs w:val="24"/>
        </w:rPr>
      </w:pPr>
      <w:r>
        <w:rPr>
          <w:rFonts w:ascii="Times New Roman" w:hAnsi="Times New Roman"/>
          <w:sz w:val="24"/>
          <w:szCs w:val="24"/>
        </w:rPr>
        <w:sym w:font="Wingdings 2" w:char="F097"/>
      </w:r>
      <w:r>
        <w:rPr>
          <w:rFonts w:ascii="Times New Roman" w:hAnsi="Times New Roman"/>
          <w:sz w:val="24"/>
          <w:szCs w:val="24"/>
        </w:rPr>
        <w:tab/>
      </w:r>
      <w:r w:rsidR="00C1094F">
        <w:rPr>
          <w:rFonts w:ascii="Times New Roman" w:hAnsi="Times New Roman"/>
          <w:sz w:val="24"/>
          <w:szCs w:val="24"/>
        </w:rPr>
        <w:t xml:space="preserve">Option 4: </w:t>
      </w:r>
      <w:r w:rsidR="00DC6111">
        <w:rPr>
          <w:rFonts w:ascii="Times New Roman" w:hAnsi="Times New Roman"/>
          <w:sz w:val="24"/>
          <w:szCs w:val="24"/>
        </w:rPr>
        <w:t>A</w:t>
      </w:r>
      <w:r w:rsidR="006D1760">
        <w:rPr>
          <w:rFonts w:ascii="Times New Roman" w:hAnsi="Times New Roman"/>
          <w:sz w:val="24"/>
          <w:szCs w:val="24"/>
        </w:rPr>
        <w:t xml:space="preserve"> </w:t>
      </w:r>
      <w:r w:rsidR="006D1760" w:rsidRPr="006D1760">
        <w:rPr>
          <w:rFonts w:ascii="Times New Roman" w:hAnsi="Times New Roman"/>
          <w:b/>
          <w:sz w:val="24"/>
          <w:szCs w:val="24"/>
        </w:rPr>
        <w:t>high cost approach</w:t>
      </w:r>
      <w:r w:rsidR="006D1760">
        <w:rPr>
          <w:rFonts w:ascii="Times New Roman" w:hAnsi="Times New Roman"/>
          <w:sz w:val="24"/>
          <w:szCs w:val="24"/>
        </w:rPr>
        <w:t xml:space="preserve"> – that is, </w:t>
      </w:r>
      <w:r w:rsidR="00097CEA">
        <w:rPr>
          <w:rFonts w:ascii="Times New Roman" w:hAnsi="Times New Roman"/>
          <w:sz w:val="24"/>
          <w:szCs w:val="24"/>
        </w:rPr>
        <w:t xml:space="preserve">to </w:t>
      </w:r>
      <w:r w:rsidR="006D1760">
        <w:rPr>
          <w:rFonts w:ascii="Times New Roman" w:hAnsi="Times New Roman"/>
          <w:sz w:val="24"/>
          <w:szCs w:val="24"/>
        </w:rPr>
        <w:t>i</w:t>
      </w:r>
      <w:r w:rsidR="0014306D">
        <w:rPr>
          <w:rFonts w:ascii="Times New Roman" w:hAnsi="Times New Roman"/>
          <w:sz w:val="24"/>
          <w:szCs w:val="24"/>
        </w:rPr>
        <w:t xml:space="preserve">mplement AEOI </w:t>
      </w:r>
      <w:r w:rsidR="000023B3">
        <w:rPr>
          <w:rFonts w:ascii="Times New Roman" w:hAnsi="Times New Roman"/>
          <w:sz w:val="24"/>
          <w:szCs w:val="24"/>
        </w:rPr>
        <w:t xml:space="preserve">on the basis of implementation decisions </w:t>
      </w:r>
      <w:r w:rsidR="00460786">
        <w:rPr>
          <w:rFonts w:ascii="Times New Roman" w:hAnsi="Times New Roman"/>
          <w:sz w:val="24"/>
          <w:szCs w:val="24"/>
        </w:rPr>
        <w:t xml:space="preserve">that </w:t>
      </w:r>
      <w:r w:rsidR="00460786" w:rsidRPr="00F65FFA">
        <w:rPr>
          <w:rFonts w:ascii="Times New Roman" w:hAnsi="Times New Roman"/>
          <w:sz w:val="24"/>
          <w:szCs w:val="24"/>
        </w:rPr>
        <w:t>favour</w:t>
      </w:r>
      <w:r w:rsidR="003F2DAA" w:rsidRPr="00F65FFA">
        <w:rPr>
          <w:rFonts w:ascii="Times New Roman" w:hAnsi="Times New Roman"/>
          <w:sz w:val="24"/>
          <w:szCs w:val="24"/>
        </w:rPr>
        <w:t xml:space="preserve"> meeting international expectations</w:t>
      </w:r>
      <w:r w:rsidR="00460786">
        <w:rPr>
          <w:rFonts w:ascii="Times New Roman" w:hAnsi="Times New Roman"/>
          <w:sz w:val="24"/>
          <w:szCs w:val="24"/>
        </w:rPr>
        <w:t xml:space="preserve"> over minimising </w:t>
      </w:r>
      <w:r w:rsidR="000023B3" w:rsidRPr="00280350">
        <w:rPr>
          <w:rFonts w:ascii="Times New Roman" w:hAnsi="Times New Roman"/>
          <w:sz w:val="24"/>
          <w:szCs w:val="24"/>
        </w:rPr>
        <w:t>compliance cost</w:t>
      </w:r>
      <w:r w:rsidR="000023B3">
        <w:rPr>
          <w:rFonts w:ascii="Times New Roman" w:hAnsi="Times New Roman"/>
          <w:sz w:val="24"/>
          <w:szCs w:val="24"/>
        </w:rPr>
        <w:t xml:space="preserve">s for </w:t>
      </w:r>
      <w:r w:rsidR="000023B3" w:rsidRPr="00280350">
        <w:rPr>
          <w:rFonts w:ascii="Times New Roman" w:hAnsi="Times New Roman"/>
          <w:sz w:val="24"/>
          <w:szCs w:val="24"/>
        </w:rPr>
        <w:t>financial institutions</w:t>
      </w:r>
      <w:r w:rsidR="00D36FA6">
        <w:rPr>
          <w:rFonts w:ascii="Times New Roman" w:hAnsi="Times New Roman"/>
          <w:sz w:val="24"/>
          <w:szCs w:val="24"/>
        </w:rPr>
        <w:t xml:space="preserve"> and </w:t>
      </w:r>
      <w:r w:rsidR="00597E1E">
        <w:rPr>
          <w:rFonts w:ascii="Times New Roman" w:hAnsi="Times New Roman"/>
          <w:sz w:val="24"/>
          <w:szCs w:val="24"/>
        </w:rPr>
        <w:t>administrative costs for Inland Revenue</w:t>
      </w:r>
      <w:r w:rsidR="0014306D">
        <w:rPr>
          <w:rFonts w:ascii="Times New Roman" w:hAnsi="Times New Roman"/>
          <w:sz w:val="24"/>
          <w:szCs w:val="24"/>
        </w:rPr>
        <w:t>.</w:t>
      </w:r>
    </w:p>
    <w:p w:rsidR="002C3999" w:rsidRDefault="002C3999" w:rsidP="000D2215">
      <w:pPr>
        <w:pStyle w:val="spacer"/>
        <w:jc w:val="both"/>
        <w:rPr>
          <w:rFonts w:ascii="Times New Roman" w:hAnsi="Times New Roman"/>
          <w:sz w:val="24"/>
          <w:szCs w:val="24"/>
          <w:lang w:val="en-AU"/>
        </w:rPr>
      </w:pPr>
      <w:bookmarkStart w:id="23" w:name="_Toc244580366"/>
      <w:bookmarkStart w:id="24" w:name="_Toc244587042"/>
      <w:bookmarkStart w:id="25" w:name="_Toc244857276"/>
      <w:bookmarkStart w:id="26" w:name="_Toc244912541"/>
      <w:bookmarkStart w:id="27" w:name="_Toc244916998"/>
    </w:p>
    <w:p w:rsidR="00A72D22" w:rsidRDefault="00A72D22" w:rsidP="007946CC">
      <w:pPr>
        <w:pStyle w:val="spacer"/>
        <w:ind w:left="567" w:hanging="567"/>
        <w:jc w:val="both"/>
        <w:rPr>
          <w:rFonts w:ascii="Times New Roman" w:hAnsi="Times New Roman"/>
          <w:sz w:val="24"/>
          <w:szCs w:val="24"/>
          <w:lang w:val="en-AU"/>
        </w:rPr>
      </w:pPr>
      <w:r w:rsidRPr="004C145D">
        <w:rPr>
          <w:rFonts w:ascii="Times New Roman" w:hAnsi="Times New Roman"/>
          <w:sz w:val="24"/>
          <w:szCs w:val="24"/>
          <w:lang w:val="en-AU"/>
        </w:rPr>
        <w:fldChar w:fldCharType="begin"/>
      </w:r>
      <w:r w:rsidRPr="004C145D">
        <w:rPr>
          <w:rFonts w:ascii="Times New Roman" w:hAnsi="Times New Roman"/>
          <w:sz w:val="24"/>
          <w:szCs w:val="24"/>
          <w:lang w:val="en-AU"/>
        </w:rPr>
        <w:instrText xml:space="preserve"> AUTONUM  \* Arabic  </w:instrText>
      </w:r>
      <w:r w:rsidRPr="004C145D">
        <w:rPr>
          <w:rFonts w:ascii="Times New Roman" w:hAnsi="Times New Roman"/>
          <w:sz w:val="24"/>
          <w:szCs w:val="24"/>
          <w:lang w:val="en-AU"/>
        </w:rPr>
        <w:fldChar w:fldCharType="end"/>
      </w:r>
      <w:r w:rsidRPr="004C145D">
        <w:rPr>
          <w:rFonts w:ascii="Times New Roman" w:hAnsi="Times New Roman"/>
          <w:sz w:val="24"/>
          <w:szCs w:val="24"/>
          <w:lang w:val="en-AU"/>
        </w:rPr>
        <w:tab/>
      </w:r>
      <w:r>
        <w:rPr>
          <w:rFonts w:ascii="Times New Roman" w:hAnsi="Times New Roman"/>
          <w:sz w:val="24"/>
          <w:szCs w:val="24"/>
          <w:lang w:val="en-AU"/>
        </w:rPr>
        <w:t xml:space="preserve">The ‘Implementation’ section of this RIS discusses key design features of AEOI.  Some of these features are specifically referred to in the analysis of the options </w:t>
      </w:r>
      <w:r w:rsidR="004E4192">
        <w:rPr>
          <w:rFonts w:ascii="Times New Roman" w:hAnsi="Times New Roman"/>
          <w:sz w:val="24"/>
          <w:szCs w:val="24"/>
          <w:lang w:val="en-AU"/>
        </w:rPr>
        <w:t xml:space="preserve">below </w:t>
      </w:r>
      <w:r>
        <w:rPr>
          <w:rFonts w:ascii="Times New Roman" w:hAnsi="Times New Roman"/>
          <w:sz w:val="24"/>
          <w:szCs w:val="24"/>
          <w:lang w:val="en-AU"/>
        </w:rPr>
        <w:t>in order to highlight key differences between the options.</w:t>
      </w:r>
    </w:p>
    <w:p w:rsidR="00A72D22" w:rsidRDefault="00A72D22" w:rsidP="007946CC">
      <w:pPr>
        <w:pStyle w:val="spacer"/>
        <w:ind w:left="567" w:hanging="567"/>
        <w:jc w:val="both"/>
        <w:rPr>
          <w:rFonts w:ascii="Times New Roman" w:hAnsi="Times New Roman"/>
          <w:sz w:val="24"/>
          <w:szCs w:val="24"/>
          <w:lang w:val="en-AU"/>
        </w:rPr>
      </w:pPr>
    </w:p>
    <w:p w:rsidR="00E66C57" w:rsidRDefault="00E66C57" w:rsidP="007946CC">
      <w:pPr>
        <w:pStyle w:val="spacer"/>
        <w:ind w:left="567" w:hanging="567"/>
        <w:jc w:val="both"/>
        <w:rPr>
          <w:rFonts w:ascii="Times New Roman" w:hAnsi="Times New Roman"/>
          <w:sz w:val="24"/>
          <w:szCs w:val="24"/>
          <w:lang w:val="en-AU"/>
        </w:rPr>
      </w:pPr>
    </w:p>
    <w:p w:rsidR="00171172" w:rsidRPr="00F65FFA" w:rsidRDefault="00597E1E" w:rsidP="007946CC">
      <w:pPr>
        <w:pStyle w:val="spacer"/>
        <w:ind w:left="567" w:hanging="567"/>
        <w:jc w:val="both"/>
        <w:rPr>
          <w:rFonts w:ascii="Times New Roman" w:hAnsi="Times New Roman"/>
          <w:b/>
          <w:sz w:val="24"/>
          <w:szCs w:val="24"/>
          <w:lang w:val="en-AU"/>
        </w:rPr>
      </w:pPr>
      <w:r w:rsidRPr="00F65FFA">
        <w:rPr>
          <w:rFonts w:ascii="Times New Roman" w:hAnsi="Times New Roman"/>
          <w:b/>
          <w:sz w:val="24"/>
          <w:szCs w:val="24"/>
          <w:lang w:val="en-AU"/>
        </w:rPr>
        <w:t xml:space="preserve">Option 1: </w:t>
      </w:r>
      <w:r w:rsidR="006D1760" w:rsidRPr="00F65FFA">
        <w:rPr>
          <w:rFonts w:ascii="Times New Roman" w:hAnsi="Times New Roman"/>
          <w:b/>
          <w:sz w:val="24"/>
          <w:szCs w:val="24"/>
          <w:lang w:val="en-AU"/>
        </w:rPr>
        <w:t>Maintain the status quo</w:t>
      </w:r>
    </w:p>
    <w:p w:rsidR="00171172" w:rsidRDefault="00171172" w:rsidP="007946CC">
      <w:pPr>
        <w:pStyle w:val="spacer"/>
        <w:ind w:left="567" w:hanging="567"/>
        <w:jc w:val="both"/>
        <w:rPr>
          <w:rFonts w:ascii="Times New Roman" w:hAnsi="Times New Roman"/>
          <w:sz w:val="24"/>
          <w:szCs w:val="24"/>
          <w:lang w:val="en-AU"/>
        </w:rPr>
      </w:pPr>
    </w:p>
    <w:p w:rsidR="00597E1E" w:rsidRDefault="00597E1E" w:rsidP="007946CC">
      <w:pPr>
        <w:pStyle w:val="Bullet-list"/>
        <w:spacing w:after="0" w:line="240" w:lineRule="auto"/>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t xml:space="preserve">Option 1 </w:t>
      </w:r>
      <w:r w:rsidR="00A72D22">
        <w:rPr>
          <w:rFonts w:ascii="Times New Roman" w:hAnsi="Times New Roman"/>
          <w:sz w:val="24"/>
          <w:szCs w:val="24"/>
        </w:rPr>
        <w:t xml:space="preserve">would not meet any of the objectives and </w:t>
      </w:r>
      <w:r>
        <w:rPr>
          <w:rFonts w:ascii="Times New Roman" w:hAnsi="Times New Roman"/>
          <w:sz w:val="24"/>
          <w:szCs w:val="24"/>
        </w:rPr>
        <w:t xml:space="preserve">is not considered to be tenable.  </w:t>
      </w:r>
      <w:r w:rsidR="00097CEA">
        <w:rPr>
          <w:rFonts w:ascii="Times New Roman" w:hAnsi="Times New Roman"/>
          <w:sz w:val="24"/>
          <w:szCs w:val="24"/>
        </w:rPr>
        <w:t xml:space="preserve">A decision not to implement AEOI would mean </w:t>
      </w:r>
      <w:r>
        <w:rPr>
          <w:rFonts w:ascii="Times New Roman" w:hAnsi="Times New Roman"/>
          <w:sz w:val="24"/>
          <w:szCs w:val="24"/>
        </w:rPr>
        <w:t>New Zealand default</w:t>
      </w:r>
      <w:r w:rsidR="00097CEA">
        <w:rPr>
          <w:rFonts w:ascii="Times New Roman" w:hAnsi="Times New Roman"/>
          <w:sz w:val="24"/>
          <w:szCs w:val="24"/>
        </w:rPr>
        <w:t>ing</w:t>
      </w:r>
      <w:r>
        <w:rPr>
          <w:rFonts w:ascii="Times New Roman" w:hAnsi="Times New Roman"/>
          <w:sz w:val="24"/>
          <w:szCs w:val="24"/>
        </w:rPr>
        <w:t xml:space="preserve"> on commitment</w:t>
      </w:r>
      <w:r w:rsidR="00DC6111">
        <w:rPr>
          <w:rFonts w:ascii="Times New Roman" w:hAnsi="Times New Roman"/>
          <w:sz w:val="24"/>
          <w:szCs w:val="24"/>
        </w:rPr>
        <w:t>s</w:t>
      </w:r>
      <w:r>
        <w:rPr>
          <w:rFonts w:ascii="Times New Roman" w:hAnsi="Times New Roman"/>
          <w:sz w:val="24"/>
          <w:szCs w:val="24"/>
        </w:rPr>
        <w:t xml:space="preserve"> and </w:t>
      </w:r>
      <w:r w:rsidR="00DC6111">
        <w:rPr>
          <w:rFonts w:ascii="Times New Roman" w:hAnsi="Times New Roman"/>
          <w:sz w:val="24"/>
          <w:szCs w:val="24"/>
        </w:rPr>
        <w:t>result in</w:t>
      </w:r>
      <w:r>
        <w:rPr>
          <w:rFonts w:ascii="Times New Roman" w:hAnsi="Times New Roman"/>
          <w:sz w:val="24"/>
          <w:szCs w:val="24"/>
        </w:rPr>
        <w:t xml:space="preserve"> international </w:t>
      </w:r>
      <w:r w:rsidR="00097CEA">
        <w:rPr>
          <w:rFonts w:ascii="Times New Roman" w:hAnsi="Times New Roman"/>
          <w:sz w:val="24"/>
          <w:szCs w:val="24"/>
        </w:rPr>
        <w:t xml:space="preserve">(and domestic) </w:t>
      </w:r>
      <w:r>
        <w:rPr>
          <w:rFonts w:ascii="Times New Roman" w:hAnsi="Times New Roman"/>
          <w:sz w:val="24"/>
          <w:szCs w:val="24"/>
        </w:rPr>
        <w:t>criticism and reputational damage.</w:t>
      </w:r>
    </w:p>
    <w:p w:rsidR="00171172" w:rsidRDefault="00171172" w:rsidP="000D2215">
      <w:pPr>
        <w:pStyle w:val="spacer"/>
        <w:jc w:val="both"/>
        <w:rPr>
          <w:rFonts w:ascii="Times New Roman" w:hAnsi="Times New Roman"/>
          <w:sz w:val="24"/>
          <w:szCs w:val="24"/>
          <w:lang w:val="en-AU"/>
        </w:rPr>
      </w:pPr>
    </w:p>
    <w:p w:rsidR="00E66C57" w:rsidRDefault="00E66C57" w:rsidP="000D2215">
      <w:pPr>
        <w:pStyle w:val="spacer"/>
        <w:jc w:val="both"/>
        <w:rPr>
          <w:rFonts w:ascii="Times New Roman" w:hAnsi="Times New Roman"/>
          <w:sz w:val="24"/>
          <w:szCs w:val="24"/>
          <w:lang w:val="en-AU"/>
        </w:rPr>
      </w:pPr>
    </w:p>
    <w:p w:rsidR="00597E1E" w:rsidRPr="00F65FFA" w:rsidRDefault="00597E1E" w:rsidP="00597E1E">
      <w:pPr>
        <w:pStyle w:val="spacer"/>
        <w:jc w:val="both"/>
        <w:rPr>
          <w:rFonts w:ascii="Times New Roman" w:hAnsi="Times New Roman"/>
          <w:b/>
          <w:sz w:val="24"/>
          <w:szCs w:val="24"/>
          <w:lang w:val="en-AU"/>
        </w:rPr>
      </w:pPr>
      <w:r w:rsidRPr="00F65FFA">
        <w:rPr>
          <w:rFonts w:ascii="Times New Roman" w:hAnsi="Times New Roman"/>
          <w:b/>
          <w:sz w:val="24"/>
          <w:szCs w:val="24"/>
          <w:lang w:val="en-AU"/>
        </w:rPr>
        <w:t xml:space="preserve">Option 2: </w:t>
      </w:r>
      <w:r w:rsidR="006D1760" w:rsidRPr="00F65FFA">
        <w:rPr>
          <w:rFonts w:ascii="Times New Roman" w:hAnsi="Times New Roman"/>
          <w:b/>
          <w:sz w:val="24"/>
          <w:szCs w:val="24"/>
          <w:lang w:val="en-AU"/>
        </w:rPr>
        <w:t xml:space="preserve">Low cost </w:t>
      </w:r>
      <w:r w:rsidR="004B4F32" w:rsidRPr="00F65FFA">
        <w:rPr>
          <w:rFonts w:ascii="Times New Roman" w:hAnsi="Times New Roman"/>
          <w:b/>
          <w:sz w:val="24"/>
          <w:szCs w:val="24"/>
          <w:lang w:val="en-AU"/>
        </w:rPr>
        <w:t>approach</w:t>
      </w:r>
      <w:r w:rsidR="00503FE0" w:rsidRPr="00F65FFA">
        <w:rPr>
          <w:rFonts w:ascii="Times New Roman" w:hAnsi="Times New Roman"/>
          <w:b/>
          <w:sz w:val="24"/>
          <w:szCs w:val="24"/>
        </w:rPr>
        <w:t xml:space="preserve"> </w:t>
      </w:r>
    </w:p>
    <w:p w:rsidR="00171172" w:rsidRDefault="00171172" w:rsidP="000D2215">
      <w:pPr>
        <w:pStyle w:val="spacer"/>
        <w:jc w:val="both"/>
        <w:rPr>
          <w:rFonts w:ascii="Times New Roman" w:hAnsi="Times New Roman"/>
          <w:sz w:val="24"/>
          <w:szCs w:val="24"/>
          <w:lang w:val="en-AU"/>
        </w:rPr>
      </w:pPr>
    </w:p>
    <w:p w:rsidR="00723BFE" w:rsidRDefault="00723BFE" w:rsidP="007946CC">
      <w:pPr>
        <w:pStyle w:val="spacer"/>
        <w:ind w:left="567" w:hanging="567"/>
        <w:jc w:val="both"/>
        <w:rPr>
          <w:rFonts w:ascii="Times New Roman" w:hAnsi="Times New Roman"/>
          <w:sz w:val="24"/>
          <w:szCs w:val="24"/>
        </w:rPr>
      </w:pPr>
      <w:r>
        <w:rPr>
          <w:rFonts w:ascii="Times New Roman" w:hAnsi="Times New Roman"/>
          <w:sz w:val="24"/>
          <w:szCs w:val="24"/>
          <w:lang w:val="en-AU"/>
        </w:rPr>
        <w:fldChar w:fldCharType="begin"/>
      </w:r>
      <w:r>
        <w:rPr>
          <w:rFonts w:ascii="Times New Roman" w:hAnsi="Times New Roman"/>
          <w:sz w:val="24"/>
          <w:szCs w:val="24"/>
          <w:lang w:val="en-AU"/>
        </w:rPr>
        <w:instrText xml:space="preserve"> AUTONUM  \* Arabic  </w:instrText>
      </w:r>
      <w:r>
        <w:rPr>
          <w:rFonts w:ascii="Times New Roman" w:hAnsi="Times New Roman"/>
          <w:sz w:val="24"/>
          <w:szCs w:val="24"/>
          <w:lang w:val="en-AU"/>
        </w:rPr>
        <w:fldChar w:fldCharType="end"/>
      </w:r>
      <w:r>
        <w:rPr>
          <w:rFonts w:ascii="Times New Roman" w:hAnsi="Times New Roman"/>
          <w:sz w:val="24"/>
          <w:szCs w:val="24"/>
          <w:lang w:val="en-AU"/>
        </w:rPr>
        <w:tab/>
        <w:t xml:space="preserve">This option would involve making </w:t>
      </w:r>
      <w:r>
        <w:rPr>
          <w:rFonts w:ascii="Times New Roman" w:hAnsi="Times New Roman"/>
          <w:sz w:val="24"/>
          <w:szCs w:val="24"/>
        </w:rPr>
        <w:t xml:space="preserve">design decisions </w:t>
      </w:r>
      <w:r w:rsidRPr="00EC58EB">
        <w:rPr>
          <w:rFonts w:ascii="Times New Roman" w:hAnsi="Times New Roman"/>
          <w:sz w:val="24"/>
          <w:szCs w:val="24"/>
        </w:rPr>
        <w:t xml:space="preserve">that </w:t>
      </w:r>
      <w:r>
        <w:rPr>
          <w:rFonts w:ascii="Times New Roman" w:hAnsi="Times New Roman"/>
          <w:sz w:val="24"/>
          <w:szCs w:val="24"/>
        </w:rPr>
        <w:t xml:space="preserve">would </w:t>
      </w:r>
      <w:r w:rsidRPr="00EC58EB">
        <w:rPr>
          <w:rFonts w:ascii="Times New Roman" w:hAnsi="Times New Roman"/>
          <w:sz w:val="24"/>
          <w:szCs w:val="24"/>
        </w:rPr>
        <w:t>favour minimising compliance costs for financial institutions and administrative costs for</w:t>
      </w:r>
      <w:r>
        <w:rPr>
          <w:rFonts w:ascii="Times New Roman" w:hAnsi="Times New Roman"/>
          <w:sz w:val="24"/>
          <w:szCs w:val="24"/>
        </w:rPr>
        <w:t xml:space="preserve"> Inland Revenue </w:t>
      </w:r>
      <w:r w:rsidRPr="00460786">
        <w:rPr>
          <w:rFonts w:ascii="Times New Roman" w:hAnsi="Times New Roman"/>
          <w:sz w:val="24"/>
          <w:szCs w:val="24"/>
        </w:rPr>
        <w:t>over meeting international expectations</w:t>
      </w:r>
      <w:r>
        <w:rPr>
          <w:rFonts w:ascii="Times New Roman" w:hAnsi="Times New Roman"/>
          <w:sz w:val="24"/>
          <w:szCs w:val="24"/>
        </w:rPr>
        <w:t>.</w:t>
      </w:r>
    </w:p>
    <w:p w:rsidR="00723BFE" w:rsidRDefault="00723BFE" w:rsidP="007946CC">
      <w:pPr>
        <w:pStyle w:val="spacer"/>
        <w:ind w:left="567" w:hanging="567"/>
        <w:jc w:val="both"/>
        <w:rPr>
          <w:rFonts w:ascii="Times New Roman" w:hAnsi="Times New Roman"/>
          <w:sz w:val="24"/>
          <w:szCs w:val="24"/>
        </w:rPr>
      </w:pPr>
    </w:p>
    <w:p w:rsidR="00723BFE" w:rsidRDefault="00723BFE" w:rsidP="007946CC">
      <w:pPr>
        <w:pStyle w:val="spacer"/>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r>
      <w:r w:rsidR="00A72D22">
        <w:rPr>
          <w:rFonts w:ascii="Times New Roman" w:hAnsi="Times New Roman"/>
          <w:sz w:val="24"/>
          <w:szCs w:val="24"/>
        </w:rPr>
        <w:t xml:space="preserve">Examples would involve lenient phase-in options (as </w:t>
      </w:r>
      <w:r w:rsidR="00A72D22" w:rsidRPr="00F65FFA">
        <w:rPr>
          <w:rFonts w:ascii="Times New Roman" w:hAnsi="Times New Roman"/>
          <w:sz w:val="24"/>
          <w:szCs w:val="24"/>
        </w:rPr>
        <w:t>discussed in paragraphs 1</w:t>
      </w:r>
      <w:r w:rsidR="00F65FFA" w:rsidRPr="00F65FFA">
        <w:rPr>
          <w:rFonts w:ascii="Times New Roman" w:hAnsi="Times New Roman"/>
          <w:sz w:val="24"/>
          <w:szCs w:val="24"/>
        </w:rPr>
        <w:t>2</w:t>
      </w:r>
      <w:r w:rsidR="00A72D22" w:rsidRPr="00F65FFA">
        <w:rPr>
          <w:rFonts w:ascii="Times New Roman" w:hAnsi="Times New Roman"/>
          <w:sz w:val="24"/>
          <w:szCs w:val="24"/>
        </w:rPr>
        <w:t xml:space="preserve">0 to </w:t>
      </w:r>
      <w:r w:rsidR="00F65FFA" w:rsidRPr="00F65FFA">
        <w:rPr>
          <w:rFonts w:ascii="Times New Roman" w:hAnsi="Times New Roman"/>
          <w:sz w:val="24"/>
          <w:szCs w:val="24"/>
        </w:rPr>
        <w:t>121</w:t>
      </w:r>
      <w:r w:rsidR="00A72D22" w:rsidRPr="00F65FFA">
        <w:rPr>
          <w:rFonts w:ascii="Times New Roman" w:hAnsi="Times New Roman"/>
          <w:sz w:val="24"/>
          <w:szCs w:val="24"/>
        </w:rPr>
        <w:t xml:space="preserve">) not contemplated by the CRS and limiting due diligence for CRS purposes to existing </w:t>
      </w:r>
      <w:r w:rsidR="00A72D22">
        <w:rPr>
          <w:rFonts w:ascii="Times New Roman" w:hAnsi="Times New Roman"/>
          <w:sz w:val="24"/>
          <w:szCs w:val="24"/>
        </w:rPr>
        <w:t xml:space="preserve">due diligence requirements under AML/CFT laws (as </w:t>
      </w:r>
      <w:r w:rsidR="00A72D22" w:rsidRPr="00F65FFA">
        <w:rPr>
          <w:rFonts w:ascii="Times New Roman" w:hAnsi="Times New Roman"/>
          <w:sz w:val="24"/>
          <w:szCs w:val="24"/>
        </w:rPr>
        <w:t xml:space="preserve">discussed in </w:t>
      </w:r>
      <w:r w:rsidR="00F65FFA" w:rsidRPr="00F65FFA">
        <w:rPr>
          <w:rFonts w:ascii="Times New Roman" w:hAnsi="Times New Roman"/>
          <w:sz w:val="24"/>
          <w:szCs w:val="24"/>
        </w:rPr>
        <w:t>paragraphs 115</w:t>
      </w:r>
      <w:r w:rsidR="00A72D22" w:rsidRPr="00F65FFA">
        <w:rPr>
          <w:rFonts w:ascii="Times New Roman" w:hAnsi="Times New Roman"/>
          <w:sz w:val="24"/>
          <w:szCs w:val="24"/>
        </w:rPr>
        <w:t xml:space="preserve"> to 11</w:t>
      </w:r>
      <w:r w:rsidR="00F65FFA" w:rsidRPr="00F65FFA">
        <w:rPr>
          <w:rFonts w:ascii="Times New Roman" w:hAnsi="Times New Roman"/>
          <w:sz w:val="24"/>
          <w:szCs w:val="24"/>
        </w:rPr>
        <w:t>7</w:t>
      </w:r>
      <w:r w:rsidR="00A72D22">
        <w:rPr>
          <w:rFonts w:ascii="Times New Roman" w:hAnsi="Times New Roman"/>
          <w:sz w:val="24"/>
          <w:szCs w:val="24"/>
        </w:rPr>
        <w:t>)</w:t>
      </w:r>
      <w:r w:rsidR="00A72D22" w:rsidRPr="002D5CDE">
        <w:rPr>
          <w:rFonts w:ascii="Times New Roman" w:hAnsi="Times New Roman"/>
          <w:sz w:val="24"/>
          <w:szCs w:val="24"/>
        </w:rPr>
        <w:t>.</w:t>
      </w:r>
      <w:r w:rsidR="00A72D22" w:rsidRPr="003A2C94">
        <w:rPr>
          <w:rStyle w:val="FootnoteReference"/>
          <w:rFonts w:ascii="Times New Roman" w:hAnsi="Times New Roman"/>
          <w:szCs w:val="24"/>
        </w:rPr>
        <w:footnoteReference w:id="7"/>
      </w:r>
    </w:p>
    <w:p w:rsidR="00AE1714" w:rsidRDefault="00AE1714" w:rsidP="007946CC">
      <w:pPr>
        <w:pStyle w:val="spacer"/>
        <w:ind w:left="567" w:hanging="567"/>
        <w:jc w:val="both"/>
        <w:rPr>
          <w:rFonts w:ascii="Times New Roman" w:hAnsi="Times New Roman"/>
          <w:sz w:val="24"/>
          <w:szCs w:val="24"/>
        </w:rPr>
      </w:pPr>
    </w:p>
    <w:p w:rsidR="00AE1714" w:rsidRDefault="00AE1714" w:rsidP="007946CC">
      <w:pPr>
        <w:pStyle w:val="spacer"/>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t>Option 2 has been measured against the objectives listed in paragraph 32 above.</w:t>
      </w:r>
    </w:p>
    <w:p w:rsidR="002A35F4" w:rsidRDefault="002A35F4" w:rsidP="000D2215">
      <w:pPr>
        <w:pStyle w:val="spacer"/>
        <w:jc w:val="both"/>
        <w:rPr>
          <w:rFonts w:ascii="Times New Roman" w:hAnsi="Times New Roman"/>
          <w:sz w:val="24"/>
          <w:szCs w:val="24"/>
        </w:rPr>
      </w:pPr>
    </w:p>
    <w:p w:rsidR="00723BFE" w:rsidRPr="00097CEA" w:rsidRDefault="00197454" w:rsidP="00723BFE">
      <w:pPr>
        <w:pStyle w:val="spacer"/>
        <w:jc w:val="both"/>
        <w:rPr>
          <w:rFonts w:ascii="Times New Roman" w:hAnsi="Times New Roman"/>
          <w:b/>
          <w:i/>
          <w:sz w:val="24"/>
          <w:szCs w:val="24"/>
          <w:lang w:val="en-AU"/>
        </w:rPr>
      </w:pPr>
      <w:r>
        <w:rPr>
          <w:rFonts w:ascii="Times New Roman" w:hAnsi="Times New Roman"/>
          <w:b/>
          <w:i/>
          <w:sz w:val="24"/>
          <w:szCs w:val="24"/>
          <w:lang w:val="en-AU"/>
        </w:rPr>
        <w:t xml:space="preserve">Objective </w:t>
      </w:r>
      <w:r w:rsidR="00AE1714">
        <w:rPr>
          <w:rFonts w:ascii="Times New Roman" w:hAnsi="Times New Roman"/>
          <w:b/>
          <w:i/>
          <w:sz w:val="24"/>
          <w:szCs w:val="24"/>
          <w:lang w:val="en-AU"/>
        </w:rPr>
        <w:t>(</w:t>
      </w:r>
      <w:r>
        <w:rPr>
          <w:rFonts w:ascii="Times New Roman" w:hAnsi="Times New Roman"/>
          <w:b/>
          <w:i/>
          <w:sz w:val="24"/>
          <w:szCs w:val="24"/>
          <w:lang w:val="en-AU"/>
        </w:rPr>
        <w:t>a</w:t>
      </w:r>
      <w:r w:rsidR="00AE1714">
        <w:rPr>
          <w:rFonts w:ascii="Times New Roman" w:hAnsi="Times New Roman"/>
          <w:b/>
          <w:i/>
          <w:sz w:val="24"/>
          <w:szCs w:val="24"/>
          <w:lang w:val="en-AU"/>
        </w:rPr>
        <w:t>)</w:t>
      </w:r>
      <w:r>
        <w:rPr>
          <w:rFonts w:ascii="Times New Roman" w:hAnsi="Times New Roman"/>
          <w:b/>
          <w:i/>
          <w:sz w:val="24"/>
          <w:szCs w:val="24"/>
          <w:lang w:val="en-AU"/>
        </w:rPr>
        <w:t xml:space="preserve"> – </w:t>
      </w:r>
      <w:r w:rsidR="00723BFE">
        <w:rPr>
          <w:rFonts w:ascii="Times New Roman" w:hAnsi="Times New Roman"/>
          <w:b/>
          <w:i/>
          <w:sz w:val="24"/>
          <w:szCs w:val="24"/>
          <w:lang w:val="en-AU"/>
        </w:rPr>
        <w:t>Consistency with the requirements of the CRS and its accompanying documentation</w:t>
      </w:r>
    </w:p>
    <w:p w:rsidR="00723BFE" w:rsidRDefault="00723BFE" w:rsidP="000D2215">
      <w:pPr>
        <w:pStyle w:val="spacer"/>
        <w:jc w:val="both"/>
        <w:rPr>
          <w:rFonts w:ascii="Times New Roman" w:hAnsi="Times New Roman"/>
          <w:sz w:val="24"/>
          <w:szCs w:val="24"/>
        </w:rPr>
      </w:pPr>
    </w:p>
    <w:p w:rsidR="00723BFE" w:rsidRDefault="00723BFE" w:rsidP="007946CC">
      <w:pPr>
        <w:pStyle w:val="spacer"/>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r>
      <w:r w:rsidR="00A72D22">
        <w:rPr>
          <w:rFonts w:ascii="Times New Roman" w:hAnsi="Times New Roman"/>
          <w:sz w:val="24"/>
          <w:szCs w:val="24"/>
        </w:rPr>
        <w:t>Design decisions that favour minimising compliance costs as described above would in most cases fall short of the CRS requirements, and would result in failed peer review.</w:t>
      </w:r>
    </w:p>
    <w:p w:rsidR="00084AC0" w:rsidRDefault="00084AC0" w:rsidP="007946CC">
      <w:pPr>
        <w:pStyle w:val="spacer"/>
        <w:ind w:left="567" w:hanging="567"/>
        <w:jc w:val="both"/>
        <w:rPr>
          <w:rFonts w:ascii="Times New Roman" w:hAnsi="Times New Roman"/>
          <w:sz w:val="24"/>
          <w:szCs w:val="24"/>
        </w:rPr>
      </w:pPr>
    </w:p>
    <w:p w:rsidR="00084AC0" w:rsidRDefault="00084AC0" w:rsidP="007946CC">
      <w:pPr>
        <w:pStyle w:val="spacer"/>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t>The consequences of failing peer review have not been articulated by the G20 or OECD.  At a minimum New Zealand would face reputational damage.  At</w:t>
      </w:r>
      <w:r w:rsidR="00E01E1A">
        <w:rPr>
          <w:rFonts w:ascii="Times New Roman" w:hAnsi="Times New Roman"/>
          <w:sz w:val="24"/>
          <w:szCs w:val="24"/>
        </w:rPr>
        <w:t xml:space="preserve"> the extreme</w:t>
      </w:r>
      <w:r>
        <w:rPr>
          <w:rFonts w:ascii="Times New Roman" w:hAnsi="Times New Roman"/>
          <w:sz w:val="24"/>
          <w:szCs w:val="24"/>
        </w:rPr>
        <w:t xml:space="preserve">, it is possible that we could face international sanctions.  In any case, New Zealand would come under intense pressure to rectify any deficiencies, effectively meaning that any damage incurred will have been for </w:t>
      </w:r>
      <w:r w:rsidR="002A35F4">
        <w:rPr>
          <w:rFonts w:ascii="Times New Roman" w:hAnsi="Times New Roman"/>
          <w:sz w:val="24"/>
          <w:szCs w:val="24"/>
        </w:rPr>
        <w:t>little gain</w:t>
      </w:r>
      <w:r>
        <w:rPr>
          <w:rFonts w:ascii="Times New Roman" w:hAnsi="Times New Roman"/>
          <w:sz w:val="24"/>
          <w:szCs w:val="24"/>
        </w:rPr>
        <w:t>.</w:t>
      </w:r>
    </w:p>
    <w:p w:rsidR="00B52F7E" w:rsidRDefault="00B52F7E" w:rsidP="007946CC">
      <w:pPr>
        <w:pStyle w:val="spacer"/>
        <w:ind w:left="567" w:hanging="567"/>
        <w:jc w:val="both"/>
        <w:rPr>
          <w:rFonts w:ascii="Times New Roman" w:hAnsi="Times New Roman"/>
          <w:sz w:val="24"/>
          <w:szCs w:val="24"/>
        </w:rPr>
      </w:pPr>
    </w:p>
    <w:p w:rsidR="00B52F7E" w:rsidRDefault="00B52F7E" w:rsidP="007946CC">
      <w:pPr>
        <w:pStyle w:val="spacer"/>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t xml:space="preserve">Therefore, </w:t>
      </w:r>
      <w:r w:rsidR="00E01E1A">
        <w:rPr>
          <w:rFonts w:ascii="Times New Roman" w:hAnsi="Times New Roman"/>
          <w:sz w:val="24"/>
          <w:szCs w:val="24"/>
        </w:rPr>
        <w:t xml:space="preserve">option 2 </w:t>
      </w:r>
      <w:r>
        <w:rPr>
          <w:rFonts w:ascii="Times New Roman" w:hAnsi="Times New Roman"/>
          <w:sz w:val="24"/>
          <w:szCs w:val="24"/>
        </w:rPr>
        <w:t>does not meet th</w:t>
      </w:r>
      <w:r w:rsidR="00E01E1A">
        <w:rPr>
          <w:rFonts w:ascii="Times New Roman" w:hAnsi="Times New Roman"/>
          <w:sz w:val="24"/>
          <w:szCs w:val="24"/>
        </w:rPr>
        <w:t>is</w:t>
      </w:r>
      <w:r>
        <w:rPr>
          <w:rFonts w:ascii="Times New Roman" w:hAnsi="Times New Roman"/>
          <w:sz w:val="24"/>
          <w:szCs w:val="24"/>
        </w:rPr>
        <w:t xml:space="preserve"> objective.</w:t>
      </w:r>
    </w:p>
    <w:p w:rsidR="00723BFE" w:rsidRDefault="00723BFE" w:rsidP="000D2215">
      <w:pPr>
        <w:pStyle w:val="spacer"/>
        <w:jc w:val="both"/>
        <w:rPr>
          <w:rFonts w:ascii="Times New Roman" w:hAnsi="Times New Roman"/>
          <w:sz w:val="24"/>
          <w:szCs w:val="24"/>
        </w:rPr>
      </w:pPr>
    </w:p>
    <w:p w:rsidR="00723BFE" w:rsidRPr="00097CEA" w:rsidRDefault="00270456" w:rsidP="00723BFE">
      <w:pPr>
        <w:pStyle w:val="spacer"/>
        <w:jc w:val="both"/>
        <w:rPr>
          <w:rFonts w:ascii="Times New Roman" w:hAnsi="Times New Roman"/>
          <w:b/>
          <w:i/>
          <w:sz w:val="24"/>
          <w:szCs w:val="24"/>
          <w:lang w:val="en-AU"/>
        </w:rPr>
      </w:pPr>
      <w:r>
        <w:rPr>
          <w:rFonts w:ascii="Times New Roman" w:hAnsi="Times New Roman"/>
          <w:b/>
          <w:i/>
          <w:sz w:val="24"/>
          <w:szCs w:val="24"/>
          <w:lang w:val="en-AU"/>
        </w:rPr>
        <w:t xml:space="preserve">Objective </w:t>
      </w:r>
      <w:r w:rsidR="00AE1714">
        <w:rPr>
          <w:rFonts w:ascii="Times New Roman" w:hAnsi="Times New Roman"/>
          <w:b/>
          <w:i/>
          <w:sz w:val="24"/>
          <w:szCs w:val="24"/>
          <w:lang w:val="en-AU"/>
        </w:rPr>
        <w:t>(</w:t>
      </w:r>
      <w:r>
        <w:rPr>
          <w:rFonts w:ascii="Times New Roman" w:hAnsi="Times New Roman"/>
          <w:b/>
          <w:i/>
          <w:sz w:val="24"/>
          <w:szCs w:val="24"/>
          <w:lang w:val="en-AU"/>
        </w:rPr>
        <w:t>b</w:t>
      </w:r>
      <w:r w:rsidR="00AE1714">
        <w:rPr>
          <w:rFonts w:ascii="Times New Roman" w:hAnsi="Times New Roman"/>
          <w:b/>
          <w:i/>
          <w:sz w:val="24"/>
          <w:szCs w:val="24"/>
          <w:lang w:val="en-AU"/>
        </w:rPr>
        <w:t>)</w:t>
      </w:r>
      <w:r>
        <w:rPr>
          <w:rFonts w:ascii="Times New Roman" w:hAnsi="Times New Roman"/>
          <w:b/>
          <w:i/>
          <w:sz w:val="24"/>
          <w:szCs w:val="24"/>
          <w:lang w:val="en-AU"/>
        </w:rPr>
        <w:t xml:space="preserve"> – </w:t>
      </w:r>
      <w:r w:rsidR="00723BFE" w:rsidRPr="00097CEA">
        <w:rPr>
          <w:rFonts w:ascii="Times New Roman" w:hAnsi="Times New Roman"/>
          <w:b/>
          <w:i/>
          <w:sz w:val="24"/>
          <w:szCs w:val="24"/>
          <w:lang w:val="en-AU"/>
        </w:rPr>
        <w:t xml:space="preserve">Maximise </w:t>
      </w:r>
      <w:r w:rsidR="00084AC0" w:rsidRPr="00084AC0">
        <w:rPr>
          <w:rFonts w:ascii="Times New Roman" w:hAnsi="Times New Roman"/>
          <w:b/>
          <w:i/>
          <w:sz w:val="24"/>
          <w:szCs w:val="24"/>
          <w:lang w:val="en-AU"/>
        </w:rPr>
        <w:t>the opportunity for New Zealand to derive domestic and international benefits</w:t>
      </w:r>
    </w:p>
    <w:p w:rsidR="00723BFE" w:rsidRDefault="00723BFE" w:rsidP="00723BFE">
      <w:pPr>
        <w:pStyle w:val="spacer"/>
        <w:jc w:val="both"/>
        <w:rPr>
          <w:rFonts w:ascii="Times New Roman" w:hAnsi="Times New Roman"/>
          <w:sz w:val="24"/>
          <w:szCs w:val="24"/>
          <w:lang w:val="en-AU"/>
        </w:rPr>
      </w:pPr>
    </w:p>
    <w:p w:rsidR="00084AC0" w:rsidRDefault="00723BFE" w:rsidP="007946CC">
      <w:pPr>
        <w:pStyle w:val="spacer"/>
        <w:ind w:left="567" w:hanging="567"/>
        <w:jc w:val="both"/>
        <w:rPr>
          <w:rFonts w:ascii="Times New Roman" w:hAnsi="Times New Roman"/>
          <w:sz w:val="24"/>
          <w:szCs w:val="24"/>
          <w:lang w:val="en-AU"/>
        </w:rPr>
      </w:pPr>
      <w:r>
        <w:rPr>
          <w:rFonts w:ascii="Times New Roman" w:hAnsi="Times New Roman"/>
          <w:sz w:val="24"/>
          <w:szCs w:val="24"/>
          <w:lang w:val="en-AU"/>
        </w:rPr>
        <w:fldChar w:fldCharType="begin"/>
      </w:r>
      <w:r>
        <w:rPr>
          <w:rFonts w:ascii="Times New Roman" w:hAnsi="Times New Roman"/>
          <w:sz w:val="24"/>
          <w:szCs w:val="24"/>
          <w:lang w:val="en-AU"/>
        </w:rPr>
        <w:instrText xml:space="preserve"> AUTONUM  \* Arabic  </w:instrText>
      </w:r>
      <w:r>
        <w:rPr>
          <w:rFonts w:ascii="Times New Roman" w:hAnsi="Times New Roman"/>
          <w:sz w:val="24"/>
          <w:szCs w:val="24"/>
          <w:lang w:val="en-AU"/>
        </w:rPr>
        <w:fldChar w:fldCharType="end"/>
      </w:r>
      <w:r>
        <w:rPr>
          <w:rFonts w:ascii="Times New Roman" w:hAnsi="Times New Roman"/>
          <w:sz w:val="24"/>
          <w:szCs w:val="24"/>
          <w:lang w:val="en-AU"/>
        </w:rPr>
        <w:tab/>
      </w:r>
      <w:r w:rsidR="00084AC0">
        <w:rPr>
          <w:rFonts w:ascii="Times New Roman" w:hAnsi="Times New Roman"/>
          <w:sz w:val="24"/>
          <w:szCs w:val="24"/>
          <w:lang w:val="en-AU"/>
        </w:rPr>
        <w:t xml:space="preserve">The benefits to New Zealand from implementing AEOI primarily lie in the reciprocal information other jurisdictions will provide to </w:t>
      </w:r>
      <w:r w:rsidR="00E01E1A">
        <w:rPr>
          <w:rFonts w:ascii="Times New Roman" w:hAnsi="Times New Roman"/>
          <w:sz w:val="24"/>
          <w:szCs w:val="24"/>
          <w:lang w:val="en-AU"/>
        </w:rPr>
        <w:t>Inland Revenue</w:t>
      </w:r>
      <w:r w:rsidR="00084AC0">
        <w:rPr>
          <w:rFonts w:ascii="Times New Roman" w:hAnsi="Times New Roman"/>
          <w:sz w:val="24"/>
          <w:szCs w:val="24"/>
          <w:lang w:val="en-AU"/>
        </w:rPr>
        <w:t xml:space="preserve"> about New Zealand tax residents.  Lowering the standard and quality of the information New Zealand provides to other jurisdictions will not directly affect this benefit.</w:t>
      </w:r>
    </w:p>
    <w:p w:rsidR="002A35F4" w:rsidRDefault="002A35F4" w:rsidP="007946CC">
      <w:pPr>
        <w:pStyle w:val="spacer"/>
        <w:ind w:left="567" w:hanging="567"/>
        <w:jc w:val="both"/>
        <w:rPr>
          <w:rFonts w:ascii="Times New Roman" w:hAnsi="Times New Roman"/>
          <w:sz w:val="24"/>
          <w:szCs w:val="24"/>
          <w:lang w:val="en-AU"/>
        </w:rPr>
      </w:pPr>
    </w:p>
    <w:p w:rsidR="002A35F4" w:rsidRDefault="002A35F4" w:rsidP="007946CC">
      <w:pPr>
        <w:pStyle w:val="spacer"/>
        <w:ind w:left="567" w:hanging="567"/>
        <w:jc w:val="both"/>
        <w:rPr>
          <w:rFonts w:ascii="Times New Roman" w:hAnsi="Times New Roman"/>
          <w:sz w:val="24"/>
          <w:szCs w:val="24"/>
          <w:lang w:val="en-AU"/>
        </w:rPr>
      </w:pPr>
      <w:r>
        <w:rPr>
          <w:rFonts w:ascii="Times New Roman" w:hAnsi="Times New Roman"/>
          <w:sz w:val="24"/>
          <w:szCs w:val="24"/>
          <w:lang w:val="en-AU"/>
        </w:rPr>
        <w:fldChar w:fldCharType="begin"/>
      </w:r>
      <w:r>
        <w:rPr>
          <w:rFonts w:ascii="Times New Roman" w:hAnsi="Times New Roman"/>
          <w:sz w:val="24"/>
          <w:szCs w:val="24"/>
          <w:lang w:val="en-AU"/>
        </w:rPr>
        <w:instrText xml:space="preserve"> AUTONUM  \* Arabic  </w:instrText>
      </w:r>
      <w:r>
        <w:rPr>
          <w:rFonts w:ascii="Times New Roman" w:hAnsi="Times New Roman"/>
          <w:sz w:val="24"/>
          <w:szCs w:val="24"/>
          <w:lang w:val="en-AU"/>
        </w:rPr>
        <w:fldChar w:fldCharType="end"/>
      </w:r>
      <w:r>
        <w:rPr>
          <w:rFonts w:ascii="Times New Roman" w:hAnsi="Times New Roman"/>
          <w:sz w:val="24"/>
          <w:szCs w:val="24"/>
          <w:lang w:val="en-AU"/>
        </w:rPr>
        <w:tab/>
        <w:t>However, it is possible th</w:t>
      </w:r>
      <w:r w:rsidR="00E01E1A">
        <w:rPr>
          <w:rFonts w:ascii="Times New Roman" w:hAnsi="Times New Roman"/>
          <w:sz w:val="24"/>
          <w:szCs w:val="24"/>
          <w:lang w:val="en-AU"/>
        </w:rPr>
        <w:t xml:space="preserve">at some jurisdictions might respond by </w:t>
      </w:r>
      <w:r>
        <w:rPr>
          <w:rFonts w:ascii="Times New Roman" w:hAnsi="Times New Roman"/>
          <w:sz w:val="24"/>
          <w:szCs w:val="24"/>
          <w:lang w:val="en-AU"/>
        </w:rPr>
        <w:t>refus</w:t>
      </w:r>
      <w:r w:rsidR="00E01E1A">
        <w:rPr>
          <w:rFonts w:ascii="Times New Roman" w:hAnsi="Times New Roman"/>
          <w:sz w:val="24"/>
          <w:szCs w:val="24"/>
          <w:lang w:val="en-AU"/>
        </w:rPr>
        <w:t>ing</w:t>
      </w:r>
      <w:r>
        <w:rPr>
          <w:rFonts w:ascii="Times New Roman" w:hAnsi="Times New Roman"/>
          <w:sz w:val="24"/>
          <w:szCs w:val="24"/>
          <w:lang w:val="en-AU"/>
        </w:rPr>
        <w:t xml:space="preserve"> to provide information to </w:t>
      </w:r>
      <w:r w:rsidR="00E01E1A">
        <w:rPr>
          <w:rFonts w:ascii="Times New Roman" w:hAnsi="Times New Roman"/>
          <w:sz w:val="24"/>
          <w:szCs w:val="24"/>
          <w:lang w:val="en-AU"/>
        </w:rPr>
        <w:t>New Zealand</w:t>
      </w:r>
      <w:r>
        <w:rPr>
          <w:rFonts w:ascii="Times New Roman" w:hAnsi="Times New Roman"/>
          <w:sz w:val="24"/>
          <w:szCs w:val="24"/>
          <w:lang w:val="en-AU"/>
        </w:rPr>
        <w:t>.</w:t>
      </w:r>
    </w:p>
    <w:p w:rsidR="00084AC0" w:rsidRDefault="00084AC0" w:rsidP="007946CC">
      <w:pPr>
        <w:pStyle w:val="spacer"/>
        <w:ind w:left="567" w:hanging="567"/>
        <w:jc w:val="both"/>
        <w:rPr>
          <w:rFonts w:ascii="Times New Roman" w:hAnsi="Times New Roman"/>
          <w:sz w:val="24"/>
          <w:szCs w:val="24"/>
          <w:lang w:val="en-AU"/>
        </w:rPr>
      </w:pPr>
    </w:p>
    <w:p w:rsidR="00723BFE" w:rsidRDefault="00084AC0" w:rsidP="007946CC">
      <w:pPr>
        <w:pStyle w:val="spacer"/>
        <w:ind w:left="567" w:hanging="567"/>
        <w:jc w:val="both"/>
        <w:rPr>
          <w:rFonts w:ascii="Times New Roman" w:hAnsi="Times New Roman"/>
          <w:sz w:val="24"/>
          <w:szCs w:val="24"/>
          <w:lang w:val="en-AU"/>
        </w:rPr>
      </w:pPr>
      <w:r>
        <w:rPr>
          <w:rFonts w:ascii="Times New Roman" w:hAnsi="Times New Roman"/>
          <w:sz w:val="24"/>
          <w:szCs w:val="24"/>
          <w:lang w:val="en-AU"/>
        </w:rPr>
        <w:fldChar w:fldCharType="begin"/>
      </w:r>
      <w:r>
        <w:rPr>
          <w:rFonts w:ascii="Times New Roman" w:hAnsi="Times New Roman"/>
          <w:sz w:val="24"/>
          <w:szCs w:val="24"/>
          <w:lang w:val="en-AU"/>
        </w:rPr>
        <w:instrText xml:space="preserve"> AUTONUM  \* Arabic  </w:instrText>
      </w:r>
      <w:r>
        <w:rPr>
          <w:rFonts w:ascii="Times New Roman" w:hAnsi="Times New Roman"/>
          <w:sz w:val="24"/>
          <w:szCs w:val="24"/>
          <w:lang w:val="en-AU"/>
        </w:rPr>
        <w:fldChar w:fldCharType="end"/>
      </w:r>
      <w:r>
        <w:rPr>
          <w:rFonts w:ascii="Times New Roman" w:hAnsi="Times New Roman"/>
          <w:sz w:val="24"/>
          <w:szCs w:val="24"/>
          <w:lang w:val="en-AU"/>
        </w:rPr>
        <w:tab/>
      </w:r>
      <w:r w:rsidR="002A35F4">
        <w:rPr>
          <w:rFonts w:ascii="Times New Roman" w:hAnsi="Times New Roman"/>
          <w:sz w:val="24"/>
          <w:szCs w:val="24"/>
          <w:lang w:val="en-AU"/>
        </w:rPr>
        <w:t>Aside from the benefit of reciprocal information</w:t>
      </w:r>
      <w:r>
        <w:rPr>
          <w:rFonts w:ascii="Times New Roman" w:hAnsi="Times New Roman"/>
          <w:sz w:val="24"/>
          <w:szCs w:val="24"/>
          <w:lang w:val="en-AU"/>
        </w:rPr>
        <w:t xml:space="preserve">, </w:t>
      </w:r>
      <w:r w:rsidR="002A35F4">
        <w:rPr>
          <w:rFonts w:ascii="Times New Roman" w:hAnsi="Times New Roman"/>
          <w:sz w:val="24"/>
          <w:szCs w:val="24"/>
          <w:lang w:val="en-AU"/>
        </w:rPr>
        <w:t xml:space="preserve">AEOI implementation will provide </w:t>
      </w:r>
      <w:r>
        <w:rPr>
          <w:rFonts w:ascii="Times New Roman" w:hAnsi="Times New Roman"/>
          <w:sz w:val="24"/>
          <w:szCs w:val="24"/>
          <w:lang w:val="en-AU"/>
        </w:rPr>
        <w:t xml:space="preserve">other benefits such as reputational benefits and </w:t>
      </w:r>
      <w:r w:rsidR="002A35F4">
        <w:rPr>
          <w:rFonts w:ascii="Times New Roman" w:hAnsi="Times New Roman"/>
          <w:sz w:val="24"/>
          <w:szCs w:val="24"/>
          <w:lang w:val="en-AU"/>
        </w:rPr>
        <w:t>enhancing</w:t>
      </w:r>
      <w:r>
        <w:rPr>
          <w:rFonts w:ascii="Times New Roman" w:hAnsi="Times New Roman"/>
          <w:sz w:val="24"/>
          <w:szCs w:val="24"/>
          <w:lang w:val="en-AU"/>
        </w:rPr>
        <w:t xml:space="preserve"> voluntary compliance in tax matte</w:t>
      </w:r>
      <w:r w:rsidR="002A35F4">
        <w:rPr>
          <w:rFonts w:ascii="Times New Roman" w:hAnsi="Times New Roman"/>
          <w:sz w:val="24"/>
          <w:szCs w:val="24"/>
          <w:lang w:val="en-AU"/>
        </w:rPr>
        <w:t>rs.  These benefits would be adversely compromised.</w:t>
      </w:r>
    </w:p>
    <w:p w:rsidR="00B52F7E" w:rsidRDefault="00B52F7E" w:rsidP="007946CC">
      <w:pPr>
        <w:pStyle w:val="spacer"/>
        <w:ind w:left="567" w:hanging="567"/>
        <w:jc w:val="both"/>
        <w:rPr>
          <w:rFonts w:ascii="Times New Roman" w:hAnsi="Times New Roman"/>
          <w:sz w:val="24"/>
          <w:szCs w:val="24"/>
          <w:lang w:val="en-AU"/>
        </w:rPr>
      </w:pPr>
    </w:p>
    <w:p w:rsidR="00B52F7E" w:rsidRPr="00097CEA" w:rsidRDefault="00B52F7E" w:rsidP="007946CC">
      <w:pPr>
        <w:pStyle w:val="spacer"/>
        <w:ind w:left="567" w:hanging="567"/>
        <w:jc w:val="both"/>
        <w:rPr>
          <w:rFonts w:ascii="Times New Roman" w:hAnsi="Times New Roman"/>
          <w:sz w:val="24"/>
          <w:szCs w:val="24"/>
          <w:lang w:val="en-AU"/>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t xml:space="preserve">Therefore, this </w:t>
      </w:r>
      <w:r w:rsidR="00BB0E47">
        <w:rPr>
          <w:rFonts w:ascii="Times New Roman" w:hAnsi="Times New Roman"/>
          <w:sz w:val="24"/>
          <w:szCs w:val="24"/>
        </w:rPr>
        <w:t xml:space="preserve">option </w:t>
      </w:r>
      <w:r>
        <w:rPr>
          <w:rFonts w:ascii="Times New Roman" w:hAnsi="Times New Roman"/>
          <w:sz w:val="24"/>
          <w:szCs w:val="24"/>
        </w:rPr>
        <w:t>partially meets the objective.</w:t>
      </w:r>
    </w:p>
    <w:p w:rsidR="00723BFE" w:rsidRPr="00097CEA" w:rsidRDefault="00723BFE" w:rsidP="00723BFE">
      <w:pPr>
        <w:pStyle w:val="spacer"/>
        <w:jc w:val="both"/>
        <w:rPr>
          <w:rFonts w:ascii="Times New Roman" w:hAnsi="Times New Roman"/>
          <w:sz w:val="24"/>
          <w:szCs w:val="24"/>
          <w:lang w:val="en-AU"/>
        </w:rPr>
      </w:pPr>
    </w:p>
    <w:p w:rsidR="00723BFE" w:rsidRPr="00097CEA" w:rsidRDefault="00270456" w:rsidP="00723BFE">
      <w:pPr>
        <w:pStyle w:val="spacer"/>
        <w:jc w:val="both"/>
        <w:rPr>
          <w:rFonts w:ascii="Times New Roman" w:hAnsi="Times New Roman"/>
          <w:b/>
          <w:i/>
          <w:sz w:val="24"/>
          <w:szCs w:val="24"/>
          <w:lang w:val="en-AU"/>
        </w:rPr>
      </w:pPr>
      <w:r>
        <w:rPr>
          <w:rFonts w:ascii="Times New Roman" w:hAnsi="Times New Roman"/>
          <w:b/>
          <w:i/>
          <w:sz w:val="24"/>
          <w:szCs w:val="24"/>
          <w:lang w:val="en-AU"/>
        </w:rPr>
        <w:t xml:space="preserve">Objective </w:t>
      </w:r>
      <w:r w:rsidR="00AE1714">
        <w:rPr>
          <w:rFonts w:ascii="Times New Roman" w:hAnsi="Times New Roman"/>
          <w:b/>
          <w:i/>
          <w:sz w:val="24"/>
          <w:szCs w:val="24"/>
          <w:lang w:val="en-AU"/>
        </w:rPr>
        <w:t>(</w:t>
      </w:r>
      <w:r>
        <w:rPr>
          <w:rFonts w:ascii="Times New Roman" w:hAnsi="Times New Roman"/>
          <w:b/>
          <w:i/>
          <w:sz w:val="24"/>
          <w:szCs w:val="24"/>
          <w:lang w:val="en-AU"/>
        </w:rPr>
        <w:t>c</w:t>
      </w:r>
      <w:r w:rsidR="00AE1714">
        <w:rPr>
          <w:rFonts w:ascii="Times New Roman" w:hAnsi="Times New Roman"/>
          <w:b/>
          <w:i/>
          <w:sz w:val="24"/>
          <w:szCs w:val="24"/>
          <w:lang w:val="en-AU"/>
        </w:rPr>
        <w:t>)</w:t>
      </w:r>
      <w:r>
        <w:rPr>
          <w:rFonts w:ascii="Times New Roman" w:hAnsi="Times New Roman"/>
          <w:b/>
          <w:i/>
          <w:sz w:val="24"/>
          <w:szCs w:val="24"/>
          <w:lang w:val="en-AU"/>
        </w:rPr>
        <w:t xml:space="preserve"> – </w:t>
      </w:r>
      <w:r w:rsidR="00723BFE" w:rsidRPr="00097CEA">
        <w:rPr>
          <w:rFonts w:ascii="Times New Roman" w:hAnsi="Times New Roman"/>
          <w:b/>
          <w:i/>
          <w:sz w:val="24"/>
          <w:szCs w:val="24"/>
          <w:lang w:val="en-AU"/>
        </w:rPr>
        <w:t>Minimise</w:t>
      </w:r>
      <w:r w:rsidR="002A35F4">
        <w:rPr>
          <w:rFonts w:ascii="Times New Roman" w:hAnsi="Times New Roman"/>
          <w:b/>
          <w:i/>
          <w:sz w:val="24"/>
          <w:szCs w:val="24"/>
          <w:lang w:val="en-AU"/>
        </w:rPr>
        <w:t xml:space="preserve"> the</w:t>
      </w:r>
      <w:r w:rsidR="00723BFE" w:rsidRPr="00097CEA">
        <w:rPr>
          <w:rFonts w:ascii="Times New Roman" w:hAnsi="Times New Roman"/>
          <w:b/>
          <w:i/>
          <w:sz w:val="24"/>
          <w:szCs w:val="24"/>
          <w:lang w:val="en-AU"/>
        </w:rPr>
        <w:t xml:space="preserve"> compliance costs</w:t>
      </w:r>
      <w:r w:rsidR="002A35F4">
        <w:rPr>
          <w:rFonts w:ascii="Times New Roman" w:hAnsi="Times New Roman"/>
          <w:b/>
          <w:i/>
          <w:sz w:val="24"/>
          <w:szCs w:val="24"/>
          <w:lang w:val="en-AU"/>
        </w:rPr>
        <w:t xml:space="preserve"> to be imposed on financial institutions</w:t>
      </w:r>
    </w:p>
    <w:p w:rsidR="00723BFE" w:rsidRPr="00097CEA" w:rsidRDefault="00723BFE" w:rsidP="00723BFE">
      <w:pPr>
        <w:pStyle w:val="spacer"/>
        <w:jc w:val="both"/>
        <w:rPr>
          <w:rFonts w:ascii="Times New Roman" w:hAnsi="Times New Roman"/>
          <w:sz w:val="24"/>
          <w:szCs w:val="24"/>
          <w:lang w:val="en-AU"/>
        </w:rPr>
      </w:pPr>
    </w:p>
    <w:p w:rsidR="00723BFE" w:rsidRPr="00097CEA" w:rsidRDefault="00B52F7E" w:rsidP="007946CC">
      <w:pPr>
        <w:pStyle w:val="spacer"/>
        <w:ind w:left="567" w:hanging="567"/>
        <w:jc w:val="both"/>
        <w:rPr>
          <w:rFonts w:ascii="Times New Roman" w:hAnsi="Times New Roman"/>
          <w:sz w:val="24"/>
          <w:szCs w:val="24"/>
          <w:lang w:val="en-AU"/>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r>
      <w:r w:rsidR="00A72D22">
        <w:rPr>
          <w:rFonts w:ascii="Times New Roman" w:hAnsi="Times New Roman"/>
          <w:sz w:val="24"/>
          <w:szCs w:val="24"/>
        </w:rPr>
        <w:t>As noted above, t</w:t>
      </w:r>
      <w:r w:rsidR="00723BFE" w:rsidRPr="00097CEA">
        <w:rPr>
          <w:rFonts w:ascii="Times New Roman" w:hAnsi="Times New Roman"/>
          <w:sz w:val="24"/>
          <w:szCs w:val="24"/>
          <w:lang w:val="en-AU"/>
        </w:rPr>
        <w:t xml:space="preserve">his option </w:t>
      </w:r>
      <w:r w:rsidR="002A35F4">
        <w:rPr>
          <w:rFonts w:ascii="Times New Roman" w:hAnsi="Times New Roman"/>
          <w:sz w:val="24"/>
          <w:szCs w:val="24"/>
          <w:lang w:val="en-AU"/>
        </w:rPr>
        <w:t>would be aimed at</w:t>
      </w:r>
      <w:r w:rsidR="00723BFE" w:rsidRPr="00097CEA">
        <w:rPr>
          <w:rFonts w:ascii="Times New Roman" w:hAnsi="Times New Roman"/>
          <w:sz w:val="24"/>
          <w:szCs w:val="24"/>
          <w:lang w:val="en-AU"/>
        </w:rPr>
        <w:t xml:space="preserve"> minimis</w:t>
      </w:r>
      <w:r w:rsidR="002A35F4">
        <w:rPr>
          <w:rFonts w:ascii="Times New Roman" w:hAnsi="Times New Roman"/>
          <w:sz w:val="24"/>
          <w:szCs w:val="24"/>
          <w:lang w:val="en-AU"/>
        </w:rPr>
        <w:t>ing</w:t>
      </w:r>
      <w:r w:rsidR="00723BFE" w:rsidRPr="00097CEA">
        <w:rPr>
          <w:rFonts w:ascii="Times New Roman" w:hAnsi="Times New Roman"/>
          <w:sz w:val="24"/>
          <w:szCs w:val="24"/>
          <w:lang w:val="en-AU"/>
        </w:rPr>
        <w:t xml:space="preserve"> compliance costs </w:t>
      </w:r>
      <w:r w:rsidR="002A35F4">
        <w:rPr>
          <w:rFonts w:ascii="Times New Roman" w:hAnsi="Times New Roman"/>
          <w:sz w:val="24"/>
          <w:szCs w:val="24"/>
          <w:lang w:val="en-AU"/>
        </w:rPr>
        <w:t>for financial institutions</w:t>
      </w:r>
      <w:r>
        <w:rPr>
          <w:rFonts w:ascii="Times New Roman" w:hAnsi="Times New Roman"/>
          <w:sz w:val="24"/>
          <w:szCs w:val="24"/>
          <w:lang w:val="en-AU"/>
        </w:rPr>
        <w:t xml:space="preserve"> so meets the objective</w:t>
      </w:r>
      <w:r w:rsidR="002A35F4">
        <w:rPr>
          <w:rFonts w:ascii="Times New Roman" w:hAnsi="Times New Roman"/>
          <w:sz w:val="24"/>
          <w:szCs w:val="24"/>
          <w:lang w:val="en-AU"/>
        </w:rPr>
        <w:t>.</w:t>
      </w:r>
    </w:p>
    <w:p w:rsidR="00723BFE" w:rsidRPr="00097CEA" w:rsidRDefault="00723BFE" w:rsidP="007946CC">
      <w:pPr>
        <w:pStyle w:val="spacer"/>
        <w:ind w:left="567" w:hanging="567"/>
        <w:jc w:val="both"/>
        <w:rPr>
          <w:rFonts w:ascii="Times New Roman" w:hAnsi="Times New Roman"/>
          <w:sz w:val="24"/>
          <w:szCs w:val="24"/>
          <w:lang w:val="en-AU"/>
        </w:rPr>
      </w:pPr>
    </w:p>
    <w:p w:rsidR="00723BFE" w:rsidRPr="00097CEA" w:rsidRDefault="00270456" w:rsidP="007946CC">
      <w:pPr>
        <w:pStyle w:val="spacer"/>
        <w:ind w:left="567" w:hanging="567"/>
        <w:jc w:val="both"/>
        <w:rPr>
          <w:rFonts w:ascii="Times New Roman" w:hAnsi="Times New Roman"/>
          <w:b/>
          <w:i/>
          <w:sz w:val="24"/>
          <w:szCs w:val="24"/>
          <w:lang w:val="en-AU"/>
        </w:rPr>
      </w:pPr>
      <w:r>
        <w:rPr>
          <w:rFonts w:ascii="Times New Roman" w:hAnsi="Times New Roman"/>
          <w:b/>
          <w:i/>
          <w:sz w:val="24"/>
          <w:szCs w:val="24"/>
          <w:lang w:val="en-AU"/>
        </w:rPr>
        <w:t xml:space="preserve">Objective </w:t>
      </w:r>
      <w:r w:rsidR="00AE1714">
        <w:rPr>
          <w:rFonts w:ascii="Times New Roman" w:hAnsi="Times New Roman"/>
          <w:b/>
          <w:i/>
          <w:sz w:val="24"/>
          <w:szCs w:val="24"/>
          <w:lang w:val="en-AU"/>
        </w:rPr>
        <w:t>(</w:t>
      </w:r>
      <w:r>
        <w:rPr>
          <w:rFonts w:ascii="Times New Roman" w:hAnsi="Times New Roman"/>
          <w:b/>
          <w:i/>
          <w:sz w:val="24"/>
          <w:szCs w:val="24"/>
          <w:lang w:val="en-AU"/>
        </w:rPr>
        <w:t>d</w:t>
      </w:r>
      <w:r w:rsidR="00AE1714">
        <w:rPr>
          <w:rFonts w:ascii="Times New Roman" w:hAnsi="Times New Roman"/>
          <w:b/>
          <w:i/>
          <w:sz w:val="24"/>
          <w:szCs w:val="24"/>
          <w:lang w:val="en-AU"/>
        </w:rPr>
        <w:t>)</w:t>
      </w:r>
      <w:r>
        <w:rPr>
          <w:rFonts w:ascii="Times New Roman" w:hAnsi="Times New Roman"/>
          <w:b/>
          <w:i/>
          <w:sz w:val="24"/>
          <w:szCs w:val="24"/>
          <w:lang w:val="en-AU"/>
        </w:rPr>
        <w:t xml:space="preserve"> – </w:t>
      </w:r>
      <w:r w:rsidR="00723BFE" w:rsidRPr="00097CEA">
        <w:rPr>
          <w:rFonts w:ascii="Times New Roman" w:hAnsi="Times New Roman"/>
          <w:b/>
          <w:i/>
          <w:sz w:val="24"/>
          <w:szCs w:val="24"/>
          <w:lang w:val="en-AU"/>
        </w:rPr>
        <w:t xml:space="preserve">Minimise </w:t>
      </w:r>
      <w:r w:rsidR="002A35F4">
        <w:rPr>
          <w:rFonts w:ascii="Times New Roman" w:hAnsi="Times New Roman"/>
          <w:b/>
          <w:i/>
          <w:sz w:val="24"/>
          <w:szCs w:val="24"/>
          <w:lang w:val="en-AU"/>
        </w:rPr>
        <w:t xml:space="preserve">the </w:t>
      </w:r>
      <w:r w:rsidR="00723BFE" w:rsidRPr="00097CEA">
        <w:rPr>
          <w:rFonts w:ascii="Times New Roman" w:hAnsi="Times New Roman"/>
          <w:b/>
          <w:i/>
          <w:sz w:val="24"/>
          <w:szCs w:val="24"/>
          <w:lang w:val="en-AU"/>
        </w:rPr>
        <w:t>administrative costs</w:t>
      </w:r>
      <w:r w:rsidR="002A35F4">
        <w:rPr>
          <w:rFonts w:ascii="Times New Roman" w:hAnsi="Times New Roman"/>
          <w:b/>
          <w:i/>
          <w:sz w:val="24"/>
          <w:szCs w:val="24"/>
          <w:lang w:val="en-AU"/>
        </w:rPr>
        <w:t xml:space="preserve"> to be imposed on Inland Revenue</w:t>
      </w:r>
    </w:p>
    <w:p w:rsidR="00723BFE" w:rsidRPr="00097CEA" w:rsidRDefault="00723BFE" w:rsidP="007946CC">
      <w:pPr>
        <w:pStyle w:val="spacer"/>
        <w:ind w:left="567" w:hanging="567"/>
        <w:jc w:val="both"/>
        <w:rPr>
          <w:rFonts w:ascii="Times New Roman" w:hAnsi="Times New Roman"/>
          <w:sz w:val="24"/>
          <w:szCs w:val="24"/>
          <w:lang w:val="en-AU"/>
        </w:rPr>
      </w:pPr>
    </w:p>
    <w:p w:rsidR="002A35F4" w:rsidRDefault="00B52F7E" w:rsidP="007946CC">
      <w:pPr>
        <w:pStyle w:val="spacer"/>
        <w:ind w:left="567" w:hanging="567"/>
        <w:jc w:val="both"/>
        <w:rPr>
          <w:rFonts w:ascii="Times New Roman" w:hAnsi="Times New Roman"/>
          <w:sz w:val="24"/>
          <w:szCs w:val="24"/>
          <w:lang w:val="en-AU"/>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r>
      <w:r w:rsidR="002A35F4" w:rsidRPr="00097CEA">
        <w:rPr>
          <w:rFonts w:ascii="Times New Roman" w:hAnsi="Times New Roman"/>
          <w:sz w:val="24"/>
          <w:szCs w:val="24"/>
          <w:lang w:val="en-AU"/>
        </w:rPr>
        <w:t xml:space="preserve">This option </w:t>
      </w:r>
      <w:r w:rsidR="002A35F4">
        <w:rPr>
          <w:rFonts w:ascii="Times New Roman" w:hAnsi="Times New Roman"/>
          <w:sz w:val="24"/>
          <w:szCs w:val="24"/>
          <w:lang w:val="en-AU"/>
        </w:rPr>
        <w:t>would be aimed at</w:t>
      </w:r>
      <w:r w:rsidR="002A35F4" w:rsidRPr="00097CEA">
        <w:rPr>
          <w:rFonts w:ascii="Times New Roman" w:hAnsi="Times New Roman"/>
          <w:sz w:val="24"/>
          <w:szCs w:val="24"/>
          <w:lang w:val="en-AU"/>
        </w:rPr>
        <w:t xml:space="preserve"> minimis</w:t>
      </w:r>
      <w:r w:rsidR="002A35F4">
        <w:rPr>
          <w:rFonts w:ascii="Times New Roman" w:hAnsi="Times New Roman"/>
          <w:sz w:val="24"/>
          <w:szCs w:val="24"/>
          <w:lang w:val="en-AU"/>
        </w:rPr>
        <w:t>ing</w:t>
      </w:r>
      <w:r w:rsidR="002A35F4" w:rsidRPr="00097CEA">
        <w:rPr>
          <w:rFonts w:ascii="Times New Roman" w:hAnsi="Times New Roman"/>
          <w:sz w:val="24"/>
          <w:szCs w:val="24"/>
          <w:lang w:val="en-AU"/>
        </w:rPr>
        <w:t xml:space="preserve"> </w:t>
      </w:r>
      <w:r w:rsidR="002A35F4">
        <w:rPr>
          <w:rFonts w:ascii="Times New Roman" w:hAnsi="Times New Roman"/>
          <w:sz w:val="24"/>
          <w:szCs w:val="24"/>
          <w:lang w:val="en-AU"/>
        </w:rPr>
        <w:t>administrative</w:t>
      </w:r>
      <w:r w:rsidR="002A35F4" w:rsidRPr="00097CEA">
        <w:rPr>
          <w:rFonts w:ascii="Times New Roman" w:hAnsi="Times New Roman"/>
          <w:sz w:val="24"/>
          <w:szCs w:val="24"/>
          <w:lang w:val="en-AU"/>
        </w:rPr>
        <w:t xml:space="preserve"> costs </w:t>
      </w:r>
      <w:r w:rsidR="002A35F4">
        <w:rPr>
          <w:rFonts w:ascii="Times New Roman" w:hAnsi="Times New Roman"/>
          <w:sz w:val="24"/>
          <w:szCs w:val="24"/>
          <w:lang w:val="en-AU"/>
        </w:rPr>
        <w:t>for Inland Revenue</w:t>
      </w:r>
      <w:r>
        <w:rPr>
          <w:rFonts w:ascii="Times New Roman" w:hAnsi="Times New Roman"/>
          <w:sz w:val="24"/>
          <w:szCs w:val="24"/>
          <w:lang w:val="en-AU"/>
        </w:rPr>
        <w:t xml:space="preserve"> so meets the objective</w:t>
      </w:r>
      <w:r w:rsidR="002A35F4">
        <w:rPr>
          <w:rFonts w:ascii="Times New Roman" w:hAnsi="Times New Roman"/>
          <w:sz w:val="24"/>
          <w:szCs w:val="24"/>
          <w:lang w:val="en-AU"/>
        </w:rPr>
        <w:t>.</w:t>
      </w:r>
    </w:p>
    <w:p w:rsidR="004E4192" w:rsidRDefault="004E4192" w:rsidP="002A35F4">
      <w:pPr>
        <w:pStyle w:val="spacer"/>
        <w:jc w:val="both"/>
        <w:rPr>
          <w:rFonts w:ascii="Times New Roman" w:hAnsi="Times New Roman"/>
          <w:sz w:val="24"/>
          <w:szCs w:val="24"/>
          <w:lang w:val="en-AU"/>
        </w:rPr>
      </w:pPr>
    </w:p>
    <w:p w:rsidR="00E66C57" w:rsidRDefault="00E66C57" w:rsidP="002A35F4">
      <w:pPr>
        <w:pStyle w:val="spacer"/>
        <w:jc w:val="both"/>
        <w:rPr>
          <w:rFonts w:ascii="Times New Roman" w:hAnsi="Times New Roman"/>
          <w:sz w:val="24"/>
          <w:szCs w:val="24"/>
          <w:lang w:val="en-AU"/>
        </w:rPr>
      </w:pPr>
    </w:p>
    <w:p w:rsidR="00503FE0" w:rsidRPr="00F65FFA" w:rsidRDefault="00503FE0" w:rsidP="00503FE0">
      <w:pPr>
        <w:pStyle w:val="spacer"/>
        <w:jc w:val="both"/>
        <w:rPr>
          <w:rFonts w:ascii="Times New Roman" w:hAnsi="Times New Roman"/>
          <w:b/>
          <w:sz w:val="24"/>
          <w:szCs w:val="24"/>
          <w:lang w:val="en-AU"/>
        </w:rPr>
      </w:pPr>
      <w:r w:rsidRPr="00F65FFA">
        <w:rPr>
          <w:rFonts w:ascii="Times New Roman" w:hAnsi="Times New Roman"/>
          <w:b/>
          <w:sz w:val="24"/>
          <w:szCs w:val="24"/>
          <w:lang w:val="en-AU"/>
        </w:rPr>
        <w:t>Option 3: A balanced approach</w:t>
      </w:r>
    </w:p>
    <w:p w:rsidR="00503FE0" w:rsidRDefault="00503FE0" w:rsidP="000D2215">
      <w:pPr>
        <w:pStyle w:val="spacer"/>
        <w:jc w:val="both"/>
        <w:rPr>
          <w:rFonts w:ascii="Times New Roman" w:hAnsi="Times New Roman"/>
          <w:sz w:val="24"/>
          <w:szCs w:val="24"/>
          <w:lang w:val="en-AU"/>
        </w:rPr>
      </w:pPr>
    </w:p>
    <w:p w:rsidR="00A72D22" w:rsidRDefault="00340094" w:rsidP="007946CC">
      <w:pPr>
        <w:pStyle w:val="spacer"/>
        <w:ind w:left="567" w:hanging="567"/>
        <w:jc w:val="both"/>
        <w:rPr>
          <w:rFonts w:ascii="Times New Roman" w:hAnsi="Times New Roman"/>
          <w:sz w:val="24"/>
          <w:szCs w:val="24"/>
          <w:lang w:val="en-AU"/>
        </w:rPr>
      </w:pPr>
      <w:r>
        <w:rPr>
          <w:rFonts w:ascii="Times New Roman" w:hAnsi="Times New Roman"/>
          <w:sz w:val="24"/>
          <w:szCs w:val="24"/>
          <w:lang w:val="en-AU"/>
        </w:rPr>
        <w:fldChar w:fldCharType="begin"/>
      </w:r>
      <w:r>
        <w:rPr>
          <w:rFonts w:ascii="Times New Roman" w:hAnsi="Times New Roman"/>
          <w:sz w:val="24"/>
          <w:szCs w:val="24"/>
          <w:lang w:val="en-AU"/>
        </w:rPr>
        <w:instrText xml:space="preserve"> AUTONUM  \* Arabic  </w:instrText>
      </w:r>
      <w:r>
        <w:rPr>
          <w:rFonts w:ascii="Times New Roman" w:hAnsi="Times New Roman"/>
          <w:sz w:val="24"/>
          <w:szCs w:val="24"/>
          <w:lang w:val="en-AU"/>
        </w:rPr>
        <w:fldChar w:fldCharType="end"/>
      </w:r>
      <w:r>
        <w:rPr>
          <w:rFonts w:ascii="Times New Roman" w:hAnsi="Times New Roman"/>
          <w:sz w:val="24"/>
          <w:szCs w:val="24"/>
          <w:lang w:val="en-AU"/>
        </w:rPr>
        <w:tab/>
        <w:t xml:space="preserve">Option 3 recognises that it </w:t>
      </w:r>
      <w:r w:rsidR="00B52F7E">
        <w:rPr>
          <w:rFonts w:ascii="Times New Roman" w:hAnsi="Times New Roman"/>
          <w:sz w:val="24"/>
          <w:szCs w:val="24"/>
          <w:lang w:val="en-AU"/>
        </w:rPr>
        <w:t>is</w:t>
      </w:r>
      <w:r>
        <w:rPr>
          <w:rFonts w:ascii="Times New Roman" w:hAnsi="Times New Roman"/>
          <w:sz w:val="24"/>
          <w:szCs w:val="24"/>
          <w:lang w:val="en-AU"/>
        </w:rPr>
        <w:t xml:space="preserve"> possible to implement AEOI in a way that enables New Zealand to meet international expectations while making choices that </w:t>
      </w:r>
      <w:r w:rsidR="00A72D22">
        <w:rPr>
          <w:rFonts w:ascii="Times New Roman" w:hAnsi="Times New Roman"/>
          <w:sz w:val="24"/>
          <w:szCs w:val="24"/>
          <w:lang w:val="en-AU"/>
        </w:rPr>
        <w:t>seek to minimise compliance costs and administrative costs.</w:t>
      </w:r>
    </w:p>
    <w:p w:rsidR="00AC6114" w:rsidRDefault="00AC6114" w:rsidP="007946CC">
      <w:pPr>
        <w:pStyle w:val="spacer"/>
        <w:ind w:left="567" w:hanging="567"/>
        <w:jc w:val="both"/>
        <w:rPr>
          <w:rFonts w:ascii="Times New Roman" w:hAnsi="Times New Roman"/>
          <w:sz w:val="24"/>
          <w:szCs w:val="24"/>
          <w:lang w:val="en-AU"/>
        </w:rPr>
      </w:pPr>
    </w:p>
    <w:p w:rsidR="00AC6114" w:rsidRDefault="00AC6114" w:rsidP="007946CC">
      <w:pPr>
        <w:pStyle w:val="Bullet-list"/>
        <w:spacing w:after="0" w:line="240" w:lineRule="auto"/>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t xml:space="preserve">The CRS is set by the OECD, and implementation will largely involve incorporating its rules (as clarified </w:t>
      </w:r>
      <w:r w:rsidR="00AB3143">
        <w:rPr>
          <w:rFonts w:ascii="Times New Roman" w:hAnsi="Times New Roman"/>
          <w:sz w:val="24"/>
          <w:szCs w:val="24"/>
        </w:rPr>
        <w:t xml:space="preserve">and supplemented </w:t>
      </w:r>
      <w:r>
        <w:rPr>
          <w:rFonts w:ascii="Times New Roman" w:hAnsi="Times New Roman"/>
          <w:sz w:val="24"/>
          <w:szCs w:val="24"/>
        </w:rPr>
        <w:t xml:space="preserve">by the OECD commentary) directly into domestic law.  However, the CRS itself provides implementing jurisdictions with a number of options that can be taken.  </w:t>
      </w:r>
      <w:r w:rsidR="00BB0E47">
        <w:rPr>
          <w:rFonts w:ascii="Times New Roman" w:hAnsi="Times New Roman"/>
          <w:sz w:val="24"/>
          <w:szCs w:val="24"/>
        </w:rPr>
        <w:t>Adopting t</w:t>
      </w:r>
      <w:r>
        <w:rPr>
          <w:rFonts w:ascii="Times New Roman" w:hAnsi="Times New Roman"/>
          <w:sz w:val="24"/>
          <w:szCs w:val="24"/>
        </w:rPr>
        <w:t>hese options</w:t>
      </w:r>
      <w:r w:rsidR="003B08B0">
        <w:rPr>
          <w:rFonts w:ascii="Times New Roman" w:hAnsi="Times New Roman"/>
          <w:sz w:val="24"/>
          <w:szCs w:val="24"/>
        </w:rPr>
        <w:t xml:space="preserve"> may assist in reducing compliance costs</w:t>
      </w:r>
      <w:r w:rsidR="0031480B">
        <w:rPr>
          <w:rFonts w:ascii="Times New Roman" w:hAnsi="Times New Roman"/>
          <w:sz w:val="24"/>
          <w:szCs w:val="24"/>
        </w:rPr>
        <w:t xml:space="preserve"> and administrative costs</w:t>
      </w:r>
      <w:r w:rsidR="003B08B0">
        <w:rPr>
          <w:rFonts w:ascii="Times New Roman" w:hAnsi="Times New Roman"/>
          <w:sz w:val="24"/>
          <w:szCs w:val="24"/>
        </w:rPr>
        <w:t>.</w:t>
      </w:r>
    </w:p>
    <w:p w:rsidR="003B08B0" w:rsidRDefault="003B08B0" w:rsidP="007946CC">
      <w:pPr>
        <w:pStyle w:val="Bullet-list"/>
        <w:spacing w:after="0" w:line="240" w:lineRule="auto"/>
        <w:ind w:left="567" w:hanging="567"/>
        <w:jc w:val="both"/>
        <w:rPr>
          <w:rFonts w:ascii="Times New Roman" w:hAnsi="Times New Roman"/>
          <w:sz w:val="24"/>
          <w:szCs w:val="24"/>
        </w:rPr>
      </w:pPr>
    </w:p>
    <w:p w:rsidR="003B08B0" w:rsidRDefault="003B08B0" w:rsidP="007946CC">
      <w:pPr>
        <w:pStyle w:val="Bullet-list"/>
        <w:spacing w:after="0" w:line="240" w:lineRule="auto"/>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t xml:space="preserve">Outside of the options specifically contemplated by the CRS, other decisions could be taken under option 3 which would bear a low risk of </w:t>
      </w:r>
      <w:r w:rsidR="0031480B">
        <w:rPr>
          <w:rFonts w:ascii="Times New Roman" w:hAnsi="Times New Roman"/>
          <w:sz w:val="24"/>
          <w:szCs w:val="24"/>
        </w:rPr>
        <w:t xml:space="preserve">exposure to </w:t>
      </w:r>
      <w:r>
        <w:rPr>
          <w:rFonts w:ascii="Times New Roman" w:hAnsi="Times New Roman"/>
          <w:sz w:val="24"/>
          <w:szCs w:val="24"/>
        </w:rPr>
        <w:t>international criticism.  Key examples include:</w:t>
      </w:r>
    </w:p>
    <w:p w:rsidR="003B08B0" w:rsidRDefault="003B08B0" w:rsidP="00AC6114">
      <w:pPr>
        <w:pStyle w:val="Bullet-list"/>
        <w:spacing w:after="0" w:line="240" w:lineRule="auto"/>
        <w:ind w:left="0" w:firstLine="0"/>
        <w:jc w:val="both"/>
        <w:rPr>
          <w:rFonts w:ascii="Times New Roman" w:hAnsi="Times New Roman"/>
          <w:sz w:val="24"/>
          <w:szCs w:val="24"/>
        </w:rPr>
      </w:pPr>
    </w:p>
    <w:p w:rsidR="003B08B0" w:rsidRDefault="003B08B0" w:rsidP="003B08B0">
      <w:pPr>
        <w:pStyle w:val="Bullet-list"/>
        <w:spacing w:after="0" w:line="240" w:lineRule="auto"/>
        <w:ind w:left="1134" w:hanging="567"/>
        <w:jc w:val="both"/>
        <w:rPr>
          <w:rFonts w:ascii="Times New Roman" w:hAnsi="Times New Roman"/>
          <w:sz w:val="24"/>
          <w:szCs w:val="24"/>
        </w:rPr>
      </w:pPr>
      <w:r>
        <w:rPr>
          <w:rFonts w:ascii="Times New Roman" w:hAnsi="Times New Roman"/>
          <w:sz w:val="24"/>
          <w:szCs w:val="24"/>
        </w:rPr>
        <w:sym w:font="Wingdings 2" w:char="F097"/>
      </w:r>
      <w:r>
        <w:rPr>
          <w:rFonts w:ascii="Times New Roman" w:hAnsi="Times New Roman"/>
          <w:sz w:val="24"/>
          <w:szCs w:val="24"/>
        </w:rPr>
        <w:tab/>
      </w:r>
      <w:r w:rsidR="00D36893">
        <w:rPr>
          <w:rFonts w:ascii="Times New Roman" w:hAnsi="Times New Roman"/>
          <w:sz w:val="24"/>
          <w:szCs w:val="24"/>
        </w:rPr>
        <w:t xml:space="preserve">the timing for phasing in certain due diligence obligations (such as allowing 24-months to complete due diligence of pre-existing entity accounts, rather than the 12-months provided by </w:t>
      </w:r>
      <w:r w:rsidR="00D36893" w:rsidRPr="00F65FFA">
        <w:rPr>
          <w:rFonts w:ascii="Times New Roman" w:hAnsi="Times New Roman"/>
          <w:sz w:val="24"/>
          <w:szCs w:val="24"/>
        </w:rPr>
        <w:t>Australia – see paragraphs 10</w:t>
      </w:r>
      <w:r w:rsidR="00F65FFA" w:rsidRPr="00F65FFA">
        <w:rPr>
          <w:rFonts w:ascii="Times New Roman" w:hAnsi="Times New Roman"/>
          <w:sz w:val="24"/>
          <w:szCs w:val="24"/>
        </w:rPr>
        <w:t>6</w:t>
      </w:r>
      <w:r w:rsidR="00D36893" w:rsidRPr="00F65FFA">
        <w:rPr>
          <w:rFonts w:ascii="Times New Roman" w:hAnsi="Times New Roman"/>
          <w:sz w:val="24"/>
          <w:szCs w:val="24"/>
        </w:rPr>
        <w:t xml:space="preserve"> to 10</w:t>
      </w:r>
      <w:r w:rsidR="00F65FFA" w:rsidRPr="00F65FFA">
        <w:rPr>
          <w:rFonts w:ascii="Times New Roman" w:hAnsi="Times New Roman"/>
          <w:sz w:val="24"/>
          <w:szCs w:val="24"/>
        </w:rPr>
        <w:t>9</w:t>
      </w:r>
      <w:r w:rsidR="00D36893" w:rsidRPr="00F65FFA">
        <w:rPr>
          <w:rFonts w:ascii="Times New Roman" w:hAnsi="Times New Roman"/>
          <w:sz w:val="24"/>
          <w:szCs w:val="24"/>
        </w:rPr>
        <w:t xml:space="preserve">), </w:t>
      </w:r>
      <w:r w:rsidR="00D36893">
        <w:rPr>
          <w:rFonts w:ascii="Times New Roman" w:hAnsi="Times New Roman"/>
          <w:sz w:val="24"/>
          <w:szCs w:val="24"/>
        </w:rPr>
        <w:t>and</w:t>
      </w:r>
    </w:p>
    <w:p w:rsidR="003B08B0" w:rsidRDefault="003B08B0" w:rsidP="003B08B0">
      <w:pPr>
        <w:pStyle w:val="Bullet-list"/>
        <w:spacing w:after="0" w:line="240" w:lineRule="auto"/>
        <w:ind w:left="1134" w:hanging="567"/>
        <w:jc w:val="both"/>
        <w:rPr>
          <w:rFonts w:ascii="Times New Roman" w:hAnsi="Times New Roman"/>
          <w:sz w:val="24"/>
          <w:szCs w:val="24"/>
        </w:rPr>
      </w:pPr>
    </w:p>
    <w:p w:rsidR="003B08B0" w:rsidRDefault="003B08B0" w:rsidP="003B08B0">
      <w:pPr>
        <w:pStyle w:val="Bullet-list"/>
        <w:spacing w:after="0" w:line="240" w:lineRule="auto"/>
        <w:ind w:left="1134" w:hanging="567"/>
        <w:jc w:val="both"/>
        <w:rPr>
          <w:rFonts w:ascii="Times New Roman" w:hAnsi="Times New Roman"/>
          <w:sz w:val="24"/>
          <w:szCs w:val="24"/>
        </w:rPr>
      </w:pPr>
      <w:r>
        <w:rPr>
          <w:rFonts w:ascii="Times New Roman" w:hAnsi="Times New Roman"/>
          <w:sz w:val="24"/>
          <w:szCs w:val="24"/>
        </w:rPr>
        <w:sym w:font="Wingdings 2" w:char="F097"/>
      </w:r>
      <w:r>
        <w:rPr>
          <w:rFonts w:ascii="Times New Roman" w:hAnsi="Times New Roman"/>
          <w:sz w:val="24"/>
          <w:szCs w:val="24"/>
        </w:rPr>
        <w:tab/>
      </w:r>
      <w:r w:rsidR="00D36893">
        <w:rPr>
          <w:rFonts w:ascii="Times New Roman" w:hAnsi="Times New Roman"/>
          <w:sz w:val="24"/>
          <w:szCs w:val="24"/>
        </w:rPr>
        <w:t xml:space="preserve">allowing a transitional period in respect of enforcement – during which financial institutions identified as not complying with their obligations could mount a ‘reasonable endeavours’ defence and be allowed a reasonable period of time to rectify any </w:t>
      </w:r>
      <w:r w:rsidR="00D36893" w:rsidRPr="00F65FFA">
        <w:rPr>
          <w:rFonts w:ascii="Times New Roman" w:hAnsi="Times New Roman"/>
          <w:sz w:val="24"/>
          <w:szCs w:val="24"/>
        </w:rPr>
        <w:t>errors (see p</w:t>
      </w:r>
      <w:bookmarkStart w:id="28" w:name="W"/>
      <w:bookmarkEnd w:id="28"/>
      <w:r w:rsidR="00F65FFA" w:rsidRPr="00F65FFA">
        <w:rPr>
          <w:rFonts w:ascii="Times New Roman" w:hAnsi="Times New Roman"/>
          <w:sz w:val="24"/>
          <w:szCs w:val="24"/>
        </w:rPr>
        <w:t>aragraph</w:t>
      </w:r>
      <w:r w:rsidR="00D36893" w:rsidRPr="00F65FFA">
        <w:rPr>
          <w:rFonts w:ascii="Times New Roman" w:hAnsi="Times New Roman"/>
          <w:sz w:val="24"/>
          <w:szCs w:val="24"/>
        </w:rPr>
        <w:t xml:space="preserve"> 1</w:t>
      </w:r>
      <w:r w:rsidR="00F65FFA" w:rsidRPr="00F65FFA">
        <w:rPr>
          <w:rFonts w:ascii="Times New Roman" w:hAnsi="Times New Roman"/>
          <w:sz w:val="24"/>
          <w:szCs w:val="24"/>
        </w:rPr>
        <w:t>21</w:t>
      </w:r>
      <w:r w:rsidR="00D36893" w:rsidRPr="00F65FFA">
        <w:rPr>
          <w:rFonts w:ascii="Times New Roman" w:hAnsi="Times New Roman"/>
          <w:sz w:val="24"/>
          <w:szCs w:val="24"/>
        </w:rPr>
        <w:t>).</w:t>
      </w:r>
    </w:p>
    <w:p w:rsidR="00503FE0" w:rsidRDefault="00503FE0" w:rsidP="000D2215">
      <w:pPr>
        <w:pStyle w:val="spacer"/>
        <w:jc w:val="both"/>
        <w:rPr>
          <w:rFonts w:ascii="Times New Roman" w:hAnsi="Times New Roman"/>
          <w:sz w:val="24"/>
          <w:szCs w:val="24"/>
          <w:lang w:val="en-AU"/>
        </w:rPr>
      </w:pPr>
    </w:p>
    <w:p w:rsidR="00AE1714" w:rsidRDefault="00AE1714" w:rsidP="007946CC">
      <w:pPr>
        <w:pStyle w:val="spacer"/>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t xml:space="preserve">Option </w:t>
      </w:r>
      <w:r w:rsidR="00163D03">
        <w:rPr>
          <w:rFonts w:ascii="Times New Roman" w:hAnsi="Times New Roman"/>
          <w:sz w:val="24"/>
          <w:szCs w:val="24"/>
        </w:rPr>
        <w:t>3</w:t>
      </w:r>
      <w:r>
        <w:rPr>
          <w:rFonts w:ascii="Times New Roman" w:hAnsi="Times New Roman"/>
          <w:sz w:val="24"/>
          <w:szCs w:val="24"/>
        </w:rPr>
        <w:t xml:space="preserve"> has been measured against the objectives listed in paragraph 32 above.</w:t>
      </w:r>
    </w:p>
    <w:p w:rsidR="00AE1714" w:rsidRDefault="00AE1714" w:rsidP="000D2215">
      <w:pPr>
        <w:pStyle w:val="spacer"/>
        <w:jc w:val="both"/>
        <w:rPr>
          <w:rFonts w:ascii="Times New Roman" w:hAnsi="Times New Roman"/>
          <w:sz w:val="24"/>
          <w:szCs w:val="24"/>
          <w:lang w:val="en-AU"/>
        </w:rPr>
      </w:pPr>
    </w:p>
    <w:p w:rsidR="002A35F4" w:rsidRPr="00097CEA" w:rsidRDefault="00AE1714" w:rsidP="002A35F4">
      <w:pPr>
        <w:pStyle w:val="spacer"/>
        <w:jc w:val="both"/>
        <w:rPr>
          <w:rFonts w:ascii="Times New Roman" w:hAnsi="Times New Roman"/>
          <w:b/>
          <w:i/>
          <w:sz w:val="24"/>
          <w:szCs w:val="24"/>
          <w:lang w:val="en-AU"/>
        </w:rPr>
      </w:pPr>
      <w:r>
        <w:rPr>
          <w:rFonts w:ascii="Times New Roman" w:hAnsi="Times New Roman"/>
          <w:b/>
          <w:i/>
          <w:sz w:val="24"/>
          <w:szCs w:val="24"/>
          <w:lang w:val="en-AU"/>
        </w:rPr>
        <w:t xml:space="preserve">Option (a) – </w:t>
      </w:r>
      <w:r w:rsidR="002A35F4">
        <w:rPr>
          <w:rFonts w:ascii="Times New Roman" w:hAnsi="Times New Roman"/>
          <w:b/>
          <w:i/>
          <w:sz w:val="24"/>
          <w:szCs w:val="24"/>
          <w:lang w:val="en-AU"/>
        </w:rPr>
        <w:t>Consistency with the requirements of the CRS and its accompanying documentation</w:t>
      </w:r>
    </w:p>
    <w:p w:rsidR="002A35F4" w:rsidRDefault="002A35F4" w:rsidP="002A35F4">
      <w:pPr>
        <w:pStyle w:val="spacer"/>
        <w:jc w:val="both"/>
        <w:rPr>
          <w:rFonts w:ascii="Times New Roman" w:hAnsi="Times New Roman"/>
          <w:sz w:val="24"/>
          <w:szCs w:val="24"/>
        </w:rPr>
      </w:pPr>
    </w:p>
    <w:p w:rsidR="00F02B88" w:rsidRDefault="00F02B88" w:rsidP="007946CC">
      <w:pPr>
        <w:pStyle w:val="spacer"/>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r>
      <w:r w:rsidR="00D36893">
        <w:rPr>
          <w:rFonts w:ascii="Times New Roman" w:hAnsi="Times New Roman"/>
          <w:sz w:val="24"/>
          <w:szCs w:val="24"/>
        </w:rPr>
        <w:t>Design decisions u</w:t>
      </w:r>
      <w:r w:rsidR="00865CF5">
        <w:rPr>
          <w:rFonts w:ascii="Times New Roman" w:hAnsi="Times New Roman"/>
          <w:sz w:val="24"/>
          <w:szCs w:val="24"/>
        </w:rPr>
        <w:t xml:space="preserve">nder this </w:t>
      </w:r>
      <w:r>
        <w:rPr>
          <w:rFonts w:ascii="Times New Roman" w:hAnsi="Times New Roman"/>
          <w:sz w:val="24"/>
          <w:szCs w:val="24"/>
        </w:rPr>
        <w:t xml:space="preserve">option would </w:t>
      </w:r>
      <w:r w:rsidR="00865CF5">
        <w:rPr>
          <w:rFonts w:ascii="Times New Roman" w:hAnsi="Times New Roman"/>
          <w:sz w:val="24"/>
          <w:szCs w:val="24"/>
        </w:rPr>
        <w:t>be made on the basis of</w:t>
      </w:r>
      <w:r>
        <w:rPr>
          <w:rFonts w:ascii="Times New Roman" w:hAnsi="Times New Roman"/>
          <w:sz w:val="24"/>
          <w:szCs w:val="24"/>
        </w:rPr>
        <w:t xml:space="preserve"> mitigat</w:t>
      </w:r>
      <w:r w:rsidR="00865CF5">
        <w:rPr>
          <w:rFonts w:ascii="Times New Roman" w:hAnsi="Times New Roman"/>
          <w:sz w:val="24"/>
          <w:szCs w:val="24"/>
        </w:rPr>
        <w:t>ing</w:t>
      </w:r>
      <w:r>
        <w:rPr>
          <w:rFonts w:ascii="Times New Roman" w:hAnsi="Times New Roman"/>
          <w:sz w:val="24"/>
          <w:szCs w:val="24"/>
        </w:rPr>
        <w:t xml:space="preserve"> compliance costs and administrative costs wherever possible.  </w:t>
      </w:r>
      <w:r w:rsidR="00865CF5">
        <w:rPr>
          <w:rFonts w:ascii="Times New Roman" w:hAnsi="Times New Roman"/>
          <w:sz w:val="24"/>
          <w:szCs w:val="24"/>
        </w:rPr>
        <w:t>In some cases, t</w:t>
      </w:r>
      <w:r>
        <w:rPr>
          <w:rFonts w:ascii="Times New Roman" w:hAnsi="Times New Roman"/>
          <w:sz w:val="24"/>
          <w:szCs w:val="24"/>
        </w:rPr>
        <w:t xml:space="preserve">his may involve a judgement call </w:t>
      </w:r>
      <w:r w:rsidR="00865CF5">
        <w:rPr>
          <w:rFonts w:ascii="Times New Roman" w:hAnsi="Times New Roman"/>
          <w:sz w:val="24"/>
          <w:szCs w:val="24"/>
        </w:rPr>
        <w:t>whether</w:t>
      </w:r>
      <w:r>
        <w:rPr>
          <w:rFonts w:ascii="Times New Roman" w:hAnsi="Times New Roman"/>
          <w:sz w:val="24"/>
          <w:szCs w:val="24"/>
        </w:rPr>
        <w:t xml:space="preserve"> CRS requirements </w:t>
      </w:r>
      <w:r w:rsidR="00BB0E47">
        <w:rPr>
          <w:rFonts w:ascii="Times New Roman" w:hAnsi="Times New Roman"/>
          <w:sz w:val="24"/>
          <w:szCs w:val="24"/>
        </w:rPr>
        <w:t>would</w:t>
      </w:r>
      <w:r>
        <w:rPr>
          <w:rFonts w:ascii="Times New Roman" w:hAnsi="Times New Roman"/>
          <w:sz w:val="24"/>
          <w:szCs w:val="24"/>
        </w:rPr>
        <w:t xml:space="preserve"> or </w:t>
      </w:r>
      <w:r w:rsidR="00BB0E47">
        <w:rPr>
          <w:rFonts w:ascii="Times New Roman" w:hAnsi="Times New Roman"/>
          <w:sz w:val="24"/>
          <w:szCs w:val="24"/>
        </w:rPr>
        <w:t>would</w:t>
      </w:r>
      <w:r>
        <w:rPr>
          <w:rFonts w:ascii="Times New Roman" w:hAnsi="Times New Roman"/>
          <w:sz w:val="24"/>
          <w:szCs w:val="24"/>
        </w:rPr>
        <w:t xml:space="preserve"> not be met.</w:t>
      </w:r>
    </w:p>
    <w:p w:rsidR="00F02B88" w:rsidRDefault="00F02B88" w:rsidP="007946CC">
      <w:pPr>
        <w:pStyle w:val="spacer"/>
        <w:ind w:left="567" w:hanging="567"/>
        <w:jc w:val="both"/>
        <w:rPr>
          <w:rFonts w:ascii="Times New Roman" w:hAnsi="Times New Roman"/>
          <w:sz w:val="24"/>
          <w:szCs w:val="24"/>
        </w:rPr>
      </w:pPr>
    </w:p>
    <w:p w:rsidR="00F02B88" w:rsidRDefault="00F02B88" w:rsidP="007946CC">
      <w:pPr>
        <w:pStyle w:val="spacer"/>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t>The transitional approach to enforcement demonstrates this point.  Although the CRS generally leaves the design of an effective enforcement regime up to jurisdictions, the terms of reference and methodology for peer reviews have not yet been set by the Global Forum.</w:t>
      </w:r>
    </w:p>
    <w:p w:rsidR="00F02B88" w:rsidRDefault="00F02B88" w:rsidP="007946CC">
      <w:pPr>
        <w:pStyle w:val="spacer"/>
        <w:ind w:left="567" w:hanging="567"/>
        <w:jc w:val="both"/>
        <w:rPr>
          <w:rFonts w:ascii="Times New Roman" w:hAnsi="Times New Roman"/>
          <w:sz w:val="24"/>
          <w:szCs w:val="24"/>
        </w:rPr>
      </w:pPr>
    </w:p>
    <w:p w:rsidR="00F02B88" w:rsidRDefault="002A35F4" w:rsidP="007946CC">
      <w:pPr>
        <w:pStyle w:val="spacer"/>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t xml:space="preserve">Decisions made on </w:t>
      </w:r>
      <w:r w:rsidR="00F02B88">
        <w:rPr>
          <w:rFonts w:ascii="Times New Roman" w:hAnsi="Times New Roman"/>
          <w:sz w:val="24"/>
          <w:szCs w:val="24"/>
        </w:rPr>
        <w:t>the</w:t>
      </w:r>
      <w:r>
        <w:rPr>
          <w:rFonts w:ascii="Times New Roman" w:hAnsi="Times New Roman"/>
          <w:sz w:val="24"/>
          <w:szCs w:val="24"/>
        </w:rPr>
        <w:t xml:space="preserve"> basis</w:t>
      </w:r>
      <w:r w:rsidR="00F02B88">
        <w:rPr>
          <w:rFonts w:ascii="Times New Roman" w:hAnsi="Times New Roman"/>
          <w:sz w:val="24"/>
          <w:szCs w:val="24"/>
        </w:rPr>
        <w:t xml:space="preserve"> of option </w:t>
      </w:r>
      <w:r w:rsidR="00B52F7E">
        <w:rPr>
          <w:rFonts w:ascii="Times New Roman" w:hAnsi="Times New Roman"/>
          <w:sz w:val="24"/>
          <w:szCs w:val="24"/>
        </w:rPr>
        <w:t>3</w:t>
      </w:r>
      <w:r>
        <w:rPr>
          <w:rFonts w:ascii="Times New Roman" w:hAnsi="Times New Roman"/>
          <w:sz w:val="24"/>
          <w:szCs w:val="24"/>
        </w:rPr>
        <w:t xml:space="preserve"> would </w:t>
      </w:r>
      <w:r w:rsidR="00F02B88">
        <w:rPr>
          <w:rFonts w:ascii="Times New Roman" w:hAnsi="Times New Roman"/>
          <w:sz w:val="24"/>
          <w:szCs w:val="24"/>
        </w:rPr>
        <w:t xml:space="preserve">therefore involve some potential risk that peer review will determine that </w:t>
      </w:r>
      <w:r>
        <w:rPr>
          <w:rFonts w:ascii="Times New Roman" w:hAnsi="Times New Roman"/>
          <w:sz w:val="24"/>
          <w:szCs w:val="24"/>
        </w:rPr>
        <w:t>CRS requirements</w:t>
      </w:r>
      <w:r w:rsidR="00F02B88">
        <w:rPr>
          <w:rFonts w:ascii="Times New Roman" w:hAnsi="Times New Roman"/>
          <w:sz w:val="24"/>
          <w:szCs w:val="24"/>
        </w:rPr>
        <w:t xml:space="preserve"> have not been met.  However, </w:t>
      </w:r>
      <w:r w:rsidR="00865CF5">
        <w:rPr>
          <w:rFonts w:ascii="Times New Roman" w:hAnsi="Times New Roman"/>
          <w:sz w:val="24"/>
          <w:szCs w:val="24"/>
        </w:rPr>
        <w:t>the risk of reputational damage</w:t>
      </w:r>
      <w:r w:rsidR="00F02B88">
        <w:rPr>
          <w:rFonts w:ascii="Times New Roman" w:hAnsi="Times New Roman"/>
          <w:sz w:val="24"/>
          <w:szCs w:val="24"/>
        </w:rPr>
        <w:t xml:space="preserve"> </w:t>
      </w:r>
      <w:r w:rsidR="00865CF5">
        <w:rPr>
          <w:rFonts w:ascii="Times New Roman" w:hAnsi="Times New Roman"/>
          <w:sz w:val="24"/>
          <w:szCs w:val="24"/>
        </w:rPr>
        <w:t xml:space="preserve">arising from </w:t>
      </w:r>
      <w:r w:rsidR="00F02B88">
        <w:rPr>
          <w:rFonts w:ascii="Times New Roman" w:hAnsi="Times New Roman"/>
          <w:sz w:val="24"/>
          <w:szCs w:val="24"/>
        </w:rPr>
        <w:t xml:space="preserve">the </w:t>
      </w:r>
      <w:r w:rsidR="00865CF5">
        <w:rPr>
          <w:rFonts w:ascii="Times New Roman" w:hAnsi="Times New Roman"/>
          <w:sz w:val="24"/>
          <w:szCs w:val="24"/>
        </w:rPr>
        <w:t xml:space="preserve">identification of </w:t>
      </w:r>
      <w:r w:rsidR="00F02B88">
        <w:rPr>
          <w:rFonts w:ascii="Times New Roman" w:hAnsi="Times New Roman"/>
          <w:sz w:val="24"/>
          <w:szCs w:val="24"/>
        </w:rPr>
        <w:t xml:space="preserve">deficiencies </w:t>
      </w:r>
      <w:r w:rsidR="00865CF5">
        <w:rPr>
          <w:rFonts w:ascii="Times New Roman" w:hAnsi="Times New Roman"/>
          <w:sz w:val="24"/>
          <w:szCs w:val="24"/>
        </w:rPr>
        <w:t>in peer review would be low, given that the decision was made on the basis of a judgement call that CRS requirements were met</w:t>
      </w:r>
      <w:r w:rsidR="00B52F7E">
        <w:rPr>
          <w:rFonts w:ascii="Times New Roman" w:hAnsi="Times New Roman"/>
          <w:sz w:val="24"/>
          <w:szCs w:val="24"/>
        </w:rPr>
        <w:t>.</w:t>
      </w:r>
    </w:p>
    <w:p w:rsidR="00B52F7E" w:rsidRDefault="00B52F7E" w:rsidP="007946CC">
      <w:pPr>
        <w:pStyle w:val="spacer"/>
        <w:ind w:left="567" w:hanging="567"/>
        <w:jc w:val="both"/>
        <w:rPr>
          <w:rFonts w:ascii="Times New Roman" w:hAnsi="Times New Roman"/>
          <w:sz w:val="24"/>
          <w:szCs w:val="24"/>
        </w:rPr>
      </w:pPr>
    </w:p>
    <w:p w:rsidR="00B52F7E" w:rsidRDefault="00B52F7E" w:rsidP="007946CC">
      <w:pPr>
        <w:pStyle w:val="spacer"/>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t>Therefore, this objective</w:t>
      </w:r>
      <w:r w:rsidR="00D36893">
        <w:rPr>
          <w:rFonts w:ascii="Times New Roman" w:hAnsi="Times New Roman"/>
          <w:sz w:val="24"/>
          <w:szCs w:val="24"/>
        </w:rPr>
        <w:t xml:space="preserve"> is met</w:t>
      </w:r>
      <w:r>
        <w:rPr>
          <w:rFonts w:ascii="Times New Roman" w:hAnsi="Times New Roman"/>
          <w:sz w:val="24"/>
          <w:szCs w:val="24"/>
        </w:rPr>
        <w:t>.</w:t>
      </w:r>
    </w:p>
    <w:p w:rsidR="002A35F4" w:rsidRDefault="002A35F4" w:rsidP="002A35F4">
      <w:pPr>
        <w:pStyle w:val="spacer"/>
        <w:jc w:val="both"/>
        <w:rPr>
          <w:rFonts w:ascii="Times New Roman" w:hAnsi="Times New Roman"/>
          <w:sz w:val="24"/>
          <w:szCs w:val="24"/>
        </w:rPr>
      </w:pPr>
    </w:p>
    <w:p w:rsidR="002A35F4" w:rsidRPr="00097CEA" w:rsidRDefault="00AE1714" w:rsidP="002A35F4">
      <w:pPr>
        <w:pStyle w:val="spacer"/>
        <w:jc w:val="both"/>
        <w:rPr>
          <w:rFonts w:ascii="Times New Roman" w:hAnsi="Times New Roman"/>
          <w:b/>
          <w:i/>
          <w:sz w:val="24"/>
          <w:szCs w:val="24"/>
          <w:lang w:val="en-AU"/>
        </w:rPr>
      </w:pPr>
      <w:r>
        <w:rPr>
          <w:rFonts w:ascii="Times New Roman" w:hAnsi="Times New Roman"/>
          <w:b/>
          <w:i/>
          <w:sz w:val="24"/>
          <w:szCs w:val="24"/>
          <w:lang w:val="en-AU"/>
        </w:rPr>
        <w:t xml:space="preserve">Option (b) – </w:t>
      </w:r>
      <w:r w:rsidR="002A35F4" w:rsidRPr="00097CEA">
        <w:rPr>
          <w:rFonts w:ascii="Times New Roman" w:hAnsi="Times New Roman"/>
          <w:b/>
          <w:i/>
          <w:sz w:val="24"/>
          <w:szCs w:val="24"/>
          <w:lang w:val="en-AU"/>
        </w:rPr>
        <w:t xml:space="preserve">Maximise </w:t>
      </w:r>
      <w:r w:rsidR="002A35F4" w:rsidRPr="00084AC0">
        <w:rPr>
          <w:rFonts w:ascii="Times New Roman" w:hAnsi="Times New Roman"/>
          <w:b/>
          <w:i/>
          <w:sz w:val="24"/>
          <w:szCs w:val="24"/>
          <w:lang w:val="en-AU"/>
        </w:rPr>
        <w:t>the opportunity for New Zealand to derive domestic and international benefits</w:t>
      </w:r>
    </w:p>
    <w:p w:rsidR="002A35F4" w:rsidRDefault="002A35F4" w:rsidP="002A35F4">
      <w:pPr>
        <w:pStyle w:val="spacer"/>
        <w:jc w:val="both"/>
        <w:rPr>
          <w:rFonts w:ascii="Times New Roman" w:hAnsi="Times New Roman"/>
          <w:sz w:val="24"/>
          <w:szCs w:val="24"/>
          <w:lang w:val="en-AU"/>
        </w:rPr>
      </w:pPr>
    </w:p>
    <w:p w:rsidR="0019180F" w:rsidRDefault="0019180F" w:rsidP="007946CC">
      <w:pPr>
        <w:pStyle w:val="spacer"/>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t>The balanced approach to implementation should have no adverse implications in terms of the benefits likely to accrue to New Zealand from AEOI implementation</w:t>
      </w:r>
      <w:r w:rsidR="00B52F7E">
        <w:rPr>
          <w:rFonts w:ascii="Times New Roman" w:hAnsi="Times New Roman"/>
          <w:sz w:val="24"/>
          <w:szCs w:val="24"/>
        </w:rPr>
        <w:t xml:space="preserve"> so meets the objective</w:t>
      </w:r>
      <w:r>
        <w:rPr>
          <w:rFonts w:ascii="Times New Roman" w:hAnsi="Times New Roman"/>
          <w:sz w:val="24"/>
          <w:szCs w:val="24"/>
        </w:rPr>
        <w:t>.</w:t>
      </w:r>
    </w:p>
    <w:p w:rsidR="002A35F4" w:rsidRPr="00097CEA" w:rsidRDefault="002A35F4" w:rsidP="002A35F4">
      <w:pPr>
        <w:pStyle w:val="spacer"/>
        <w:jc w:val="both"/>
        <w:rPr>
          <w:rFonts w:ascii="Times New Roman" w:hAnsi="Times New Roman"/>
          <w:sz w:val="24"/>
          <w:szCs w:val="24"/>
          <w:lang w:val="en-AU"/>
        </w:rPr>
      </w:pPr>
    </w:p>
    <w:p w:rsidR="002A35F4" w:rsidRPr="00097CEA" w:rsidRDefault="00AE1714" w:rsidP="002A35F4">
      <w:pPr>
        <w:pStyle w:val="spacer"/>
        <w:jc w:val="both"/>
        <w:rPr>
          <w:rFonts w:ascii="Times New Roman" w:hAnsi="Times New Roman"/>
          <w:b/>
          <w:i/>
          <w:sz w:val="24"/>
          <w:szCs w:val="24"/>
          <w:lang w:val="en-AU"/>
        </w:rPr>
      </w:pPr>
      <w:r>
        <w:rPr>
          <w:rFonts w:ascii="Times New Roman" w:hAnsi="Times New Roman"/>
          <w:b/>
          <w:i/>
          <w:sz w:val="24"/>
          <w:szCs w:val="24"/>
          <w:lang w:val="en-AU"/>
        </w:rPr>
        <w:t xml:space="preserve">Option (c) – </w:t>
      </w:r>
      <w:r w:rsidR="002A35F4" w:rsidRPr="00097CEA">
        <w:rPr>
          <w:rFonts w:ascii="Times New Roman" w:hAnsi="Times New Roman"/>
          <w:b/>
          <w:i/>
          <w:sz w:val="24"/>
          <w:szCs w:val="24"/>
          <w:lang w:val="en-AU"/>
        </w:rPr>
        <w:t>Minimise</w:t>
      </w:r>
      <w:r w:rsidR="002A35F4">
        <w:rPr>
          <w:rFonts w:ascii="Times New Roman" w:hAnsi="Times New Roman"/>
          <w:b/>
          <w:i/>
          <w:sz w:val="24"/>
          <w:szCs w:val="24"/>
          <w:lang w:val="en-AU"/>
        </w:rPr>
        <w:t xml:space="preserve"> the</w:t>
      </w:r>
      <w:r w:rsidR="002A35F4" w:rsidRPr="00097CEA">
        <w:rPr>
          <w:rFonts w:ascii="Times New Roman" w:hAnsi="Times New Roman"/>
          <w:b/>
          <w:i/>
          <w:sz w:val="24"/>
          <w:szCs w:val="24"/>
          <w:lang w:val="en-AU"/>
        </w:rPr>
        <w:t xml:space="preserve"> compliance costs</w:t>
      </w:r>
      <w:r w:rsidR="002A35F4">
        <w:rPr>
          <w:rFonts w:ascii="Times New Roman" w:hAnsi="Times New Roman"/>
          <w:b/>
          <w:i/>
          <w:sz w:val="24"/>
          <w:szCs w:val="24"/>
          <w:lang w:val="en-AU"/>
        </w:rPr>
        <w:t xml:space="preserve"> to be imposed on financial institutions</w:t>
      </w:r>
    </w:p>
    <w:p w:rsidR="002A35F4" w:rsidRPr="00097CEA" w:rsidRDefault="002A35F4" w:rsidP="002A35F4">
      <w:pPr>
        <w:pStyle w:val="spacer"/>
        <w:jc w:val="both"/>
        <w:rPr>
          <w:rFonts w:ascii="Times New Roman" w:hAnsi="Times New Roman"/>
          <w:sz w:val="24"/>
          <w:szCs w:val="24"/>
          <w:lang w:val="en-AU"/>
        </w:rPr>
      </w:pPr>
    </w:p>
    <w:p w:rsidR="002A35F4" w:rsidRPr="00097CEA" w:rsidRDefault="00F02B88" w:rsidP="007946CC">
      <w:pPr>
        <w:pStyle w:val="spacer"/>
        <w:ind w:left="567" w:hanging="567"/>
        <w:jc w:val="both"/>
        <w:rPr>
          <w:rFonts w:ascii="Times New Roman" w:hAnsi="Times New Roman"/>
          <w:sz w:val="24"/>
          <w:szCs w:val="24"/>
          <w:lang w:val="en-AU"/>
        </w:rPr>
      </w:pPr>
      <w:r>
        <w:rPr>
          <w:rFonts w:ascii="Times New Roman" w:hAnsi="Times New Roman"/>
          <w:sz w:val="24"/>
          <w:szCs w:val="24"/>
          <w:lang w:val="en-AU"/>
        </w:rPr>
        <w:fldChar w:fldCharType="begin"/>
      </w:r>
      <w:r>
        <w:rPr>
          <w:rFonts w:ascii="Times New Roman" w:hAnsi="Times New Roman"/>
          <w:sz w:val="24"/>
          <w:szCs w:val="24"/>
          <w:lang w:val="en-AU"/>
        </w:rPr>
        <w:instrText xml:space="preserve"> AUTONUM  \* Arabic  </w:instrText>
      </w:r>
      <w:r>
        <w:rPr>
          <w:rFonts w:ascii="Times New Roman" w:hAnsi="Times New Roman"/>
          <w:sz w:val="24"/>
          <w:szCs w:val="24"/>
          <w:lang w:val="en-AU"/>
        </w:rPr>
        <w:fldChar w:fldCharType="end"/>
      </w:r>
      <w:r>
        <w:rPr>
          <w:rFonts w:ascii="Times New Roman" w:hAnsi="Times New Roman"/>
          <w:sz w:val="24"/>
          <w:szCs w:val="24"/>
          <w:lang w:val="en-AU"/>
        </w:rPr>
        <w:tab/>
      </w:r>
      <w:r w:rsidR="00865CF5">
        <w:rPr>
          <w:rFonts w:ascii="Times New Roman" w:hAnsi="Times New Roman"/>
          <w:sz w:val="24"/>
          <w:szCs w:val="24"/>
        </w:rPr>
        <w:t>The balanced approach to implementation would represent an attempt to minimise compliance costs to the extent possible</w:t>
      </w:r>
      <w:r w:rsidR="00B52F7E">
        <w:rPr>
          <w:rFonts w:ascii="Times New Roman" w:hAnsi="Times New Roman"/>
          <w:sz w:val="24"/>
          <w:szCs w:val="24"/>
        </w:rPr>
        <w:t xml:space="preserve"> so </w:t>
      </w:r>
      <w:r w:rsidR="004E4192">
        <w:rPr>
          <w:rFonts w:ascii="Times New Roman" w:hAnsi="Times New Roman"/>
          <w:sz w:val="24"/>
          <w:szCs w:val="24"/>
        </w:rPr>
        <w:t>this</w:t>
      </w:r>
      <w:r w:rsidR="00B52F7E">
        <w:rPr>
          <w:rFonts w:ascii="Times New Roman" w:hAnsi="Times New Roman"/>
          <w:sz w:val="24"/>
          <w:szCs w:val="24"/>
        </w:rPr>
        <w:t xml:space="preserve"> objective</w:t>
      </w:r>
      <w:r w:rsidR="004E4192">
        <w:rPr>
          <w:rFonts w:ascii="Times New Roman" w:hAnsi="Times New Roman"/>
          <w:sz w:val="24"/>
          <w:szCs w:val="24"/>
        </w:rPr>
        <w:t xml:space="preserve"> is met</w:t>
      </w:r>
      <w:r w:rsidR="002A35F4">
        <w:rPr>
          <w:rFonts w:ascii="Times New Roman" w:hAnsi="Times New Roman"/>
          <w:sz w:val="24"/>
          <w:szCs w:val="24"/>
          <w:lang w:val="en-AU"/>
        </w:rPr>
        <w:t>.</w:t>
      </w:r>
    </w:p>
    <w:p w:rsidR="002A35F4" w:rsidRPr="00097CEA" w:rsidRDefault="002A35F4" w:rsidP="007946CC">
      <w:pPr>
        <w:pStyle w:val="spacer"/>
        <w:ind w:left="567" w:hanging="567"/>
        <w:jc w:val="both"/>
        <w:rPr>
          <w:rFonts w:ascii="Times New Roman" w:hAnsi="Times New Roman"/>
          <w:sz w:val="24"/>
          <w:szCs w:val="24"/>
          <w:lang w:val="en-AU"/>
        </w:rPr>
      </w:pPr>
    </w:p>
    <w:p w:rsidR="002A35F4" w:rsidRPr="00097CEA" w:rsidRDefault="00AE1714" w:rsidP="007946CC">
      <w:pPr>
        <w:pStyle w:val="spacer"/>
        <w:ind w:left="567" w:hanging="567"/>
        <w:jc w:val="both"/>
        <w:rPr>
          <w:rFonts w:ascii="Times New Roman" w:hAnsi="Times New Roman"/>
          <w:b/>
          <w:i/>
          <w:sz w:val="24"/>
          <w:szCs w:val="24"/>
          <w:lang w:val="en-AU"/>
        </w:rPr>
      </w:pPr>
      <w:r>
        <w:rPr>
          <w:rFonts w:ascii="Times New Roman" w:hAnsi="Times New Roman"/>
          <w:b/>
          <w:i/>
          <w:sz w:val="24"/>
          <w:szCs w:val="24"/>
          <w:lang w:val="en-AU"/>
        </w:rPr>
        <w:t xml:space="preserve">Option (d) – </w:t>
      </w:r>
      <w:r w:rsidR="002A35F4" w:rsidRPr="00097CEA">
        <w:rPr>
          <w:rFonts w:ascii="Times New Roman" w:hAnsi="Times New Roman"/>
          <w:b/>
          <w:i/>
          <w:sz w:val="24"/>
          <w:szCs w:val="24"/>
          <w:lang w:val="en-AU"/>
        </w:rPr>
        <w:t xml:space="preserve">Minimise </w:t>
      </w:r>
      <w:r w:rsidR="002A35F4">
        <w:rPr>
          <w:rFonts w:ascii="Times New Roman" w:hAnsi="Times New Roman"/>
          <w:b/>
          <w:i/>
          <w:sz w:val="24"/>
          <w:szCs w:val="24"/>
          <w:lang w:val="en-AU"/>
        </w:rPr>
        <w:t xml:space="preserve">the </w:t>
      </w:r>
      <w:r w:rsidR="002A35F4" w:rsidRPr="00097CEA">
        <w:rPr>
          <w:rFonts w:ascii="Times New Roman" w:hAnsi="Times New Roman"/>
          <w:b/>
          <w:i/>
          <w:sz w:val="24"/>
          <w:szCs w:val="24"/>
          <w:lang w:val="en-AU"/>
        </w:rPr>
        <w:t>administrative costs</w:t>
      </w:r>
      <w:r w:rsidR="002A35F4">
        <w:rPr>
          <w:rFonts w:ascii="Times New Roman" w:hAnsi="Times New Roman"/>
          <w:b/>
          <w:i/>
          <w:sz w:val="24"/>
          <w:szCs w:val="24"/>
          <w:lang w:val="en-AU"/>
        </w:rPr>
        <w:t xml:space="preserve"> to be imposed on Inland Revenue</w:t>
      </w:r>
    </w:p>
    <w:p w:rsidR="002A35F4" w:rsidRPr="00097CEA" w:rsidRDefault="002A35F4" w:rsidP="007946CC">
      <w:pPr>
        <w:pStyle w:val="spacer"/>
        <w:ind w:left="567" w:hanging="567"/>
        <w:jc w:val="both"/>
        <w:rPr>
          <w:rFonts w:ascii="Times New Roman" w:hAnsi="Times New Roman"/>
          <w:sz w:val="24"/>
          <w:szCs w:val="24"/>
          <w:lang w:val="en-AU"/>
        </w:rPr>
      </w:pPr>
    </w:p>
    <w:p w:rsidR="00865CF5" w:rsidRPr="00097CEA" w:rsidRDefault="00865CF5" w:rsidP="007946CC">
      <w:pPr>
        <w:pStyle w:val="spacer"/>
        <w:ind w:left="567" w:hanging="567"/>
        <w:jc w:val="both"/>
        <w:rPr>
          <w:rFonts w:ascii="Times New Roman" w:hAnsi="Times New Roman"/>
          <w:sz w:val="24"/>
          <w:szCs w:val="24"/>
          <w:lang w:val="en-AU"/>
        </w:rPr>
      </w:pPr>
      <w:r>
        <w:rPr>
          <w:rFonts w:ascii="Times New Roman" w:hAnsi="Times New Roman"/>
          <w:sz w:val="24"/>
          <w:szCs w:val="24"/>
          <w:lang w:val="en-AU"/>
        </w:rPr>
        <w:fldChar w:fldCharType="begin"/>
      </w:r>
      <w:r>
        <w:rPr>
          <w:rFonts w:ascii="Times New Roman" w:hAnsi="Times New Roman"/>
          <w:sz w:val="24"/>
          <w:szCs w:val="24"/>
          <w:lang w:val="en-AU"/>
        </w:rPr>
        <w:instrText xml:space="preserve"> AUTONUM  \* Arabic  </w:instrText>
      </w:r>
      <w:r>
        <w:rPr>
          <w:rFonts w:ascii="Times New Roman" w:hAnsi="Times New Roman"/>
          <w:sz w:val="24"/>
          <w:szCs w:val="24"/>
          <w:lang w:val="en-AU"/>
        </w:rPr>
        <w:fldChar w:fldCharType="end"/>
      </w:r>
      <w:r>
        <w:rPr>
          <w:rFonts w:ascii="Times New Roman" w:hAnsi="Times New Roman"/>
          <w:sz w:val="24"/>
          <w:szCs w:val="24"/>
          <w:lang w:val="en-AU"/>
        </w:rPr>
        <w:tab/>
      </w:r>
      <w:r>
        <w:rPr>
          <w:rFonts w:ascii="Times New Roman" w:hAnsi="Times New Roman"/>
          <w:sz w:val="24"/>
          <w:szCs w:val="24"/>
        </w:rPr>
        <w:t xml:space="preserve">The balanced approach to implementation would represent an attempt to minimise </w:t>
      </w:r>
      <w:r w:rsidR="0019180F">
        <w:rPr>
          <w:rFonts w:ascii="Times New Roman" w:hAnsi="Times New Roman"/>
          <w:sz w:val="24"/>
          <w:szCs w:val="24"/>
        </w:rPr>
        <w:t>administrative</w:t>
      </w:r>
      <w:r>
        <w:rPr>
          <w:rFonts w:ascii="Times New Roman" w:hAnsi="Times New Roman"/>
          <w:sz w:val="24"/>
          <w:szCs w:val="24"/>
        </w:rPr>
        <w:t xml:space="preserve"> costs to the extent possible</w:t>
      </w:r>
      <w:r w:rsidR="00270456">
        <w:rPr>
          <w:rFonts w:ascii="Times New Roman" w:hAnsi="Times New Roman"/>
          <w:sz w:val="24"/>
          <w:szCs w:val="24"/>
        </w:rPr>
        <w:t>,</w:t>
      </w:r>
      <w:r w:rsidR="00B52F7E">
        <w:rPr>
          <w:rFonts w:ascii="Times New Roman" w:hAnsi="Times New Roman"/>
          <w:sz w:val="24"/>
          <w:szCs w:val="24"/>
        </w:rPr>
        <w:t xml:space="preserve"> so meets </w:t>
      </w:r>
      <w:r w:rsidR="00270456">
        <w:rPr>
          <w:rFonts w:ascii="Times New Roman" w:hAnsi="Times New Roman"/>
          <w:sz w:val="24"/>
          <w:szCs w:val="24"/>
        </w:rPr>
        <w:t xml:space="preserve">this </w:t>
      </w:r>
      <w:r w:rsidR="00B52F7E">
        <w:rPr>
          <w:rFonts w:ascii="Times New Roman" w:hAnsi="Times New Roman"/>
          <w:sz w:val="24"/>
          <w:szCs w:val="24"/>
        </w:rPr>
        <w:t>objective</w:t>
      </w:r>
      <w:r>
        <w:rPr>
          <w:rFonts w:ascii="Times New Roman" w:hAnsi="Times New Roman"/>
          <w:sz w:val="24"/>
          <w:szCs w:val="24"/>
          <w:lang w:val="en-AU"/>
        </w:rPr>
        <w:t>.</w:t>
      </w:r>
    </w:p>
    <w:p w:rsidR="0031480B" w:rsidRDefault="0031480B" w:rsidP="007946CC">
      <w:pPr>
        <w:pStyle w:val="spacer"/>
        <w:ind w:left="567" w:hanging="567"/>
        <w:jc w:val="both"/>
        <w:rPr>
          <w:rFonts w:ascii="Times New Roman" w:hAnsi="Times New Roman"/>
          <w:sz w:val="24"/>
          <w:szCs w:val="24"/>
          <w:lang w:val="en-AU"/>
        </w:rPr>
      </w:pPr>
    </w:p>
    <w:p w:rsidR="00E66C57" w:rsidRDefault="00E66C57" w:rsidP="007946CC">
      <w:pPr>
        <w:pStyle w:val="spacer"/>
        <w:ind w:left="567" w:hanging="567"/>
        <w:jc w:val="both"/>
        <w:rPr>
          <w:rFonts w:ascii="Times New Roman" w:hAnsi="Times New Roman"/>
          <w:sz w:val="24"/>
          <w:szCs w:val="24"/>
          <w:lang w:val="en-AU"/>
        </w:rPr>
      </w:pPr>
    </w:p>
    <w:p w:rsidR="00503FE0" w:rsidRPr="00F65FFA" w:rsidRDefault="00503FE0" w:rsidP="007946CC">
      <w:pPr>
        <w:pStyle w:val="spacer"/>
        <w:ind w:left="567" w:hanging="567"/>
        <w:jc w:val="both"/>
        <w:rPr>
          <w:rFonts w:ascii="Times New Roman" w:hAnsi="Times New Roman"/>
          <w:b/>
          <w:sz w:val="24"/>
          <w:szCs w:val="24"/>
          <w:lang w:val="en-AU"/>
        </w:rPr>
      </w:pPr>
      <w:r w:rsidRPr="00F65FFA">
        <w:rPr>
          <w:rFonts w:ascii="Times New Roman" w:hAnsi="Times New Roman"/>
          <w:b/>
          <w:sz w:val="24"/>
          <w:szCs w:val="24"/>
          <w:lang w:val="en-AU"/>
        </w:rPr>
        <w:t xml:space="preserve">Option 4: </w:t>
      </w:r>
      <w:r w:rsidR="00AB3143" w:rsidRPr="00F65FFA">
        <w:rPr>
          <w:rFonts w:ascii="Times New Roman" w:hAnsi="Times New Roman"/>
          <w:b/>
          <w:sz w:val="24"/>
          <w:szCs w:val="24"/>
        </w:rPr>
        <w:t>High cost approach</w:t>
      </w:r>
    </w:p>
    <w:p w:rsidR="00503FE0" w:rsidRDefault="00503FE0" w:rsidP="007946CC">
      <w:pPr>
        <w:pStyle w:val="spacer"/>
        <w:ind w:left="567" w:hanging="567"/>
        <w:jc w:val="both"/>
        <w:rPr>
          <w:rFonts w:ascii="Times New Roman" w:hAnsi="Times New Roman"/>
          <w:sz w:val="24"/>
          <w:szCs w:val="24"/>
          <w:lang w:val="en-AU"/>
        </w:rPr>
      </w:pPr>
    </w:p>
    <w:p w:rsidR="00503FE0" w:rsidRDefault="00503FE0" w:rsidP="007946CC">
      <w:pPr>
        <w:pStyle w:val="Bullet-list"/>
        <w:spacing w:after="0" w:line="240" w:lineRule="auto"/>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t xml:space="preserve">Option 4 would carry the least risk of international criticism.  </w:t>
      </w:r>
      <w:r w:rsidR="00865CF5">
        <w:rPr>
          <w:rFonts w:ascii="Times New Roman" w:hAnsi="Times New Roman"/>
          <w:sz w:val="24"/>
          <w:szCs w:val="24"/>
        </w:rPr>
        <w:t>In contrast to option 3, which involves making some judgment calls as to whether CRS requirements have been met, option 4 would involve</w:t>
      </w:r>
      <w:r w:rsidR="0019180F">
        <w:rPr>
          <w:rFonts w:ascii="Times New Roman" w:hAnsi="Times New Roman"/>
          <w:sz w:val="24"/>
          <w:szCs w:val="24"/>
        </w:rPr>
        <w:t xml:space="preserve"> a greater focus on meeting those requirements.  </w:t>
      </w:r>
      <w:r>
        <w:rPr>
          <w:rFonts w:ascii="Times New Roman" w:hAnsi="Times New Roman"/>
          <w:sz w:val="24"/>
          <w:szCs w:val="24"/>
        </w:rPr>
        <w:t xml:space="preserve">However, </w:t>
      </w:r>
      <w:r w:rsidR="0019180F">
        <w:rPr>
          <w:rFonts w:ascii="Times New Roman" w:hAnsi="Times New Roman"/>
          <w:sz w:val="24"/>
          <w:szCs w:val="24"/>
        </w:rPr>
        <w:t>this approach</w:t>
      </w:r>
      <w:r>
        <w:rPr>
          <w:rFonts w:ascii="Times New Roman" w:hAnsi="Times New Roman"/>
          <w:sz w:val="24"/>
          <w:szCs w:val="24"/>
        </w:rPr>
        <w:t xml:space="preserve"> would </w:t>
      </w:r>
      <w:r w:rsidR="0019180F">
        <w:rPr>
          <w:rFonts w:ascii="Times New Roman" w:hAnsi="Times New Roman"/>
          <w:sz w:val="24"/>
          <w:szCs w:val="24"/>
        </w:rPr>
        <w:t xml:space="preserve">result in the </w:t>
      </w:r>
      <w:r>
        <w:rPr>
          <w:rFonts w:ascii="Times New Roman" w:hAnsi="Times New Roman"/>
          <w:sz w:val="24"/>
          <w:szCs w:val="24"/>
        </w:rPr>
        <w:t>impos</w:t>
      </w:r>
      <w:r w:rsidR="0019180F">
        <w:rPr>
          <w:rFonts w:ascii="Times New Roman" w:hAnsi="Times New Roman"/>
          <w:sz w:val="24"/>
          <w:szCs w:val="24"/>
        </w:rPr>
        <w:t>ition of</w:t>
      </w:r>
      <w:r>
        <w:rPr>
          <w:rFonts w:ascii="Times New Roman" w:hAnsi="Times New Roman"/>
          <w:sz w:val="24"/>
          <w:szCs w:val="24"/>
        </w:rPr>
        <w:t xml:space="preserve"> some compliance costs on financial institutions that could otherwise have been mitigated.</w:t>
      </w:r>
    </w:p>
    <w:p w:rsidR="0019180F" w:rsidRDefault="0019180F" w:rsidP="007946CC">
      <w:pPr>
        <w:pStyle w:val="Bullet-list"/>
        <w:spacing w:after="0" w:line="240" w:lineRule="auto"/>
        <w:ind w:left="567" w:hanging="567"/>
        <w:jc w:val="both"/>
        <w:rPr>
          <w:rFonts w:ascii="Times New Roman" w:hAnsi="Times New Roman"/>
          <w:sz w:val="24"/>
          <w:szCs w:val="24"/>
        </w:rPr>
      </w:pPr>
    </w:p>
    <w:p w:rsidR="0019180F" w:rsidRDefault="0019180F" w:rsidP="007946CC">
      <w:pPr>
        <w:pStyle w:val="Bullet-list"/>
        <w:spacing w:after="0" w:line="240" w:lineRule="auto"/>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t>For example, under this approach, the transitional approach to enforcement would not be contemplated.</w:t>
      </w:r>
    </w:p>
    <w:p w:rsidR="00865CF5" w:rsidRDefault="00865CF5" w:rsidP="007946CC">
      <w:pPr>
        <w:pStyle w:val="Bullet-list"/>
        <w:spacing w:after="0" w:line="240" w:lineRule="auto"/>
        <w:ind w:left="567" w:hanging="567"/>
        <w:jc w:val="both"/>
        <w:rPr>
          <w:rFonts w:ascii="Times New Roman" w:hAnsi="Times New Roman"/>
          <w:sz w:val="24"/>
          <w:szCs w:val="24"/>
        </w:rPr>
      </w:pPr>
    </w:p>
    <w:p w:rsidR="00163D03" w:rsidRDefault="00163D03" w:rsidP="007946CC">
      <w:pPr>
        <w:pStyle w:val="Bullet-list"/>
        <w:spacing w:after="0" w:line="240" w:lineRule="auto"/>
        <w:ind w:left="567" w:hanging="567"/>
        <w:jc w:val="both"/>
        <w:rPr>
          <w:rFonts w:ascii="Times New Roman" w:hAnsi="Times New Roman"/>
          <w:sz w:val="24"/>
          <w:szCs w:val="24"/>
        </w:rPr>
      </w:pPr>
      <w:r w:rsidRPr="00163D03">
        <w:rPr>
          <w:rFonts w:ascii="Times New Roman" w:hAnsi="Times New Roman"/>
          <w:sz w:val="24"/>
          <w:szCs w:val="24"/>
          <w:lang w:val="en-GB"/>
        </w:rPr>
        <w:fldChar w:fldCharType="begin"/>
      </w:r>
      <w:r w:rsidRPr="00163D03">
        <w:rPr>
          <w:rFonts w:ascii="Times New Roman" w:hAnsi="Times New Roman"/>
          <w:sz w:val="24"/>
          <w:szCs w:val="24"/>
          <w:lang w:val="en-GB"/>
        </w:rPr>
        <w:instrText xml:space="preserve"> AUTONUM  \* Arabic  </w:instrText>
      </w:r>
      <w:r w:rsidRPr="00163D03">
        <w:rPr>
          <w:rFonts w:ascii="Times New Roman" w:hAnsi="Times New Roman"/>
          <w:sz w:val="24"/>
          <w:szCs w:val="24"/>
        </w:rPr>
        <w:fldChar w:fldCharType="end"/>
      </w:r>
      <w:r w:rsidRPr="00163D03">
        <w:rPr>
          <w:rFonts w:ascii="Times New Roman" w:hAnsi="Times New Roman"/>
          <w:sz w:val="24"/>
          <w:szCs w:val="24"/>
          <w:lang w:val="en-GB"/>
        </w:rPr>
        <w:tab/>
        <w:t xml:space="preserve">Option </w:t>
      </w:r>
      <w:r>
        <w:rPr>
          <w:rFonts w:ascii="Times New Roman" w:hAnsi="Times New Roman"/>
          <w:sz w:val="24"/>
          <w:szCs w:val="24"/>
          <w:lang w:val="en-GB"/>
        </w:rPr>
        <w:t xml:space="preserve">4 </w:t>
      </w:r>
      <w:r w:rsidRPr="00163D03">
        <w:rPr>
          <w:rFonts w:ascii="Times New Roman" w:hAnsi="Times New Roman"/>
          <w:sz w:val="24"/>
          <w:szCs w:val="24"/>
          <w:lang w:val="en-GB"/>
        </w:rPr>
        <w:t>has been measured against the objectives listed in paragraph 32 above.</w:t>
      </w:r>
    </w:p>
    <w:p w:rsidR="00163D03" w:rsidRDefault="00163D03" w:rsidP="007946CC">
      <w:pPr>
        <w:pStyle w:val="Bullet-list"/>
        <w:spacing w:after="0" w:line="240" w:lineRule="auto"/>
        <w:ind w:left="567" w:hanging="567"/>
        <w:jc w:val="both"/>
        <w:rPr>
          <w:rFonts w:ascii="Times New Roman" w:hAnsi="Times New Roman"/>
          <w:sz w:val="24"/>
          <w:szCs w:val="24"/>
        </w:rPr>
      </w:pPr>
    </w:p>
    <w:p w:rsidR="00865CF5" w:rsidRPr="00097CEA" w:rsidRDefault="00D36893" w:rsidP="00865CF5">
      <w:pPr>
        <w:pStyle w:val="spacer"/>
        <w:jc w:val="both"/>
        <w:rPr>
          <w:rFonts w:ascii="Times New Roman" w:hAnsi="Times New Roman"/>
          <w:b/>
          <w:i/>
          <w:sz w:val="24"/>
          <w:szCs w:val="24"/>
          <w:lang w:val="en-AU"/>
        </w:rPr>
      </w:pPr>
      <w:r>
        <w:rPr>
          <w:rFonts w:ascii="Times New Roman" w:hAnsi="Times New Roman"/>
          <w:b/>
          <w:i/>
          <w:sz w:val="24"/>
          <w:szCs w:val="24"/>
          <w:lang w:val="en-AU"/>
        </w:rPr>
        <w:t xml:space="preserve">Option (a) – </w:t>
      </w:r>
      <w:r w:rsidR="00865CF5">
        <w:rPr>
          <w:rFonts w:ascii="Times New Roman" w:hAnsi="Times New Roman"/>
          <w:b/>
          <w:i/>
          <w:sz w:val="24"/>
          <w:szCs w:val="24"/>
          <w:lang w:val="en-AU"/>
        </w:rPr>
        <w:t>Consistency with the requirements of the CRS and its accompanying documentation</w:t>
      </w:r>
    </w:p>
    <w:p w:rsidR="00865CF5" w:rsidRDefault="00865CF5" w:rsidP="00865CF5">
      <w:pPr>
        <w:pStyle w:val="spacer"/>
        <w:jc w:val="both"/>
        <w:rPr>
          <w:rFonts w:ascii="Times New Roman" w:hAnsi="Times New Roman"/>
          <w:sz w:val="24"/>
          <w:szCs w:val="24"/>
        </w:rPr>
      </w:pPr>
    </w:p>
    <w:p w:rsidR="00865CF5" w:rsidRDefault="00865CF5" w:rsidP="007946CC">
      <w:pPr>
        <w:pStyle w:val="spacer"/>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t xml:space="preserve">Under this option, </w:t>
      </w:r>
      <w:r w:rsidR="0019180F">
        <w:rPr>
          <w:rFonts w:ascii="Times New Roman" w:hAnsi="Times New Roman"/>
          <w:sz w:val="24"/>
          <w:szCs w:val="24"/>
        </w:rPr>
        <w:t xml:space="preserve">all </w:t>
      </w:r>
      <w:r>
        <w:rPr>
          <w:rFonts w:ascii="Times New Roman" w:hAnsi="Times New Roman"/>
          <w:sz w:val="24"/>
          <w:szCs w:val="24"/>
        </w:rPr>
        <w:t xml:space="preserve">design decisions would be made on the basis of </w:t>
      </w:r>
      <w:r w:rsidR="0019180F">
        <w:rPr>
          <w:rFonts w:ascii="Times New Roman" w:hAnsi="Times New Roman"/>
          <w:sz w:val="24"/>
          <w:szCs w:val="24"/>
        </w:rPr>
        <w:t>meeting CRS requirements</w:t>
      </w:r>
      <w:r w:rsidR="004E4192">
        <w:rPr>
          <w:rFonts w:ascii="Times New Roman" w:hAnsi="Times New Roman"/>
          <w:sz w:val="24"/>
          <w:szCs w:val="24"/>
        </w:rPr>
        <w:t>,</w:t>
      </w:r>
      <w:r w:rsidR="0022551A">
        <w:rPr>
          <w:rFonts w:ascii="Times New Roman" w:hAnsi="Times New Roman"/>
          <w:sz w:val="24"/>
          <w:szCs w:val="24"/>
        </w:rPr>
        <w:t xml:space="preserve"> so </w:t>
      </w:r>
      <w:r w:rsidR="00D36893">
        <w:rPr>
          <w:rFonts w:ascii="Times New Roman" w:hAnsi="Times New Roman"/>
          <w:sz w:val="24"/>
          <w:szCs w:val="24"/>
        </w:rPr>
        <w:t>this</w:t>
      </w:r>
      <w:r w:rsidR="0022551A">
        <w:rPr>
          <w:rFonts w:ascii="Times New Roman" w:hAnsi="Times New Roman"/>
          <w:sz w:val="24"/>
          <w:szCs w:val="24"/>
        </w:rPr>
        <w:t xml:space="preserve"> objective</w:t>
      </w:r>
      <w:r w:rsidR="00D36893">
        <w:rPr>
          <w:rFonts w:ascii="Times New Roman" w:hAnsi="Times New Roman"/>
          <w:sz w:val="24"/>
          <w:szCs w:val="24"/>
        </w:rPr>
        <w:t xml:space="preserve"> </w:t>
      </w:r>
      <w:r w:rsidR="004E4192">
        <w:rPr>
          <w:rFonts w:ascii="Times New Roman" w:hAnsi="Times New Roman"/>
          <w:sz w:val="24"/>
          <w:szCs w:val="24"/>
        </w:rPr>
        <w:t>would clearly be</w:t>
      </w:r>
      <w:r w:rsidR="00D36893">
        <w:rPr>
          <w:rFonts w:ascii="Times New Roman" w:hAnsi="Times New Roman"/>
          <w:sz w:val="24"/>
          <w:szCs w:val="24"/>
        </w:rPr>
        <w:t xml:space="preserve"> met</w:t>
      </w:r>
      <w:r w:rsidR="0019180F">
        <w:rPr>
          <w:rFonts w:ascii="Times New Roman" w:hAnsi="Times New Roman"/>
          <w:sz w:val="24"/>
          <w:szCs w:val="24"/>
        </w:rPr>
        <w:t>.</w:t>
      </w:r>
    </w:p>
    <w:p w:rsidR="00865CF5" w:rsidRDefault="00865CF5" w:rsidP="007946CC">
      <w:pPr>
        <w:pStyle w:val="spacer"/>
        <w:ind w:left="567" w:hanging="567"/>
        <w:jc w:val="both"/>
        <w:rPr>
          <w:rFonts w:ascii="Times New Roman" w:hAnsi="Times New Roman"/>
          <w:sz w:val="24"/>
          <w:szCs w:val="24"/>
        </w:rPr>
      </w:pPr>
    </w:p>
    <w:p w:rsidR="00865CF5" w:rsidRPr="00097CEA" w:rsidRDefault="00D36893" w:rsidP="007946CC">
      <w:pPr>
        <w:pStyle w:val="spacer"/>
        <w:ind w:left="567" w:hanging="567"/>
        <w:jc w:val="both"/>
        <w:rPr>
          <w:rFonts w:ascii="Times New Roman" w:hAnsi="Times New Roman"/>
          <w:b/>
          <w:i/>
          <w:sz w:val="24"/>
          <w:szCs w:val="24"/>
          <w:lang w:val="en-AU"/>
        </w:rPr>
      </w:pPr>
      <w:r>
        <w:rPr>
          <w:rFonts w:ascii="Times New Roman" w:hAnsi="Times New Roman"/>
          <w:b/>
          <w:i/>
          <w:sz w:val="24"/>
          <w:szCs w:val="24"/>
          <w:lang w:val="en-AU"/>
        </w:rPr>
        <w:t xml:space="preserve">Option (b) – </w:t>
      </w:r>
      <w:r w:rsidR="00865CF5" w:rsidRPr="00097CEA">
        <w:rPr>
          <w:rFonts w:ascii="Times New Roman" w:hAnsi="Times New Roman"/>
          <w:b/>
          <w:i/>
          <w:sz w:val="24"/>
          <w:szCs w:val="24"/>
          <w:lang w:val="en-AU"/>
        </w:rPr>
        <w:t xml:space="preserve">Maximise </w:t>
      </w:r>
      <w:r w:rsidR="00865CF5" w:rsidRPr="00084AC0">
        <w:rPr>
          <w:rFonts w:ascii="Times New Roman" w:hAnsi="Times New Roman"/>
          <w:b/>
          <w:i/>
          <w:sz w:val="24"/>
          <w:szCs w:val="24"/>
          <w:lang w:val="en-AU"/>
        </w:rPr>
        <w:t>the opportunity for New Zealand to derive domestic and international benefits</w:t>
      </w:r>
    </w:p>
    <w:p w:rsidR="00865CF5" w:rsidRDefault="00865CF5" w:rsidP="007946CC">
      <w:pPr>
        <w:pStyle w:val="spacer"/>
        <w:ind w:left="567" w:hanging="567"/>
        <w:jc w:val="both"/>
        <w:rPr>
          <w:rFonts w:ascii="Times New Roman" w:hAnsi="Times New Roman"/>
          <w:sz w:val="24"/>
          <w:szCs w:val="24"/>
          <w:lang w:val="en-AU"/>
        </w:rPr>
      </w:pPr>
    </w:p>
    <w:p w:rsidR="0019180F" w:rsidRDefault="0019180F" w:rsidP="007946CC">
      <w:pPr>
        <w:pStyle w:val="spacer"/>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t xml:space="preserve">The </w:t>
      </w:r>
      <w:r w:rsidR="004B4F32">
        <w:rPr>
          <w:rFonts w:ascii="Times New Roman" w:hAnsi="Times New Roman"/>
          <w:sz w:val="24"/>
          <w:szCs w:val="24"/>
        </w:rPr>
        <w:t>high cost</w:t>
      </w:r>
      <w:r>
        <w:rPr>
          <w:rFonts w:ascii="Times New Roman" w:hAnsi="Times New Roman"/>
          <w:sz w:val="24"/>
          <w:szCs w:val="24"/>
        </w:rPr>
        <w:t xml:space="preserve"> approach to implementation will have no adverse implications in terms of the benefits likely to accrue to New Zealand from AEOI implementation</w:t>
      </w:r>
      <w:r w:rsidR="00D36893">
        <w:rPr>
          <w:rFonts w:ascii="Times New Roman" w:hAnsi="Times New Roman"/>
          <w:sz w:val="24"/>
          <w:szCs w:val="24"/>
        </w:rPr>
        <w:t>.  Therefore, this objective is met</w:t>
      </w:r>
      <w:r>
        <w:rPr>
          <w:rFonts w:ascii="Times New Roman" w:hAnsi="Times New Roman"/>
          <w:sz w:val="24"/>
          <w:szCs w:val="24"/>
        </w:rPr>
        <w:t>.</w:t>
      </w:r>
    </w:p>
    <w:p w:rsidR="00865CF5" w:rsidRPr="00097CEA" w:rsidRDefault="00865CF5" w:rsidP="007946CC">
      <w:pPr>
        <w:pStyle w:val="spacer"/>
        <w:ind w:left="567" w:hanging="567"/>
        <w:jc w:val="both"/>
        <w:rPr>
          <w:rFonts w:ascii="Times New Roman" w:hAnsi="Times New Roman"/>
          <w:sz w:val="24"/>
          <w:szCs w:val="24"/>
          <w:lang w:val="en-AU"/>
        </w:rPr>
      </w:pPr>
    </w:p>
    <w:p w:rsidR="00865CF5" w:rsidRPr="00097CEA" w:rsidRDefault="00D36893" w:rsidP="007946CC">
      <w:pPr>
        <w:pStyle w:val="spacer"/>
        <w:ind w:left="567" w:hanging="567"/>
        <w:jc w:val="both"/>
        <w:rPr>
          <w:rFonts w:ascii="Times New Roman" w:hAnsi="Times New Roman"/>
          <w:b/>
          <w:i/>
          <w:sz w:val="24"/>
          <w:szCs w:val="24"/>
          <w:lang w:val="en-AU"/>
        </w:rPr>
      </w:pPr>
      <w:r>
        <w:rPr>
          <w:rFonts w:ascii="Times New Roman" w:hAnsi="Times New Roman"/>
          <w:b/>
          <w:i/>
          <w:sz w:val="24"/>
          <w:szCs w:val="24"/>
          <w:lang w:val="en-AU"/>
        </w:rPr>
        <w:t xml:space="preserve">Option (c) – </w:t>
      </w:r>
      <w:r w:rsidR="00865CF5" w:rsidRPr="00097CEA">
        <w:rPr>
          <w:rFonts w:ascii="Times New Roman" w:hAnsi="Times New Roman"/>
          <w:b/>
          <w:i/>
          <w:sz w:val="24"/>
          <w:szCs w:val="24"/>
          <w:lang w:val="en-AU"/>
        </w:rPr>
        <w:t>Minimise</w:t>
      </w:r>
      <w:r w:rsidR="00865CF5">
        <w:rPr>
          <w:rFonts w:ascii="Times New Roman" w:hAnsi="Times New Roman"/>
          <w:b/>
          <w:i/>
          <w:sz w:val="24"/>
          <w:szCs w:val="24"/>
          <w:lang w:val="en-AU"/>
        </w:rPr>
        <w:t xml:space="preserve"> the</w:t>
      </w:r>
      <w:r w:rsidR="00865CF5" w:rsidRPr="00097CEA">
        <w:rPr>
          <w:rFonts w:ascii="Times New Roman" w:hAnsi="Times New Roman"/>
          <w:b/>
          <w:i/>
          <w:sz w:val="24"/>
          <w:szCs w:val="24"/>
          <w:lang w:val="en-AU"/>
        </w:rPr>
        <w:t xml:space="preserve"> compliance costs</w:t>
      </w:r>
      <w:r w:rsidR="00865CF5">
        <w:rPr>
          <w:rFonts w:ascii="Times New Roman" w:hAnsi="Times New Roman"/>
          <w:b/>
          <w:i/>
          <w:sz w:val="24"/>
          <w:szCs w:val="24"/>
          <w:lang w:val="en-AU"/>
        </w:rPr>
        <w:t xml:space="preserve"> to be imposed on financial institutions</w:t>
      </w:r>
    </w:p>
    <w:p w:rsidR="00865CF5" w:rsidRPr="00097CEA" w:rsidRDefault="00865CF5" w:rsidP="007946CC">
      <w:pPr>
        <w:pStyle w:val="spacer"/>
        <w:ind w:left="567" w:hanging="567"/>
        <w:jc w:val="both"/>
        <w:rPr>
          <w:rFonts w:ascii="Times New Roman" w:hAnsi="Times New Roman"/>
          <w:sz w:val="24"/>
          <w:szCs w:val="24"/>
          <w:lang w:val="en-AU"/>
        </w:rPr>
      </w:pPr>
    </w:p>
    <w:p w:rsidR="00865CF5" w:rsidRPr="00097CEA" w:rsidRDefault="00865CF5" w:rsidP="007946CC">
      <w:pPr>
        <w:pStyle w:val="spacer"/>
        <w:ind w:left="567" w:hanging="567"/>
        <w:jc w:val="both"/>
        <w:rPr>
          <w:rFonts w:ascii="Times New Roman" w:hAnsi="Times New Roman"/>
          <w:sz w:val="24"/>
          <w:szCs w:val="24"/>
          <w:lang w:val="en-AU"/>
        </w:rPr>
      </w:pPr>
      <w:r>
        <w:rPr>
          <w:rFonts w:ascii="Times New Roman" w:hAnsi="Times New Roman"/>
          <w:sz w:val="24"/>
          <w:szCs w:val="24"/>
          <w:lang w:val="en-AU"/>
        </w:rPr>
        <w:fldChar w:fldCharType="begin"/>
      </w:r>
      <w:r>
        <w:rPr>
          <w:rFonts w:ascii="Times New Roman" w:hAnsi="Times New Roman"/>
          <w:sz w:val="24"/>
          <w:szCs w:val="24"/>
          <w:lang w:val="en-AU"/>
        </w:rPr>
        <w:instrText xml:space="preserve"> AUTONUM  \* Arabic  </w:instrText>
      </w:r>
      <w:r>
        <w:rPr>
          <w:rFonts w:ascii="Times New Roman" w:hAnsi="Times New Roman"/>
          <w:sz w:val="24"/>
          <w:szCs w:val="24"/>
          <w:lang w:val="en-AU"/>
        </w:rPr>
        <w:fldChar w:fldCharType="end"/>
      </w:r>
      <w:r>
        <w:rPr>
          <w:rFonts w:ascii="Times New Roman" w:hAnsi="Times New Roman"/>
          <w:sz w:val="24"/>
          <w:szCs w:val="24"/>
          <w:lang w:val="en-AU"/>
        </w:rPr>
        <w:tab/>
      </w:r>
      <w:r>
        <w:rPr>
          <w:rFonts w:ascii="Times New Roman" w:hAnsi="Times New Roman"/>
          <w:sz w:val="24"/>
          <w:szCs w:val="24"/>
        </w:rPr>
        <w:t xml:space="preserve">The </w:t>
      </w:r>
      <w:r w:rsidR="004B4F32">
        <w:rPr>
          <w:rFonts w:ascii="Times New Roman" w:hAnsi="Times New Roman"/>
          <w:sz w:val="24"/>
          <w:szCs w:val="24"/>
        </w:rPr>
        <w:t>high cost</w:t>
      </w:r>
      <w:r>
        <w:rPr>
          <w:rFonts w:ascii="Times New Roman" w:hAnsi="Times New Roman"/>
          <w:sz w:val="24"/>
          <w:szCs w:val="24"/>
        </w:rPr>
        <w:t xml:space="preserve"> approach to implementation would </w:t>
      </w:r>
      <w:r w:rsidR="0019180F">
        <w:rPr>
          <w:rFonts w:ascii="Times New Roman" w:hAnsi="Times New Roman"/>
          <w:sz w:val="24"/>
          <w:szCs w:val="24"/>
        </w:rPr>
        <w:t>not</w:t>
      </w:r>
      <w:r>
        <w:rPr>
          <w:rFonts w:ascii="Times New Roman" w:hAnsi="Times New Roman"/>
          <w:sz w:val="24"/>
          <w:szCs w:val="24"/>
        </w:rPr>
        <w:t xml:space="preserve"> attempt to minimise </w:t>
      </w:r>
      <w:r w:rsidR="0019180F">
        <w:rPr>
          <w:rFonts w:ascii="Times New Roman" w:hAnsi="Times New Roman"/>
          <w:sz w:val="24"/>
          <w:szCs w:val="24"/>
        </w:rPr>
        <w:t xml:space="preserve">the </w:t>
      </w:r>
      <w:r>
        <w:rPr>
          <w:rFonts w:ascii="Times New Roman" w:hAnsi="Times New Roman"/>
          <w:sz w:val="24"/>
          <w:szCs w:val="24"/>
        </w:rPr>
        <w:t>compliance costs</w:t>
      </w:r>
      <w:r w:rsidR="0019180F">
        <w:rPr>
          <w:rFonts w:ascii="Times New Roman" w:hAnsi="Times New Roman"/>
          <w:sz w:val="24"/>
          <w:szCs w:val="24"/>
        </w:rPr>
        <w:t xml:space="preserve"> to be imposed on financial institutions</w:t>
      </w:r>
      <w:r w:rsidR="0022551A">
        <w:rPr>
          <w:rFonts w:ascii="Times New Roman" w:hAnsi="Times New Roman"/>
          <w:sz w:val="24"/>
          <w:szCs w:val="24"/>
        </w:rPr>
        <w:t xml:space="preserve"> so </w:t>
      </w:r>
      <w:r w:rsidR="00D36893">
        <w:rPr>
          <w:rFonts w:ascii="Times New Roman" w:hAnsi="Times New Roman"/>
          <w:sz w:val="24"/>
          <w:szCs w:val="24"/>
        </w:rPr>
        <w:t xml:space="preserve">this </w:t>
      </w:r>
      <w:r w:rsidR="0022551A">
        <w:rPr>
          <w:rFonts w:ascii="Times New Roman" w:hAnsi="Times New Roman"/>
          <w:sz w:val="24"/>
          <w:szCs w:val="24"/>
        </w:rPr>
        <w:t>objective</w:t>
      </w:r>
      <w:r w:rsidR="00D36893">
        <w:rPr>
          <w:rFonts w:ascii="Times New Roman" w:hAnsi="Times New Roman"/>
          <w:sz w:val="24"/>
          <w:szCs w:val="24"/>
        </w:rPr>
        <w:t xml:space="preserve"> is not met</w:t>
      </w:r>
      <w:r>
        <w:rPr>
          <w:rFonts w:ascii="Times New Roman" w:hAnsi="Times New Roman"/>
          <w:sz w:val="24"/>
          <w:szCs w:val="24"/>
          <w:lang w:val="en-AU"/>
        </w:rPr>
        <w:t>.</w:t>
      </w:r>
    </w:p>
    <w:p w:rsidR="00865CF5" w:rsidRPr="00097CEA" w:rsidRDefault="00865CF5" w:rsidP="007946CC">
      <w:pPr>
        <w:pStyle w:val="spacer"/>
        <w:ind w:left="567" w:hanging="567"/>
        <w:jc w:val="both"/>
        <w:rPr>
          <w:rFonts w:ascii="Times New Roman" w:hAnsi="Times New Roman"/>
          <w:sz w:val="24"/>
          <w:szCs w:val="24"/>
          <w:lang w:val="en-AU"/>
        </w:rPr>
      </w:pPr>
    </w:p>
    <w:p w:rsidR="00865CF5" w:rsidRPr="00097CEA" w:rsidRDefault="00D36893" w:rsidP="007946CC">
      <w:pPr>
        <w:pStyle w:val="spacer"/>
        <w:ind w:left="567" w:hanging="567"/>
        <w:jc w:val="both"/>
        <w:rPr>
          <w:rFonts w:ascii="Times New Roman" w:hAnsi="Times New Roman"/>
          <w:b/>
          <w:i/>
          <w:sz w:val="24"/>
          <w:szCs w:val="24"/>
          <w:lang w:val="en-AU"/>
        </w:rPr>
      </w:pPr>
      <w:r>
        <w:rPr>
          <w:rFonts w:ascii="Times New Roman" w:hAnsi="Times New Roman"/>
          <w:b/>
          <w:i/>
          <w:sz w:val="24"/>
          <w:szCs w:val="24"/>
          <w:lang w:val="en-AU"/>
        </w:rPr>
        <w:t xml:space="preserve">Option (d) – </w:t>
      </w:r>
      <w:r w:rsidR="00865CF5" w:rsidRPr="00097CEA">
        <w:rPr>
          <w:rFonts w:ascii="Times New Roman" w:hAnsi="Times New Roman"/>
          <w:b/>
          <w:i/>
          <w:sz w:val="24"/>
          <w:szCs w:val="24"/>
          <w:lang w:val="en-AU"/>
        </w:rPr>
        <w:t xml:space="preserve">Minimise </w:t>
      </w:r>
      <w:r w:rsidR="00865CF5">
        <w:rPr>
          <w:rFonts w:ascii="Times New Roman" w:hAnsi="Times New Roman"/>
          <w:b/>
          <w:i/>
          <w:sz w:val="24"/>
          <w:szCs w:val="24"/>
          <w:lang w:val="en-AU"/>
        </w:rPr>
        <w:t xml:space="preserve">the </w:t>
      </w:r>
      <w:r w:rsidR="00865CF5" w:rsidRPr="00097CEA">
        <w:rPr>
          <w:rFonts w:ascii="Times New Roman" w:hAnsi="Times New Roman"/>
          <w:b/>
          <w:i/>
          <w:sz w:val="24"/>
          <w:szCs w:val="24"/>
          <w:lang w:val="en-AU"/>
        </w:rPr>
        <w:t>administrative costs</w:t>
      </w:r>
      <w:r w:rsidR="00865CF5">
        <w:rPr>
          <w:rFonts w:ascii="Times New Roman" w:hAnsi="Times New Roman"/>
          <w:b/>
          <w:i/>
          <w:sz w:val="24"/>
          <w:szCs w:val="24"/>
          <w:lang w:val="en-AU"/>
        </w:rPr>
        <w:t xml:space="preserve"> to be imposed on Inland Revenue</w:t>
      </w:r>
    </w:p>
    <w:p w:rsidR="00865CF5" w:rsidRPr="00097CEA" w:rsidRDefault="00865CF5" w:rsidP="007946CC">
      <w:pPr>
        <w:pStyle w:val="spacer"/>
        <w:ind w:left="567" w:hanging="567"/>
        <w:jc w:val="both"/>
        <w:rPr>
          <w:rFonts w:ascii="Times New Roman" w:hAnsi="Times New Roman"/>
          <w:sz w:val="24"/>
          <w:szCs w:val="24"/>
          <w:lang w:val="en-AU"/>
        </w:rPr>
      </w:pPr>
    </w:p>
    <w:p w:rsidR="00865CF5" w:rsidRDefault="00865CF5" w:rsidP="007946CC">
      <w:pPr>
        <w:pStyle w:val="spacer"/>
        <w:ind w:left="567" w:hanging="567"/>
        <w:jc w:val="both"/>
        <w:rPr>
          <w:rFonts w:ascii="Times New Roman" w:hAnsi="Times New Roman"/>
          <w:sz w:val="24"/>
          <w:szCs w:val="24"/>
          <w:lang w:val="en-AU"/>
        </w:rPr>
      </w:pPr>
      <w:r>
        <w:rPr>
          <w:rFonts w:ascii="Times New Roman" w:hAnsi="Times New Roman"/>
          <w:sz w:val="24"/>
          <w:szCs w:val="24"/>
          <w:lang w:val="en-AU"/>
        </w:rPr>
        <w:fldChar w:fldCharType="begin"/>
      </w:r>
      <w:r>
        <w:rPr>
          <w:rFonts w:ascii="Times New Roman" w:hAnsi="Times New Roman"/>
          <w:sz w:val="24"/>
          <w:szCs w:val="24"/>
          <w:lang w:val="en-AU"/>
        </w:rPr>
        <w:instrText xml:space="preserve"> AUTONUM  \* Arabic  </w:instrText>
      </w:r>
      <w:r>
        <w:rPr>
          <w:rFonts w:ascii="Times New Roman" w:hAnsi="Times New Roman"/>
          <w:sz w:val="24"/>
          <w:szCs w:val="24"/>
          <w:lang w:val="en-AU"/>
        </w:rPr>
        <w:fldChar w:fldCharType="end"/>
      </w:r>
      <w:r>
        <w:rPr>
          <w:rFonts w:ascii="Times New Roman" w:hAnsi="Times New Roman"/>
          <w:sz w:val="24"/>
          <w:szCs w:val="24"/>
          <w:lang w:val="en-AU"/>
        </w:rPr>
        <w:tab/>
      </w:r>
      <w:r>
        <w:rPr>
          <w:rFonts w:ascii="Times New Roman" w:hAnsi="Times New Roman"/>
          <w:sz w:val="24"/>
          <w:szCs w:val="24"/>
        </w:rPr>
        <w:t>The</w:t>
      </w:r>
      <w:r w:rsidR="004B4F32">
        <w:rPr>
          <w:rFonts w:ascii="Times New Roman" w:hAnsi="Times New Roman"/>
          <w:sz w:val="24"/>
          <w:szCs w:val="24"/>
        </w:rPr>
        <w:t xml:space="preserve"> high cost</w:t>
      </w:r>
      <w:r>
        <w:rPr>
          <w:rFonts w:ascii="Times New Roman" w:hAnsi="Times New Roman"/>
          <w:sz w:val="24"/>
          <w:szCs w:val="24"/>
        </w:rPr>
        <w:t xml:space="preserve"> approach to implementation would </w:t>
      </w:r>
      <w:r w:rsidR="0019180F">
        <w:rPr>
          <w:rFonts w:ascii="Times New Roman" w:hAnsi="Times New Roman"/>
          <w:sz w:val="24"/>
          <w:szCs w:val="24"/>
        </w:rPr>
        <w:t>not</w:t>
      </w:r>
      <w:r>
        <w:rPr>
          <w:rFonts w:ascii="Times New Roman" w:hAnsi="Times New Roman"/>
          <w:sz w:val="24"/>
          <w:szCs w:val="24"/>
        </w:rPr>
        <w:t xml:space="preserve"> attempt to minimise </w:t>
      </w:r>
      <w:r w:rsidR="0019180F">
        <w:rPr>
          <w:rFonts w:ascii="Times New Roman" w:hAnsi="Times New Roman"/>
          <w:sz w:val="24"/>
          <w:szCs w:val="24"/>
        </w:rPr>
        <w:t>the administrative</w:t>
      </w:r>
      <w:r>
        <w:rPr>
          <w:rFonts w:ascii="Times New Roman" w:hAnsi="Times New Roman"/>
          <w:sz w:val="24"/>
          <w:szCs w:val="24"/>
        </w:rPr>
        <w:t xml:space="preserve"> costs </w:t>
      </w:r>
      <w:r w:rsidR="0019180F">
        <w:rPr>
          <w:rFonts w:ascii="Times New Roman" w:hAnsi="Times New Roman"/>
          <w:sz w:val="24"/>
          <w:szCs w:val="24"/>
        </w:rPr>
        <w:t>to be imposed on financial institutions</w:t>
      </w:r>
      <w:r w:rsidR="0022551A">
        <w:rPr>
          <w:rFonts w:ascii="Times New Roman" w:hAnsi="Times New Roman"/>
          <w:sz w:val="24"/>
          <w:szCs w:val="24"/>
        </w:rPr>
        <w:t xml:space="preserve"> so </w:t>
      </w:r>
      <w:r w:rsidR="00D36893">
        <w:rPr>
          <w:rFonts w:ascii="Times New Roman" w:hAnsi="Times New Roman"/>
          <w:sz w:val="24"/>
          <w:szCs w:val="24"/>
        </w:rPr>
        <w:t>this</w:t>
      </w:r>
      <w:r w:rsidR="0022551A">
        <w:rPr>
          <w:rFonts w:ascii="Times New Roman" w:hAnsi="Times New Roman"/>
          <w:sz w:val="24"/>
          <w:szCs w:val="24"/>
        </w:rPr>
        <w:t xml:space="preserve"> objective</w:t>
      </w:r>
      <w:r w:rsidR="00D36893">
        <w:rPr>
          <w:rFonts w:ascii="Times New Roman" w:hAnsi="Times New Roman"/>
          <w:sz w:val="24"/>
          <w:szCs w:val="24"/>
          <w:lang w:val="en-AU"/>
        </w:rPr>
        <w:t xml:space="preserve"> is not met.</w:t>
      </w:r>
    </w:p>
    <w:p w:rsidR="00E66C57" w:rsidRDefault="00E66C57" w:rsidP="007946CC">
      <w:pPr>
        <w:pStyle w:val="spacer"/>
        <w:ind w:left="567" w:hanging="567"/>
        <w:jc w:val="both"/>
        <w:rPr>
          <w:rFonts w:ascii="Times New Roman" w:hAnsi="Times New Roman"/>
          <w:sz w:val="24"/>
          <w:szCs w:val="24"/>
          <w:lang w:val="en-AU"/>
        </w:rPr>
      </w:pPr>
    </w:p>
    <w:p w:rsidR="00E66C57" w:rsidRDefault="00E66C57" w:rsidP="007946CC">
      <w:pPr>
        <w:pStyle w:val="spacer"/>
        <w:ind w:left="567" w:hanging="567"/>
        <w:jc w:val="both"/>
        <w:rPr>
          <w:rFonts w:ascii="Times New Roman" w:hAnsi="Times New Roman"/>
          <w:sz w:val="24"/>
          <w:szCs w:val="24"/>
          <w:lang w:val="en-AU"/>
        </w:rPr>
      </w:pPr>
    </w:p>
    <w:p w:rsidR="00D36893" w:rsidRPr="00F65FFA" w:rsidRDefault="00D36893" w:rsidP="007946CC">
      <w:pPr>
        <w:pStyle w:val="spacer"/>
        <w:ind w:left="567" w:hanging="567"/>
        <w:jc w:val="both"/>
        <w:rPr>
          <w:lang w:val="en-AU"/>
        </w:rPr>
      </w:pPr>
      <w:r w:rsidRPr="00F65FFA">
        <w:rPr>
          <w:rFonts w:ascii="Times New Roman" w:hAnsi="Times New Roman"/>
          <w:b/>
          <w:sz w:val="24"/>
          <w:szCs w:val="24"/>
          <w:lang w:val="en-AU"/>
        </w:rPr>
        <w:t>Administrative impacts</w:t>
      </w:r>
    </w:p>
    <w:p w:rsidR="00E66C57" w:rsidRDefault="00E66C57" w:rsidP="007946CC">
      <w:pPr>
        <w:pStyle w:val="Bullet-list"/>
        <w:spacing w:after="0" w:line="240" w:lineRule="auto"/>
        <w:ind w:left="567" w:hanging="567"/>
        <w:jc w:val="both"/>
        <w:rPr>
          <w:rFonts w:ascii="Times New Roman" w:hAnsi="Times New Roman"/>
          <w:sz w:val="24"/>
          <w:szCs w:val="24"/>
        </w:rPr>
      </w:pPr>
    </w:p>
    <w:p w:rsidR="00D36893" w:rsidRDefault="003946E7" w:rsidP="007946CC">
      <w:pPr>
        <w:pStyle w:val="Bullet-list"/>
        <w:spacing w:after="0" w:line="240" w:lineRule="auto"/>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t xml:space="preserve">In order to implement AEOI, a secure technology platform capable of receiving, storing and aggregating information from financial institutions in accordance with the </w:t>
      </w:r>
      <w:r w:rsidR="00163D03">
        <w:rPr>
          <w:rFonts w:ascii="Times New Roman" w:hAnsi="Times New Roman"/>
          <w:sz w:val="24"/>
          <w:szCs w:val="24"/>
        </w:rPr>
        <w:t xml:space="preserve">CRS </w:t>
      </w:r>
      <w:r>
        <w:rPr>
          <w:rFonts w:ascii="Times New Roman" w:hAnsi="Times New Roman"/>
          <w:sz w:val="24"/>
          <w:szCs w:val="24"/>
        </w:rPr>
        <w:t>and exchanging it with other tax authorities is needed.  Additionally, guidance and support must be provided to financial institutions to enable them to meet their obligations in full.  Inland Revenue will also be responsible for the effective enforcement of AEOI.</w:t>
      </w:r>
    </w:p>
    <w:p w:rsidR="00E66C57" w:rsidRDefault="00E66C57" w:rsidP="007946CC">
      <w:pPr>
        <w:pStyle w:val="Bullet-list"/>
        <w:spacing w:after="0" w:line="240" w:lineRule="auto"/>
        <w:ind w:left="567" w:hanging="567"/>
        <w:jc w:val="both"/>
        <w:rPr>
          <w:rFonts w:ascii="Times New Roman" w:hAnsi="Times New Roman"/>
          <w:sz w:val="24"/>
          <w:szCs w:val="24"/>
        </w:rPr>
      </w:pPr>
    </w:p>
    <w:p w:rsidR="00E66C57" w:rsidRPr="00D36893" w:rsidRDefault="00E66C57" w:rsidP="007946CC">
      <w:pPr>
        <w:pStyle w:val="Bullet-list"/>
        <w:spacing w:after="0" w:line="240" w:lineRule="auto"/>
        <w:ind w:left="567" w:hanging="567"/>
        <w:jc w:val="both"/>
        <w:rPr>
          <w:rFonts w:ascii="Times New Roman" w:hAnsi="Times New Roman"/>
          <w:sz w:val="24"/>
          <w:szCs w:val="24"/>
        </w:rPr>
      </w:pPr>
    </w:p>
    <w:p w:rsidR="00C1094F" w:rsidRPr="00F65FFA" w:rsidRDefault="00D36893" w:rsidP="007946CC">
      <w:pPr>
        <w:pStyle w:val="spacer"/>
        <w:ind w:left="567" w:hanging="567"/>
        <w:jc w:val="both"/>
        <w:rPr>
          <w:lang w:val="en-AU"/>
        </w:rPr>
      </w:pPr>
      <w:r w:rsidRPr="00F65FFA">
        <w:rPr>
          <w:rFonts w:ascii="Times New Roman" w:hAnsi="Times New Roman"/>
          <w:b/>
          <w:sz w:val="24"/>
          <w:szCs w:val="24"/>
          <w:lang w:val="en-AU"/>
        </w:rPr>
        <w:t>Social, environment or cultural impacts</w:t>
      </w:r>
    </w:p>
    <w:p w:rsidR="00E66C57" w:rsidRDefault="00E66C57" w:rsidP="007946CC">
      <w:pPr>
        <w:pStyle w:val="spacer"/>
        <w:ind w:left="567" w:hanging="567"/>
        <w:jc w:val="both"/>
        <w:rPr>
          <w:rFonts w:ascii="Times New Roman" w:hAnsi="Times New Roman"/>
          <w:sz w:val="24"/>
          <w:szCs w:val="24"/>
          <w:lang w:val="en-AU"/>
        </w:rPr>
      </w:pPr>
    </w:p>
    <w:p w:rsidR="00C1094F" w:rsidRDefault="00C1094F" w:rsidP="007946CC">
      <w:pPr>
        <w:pStyle w:val="spacer"/>
        <w:ind w:left="567" w:hanging="567"/>
        <w:jc w:val="both"/>
        <w:rPr>
          <w:rFonts w:ascii="Times New Roman" w:hAnsi="Times New Roman"/>
          <w:sz w:val="24"/>
          <w:szCs w:val="24"/>
          <w:lang w:val="en-AU"/>
        </w:rPr>
      </w:pPr>
      <w:r>
        <w:rPr>
          <w:rFonts w:ascii="Times New Roman" w:hAnsi="Times New Roman"/>
          <w:sz w:val="24"/>
          <w:szCs w:val="24"/>
          <w:lang w:val="en-AU"/>
        </w:rPr>
        <w:fldChar w:fldCharType="begin"/>
      </w:r>
      <w:r>
        <w:rPr>
          <w:rFonts w:ascii="Times New Roman" w:hAnsi="Times New Roman"/>
          <w:sz w:val="24"/>
          <w:szCs w:val="24"/>
          <w:lang w:val="en-AU"/>
        </w:rPr>
        <w:instrText xml:space="preserve"> AUTONUM  \* Arabic  </w:instrText>
      </w:r>
      <w:r>
        <w:rPr>
          <w:rFonts w:ascii="Times New Roman" w:hAnsi="Times New Roman"/>
          <w:sz w:val="24"/>
          <w:szCs w:val="24"/>
          <w:lang w:val="en-AU"/>
        </w:rPr>
        <w:fldChar w:fldCharType="end"/>
      </w:r>
      <w:r>
        <w:rPr>
          <w:rFonts w:ascii="Times New Roman" w:hAnsi="Times New Roman"/>
          <w:sz w:val="24"/>
          <w:szCs w:val="24"/>
          <w:lang w:val="en-AU"/>
        </w:rPr>
        <w:tab/>
      </w:r>
      <w:r w:rsidR="006D1500">
        <w:rPr>
          <w:rFonts w:ascii="Times New Roman" w:hAnsi="Times New Roman"/>
          <w:sz w:val="24"/>
          <w:szCs w:val="24"/>
          <w:lang w:val="en-AU"/>
        </w:rPr>
        <w:t xml:space="preserve">There will be no </w:t>
      </w:r>
      <w:r w:rsidR="00180AFC">
        <w:rPr>
          <w:rFonts w:ascii="Times New Roman" w:hAnsi="Times New Roman"/>
          <w:sz w:val="24"/>
          <w:szCs w:val="24"/>
          <w:lang w:val="en-AU"/>
        </w:rPr>
        <w:t xml:space="preserve">negative </w:t>
      </w:r>
      <w:r>
        <w:rPr>
          <w:rFonts w:ascii="Times New Roman" w:hAnsi="Times New Roman"/>
          <w:sz w:val="24"/>
          <w:szCs w:val="24"/>
          <w:lang w:val="en-AU"/>
        </w:rPr>
        <w:t>social</w:t>
      </w:r>
      <w:r w:rsidR="006D1500">
        <w:rPr>
          <w:rFonts w:ascii="Times New Roman" w:hAnsi="Times New Roman"/>
          <w:sz w:val="24"/>
          <w:szCs w:val="24"/>
          <w:lang w:val="en-AU"/>
        </w:rPr>
        <w:t>,</w:t>
      </w:r>
      <w:r>
        <w:rPr>
          <w:rFonts w:ascii="Times New Roman" w:hAnsi="Times New Roman"/>
          <w:sz w:val="24"/>
          <w:szCs w:val="24"/>
          <w:lang w:val="en-AU"/>
        </w:rPr>
        <w:t xml:space="preserve"> environmental </w:t>
      </w:r>
      <w:r w:rsidR="006D1500">
        <w:rPr>
          <w:rFonts w:ascii="Times New Roman" w:hAnsi="Times New Roman"/>
          <w:sz w:val="24"/>
          <w:szCs w:val="24"/>
          <w:lang w:val="en-AU"/>
        </w:rPr>
        <w:t xml:space="preserve">or cultural </w:t>
      </w:r>
      <w:r>
        <w:rPr>
          <w:rFonts w:ascii="Times New Roman" w:hAnsi="Times New Roman"/>
          <w:sz w:val="24"/>
          <w:szCs w:val="24"/>
          <w:lang w:val="en-AU"/>
        </w:rPr>
        <w:t xml:space="preserve">impacts associated with </w:t>
      </w:r>
      <w:r w:rsidR="00180AFC">
        <w:rPr>
          <w:rFonts w:ascii="Times New Roman" w:hAnsi="Times New Roman"/>
          <w:sz w:val="24"/>
          <w:szCs w:val="24"/>
          <w:lang w:val="en-AU"/>
        </w:rPr>
        <w:t>any of the options identified above</w:t>
      </w:r>
      <w:r>
        <w:rPr>
          <w:rFonts w:ascii="Times New Roman" w:hAnsi="Times New Roman"/>
          <w:sz w:val="24"/>
          <w:szCs w:val="24"/>
          <w:lang w:val="en-AU"/>
        </w:rPr>
        <w:t>.</w:t>
      </w:r>
    </w:p>
    <w:p w:rsidR="00E66C57" w:rsidRDefault="00E66C57" w:rsidP="007946CC">
      <w:pPr>
        <w:pStyle w:val="spacer"/>
        <w:ind w:left="567" w:hanging="567"/>
        <w:jc w:val="both"/>
        <w:rPr>
          <w:rFonts w:ascii="Times New Roman" w:hAnsi="Times New Roman"/>
          <w:sz w:val="24"/>
          <w:szCs w:val="24"/>
          <w:lang w:val="en-AU"/>
        </w:rPr>
      </w:pPr>
    </w:p>
    <w:p w:rsidR="00E66C57" w:rsidRDefault="00E66C57" w:rsidP="007946CC">
      <w:pPr>
        <w:pStyle w:val="spacer"/>
        <w:ind w:left="567" w:hanging="567"/>
        <w:jc w:val="both"/>
        <w:rPr>
          <w:rFonts w:ascii="Times New Roman" w:hAnsi="Times New Roman"/>
          <w:sz w:val="24"/>
          <w:szCs w:val="24"/>
          <w:lang w:val="en-AU"/>
        </w:rPr>
      </w:pPr>
    </w:p>
    <w:p w:rsidR="000545DC" w:rsidRPr="00F65FFA" w:rsidRDefault="00D943DD" w:rsidP="007946CC">
      <w:pPr>
        <w:pStyle w:val="spacer"/>
        <w:ind w:left="567" w:hanging="567"/>
        <w:jc w:val="both"/>
        <w:rPr>
          <w:lang w:val="en-AU"/>
        </w:rPr>
      </w:pPr>
      <w:r w:rsidRPr="00F65FFA">
        <w:rPr>
          <w:rFonts w:ascii="Times New Roman" w:hAnsi="Times New Roman"/>
          <w:b/>
          <w:sz w:val="24"/>
          <w:szCs w:val="24"/>
          <w:lang w:val="en-AU"/>
        </w:rPr>
        <w:t>CONSULTATION</w:t>
      </w:r>
      <w:bookmarkEnd w:id="23"/>
      <w:bookmarkEnd w:id="24"/>
      <w:bookmarkEnd w:id="25"/>
      <w:bookmarkEnd w:id="26"/>
      <w:bookmarkEnd w:id="27"/>
    </w:p>
    <w:p w:rsidR="003946E7" w:rsidRDefault="003946E7" w:rsidP="007946CC">
      <w:pPr>
        <w:pStyle w:val="spacer"/>
        <w:ind w:left="567" w:hanging="567"/>
        <w:jc w:val="both"/>
        <w:rPr>
          <w:rFonts w:ascii="Times New Roman" w:hAnsi="Times New Roman"/>
          <w:sz w:val="24"/>
          <w:szCs w:val="24"/>
        </w:rPr>
      </w:pPr>
      <w:bookmarkStart w:id="29" w:name="_Toc244580367"/>
      <w:bookmarkStart w:id="30" w:name="_Toc244587043"/>
      <w:bookmarkStart w:id="31" w:name="_Toc244857277"/>
      <w:bookmarkStart w:id="32" w:name="_Toc244912542"/>
      <w:bookmarkStart w:id="33" w:name="_Toc244916999"/>
    </w:p>
    <w:p w:rsidR="003946E7" w:rsidRDefault="003946E7" w:rsidP="007946CC">
      <w:pPr>
        <w:pStyle w:val="spacer"/>
        <w:ind w:left="567" w:hanging="567"/>
        <w:jc w:val="both"/>
        <w:rPr>
          <w:rFonts w:ascii="Times New Roman" w:hAnsi="Times New Roman"/>
          <w:sz w:val="24"/>
          <w:szCs w:val="24"/>
        </w:rPr>
      </w:pPr>
      <w:r w:rsidRPr="003A2C94">
        <w:rPr>
          <w:rFonts w:ascii="Times New Roman" w:hAnsi="Times New Roman"/>
          <w:sz w:val="24"/>
          <w:szCs w:val="24"/>
          <w:lang w:val="en-AU"/>
        </w:rPr>
        <w:fldChar w:fldCharType="begin"/>
      </w:r>
      <w:r w:rsidRPr="003A2C94">
        <w:rPr>
          <w:rFonts w:ascii="Times New Roman" w:hAnsi="Times New Roman"/>
          <w:sz w:val="24"/>
          <w:szCs w:val="24"/>
          <w:lang w:val="en-AU"/>
        </w:rPr>
        <w:instrText xml:space="preserve"> AUTONUM  \* Arabic  </w:instrText>
      </w:r>
      <w:r w:rsidRPr="003A2C94">
        <w:rPr>
          <w:rFonts w:ascii="Times New Roman" w:hAnsi="Times New Roman"/>
          <w:sz w:val="24"/>
          <w:szCs w:val="24"/>
          <w:lang w:val="en-AU"/>
        </w:rPr>
        <w:fldChar w:fldCharType="end"/>
      </w:r>
      <w:r w:rsidRPr="003A2C94">
        <w:rPr>
          <w:rFonts w:ascii="Times New Roman" w:hAnsi="Times New Roman"/>
          <w:sz w:val="24"/>
          <w:szCs w:val="24"/>
          <w:lang w:val="en-AU"/>
        </w:rPr>
        <w:tab/>
      </w:r>
      <w:r>
        <w:rPr>
          <w:rFonts w:ascii="Times New Roman" w:hAnsi="Times New Roman"/>
          <w:sz w:val="24"/>
          <w:szCs w:val="24"/>
          <w:lang w:val="en-AU"/>
        </w:rPr>
        <w:t xml:space="preserve">Several rounds of </w:t>
      </w:r>
      <w:r w:rsidRPr="003A2C94">
        <w:rPr>
          <w:rFonts w:ascii="Times New Roman" w:hAnsi="Times New Roman"/>
          <w:sz w:val="24"/>
          <w:szCs w:val="24"/>
          <w:lang w:val="en-AU"/>
        </w:rPr>
        <w:t xml:space="preserve">consultation </w:t>
      </w:r>
      <w:r>
        <w:rPr>
          <w:rFonts w:ascii="Times New Roman" w:hAnsi="Times New Roman"/>
          <w:sz w:val="24"/>
          <w:szCs w:val="24"/>
          <w:lang w:val="en-AU"/>
        </w:rPr>
        <w:t xml:space="preserve">were undertaken with affected parties including </w:t>
      </w:r>
      <w:r w:rsidRPr="003A2C94">
        <w:rPr>
          <w:rFonts w:ascii="Times New Roman" w:hAnsi="Times New Roman"/>
          <w:sz w:val="24"/>
          <w:szCs w:val="24"/>
          <w:lang w:val="en-AU"/>
        </w:rPr>
        <w:t xml:space="preserve">financial institutions </w:t>
      </w:r>
      <w:r w:rsidRPr="00D106A8">
        <w:rPr>
          <w:rFonts w:ascii="Times New Roman" w:hAnsi="Times New Roman"/>
          <w:sz w:val="24"/>
          <w:szCs w:val="24"/>
          <w:lang w:val="en-AU"/>
        </w:rPr>
        <w:t>and their representative bodies</w:t>
      </w:r>
      <w:r>
        <w:rPr>
          <w:rFonts w:ascii="Times New Roman" w:hAnsi="Times New Roman"/>
          <w:sz w:val="24"/>
          <w:szCs w:val="24"/>
          <w:lang w:val="en-AU"/>
        </w:rPr>
        <w:t xml:space="preserve">, the umbrella groups such as </w:t>
      </w:r>
      <w:r w:rsidRPr="003A2C94">
        <w:rPr>
          <w:rFonts w:ascii="Times New Roman" w:hAnsi="Times New Roman"/>
          <w:sz w:val="24"/>
          <w:szCs w:val="24"/>
          <w:lang w:val="en-AU"/>
        </w:rPr>
        <w:t xml:space="preserve">the New Zealand Law Society and Chartered Accountants of Australia and New Zealand </w:t>
      </w:r>
      <w:r>
        <w:rPr>
          <w:rFonts w:ascii="Times New Roman" w:hAnsi="Times New Roman"/>
          <w:sz w:val="24"/>
          <w:szCs w:val="24"/>
          <w:lang w:val="en-AU"/>
        </w:rPr>
        <w:t xml:space="preserve">and </w:t>
      </w:r>
      <w:r w:rsidRPr="003A2C94">
        <w:rPr>
          <w:rFonts w:ascii="Times New Roman" w:hAnsi="Times New Roman"/>
          <w:sz w:val="24"/>
          <w:szCs w:val="24"/>
          <w:lang w:val="en-AU"/>
        </w:rPr>
        <w:t>a number of Government agencies, including those concerned with New Zealand’s privacy laws and anti-money laundering/countering the financing of terrorism (AML/CFT) laws.</w:t>
      </w:r>
    </w:p>
    <w:p w:rsidR="003946E7" w:rsidRDefault="003946E7" w:rsidP="007946CC">
      <w:pPr>
        <w:pStyle w:val="spacer"/>
        <w:ind w:left="567" w:hanging="567"/>
        <w:jc w:val="both"/>
        <w:rPr>
          <w:rFonts w:ascii="Times New Roman" w:hAnsi="Times New Roman"/>
          <w:sz w:val="24"/>
          <w:szCs w:val="24"/>
        </w:rPr>
      </w:pPr>
    </w:p>
    <w:p w:rsidR="003946E7" w:rsidRPr="00703905" w:rsidRDefault="003946E7" w:rsidP="007946CC">
      <w:pPr>
        <w:pStyle w:val="spacer"/>
        <w:ind w:left="567" w:hanging="567"/>
        <w:jc w:val="both"/>
        <w:rPr>
          <w:rFonts w:ascii="Times New Roman" w:hAnsi="Times New Roman"/>
          <w:sz w:val="24"/>
          <w:szCs w:val="24"/>
        </w:rPr>
      </w:pPr>
      <w:r w:rsidRPr="00D106A8">
        <w:rPr>
          <w:rFonts w:ascii="Times New Roman" w:hAnsi="Times New Roman"/>
          <w:sz w:val="24"/>
          <w:szCs w:val="24"/>
          <w:lang w:val="en-AU"/>
        </w:rPr>
        <w:fldChar w:fldCharType="begin"/>
      </w:r>
      <w:r w:rsidRPr="00D106A8">
        <w:rPr>
          <w:rFonts w:ascii="Times New Roman" w:hAnsi="Times New Roman"/>
          <w:sz w:val="24"/>
          <w:szCs w:val="24"/>
          <w:lang w:val="en-AU"/>
        </w:rPr>
        <w:instrText xml:space="preserve"> AUTONUM  \* Arabic  </w:instrText>
      </w:r>
      <w:r w:rsidRPr="00D106A8">
        <w:rPr>
          <w:rFonts w:ascii="Times New Roman" w:hAnsi="Times New Roman"/>
          <w:sz w:val="24"/>
          <w:szCs w:val="24"/>
          <w:lang w:val="en-AU"/>
        </w:rPr>
        <w:fldChar w:fldCharType="end"/>
      </w:r>
      <w:r w:rsidRPr="00D106A8">
        <w:rPr>
          <w:rFonts w:ascii="Times New Roman" w:hAnsi="Times New Roman"/>
          <w:sz w:val="24"/>
          <w:szCs w:val="24"/>
          <w:lang w:val="en-AU"/>
        </w:rPr>
        <w:tab/>
      </w:r>
      <w:r>
        <w:rPr>
          <w:rFonts w:ascii="Times New Roman" w:hAnsi="Times New Roman"/>
          <w:sz w:val="24"/>
          <w:szCs w:val="24"/>
          <w:lang w:val="en-AU"/>
        </w:rPr>
        <w:t xml:space="preserve">In February 2016, an </w:t>
      </w:r>
      <w:r w:rsidRPr="00D106A8">
        <w:rPr>
          <w:rFonts w:ascii="Times New Roman" w:hAnsi="Times New Roman"/>
          <w:sz w:val="24"/>
          <w:szCs w:val="24"/>
          <w:lang w:val="en-AU"/>
        </w:rPr>
        <w:t xml:space="preserve">Officials’ issues paper </w:t>
      </w:r>
      <w:r w:rsidR="00115B76">
        <w:rPr>
          <w:rFonts w:ascii="Times New Roman" w:hAnsi="Times New Roman"/>
          <w:sz w:val="24"/>
          <w:szCs w:val="24"/>
          <w:lang w:val="en-AU"/>
        </w:rPr>
        <w:t xml:space="preserve">entitled </w:t>
      </w:r>
      <w:r w:rsidRPr="003946E7">
        <w:rPr>
          <w:rFonts w:ascii="Times New Roman" w:hAnsi="Times New Roman"/>
          <w:i/>
          <w:sz w:val="24"/>
          <w:szCs w:val="24"/>
          <w:lang w:val="en-AU"/>
        </w:rPr>
        <w:t>Implementing the global standard on automatic exchange of information</w:t>
      </w:r>
      <w:r>
        <w:rPr>
          <w:rFonts w:ascii="Times New Roman" w:hAnsi="Times New Roman"/>
          <w:sz w:val="24"/>
          <w:szCs w:val="24"/>
          <w:lang w:val="en-AU"/>
        </w:rPr>
        <w:t xml:space="preserve"> was released for public consultation.  </w:t>
      </w:r>
      <w:r>
        <w:rPr>
          <w:rFonts w:ascii="Times New Roman" w:hAnsi="Times New Roman"/>
          <w:sz w:val="24"/>
          <w:szCs w:val="24"/>
        </w:rPr>
        <w:t>21</w:t>
      </w:r>
      <w:r w:rsidRPr="00703905">
        <w:rPr>
          <w:rFonts w:ascii="Times New Roman" w:hAnsi="Times New Roman"/>
          <w:sz w:val="24"/>
          <w:szCs w:val="24"/>
        </w:rPr>
        <w:t xml:space="preserve"> submissions were received</w:t>
      </w:r>
      <w:r>
        <w:rPr>
          <w:rFonts w:ascii="Times New Roman" w:hAnsi="Times New Roman"/>
          <w:sz w:val="24"/>
          <w:szCs w:val="24"/>
        </w:rPr>
        <w:t xml:space="preserve"> on the paper</w:t>
      </w:r>
      <w:r w:rsidRPr="00703905">
        <w:rPr>
          <w:rFonts w:ascii="Times New Roman" w:hAnsi="Times New Roman"/>
          <w:sz w:val="24"/>
          <w:szCs w:val="24"/>
        </w:rPr>
        <w:t>.</w:t>
      </w:r>
    </w:p>
    <w:p w:rsidR="003946E7" w:rsidRPr="00703905" w:rsidRDefault="003946E7" w:rsidP="007946CC">
      <w:pPr>
        <w:pStyle w:val="Bullet-list"/>
        <w:spacing w:after="0" w:line="240" w:lineRule="auto"/>
        <w:ind w:left="567" w:hanging="567"/>
        <w:jc w:val="both"/>
        <w:rPr>
          <w:rFonts w:ascii="Times New Roman" w:hAnsi="Times New Roman"/>
          <w:sz w:val="24"/>
          <w:szCs w:val="24"/>
        </w:rPr>
      </w:pPr>
    </w:p>
    <w:p w:rsidR="003946E7" w:rsidRPr="00703905" w:rsidRDefault="003946E7" w:rsidP="007946CC">
      <w:pPr>
        <w:pStyle w:val="Bullet-list"/>
        <w:spacing w:after="0" w:line="240" w:lineRule="auto"/>
        <w:ind w:left="567" w:hanging="567"/>
        <w:jc w:val="both"/>
        <w:rPr>
          <w:rFonts w:ascii="Times New Roman" w:hAnsi="Times New Roman"/>
          <w:sz w:val="24"/>
          <w:szCs w:val="24"/>
        </w:rPr>
      </w:pPr>
      <w:r w:rsidRPr="00703905">
        <w:rPr>
          <w:rFonts w:ascii="Times New Roman" w:hAnsi="Times New Roman"/>
          <w:sz w:val="24"/>
          <w:szCs w:val="24"/>
        </w:rPr>
        <w:fldChar w:fldCharType="begin"/>
      </w:r>
      <w:r w:rsidRPr="00703905">
        <w:rPr>
          <w:rFonts w:ascii="Times New Roman" w:hAnsi="Times New Roman"/>
          <w:sz w:val="24"/>
          <w:szCs w:val="24"/>
        </w:rPr>
        <w:instrText xml:space="preserve"> AUTONUM  \* Arabic  </w:instrText>
      </w:r>
      <w:r w:rsidRPr="00703905">
        <w:rPr>
          <w:rFonts w:ascii="Times New Roman" w:hAnsi="Times New Roman"/>
          <w:sz w:val="24"/>
          <w:szCs w:val="24"/>
        </w:rPr>
        <w:fldChar w:fldCharType="end"/>
      </w:r>
      <w:r w:rsidRPr="00703905">
        <w:rPr>
          <w:rFonts w:ascii="Times New Roman" w:hAnsi="Times New Roman"/>
          <w:sz w:val="24"/>
          <w:szCs w:val="24"/>
        </w:rPr>
        <w:tab/>
        <w:t xml:space="preserve">None of the submissions </w:t>
      </w:r>
      <w:r>
        <w:rPr>
          <w:rFonts w:ascii="Times New Roman" w:hAnsi="Times New Roman"/>
          <w:sz w:val="24"/>
          <w:szCs w:val="24"/>
        </w:rPr>
        <w:t xml:space="preserve">received on the issues paper </w:t>
      </w:r>
      <w:r w:rsidRPr="00703905">
        <w:rPr>
          <w:rFonts w:ascii="Times New Roman" w:hAnsi="Times New Roman"/>
          <w:sz w:val="24"/>
          <w:szCs w:val="24"/>
        </w:rPr>
        <w:t>proposed that New Zealand not proceed with implementation.  This suggests that there is widespread acceptance of the need to implement AEOI to meet international expectations and to carry through with the commitment New Zealand has already made to implement AEOI.</w:t>
      </w:r>
    </w:p>
    <w:p w:rsidR="00703905" w:rsidRPr="00703905" w:rsidRDefault="00703905" w:rsidP="007946CC">
      <w:pPr>
        <w:pStyle w:val="Bullet-list"/>
        <w:spacing w:after="0" w:line="240" w:lineRule="auto"/>
        <w:ind w:left="567" w:hanging="567"/>
        <w:jc w:val="both"/>
        <w:rPr>
          <w:rFonts w:ascii="Times New Roman" w:hAnsi="Times New Roman"/>
          <w:sz w:val="24"/>
          <w:szCs w:val="24"/>
        </w:rPr>
      </w:pPr>
    </w:p>
    <w:p w:rsidR="00703905" w:rsidRPr="00703905" w:rsidRDefault="00703905" w:rsidP="007946CC">
      <w:pPr>
        <w:pStyle w:val="Bullet-list"/>
        <w:spacing w:after="0" w:line="240" w:lineRule="auto"/>
        <w:ind w:left="567" w:hanging="567"/>
        <w:jc w:val="both"/>
        <w:rPr>
          <w:rFonts w:ascii="Times New Roman" w:hAnsi="Times New Roman"/>
          <w:sz w:val="24"/>
          <w:szCs w:val="24"/>
        </w:rPr>
      </w:pPr>
      <w:r w:rsidRPr="00703905">
        <w:rPr>
          <w:rFonts w:ascii="Times New Roman" w:hAnsi="Times New Roman"/>
          <w:sz w:val="24"/>
          <w:szCs w:val="24"/>
        </w:rPr>
        <w:fldChar w:fldCharType="begin"/>
      </w:r>
      <w:r w:rsidRPr="00703905">
        <w:rPr>
          <w:rFonts w:ascii="Times New Roman" w:hAnsi="Times New Roman"/>
          <w:sz w:val="24"/>
          <w:szCs w:val="24"/>
        </w:rPr>
        <w:instrText xml:space="preserve"> AUTONUM  \* Arabic  </w:instrText>
      </w:r>
      <w:r w:rsidRPr="00703905">
        <w:rPr>
          <w:rFonts w:ascii="Times New Roman" w:hAnsi="Times New Roman"/>
          <w:sz w:val="24"/>
          <w:szCs w:val="24"/>
        </w:rPr>
        <w:fldChar w:fldCharType="end"/>
      </w:r>
      <w:r w:rsidRPr="00703905">
        <w:rPr>
          <w:rFonts w:ascii="Times New Roman" w:hAnsi="Times New Roman"/>
          <w:sz w:val="24"/>
          <w:szCs w:val="24"/>
        </w:rPr>
        <w:tab/>
        <w:t>The submissions often expressed a wide divergence of views as to how AEOI should be implemented.  However, some common themes emerged, including:</w:t>
      </w:r>
    </w:p>
    <w:p w:rsidR="00703905" w:rsidRPr="00703905" w:rsidRDefault="00703905" w:rsidP="00703905">
      <w:pPr>
        <w:pStyle w:val="Bullet-list"/>
        <w:spacing w:after="0" w:line="240" w:lineRule="auto"/>
        <w:ind w:left="0" w:firstLine="0"/>
        <w:jc w:val="both"/>
        <w:rPr>
          <w:rFonts w:ascii="Times New Roman" w:hAnsi="Times New Roman"/>
          <w:sz w:val="24"/>
          <w:szCs w:val="24"/>
        </w:rPr>
      </w:pPr>
    </w:p>
    <w:p w:rsidR="00703905" w:rsidRPr="00703905" w:rsidRDefault="00703905" w:rsidP="00CD7D8B">
      <w:pPr>
        <w:pStyle w:val="Bullet-list"/>
        <w:spacing w:after="0" w:line="240" w:lineRule="auto"/>
        <w:ind w:left="1134" w:hanging="567"/>
        <w:jc w:val="both"/>
        <w:rPr>
          <w:rFonts w:ascii="Times New Roman" w:hAnsi="Times New Roman"/>
          <w:sz w:val="24"/>
          <w:szCs w:val="24"/>
        </w:rPr>
      </w:pPr>
      <w:r w:rsidRPr="00703905">
        <w:rPr>
          <w:rFonts w:ascii="Times New Roman" w:hAnsi="Times New Roman"/>
          <w:sz w:val="24"/>
          <w:szCs w:val="24"/>
        </w:rPr>
        <w:sym w:font="Wingdings 2" w:char="F097"/>
      </w:r>
      <w:r w:rsidRPr="00703905">
        <w:rPr>
          <w:rFonts w:ascii="Times New Roman" w:hAnsi="Times New Roman"/>
          <w:sz w:val="24"/>
          <w:szCs w:val="24"/>
        </w:rPr>
        <w:tab/>
        <w:t>A strong preference for New Zealand to align its implementation decisions, where possible, with those taken internationally – and in particular with Australia.</w:t>
      </w:r>
    </w:p>
    <w:p w:rsidR="00703905" w:rsidRPr="00703905" w:rsidRDefault="00703905" w:rsidP="00703905">
      <w:pPr>
        <w:pStyle w:val="Bullet-list"/>
        <w:spacing w:after="0" w:line="240" w:lineRule="auto"/>
        <w:ind w:left="567" w:firstLine="0"/>
        <w:jc w:val="both"/>
        <w:rPr>
          <w:rFonts w:ascii="Times New Roman" w:hAnsi="Times New Roman"/>
          <w:sz w:val="24"/>
          <w:szCs w:val="24"/>
        </w:rPr>
      </w:pPr>
    </w:p>
    <w:p w:rsidR="00703905" w:rsidRPr="00703905" w:rsidRDefault="00214433" w:rsidP="00214433">
      <w:pPr>
        <w:pStyle w:val="Bullet-list"/>
        <w:spacing w:after="0" w:line="240" w:lineRule="auto"/>
        <w:ind w:left="1701" w:hanging="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703905" w:rsidRPr="00703905">
        <w:rPr>
          <w:rFonts w:ascii="Times New Roman" w:hAnsi="Times New Roman"/>
          <w:sz w:val="24"/>
          <w:szCs w:val="24"/>
        </w:rPr>
        <w:t>Alignment with Australia seems particularly relevant in the context of New Zealand banks that are owned by Australian parents.  But it is also relevant for financial institutions that have trans-Tasman financial products or an Australian client base.</w:t>
      </w:r>
    </w:p>
    <w:p w:rsidR="00703905" w:rsidRPr="00703905" w:rsidRDefault="00703905" w:rsidP="00703905">
      <w:pPr>
        <w:pStyle w:val="Bullet-list"/>
        <w:spacing w:after="0" w:line="240" w:lineRule="auto"/>
        <w:ind w:left="567" w:firstLine="0"/>
        <w:jc w:val="both"/>
        <w:rPr>
          <w:rFonts w:ascii="Times New Roman" w:hAnsi="Times New Roman"/>
          <w:sz w:val="24"/>
          <w:szCs w:val="24"/>
        </w:rPr>
      </w:pPr>
    </w:p>
    <w:p w:rsidR="00703905" w:rsidRPr="00703905" w:rsidRDefault="00703905" w:rsidP="00CD7D8B">
      <w:pPr>
        <w:pStyle w:val="Bullet-list"/>
        <w:spacing w:after="0" w:line="240" w:lineRule="auto"/>
        <w:ind w:left="1134" w:hanging="567"/>
        <w:jc w:val="both"/>
        <w:rPr>
          <w:rFonts w:ascii="Times New Roman" w:hAnsi="Times New Roman"/>
          <w:sz w:val="24"/>
          <w:szCs w:val="24"/>
        </w:rPr>
      </w:pPr>
      <w:r w:rsidRPr="00703905">
        <w:rPr>
          <w:rFonts w:ascii="Times New Roman" w:hAnsi="Times New Roman"/>
          <w:sz w:val="24"/>
          <w:szCs w:val="24"/>
        </w:rPr>
        <w:sym w:font="Wingdings 2" w:char="F097"/>
      </w:r>
      <w:r w:rsidRPr="00703905">
        <w:rPr>
          <w:rFonts w:ascii="Times New Roman" w:hAnsi="Times New Roman"/>
          <w:sz w:val="24"/>
          <w:szCs w:val="24"/>
        </w:rPr>
        <w:tab/>
        <w:t>A strong preference that, where the CRS permits implementing jurisdictions to provide financial institutions with a choice of due diligence and reporting procedures, that choice should be available to institutions.</w:t>
      </w:r>
    </w:p>
    <w:p w:rsidR="00703905" w:rsidRPr="00703905" w:rsidRDefault="00703905" w:rsidP="00703905">
      <w:pPr>
        <w:pStyle w:val="Bullet-list"/>
        <w:spacing w:after="0" w:line="240" w:lineRule="auto"/>
        <w:ind w:left="567" w:firstLine="0"/>
        <w:jc w:val="both"/>
        <w:rPr>
          <w:rFonts w:ascii="Times New Roman" w:hAnsi="Times New Roman"/>
          <w:sz w:val="24"/>
          <w:szCs w:val="24"/>
        </w:rPr>
      </w:pPr>
    </w:p>
    <w:p w:rsidR="00703905" w:rsidRPr="00703905" w:rsidRDefault="00703905" w:rsidP="00CD7D8B">
      <w:pPr>
        <w:pStyle w:val="Bullet-list"/>
        <w:spacing w:after="0" w:line="240" w:lineRule="auto"/>
        <w:ind w:left="1134" w:hanging="567"/>
        <w:jc w:val="both"/>
        <w:rPr>
          <w:rFonts w:ascii="Times New Roman" w:hAnsi="Times New Roman"/>
          <w:sz w:val="24"/>
          <w:szCs w:val="24"/>
        </w:rPr>
      </w:pPr>
      <w:r w:rsidRPr="00703905">
        <w:rPr>
          <w:rFonts w:ascii="Times New Roman" w:hAnsi="Times New Roman"/>
          <w:sz w:val="24"/>
          <w:szCs w:val="24"/>
        </w:rPr>
        <w:sym w:font="Wingdings 2" w:char="F097"/>
      </w:r>
      <w:r w:rsidRPr="00703905">
        <w:rPr>
          <w:rFonts w:ascii="Times New Roman" w:hAnsi="Times New Roman"/>
          <w:sz w:val="24"/>
          <w:szCs w:val="24"/>
        </w:rPr>
        <w:tab/>
        <w:t xml:space="preserve">A strong preference that financial institutions should not be required to obtain </w:t>
      </w:r>
      <w:r w:rsidR="004B4F32">
        <w:rPr>
          <w:rFonts w:ascii="Times New Roman" w:hAnsi="Times New Roman"/>
          <w:sz w:val="24"/>
          <w:szCs w:val="24"/>
        </w:rPr>
        <w:t xml:space="preserve">or report </w:t>
      </w:r>
      <w:r w:rsidRPr="00703905">
        <w:rPr>
          <w:rFonts w:ascii="Times New Roman" w:hAnsi="Times New Roman"/>
          <w:sz w:val="24"/>
          <w:szCs w:val="24"/>
        </w:rPr>
        <w:t>information about accounts unless the information is specifically required under the CRS or because of a choice that they have made.</w:t>
      </w:r>
    </w:p>
    <w:p w:rsidR="00703905" w:rsidRPr="00703905" w:rsidRDefault="00703905" w:rsidP="00703905">
      <w:pPr>
        <w:pStyle w:val="Bullet-list"/>
        <w:spacing w:after="0" w:line="240" w:lineRule="auto"/>
        <w:ind w:left="567" w:firstLine="0"/>
        <w:jc w:val="both"/>
        <w:rPr>
          <w:rFonts w:ascii="Times New Roman" w:hAnsi="Times New Roman"/>
          <w:sz w:val="24"/>
          <w:szCs w:val="24"/>
        </w:rPr>
      </w:pPr>
    </w:p>
    <w:p w:rsidR="00703905" w:rsidRPr="00703905" w:rsidRDefault="00214433" w:rsidP="00214433">
      <w:pPr>
        <w:pStyle w:val="Bullet-list"/>
        <w:spacing w:after="0" w:line="240" w:lineRule="auto"/>
        <w:ind w:left="1701" w:hanging="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703905" w:rsidRPr="00703905">
        <w:rPr>
          <w:rFonts w:ascii="Times New Roman" w:hAnsi="Times New Roman"/>
          <w:sz w:val="24"/>
          <w:szCs w:val="24"/>
        </w:rPr>
        <w:t>This point essentially responds to an OECD suggestion that implementing jurisdictions could consider going further than the CRS requirements in certain areas – for example by making it mandatory to collect tax identification numbers or date of birth information in all cases (whereas the base expectation under the CRS is that for pre-existing accounts financial institutions do not need to go beyond reasonable endeavours to obtain this information).  A further example is whether to require reporting of controlling persons of passive NFEs that are New Zealand residents.</w:t>
      </w:r>
    </w:p>
    <w:p w:rsidR="00703905" w:rsidRPr="00703905" w:rsidRDefault="00703905" w:rsidP="0022551A">
      <w:pPr>
        <w:pStyle w:val="Bullet-list"/>
        <w:spacing w:after="0" w:line="240" w:lineRule="auto"/>
        <w:ind w:left="1560" w:firstLine="0"/>
        <w:jc w:val="both"/>
        <w:rPr>
          <w:rFonts w:ascii="Times New Roman" w:hAnsi="Times New Roman"/>
          <w:sz w:val="24"/>
          <w:szCs w:val="24"/>
        </w:rPr>
      </w:pPr>
    </w:p>
    <w:p w:rsidR="00703905" w:rsidRPr="00703905" w:rsidRDefault="00214433" w:rsidP="00214433">
      <w:pPr>
        <w:pStyle w:val="Bullet-list"/>
        <w:spacing w:after="0" w:line="240" w:lineRule="auto"/>
        <w:ind w:left="1701" w:hanging="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703905" w:rsidRPr="00703905">
        <w:rPr>
          <w:rFonts w:ascii="Times New Roman" w:hAnsi="Times New Roman"/>
          <w:sz w:val="24"/>
          <w:szCs w:val="24"/>
        </w:rPr>
        <w:t xml:space="preserve">The one exception to this point is the proposed application of the ‘wider’ approach to CRS due diligence </w:t>
      </w:r>
      <w:r w:rsidR="00CD7D8B">
        <w:rPr>
          <w:rFonts w:ascii="Times New Roman" w:hAnsi="Times New Roman"/>
          <w:sz w:val="24"/>
          <w:szCs w:val="24"/>
        </w:rPr>
        <w:t>(</w:t>
      </w:r>
      <w:r w:rsidR="00703905" w:rsidRPr="00703905">
        <w:rPr>
          <w:rFonts w:ascii="Times New Roman" w:hAnsi="Times New Roman"/>
          <w:sz w:val="24"/>
          <w:szCs w:val="24"/>
        </w:rPr>
        <w:t>and reporting</w:t>
      </w:r>
      <w:r w:rsidR="00CD7D8B">
        <w:rPr>
          <w:rFonts w:ascii="Times New Roman" w:hAnsi="Times New Roman"/>
          <w:sz w:val="24"/>
          <w:szCs w:val="24"/>
        </w:rPr>
        <w:t>)</w:t>
      </w:r>
      <w:r w:rsidR="00703905" w:rsidRPr="00703905">
        <w:rPr>
          <w:rFonts w:ascii="Times New Roman" w:hAnsi="Times New Roman"/>
          <w:sz w:val="24"/>
          <w:szCs w:val="24"/>
        </w:rPr>
        <w:t>, outlined below.  As will be noted, there was strong support for adopting the wider approach</w:t>
      </w:r>
      <w:r w:rsidR="00CD7D8B">
        <w:rPr>
          <w:rFonts w:ascii="Times New Roman" w:hAnsi="Times New Roman"/>
          <w:sz w:val="24"/>
          <w:szCs w:val="24"/>
        </w:rPr>
        <w:t>, to due diligence in particular</w:t>
      </w:r>
      <w:r w:rsidR="00703905" w:rsidRPr="00703905">
        <w:rPr>
          <w:rFonts w:ascii="Times New Roman" w:hAnsi="Times New Roman"/>
          <w:sz w:val="24"/>
          <w:szCs w:val="24"/>
        </w:rPr>
        <w:t>.</w:t>
      </w:r>
    </w:p>
    <w:p w:rsidR="00703905" w:rsidRPr="00703905" w:rsidRDefault="00703905" w:rsidP="00703905">
      <w:pPr>
        <w:pStyle w:val="Bullet-list"/>
        <w:spacing w:after="0" w:line="240" w:lineRule="auto"/>
        <w:ind w:left="567" w:firstLine="0"/>
        <w:jc w:val="both"/>
        <w:rPr>
          <w:rFonts w:ascii="Times New Roman" w:hAnsi="Times New Roman"/>
          <w:sz w:val="24"/>
          <w:szCs w:val="24"/>
        </w:rPr>
      </w:pPr>
    </w:p>
    <w:p w:rsidR="00703905" w:rsidRPr="00703905" w:rsidRDefault="00703905" w:rsidP="00CD7D8B">
      <w:pPr>
        <w:pStyle w:val="Bullet-list"/>
        <w:spacing w:after="0" w:line="240" w:lineRule="auto"/>
        <w:ind w:left="1134" w:hanging="567"/>
        <w:jc w:val="both"/>
        <w:rPr>
          <w:rFonts w:ascii="Times New Roman" w:hAnsi="Times New Roman"/>
          <w:sz w:val="24"/>
          <w:szCs w:val="24"/>
        </w:rPr>
      </w:pPr>
      <w:r w:rsidRPr="00703905">
        <w:rPr>
          <w:rFonts w:ascii="Times New Roman" w:hAnsi="Times New Roman"/>
          <w:sz w:val="24"/>
          <w:szCs w:val="24"/>
        </w:rPr>
        <w:sym w:font="Wingdings 2" w:char="F097"/>
      </w:r>
      <w:r w:rsidRPr="00703905">
        <w:rPr>
          <w:rFonts w:ascii="Times New Roman" w:hAnsi="Times New Roman"/>
          <w:sz w:val="24"/>
          <w:szCs w:val="24"/>
        </w:rPr>
        <w:tab/>
        <w:t>A strong preference that New Zealand should, where possible look to align the entities and accounts that will be excluded from CRS obligations with the entities and accounts that are excluded for FATCA.  Some submitters noted that this alignment should also apply to entities and accounts that are excluded under New Zealand’s AML/CFT regime.</w:t>
      </w:r>
    </w:p>
    <w:p w:rsidR="00703905" w:rsidRPr="00703905" w:rsidRDefault="00703905" w:rsidP="00703905">
      <w:pPr>
        <w:pStyle w:val="Bullet-list"/>
        <w:spacing w:after="0" w:line="240" w:lineRule="auto"/>
        <w:ind w:left="567" w:firstLine="0"/>
        <w:jc w:val="both"/>
        <w:rPr>
          <w:rFonts w:ascii="Times New Roman" w:hAnsi="Times New Roman"/>
          <w:sz w:val="24"/>
          <w:szCs w:val="24"/>
        </w:rPr>
      </w:pPr>
    </w:p>
    <w:p w:rsidR="00703905" w:rsidRPr="00703905" w:rsidRDefault="00703905" w:rsidP="00CD7D8B">
      <w:pPr>
        <w:pStyle w:val="Bullet-list"/>
        <w:spacing w:after="0" w:line="240" w:lineRule="auto"/>
        <w:ind w:left="1134" w:hanging="567"/>
        <w:jc w:val="both"/>
        <w:rPr>
          <w:rFonts w:ascii="Times New Roman" w:hAnsi="Times New Roman"/>
          <w:sz w:val="24"/>
          <w:szCs w:val="24"/>
        </w:rPr>
      </w:pPr>
      <w:r w:rsidRPr="00703905">
        <w:rPr>
          <w:rFonts w:ascii="Times New Roman" w:hAnsi="Times New Roman"/>
          <w:sz w:val="24"/>
          <w:szCs w:val="24"/>
        </w:rPr>
        <w:sym w:font="Wingdings 2" w:char="F097"/>
      </w:r>
      <w:r w:rsidRPr="00703905">
        <w:rPr>
          <w:rFonts w:ascii="Times New Roman" w:hAnsi="Times New Roman"/>
          <w:sz w:val="24"/>
          <w:szCs w:val="24"/>
        </w:rPr>
        <w:tab/>
      </w:r>
      <w:r w:rsidRPr="003946E7">
        <w:rPr>
          <w:rFonts w:ascii="Times New Roman" w:hAnsi="Times New Roman"/>
          <w:sz w:val="24"/>
          <w:szCs w:val="24"/>
        </w:rPr>
        <w:t>A strong preference that New Zealand should, where possible, look to align CRS due diligence procedures with those carried out under FATCA and New Zealand’s AML/CFT regime, so that any additional AEOI due diligence is minimised.  (There was widespread acceptance that the information that needs to be reported under</w:t>
      </w:r>
      <w:r w:rsidRPr="00703905">
        <w:rPr>
          <w:rFonts w:ascii="Times New Roman" w:hAnsi="Times New Roman"/>
          <w:sz w:val="24"/>
          <w:szCs w:val="24"/>
        </w:rPr>
        <w:t xml:space="preserve"> AEOI will be different from that reported under these other regimes.)</w:t>
      </w:r>
    </w:p>
    <w:p w:rsidR="00703905" w:rsidRPr="00703905" w:rsidRDefault="00703905" w:rsidP="00703905">
      <w:pPr>
        <w:pStyle w:val="Bullet-list"/>
        <w:spacing w:after="0" w:line="240" w:lineRule="auto"/>
        <w:ind w:left="567" w:firstLine="0"/>
        <w:jc w:val="both"/>
        <w:rPr>
          <w:rFonts w:ascii="Times New Roman" w:hAnsi="Times New Roman"/>
          <w:sz w:val="24"/>
          <w:szCs w:val="24"/>
        </w:rPr>
      </w:pPr>
    </w:p>
    <w:p w:rsidR="00703905" w:rsidRPr="00CD7D8B" w:rsidRDefault="00703905" w:rsidP="00CD7D8B">
      <w:pPr>
        <w:pStyle w:val="Bullet-list"/>
        <w:spacing w:after="0" w:line="240" w:lineRule="auto"/>
        <w:ind w:left="1134" w:hanging="567"/>
        <w:jc w:val="both"/>
        <w:rPr>
          <w:rFonts w:ascii="Times New Roman" w:hAnsi="Times New Roman"/>
          <w:sz w:val="24"/>
          <w:szCs w:val="24"/>
        </w:rPr>
      </w:pPr>
      <w:r w:rsidRPr="00CD7D8B">
        <w:rPr>
          <w:rFonts w:ascii="Times New Roman" w:hAnsi="Times New Roman"/>
          <w:sz w:val="24"/>
          <w:szCs w:val="24"/>
        </w:rPr>
        <w:sym w:font="Wingdings 2" w:char="F097"/>
      </w:r>
      <w:r w:rsidRPr="00CD7D8B">
        <w:rPr>
          <w:rFonts w:ascii="Times New Roman" w:hAnsi="Times New Roman"/>
          <w:sz w:val="24"/>
          <w:szCs w:val="24"/>
        </w:rPr>
        <w:tab/>
        <w:t>A strong preference that New Zealand should adopt a ‘soft landing’ approach to addressing any non-compliance with CRS.  (Essentially, that is, to take a light or transitional approach to penalising non-compliance.)</w:t>
      </w:r>
    </w:p>
    <w:p w:rsidR="00703905" w:rsidRPr="00703905" w:rsidRDefault="00703905" w:rsidP="00703905">
      <w:pPr>
        <w:pStyle w:val="Bullet-list"/>
        <w:spacing w:after="0" w:line="240" w:lineRule="auto"/>
        <w:ind w:left="0" w:firstLine="0"/>
        <w:jc w:val="both"/>
        <w:rPr>
          <w:rFonts w:ascii="Times New Roman" w:hAnsi="Times New Roman"/>
          <w:sz w:val="24"/>
          <w:szCs w:val="24"/>
        </w:rPr>
      </w:pPr>
    </w:p>
    <w:p w:rsidR="00703905" w:rsidRDefault="00703905" w:rsidP="007946CC">
      <w:pPr>
        <w:pStyle w:val="Bullet-list"/>
        <w:spacing w:after="0" w:line="240" w:lineRule="auto"/>
        <w:ind w:left="567" w:hanging="567"/>
        <w:jc w:val="both"/>
        <w:rPr>
          <w:rFonts w:ascii="Times New Roman" w:hAnsi="Times New Roman"/>
          <w:sz w:val="24"/>
          <w:szCs w:val="24"/>
        </w:rPr>
      </w:pPr>
      <w:r w:rsidRPr="00703905">
        <w:rPr>
          <w:rFonts w:ascii="Times New Roman" w:hAnsi="Times New Roman"/>
          <w:sz w:val="24"/>
          <w:szCs w:val="24"/>
        </w:rPr>
        <w:fldChar w:fldCharType="begin"/>
      </w:r>
      <w:r w:rsidRPr="00703905">
        <w:rPr>
          <w:rFonts w:ascii="Times New Roman" w:hAnsi="Times New Roman"/>
          <w:sz w:val="24"/>
          <w:szCs w:val="24"/>
        </w:rPr>
        <w:instrText xml:space="preserve"> AUTONUM  \* Arabic  </w:instrText>
      </w:r>
      <w:r w:rsidRPr="00703905">
        <w:rPr>
          <w:rFonts w:ascii="Times New Roman" w:hAnsi="Times New Roman"/>
          <w:sz w:val="24"/>
          <w:szCs w:val="24"/>
        </w:rPr>
        <w:fldChar w:fldCharType="end"/>
      </w:r>
      <w:r w:rsidRPr="00703905">
        <w:rPr>
          <w:rFonts w:ascii="Times New Roman" w:hAnsi="Times New Roman"/>
          <w:sz w:val="24"/>
          <w:szCs w:val="24"/>
        </w:rPr>
        <w:tab/>
      </w:r>
      <w:r>
        <w:rPr>
          <w:rFonts w:ascii="Times New Roman" w:hAnsi="Times New Roman"/>
          <w:sz w:val="24"/>
          <w:szCs w:val="24"/>
        </w:rPr>
        <w:t xml:space="preserve">All of the points raised in submissions </w:t>
      </w:r>
      <w:r w:rsidR="003946E7">
        <w:rPr>
          <w:rFonts w:ascii="Times New Roman" w:hAnsi="Times New Roman"/>
          <w:sz w:val="24"/>
          <w:szCs w:val="24"/>
        </w:rPr>
        <w:t xml:space="preserve">and in consultation discussions </w:t>
      </w:r>
      <w:r>
        <w:rPr>
          <w:rFonts w:ascii="Times New Roman" w:hAnsi="Times New Roman"/>
          <w:sz w:val="24"/>
          <w:szCs w:val="24"/>
        </w:rPr>
        <w:t>have been</w:t>
      </w:r>
      <w:r w:rsidRPr="00703905">
        <w:rPr>
          <w:rFonts w:ascii="Times New Roman" w:hAnsi="Times New Roman"/>
          <w:sz w:val="24"/>
          <w:szCs w:val="24"/>
        </w:rPr>
        <w:t xml:space="preserve"> </w:t>
      </w:r>
      <w:r>
        <w:rPr>
          <w:rFonts w:ascii="Times New Roman" w:hAnsi="Times New Roman"/>
          <w:sz w:val="24"/>
          <w:szCs w:val="24"/>
        </w:rPr>
        <w:t>considered</w:t>
      </w:r>
      <w:r w:rsidRPr="00703905">
        <w:rPr>
          <w:rFonts w:ascii="Times New Roman" w:hAnsi="Times New Roman"/>
          <w:sz w:val="24"/>
          <w:szCs w:val="24"/>
        </w:rPr>
        <w:t>.</w:t>
      </w:r>
    </w:p>
    <w:p w:rsidR="00703905" w:rsidRDefault="00703905" w:rsidP="007946CC">
      <w:pPr>
        <w:pStyle w:val="Bullet-list"/>
        <w:spacing w:after="0" w:line="240" w:lineRule="auto"/>
        <w:ind w:left="567" w:hanging="567"/>
        <w:jc w:val="both"/>
        <w:rPr>
          <w:rFonts w:ascii="Times New Roman" w:hAnsi="Times New Roman"/>
          <w:sz w:val="24"/>
          <w:szCs w:val="24"/>
        </w:rPr>
      </w:pPr>
    </w:p>
    <w:p w:rsidR="00703905" w:rsidRDefault="00703905" w:rsidP="007946CC">
      <w:pPr>
        <w:pStyle w:val="Bullet-list"/>
        <w:spacing w:after="0" w:line="240" w:lineRule="auto"/>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t xml:space="preserve">Those that would lead to </w:t>
      </w:r>
      <w:r w:rsidRPr="00703905">
        <w:rPr>
          <w:rFonts w:ascii="Times New Roman" w:hAnsi="Times New Roman"/>
          <w:sz w:val="24"/>
          <w:szCs w:val="24"/>
        </w:rPr>
        <w:t xml:space="preserve">a high risk of international criticism and failing peer review have generally been ruled out.  </w:t>
      </w:r>
      <w:r>
        <w:rPr>
          <w:rFonts w:ascii="Times New Roman" w:hAnsi="Times New Roman"/>
          <w:sz w:val="24"/>
          <w:szCs w:val="24"/>
        </w:rPr>
        <w:t xml:space="preserve">In this regard, it is worth </w:t>
      </w:r>
      <w:r w:rsidRPr="00703905">
        <w:rPr>
          <w:rFonts w:ascii="Times New Roman" w:hAnsi="Times New Roman"/>
          <w:sz w:val="24"/>
          <w:szCs w:val="24"/>
        </w:rPr>
        <w:t>reiterat</w:t>
      </w:r>
      <w:r>
        <w:rPr>
          <w:rFonts w:ascii="Times New Roman" w:hAnsi="Times New Roman"/>
          <w:sz w:val="24"/>
          <w:szCs w:val="24"/>
        </w:rPr>
        <w:t>ing</w:t>
      </w:r>
      <w:r w:rsidRPr="00703905">
        <w:rPr>
          <w:rFonts w:ascii="Times New Roman" w:hAnsi="Times New Roman"/>
          <w:sz w:val="24"/>
          <w:szCs w:val="24"/>
        </w:rPr>
        <w:t xml:space="preserve"> that the AEOI standard is a global standard and its success depends on consistent application across jurisdictions.</w:t>
      </w:r>
    </w:p>
    <w:p w:rsidR="00703905" w:rsidRDefault="00703905" w:rsidP="007946CC">
      <w:pPr>
        <w:pStyle w:val="Bullet-list"/>
        <w:spacing w:after="0" w:line="240" w:lineRule="auto"/>
        <w:ind w:left="567" w:hanging="567"/>
        <w:jc w:val="both"/>
        <w:rPr>
          <w:rFonts w:ascii="Times New Roman" w:hAnsi="Times New Roman"/>
          <w:sz w:val="24"/>
          <w:szCs w:val="24"/>
        </w:rPr>
      </w:pPr>
    </w:p>
    <w:p w:rsidR="00703905" w:rsidRPr="00703905" w:rsidRDefault="00CD7D8B" w:rsidP="007946CC">
      <w:pPr>
        <w:pStyle w:val="Bullet-list"/>
        <w:spacing w:after="0" w:line="240" w:lineRule="auto"/>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r>
      <w:r w:rsidR="003946E7" w:rsidRPr="00703905">
        <w:rPr>
          <w:rFonts w:ascii="Times New Roman" w:hAnsi="Times New Roman"/>
          <w:sz w:val="24"/>
          <w:szCs w:val="24"/>
        </w:rPr>
        <w:t xml:space="preserve">However, some </w:t>
      </w:r>
      <w:r w:rsidR="003946E7">
        <w:rPr>
          <w:rFonts w:ascii="Times New Roman" w:hAnsi="Times New Roman"/>
          <w:sz w:val="24"/>
          <w:szCs w:val="24"/>
        </w:rPr>
        <w:t>submissions have helped to shape key design decisions</w:t>
      </w:r>
      <w:r w:rsidR="003946E7" w:rsidRPr="00703905">
        <w:rPr>
          <w:rFonts w:ascii="Times New Roman" w:hAnsi="Times New Roman"/>
          <w:sz w:val="24"/>
          <w:szCs w:val="24"/>
        </w:rPr>
        <w:t xml:space="preserve">.  A notable example </w:t>
      </w:r>
      <w:r w:rsidR="003946E7">
        <w:rPr>
          <w:rFonts w:ascii="Times New Roman" w:hAnsi="Times New Roman"/>
          <w:sz w:val="24"/>
          <w:szCs w:val="24"/>
        </w:rPr>
        <w:t xml:space="preserve">is the proposed </w:t>
      </w:r>
      <w:r w:rsidR="003946E7" w:rsidRPr="00703905">
        <w:rPr>
          <w:rFonts w:ascii="Times New Roman" w:hAnsi="Times New Roman"/>
          <w:sz w:val="24"/>
          <w:szCs w:val="24"/>
        </w:rPr>
        <w:t xml:space="preserve">transitional </w:t>
      </w:r>
      <w:r w:rsidR="003946E7">
        <w:rPr>
          <w:rFonts w:ascii="Times New Roman" w:hAnsi="Times New Roman"/>
          <w:sz w:val="24"/>
          <w:szCs w:val="24"/>
        </w:rPr>
        <w:t>approach to</w:t>
      </w:r>
      <w:r w:rsidR="003946E7" w:rsidRPr="00703905">
        <w:rPr>
          <w:rFonts w:ascii="Times New Roman" w:hAnsi="Times New Roman"/>
          <w:sz w:val="24"/>
          <w:szCs w:val="24"/>
        </w:rPr>
        <w:t xml:space="preserve"> enforcement.</w:t>
      </w:r>
      <w:r w:rsidR="003946E7">
        <w:rPr>
          <w:rFonts w:ascii="Times New Roman" w:hAnsi="Times New Roman"/>
          <w:sz w:val="24"/>
          <w:szCs w:val="24"/>
        </w:rPr>
        <w:t xml:space="preserve">  Other examples include decisions to allow optionality, to align with the FATCA reporting period, and to align with the Australian wider approach for due diligence and reporting</w:t>
      </w:r>
      <w:r w:rsidR="003946E7" w:rsidRPr="003A2C94">
        <w:rPr>
          <w:rStyle w:val="FootnoteReference"/>
          <w:rFonts w:ascii="Times New Roman" w:hAnsi="Times New Roman"/>
          <w:szCs w:val="24"/>
        </w:rPr>
        <w:footnoteReference w:id="8"/>
      </w:r>
      <w:r w:rsidR="003946E7">
        <w:rPr>
          <w:rFonts w:ascii="Times New Roman" w:hAnsi="Times New Roman"/>
          <w:sz w:val="24"/>
          <w:szCs w:val="24"/>
        </w:rPr>
        <w:t>.</w:t>
      </w:r>
    </w:p>
    <w:p w:rsidR="00703905" w:rsidRDefault="00703905" w:rsidP="007946CC">
      <w:pPr>
        <w:pStyle w:val="Bullet-list"/>
        <w:spacing w:after="0" w:line="240" w:lineRule="auto"/>
        <w:ind w:left="567" w:hanging="567"/>
        <w:jc w:val="both"/>
        <w:rPr>
          <w:rFonts w:ascii="Times New Roman" w:hAnsi="Times New Roman"/>
          <w:sz w:val="24"/>
          <w:szCs w:val="24"/>
        </w:rPr>
      </w:pPr>
    </w:p>
    <w:p w:rsidR="008A4338" w:rsidRDefault="002956D5" w:rsidP="007946CC">
      <w:pPr>
        <w:pStyle w:val="Bullet-list"/>
        <w:spacing w:after="0" w:line="240" w:lineRule="auto"/>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t xml:space="preserve">A number of public sector agencies </w:t>
      </w:r>
      <w:r w:rsidR="00484217">
        <w:rPr>
          <w:rFonts w:ascii="Times New Roman" w:hAnsi="Times New Roman"/>
          <w:sz w:val="24"/>
          <w:szCs w:val="24"/>
        </w:rPr>
        <w:t>were</w:t>
      </w:r>
      <w:r>
        <w:rPr>
          <w:rFonts w:ascii="Times New Roman" w:hAnsi="Times New Roman"/>
          <w:sz w:val="24"/>
          <w:szCs w:val="24"/>
        </w:rPr>
        <w:t xml:space="preserve"> consulted</w:t>
      </w:r>
      <w:r w:rsidR="00585B15">
        <w:rPr>
          <w:rFonts w:ascii="Times New Roman" w:hAnsi="Times New Roman"/>
          <w:sz w:val="24"/>
          <w:szCs w:val="24"/>
        </w:rPr>
        <w:t xml:space="preserve"> including the Treasury</w:t>
      </w:r>
      <w:r>
        <w:rPr>
          <w:rFonts w:ascii="Times New Roman" w:hAnsi="Times New Roman"/>
          <w:sz w:val="24"/>
          <w:szCs w:val="24"/>
        </w:rPr>
        <w:t xml:space="preserve">.  Given the strong links with New Zealand’s AML/CFT laws, </w:t>
      </w:r>
      <w:r w:rsidR="00484217">
        <w:rPr>
          <w:rFonts w:ascii="Times New Roman" w:hAnsi="Times New Roman"/>
          <w:sz w:val="24"/>
          <w:szCs w:val="24"/>
        </w:rPr>
        <w:t xml:space="preserve">additional consultation was held with </w:t>
      </w:r>
      <w:r>
        <w:rPr>
          <w:rFonts w:ascii="Times New Roman" w:hAnsi="Times New Roman"/>
          <w:sz w:val="24"/>
          <w:szCs w:val="24"/>
        </w:rPr>
        <w:t>AML Regulators (the Department of Internal Affairs, the Financial Markets Authority, and the Reserve Bank of New Zealand).</w:t>
      </w:r>
      <w:r w:rsidR="008A4338">
        <w:rPr>
          <w:rFonts w:ascii="Times New Roman" w:hAnsi="Times New Roman"/>
          <w:sz w:val="24"/>
          <w:szCs w:val="24"/>
        </w:rPr>
        <w:t xml:space="preserve">  The Ministry of Justice and the Office of the Privacy Commissioner were specifically consulted in respect of privacy concerns.</w:t>
      </w:r>
    </w:p>
    <w:p w:rsidR="00971963" w:rsidRDefault="00971963" w:rsidP="008A4338">
      <w:pPr>
        <w:pStyle w:val="Bullet-list"/>
        <w:spacing w:after="0" w:line="240" w:lineRule="auto"/>
        <w:ind w:left="0" w:firstLine="0"/>
        <w:jc w:val="both"/>
        <w:rPr>
          <w:rFonts w:ascii="Times New Roman" w:hAnsi="Times New Roman"/>
          <w:sz w:val="24"/>
          <w:szCs w:val="24"/>
        </w:rPr>
      </w:pPr>
    </w:p>
    <w:p w:rsidR="00971963" w:rsidRDefault="00971963" w:rsidP="008A4338">
      <w:pPr>
        <w:pStyle w:val="Bullet-list"/>
        <w:spacing w:after="0" w:line="240" w:lineRule="auto"/>
        <w:ind w:left="0" w:firstLine="0"/>
        <w:jc w:val="both"/>
        <w:rPr>
          <w:rFonts w:ascii="Times New Roman" w:hAnsi="Times New Roman"/>
          <w:sz w:val="24"/>
          <w:szCs w:val="24"/>
        </w:rPr>
      </w:pPr>
    </w:p>
    <w:p w:rsidR="000545DC" w:rsidRPr="00F65FFA" w:rsidRDefault="00D943DD" w:rsidP="00F65FFA">
      <w:pPr>
        <w:pStyle w:val="spacer"/>
        <w:jc w:val="both"/>
        <w:rPr>
          <w:lang w:val="en-AU"/>
        </w:rPr>
      </w:pPr>
      <w:r w:rsidRPr="00F65FFA">
        <w:rPr>
          <w:rFonts w:ascii="Times New Roman" w:hAnsi="Times New Roman"/>
          <w:b/>
          <w:sz w:val="24"/>
          <w:szCs w:val="24"/>
          <w:lang w:val="en-AU"/>
        </w:rPr>
        <w:t>CONCLUSIONS AND RECOMMENDATIONS</w:t>
      </w:r>
      <w:bookmarkEnd w:id="29"/>
      <w:bookmarkEnd w:id="30"/>
      <w:bookmarkEnd w:id="31"/>
      <w:bookmarkEnd w:id="32"/>
      <w:bookmarkEnd w:id="33"/>
    </w:p>
    <w:p w:rsidR="00971963" w:rsidRDefault="00971963" w:rsidP="003946E7">
      <w:pPr>
        <w:pStyle w:val="spacer"/>
        <w:jc w:val="both"/>
        <w:rPr>
          <w:rFonts w:ascii="Times New Roman" w:hAnsi="Times New Roman"/>
          <w:sz w:val="24"/>
          <w:szCs w:val="24"/>
          <w:lang w:val="en-AU"/>
        </w:rPr>
      </w:pPr>
    </w:p>
    <w:p w:rsidR="003946E7" w:rsidRDefault="00503FE0" w:rsidP="007946CC">
      <w:pPr>
        <w:pStyle w:val="spacer"/>
        <w:ind w:left="567" w:hanging="567"/>
        <w:jc w:val="both"/>
        <w:rPr>
          <w:rFonts w:ascii="Times New Roman" w:hAnsi="Times New Roman"/>
          <w:sz w:val="24"/>
          <w:szCs w:val="24"/>
          <w:lang w:val="en-AU"/>
        </w:rPr>
      </w:pPr>
      <w:r>
        <w:rPr>
          <w:rFonts w:ascii="Times New Roman" w:hAnsi="Times New Roman"/>
          <w:sz w:val="24"/>
          <w:szCs w:val="24"/>
          <w:lang w:val="en-AU"/>
        </w:rPr>
        <w:fldChar w:fldCharType="begin"/>
      </w:r>
      <w:r>
        <w:rPr>
          <w:rFonts w:ascii="Times New Roman" w:hAnsi="Times New Roman"/>
          <w:sz w:val="24"/>
          <w:szCs w:val="24"/>
          <w:lang w:val="en-AU"/>
        </w:rPr>
        <w:instrText xml:space="preserve"> AUTONUM  \* Arabic  </w:instrText>
      </w:r>
      <w:r>
        <w:rPr>
          <w:rFonts w:ascii="Times New Roman" w:hAnsi="Times New Roman"/>
          <w:sz w:val="24"/>
          <w:szCs w:val="24"/>
          <w:lang w:val="en-AU"/>
        </w:rPr>
        <w:fldChar w:fldCharType="end"/>
      </w:r>
      <w:r>
        <w:rPr>
          <w:rFonts w:ascii="Times New Roman" w:hAnsi="Times New Roman"/>
          <w:sz w:val="24"/>
          <w:szCs w:val="24"/>
          <w:lang w:val="en-AU"/>
        </w:rPr>
        <w:tab/>
      </w:r>
      <w:r w:rsidR="003946E7">
        <w:rPr>
          <w:rFonts w:ascii="Times New Roman" w:hAnsi="Times New Roman"/>
          <w:sz w:val="24"/>
          <w:szCs w:val="24"/>
          <w:lang w:val="en-AU"/>
        </w:rPr>
        <w:t xml:space="preserve">Inland Revenue supports the adoption of option 3 </w:t>
      </w:r>
      <w:r w:rsidR="003946E7">
        <w:rPr>
          <w:rFonts w:ascii="Times New Roman" w:hAnsi="Times New Roman"/>
          <w:sz w:val="24"/>
          <w:szCs w:val="24"/>
        </w:rPr>
        <w:t xml:space="preserve">(the balanced approach) on the basis that it </w:t>
      </w:r>
      <w:r w:rsidR="003946E7">
        <w:rPr>
          <w:rFonts w:ascii="Times New Roman" w:hAnsi="Times New Roman"/>
          <w:sz w:val="24"/>
          <w:szCs w:val="24"/>
          <w:lang w:val="en-AU"/>
        </w:rPr>
        <w:t>meets all of the objectives.</w:t>
      </w:r>
    </w:p>
    <w:p w:rsidR="00920BA6" w:rsidRDefault="00920BA6" w:rsidP="003946E7">
      <w:pPr>
        <w:pStyle w:val="spacer"/>
        <w:jc w:val="both"/>
        <w:rPr>
          <w:rFonts w:ascii="Times New Roman" w:hAnsi="Times New Roman"/>
          <w:sz w:val="24"/>
          <w:szCs w:val="24"/>
          <w:lang w:val="en-AU"/>
        </w:rPr>
      </w:pPr>
    </w:p>
    <w:tbl>
      <w:tblPr>
        <w:tblStyle w:val="TableGrid"/>
        <w:tblW w:w="0" w:type="auto"/>
        <w:tblLook w:val="04A0" w:firstRow="1" w:lastRow="0" w:firstColumn="1" w:lastColumn="0" w:noHBand="0" w:noVBand="1"/>
      </w:tblPr>
      <w:tblGrid>
        <w:gridCol w:w="675"/>
        <w:gridCol w:w="1701"/>
        <w:gridCol w:w="1727"/>
        <w:gridCol w:w="1728"/>
        <w:gridCol w:w="1728"/>
        <w:gridCol w:w="1728"/>
      </w:tblGrid>
      <w:tr w:rsidR="00920BA6" w:rsidTr="009C1938">
        <w:tc>
          <w:tcPr>
            <w:tcW w:w="675" w:type="dxa"/>
            <w:tcBorders>
              <w:top w:val="nil"/>
              <w:left w:val="nil"/>
              <w:bottom w:val="nil"/>
              <w:right w:val="single" w:sz="4" w:space="0" w:color="auto"/>
            </w:tcBorders>
            <w:vAlign w:val="center"/>
          </w:tcPr>
          <w:p w:rsidR="00920BA6" w:rsidRDefault="00920BA6" w:rsidP="009C1938">
            <w:pPr>
              <w:pStyle w:val="Bullet-list"/>
              <w:spacing w:after="0" w:line="240" w:lineRule="auto"/>
              <w:ind w:left="0" w:firstLine="0"/>
              <w:jc w:val="center"/>
              <w:rPr>
                <w:rFonts w:ascii="Times New Roman" w:hAnsi="Times New Roman"/>
                <w:sz w:val="24"/>
                <w:szCs w:val="24"/>
              </w:rPr>
            </w:pPr>
          </w:p>
        </w:tc>
        <w:tc>
          <w:tcPr>
            <w:tcW w:w="1701" w:type="dxa"/>
            <w:tcBorders>
              <w:left w:val="single" w:sz="4" w:space="0" w:color="auto"/>
            </w:tcBorders>
            <w:vAlign w:val="center"/>
          </w:tcPr>
          <w:p w:rsidR="00920BA6" w:rsidRDefault="00920BA6" w:rsidP="009C1938">
            <w:pPr>
              <w:pStyle w:val="Bullet-list"/>
              <w:spacing w:after="0" w:line="240" w:lineRule="auto"/>
              <w:ind w:left="0" w:firstLine="0"/>
              <w:jc w:val="center"/>
              <w:rPr>
                <w:rFonts w:ascii="Times New Roman" w:hAnsi="Times New Roman"/>
                <w:sz w:val="24"/>
                <w:szCs w:val="24"/>
              </w:rPr>
            </w:pPr>
          </w:p>
        </w:tc>
        <w:tc>
          <w:tcPr>
            <w:tcW w:w="1727" w:type="dxa"/>
            <w:vAlign w:val="center"/>
          </w:tcPr>
          <w:p w:rsidR="00920BA6" w:rsidRDefault="00920BA6" w:rsidP="009C1938">
            <w:pPr>
              <w:pStyle w:val="spacer"/>
              <w:jc w:val="center"/>
              <w:rPr>
                <w:rFonts w:ascii="Times New Roman" w:hAnsi="Times New Roman"/>
                <w:sz w:val="20"/>
                <w:szCs w:val="20"/>
                <w:lang w:val="en-AU"/>
              </w:rPr>
            </w:pPr>
            <w:r>
              <w:rPr>
                <w:rFonts w:ascii="Times New Roman" w:hAnsi="Times New Roman"/>
                <w:sz w:val="20"/>
                <w:szCs w:val="20"/>
                <w:lang w:val="en-AU"/>
              </w:rPr>
              <w:t>C</w:t>
            </w:r>
            <w:r w:rsidRPr="00723BFE">
              <w:rPr>
                <w:rFonts w:ascii="Times New Roman" w:hAnsi="Times New Roman"/>
                <w:sz w:val="20"/>
                <w:szCs w:val="20"/>
                <w:lang w:val="en-AU"/>
              </w:rPr>
              <w:t>onsistency</w:t>
            </w:r>
          </w:p>
          <w:p w:rsidR="00920BA6" w:rsidRDefault="00920BA6" w:rsidP="009C1938">
            <w:pPr>
              <w:pStyle w:val="Bullet-list"/>
              <w:spacing w:after="0" w:line="240" w:lineRule="auto"/>
              <w:ind w:left="0" w:firstLine="0"/>
              <w:jc w:val="center"/>
              <w:rPr>
                <w:rFonts w:ascii="Times New Roman" w:hAnsi="Times New Roman"/>
                <w:sz w:val="24"/>
                <w:szCs w:val="24"/>
              </w:rPr>
            </w:pPr>
            <w:r w:rsidRPr="00723BFE">
              <w:rPr>
                <w:rFonts w:ascii="Times New Roman" w:hAnsi="Times New Roman"/>
                <w:sz w:val="20"/>
              </w:rPr>
              <w:t>with</w:t>
            </w:r>
            <w:r>
              <w:rPr>
                <w:rFonts w:ascii="Times New Roman" w:hAnsi="Times New Roman"/>
                <w:sz w:val="20"/>
              </w:rPr>
              <w:t xml:space="preserve"> </w:t>
            </w:r>
            <w:r w:rsidRPr="00723BFE">
              <w:rPr>
                <w:rFonts w:ascii="Times New Roman" w:hAnsi="Times New Roman"/>
                <w:sz w:val="20"/>
              </w:rPr>
              <w:t>the CRS</w:t>
            </w:r>
          </w:p>
        </w:tc>
        <w:tc>
          <w:tcPr>
            <w:tcW w:w="1728" w:type="dxa"/>
            <w:vAlign w:val="center"/>
          </w:tcPr>
          <w:p w:rsidR="00920BA6" w:rsidRDefault="00920BA6" w:rsidP="009C1938">
            <w:pPr>
              <w:pStyle w:val="spacer"/>
              <w:jc w:val="center"/>
              <w:rPr>
                <w:rFonts w:ascii="Times New Roman" w:hAnsi="Times New Roman"/>
                <w:sz w:val="20"/>
                <w:szCs w:val="20"/>
                <w:lang w:val="en-AU"/>
              </w:rPr>
            </w:pPr>
            <w:r>
              <w:rPr>
                <w:rFonts w:ascii="Times New Roman" w:hAnsi="Times New Roman"/>
                <w:sz w:val="20"/>
                <w:szCs w:val="20"/>
                <w:lang w:val="en-AU"/>
              </w:rPr>
              <w:t>M</w:t>
            </w:r>
            <w:r w:rsidRPr="00723BFE">
              <w:rPr>
                <w:rFonts w:ascii="Times New Roman" w:hAnsi="Times New Roman"/>
                <w:sz w:val="20"/>
                <w:szCs w:val="20"/>
                <w:lang w:val="en-AU"/>
              </w:rPr>
              <w:t>aximise</w:t>
            </w:r>
          </w:p>
          <w:p w:rsidR="00920BA6" w:rsidRDefault="00920BA6" w:rsidP="009C1938">
            <w:pPr>
              <w:pStyle w:val="spacer"/>
              <w:jc w:val="center"/>
              <w:rPr>
                <w:rFonts w:ascii="Times New Roman" w:hAnsi="Times New Roman"/>
                <w:sz w:val="20"/>
                <w:szCs w:val="20"/>
                <w:lang w:val="en-AU"/>
              </w:rPr>
            </w:pPr>
            <w:r>
              <w:rPr>
                <w:rFonts w:ascii="Times New Roman" w:hAnsi="Times New Roman"/>
                <w:sz w:val="20"/>
                <w:szCs w:val="20"/>
                <w:lang w:val="en-AU"/>
              </w:rPr>
              <w:t>the b</w:t>
            </w:r>
            <w:r w:rsidRPr="00723BFE">
              <w:rPr>
                <w:rFonts w:ascii="Times New Roman" w:hAnsi="Times New Roman"/>
                <w:sz w:val="20"/>
                <w:szCs w:val="20"/>
                <w:lang w:val="en-AU"/>
              </w:rPr>
              <w:t>enefits</w:t>
            </w:r>
          </w:p>
          <w:p w:rsidR="00920BA6" w:rsidRDefault="00920BA6" w:rsidP="009C1938">
            <w:pPr>
              <w:pStyle w:val="Bullet-list"/>
              <w:spacing w:after="0" w:line="240" w:lineRule="auto"/>
              <w:ind w:left="0" w:firstLine="0"/>
              <w:jc w:val="center"/>
              <w:rPr>
                <w:rFonts w:ascii="Times New Roman" w:hAnsi="Times New Roman"/>
                <w:sz w:val="24"/>
                <w:szCs w:val="24"/>
              </w:rPr>
            </w:pPr>
            <w:r w:rsidRPr="00723BFE">
              <w:rPr>
                <w:rFonts w:ascii="Times New Roman" w:hAnsi="Times New Roman"/>
                <w:sz w:val="20"/>
              </w:rPr>
              <w:t>for NZ</w:t>
            </w:r>
          </w:p>
        </w:tc>
        <w:tc>
          <w:tcPr>
            <w:tcW w:w="1728" w:type="dxa"/>
            <w:vAlign w:val="center"/>
          </w:tcPr>
          <w:p w:rsidR="00920BA6" w:rsidRDefault="00920BA6" w:rsidP="009C1938">
            <w:pPr>
              <w:pStyle w:val="spacer"/>
              <w:jc w:val="center"/>
              <w:rPr>
                <w:rFonts w:ascii="Times New Roman" w:hAnsi="Times New Roman"/>
                <w:sz w:val="20"/>
                <w:szCs w:val="20"/>
                <w:lang w:val="en-AU"/>
              </w:rPr>
            </w:pPr>
            <w:r>
              <w:rPr>
                <w:rFonts w:ascii="Times New Roman" w:hAnsi="Times New Roman"/>
                <w:sz w:val="20"/>
                <w:szCs w:val="20"/>
                <w:lang w:val="en-AU"/>
              </w:rPr>
              <w:t>M</w:t>
            </w:r>
            <w:r w:rsidRPr="00723BFE">
              <w:rPr>
                <w:rFonts w:ascii="Times New Roman" w:hAnsi="Times New Roman"/>
                <w:sz w:val="20"/>
                <w:szCs w:val="20"/>
                <w:lang w:val="en-AU"/>
              </w:rPr>
              <w:t xml:space="preserve">inimise </w:t>
            </w:r>
            <w:r>
              <w:rPr>
                <w:rFonts w:ascii="Times New Roman" w:hAnsi="Times New Roman"/>
                <w:sz w:val="20"/>
                <w:szCs w:val="20"/>
                <w:lang w:val="en-AU"/>
              </w:rPr>
              <w:t>c</w:t>
            </w:r>
            <w:r w:rsidRPr="00723BFE">
              <w:rPr>
                <w:rFonts w:ascii="Times New Roman" w:hAnsi="Times New Roman"/>
                <w:sz w:val="20"/>
                <w:szCs w:val="20"/>
                <w:lang w:val="en-AU"/>
              </w:rPr>
              <w:t>ompliance</w:t>
            </w:r>
          </w:p>
          <w:p w:rsidR="00920BA6" w:rsidRDefault="00920BA6" w:rsidP="009C1938">
            <w:pPr>
              <w:pStyle w:val="Bullet-list"/>
              <w:spacing w:after="0" w:line="240" w:lineRule="auto"/>
              <w:ind w:left="0" w:firstLine="0"/>
              <w:jc w:val="center"/>
              <w:rPr>
                <w:rFonts w:ascii="Times New Roman" w:hAnsi="Times New Roman"/>
                <w:sz w:val="24"/>
                <w:szCs w:val="24"/>
              </w:rPr>
            </w:pPr>
            <w:r w:rsidRPr="00723BFE">
              <w:rPr>
                <w:rFonts w:ascii="Times New Roman" w:hAnsi="Times New Roman"/>
                <w:sz w:val="20"/>
              </w:rPr>
              <w:t>costs</w:t>
            </w:r>
          </w:p>
        </w:tc>
        <w:tc>
          <w:tcPr>
            <w:tcW w:w="1728" w:type="dxa"/>
            <w:vAlign w:val="center"/>
          </w:tcPr>
          <w:p w:rsidR="00920BA6" w:rsidRDefault="00920BA6" w:rsidP="009C1938">
            <w:pPr>
              <w:pStyle w:val="Bullet-list"/>
              <w:spacing w:after="0" w:line="240" w:lineRule="auto"/>
              <w:ind w:left="0" w:firstLine="0"/>
              <w:jc w:val="center"/>
              <w:rPr>
                <w:rFonts w:ascii="Times New Roman" w:hAnsi="Times New Roman"/>
                <w:sz w:val="24"/>
                <w:szCs w:val="24"/>
              </w:rPr>
            </w:pPr>
            <w:r>
              <w:rPr>
                <w:rFonts w:ascii="Times New Roman" w:hAnsi="Times New Roman"/>
                <w:sz w:val="20"/>
              </w:rPr>
              <w:t>M</w:t>
            </w:r>
            <w:r w:rsidRPr="00723BFE">
              <w:rPr>
                <w:rFonts w:ascii="Times New Roman" w:hAnsi="Times New Roman"/>
                <w:sz w:val="20"/>
              </w:rPr>
              <w:t xml:space="preserve">inimise </w:t>
            </w:r>
            <w:r>
              <w:rPr>
                <w:rFonts w:ascii="Times New Roman" w:hAnsi="Times New Roman"/>
                <w:sz w:val="20"/>
              </w:rPr>
              <w:t>a</w:t>
            </w:r>
            <w:r w:rsidRPr="00723BFE">
              <w:rPr>
                <w:rFonts w:ascii="Times New Roman" w:hAnsi="Times New Roman"/>
                <w:sz w:val="20"/>
              </w:rPr>
              <w:t>dministrative costs</w:t>
            </w:r>
          </w:p>
        </w:tc>
      </w:tr>
      <w:tr w:rsidR="00920BA6" w:rsidTr="009C1938">
        <w:tc>
          <w:tcPr>
            <w:tcW w:w="675" w:type="dxa"/>
            <w:tcBorders>
              <w:top w:val="nil"/>
              <w:left w:val="nil"/>
              <w:bottom w:val="nil"/>
              <w:right w:val="single" w:sz="4" w:space="0" w:color="auto"/>
            </w:tcBorders>
          </w:tcPr>
          <w:p w:rsidR="00920BA6" w:rsidRDefault="00920BA6" w:rsidP="009C1938">
            <w:pPr>
              <w:pStyle w:val="Bullet-list"/>
              <w:spacing w:after="0" w:line="240" w:lineRule="auto"/>
              <w:ind w:left="0" w:firstLine="0"/>
              <w:rPr>
                <w:rFonts w:ascii="Times New Roman" w:hAnsi="Times New Roman"/>
                <w:sz w:val="24"/>
                <w:szCs w:val="24"/>
              </w:rPr>
            </w:pPr>
          </w:p>
        </w:tc>
        <w:tc>
          <w:tcPr>
            <w:tcW w:w="1701" w:type="dxa"/>
            <w:tcBorders>
              <w:left w:val="single" w:sz="4" w:space="0" w:color="auto"/>
            </w:tcBorders>
          </w:tcPr>
          <w:p w:rsidR="00920BA6" w:rsidRPr="00723BFE" w:rsidRDefault="00920BA6" w:rsidP="009C1938">
            <w:pPr>
              <w:pStyle w:val="spacer"/>
              <w:jc w:val="left"/>
              <w:rPr>
                <w:rFonts w:ascii="Times New Roman" w:hAnsi="Times New Roman"/>
                <w:sz w:val="20"/>
                <w:szCs w:val="20"/>
                <w:lang w:val="en-AU"/>
              </w:rPr>
            </w:pPr>
            <w:r w:rsidRPr="00723BFE">
              <w:rPr>
                <w:rFonts w:ascii="Times New Roman" w:hAnsi="Times New Roman"/>
                <w:sz w:val="20"/>
                <w:szCs w:val="20"/>
                <w:lang w:val="en-AU"/>
              </w:rPr>
              <w:t>Low cost approach</w:t>
            </w:r>
          </w:p>
        </w:tc>
        <w:tc>
          <w:tcPr>
            <w:tcW w:w="1727" w:type="dxa"/>
            <w:vAlign w:val="center"/>
          </w:tcPr>
          <w:p w:rsidR="00920BA6" w:rsidRDefault="00920BA6" w:rsidP="009C1938">
            <w:pPr>
              <w:pStyle w:val="Bullet-list"/>
              <w:spacing w:after="0" w:line="240" w:lineRule="auto"/>
              <w:ind w:left="0" w:firstLine="0"/>
              <w:jc w:val="center"/>
              <w:rPr>
                <w:rFonts w:ascii="Times New Roman" w:hAnsi="Times New Roman"/>
                <w:sz w:val="24"/>
                <w:szCs w:val="24"/>
              </w:rPr>
            </w:pPr>
            <w:r>
              <w:rPr>
                <w:rFonts w:ascii="Times New Roman" w:hAnsi="Times New Roman"/>
                <w:sz w:val="24"/>
                <w:szCs w:val="24"/>
              </w:rPr>
              <w:sym w:font="Wingdings" w:char="F0FB"/>
            </w:r>
          </w:p>
        </w:tc>
        <w:tc>
          <w:tcPr>
            <w:tcW w:w="1728" w:type="dxa"/>
            <w:vAlign w:val="center"/>
          </w:tcPr>
          <w:p w:rsidR="00920BA6" w:rsidRDefault="00920BA6" w:rsidP="009C1938">
            <w:pPr>
              <w:pStyle w:val="Bullet-list"/>
              <w:spacing w:after="0" w:line="240" w:lineRule="auto"/>
              <w:ind w:left="0" w:firstLine="0"/>
              <w:jc w:val="center"/>
              <w:rPr>
                <w:rFonts w:ascii="Times New Roman" w:hAnsi="Times New Roman"/>
                <w:sz w:val="24"/>
                <w:szCs w:val="24"/>
              </w:rPr>
            </w:pPr>
            <w:r>
              <w:rPr>
                <w:rFonts w:ascii="Times New Roman" w:hAnsi="Times New Roman"/>
                <w:sz w:val="24"/>
                <w:szCs w:val="24"/>
              </w:rPr>
              <w:sym w:font="Wingdings" w:char="F0FC"/>
            </w:r>
            <w:r>
              <w:rPr>
                <w:rFonts w:ascii="Times New Roman" w:hAnsi="Times New Roman"/>
                <w:sz w:val="24"/>
                <w:szCs w:val="24"/>
              </w:rPr>
              <w:sym w:font="Wingdings" w:char="F0FB"/>
            </w:r>
          </w:p>
        </w:tc>
        <w:tc>
          <w:tcPr>
            <w:tcW w:w="1728" w:type="dxa"/>
            <w:vAlign w:val="center"/>
          </w:tcPr>
          <w:p w:rsidR="00920BA6" w:rsidRDefault="00920BA6" w:rsidP="009C1938">
            <w:pPr>
              <w:pStyle w:val="Bullet-list"/>
              <w:spacing w:after="0" w:line="240" w:lineRule="auto"/>
              <w:ind w:left="0" w:firstLine="0"/>
              <w:jc w:val="center"/>
              <w:rPr>
                <w:rFonts w:ascii="Times New Roman" w:hAnsi="Times New Roman"/>
                <w:sz w:val="24"/>
                <w:szCs w:val="24"/>
              </w:rPr>
            </w:pPr>
            <w:r>
              <w:rPr>
                <w:rFonts w:ascii="Times New Roman" w:hAnsi="Times New Roman"/>
                <w:sz w:val="24"/>
                <w:szCs w:val="24"/>
              </w:rPr>
              <w:sym w:font="Wingdings" w:char="F0FC"/>
            </w:r>
          </w:p>
        </w:tc>
        <w:tc>
          <w:tcPr>
            <w:tcW w:w="1728" w:type="dxa"/>
            <w:vAlign w:val="center"/>
          </w:tcPr>
          <w:p w:rsidR="00920BA6" w:rsidRDefault="00920BA6" w:rsidP="009C1938">
            <w:pPr>
              <w:pStyle w:val="Bullet-list"/>
              <w:spacing w:after="0" w:line="240" w:lineRule="auto"/>
              <w:ind w:left="0" w:firstLine="0"/>
              <w:jc w:val="center"/>
              <w:rPr>
                <w:rFonts w:ascii="Times New Roman" w:hAnsi="Times New Roman"/>
                <w:sz w:val="24"/>
                <w:szCs w:val="24"/>
              </w:rPr>
            </w:pPr>
            <w:r>
              <w:rPr>
                <w:rFonts w:ascii="Times New Roman" w:hAnsi="Times New Roman"/>
                <w:sz w:val="24"/>
                <w:szCs w:val="24"/>
              </w:rPr>
              <w:sym w:font="Wingdings" w:char="F0FC"/>
            </w:r>
          </w:p>
        </w:tc>
      </w:tr>
      <w:tr w:rsidR="00920BA6" w:rsidTr="009C1938">
        <w:tc>
          <w:tcPr>
            <w:tcW w:w="675" w:type="dxa"/>
            <w:tcBorders>
              <w:top w:val="nil"/>
              <w:left w:val="nil"/>
              <w:bottom w:val="nil"/>
              <w:right w:val="single" w:sz="4" w:space="0" w:color="auto"/>
            </w:tcBorders>
          </w:tcPr>
          <w:p w:rsidR="00920BA6" w:rsidRDefault="00920BA6" w:rsidP="009C1938">
            <w:pPr>
              <w:pStyle w:val="Bullet-list"/>
              <w:spacing w:after="0" w:line="240" w:lineRule="auto"/>
              <w:ind w:left="0" w:firstLine="0"/>
              <w:rPr>
                <w:rFonts w:ascii="Times New Roman" w:hAnsi="Times New Roman"/>
                <w:sz w:val="24"/>
                <w:szCs w:val="24"/>
              </w:rPr>
            </w:pPr>
          </w:p>
        </w:tc>
        <w:tc>
          <w:tcPr>
            <w:tcW w:w="1701" w:type="dxa"/>
            <w:tcBorders>
              <w:left w:val="single" w:sz="4" w:space="0" w:color="auto"/>
            </w:tcBorders>
          </w:tcPr>
          <w:p w:rsidR="00920BA6" w:rsidRPr="00723BFE" w:rsidRDefault="00920BA6" w:rsidP="009C1938">
            <w:pPr>
              <w:pStyle w:val="spacer"/>
              <w:jc w:val="left"/>
              <w:rPr>
                <w:rFonts w:ascii="Times New Roman" w:hAnsi="Times New Roman"/>
                <w:sz w:val="20"/>
                <w:szCs w:val="20"/>
                <w:lang w:val="en-AU"/>
              </w:rPr>
            </w:pPr>
            <w:r>
              <w:rPr>
                <w:rFonts w:ascii="Times New Roman" w:hAnsi="Times New Roman"/>
                <w:sz w:val="20"/>
                <w:szCs w:val="20"/>
                <w:lang w:val="en-AU"/>
              </w:rPr>
              <w:t>Balanced</w:t>
            </w:r>
            <w:r w:rsidRPr="00723BFE">
              <w:rPr>
                <w:rFonts w:ascii="Times New Roman" w:hAnsi="Times New Roman"/>
                <w:sz w:val="20"/>
                <w:szCs w:val="20"/>
                <w:lang w:val="en-AU"/>
              </w:rPr>
              <w:t xml:space="preserve"> approach</w:t>
            </w:r>
          </w:p>
        </w:tc>
        <w:tc>
          <w:tcPr>
            <w:tcW w:w="1727" w:type="dxa"/>
            <w:vAlign w:val="center"/>
          </w:tcPr>
          <w:p w:rsidR="00920BA6" w:rsidRDefault="00920BA6" w:rsidP="009C1938">
            <w:pPr>
              <w:pStyle w:val="Bullet-list"/>
              <w:spacing w:after="0" w:line="240" w:lineRule="auto"/>
              <w:ind w:left="0" w:firstLine="0"/>
              <w:jc w:val="center"/>
              <w:rPr>
                <w:rFonts w:ascii="Times New Roman" w:hAnsi="Times New Roman"/>
                <w:sz w:val="24"/>
                <w:szCs w:val="24"/>
              </w:rPr>
            </w:pPr>
            <w:r>
              <w:rPr>
                <w:rFonts w:ascii="Times New Roman" w:hAnsi="Times New Roman"/>
                <w:sz w:val="24"/>
                <w:szCs w:val="24"/>
              </w:rPr>
              <w:sym w:font="Wingdings" w:char="F0FC"/>
            </w:r>
          </w:p>
        </w:tc>
        <w:tc>
          <w:tcPr>
            <w:tcW w:w="1728" w:type="dxa"/>
            <w:vAlign w:val="center"/>
          </w:tcPr>
          <w:p w:rsidR="00920BA6" w:rsidRDefault="00920BA6" w:rsidP="009C1938">
            <w:pPr>
              <w:pStyle w:val="Bullet-list"/>
              <w:spacing w:after="0" w:line="240" w:lineRule="auto"/>
              <w:ind w:left="0" w:firstLine="0"/>
              <w:jc w:val="center"/>
              <w:rPr>
                <w:rFonts w:ascii="Times New Roman" w:hAnsi="Times New Roman"/>
                <w:sz w:val="24"/>
                <w:szCs w:val="24"/>
              </w:rPr>
            </w:pPr>
            <w:r>
              <w:rPr>
                <w:rFonts w:ascii="Times New Roman" w:hAnsi="Times New Roman"/>
                <w:sz w:val="24"/>
                <w:szCs w:val="24"/>
              </w:rPr>
              <w:sym w:font="Wingdings" w:char="F0FC"/>
            </w:r>
          </w:p>
        </w:tc>
        <w:tc>
          <w:tcPr>
            <w:tcW w:w="1728" w:type="dxa"/>
            <w:vAlign w:val="center"/>
          </w:tcPr>
          <w:p w:rsidR="00920BA6" w:rsidRDefault="00920BA6" w:rsidP="009C1938">
            <w:pPr>
              <w:pStyle w:val="Bullet-list"/>
              <w:spacing w:after="0" w:line="240" w:lineRule="auto"/>
              <w:ind w:left="0" w:firstLine="0"/>
              <w:jc w:val="center"/>
              <w:rPr>
                <w:rFonts w:ascii="Times New Roman" w:hAnsi="Times New Roman"/>
                <w:sz w:val="24"/>
                <w:szCs w:val="24"/>
              </w:rPr>
            </w:pPr>
            <w:r>
              <w:rPr>
                <w:rFonts w:ascii="Times New Roman" w:hAnsi="Times New Roman"/>
                <w:sz w:val="24"/>
                <w:szCs w:val="24"/>
              </w:rPr>
              <w:sym w:font="Wingdings" w:char="F0FC"/>
            </w:r>
          </w:p>
        </w:tc>
        <w:tc>
          <w:tcPr>
            <w:tcW w:w="1728" w:type="dxa"/>
            <w:vAlign w:val="center"/>
          </w:tcPr>
          <w:p w:rsidR="00920BA6" w:rsidRDefault="00920BA6" w:rsidP="009C1938">
            <w:pPr>
              <w:pStyle w:val="Bullet-list"/>
              <w:spacing w:after="0" w:line="240" w:lineRule="auto"/>
              <w:ind w:left="0" w:firstLine="0"/>
              <w:jc w:val="center"/>
              <w:rPr>
                <w:rFonts w:ascii="Times New Roman" w:hAnsi="Times New Roman"/>
                <w:sz w:val="24"/>
                <w:szCs w:val="24"/>
              </w:rPr>
            </w:pPr>
            <w:r>
              <w:rPr>
                <w:rFonts w:ascii="Times New Roman" w:hAnsi="Times New Roman"/>
                <w:sz w:val="24"/>
                <w:szCs w:val="24"/>
              </w:rPr>
              <w:sym w:font="Wingdings" w:char="F0FC"/>
            </w:r>
          </w:p>
        </w:tc>
      </w:tr>
      <w:tr w:rsidR="00920BA6" w:rsidTr="009C1938">
        <w:tc>
          <w:tcPr>
            <w:tcW w:w="675" w:type="dxa"/>
            <w:tcBorders>
              <w:top w:val="nil"/>
              <w:left w:val="nil"/>
              <w:bottom w:val="nil"/>
              <w:right w:val="single" w:sz="4" w:space="0" w:color="auto"/>
            </w:tcBorders>
          </w:tcPr>
          <w:p w:rsidR="00920BA6" w:rsidRDefault="00920BA6" w:rsidP="009C1938">
            <w:pPr>
              <w:pStyle w:val="Bullet-list"/>
              <w:spacing w:after="0" w:line="240" w:lineRule="auto"/>
              <w:ind w:left="0" w:firstLine="0"/>
              <w:rPr>
                <w:rFonts w:ascii="Times New Roman" w:hAnsi="Times New Roman"/>
                <w:sz w:val="24"/>
                <w:szCs w:val="24"/>
              </w:rPr>
            </w:pPr>
          </w:p>
        </w:tc>
        <w:tc>
          <w:tcPr>
            <w:tcW w:w="1701" w:type="dxa"/>
            <w:tcBorders>
              <w:left w:val="single" w:sz="4" w:space="0" w:color="auto"/>
            </w:tcBorders>
          </w:tcPr>
          <w:p w:rsidR="00920BA6" w:rsidRPr="00723BFE" w:rsidRDefault="00920BA6" w:rsidP="009C1938">
            <w:pPr>
              <w:pStyle w:val="spacer"/>
              <w:jc w:val="left"/>
              <w:rPr>
                <w:rFonts w:ascii="Times New Roman" w:hAnsi="Times New Roman"/>
                <w:sz w:val="20"/>
                <w:szCs w:val="20"/>
                <w:lang w:val="en-AU"/>
              </w:rPr>
            </w:pPr>
            <w:r>
              <w:rPr>
                <w:rFonts w:ascii="Times New Roman" w:hAnsi="Times New Roman"/>
                <w:sz w:val="20"/>
                <w:szCs w:val="20"/>
                <w:lang w:val="en-AU"/>
              </w:rPr>
              <w:t>High cost</w:t>
            </w:r>
            <w:r w:rsidRPr="00723BFE">
              <w:rPr>
                <w:rFonts w:ascii="Times New Roman" w:hAnsi="Times New Roman"/>
                <w:sz w:val="20"/>
                <w:szCs w:val="20"/>
                <w:lang w:val="en-AU"/>
              </w:rPr>
              <w:t xml:space="preserve"> approach</w:t>
            </w:r>
          </w:p>
        </w:tc>
        <w:tc>
          <w:tcPr>
            <w:tcW w:w="1727" w:type="dxa"/>
            <w:vAlign w:val="center"/>
          </w:tcPr>
          <w:p w:rsidR="00920BA6" w:rsidRDefault="00920BA6" w:rsidP="009C1938">
            <w:pPr>
              <w:pStyle w:val="Bullet-list"/>
              <w:spacing w:after="0" w:line="240" w:lineRule="auto"/>
              <w:ind w:left="0" w:firstLine="0"/>
              <w:jc w:val="center"/>
              <w:rPr>
                <w:rFonts w:ascii="Times New Roman" w:hAnsi="Times New Roman"/>
                <w:sz w:val="24"/>
                <w:szCs w:val="24"/>
              </w:rPr>
            </w:pPr>
            <w:r>
              <w:rPr>
                <w:rFonts w:ascii="Times New Roman" w:hAnsi="Times New Roman"/>
                <w:sz w:val="24"/>
                <w:szCs w:val="24"/>
              </w:rPr>
              <w:sym w:font="Wingdings" w:char="F0FC"/>
            </w:r>
          </w:p>
        </w:tc>
        <w:tc>
          <w:tcPr>
            <w:tcW w:w="1728" w:type="dxa"/>
            <w:vAlign w:val="center"/>
          </w:tcPr>
          <w:p w:rsidR="00920BA6" w:rsidRDefault="00920BA6" w:rsidP="009C1938">
            <w:pPr>
              <w:pStyle w:val="Bullet-list"/>
              <w:spacing w:after="0" w:line="240" w:lineRule="auto"/>
              <w:ind w:left="0" w:firstLine="0"/>
              <w:jc w:val="center"/>
              <w:rPr>
                <w:rFonts w:ascii="Times New Roman" w:hAnsi="Times New Roman"/>
                <w:sz w:val="24"/>
                <w:szCs w:val="24"/>
              </w:rPr>
            </w:pPr>
            <w:r>
              <w:rPr>
                <w:rFonts w:ascii="Times New Roman" w:hAnsi="Times New Roman"/>
                <w:sz w:val="24"/>
                <w:szCs w:val="24"/>
              </w:rPr>
              <w:sym w:font="Wingdings" w:char="F0FC"/>
            </w:r>
          </w:p>
        </w:tc>
        <w:tc>
          <w:tcPr>
            <w:tcW w:w="1728" w:type="dxa"/>
            <w:vAlign w:val="center"/>
          </w:tcPr>
          <w:p w:rsidR="00920BA6" w:rsidRDefault="00920BA6" w:rsidP="009C1938">
            <w:pPr>
              <w:pStyle w:val="Bullet-list"/>
              <w:spacing w:after="0" w:line="240" w:lineRule="auto"/>
              <w:ind w:left="0" w:firstLine="0"/>
              <w:jc w:val="center"/>
              <w:rPr>
                <w:rFonts w:ascii="Times New Roman" w:hAnsi="Times New Roman"/>
                <w:sz w:val="24"/>
                <w:szCs w:val="24"/>
              </w:rPr>
            </w:pPr>
            <w:r>
              <w:rPr>
                <w:rFonts w:ascii="Times New Roman" w:hAnsi="Times New Roman"/>
                <w:sz w:val="24"/>
                <w:szCs w:val="24"/>
              </w:rPr>
              <w:sym w:font="Wingdings" w:char="F0FB"/>
            </w:r>
          </w:p>
        </w:tc>
        <w:tc>
          <w:tcPr>
            <w:tcW w:w="1728" w:type="dxa"/>
            <w:vAlign w:val="center"/>
          </w:tcPr>
          <w:p w:rsidR="00920BA6" w:rsidRDefault="00A84B5E" w:rsidP="009C1938">
            <w:pPr>
              <w:pStyle w:val="Bullet-list"/>
              <w:spacing w:after="0" w:line="240" w:lineRule="auto"/>
              <w:ind w:left="0" w:firstLine="0"/>
              <w:jc w:val="center"/>
              <w:rPr>
                <w:rFonts w:ascii="Times New Roman" w:hAnsi="Times New Roman"/>
                <w:sz w:val="24"/>
                <w:szCs w:val="24"/>
              </w:rPr>
            </w:pPr>
            <w:r w:rsidRPr="00A84B5E">
              <w:rPr>
                <w:rFonts w:ascii="Times New Roman" w:hAnsi="Times New Roman"/>
                <w:sz w:val="24"/>
                <w:szCs w:val="24"/>
                <w:lang w:val="en-GB"/>
              </w:rPr>
              <w:sym w:font="Wingdings" w:char="F0FC"/>
            </w:r>
            <w:r w:rsidR="00920BA6">
              <w:rPr>
                <w:rFonts w:ascii="Times New Roman" w:hAnsi="Times New Roman"/>
                <w:sz w:val="24"/>
                <w:szCs w:val="24"/>
              </w:rPr>
              <w:sym w:font="Wingdings" w:char="F0FB"/>
            </w:r>
          </w:p>
        </w:tc>
      </w:tr>
    </w:tbl>
    <w:p w:rsidR="00920BA6" w:rsidRDefault="00920BA6" w:rsidP="00920BA6">
      <w:pPr>
        <w:pStyle w:val="Bullet-list"/>
        <w:spacing w:after="0" w:line="240" w:lineRule="auto"/>
        <w:ind w:left="0" w:firstLine="0"/>
        <w:jc w:val="both"/>
        <w:rPr>
          <w:rFonts w:ascii="Times New Roman" w:hAnsi="Times New Roman"/>
          <w:sz w:val="24"/>
          <w:szCs w:val="24"/>
        </w:rPr>
      </w:pPr>
    </w:p>
    <w:p w:rsidR="00920BA6" w:rsidRPr="00BB0E47" w:rsidRDefault="00920BA6" w:rsidP="00920BA6">
      <w:pPr>
        <w:pStyle w:val="spacer"/>
        <w:ind w:left="567"/>
        <w:jc w:val="both"/>
        <w:rPr>
          <w:rFonts w:ascii="Times New Roman" w:hAnsi="Times New Roman"/>
          <w:sz w:val="20"/>
          <w:szCs w:val="20"/>
          <w:lang w:val="en-AU"/>
        </w:rPr>
      </w:pPr>
      <w:r w:rsidRPr="0022551A">
        <w:rPr>
          <w:rFonts w:ascii="Times New Roman" w:hAnsi="Times New Roman"/>
          <w:sz w:val="20"/>
          <w:szCs w:val="20"/>
          <w:lang w:val="en-AU"/>
        </w:rPr>
        <w:t xml:space="preserve">Key: </w:t>
      </w:r>
      <w:r w:rsidRPr="0022551A">
        <w:rPr>
          <w:rFonts w:ascii="Times New Roman" w:hAnsi="Times New Roman"/>
          <w:sz w:val="20"/>
          <w:szCs w:val="20"/>
          <w:lang w:val="en-AU"/>
        </w:rPr>
        <w:sym w:font="Wingdings" w:char="F0FC"/>
      </w:r>
      <w:r w:rsidRPr="0022551A">
        <w:rPr>
          <w:rFonts w:ascii="Times New Roman" w:hAnsi="Times New Roman"/>
          <w:sz w:val="20"/>
          <w:szCs w:val="20"/>
          <w:lang w:val="en-AU"/>
        </w:rPr>
        <w:t xml:space="preserve"> = meets, </w:t>
      </w:r>
      <w:r w:rsidRPr="0022551A">
        <w:rPr>
          <w:rFonts w:ascii="Times New Roman" w:hAnsi="Times New Roman"/>
          <w:sz w:val="20"/>
          <w:szCs w:val="20"/>
          <w:lang w:val="en-AU"/>
        </w:rPr>
        <w:sym w:font="Wingdings" w:char="F0FC"/>
      </w:r>
      <w:r w:rsidRPr="0022551A">
        <w:rPr>
          <w:rFonts w:ascii="Times New Roman" w:hAnsi="Times New Roman"/>
          <w:sz w:val="20"/>
          <w:szCs w:val="20"/>
          <w:lang w:val="en-AU"/>
        </w:rPr>
        <w:sym w:font="Wingdings" w:char="F0FB"/>
      </w:r>
      <w:r w:rsidRPr="0022551A">
        <w:rPr>
          <w:rFonts w:ascii="Times New Roman" w:hAnsi="Times New Roman"/>
          <w:sz w:val="20"/>
          <w:szCs w:val="20"/>
          <w:lang w:val="en-AU"/>
        </w:rPr>
        <w:t xml:space="preserve"> = partially meets, </w:t>
      </w:r>
      <w:r w:rsidRPr="0022551A">
        <w:rPr>
          <w:rFonts w:ascii="Times New Roman" w:hAnsi="Times New Roman"/>
          <w:sz w:val="20"/>
          <w:szCs w:val="20"/>
          <w:lang w:val="en-AU"/>
        </w:rPr>
        <w:sym w:font="Wingdings" w:char="F0FB"/>
      </w:r>
      <w:r w:rsidRPr="00BB0E47">
        <w:rPr>
          <w:rFonts w:ascii="Times New Roman" w:hAnsi="Times New Roman"/>
          <w:sz w:val="20"/>
          <w:szCs w:val="20"/>
          <w:lang w:val="en-AU"/>
        </w:rPr>
        <w:t xml:space="preserve"> = does not meet</w:t>
      </w:r>
    </w:p>
    <w:p w:rsidR="00920BA6" w:rsidRDefault="00920BA6" w:rsidP="003946E7">
      <w:pPr>
        <w:pStyle w:val="spacer"/>
        <w:jc w:val="both"/>
        <w:rPr>
          <w:rFonts w:ascii="Times New Roman" w:hAnsi="Times New Roman"/>
          <w:sz w:val="24"/>
          <w:szCs w:val="24"/>
          <w:lang w:val="en-AU"/>
        </w:rPr>
      </w:pPr>
    </w:p>
    <w:p w:rsidR="003946E7" w:rsidRDefault="003946E7" w:rsidP="007946CC">
      <w:pPr>
        <w:pStyle w:val="Bullet-list"/>
        <w:spacing w:after="0" w:line="240" w:lineRule="auto"/>
        <w:ind w:left="567" w:hanging="567"/>
        <w:jc w:val="both"/>
        <w:rPr>
          <w:rFonts w:ascii="Times New Roman" w:hAnsi="Times New Roman"/>
          <w:sz w:val="24"/>
          <w:szCs w:val="24"/>
          <w:lang w:val="en-GB"/>
        </w:rPr>
      </w:pPr>
      <w:r w:rsidRPr="008E3CA4">
        <w:rPr>
          <w:rFonts w:ascii="Times New Roman" w:hAnsi="Times New Roman"/>
          <w:sz w:val="24"/>
          <w:szCs w:val="24"/>
          <w:lang w:val="en-GB"/>
        </w:rPr>
        <w:fldChar w:fldCharType="begin"/>
      </w:r>
      <w:r w:rsidRPr="008E3CA4">
        <w:rPr>
          <w:rFonts w:ascii="Times New Roman" w:hAnsi="Times New Roman"/>
          <w:sz w:val="24"/>
          <w:szCs w:val="24"/>
          <w:lang w:val="en-GB"/>
        </w:rPr>
        <w:instrText xml:space="preserve"> AUTONUM  \* Arabic  </w:instrText>
      </w:r>
      <w:r w:rsidRPr="008E3CA4">
        <w:rPr>
          <w:rFonts w:ascii="Times New Roman" w:hAnsi="Times New Roman"/>
          <w:sz w:val="24"/>
          <w:szCs w:val="24"/>
        </w:rPr>
        <w:fldChar w:fldCharType="end"/>
      </w:r>
      <w:r w:rsidRPr="008E3CA4">
        <w:rPr>
          <w:rFonts w:ascii="Times New Roman" w:hAnsi="Times New Roman"/>
          <w:sz w:val="24"/>
          <w:szCs w:val="24"/>
          <w:lang w:val="en-GB"/>
        </w:rPr>
        <w:tab/>
      </w:r>
      <w:r>
        <w:rPr>
          <w:rFonts w:ascii="Times New Roman" w:hAnsi="Times New Roman"/>
          <w:sz w:val="24"/>
          <w:szCs w:val="24"/>
          <w:lang w:val="en-GB"/>
        </w:rPr>
        <w:t>Option 1 (the status quo) is not supported because it is not tenable.  Options 2 and 4 are not supported because they do not meet all of the objectives.  In particular, option 2 would result in New Zealand failing to meet international expectations, whereas option 4 would meet international expectations but impose compliance costs and administrative costs that could otherwise be mitigated.</w:t>
      </w:r>
    </w:p>
    <w:p w:rsidR="00E10EAF" w:rsidRDefault="00E10EAF" w:rsidP="007946CC">
      <w:pPr>
        <w:pStyle w:val="Bullet-list"/>
        <w:spacing w:after="0" w:line="240" w:lineRule="auto"/>
        <w:ind w:left="567" w:hanging="567"/>
        <w:jc w:val="both"/>
        <w:rPr>
          <w:rFonts w:ascii="Times New Roman" w:hAnsi="Times New Roman"/>
          <w:sz w:val="24"/>
          <w:szCs w:val="24"/>
          <w:lang w:val="en-GB"/>
        </w:rPr>
      </w:pPr>
    </w:p>
    <w:p w:rsidR="00E10EAF" w:rsidRDefault="00E10EAF" w:rsidP="003946E7">
      <w:pPr>
        <w:pStyle w:val="Bullet-list"/>
        <w:spacing w:after="0" w:line="240" w:lineRule="auto"/>
        <w:ind w:left="0" w:firstLine="0"/>
        <w:jc w:val="both"/>
        <w:rPr>
          <w:rFonts w:ascii="Times New Roman" w:hAnsi="Times New Roman"/>
          <w:sz w:val="24"/>
          <w:szCs w:val="24"/>
          <w:lang w:val="en-GB"/>
        </w:rPr>
      </w:pPr>
    </w:p>
    <w:p w:rsidR="00DA6AAC" w:rsidRDefault="00DA6AAC">
      <w:pPr>
        <w:spacing w:after="0" w:line="240" w:lineRule="auto"/>
        <w:rPr>
          <w:rFonts w:ascii="Times New Roman" w:hAnsi="Times New Roman"/>
          <w:b/>
          <w:sz w:val="24"/>
          <w:szCs w:val="24"/>
          <w:lang w:val="en-AU" w:eastAsia="en-AU"/>
        </w:rPr>
      </w:pPr>
      <w:bookmarkStart w:id="34" w:name="_Toc244580368"/>
      <w:bookmarkStart w:id="35" w:name="_Toc244587044"/>
      <w:bookmarkStart w:id="36" w:name="_Toc244857278"/>
      <w:bookmarkStart w:id="37" w:name="_Toc244912543"/>
      <w:bookmarkStart w:id="38" w:name="_Toc244917000"/>
      <w:r>
        <w:rPr>
          <w:rFonts w:ascii="Times New Roman" w:hAnsi="Times New Roman"/>
          <w:b/>
          <w:sz w:val="24"/>
          <w:szCs w:val="24"/>
          <w:lang w:val="en-AU"/>
        </w:rPr>
        <w:br w:type="page"/>
      </w:r>
    </w:p>
    <w:p w:rsidR="000545DC" w:rsidRPr="00F65FFA" w:rsidRDefault="00D943DD" w:rsidP="00F65FFA">
      <w:pPr>
        <w:pStyle w:val="spacer"/>
        <w:jc w:val="both"/>
        <w:rPr>
          <w:lang w:val="en-AU"/>
        </w:rPr>
      </w:pPr>
      <w:r w:rsidRPr="00F65FFA">
        <w:rPr>
          <w:rFonts w:ascii="Times New Roman" w:hAnsi="Times New Roman"/>
          <w:b/>
          <w:sz w:val="24"/>
          <w:szCs w:val="24"/>
          <w:lang w:val="en-AU"/>
        </w:rPr>
        <w:t>IMPLEMENTATION</w:t>
      </w:r>
      <w:bookmarkEnd w:id="34"/>
      <w:bookmarkEnd w:id="35"/>
      <w:bookmarkEnd w:id="36"/>
      <w:bookmarkEnd w:id="37"/>
      <w:bookmarkEnd w:id="38"/>
    </w:p>
    <w:p w:rsidR="00E10EAF" w:rsidRDefault="00E10EAF" w:rsidP="00893C21">
      <w:pPr>
        <w:pStyle w:val="Bullet-list"/>
        <w:spacing w:after="0" w:line="240" w:lineRule="auto"/>
        <w:ind w:left="0" w:firstLine="0"/>
        <w:jc w:val="both"/>
        <w:rPr>
          <w:rFonts w:ascii="Times New Roman" w:hAnsi="Times New Roman"/>
          <w:sz w:val="24"/>
          <w:szCs w:val="24"/>
        </w:rPr>
      </w:pPr>
    </w:p>
    <w:p w:rsidR="000545DC" w:rsidRDefault="00706833" w:rsidP="007946CC">
      <w:pPr>
        <w:pStyle w:val="Bullet-list"/>
        <w:spacing w:after="0" w:line="240" w:lineRule="auto"/>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r>
      <w:r w:rsidR="00893C21">
        <w:rPr>
          <w:rFonts w:ascii="Times New Roman" w:hAnsi="Times New Roman"/>
          <w:sz w:val="24"/>
          <w:szCs w:val="24"/>
        </w:rPr>
        <w:t>Option 3 would involve implementing AEOI on the basis of balanced implementation decisions that reduce</w:t>
      </w:r>
      <w:r w:rsidR="00893C21" w:rsidRPr="00280350">
        <w:rPr>
          <w:rFonts w:ascii="Times New Roman" w:hAnsi="Times New Roman"/>
          <w:sz w:val="24"/>
          <w:szCs w:val="24"/>
        </w:rPr>
        <w:t xml:space="preserve"> compliance cost</w:t>
      </w:r>
      <w:r w:rsidR="00893C21">
        <w:rPr>
          <w:rFonts w:ascii="Times New Roman" w:hAnsi="Times New Roman"/>
          <w:sz w:val="24"/>
          <w:szCs w:val="24"/>
        </w:rPr>
        <w:t>s</w:t>
      </w:r>
      <w:r w:rsidR="0069726B">
        <w:rPr>
          <w:rFonts w:ascii="Times New Roman" w:hAnsi="Times New Roman"/>
          <w:sz w:val="24"/>
          <w:szCs w:val="24"/>
        </w:rPr>
        <w:t xml:space="preserve"> </w:t>
      </w:r>
      <w:r w:rsidR="00893C21">
        <w:rPr>
          <w:rFonts w:ascii="Times New Roman" w:hAnsi="Times New Roman"/>
          <w:sz w:val="24"/>
          <w:szCs w:val="24"/>
        </w:rPr>
        <w:t xml:space="preserve">for </w:t>
      </w:r>
      <w:r w:rsidR="00893C21" w:rsidRPr="00280350">
        <w:rPr>
          <w:rFonts w:ascii="Times New Roman" w:hAnsi="Times New Roman"/>
          <w:sz w:val="24"/>
          <w:szCs w:val="24"/>
        </w:rPr>
        <w:t>financial institutions</w:t>
      </w:r>
      <w:r w:rsidR="00893C21">
        <w:rPr>
          <w:rFonts w:ascii="Times New Roman" w:hAnsi="Times New Roman"/>
          <w:sz w:val="24"/>
          <w:szCs w:val="24"/>
        </w:rPr>
        <w:t xml:space="preserve"> </w:t>
      </w:r>
      <w:r w:rsidR="0069726B">
        <w:rPr>
          <w:rFonts w:ascii="Times New Roman" w:hAnsi="Times New Roman"/>
          <w:sz w:val="24"/>
          <w:szCs w:val="24"/>
        </w:rPr>
        <w:t xml:space="preserve">and administrative costs for Inland Revenue </w:t>
      </w:r>
      <w:r w:rsidR="00893C21">
        <w:rPr>
          <w:rFonts w:ascii="Times New Roman" w:hAnsi="Times New Roman"/>
          <w:sz w:val="24"/>
          <w:szCs w:val="24"/>
        </w:rPr>
        <w:t xml:space="preserve">where possible, but only to the extent that those decisions would </w:t>
      </w:r>
      <w:r w:rsidR="00AB3143">
        <w:rPr>
          <w:rFonts w:ascii="Times New Roman" w:hAnsi="Times New Roman"/>
          <w:sz w:val="24"/>
          <w:szCs w:val="24"/>
        </w:rPr>
        <w:t>not</w:t>
      </w:r>
      <w:r w:rsidR="00893C21">
        <w:rPr>
          <w:rFonts w:ascii="Times New Roman" w:hAnsi="Times New Roman"/>
          <w:sz w:val="24"/>
          <w:szCs w:val="24"/>
        </w:rPr>
        <w:t xml:space="preserve"> jeopardise New Zealand’s ability </w:t>
      </w:r>
      <w:r w:rsidR="00893C21" w:rsidRPr="00893C21">
        <w:rPr>
          <w:rFonts w:ascii="Times New Roman" w:hAnsi="Times New Roman"/>
          <w:sz w:val="24"/>
          <w:szCs w:val="24"/>
        </w:rPr>
        <w:t>to meet international expectations</w:t>
      </w:r>
      <w:r w:rsidR="00893C21">
        <w:rPr>
          <w:rFonts w:ascii="Times New Roman" w:hAnsi="Times New Roman"/>
          <w:sz w:val="24"/>
          <w:szCs w:val="24"/>
        </w:rPr>
        <w:t>.</w:t>
      </w:r>
    </w:p>
    <w:p w:rsidR="00643475" w:rsidRDefault="00643475" w:rsidP="007946CC">
      <w:pPr>
        <w:pStyle w:val="Bullet-list"/>
        <w:spacing w:after="0" w:line="240" w:lineRule="auto"/>
        <w:ind w:left="567" w:hanging="567"/>
        <w:jc w:val="both"/>
        <w:rPr>
          <w:rFonts w:ascii="Times New Roman" w:hAnsi="Times New Roman"/>
          <w:sz w:val="24"/>
          <w:szCs w:val="24"/>
        </w:rPr>
      </w:pPr>
    </w:p>
    <w:p w:rsidR="009E1B9F" w:rsidRPr="00FD37C4" w:rsidRDefault="009E1B9F" w:rsidP="007946CC">
      <w:pPr>
        <w:pStyle w:val="spacer"/>
        <w:ind w:left="567" w:hanging="567"/>
        <w:jc w:val="both"/>
        <w:rPr>
          <w:rFonts w:ascii="Times New Roman" w:hAnsi="Times New Roman"/>
          <w:b/>
          <w:sz w:val="24"/>
          <w:szCs w:val="24"/>
        </w:rPr>
      </w:pPr>
      <w:r w:rsidRPr="00F65FFA">
        <w:rPr>
          <w:rFonts w:ascii="Times New Roman" w:hAnsi="Times New Roman"/>
          <w:b/>
          <w:sz w:val="24"/>
          <w:szCs w:val="24"/>
          <w:lang w:val="en-AU"/>
        </w:rPr>
        <w:t>Key design features</w:t>
      </w:r>
    </w:p>
    <w:p w:rsidR="009E1B9F" w:rsidRDefault="009E1B9F" w:rsidP="007946CC">
      <w:pPr>
        <w:pStyle w:val="Bullet-list"/>
        <w:spacing w:after="0" w:line="240" w:lineRule="auto"/>
        <w:ind w:left="567" w:hanging="567"/>
        <w:jc w:val="both"/>
        <w:rPr>
          <w:rFonts w:ascii="Times New Roman" w:hAnsi="Times New Roman"/>
          <w:sz w:val="24"/>
          <w:szCs w:val="24"/>
        </w:rPr>
      </w:pPr>
    </w:p>
    <w:p w:rsidR="00643475" w:rsidRDefault="003946E7" w:rsidP="007946CC">
      <w:pPr>
        <w:pStyle w:val="Bullet-list"/>
        <w:spacing w:after="0" w:line="240" w:lineRule="auto"/>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r>
      <w:r w:rsidR="007652B0">
        <w:rPr>
          <w:rFonts w:ascii="Times New Roman" w:hAnsi="Times New Roman"/>
          <w:sz w:val="24"/>
          <w:szCs w:val="24"/>
        </w:rPr>
        <w:t xml:space="preserve">The </w:t>
      </w:r>
      <w:r w:rsidR="00643475">
        <w:rPr>
          <w:rFonts w:ascii="Times New Roman" w:hAnsi="Times New Roman"/>
          <w:sz w:val="24"/>
          <w:szCs w:val="24"/>
        </w:rPr>
        <w:t xml:space="preserve">key design features </w:t>
      </w:r>
      <w:r w:rsidR="007652B0">
        <w:rPr>
          <w:rFonts w:ascii="Times New Roman" w:hAnsi="Times New Roman"/>
          <w:sz w:val="24"/>
          <w:szCs w:val="24"/>
        </w:rPr>
        <w:t xml:space="preserve">of the preferred option </w:t>
      </w:r>
      <w:r w:rsidR="00643475">
        <w:rPr>
          <w:rFonts w:ascii="Times New Roman" w:hAnsi="Times New Roman"/>
          <w:sz w:val="24"/>
          <w:szCs w:val="24"/>
        </w:rPr>
        <w:t xml:space="preserve">are </w:t>
      </w:r>
      <w:r w:rsidR="007652B0">
        <w:rPr>
          <w:rFonts w:ascii="Times New Roman" w:hAnsi="Times New Roman"/>
          <w:sz w:val="24"/>
          <w:szCs w:val="24"/>
        </w:rPr>
        <w:t xml:space="preserve">outlined </w:t>
      </w:r>
      <w:r w:rsidR="00643475">
        <w:rPr>
          <w:rFonts w:ascii="Times New Roman" w:hAnsi="Times New Roman"/>
          <w:sz w:val="24"/>
          <w:szCs w:val="24"/>
        </w:rPr>
        <w:t>below.</w:t>
      </w:r>
    </w:p>
    <w:p w:rsidR="00643475" w:rsidRDefault="00643475" w:rsidP="007946CC">
      <w:pPr>
        <w:pStyle w:val="Bullet-list"/>
        <w:spacing w:after="0" w:line="240" w:lineRule="auto"/>
        <w:ind w:left="567" w:hanging="567"/>
        <w:jc w:val="both"/>
        <w:rPr>
          <w:rFonts w:ascii="Times New Roman" w:hAnsi="Times New Roman"/>
          <w:sz w:val="24"/>
          <w:szCs w:val="24"/>
        </w:rPr>
      </w:pPr>
    </w:p>
    <w:p w:rsidR="00643475" w:rsidRPr="00F65FFA" w:rsidRDefault="00172BBC" w:rsidP="007946CC">
      <w:pPr>
        <w:pStyle w:val="Bullet-list"/>
        <w:spacing w:after="0" w:line="240" w:lineRule="auto"/>
        <w:ind w:left="567" w:hanging="567"/>
        <w:jc w:val="both"/>
        <w:rPr>
          <w:rFonts w:ascii="Times New Roman" w:hAnsi="Times New Roman"/>
          <w:b/>
          <w:i/>
          <w:sz w:val="24"/>
          <w:szCs w:val="24"/>
        </w:rPr>
      </w:pPr>
      <w:r w:rsidRPr="00F65FFA">
        <w:rPr>
          <w:rFonts w:ascii="Times New Roman" w:hAnsi="Times New Roman"/>
          <w:b/>
          <w:i/>
          <w:sz w:val="24"/>
          <w:szCs w:val="24"/>
        </w:rPr>
        <w:t>Optionality</w:t>
      </w:r>
    </w:p>
    <w:p w:rsidR="00172BBC" w:rsidRDefault="00172BBC" w:rsidP="007946CC">
      <w:pPr>
        <w:pStyle w:val="Bullet-list"/>
        <w:spacing w:after="0" w:line="240" w:lineRule="auto"/>
        <w:ind w:left="567" w:hanging="567"/>
        <w:jc w:val="both"/>
        <w:rPr>
          <w:rFonts w:ascii="Times New Roman" w:hAnsi="Times New Roman"/>
          <w:sz w:val="24"/>
          <w:szCs w:val="24"/>
        </w:rPr>
      </w:pPr>
    </w:p>
    <w:p w:rsidR="00172BBC" w:rsidRDefault="00172BBC" w:rsidP="007946CC">
      <w:pPr>
        <w:pStyle w:val="Bullet-list"/>
        <w:spacing w:after="0" w:line="240" w:lineRule="auto"/>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t>As noted above, the CRS is set by the OECD, and implementation will largely involve incorporating its rules directly into domestic law.  However, the CRS itself provides implementing countries with a number of options that can be taken.</w:t>
      </w:r>
    </w:p>
    <w:p w:rsidR="00643475" w:rsidRDefault="00643475" w:rsidP="007946CC">
      <w:pPr>
        <w:pStyle w:val="Bullet-list"/>
        <w:spacing w:after="0" w:line="240" w:lineRule="auto"/>
        <w:ind w:left="567" w:hanging="567"/>
        <w:jc w:val="both"/>
        <w:rPr>
          <w:rFonts w:ascii="Times New Roman" w:hAnsi="Times New Roman"/>
          <w:sz w:val="24"/>
          <w:szCs w:val="24"/>
        </w:rPr>
      </w:pPr>
    </w:p>
    <w:p w:rsidR="00172BBC" w:rsidRDefault="008E2C51" w:rsidP="007946CC">
      <w:pPr>
        <w:pStyle w:val="Bullet-list"/>
        <w:spacing w:after="0" w:line="240" w:lineRule="auto"/>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t>For the most part it is proposed to leave the</w:t>
      </w:r>
      <w:r w:rsidR="00AC6114">
        <w:rPr>
          <w:rFonts w:ascii="Times New Roman" w:hAnsi="Times New Roman"/>
          <w:sz w:val="24"/>
          <w:szCs w:val="24"/>
        </w:rPr>
        <w:t>se</w:t>
      </w:r>
      <w:r>
        <w:rPr>
          <w:rFonts w:ascii="Times New Roman" w:hAnsi="Times New Roman"/>
          <w:sz w:val="24"/>
          <w:szCs w:val="24"/>
        </w:rPr>
        <w:t xml:space="preserve"> option</w:t>
      </w:r>
      <w:r w:rsidR="00AC6114">
        <w:rPr>
          <w:rFonts w:ascii="Times New Roman" w:hAnsi="Times New Roman"/>
          <w:sz w:val="24"/>
          <w:szCs w:val="24"/>
        </w:rPr>
        <w:t>s</w:t>
      </w:r>
      <w:r>
        <w:rPr>
          <w:rFonts w:ascii="Times New Roman" w:hAnsi="Times New Roman"/>
          <w:sz w:val="24"/>
          <w:szCs w:val="24"/>
        </w:rPr>
        <w:t xml:space="preserve"> op</w:t>
      </w:r>
      <w:r w:rsidR="004E6D47">
        <w:rPr>
          <w:rFonts w:ascii="Times New Roman" w:hAnsi="Times New Roman"/>
          <w:sz w:val="24"/>
          <w:szCs w:val="24"/>
        </w:rPr>
        <w:t>en to the financial institution, so that they can choose the option that best suits their particular circumstances.</w:t>
      </w:r>
    </w:p>
    <w:p w:rsidR="00172BBC" w:rsidRDefault="00172BBC" w:rsidP="007946CC">
      <w:pPr>
        <w:pStyle w:val="Bullet-list"/>
        <w:spacing w:after="0" w:line="240" w:lineRule="auto"/>
        <w:ind w:left="567" w:hanging="567"/>
        <w:jc w:val="both"/>
        <w:rPr>
          <w:rFonts w:ascii="Times New Roman" w:hAnsi="Times New Roman"/>
          <w:sz w:val="24"/>
          <w:szCs w:val="24"/>
        </w:rPr>
      </w:pPr>
    </w:p>
    <w:p w:rsidR="008E2C51" w:rsidRDefault="00172BBC" w:rsidP="007946CC">
      <w:pPr>
        <w:pStyle w:val="Bullet-list"/>
        <w:spacing w:after="0" w:line="240" w:lineRule="auto"/>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r>
      <w:r w:rsidR="008E2C51">
        <w:rPr>
          <w:rFonts w:ascii="Times New Roman" w:hAnsi="Times New Roman"/>
          <w:sz w:val="24"/>
          <w:szCs w:val="24"/>
        </w:rPr>
        <w:t xml:space="preserve">For example, </w:t>
      </w:r>
      <w:r w:rsidR="00AF7734">
        <w:rPr>
          <w:rFonts w:ascii="Times New Roman" w:hAnsi="Times New Roman"/>
          <w:sz w:val="24"/>
          <w:szCs w:val="24"/>
        </w:rPr>
        <w:t xml:space="preserve">for consistency </w:t>
      </w:r>
      <w:r w:rsidR="008E2C51">
        <w:rPr>
          <w:rFonts w:ascii="Times New Roman" w:hAnsi="Times New Roman"/>
          <w:sz w:val="24"/>
          <w:szCs w:val="24"/>
        </w:rPr>
        <w:t xml:space="preserve">the CRS sets </w:t>
      </w:r>
      <w:r w:rsidR="004E6D47">
        <w:rPr>
          <w:rFonts w:ascii="Times New Roman" w:hAnsi="Times New Roman"/>
          <w:sz w:val="24"/>
          <w:szCs w:val="24"/>
        </w:rPr>
        <w:t xml:space="preserve">certain </w:t>
      </w:r>
      <w:r w:rsidR="008E2C51">
        <w:rPr>
          <w:rFonts w:ascii="Times New Roman" w:hAnsi="Times New Roman"/>
          <w:sz w:val="24"/>
          <w:szCs w:val="24"/>
        </w:rPr>
        <w:t xml:space="preserve">default </w:t>
      </w:r>
      <w:r w:rsidR="004E6D47">
        <w:rPr>
          <w:rFonts w:ascii="Times New Roman" w:hAnsi="Times New Roman"/>
          <w:sz w:val="24"/>
          <w:szCs w:val="24"/>
        </w:rPr>
        <w:t xml:space="preserve">due diligence </w:t>
      </w:r>
      <w:r w:rsidR="008E2C51">
        <w:rPr>
          <w:rFonts w:ascii="Times New Roman" w:hAnsi="Times New Roman"/>
          <w:sz w:val="24"/>
          <w:szCs w:val="24"/>
        </w:rPr>
        <w:t>thresholds in US currency</w:t>
      </w:r>
      <w:r w:rsidR="00AF7734">
        <w:rPr>
          <w:rFonts w:ascii="Times New Roman" w:hAnsi="Times New Roman"/>
          <w:sz w:val="24"/>
          <w:szCs w:val="24"/>
        </w:rPr>
        <w:t>, such as a threshold of US$1,000,000 for distinguishing between high value and lower value individual accounts</w:t>
      </w:r>
      <w:r w:rsidR="004E6D47">
        <w:rPr>
          <w:rStyle w:val="FootnoteReference"/>
          <w:szCs w:val="24"/>
        </w:rPr>
        <w:footnoteReference w:id="9"/>
      </w:r>
      <w:r w:rsidR="00AF7734">
        <w:rPr>
          <w:rFonts w:ascii="Times New Roman" w:hAnsi="Times New Roman"/>
          <w:sz w:val="24"/>
          <w:szCs w:val="24"/>
        </w:rPr>
        <w:t>.  However, the CRS</w:t>
      </w:r>
      <w:r w:rsidR="008E2C51">
        <w:rPr>
          <w:rFonts w:ascii="Times New Roman" w:hAnsi="Times New Roman"/>
          <w:sz w:val="24"/>
          <w:szCs w:val="24"/>
        </w:rPr>
        <w:t xml:space="preserve"> allows </w:t>
      </w:r>
      <w:r w:rsidR="00AF7734">
        <w:rPr>
          <w:rFonts w:ascii="Times New Roman" w:hAnsi="Times New Roman"/>
          <w:sz w:val="24"/>
          <w:szCs w:val="24"/>
        </w:rPr>
        <w:t>jurisdictions</w:t>
      </w:r>
      <w:r w:rsidR="008E2C51">
        <w:rPr>
          <w:rFonts w:ascii="Times New Roman" w:hAnsi="Times New Roman"/>
          <w:sz w:val="24"/>
          <w:szCs w:val="24"/>
        </w:rPr>
        <w:t xml:space="preserve"> to substitute </w:t>
      </w:r>
      <w:r w:rsidR="00AF7734">
        <w:rPr>
          <w:rFonts w:ascii="Times New Roman" w:hAnsi="Times New Roman"/>
          <w:sz w:val="24"/>
          <w:szCs w:val="24"/>
        </w:rPr>
        <w:t>their local</w:t>
      </w:r>
      <w:r w:rsidR="008E2C51">
        <w:rPr>
          <w:rFonts w:ascii="Times New Roman" w:hAnsi="Times New Roman"/>
          <w:sz w:val="24"/>
          <w:szCs w:val="24"/>
        </w:rPr>
        <w:t xml:space="preserve"> currency.  </w:t>
      </w:r>
      <w:r w:rsidR="00AF7734">
        <w:rPr>
          <w:rFonts w:ascii="Times New Roman" w:hAnsi="Times New Roman"/>
          <w:sz w:val="24"/>
          <w:szCs w:val="24"/>
        </w:rPr>
        <w:t>Many</w:t>
      </w:r>
      <w:r w:rsidR="008E2C51">
        <w:rPr>
          <w:rFonts w:ascii="Times New Roman" w:hAnsi="Times New Roman"/>
          <w:sz w:val="24"/>
          <w:szCs w:val="24"/>
        </w:rPr>
        <w:t xml:space="preserve"> financial institutions might find compliance cost savings in not having to convert </w:t>
      </w:r>
      <w:r w:rsidR="00492C5E">
        <w:rPr>
          <w:rFonts w:ascii="Times New Roman" w:hAnsi="Times New Roman"/>
          <w:sz w:val="24"/>
          <w:szCs w:val="24"/>
        </w:rPr>
        <w:t xml:space="preserve">NZ$ balances </w:t>
      </w:r>
      <w:r w:rsidR="008E2C51">
        <w:rPr>
          <w:rFonts w:ascii="Times New Roman" w:hAnsi="Times New Roman"/>
          <w:sz w:val="24"/>
          <w:szCs w:val="24"/>
        </w:rPr>
        <w:t xml:space="preserve">to US$ equivalents to determine if </w:t>
      </w:r>
      <w:r w:rsidR="00AF7734">
        <w:rPr>
          <w:rFonts w:ascii="Times New Roman" w:hAnsi="Times New Roman"/>
          <w:sz w:val="24"/>
          <w:szCs w:val="24"/>
        </w:rPr>
        <w:t xml:space="preserve">the </w:t>
      </w:r>
      <w:r w:rsidR="008E2C51">
        <w:rPr>
          <w:rFonts w:ascii="Times New Roman" w:hAnsi="Times New Roman"/>
          <w:sz w:val="24"/>
          <w:szCs w:val="24"/>
        </w:rPr>
        <w:t>threshold</w:t>
      </w:r>
      <w:r w:rsidR="00AF7734">
        <w:rPr>
          <w:rFonts w:ascii="Times New Roman" w:hAnsi="Times New Roman"/>
          <w:sz w:val="24"/>
          <w:szCs w:val="24"/>
        </w:rPr>
        <w:t xml:space="preserve"> has</w:t>
      </w:r>
      <w:r w:rsidR="008E2C51">
        <w:rPr>
          <w:rFonts w:ascii="Times New Roman" w:hAnsi="Times New Roman"/>
          <w:sz w:val="24"/>
          <w:szCs w:val="24"/>
        </w:rPr>
        <w:t xml:space="preserve"> been exceeded</w:t>
      </w:r>
      <w:r w:rsidR="004E6D47">
        <w:rPr>
          <w:rFonts w:ascii="Times New Roman" w:hAnsi="Times New Roman"/>
          <w:sz w:val="24"/>
          <w:szCs w:val="24"/>
        </w:rPr>
        <w:t xml:space="preserve"> (and simply treating the high value threshold as being NZ$ 1,000,000)</w:t>
      </w:r>
      <w:r w:rsidR="008E2C51">
        <w:rPr>
          <w:rFonts w:ascii="Times New Roman" w:hAnsi="Times New Roman"/>
          <w:sz w:val="24"/>
          <w:szCs w:val="24"/>
        </w:rPr>
        <w:t xml:space="preserve">.  </w:t>
      </w:r>
      <w:r w:rsidR="005848D0">
        <w:rPr>
          <w:rFonts w:ascii="Times New Roman" w:hAnsi="Times New Roman"/>
          <w:sz w:val="24"/>
          <w:szCs w:val="24"/>
        </w:rPr>
        <w:t xml:space="preserve">Other financial institutions, particularly those that operate in several jurisdictions, </w:t>
      </w:r>
      <w:r w:rsidR="00AF7734">
        <w:rPr>
          <w:rFonts w:ascii="Times New Roman" w:hAnsi="Times New Roman"/>
          <w:sz w:val="24"/>
          <w:szCs w:val="24"/>
        </w:rPr>
        <w:t xml:space="preserve">might </w:t>
      </w:r>
      <w:r w:rsidR="005848D0">
        <w:rPr>
          <w:rFonts w:ascii="Times New Roman" w:hAnsi="Times New Roman"/>
          <w:sz w:val="24"/>
          <w:szCs w:val="24"/>
        </w:rPr>
        <w:t>prefer the consistency of apply</w:t>
      </w:r>
      <w:r w:rsidR="0022551A">
        <w:rPr>
          <w:rFonts w:ascii="Times New Roman" w:hAnsi="Times New Roman"/>
          <w:sz w:val="24"/>
          <w:szCs w:val="24"/>
        </w:rPr>
        <w:t>ing</w:t>
      </w:r>
      <w:r w:rsidR="005848D0">
        <w:rPr>
          <w:rFonts w:ascii="Times New Roman" w:hAnsi="Times New Roman"/>
          <w:sz w:val="24"/>
          <w:szCs w:val="24"/>
        </w:rPr>
        <w:t xml:space="preserve"> the same threshold amount in the same currency in all the jurisdictions in which they operate</w:t>
      </w:r>
      <w:r w:rsidR="008E2C51">
        <w:rPr>
          <w:rFonts w:ascii="Times New Roman" w:hAnsi="Times New Roman"/>
          <w:sz w:val="24"/>
          <w:szCs w:val="24"/>
        </w:rPr>
        <w:t>.</w:t>
      </w:r>
      <w:r w:rsidR="00BC004F">
        <w:rPr>
          <w:rFonts w:ascii="Times New Roman" w:hAnsi="Times New Roman"/>
          <w:sz w:val="24"/>
          <w:szCs w:val="24"/>
        </w:rPr>
        <w:t xml:space="preserve">  </w:t>
      </w:r>
      <w:r w:rsidR="007652B0">
        <w:rPr>
          <w:rFonts w:ascii="Times New Roman" w:hAnsi="Times New Roman"/>
          <w:sz w:val="24"/>
          <w:szCs w:val="24"/>
        </w:rPr>
        <w:t>The proposed approach</w:t>
      </w:r>
      <w:r w:rsidR="00BC004F">
        <w:rPr>
          <w:rFonts w:ascii="Times New Roman" w:hAnsi="Times New Roman"/>
          <w:sz w:val="24"/>
          <w:szCs w:val="24"/>
        </w:rPr>
        <w:t>, in such cases,</w:t>
      </w:r>
      <w:r w:rsidR="007652B0">
        <w:rPr>
          <w:rFonts w:ascii="Times New Roman" w:hAnsi="Times New Roman"/>
          <w:sz w:val="24"/>
          <w:szCs w:val="24"/>
        </w:rPr>
        <w:t xml:space="preserve"> is </w:t>
      </w:r>
      <w:r w:rsidR="00AF7734">
        <w:rPr>
          <w:rFonts w:ascii="Times New Roman" w:hAnsi="Times New Roman"/>
          <w:sz w:val="24"/>
          <w:szCs w:val="24"/>
        </w:rPr>
        <w:t>to allow each financial institution to choose</w:t>
      </w:r>
      <w:r w:rsidR="007652B0">
        <w:rPr>
          <w:rFonts w:ascii="Times New Roman" w:hAnsi="Times New Roman"/>
          <w:sz w:val="24"/>
          <w:szCs w:val="24"/>
        </w:rPr>
        <w:t xml:space="preserve"> their threshold</w:t>
      </w:r>
      <w:r w:rsidR="00AF7734">
        <w:rPr>
          <w:rFonts w:ascii="Times New Roman" w:hAnsi="Times New Roman"/>
          <w:sz w:val="24"/>
          <w:szCs w:val="24"/>
        </w:rPr>
        <w:t>.</w:t>
      </w:r>
      <w:r w:rsidR="00BC004F">
        <w:rPr>
          <w:rFonts w:ascii="Times New Roman" w:hAnsi="Times New Roman"/>
          <w:sz w:val="24"/>
          <w:szCs w:val="24"/>
        </w:rPr>
        <w:t xml:space="preserve">  Submissions strongly endorsed this approach.</w:t>
      </w:r>
    </w:p>
    <w:p w:rsidR="00BC004F" w:rsidRDefault="00BC004F" w:rsidP="007946CC">
      <w:pPr>
        <w:pStyle w:val="Bullet-list"/>
        <w:spacing w:after="0" w:line="240" w:lineRule="auto"/>
        <w:ind w:left="567" w:hanging="567"/>
        <w:jc w:val="both"/>
        <w:rPr>
          <w:rFonts w:ascii="Times New Roman" w:hAnsi="Times New Roman"/>
          <w:sz w:val="24"/>
          <w:szCs w:val="24"/>
        </w:rPr>
      </w:pPr>
    </w:p>
    <w:p w:rsidR="004E6D47" w:rsidRDefault="00BC004F" w:rsidP="007946CC">
      <w:pPr>
        <w:pStyle w:val="Bullet-list"/>
        <w:spacing w:after="0" w:line="240" w:lineRule="auto"/>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t xml:space="preserve">In </w:t>
      </w:r>
      <w:r w:rsidR="004E6D47">
        <w:rPr>
          <w:rFonts w:ascii="Times New Roman" w:hAnsi="Times New Roman"/>
          <w:sz w:val="24"/>
          <w:szCs w:val="24"/>
        </w:rPr>
        <w:t>certain other</w:t>
      </w:r>
      <w:r>
        <w:rPr>
          <w:rFonts w:ascii="Times New Roman" w:hAnsi="Times New Roman"/>
          <w:sz w:val="24"/>
          <w:szCs w:val="24"/>
        </w:rPr>
        <w:t xml:space="preserve"> cases, </w:t>
      </w:r>
      <w:r w:rsidR="004E6D47">
        <w:rPr>
          <w:rFonts w:ascii="Times New Roman" w:hAnsi="Times New Roman"/>
          <w:sz w:val="24"/>
          <w:szCs w:val="24"/>
        </w:rPr>
        <w:t xml:space="preserve">where consistency is important or is required by the CRS, </w:t>
      </w:r>
      <w:r>
        <w:rPr>
          <w:rFonts w:ascii="Times New Roman" w:hAnsi="Times New Roman"/>
          <w:sz w:val="24"/>
          <w:szCs w:val="24"/>
        </w:rPr>
        <w:t xml:space="preserve">the taking of an option will need to be mandated in legislation (that is, not left to financial institutions to decide).  </w:t>
      </w:r>
      <w:r w:rsidR="004E6D47">
        <w:rPr>
          <w:rFonts w:ascii="Times New Roman" w:hAnsi="Times New Roman"/>
          <w:sz w:val="24"/>
          <w:szCs w:val="24"/>
        </w:rPr>
        <w:t>Two key examples of this are</w:t>
      </w:r>
      <w:r>
        <w:rPr>
          <w:rFonts w:ascii="Times New Roman" w:hAnsi="Times New Roman"/>
          <w:sz w:val="24"/>
          <w:szCs w:val="24"/>
        </w:rPr>
        <w:t xml:space="preserve"> the </w:t>
      </w:r>
      <w:r w:rsidRPr="00BC004F">
        <w:rPr>
          <w:rFonts w:ascii="Times New Roman" w:hAnsi="Times New Roman"/>
          <w:i/>
          <w:sz w:val="24"/>
          <w:szCs w:val="24"/>
        </w:rPr>
        <w:t>reporting period</w:t>
      </w:r>
      <w:r>
        <w:rPr>
          <w:rFonts w:ascii="Times New Roman" w:hAnsi="Times New Roman"/>
          <w:sz w:val="24"/>
          <w:szCs w:val="24"/>
        </w:rPr>
        <w:t xml:space="preserve"> and </w:t>
      </w:r>
      <w:r w:rsidRPr="00BC004F">
        <w:rPr>
          <w:rFonts w:ascii="Times New Roman" w:hAnsi="Times New Roman"/>
          <w:i/>
          <w:sz w:val="24"/>
          <w:szCs w:val="24"/>
        </w:rPr>
        <w:t>wider approach to due diligence</w:t>
      </w:r>
      <w:r w:rsidR="004E6D47">
        <w:rPr>
          <w:rFonts w:ascii="Times New Roman" w:hAnsi="Times New Roman"/>
          <w:sz w:val="24"/>
          <w:szCs w:val="24"/>
        </w:rPr>
        <w:t>, discussed below.</w:t>
      </w:r>
    </w:p>
    <w:p w:rsidR="004E6D47" w:rsidRDefault="004E6D47" w:rsidP="007946CC">
      <w:pPr>
        <w:pStyle w:val="Bullet-list"/>
        <w:spacing w:after="0" w:line="240" w:lineRule="auto"/>
        <w:ind w:left="567" w:hanging="567"/>
        <w:jc w:val="both"/>
        <w:rPr>
          <w:rFonts w:ascii="Times New Roman" w:hAnsi="Times New Roman"/>
          <w:sz w:val="24"/>
          <w:szCs w:val="24"/>
        </w:rPr>
      </w:pPr>
    </w:p>
    <w:p w:rsidR="004E6D47" w:rsidRDefault="004E6D47" w:rsidP="007946CC">
      <w:pPr>
        <w:pStyle w:val="Bullet-list"/>
        <w:spacing w:after="0" w:line="240" w:lineRule="auto"/>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t>In deciding on what option to take in this regard (which all financial institutions would be required to apply) it is proposed that the decision is taken that results in the least compliance costs for financial institutions as a whole and that is consistent with CRS obligations (and in accordance with New Zealand’s international obligations).</w:t>
      </w:r>
    </w:p>
    <w:p w:rsidR="004E6D47" w:rsidRDefault="004E6D47" w:rsidP="007946CC">
      <w:pPr>
        <w:pStyle w:val="Bullet-list"/>
        <w:spacing w:after="0" w:line="240" w:lineRule="auto"/>
        <w:ind w:left="567" w:hanging="567"/>
        <w:jc w:val="both"/>
        <w:rPr>
          <w:rFonts w:ascii="Times New Roman" w:hAnsi="Times New Roman"/>
          <w:sz w:val="24"/>
          <w:szCs w:val="24"/>
        </w:rPr>
      </w:pPr>
    </w:p>
    <w:p w:rsidR="00BC004F" w:rsidRDefault="004E6D47" w:rsidP="007946CC">
      <w:pPr>
        <w:pStyle w:val="Bullet-list"/>
        <w:spacing w:after="0" w:line="240" w:lineRule="auto"/>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r>
      <w:r w:rsidR="00053C62">
        <w:rPr>
          <w:rFonts w:ascii="Times New Roman" w:hAnsi="Times New Roman"/>
          <w:sz w:val="24"/>
          <w:szCs w:val="24"/>
        </w:rPr>
        <w:t>Public s</w:t>
      </w:r>
      <w:r w:rsidR="00BC004F">
        <w:rPr>
          <w:rFonts w:ascii="Times New Roman" w:hAnsi="Times New Roman"/>
          <w:sz w:val="24"/>
          <w:szCs w:val="24"/>
        </w:rPr>
        <w:t xml:space="preserve">ubmissions </w:t>
      </w:r>
      <w:r>
        <w:rPr>
          <w:rFonts w:ascii="Times New Roman" w:hAnsi="Times New Roman"/>
          <w:sz w:val="24"/>
          <w:szCs w:val="24"/>
        </w:rPr>
        <w:t>generally</w:t>
      </w:r>
      <w:r w:rsidR="00BC004F">
        <w:rPr>
          <w:rFonts w:ascii="Times New Roman" w:hAnsi="Times New Roman"/>
          <w:sz w:val="24"/>
          <w:szCs w:val="24"/>
        </w:rPr>
        <w:t xml:space="preserve"> endorsed this approach</w:t>
      </w:r>
      <w:r>
        <w:rPr>
          <w:rFonts w:ascii="Times New Roman" w:hAnsi="Times New Roman"/>
          <w:sz w:val="24"/>
          <w:szCs w:val="24"/>
        </w:rPr>
        <w:t xml:space="preserve"> to optionality</w:t>
      </w:r>
      <w:r w:rsidR="00BC004F">
        <w:rPr>
          <w:rFonts w:ascii="Times New Roman" w:hAnsi="Times New Roman"/>
          <w:sz w:val="24"/>
          <w:szCs w:val="24"/>
        </w:rPr>
        <w:t>.</w:t>
      </w:r>
    </w:p>
    <w:p w:rsidR="00BA5D61" w:rsidRDefault="00BA5D61" w:rsidP="007946CC">
      <w:pPr>
        <w:pStyle w:val="Bullet-list"/>
        <w:spacing w:after="0" w:line="240" w:lineRule="auto"/>
        <w:ind w:left="567" w:hanging="567"/>
        <w:jc w:val="both"/>
        <w:rPr>
          <w:rFonts w:ascii="Times New Roman" w:hAnsi="Times New Roman"/>
          <w:sz w:val="24"/>
          <w:szCs w:val="24"/>
        </w:rPr>
      </w:pPr>
    </w:p>
    <w:p w:rsidR="00BA5D61" w:rsidRDefault="00BA5D61" w:rsidP="007946CC">
      <w:pPr>
        <w:pStyle w:val="Bullet-list"/>
        <w:spacing w:after="0" w:line="240" w:lineRule="auto"/>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r>
      <w:r w:rsidR="00BF6C79">
        <w:rPr>
          <w:rFonts w:ascii="Times New Roman" w:hAnsi="Times New Roman"/>
          <w:sz w:val="24"/>
          <w:szCs w:val="24"/>
        </w:rPr>
        <w:t>There are also a number of parts of the CRS where implementing jurisdictions have the option of requiring financial institutions to obtain and report certain information</w:t>
      </w:r>
      <w:r w:rsidR="00BF6C79" w:rsidRPr="00BF6C79">
        <w:rPr>
          <w:rFonts w:ascii="Times New Roman" w:hAnsi="Times New Roman"/>
          <w:b/>
          <w:sz w:val="24"/>
          <w:szCs w:val="24"/>
        </w:rPr>
        <w:t xml:space="preserve"> </w:t>
      </w:r>
      <w:r w:rsidR="00BF6C79" w:rsidRPr="00F65FFA">
        <w:rPr>
          <w:rFonts w:ascii="Times New Roman" w:hAnsi="Times New Roman"/>
          <w:sz w:val="24"/>
          <w:szCs w:val="24"/>
        </w:rPr>
        <w:t>beyond</w:t>
      </w:r>
      <w:r w:rsidR="00BF6C79">
        <w:rPr>
          <w:rFonts w:ascii="Times New Roman" w:hAnsi="Times New Roman"/>
          <w:sz w:val="24"/>
          <w:szCs w:val="24"/>
        </w:rPr>
        <w:t xml:space="preserve"> the CRS base due diligence and reporting expectations.  It is proposed for the most part (with the exception of the </w:t>
      </w:r>
      <w:r w:rsidR="00BF6C79" w:rsidRPr="00BF6C79">
        <w:rPr>
          <w:rFonts w:ascii="Times New Roman" w:hAnsi="Times New Roman"/>
          <w:i/>
          <w:sz w:val="24"/>
          <w:szCs w:val="24"/>
        </w:rPr>
        <w:t>wider approach to due diligence</w:t>
      </w:r>
      <w:r w:rsidR="00BF6C79">
        <w:rPr>
          <w:rFonts w:ascii="Times New Roman" w:hAnsi="Times New Roman"/>
          <w:sz w:val="24"/>
          <w:szCs w:val="24"/>
        </w:rPr>
        <w:t xml:space="preserve">) that </w:t>
      </w:r>
      <w:r w:rsidR="00BF6C79" w:rsidRPr="00703905">
        <w:rPr>
          <w:rFonts w:ascii="Times New Roman" w:hAnsi="Times New Roman"/>
          <w:sz w:val="24"/>
          <w:szCs w:val="24"/>
        </w:rPr>
        <w:t>financial institutions should not be required to obtain</w:t>
      </w:r>
      <w:r w:rsidR="00BF6C79">
        <w:rPr>
          <w:rFonts w:ascii="Times New Roman" w:hAnsi="Times New Roman"/>
          <w:sz w:val="24"/>
          <w:szCs w:val="24"/>
        </w:rPr>
        <w:t xml:space="preserve"> </w:t>
      </w:r>
      <w:r w:rsidR="00BF6C79" w:rsidRPr="00703905">
        <w:rPr>
          <w:rFonts w:ascii="Times New Roman" w:hAnsi="Times New Roman"/>
          <w:sz w:val="24"/>
          <w:szCs w:val="24"/>
        </w:rPr>
        <w:t>information about accounts unless the information is specifically required under the CRS or because of a choice that they have made.</w:t>
      </w:r>
      <w:r w:rsidR="00BF6C79">
        <w:rPr>
          <w:rFonts w:ascii="Times New Roman" w:hAnsi="Times New Roman"/>
          <w:sz w:val="24"/>
          <w:szCs w:val="24"/>
        </w:rPr>
        <w:t xml:space="preserve"> Submissions strongly supported this approach to optionality</w:t>
      </w:r>
    </w:p>
    <w:p w:rsidR="00AF7734" w:rsidRDefault="00AF7734" w:rsidP="007946CC">
      <w:pPr>
        <w:pStyle w:val="Bullet-list"/>
        <w:spacing w:after="0" w:line="240" w:lineRule="auto"/>
        <w:ind w:left="567" w:hanging="567"/>
        <w:jc w:val="both"/>
        <w:rPr>
          <w:rFonts w:ascii="Times New Roman" w:hAnsi="Times New Roman"/>
          <w:sz w:val="24"/>
          <w:szCs w:val="24"/>
        </w:rPr>
      </w:pPr>
    </w:p>
    <w:p w:rsidR="009E1B9F" w:rsidRPr="00F65FFA" w:rsidRDefault="00DC691E" w:rsidP="007946CC">
      <w:pPr>
        <w:pStyle w:val="Bullet-list"/>
        <w:spacing w:after="0" w:line="240" w:lineRule="auto"/>
        <w:ind w:left="567" w:hanging="567"/>
        <w:jc w:val="both"/>
        <w:rPr>
          <w:rFonts w:ascii="Times New Roman" w:hAnsi="Times New Roman"/>
          <w:b/>
          <w:i/>
          <w:sz w:val="24"/>
          <w:szCs w:val="24"/>
        </w:rPr>
      </w:pPr>
      <w:r w:rsidRPr="00F65FFA">
        <w:rPr>
          <w:rFonts w:ascii="Times New Roman" w:hAnsi="Times New Roman"/>
          <w:b/>
          <w:i/>
          <w:sz w:val="24"/>
          <w:szCs w:val="24"/>
        </w:rPr>
        <w:t xml:space="preserve">Reporting </w:t>
      </w:r>
      <w:r w:rsidR="009E1B9F" w:rsidRPr="00F65FFA">
        <w:rPr>
          <w:rFonts w:ascii="Times New Roman" w:hAnsi="Times New Roman"/>
          <w:b/>
          <w:i/>
          <w:sz w:val="24"/>
          <w:szCs w:val="24"/>
        </w:rPr>
        <w:t>period</w:t>
      </w:r>
    </w:p>
    <w:p w:rsidR="009E1B9F" w:rsidRDefault="009E1B9F" w:rsidP="007946CC">
      <w:pPr>
        <w:pStyle w:val="Bullet-list"/>
        <w:spacing w:after="0" w:line="240" w:lineRule="auto"/>
        <w:ind w:left="567" w:hanging="567"/>
        <w:jc w:val="both"/>
        <w:rPr>
          <w:rFonts w:ascii="Times New Roman" w:hAnsi="Times New Roman"/>
          <w:sz w:val="24"/>
          <w:szCs w:val="24"/>
        </w:rPr>
      </w:pPr>
    </w:p>
    <w:p w:rsidR="00EC4458" w:rsidRPr="00EC4458" w:rsidRDefault="00EC4458" w:rsidP="007946CC">
      <w:pPr>
        <w:pStyle w:val="Bullet-list"/>
        <w:spacing w:after="0" w:line="240" w:lineRule="auto"/>
        <w:ind w:left="567" w:hanging="567"/>
        <w:jc w:val="both"/>
        <w:rPr>
          <w:rFonts w:ascii="Times New Roman" w:hAnsi="Times New Roman"/>
          <w:sz w:val="24"/>
          <w:szCs w:val="24"/>
        </w:rPr>
      </w:pPr>
      <w:r w:rsidRPr="00EC4458">
        <w:rPr>
          <w:rFonts w:ascii="Times New Roman" w:hAnsi="Times New Roman"/>
          <w:sz w:val="24"/>
          <w:szCs w:val="24"/>
        </w:rPr>
        <w:fldChar w:fldCharType="begin"/>
      </w:r>
      <w:r w:rsidRPr="00EC4458">
        <w:rPr>
          <w:rFonts w:ascii="Times New Roman" w:hAnsi="Times New Roman"/>
          <w:sz w:val="24"/>
          <w:szCs w:val="24"/>
        </w:rPr>
        <w:instrText xml:space="preserve"> AUTONUM  \* Arabic  </w:instrText>
      </w:r>
      <w:r w:rsidRPr="00EC4458">
        <w:rPr>
          <w:rFonts w:ascii="Times New Roman" w:hAnsi="Times New Roman"/>
          <w:sz w:val="24"/>
          <w:szCs w:val="24"/>
        </w:rPr>
        <w:fldChar w:fldCharType="end"/>
      </w:r>
      <w:r w:rsidRPr="00EC4458">
        <w:rPr>
          <w:rFonts w:ascii="Times New Roman" w:hAnsi="Times New Roman"/>
          <w:sz w:val="24"/>
          <w:szCs w:val="24"/>
        </w:rPr>
        <w:tab/>
        <w:t>The CRS due diligence and reporting obligations operate on the basis of annual ‘reporting periods’.  Jurisdictions may choose whether to adopt a calendar year or other appropriate period for this purpose.</w:t>
      </w:r>
    </w:p>
    <w:p w:rsidR="00EC4458" w:rsidRPr="00EC4458" w:rsidRDefault="00EC4458" w:rsidP="007946CC">
      <w:pPr>
        <w:pStyle w:val="Bullet-list"/>
        <w:spacing w:after="0" w:line="240" w:lineRule="auto"/>
        <w:ind w:left="567" w:hanging="567"/>
        <w:jc w:val="both"/>
        <w:rPr>
          <w:rFonts w:ascii="Times New Roman" w:hAnsi="Times New Roman"/>
          <w:sz w:val="24"/>
          <w:szCs w:val="24"/>
        </w:rPr>
      </w:pPr>
    </w:p>
    <w:p w:rsidR="00EC4458" w:rsidRPr="00EC4458" w:rsidRDefault="00EC4458" w:rsidP="007946CC">
      <w:pPr>
        <w:pStyle w:val="Bullet-list"/>
        <w:spacing w:after="0" w:line="240" w:lineRule="auto"/>
        <w:ind w:left="567" w:hanging="567"/>
        <w:jc w:val="both"/>
        <w:rPr>
          <w:rFonts w:ascii="Times New Roman" w:hAnsi="Times New Roman"/>
          <w:sz w:val="24"/>
          <w:szCs w:val="24"/>
        </w:rPr>
      </w:pPr>
      <w:r w:rsidRPr="00EC4458">
        <w:rPr>
          <w:rFonts w:ascii="Times New Roman" w:hAnsi="Times New Roman"/>
          <w:sz w:val="24"/>
          <w:szCs w:val="24"/>
        </w:rPr>
        <w:fldChar w:fldCharType="begin"/>
      </w:r>
      <w:r w:rsidRPr="00EC4458">
        <w:rPr>
          <w:rFonts w:ascii="Times New Roman" w:hAnsi="Times New Roman"/>
          <w:sz w:val="24"/>
          <w:szCs w:val="24"/>
        </w:rPr>
        <w:instrText xml:space="preserve"> AUTONUM  \* Arabic  </w:instrText>
      </w:r>
      <w:r w:rsidRPr="00EC4458">
        <w:rPr>
          <w:rFonts w:ascii="Times New Roman" w:hAnsi="Times New Roman"/>
          <w:sz w:val="24"/>
          <w:szCs w:val="24"/>
        </w:rPr>
        <w:fldChar w:fldCharType="end"/>
      </w:r>
      <w:r w:rsidRPr="00EC4458">
        <w:rPr>
          <w:rFonts w:ascii="Times New Roman" w:hAnsi="Times New Roman"/>
          <w:sz w:val="24"/>
          <w:szCs w:val="24"/>
        </w:rPr>
        <w:tab/>
        <w:t>Australia and most other countries have adopted the calendar year (for both CRS and FATCA).  The reporting period New Zealand adopted for FATCA purposes was the tax year (that is, the year ending 31 March).</w:t>
      </w:r>
    </w:p>
    <w:p w:rsidR="00EC4458" w:rsidRPr="00EC4458" w:rsidRDefault="00EC4458" w:rsidP="007946CC">
      <w:pPr>
        <w:pStyle w:val="Bullet-list"/>
        <w:spacing w:after="0" w:line="240" w:lineRule="auto"/>
        <w:ind w:left="567" w:hanging="567"/>
        <w:jc w:val="both"/>
        <w:rPr>
          <w:rFonts w:ascii="Times New Roman" w:hAnsi="Times New Roman"/>
          <w:sz w:val="24"/>
          <w:szCs w:val="24"/>
        </w:rPr>
      </w:pPr>
    </w:p>
    <w:p w:rsidR="00EC4458" w:rsidRPr="00EC4458" w:rsidRDefault="00EC4458" w:rsidP="007946CC">
      <w:pPr>
        <w:pStyle w:val="Bullet-list"/>
        <w:spacing w:after="0" w:line="240" w:lineRule="auto"/>
        <w:ind w:left="567" w:hanging="567"/>
        <w:jc w:val="both"/>
        <w:rPr>
          <w:rFonts w:ascii="Times New Roman" w:hAnsi="Times New Roman"/>
          <w:sz w:val="24"/>
          <w:szCs w:val="24"/>
        </w:rPr>
      </w:pPr>
      <w:r w:rsidRPr="00EC4458">
        <w:rPr>
          <w:rFonts w:ascii="Times New Roman" w:hAnsi="Times New Roman"/>
          <w:sz w:val="24"/>
          <w:szCs w:val="24"/>
        </w:rPr>
        <w:fldChar w:fldCharType="begin"/>
      </w:r>
      <w:r w:rsidRPr="00EC4458">
        <w:rPr>
          <w:rFonts w:ascii="Times New Roman" w:hAnsi="Times New Roman"/>
          <w:sz w:val="24"/>
          <w:szCs w:val="24"/>
        </w:rPr>
        <w:instrText xml:space="preserve"> AUTONUM  \* Arabic  </w:instrText>
      </w:r>
      <w:r w:rsidRPr="00EC4458">
        <w:rPr>
          <w:rFonts w:ascii="Times New Roman" w:hAnsi="Times New Roman"/>
          <w:sz w:val="24"/>
          <w:szCs w:val="24"/>
        </w:rPr>
        <w:fldChar w:fldCharType="end"/>
      </w:r>
      <w:r w:rsidRPr="00EC4458">
        <w:rPr>
          <w:rFonts w:ascii="Times New Roman" w:hAnsi="Times New Roman"/>
          <w:sz w:val="24"/>
          <w:szCs w:val="24"/>
        </w:rPr>
        <w:tab/>
        <w:t xml:space="preserve">The majority of submitters considered that New Zealand should adopt </w:t>
      </w:r>
      <w:r w:rsidR="008666A4">
        <w:rPr>
          <w:rFonts w:ascii="Times New Roman" w:hAnsi="Times New Roman"/>
          <w:sz w:val="24"/>
          <w:szCs w:val="24"/>
        </w:rPr>
        <w:t>the tax year</w:t>
      </w:r>
      <w:r w:rsidRPr="00EC4458">
        <w:rPr>
          <w:rFonts w:ascii="Times New Roman" w:hAnsi="Times New Roman"/>
          <w:sz w:val="24"/>
          <w:szCs w:val="24"/>
        </w:rPr>
        <w:t xml:space="preserve"> for CRS due diligence and reporting, to align with both the New Zealand tax year and the period used for other reporting and regulatory purposes, especially FATCA.</w:t>
      </w:r>
    </w:p>
    <w:p w:rsidR="00EC4458" w:rsidRPr="00EC4458" w:rsidRDefault="00EC4458" w:rsidP="007946CC">
      <w:pPr>
        <w:pStyle w:val="Bullet-list"/>
        <w:spacing w:after="0" w:line="240" w:lineRule="auto"/>
        <w:ind w:left="567" w:hanging="567"/>
        <w:jc w:val="both"/>
        <w:rPr>
          <w:rFonts w:ascii="Times New Roman" w:hAnsi="Times New Roman"/>
          <w:sz w:val="24"/>
          <w:szCs w:val="24"/>
        </w:rPr>
      </w:pPr>
    </w:p>
    <w:p w:rsidR="00EC4458" w:rsidRPr="00EC4458" w:rsidRDefault="00EC4458" w:rsidP="007946CC">
      <w:pPr>
        <w:pStyle w:val="Bullet-list"/>
        <w:spacing w:after="0" w:line="240" w:lineRule="auto"/>
        <w:ind w:left="567" w:hanging="567"/>
        <w:jc w:val="both"/>
        <w:rPr>
          <w:rFonts w:ascii="Times New Roman" w:hAnsi="Times New Roman"/>
          <w:sz w:val="24"/>
          <w:szCs w:val="24"/>
        </w:rPr>
      </w:pPr>
      <w:r w:rsidRPr="00EC4458">
        <w:rPr>
          <w:rFonts w:ascii="Times New Roman" w:hAnsi="Times New Roman"/>
          <w:sz w:val="24"/>
          <w:szCs w:val="24"/>
        </w:rPr>
        <w:fldChar w:fldCharType="begin"/>
      </w:r>
      <w:r w:rsidRPr="00EC4458">
        <w:rPr>
          <w:rFonts w:ascii="Times New Roman" w:hAnsi="Times New Roman"/>
          <w:sz w:val="24"/>
          <w:szCs w:val="24"/>
        </w:rPr>
        <w:instrText xml:space="preserve"> AUTONUM  \* Arabic  </w:instrText>
      </w:r>
      <w:r w:rsidRPr="00EC4458">
        <w:rPr>
          <w:rFonts w:ascii="Times New Roman" w:hAnsi="Times New Roman"/>
          <w:sz w:val="24"/>
          <w:szCs w:val="24"/>
        </w:rPr>
        <w:fldChar w:fldCharType="end"/>
      </w:r>
      <w:r w:rsidRPr="00EC4458">
        <w:rPr>
          <w:rFonts w:ascii="Times New Roman" w:hAnsi="Times New Roman"/>
          <w:sz w:val="24"/>
          <w:szCs w:val="24"/>
        </w:rPr>
        <w:tab/>
        <w:t>Some submitters proposed that this period be ‘optional’.  However, it is implicit in the CRS that each jurisdiction will have one period governing due diligence, reporting and exchanging.</w:t>
      </w:r>
    </w:p>
    <w:p w:rsidR="00EC4458" w:rsidRPr="00EC4458" w:rsidRDefault="00EC4458" w:rsidP="007946CC">
      <w:pPr>
        <w:pStyle w:val="Bullet-list"/>
        <w:spacing w:after="0" w:line="240" w:lineRule="auto"/>
        <w:ind w:left="567" w:hanging="567"/>
        <w:jc w:val="both"/>
        <w:rPr>
          <w:rFonts w:ascii="Times New Roman" w:hAnsi="Times New Roman"/>
          <w:sz w:val="24"/>
          <w:szCs w:val="24"/>
        </w:rPr>
      </w:pPr>
    </w:p>
    <w:p w:rsidR="00EC4458" w:rsidRDefault="00EC4458" w:rsidP="007946CC">
      <w:pPr>
        <w:pStyle w:val="Bullet-list"/>
        <w:spacing w:after="0" w:line="240" w:lineRule="auto"/>
        <w:ind w:left="567" w:hanging="567"/>
        <w:jc w:val="both"/>
        <w:rPr>
          <w:rFonts w:ascii="Times New Roman" w:hAnsi="Times New Roman"/>
          <w:sz w:val="24"/>
          <w:szCs w:val="24"/>
        </w:rPr>
      </w:pPr>
      <w:r w:rsidRPr="00DC691E">
        <w:rPr>
          <w:rFonts w:ascii="Times New Roman" w:hAnsi="Times New Roman"/>
          <w:sz w:val="24"/>
          <w:szCs w:val="24"/>
        </w:rPr>
        <w:fldChar w:fldCharType="begin"/>
      </w:r>
      <w:r w:rsidRPr="00DC691E">
        <w:rPr>
          <w:rFonts w:ascii="Times New Roman" w:hAnsi="Times New Roman"/>
          <w:sz w:val="24"/>
          <w:szCs w:val="24"/>
        </w:rPr>
        <w:instrText xml:space="preserve"> AUTONUM  \* Arabic  </w:instrText>
      </w:r>
      <w:r w:rsidRPr="00DC691E">
        <w:rPr>
          <w:rFonts w:ascii="Times New Roman" w:hAnsi="Times New Roman"/>
          <w:sz w:val="24"/>
          <w:szCs w:val="24"/>
        </w:rPr>
        <w:fldChar w:fldCharType="end"/>
      </w:r>
      <w:r w:rsidRPr="00DC691E">
        <w:rPr>
          <w:rFonts w:ascii="Times New Roman" w:hAnsi="Times New Roman"/>
          <w:sz w:val="24"/>
          <w:szCs w:val="24"/>
        </w:rPr>
        <w:tab/>
        <w:t>On balance, the tax year (that is, the period ended 31 March), would provide better domestic alignment, including with FATCA.  This will allow financial institutions to better integrate their CRS systems with other existing reporting systems, so overall should assist i</w:t>
      </w:r>
      <w:r w:rsidR="008666A4" w:rsidRPr="00DC691E">
        <w:rPr>
          <w:rFonts w:ascii="Times New Roman" w:hAnsi="Times New Roman"/>
          <w:sz w:val="24"/>
          <w:szCs w:val="24"/>
        </w:rPr>
        <w:t>n minimising compliance costs.</w:t>
      </w:r>
    </w:p>
    <w:p w:rsidR="00DC691E" w:rsidRPr="00DC691E" w:rsidRDefault="00DC691E" w:rsidP="007946CC">
      <w:pPr>
        <w:pStyle w:val="Bullet-list"/>
        <w:spacing w:after="0" w:line="240" w:lineRule="auto"/>
        <w:ind w:left="567" w:hanging="567"/>
        <w:jc w:val="both"/>
        <w:rPr>
          <w:rFonts w:ascii="Times New Roman" w:hAnsi="Times New Roman"/>
          <w:sz w:val="24"/>
          <w:szCs w:val="24"/>
        </w:rPr>
      </w:pPr>
    </w:p>
    <w:p w:rsidR="008666A4" w:rsidRDefault="008666A4" w:rsidP="007946CC">
      <w:pPr>
        <w:pStyle w:val="Bullet-list"/>
        <w:spacing w:after="0" w:line="240" w:lineRule="auto"/>
        <w:ind w:left="567" w:hanging="567"/>
        <w:jc w:val="both"/>
        <w:rPr>
          <w:rFonts w:ascii="Times New Roman" w:hAnsi="Times New Roman"/>
          <w:sz w:val="24"/>
          <w:szCs w:val="24"/>
        </w:rPr>
      </w:pPr>
      <w:r w:rsidRPr="00DC691E">
        <w:rPr>
          <w:rFonts w:ascii="Times New Roman" w:hAnsi="Times New Roman"/>
          <w:sz w:val="24"/>
          <w:szCs w:val="24"/>
        </w:rPr>
        <w:fldChar w:fldCharType="begin"/>
      </w:r>
      <w:r w:rsidRPr="00DC691E">
        <w:rPr>
          <w:rFonts w:ascii="Times New Roman" w:hAnsi="Times New Roman"/>
          <w:sz w:val="24"/>
          <w:szCs w:val="24"/>
        </w:rPr>
        <w:instrText xml:space="preserve"> AUTONUM  \* Arabic  </w:instrText>
      </w:r>
      <w:r w:rsidRPr="00DC691E">
        <w:rPr>
          <w:rFonts w:ascii="Times New Roman" w:hAnsi="Times New Roman"/>
          <w:sz w:val="24"/>
          <w:szCs w:val="24"/>
        </w:rPr>
        <w:fldChar w:fldCharType="end"/>
      </w:r>
      <w:r w:rsidRPr="00DC691E">
        <w:rPr>
          <w:rFonts w:ascii="Times New Roman" w:hAnsi="Times New Roman"/>
          <w:sz w:val="24"/>
          <w:szCs w:val="24"/>
        </w:rPr>
        <w:tab/>
        <w:t>Moreover, when combined with the New Zealand start date of 1 July 2017, a 31</w:t>
      </w:r>
      <w:r w:rsidR="003104CF">
        <w:t> </w:t>
      </w:r>
      <w:r w:rsidRPr="00DC691E">
        <w:rPr>
          <w:rFonts w:ascii="Times New Roman" w:hAnsi="Times New Roman"/>
          <w:sz w:val="24"/>
          <w:szCs w:val="24"/>
        </w:rPr>
        <w:t xml:space="preserve">December </w:t>
      </w:r>
      <w:r w:rsidR="0022551A">
        <w:rPr>
          <w:rFonts w:ascii="Times New Roman" w:hAnsi="Times New Roman"/>
          <w:sz w:val="24"/>
          <w:szCs w:val="24"/>
        </w:rPr>
        <w:t xml:space="preserve">reporting period end date </w:t>
      </w:r>
      <w:r w:rsidRPr="00DC691E">
        <w:rPr>
          <w:rFonts w:ascii="Times New Roman" w:hAnsi="Times New Roman"/>
          <w:sz w:val="24"/>
          <w:szCs w:val="24"/>
        </w:rPr>
        <w:t xml:space="preserve">would result in a first reporting period of only six months.  </w:t>
      </w:r>
      <w:r w:rsidR="0022551A">
        <w:rPr>
          <w:rFonts w:ascii="Times New Roman" w:hAnsi="Times New Roman"/>
          <w:sz w:val="24"/>
          <w:szCs w:val="24"/>
        </w:rPr>
        <w:t>A</w:t>
      </w:r>
      <w:r w:rsidRPr="00DC691E">
        <w:rPr>
          <w:rFonts w:ascii="Times New Roman" w:hAnsi="Times New Roman"/>
          <w:sz w:val="24"/>
          <w:szCs w:val="24"/>
        </w:rPr>
        <w:t xml:space="preserve"> 31 March reporting period end date </w:t>
      </w:r>
      <w:r w:rsidR="00FE2F41">
        <w:rPr>
          <w:rFonts w:ascii="Times New Roman" w:hAnsi="Times New Roman"/>
          <w:sz w:val="24"/>
          <w:szCs w:val="24"/>
        </w:rPr>
        <w:t xml:space="preserve">would </w:t>
      </w:r>
      <w:r w:rsidRPr="00DC691E">
        <w:rPr>
          <w:rFonts w:ascii="Times New Roman" w:hAnsi="Times New Roman"/>
          <w:sz w:val="24"/>
          <w:szCs w:val="24"/>
        </w:rPr>
        <w:t xml:space="preserve">result in </w:t>
      </w:r>
      <w:r w:rsidR="00FE2F41">
        <w:rPr>
          <w:rFonts w:ascii="Times New Roman" w:hAnsi="Times New Roman"/>
          <w:sz w:val="24"/>
          <w:szCs w:val="24"/>
        </w:rPr>
        <w:t>a</w:t>
      </w:r>
      <w:r w:rsidRPr="00DC691E">
        <w:rPr>
          <w:rFonts w:ascii="Times New Roman" w:hAnsi="Times New Roman"/>
          <w:sz w:val="24"/>
          <w:szCs w:val="24"/>
        </w:rPr>
        <w:t xml:space="preserve"> first reporting period </w:t>
      </w:r>
      <w:r w:rsidR="00FE2F41">
        <w:rPr>
          <w:rFonts w:ascii="Times New Roman" w:hAnsi="Times New Roman"/>
          <w:sz w:val="24"/>
          <w:szCs w:val="24"/>
        </w:rPr>
        <w:t>of</w:t>
      </w:r>
      <w:r w:rsidRPr="00DC691E">
        <w:rPr>
          <w:rFonts w:ascii="Times New Roman" w:hAnsi="Times New Roman"/>
          <w:sz w:val="24"/>
          <w:szCs w:val="24"/>
        </w:rPr>
        <w:t xml:space="preserve"> nine months</w:t>
      </w:r>
      <w:r w:rsidR="00FE2F41">
        <w:rPr>
          <w:rFonts w:ascii="Times New Roman" w:hAnsi="Times New Roman"/>
          <w:sz w:val="24"/>
          <w:szCs w:val="24"/>
        </w:rPr>
        <w:t>, giving financial institutions more time to complete the due diligence reviews required by the CRS in that first period</w:t>
      </w:r>
      <w:r w:rsidRPr="00DC691E">
        <w:rPr>
          <w:rFonts w:ascii="Times New Roman" w:hAnsi="Times New Roman"/>
          <w:sz w:val="24"/>
          <w:szCs w:val="24"/>
        </w:rPr>
        <w:t xml:space="preserve">.  </w:t>
      </w:r>
      <w:r w:rsidR="00FE2F41">
        <w:rPr>
          <w:rFonts w:ascii="Times New Roman" w:hAnsi="Times New Roman"/>
          <w:sz w:val="24"/>
          <w:szCs w:val="24"/>
        </w:rPr>
        <w:t xml:space="preserve">(See </w:t>
      </w:r>
      <w:r w:rsidR="00DC691E" w:rsidRPr="00DC691E">
        <w:rPr>
          <w:rFonts w:ascii="Times New Roman" w:hAnsi="Times New Roman"/>
          <w:sz w:val="24"/>
          <w:szCs w:val="24"/>
        </w:rPr>
        <w:t>below under ‘initial reporting period’</w:t>
      </w:r>
      <w:r w:rsidR="00DC691E">
        <w:rPr>
          <w:rFonts w:ascii="Times New Roman" w:hAnsi="Times New Roman"/>
          <w:sz w:val="24"/>
          <w:szCs w:val="24"/>
        </w:rPr>
        <w:t>.</w:t>
      </w:r>
      <w:r w:rsidR="00FE2F41">
        <w:rPr>
          <w:rFonts w:ascii="Times New Roman" w:hAnsi="Times New Roman"/>
          <w:sz w:val="24"/>
          <w:szCs w:val="24"/>
        </w:rPr>
        <w:t>)</w:t>
      </w:r>
    </w:p>
    <w:p w:rsidR="00FE2F41" w:rsidRDefault="00FE2F41" w:rsidP="007946CC">
      <w:pPr>
        <w:pStyle w:val="Bullet-list"/>
        <w:spacing w:after="0" w:line="240" w:lineRule="auto"/>
        <w:ind w:left="567" w:hanging="567"/>
        <w:jc w:val="both"/>
        <w:rPr>
          <w:rFonts w:ascii="Times New Roman" w:hAnsi="Times New Roman"/>
          <w:sz w:val="24"/>
          <w:szCs w:val="24"/>
        </w:rPr>
      </w:pPr>
    </w:p>
    <w:p w:rsidR="00FE2F41" w:rsidRPr="00FE2F41" w:rsidRDefault="00FE2F41" w:rsidP="007946CC">
      <w:pPr>
        <w:pStyle w:val="Bullet-list"/>
        <w:spacing w:after="0" w:line="240" w:lineRule="auto"/>
        <w:ind w:left="567" w:hanging="567"/>
        <w:jc w:val="both"/>
        <w:rPr>
          <w:rFonts w:ascii="Times New Roman" w:hAnsi="Times New Roman"/>
          <w:sz w:val="24"/>
          <w:szCs w:val="24"/>
        </w:rPr>
      </w:pPr>
      <w:r w:rsidRPr="00FE2F41">
        <w:rPr>
          <w:rFonts w:ascii="Times New Roman" w:hAnsi="Times New Roman"/>
          <w:sz w:val="24"/>
          <w:szCs w:val="24"/>
        </w:rPr>
        <w:fldChar w:fldCharType="begin"/>
      </w:r>
      <w:r w:rsidRPr="00FE2F41">
        <w:rPr>
          <w:rFonts w:ascii="Times New Roman" w:hAnsi="Times New Roman"/>
          <w:sz w:val="24"/>
          <w:szCs w:val="24"/>
        </w:rPr>
        <w:instrText xml:space="preserve"> AUTONUM  \* Arabic  </w:instrText>
      </w:r>
      <w:r w:rsidRPr="00FE2F41">
        <w:rPr>
          <w:rFonts w:ascii="Times New Roman" w:hAnsi="Times New Roman"/>
          <w:sz w:val="24"/>
          <w:szCs w:val="24"/>
        </w:rPr>
        <w:fldChar w:fldCharType="end"/>
      </w:r>
      <w:r w:rsidRPr="00FE2F41">
        <w:rPr>
          <w:rFonts w:ascii="Times New Roman" w:hAnsi="Times New Roman"/>
          <w:sz w:val="24"/>
          <w:szCs w:val="24"/>
        </w:rPr>
        <w:tab/>
        <w:t>For reasons of certainty</w:t>
      </w:r>
      <w:r>
        <w:rPr>
          <w:rFonts w:ascii="Times New Roman" w:hAnsi="Times New Roman"/>
          <w:sz w:val="24"/>
          <w:szCs w:val="24"/>
        </w:rPr>
        <w:t>, consistency</w:t>
      </w:r>
      <w:r w:rsidRPr="00FE2F41">
        <w:rPr>
          <w:rFonts w:ascii="Times New Roman" w:hAnsi="Times New Roman"/>
          <w:sz w:val="24"/>
          <w:szCs w:val="24"/>
        </w:rPr>
        <w:t xml:space="preserve"> and simplicity, it is proposed to mandate the tax year as the reporting period</w:t>
      </w:r>
      <w:r>
        <w:rPr>
          <w:rFonts w:ascii="Times New Roman" w:hAnsi="Times New Roman"/>
          <w:sz w:val="24"/>
          <w:szCs w:val="24"/>
        </w:rPr>
        <w:t>, rather than allowing financial institutions the choice.</w:t>
      </w:r>
    </w:p>
    <w:p w:rsidR="00DC691E" w:rsidRPr="00DC691E" w:rsidRDefault="00DC691E" w:rsidP="007946CC">
      <w:pPr>
        <w:pStyle w:val="Bullet-list"/>
        <w:spacing w:after="0" w:line="240" w:lineRule="auto"/>
        <w:ind w:left="567" w:hanging="567"/>
        <w:jc w:val="both"/>
        <w:rPr>
          <w:rFonts w:ascii="Times New Roman" w:hAnsi="Times New Roman"/>
          <w:sz w:val="24"/>
          <w:szCs w:val="24"/>
        </w:rPr>
      </w:pPr>
    </w:p>
    <w:p w:rsidR="00DC691E" w:rsidRDefault="00DC691E" w:rsidP="007946CC">
      <w:pPr>
        <w:pStyle w:val="Bullet-list"/>
        <w:spacing w:after="0" w:line="240" w:lineRule="auto"/>
        <w:ind w:left="567" w:hanging="567"/>
        <w:jc w:val="both"/>
        <w:rPr>
          <w:rFonts w:ascii="Times New Roman" w:hAnsi="Times New Roman"/>
          <w:sz w:val="24"/>
          <w:szCs w:val="24"/>
        </w:rPr>
      </w:pPr>
      <w:r w:rsidRPr="00DC691E">
        <w:rPr>
          <w:rFonts w:ascii="Times New Roman" w:hAnsi="Times New Roman"/>
          <w:sz w:val="24"/>
          <w:szCs w:val="24"/>
        </w:rPr>
        <w:fldChar w:fldCharType="begin"/>
      </w:r>
      <w:r w:rsidRPr="00DC691E">
        <w:rPr>
          <w:rFonts w:ascii="Times New Roman" w:hAnsi="Times New Roman"/>
          <w:sz w:val="24"/>
          <w:szCs w:val="24"/>
        </w:rPr>
        <w:instrText xml:space="preserve"> AUTONUM  \* Arabic  </w:instrText>
      </w:r>
      <w:r w:rsidRPr="00DC691E">
        <w:rPr>
          <w:rFonts w:ascii="Times New Roman" w:hAnsi="Times New Roman"/>
          <w:sz w:val="24"/>
          <w:szCs w:val="24"/>
        </w:rPr>
        <w:fldChar w:fldCharType="end"/>
      </w:r>
      <w:r w:rsidRPr="00DC691E">
        <w:rPr>
          <w:rFonts w:ascii="Times New Roman" w:hAnsi="Times New Roman"/>
          <w:sz w:val="24"/>
          <w:szCs w:val="24"/>
        </w:rPr>
        <w:tab/>
        <w:t xml:space="preserve">It is </w:t>
      </w:r>
      <w:r w:rsidR="00FE2F41">
        <w:rPr>
          <w:rFonts w:ascii="Times New Roman" w:hAnsi="Times New Roman"/>
          <w:sz w:val="24"/>
          <w:szCs w:val="24"/>
        </w:rPr>
        <w:t xml:space="preserve">also </w:t>
      </w:r>
      <w:r w:rsidRPr="00DC691E">
        <w:rPr>
          <w:rFonts w:ascii="Times New Roman" w:hAnsi="Times New Roman"/>
          <w:sz w:val="24"/>
          <w:szCs w:val="24"/>
        </w:rPr>
        <w:t>proposed that financial institutions be required to report CRS information to Inland Revenue by 30 June in line with the FATCA reporting deadline.  This will help ensure that Inland Revenue has sufficient time to then process the information for exchange by the 30 September deadline.</w:t>
      </w:r>
    </w:p>
    <w:p w:rsidR="00DC691E" w:rsidRPr="00DC691E" w:rsidRDefault="00DC691E" w:rsidP="007946CC">
      <w:pPr>
        <w:pStyle w:val="Bullet-list"/>
        <w:spacing w:after="0" w:line="240" w:lineRule="auto"/>
        <w:ind w:left="567" w:hanging="567"/>
        <w:jc w:val="both"/>
        <w:rPr>
          <w:rFonts w:ascii="Times New Roman" w:hAnsi="Times New Roman"/>
          <w:sz w:val="24"/>
          <w:szCs w:val="24"/>
        </w:rPr>
      </w:pPr>
    </w:p>
    <w:p w:rsidR="00EC4458" w:rsidRPr="00DC691E" w:rsidRDefault="00EC4458" w:rsidP="007946CC">
      <w:pPr>
        <w:pStyle w:val="Bullet-list"/>
        <w:spacing w:after="0" w:line="240" w:lineRule="auto"/>
        <w:ind w:left="567" w:hanging="567"/>
        <w:jc w:val="both"/>
        <w:rPr>
          <w:rFonts w:ascii="Times New Roman" w:hAnsi="Times New Roman"/>
          <w:sz w:val="24"/>
          <w:szCs w:val="24"/>
        </w:rPr>
      </w:pPr>
      <w:r w:rsidRPr="00DC691E">
        <w:rPr>
          <w:rFonts w:ascii="Times New Roman" w:hAnsi="Times New Roman"/>
          <w:sz w:val="24"/>
          <w:szCs w:val="24"/>
        </w:rPr>
        <w:fldChar w:fldCharType="begin"/>
      </w:r>
      <w:r w:rsidRPr="00DC691E">
        <w:rPr>
          <w:rFonts w:ascii="Times New Roman" w:hAnsi="Times New Roman"/>
          <w:sz w:val="24"/>
          <w:szCs w:val="24"/>
        </w:rPr>
        <w:instrText xml:space="preserve"> AUTONUM  \* Arabic  </w:instrText>
      </w:r>
      <w:r w:rsidRPr="00DC691E">
        <w:rPr>
          <w:rFonts w:ascii="Times New Roman" w:hAnsi="Times New Roman"/>
          <w:sz w:val="24"/>
          <w:szCs w:val="24"/>
        </w:rPr>
        <w:fldChar w:fldCharType="end"/>
      </w:r>
      <w:r w:rsidRPr="00DC691E">
        <w:rPr>
          <w:rFonts w:ascii="Times New Roman" w:hAnsi="Times New Roman"/>
          <w:sz w:val="24"/>
          <w:szCs w:val="24"/>
        </w:rPr>
        <w:tab/>
        <w:t xml:space="preserve">In this regard note that Australia allows until 31 July rather than 30 June.  </w:t>
      </w:r>
      <w:r w:rsidR="00DC691E" w:rsidRPr="00DC691E">
        <w:rPr>
          <w:rFonts w:ascii="Times New Roman" w:hAnsi="Times New Roman"/>
          <w:sz w:val="24"/>
          <w:szCs w:val="24"/>
        </w:rPr>
        <w:t xml:space="preserve">Aligning with Australia’s 31 July date </w:t>
      </w:r>
      <w:r w:rsidRPr="00DC691E">
        <w:rPr>
          <w:rFonts w:ascii="Times New Roman" w:hAnsi="Times New Roman"/>
          <w:sz w:val="24"/>
          <w:szCs w:val="24"/>
        </w:rPr>
        <w:t xml:space="preserve">would allow </w:t>
      </w:r>
      <w:r w:rsidR="00DC691E" w:rsidRPr="00DC691E">
        <w:rPr>
          <w:rFonts w:ascii="Times New Roman" w:hAnsi="Times New Roman"/>
          <w:sz w:val="24"/>
          <w:szCs w:val="24"/>
        </w:rPr>
        <w:t xml:space="preserve">New Zealand </w:t>
      </w:r>
      <w:r w:rsidRPr="00DC691E">
        <w:rPr>
          <w:rFonts w:ascii="Times New Roman" w:hAnsi="Times New Roman"/>
          <w:sz w:val="24"/>
          <w:szCs w:val="24"/>
        </w:rPr>
        <w:t xml:space="preserve">financial institutions more time to report.  However, it would shorten the time available for Inland Revenue to prepare the information for exchange from </w:t>
      </w:r>
      <w:r w:rsidR="00DC691E" w:rsidRPr="00DC691E">
        <w:rPr>
          <w:rFonts w:ascii="Times New Roman" w:hAnsi="Times New Roman"/>
          <w:sz w:val="24"/>
          <w:szCs w:val="24"/>
        </w:rPr>
        <w:t>three</w:t>
      </w:r>
      <w:r w:rsidRPr="00DC691E">
        <w:rPr>
          <w:rFonts w:ascii="Times New Roman" w:hAnsi="Times New Roman"/>
          <w:sz w:val="24"/>
          <w:szCs w:val="24"/>
        </w:rPr>
        <w:t xml:space="preserve"> months to two months. </w:t>
      </w:r>
      <w:r w:rsidR="000B178F">
        <w:rPr>
          <w:rFonts w:ascii="Times New Roman" w:hAnsi="Times New Roman"/>
          <w:sz w:val="24"/>
          <w:szCs w:val="24"/>
        </w:rPr>
        <w:t xml:space="preserve"> </w:t>
      </w:r>
      <w:r w:rsidRPr="00DC691E">
        <w:rPr>
          <w:rFonts w:ascii="Times New Roman" w:hAnsi="Times New Roman"/>
          <w:sz w:val="24"/>
          <w:szCs w:val="24"/>
        </w:rPr>
        <w:t>Given the possible need for Inland Revenue to identify and clarify irregularities or deficiencies with financial institution reports</w:t>
      </w:r>
      <w:r w:rsidR="000B178F">
        <w:rPr>
          <w:rFonts w:ascii="Times New Roman" w:hAnsi="Times New Roman"/>
          <w:sz w:val="24"/>
          <w:szCs w:val="24"/>
        </w:rPr>
        <w:t xml:space="preserve"> (particularly in the initial years of implementation)</w:t>
      </w:r>
      <w:r w:rsidRPr="00DC691E">
        <w:rPr>
          <w:rFonts w:ascii="Times New Roman" w:hAnsi="Times New Roman"/>
          <w:sz w:val="24"/>
          <w:szCs w:val="24"/>
        </w:rPr>
        <w:t>, two months would pose material risks.</w:t>
      </w:r>
    </w:p>
    <w:p w:rsidR="00DC691E" w:rsidRPr="001A4D2C" w:rsidRDefault="00DC691E" w:rsidP="007946CC">
      <w:pPr>
        <w:pStyle w:val="Bullet-list"/>
        <w:spacing w:after="0" w:line="240" w:lineRule="auto"/>
        <w:ind w:left="567" w:hanging="567"/>
        <w:jc w:val="both"/>
        <w:rPr>
          <w:rFonts w:ascii="Times New Roman" w:hAnsi="Times New Roman"/>
          <w:sz w:val="24"/>
          <w:szCs w:val="24"/>
        </w:rPr>
      </w:pPr>
    </w:p>
    <w:p w:rsidR="007946CC" w:rsidRDefault="007946CC" w:rsidP="007946CC">
      <w:pPr>
        <w:pStyle w:val="Bullet-list"/>
        <w:spacing w:after="0" w:line="240" w:lineRule="auto"/>
        <w:ind w:left="567" w:hanging="567"/>
        <w:jc w:val="both"/>
        <w:rPr>
          <w:rFonts w:ascii="Times New Roman" w:hAnsi="Times New Roman"/>
          <w:b/>
          <w:i/>
          <w:sz w:val="24"/>
          <w:szCs w:val="24"/>
        </w:rPr>
      </w:pPr>
    </w:p>
    <w:p w:rsidR="007946CC" w:rsidRDefault="007946CC" w:rsidP="007946CC">
      <w:pPr>
        <w:pStyle w:val="Bullet-list"/>
        <w:spacing w:after="0" w:line="240" w:lineRule="auto"/>
        <w:ind w:left="567" w:hanging="567"/>
        <w:jc w:val="both"/>
        <w:rPr>
          <w:rFonts w:ascii="Times New Roman" w:hAnsi="Times New Roman"/>
          <w:b/>
          <w:i/>
          <w:sz w:val="24"/>
          <w:szCs w:val="24"/>
        </w:rPr>
      </w:pPr>
    </w:p>
    <w:p w:rsidR="007946CC" w:rsidRDefault="007946CC" w:rsidP="007946CC">
      <w:pPr>
        <w:pStyle w:val="Bullet-list"/>
        <w:spacing w:after="0" w:line="240" w:lineRule="auto"/>
        <w:ind w:left="567" w:hanging="567"/>
        <w:jc w:val="both"/>
        <w:rPr>
          <w:rFonts w:ascii="Times New Roman" w:hAnsi="Times New Roman"/>
          <w:b/>
          <w:i/>
          <w:sz w:val="24"/>
          <w:szCs w:val="24"/>
        </w:rPr>
      </w:pPr>
    </w:p>
    <w:p w:rsidR="00EC4458" w:rsidRPr="00F65FFA" w:rsidRDefault="00DC691E" w:rsidP="007946CC">
      <w:pPr>
        <w:pStyle w:val="Bullet-list"/>
        <w:spacing w:after="0" w:line="240" w:lineRule="auto"/>
        <w:ind w:left="567" w:hanging="567"/>
        <w:jc w:val="both"/>
        <w:rPr>
          <w:rFonts w:ascii="Times New Roman" w:hAnsi="Times New Roman"/>
          <w:b/>
          <w:i/>
          <w:sz w:val="24"/>
          <w:szCs w:val="24"/>
        </w:rPr>
      </w:pPr>
      <w:r w:rsidRPr="00F65FFA">
        <w:rPr>
          <w:rFonts w:ascii="Times New Roman" w:hAnsi="Times New Roman"/>
          <w:b/>
          <w:i/>
          <w:sz w:val="24"/>
          <w:szCs w:val="24"/>
        </w:rPr>
        <w:t>Initial r</w:t>
      </w:r>
      <w:r w:rsidR="00EC4458" w:rsidRPr="00F65FFA">
        <w:rPr>
          <w:rFonts w:ascii="Times New Roman" w:hAnsi="Times New Roman"/>
          <w:b/>
          <w:i/>
          <w:sz w:val="24"/>
          <w:szCs w:val="24"/>
        </w:rPr>
        <w:t>eporting period</w:t>
      </w:r>
    </w:p>
    <w:p w:rsidR="00DC691E" w:rsidRPr="00DC691E" w:rsidRDefault="00DC691E" w:rsidP="007946CC">
      <w:pPr>
        <w:pStyle w:val="Bullet-list"/>
        <w:spacing w:after="0" w:line="240" w:lineRule="auto"/>
        <w:ind w:left="567" w:hanging="567"/>
        <w:jc w:val="both"/>
        <w:rPr>
          <w:rFonts w:ascii="Times New Roman" w:hAnsi="Times New Roman"/>
          <w:sz w:val="24"/>
          <w:szCs w:val="24"/>
        </w:rPr>
      </w:pPr>
    </w:p>
    <w:p w:rsidR="00EC4458" w:rsidRDefault="00EC4458" w:rsidP="007946CC">
      <w:pPr>
        <w:pStyle w:val="Bullet-list"/>
        <w:spacing w:after="0" w:line="240" w:lineRule="auto"/>
        <w:ind w:left="567" w:hanging="567"/>
        <w:jc w:val="both"/>
        <w:rPr>
          <w:rFonts w:ascii="Times New Roman" w:hAnsi="Times New Roman"/>
          <w:sz w:val="24"/>
          <w:szCs w:val="24"/>
        </w:rPr>
      </w:pPr>
      <w:r w:rsidRPr="00DC691E">
        <w:rPr>
          <w:rFonts w:ascii="Times New Roman" w:hAnsi="Times New Roman"/>
          <w:sz w:val="24"/>
          <w:szCs w:val="24"/>
        </w:rPr>
        <w:fldChar w:fldCharType="begin"/>
      </w:r>
      <w:r w:rsidRPr="00DC691E">
        <w:rPr>
          <w:rFonts w:ascii="Times New Roman" w:hAnsi="Times New Roman"/>
          <w:sz w:val="24"/>
          <w:szCs w:val="24"/>
        </w:rPr>
        <w:instrText xml:space="preserve"> AUTONUM  \* Arabic  </w:instrText>
      </w:r>
      <w:r w:rsidRPr="00DC691E">
        <w:rPr>
          <w:rFonts w:ascii="Times New Roman" w:hAnsi="Times New Roman"/>
          <w:sz w:val="24"/>
          <w:szCs w:val="24"/>
        </w:rPr>
        <w:fldChar w:fldCharType="end"/>
      </w:r>
      <w:r w:rsidRPr="00DC691E">
        <w:rPr>
          <w:rFonts w:ascii="Times New Roman" w:hAnsi="Times New Roman"/>
          <w:sz w:val="24"/>
          <w:szCs w:val="24"/>
        </w:rPr>
        <w:tab/>
        <w:t xml:space="preserve">The CRS contemplates due diligence reviews of pre-existing high value individual accounts being undertaken within the first </w:t>
      </w:r>
      <w:r w:rsidR="00DC691E" w:rsidRPr="00DC691E">
        <w:rPr>
          <w:rFonts w:ascii="Times New Roman" w:hAnsi="Times New Roman"/>
          <w:sz w:val="24"/>
          <w:szCs w:val="24"/>
        </w:rPr>
        <w:t xml:space="preserve">reporting </w:t>
      </w:r>
      <w:r w:rsidRPr="00DC691E">
        <w:rPr>
          <w:rFonts w:ascii="Times New Roman" w:hAnsi="Times New Roman"/>
          <w:sz w:val="24"/>
          <w:szCs w:val="24"/>
        </w:rPr>
        <w:t>period.</w:t>
      </w:r>
    </w:p>
    <w:p w:rsidR="00DC691E" w:rsidRPr="00DC691E" w:rsidRDefault="00DC691E" w:rsidP="007946CC">
      <w:pPr>
        <w:pStyle w:val="Bullet-list"/>
        <w:spacing w:after="0" w:line="240" w:lineRule="auto"/>
        <w:ind w:left="567" w:hanging="567"/>
        <w:jc w:val="both"/>
        <w:rPr>
          <w:rFonts w:ascii="Times New Roman" w:hAnsi="Times New Roman"/>
          <w:sz w:val="24"/>
          <w:szCs w:val="24"/>
        </w:rPr>
      </w:pPr>
    </w:p>
    <w:p w:rsidR="00EC4458" w:rsidRDefault="00EC4458" w:rsidP="007946CC">
      <w:pPr>
        <w:pStyle w:val="Bullet-list"/>
        <w:spacing w:after="0" w:line="240" w:lineRule="auto"/>
        <w:ind w:left="567" w:hanging="567"/>
        <w:jc w:val="both"/>
        <w:rPr>
          <w:rFonts w:ascii="Times New Roman" w:hAnsi="Times New Roman"/>
          <w:sz w:val="24"/>
          <w:szCs w:val="24"/>
        </w:rPr>
      </w:pPr>
      <w:r w:rsidRPr="00DC691E">
        <w:rPr>
          <w:rFonts w:ascii="Times New Roman" w:hAnsi="Times New Roman"/>
          <w:sz w:val="24"/>
          <w:szCs w:val="24"/>
        </w:rPr>
        <w:fldChar w:fldCharType="begin"/>
      </w:r>
      <w:r w:rsidRPr="00DC691E">
        <w:rPr>
          <w:rFonts w:ascii="Times New Roman" w:hAnsi="Times New Roman"/>
          <w:sz w:val="24"/>
          <w:szCs w:val="24"/>
        </w:rPr>
        <w:instrText xml:space="preserve"> AUTONUM  \* Arabic  </w:instrText>
      </w:r>
      <w:r w:rsidRPr="00DC691E">
        <w:rPr>
          <w:rFonts w:ascii="Times New Roman" w:hAnsi="Times New Roman"/>
          <w:sz w:val="24"/>
          <w:szCs w:val="24"/>
        </w:rPr>
        <w:fldChar w:fldCharType="end"/>
      </w:r>
      <w:r w:rsidRPr="00DC691E">
        <w:rPr>
          <w:rFonts w:ascii="Times New Roman" w:hAnsi="Times New Roman"/>
          <w:sz w:val="24"/>
          <w:szCs w:val="24"/>
        </w:rPr>
        <w:tab/>
      </w:r>
      <w:r w:rsidR="000B178F">
        <w:rPr>
          <w:rFonts w:ascii="Times New Roman" w:hAnsi="Times New Roman"/>
          <w:sz w:val="24"/>
          <w:szCs w:val="24"/>
        </w:rPr>
        <w:t>Most ju</w:t>
      </w:r>
      <w:r w:rsidR="00DC691E" w:rsidRPr="00DC691E">
        <w:rPr>
          <w:rFonts w:ascii="Times New Roman" w:hAnsi="Times New Roman"/>
          <w:sz w:val="24"/>
          <w:szCs w:val="24"/>
        </w:rPr>
        <w:t>risdictions</w:t>
      </w:r>
      <w:r w:rsidRPr="00DC691E">
        <w:rPr>
          <w:rFonts w:ascii="Times New Roman" w:hAnsi="Times New Roman"/>
          <w:sz w:val="24"/>
          <w:szCs w:val="24"/>
        </w:rPr>
        <w:t xml:space="preserve"> </w:t>
      </w:r>
      <w:r w:rsidR="000B178F">
        <w:rPr>
          <w:rFonts w:ascii="Times New Roman" w:hAnsi="Times New Roman"/>
          <w:sz w:val="24"/>
          <w:szCs w:val="24"/>
        </w:rPr>
        <w:t>implementing AEOI will</w:t>
      </w:r>
      <w:r w:rsidRPr="00DC691E">
        <w:rPr>
          <w:rFonts w:ascii="Times New Roman" w:hAnsi="Times New Roman"/>
          <w:sz w:val="24"/>
          <w:szCs w:val="24"/>
        </w:rPr>
        <w:t xml:space="preserve"> have a start date of 1 January and </w:t>
      </w:r>
      <w:r w:rsidR="000B178F">
        <w:rPr>
          <w:rFonts w:ascii="Times New Roman" w:hAnsi="Times New Roman"/>
          <w:sz w:val="24"/>
          <w:szCs w:val="24"/>
        </w:rPr>
        <w:t>will</w:t>
      </w:r>
      <w:r w:rsidRPr="00DC691E">
        <w:rPr>
          <w:rFonts w:ascii="Times New Roman" w:hAnsi="Times New Roman"/>
          <w:sz w:val="24"/>
          <w:szCs w:val="24"/>
        </w:rPr>
        <w:t xml:space="preserve"> operate on the basis of a calendar year reporting period</w:t>
      </w:r>
      <w:r w:rsidR="000B178F">
        <w:rPr>
          <w:rFonts w:ascii="Times New Roman" w:hAnsi="Times New Roman"/>
          <w:sz w:val="24"/>
          <w:szCs w:val="24"/>
        </w:rPr>
        <w:t>, allowing a</w:t>
      </w:r>
      <w:r w:rsidRPr="00DC691E">
        <w:rPr>
          <w:rFonts w:ascii="Times New Roman" w:hAnsi="Times New Roman"/>
          <w:sz w:val="24"/>
          <w:szCs w:val="24"/>
        </w:rPr>
        <w:t xml:space="preserve"> full 12 months to conduct these reviews</w:t>
      </w:r>
      <w:r w:rsidR="000B178F">
        <w:rPr>
          <w:rFonts w:ascii="Times New Roman" w:hAnsi="Times New Roman"/>
          <w:sz w:val="24"/>
          <w:szCs w:val="24"/>
        </w:rPr>
        <w:t xml:space="preserve">. </w:t>
      </w:r>
      <w:r w:rsidRPr="00DC691E">
        <w:rPr>
          <w:rFonts w:ascii="Times New Roman" w:hAnsi="Times New Roman"/>
          <w:sz w:val="24"/>
          <w:szCs w:val="24"/>
        </w:rPr>
        <w:t xml:space="preserve"> </w:t>
      </w:r>
      <w:r w:rsidR="000B178F">
        <w:rPr>
          <w:rFonts w:ascii="Times New Roman" w:hAnsi="Times New Roman"/>
          <w:sz w:val="24"/>
          <w:szCs w:val="24"/>
        </w:rPr>
        <w:t>In</w:t>
      </w:r>
      <w:r w:rsidRPr="00DC691E">
        <w:rPr>
          <w:rFonts w:ascii="Times New Roman" w:hAnsi="Times New Roman"/>
          <w:sz w:val="24"/>
          <w:szCs w:val="24"/>
        </w:rPr>
        <w:t xml:space="preserve"> contrast, the proposed New Zealand start date of 1 July 2017 and reporting period end date of 31 March </w:t>
      </w:r>
      <w:r w:rsidR="000B178F">
        <w:rPr>
          <w:rFonts w:ascii="Times New Roman" w:hAnsi="Times New Roman"/>
          <w:sz w:val="24"/>
          <w:szCs w:val="24"/>
        </w:rPr>
        <w:t>will</w:t>
      </w:r>
      <w:r w:rsidRPr="00DC691E">
        <w:rPr>
          <w:rFonts w:ascii="Times New Roman" w:hAnsi="Times New Roman"/>
          <w:sz w:val="24"/>
          <w:szCs w:val="24"/>
        </w:rPr>
        <w:t xml:space="preserve"> prima facie only allow New Zealand financial institutions nine months (that is 1 July 2017 to 31 March 2018) to complete these initial reviews.  This potentially disadvantages New Zealand financial institutions as compared with financial institutions of other countries.</w:t>
      </w:r>
    </w:p>
    <w:p w:rsidR="00DC691E" w:rsidRPr="00DC691E" w:rsidRDefault="00DC691E" w:rsidP="007946CC">
      <w:pPr>
        <w:pStyle w:val="Bullet-list"/>
        <w:spacing w:after="0" w:line="240" w:lineRule="auto"/>
        <w:ind w:left="567" w:hanging="567"/>
        <w:jc w:val="both"/>
        <w:rPr>
          <w:rFonts w:ascii="Times New Roman" w:hAnsi="Times New Roman"/>
          <w:sz w:val="24"/>
          <w:szCs w:val="24"/>
        </w:rPr>
      </w:pPr>
    </w:p>
    <w:p w:rsidR="00EC4458" w:rsidRDefault="00EC4458" w:rsidP="007946CC">
      <w:pPr>
        <w:pStyle w:val="Bullet-list"/>
        <w:spacing w:after="0" w:line="240" w:lineRule="auto"/>
        <w:ind w:left="567" w:hanging="567"/>
        <w:jc w:val="both"/>
        <w:rPr>
          <w:rFonts w:ascii="Times New Roman" w:hAnsi="Times New Roman"/>
          <w:sz w:val="24"/>
          <w:szCs w:val="24"/>
        </w:rPr>
      </w:pPr>
      <w:r w:rsidRPr="00DC691E">
        <w:rPr>
          <w:rFonts w:ascii="Times New Roman" w:hAnsi="Times New Roman"/>
          <w:sz w:val="24"/>
          <w:szCs w:val="24"/>
        </w:rPr>
        <w:fldChar w:fldCharType="begin"/>
      </w:r>
      <w:r w:rsidRPr="00DC691E">
        <w:rPr>
          <w:rFonts w:ascii="Times New Roman" w:hAnsi="Times New Roman"/>
          <w:sz w:val="24"/>
          <w:szCs w:val="24"/>
        </w:rPr>
        <w:instrText xml:space="preserve"> AUTONUM  \* Arabic  </w:instrText>
      </w:r>
      <w:r w:rsidRPr="00DC691E">
        <w:rPr>
          <w:rFonts w:ascii="Times New Roman" w:hAnsi="Times New Roman"/>
          <w:sz w:val="24"/>
          <w:szCs w:val="24"/>
        </w:rPr>
        <w:fldChar w:fldCharType="end"/>
      </w:r>
      <w:r w:rsidRPr="00DC691E">
        <w:rPr>
          <w:rFonts w:ascii="Times New Roman" w:hAnsi="Times New Roman"/>
          <w:sz w:val="24"/>
          <w:szCs w:val="24"/>
        </w:rPr>
        <w:tab/>
        <w:t xml:space="preserve">Australia has the same 1 July start date as New Zealand, but has a reporting period end date of 31 December.  Therefore Australia’s first reporting period will only be six months.  As this would prima facie only allow </w:t>
      </w:r>
      <w:r w:rsidR="00163D03">
        <w:rPr>
          <w:rFonts w:ascii="Times New Roman" w:hAnsi="Times New Roman"/>
          <w:sz w:val="24"/>
          <w:szCs w:val="24"/>
        </w:rPr>
        <w:t xml:space="preserve">six </w:t>
      </w:r>
      <w:r w:rsidRPr="00DC691E">
        <w:rPr>
          <w:rFonts w:ascii="Times New Roman" w:hAnsi="Times New Roman"/>
          <w:sz w:val="24"/>
          <w:szCs w:val="24"/>
        </w:rPr>
        <w:t>months for completing due diligence of pre-existing high value individual accounts, Australia has adopted a compromise approach that involves allowing additional time to complete the reviews of pre-existing high value individual accounts, albeit still reporting the required information (such as account balances) in the first report.</w:t>
      </w:r>
    </w:p>
    <w:p w:rsidR="00DC691E" w:rsidRPr="00DC691E" w:rsidRDefault="00DC691E" w:rsidP="007946CC">
      <w:pPr>
        <w:pStyle w:val="Bullet-list"/>
        <w:spacing w:after="0" w:line="240" w:lineRule="auto"/>
        <w:ind w:left="567" w:hanging="567"/>
        <w:jc w:val="both"/>
        <w:rPr>
          <w:rFonts w:ascii="Times New Roman" w:hAnsi="Times New Roman"/>
          <w:sz w:val="24"/>
          <w:szCs w:val="24"/>
        </w:rPr>
      </w:pPr>
    </w:p>
    <w:p w:rsidR="00EC4458" w:rsidRDefault="00EC4458" w:rsidP="007946CC">
      <w:pPr>
        <w:pStyle w:val="Bullet-list"/>
        <w:spacing w:after="0" w:line="240" w:lineRule="auto"/>
        <w:ind w:left="567" w:hanging="567"/>
        <w:jc w:val="both"/>
        <w:rPr>
          <w:rFonts w:ascii="Times New Roman" w:hAnsi="Times New Roman"/>
          <w:sz w:val="24"/>
          <w:szCs w:val="24"/>
        </w:rPr>
      </w:pPr>
      <w:r w:rsidRPr="00DC691E">
        <w:rPr>
          <w:rFonts w:ascii="Times New Roman" w:hAnsi="Times New Roman"/>
          <w:sz w:val="24"/>
          <w:szCs w:val="24"/>
        </w:rPr>
        <w:fldChar w:fldCharType="begin"/>
      </w:r>
      <w:r w:rsidRPr="00DC691E">
        <w:rPr>
          <w:rFonts w:ascii="Times New Roman" w:hAnsi="Times New Roman"/>
          <w:sz w:val="24"/>
          <w:szCs w:val="24"/>
        </w:rPr>
        <w:instrText xml:space="preserve"> AUTONUM  \* Arabic  </w:instrText>
      </w:r>
      <w:r w:rsidRPr="00DC691E">
        <w:rPr>
          <w:rFonts w:ascii="Times New Roman" w:hAnsi="Times New Roman"/>
          <w:sz w:val="24"/>
          <w:szCs w:val="24"/>
        </w:rPr>
        <w:fldChar w:fldCharType="end"/>
      </w:r>
      <w:r w:rsidRPr="00DC691E">
        <w:rPr>
          <w:rFonts w:ascii="Times New Roman" w:hAnsi="Times New Roman"/>
          <w:sz w:val="24"/>
          <w:szCs w:val="24"/>
        </w:rPr>
        <w:tab/>
        <w:t>The mechanism is complex, but in essence Australia will allow financial institutions to carry out due diligence on pre-existing high value individual accounts until 31 July 2018 (essentially allowing 13 months for due diligence on such accounts) provided that such accounts are reported in the first report.</w:t>
      </w:r>
    </w:p>
    <w:p w:rsidR="00DC691E" w:rsidRPr="00DC691E" w:rsidRDefault="00DC691E" w:rsidP="007946CC">
      <w:pPr>
        <w:pStyle w:val="Bullet-list"/>
        <w:spacing w:after="0" w:line="240" w:lineRule="auto"/>
        <w:ind w:left="567" w:hanging="567"/>
        <w:jc w:val="both"/>
        <w:rPr>
          <w:rFonts w:ascii="Times New Roman" w:hAnsi="Times New Roman"/>
          <w:sz w:val="24"/>
          <w:szCs w:val="24"/>
        </w:rPr>
      </w:pPr>
    </w:p>
    <w:p w:rsidR="00EC4458" w:rsidRDefault="00DC691E" w:rsidP="007946CC">
      <w:pPr>
        <w:pStyle w:val="Bullet-list"/>
        <w:spacing w:after="0" w:line="240" w:lineRule="auto"/>
        <w:ind w:left="567" w:hanging="567"/>
        <w:jc w:val="both"/>
        <w:rPr>
          <w:rFonts w:ascii="Times New Roman" w:hAnsi="Times New Roman"/>
          <w:sz w:val="24"/>
          <w:szCs w:val="24"/>
        </w:rPr>
      </w:pPr>
      <w:r w:rsidRPr="00DC691E">
        <w:rPr>
          <w:rFonts w:ascii="Times New Roman" w:hAnsi="Times New Roman"/>
          <w:sz w:val="24"/>
          <w:szCs w:val="24"/>
        </w:rPr>
        <w:fldChar w:fldCharType="begin"/>
      </w:r>
      <w:r w:rsidRPr="00DC691E">
        <w:rPr>
          <w:rFonts w:ascii="Times New Roman" w:hAnsi="Times New Roman"/>
          <w:sz w:val="24"/>
          <w:szCs w:val="24"/>
        </w:rPr>
        <w:instrText xml:space="preserve"> AUTONUM  \* Arabic  </w:instrText>
      </w:r>
      <w:r w:rsidRPr="00DC691E">
        <w:rPr>
          <w:rFonts w:ascii="Times New Roman" w:hAnsi="Times New Roman"/>
          <w:sz w:val="24"/>
          <w:szCs w:val="24"/>
        </w:rPr>
        <w:fldChar w:fldCharType="end"/>
      </w:r>
      <w:r w:rsidRPr="00DC691E">
        <w:rPr>
          <w:rFonts w:ascii="Times New Roman" w:hAnsi="Times New Roman"/>
          <w:sz w:val="24"/>
          <w:szCs w:val="24"/>
        </w:rPr>
        <w:tab/>
        <w:t xml:space="preserve">It is proposed to adopt a </w:t>
      </w:r>
      <w:r w:rsidR="00EC4458" w:rsidRPr="00DC691E">
        <w:rPr>
          <w:rFonts w:ascii="Times New Roman" w:hAnsi="Times New Roman"/>
          <w:sz w:val="24"/>
          <w:szCs w:val="24"/>
        </w:rPr>
        <w:t xml:space="preserve">similar approach for New Zealand.  The 30 June deadline will apply for the purposes of completing due diligence reviews of pre-existing high value individual </w:t>
      </w:r>
      <w:r w:rsidR="00EC4458" w:rsidRPr="003104CF">
        <w:rPr>
          <w:rFonts w:ascii="Times New Roman" w:hAnsi="Times New Roman"/>
          <w:sz w:val="24"/>
          <w:szCs w:val="24"/>
        </w:rPr>
        <w:t>accounts and reporting</w:t>
      </w:r>
      <w:r w:rsidR="00EC4458" w:rsidRPr="00DC691E">
        <w:rPr>
          <w:rFonts w:ascii="Times New Roman" w:hAnsi="Times New Roman"/>
          <w:sz w:val="24"/>
          <w:szCs w:val="24"/>
        </w:rPr>
        <w:t xml:space="preserve"> the information to Inland Revenue.  Under this approach, financial institutions can continue conducting due diligence </w:t>
      </w:r>
      <w:r w:rsidR="000B178F">
        <w:rPr>
          <w:rFonts w:ascii="Times New Roman" w:hAnsi="Times New Roman"/>
          <w:sz w:val="24"/>
          <w:szCs w:val="24"/>
        </w:rPr>
        <w:t xml:space="preserve">on high value accounts </w:t>
      </w:r>
      <w:r w:rsidR="00EC4458" w:rsidRPr="00DC691E">
        <w:rPr>
          <w:rFonts w:ascii="Times New Roman" w:hAnsi="Times New Roman"/>
          <w:sz w:val="24"/>
          <w:szCs w:val="24"/>
        </w:rPr>
        <w:t>past the 31 March reporting period end date, provided they report the information about any reportable high value accounts identified in this review to Inland Revenue by 30 June.</w:t>
      </w:r>
    </w:p>
    <w:p w:rsidR="00DC691E" w:rsidRPr="00DC691E" w:rsidRDefault="00DC691E" w:rsidP="007946CC">
      <w:pPr>
        <w:pStyle w:val="Bullet-list"/>
        <w:spacing w:after="0" w:line="240" w:lineRule="auto"/>
        <w:ind w:left="567" w:hanging="567"/>
        <w:jc w:val="both"/>
        <w:rPr>
          <w:rFonts w:ascii="Times New Roman" w:hAnsi="Times New Roman"/>
          <w:sz w:val="24"/>
          <w:szCs w:val="24"/>
        </w:rPr>
      </w:pPr>
    </w:p>
    <w:p w:rsidR="00EC4458" w:rsidRPr="00DC691E" w:rsidRDefault="00EC4458" w:rsidP="007946CC">
      <w:pPr>
        <w:pStyle w:val="Bullet-list"/>
        <w:spacing w:after="0" w:line="240" w:lineRule="auto"/>
        <w:ind w:left="567" w:hanging="567"/>
        <w:jc w:val="both"/>
        <w:rPr>
          <w:rFonts w:ascii="Times New Roman" w:hAnsi="Times New Roman"/>
          <w:sz w:val="24"/>
          <w:szCs w:val="24"/>
        </w:rPr>
      </w:pPr>
      <w:r w:rsidRPr="00DC691E">
        <w:rPr>
          <w:rFonts w:ascii="Times New Roman" w:hAnsi="Times New Roman"/>
          <w:sz w:val="24"/>
          <w:szCs w:val="24"/>
        </w:rPr>
        <w:fldChar w:fldCharType="begin"/>
      </w:r>
      <w:r w:rsidRPr="00DC691E">
        <w:rPr>
          <w:rFonts w:ascii="Times New Roman" w:hAnsi="Times New Roman"/>
          <w:sz w:val="24"/>
          <w:szCs w:val="24"/>
        </w:rPr>
        <w:instrText xml:space="preserve"> AUTONUM  \* Arabic  </w:instrText>
      </w:r>
      <w:r w:rsidRPr="00DC691E">
        <w:rPr>
          <w:rFonts w:ascii="Times New Roman" w:hAnsi="Times New Roman"/>
          <w:sz w:val="24"/>
          <w:szCs w:val="24"/>
        </w:rPr>
        <w:fldChar w:fldCharType="end"/>
      </w:r>
      <w:r w:rsidRPr="00DC691E">
        <w:rPr>
          <w:rFonts w:ascii="Times New Roman" w:hAnsi="Times New Roman"/>
          <w:sz w:val="24"/>
          <w:szCs w:val="24"/>
        </w:rPr>
        <w:tab/>
        <w:t xml:space="preserve">The same approach </w:t>
      </w:r>
      <w:r w:rsidR="00DC691E">
        <w:rPr>
          <w:rFonts w:ascii="Times New Roman" w:hAnsi="Times New Roman"/>
          <w:sz w:val="24"/>
          <w:szCs w:val="24"/>
        </w:rPr>
        <w:t>will</w:t>
      </w:r>
      <w:r w:rsidRPr="00DC691E">
        <w:rPr>
          <w:rFonts w:ascii="Times New Roman" w:hAnsi="Times New Roman"/>
          <w:sz w:val="24"/>
          <w:szCs w:val="24"/>
        </w:rPr>
        <w:t xml:space="preserve"> apply for the following year, for the due diligence reviews of pre-existing low value individual accounts and pre-existing entity accounts (that is, allowing review and reporting by 30 June 2019).</w:t>
      </w:r>
    </w:p>
    <w:p w:rsidR="000B178F" w:rsidRDefault="000B178F" w:rsidP="007946CC">
      <w:pPr>
        <w:pStyle w:val="Bullet-list"/>
        <w:spacing w:after="0" w:line="240" w:lineRule="auto"/>
        <w:ind w:left="567" w:hanging="567"/>
        <w:jc w:val="both"/>
        <w:rPr>
          <w:rFonts w:ascii="Times New Roman" w:hAnsi="Times New Roman"/>
          <w:sz w:val="24"/>
          <w:szCs w:val="24"/>
        </w:rPr>
      </w:pPr>
    </w:p>
    <w:p w:rsidR="000B178F" w:rsidRPr="00F65FFA" w:rsidRDefault="000B178F" w:rsidP="007946CC">
      <w:pPr>
        <w:pStyle w:val="Bullet-list"/>
        <w:spacing w:after="0" w:line="240" w:lineRule="auto"/>
        <w:ind w:left="567" w:hanging="567"/>
        <w:jc w:val="both"/>
        <w:rPr>
          <w:rFonts w:ascii="Times New Roman" w:hAnsi="Times New Roman"/>
          <w:b/>
          <w:i/>
          <w:sz w:val="24"/>
          <w:szCs w:val="24"/>
        </w:rPr>
      </w:pPr>
      <w:r w:rsidRPr="00F65FFA">
        <w:rPr>
          <w:rFonts w:ascii="Times New Roman" w:hAnsi="Times New Roman"/>
          <w:b/>
          <w:i/>
          <w:sz w:val="24"/>
          <w:szCs w:val="24"/>
        </w:rPr>
        <w:t>Time for completing due diligence reviews of pre-existing entity accounts</w:t>
      </w:r>
    </w:p>
    <w:p w:rsidR="000B178F" w:rsidRDefault="000B178F" w:rsidP="007946CC">
      <w:pPr>
        <w:pStyle w:val="Bullet-list"/>
        <w:spacing w:after="0" w:line="240" w:lineRule="auto"/>
        <w:ind w:left="567" w:hanging="567"/>
        <w:jc w:val="both"/>
        <w:rPr>
          <w:rFonts w:ascii="Times New Roman" w:hAnsi="Times New Roman"/>
          <w:sz w:val="24"/>
          <w:szCs w:val="24"/>
        </w:rPr>
      </w:pPr>
    </w:p>
    <w:p w:rsidR="000B178F" w:rsidRDefault="000B178F" w:rsidP="007946CC">
      <w:pPr>
        <w:pStyle w:val="Bullet-list"/>
        <w:spacing w:after="0" w:line="240" w:lineRule="auto"/>
        <w:ind w:left="567" w:hanging="567"/>
        <w:jc w:val="both"/>
        <w:rPr>
          <w:rFonts w:ascii="Times New Roman" w:hAnsi="Times New Roman"/>
          <w:sz w:val="24"/>
          <w:szCs w:val="24"/>
        </w:rPr>
      </w:pPr>
      <w:r w:rsidRPr="001A4D2C">
        <w:rPr>
          <w:rFonts w:ascii="Times New Roman" w:hAnsi="Times New Roman"/>
          <w:sz w:val="24"/>
          <w:szCs w:val="24"/>
        </w:rPr>
        <w:fldChar w:fldCharType="begin"/>
      </w:r>
      <w:r w:rsidRPr="001A4D2C">
        <w:rPr>
          <w:rFonts w:ascii="Times New Roman" w:hAnsi="Times New Roman"/>
          <w:sz w:val="24"/>
          <w:szCs w:val="24"/>
        </w:rPr>
        <w:instrText xml:space="preserve"> AUTONUM  \* Arabic  </w:instrText>
      </w:r>
      <w:r w:rsidRPr="001A4D2C">
        <w:rPr>
          <w:rFonts w:ascii="Times New Roman" w:hAnsi="Times New Roman"/>
          <w:sz w:val="24"/>
          <w:szCs w:val="24"/>
        </w:rPr>
        <w:fldChar w:fldCharType="end"/>
      </w:r>
      <w:r w:rsidRPr="001A4D2C">
        <w:rPr>
          <w:rFonts w:ascii="Times New Roman" w:hAnsi="Times New Roman"/>
          <w:sz w:val="24"/>
          <w:szCs w:val="24"/>
        </w:rPr>
        <w:tab/>
        <w:t xml:space="preserve">The OECD documentation is (slightly) ambiguous on the expected time-frame for completing due diligence for pre-existing entity accounts.  </w:t>
      </w:r>
      <w:r>
        <w:rPr>
          <w:rFonts w:ascii="Times New Roman" w:hAnsi="Times New Roman"/>
          <w:sz w:val="24"/>
          <w:szCs w:val="24"/>
        </w:rPr>
        <w:t>Most countries appear to be</w:t>
      </w:r>
      <w:r w:rsidRPr="001A4D2C">
        <w:rPr>
          <w:rFonts w:ascii="Times New Roman" w:hAnsi="Times New Roman"/>
          <w:sz w:val="24"/>
          <w:szCs w:val="24"/>
        </w:rPr>
        <w:t xml:space="preserve"> read</w:t>
      </w:r>
      <w:r>
        <w:rPr>
          <w:rFonts w:ascii="Times New Roman" w:hAnsi="Times New Roman"/>
          <w:sz w:val="24"/>
          <w:szCs w:val="24"/>
        </w:rPr>
        <w:t>ing</w:t>
      </w:r>
      <w:r w:rsidRPr="001A4D2C">
        <w:rPr>
          <w:rFonts w:ascii="Times New Roman" w:hAnsi="Times New Roman"/>
          <w:sz w:val="24"/>
          <w:szCs w:val="24"/>
        </w:rPr>
        <w:t xml:space="preserve"> the documentation as generally allowing 24 month</w:t>
      </w:r>
      <w:r>
        <w:rPr>
          <w:rFonts w:ascii="Times New Roman" w:hAnsi="Times New Roman"/>
          <w:sz w:val="24"/>
          <w:szCs w:val="24"/>
        </w:rPr>
        <w:t>s for these review</w:t>
      </w:r>
      <w:r w:rsidRPr="001A4D2C">
        <w:rPr>
          <w:rFonts w:ascii="Times New Roman" w:hAnsi="Times New Roman"/>
          <w:sz w:val="24"/>
          <w:szCs w:val="24"/>
        </w:rPr>
        <w:t>s.  Australia initially proposed 24 months, but in their implementation legislation enacted in March</w:t>
      </w:r>
      <w:r>
        <w:rPr>
          <w:rFonts w:ascii="Times New Roman" w:hAnsi="Times New Roman"/>
          <w:sz w:val="24"/>
          <w:szCs w:val="24"/>
        </w:rPr>
        <w:t xml:space="preserve"> 2016</w:t>
      </w:r>
      <w:r w:rsidRPr="001A4D2C">
        <w:rPr>
          <w:rFonts w:ascii="Times New Roman" w:hAnsi="Times New Roman"/>
          <w:sz w:val="24"/>
          <w:szCs w:val="24"/>
        </w:rPr>
        <w:t xml:space="preserve">, ultimately </w:t>
      </w:r>
      <w:r>
        <w:rPr>
          <w:rFonts w:ascii="Times New Roman" w:hAnsi="Times New Roman"/>
          <w:sz w:val="24"/>
          <w:szCs w:val="24"/>
        </w:rPr>
        <w:t>only allowed 12 months.</w:t>
      </w:r>
    </w:p>
    <w:p w:rsidR="000B178F" w:rsidRPr="001A4D2C" w:rsidRDefault="000B178F" w:rsidP="007946CC">
      <w:pPr>
        <w:pStyle w:val="Bullet-list"/>
        <w:spacing w:after="0" w:line="240" w:lineRule="auto"/>
        <w:ind w:left="567" w:hanging="567"/>
        <w:jc w:val="both"/>
        <w:rPr>
          <w:rFonts w:ascii="Times New Roman" w:hAnsi="Times New Roman"/>
          <w:sz w:val="24"/>
          <w:szCs w:val="24"/>
        </w:rPr>
      </w:pPr>
    </w:p>
    <w:p w:rsidR="000B178F" w:rsidRDefault="000B178F" w:rsidP="007946CC">
      <w:pPr>
        <w:pStyle w:val="Bullet-list"/>
        <w:spacing w:after="0" w:line="240" w:lineRule="auto"/>
        <w:ind w:left="567" w:hanging="567"/>
        <w:jc w:val="both"/>
        <w:rPr>
          <w:rFonts w:ascii="Times New Roman" w:hAnsi="Times New Roman"/>
          <w:sz w:val="24"/>
          <w:szCs w:val="24"/>
        </w:rPr>
      </w:pPr>
      <w:r w:rsidRPr="001A4D2C">
        <w:rPr>
          <w:rFonts w:ascii="Times New Roman" w:hAnsi="Times New Roman"/>
          <w:sz w:val="24"/>
          <w:szCs w:val="24"/>
        </w:rPr>
        <w:fldChar w:fldCharType="begin"/>
      </w:r>
      <w:r w:rsidRPr="001A4D2C">
        <w:rPr>
          <w:rFonts w:ascii="Times New Roman" w:hAnsi="Times New Roman"/>
          <w:sz w:val="24"/>
          <w:szCs w:val="24"/>
        </w:rPr>
        <w:instrText xml:space="preserve"> AUTONUM  \* Arabic  </w:instrText>
      </w:r>
      <w:r w:rsidRPr="001A4D2C">
        <w:rPr>
          <w:rFonts w:ascii="Times New Roman" w:hAnsi="Times New Roman"/>
          <w:sz w:val="24"/>
          <w:szCs w:val="24"/>
        </w:rPr>
        <w:fldChar w:fldCharType="end"/>
      </w:r>
      <w:r w:rsidRPr="001A4D2C">
        <w:rPr>
          <w:rFonts w:ascii="Times New Roman" w:hAnsi="Times New Roman"/>
          <w:sz w:val="24"/>
          <w:szCs w:val="24"/>
        </w:rPr>
        <w:tab/>
        <w:t>The due diligence for pre-existing entity accounts is expected to be more challenging for financial institutions than due diligence for accounts held by individuals, particularly given tha</w:t>
      </w:r>
      <w:r>
        <w:rPr>
          <w:rFonts w:ascii="Times New Roman" w:hAnsi="Times New Roman"/>
          <w:sz w:val="24"/>
          <w:szCs w:val="24"/>
        </w:rPr>
        <w:t>t look-through rules apply to accounts held by passive NFEs</w:t>
      </w:r>
      <w:r w:rsidRPr="001A4D2C">
        <w:rPr>
          <w:rFonts w:ascii="Times New Roman" w:hAnsi="Times New Roman"/>
          <w:sz w:val="24"/>
          <w:szCs w:val="24"/>
        </w:rPr>
        <w:t>.  In this context, allowing 24 months rather than 12 months to complete these reviews would seem appropriate and broadly aligns with FATCA due diligence time-frames for reviewing such accounts.</w:t>
      </w:r>
    </w:p>
    <w:p w:rsidR="000B178F" w:rsidRDefault="000B178F" w:rsidP="007946CC">
      <w:pPr>
        <w:pStyle w:val="Bullet-list"/>
        <w:spacing w:after="0" w:line="240" w:lineRule="auto"/>
        <w:ind w:left="567" w:hanging="567"/>
        <w:jc w:val="both"/>
        <w:rPr>
          <w:rFonts w:ascii="Times New Roman" w:hAnsi="Times New Roman"/>
          <w:sz w:val="24"/>
          <w:szCs w:val="24"/>
        </w:rPr>
      </w:pPr>
    </w:p>
    <w:p w:rsidR="000B178F" w:rsidRPr="001A4D2C" w:rsidRDefault="000B178F" w:rsidP="007946CC">
      <w:pPr>
        <w:pStyle w:val="Bullet-list"/>
        <w:spacing w:after="0" w:line="240" w:lineRule="auto"/>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r>
      <w:r w:rsidRPr="001A4D2C">
        <w:rPr>
          <w:rFonts w:ascii="Times New Roman" w:hAnsi="Times New Roman"/>
          <w:sz w:val="24"/>
          <w:szCs w:val="24"/>
        </w:rPr>
        <w:t xml:space="preserve">Although </w:t>
      </w:r>
      <w:r>
        <w:rPr>
          <w:rFonts w:ascii="Times New Roman" w:hAnsi="Times New Roman"/>
          <w:sz w:val="24"/>
          <w:szCs w:val="24"/>
        </w:rPr>
        <w:t xml:space="preserve">submissions </w:t>
      </w:r>
      <w:r w:rsidRPr="001A4D2C">
        <w:rPr>
          <w:rFonts w:ascii="Times New Roman" w:hAnsi="Times New Roman"/>
          <w:sz w:val="24"/>
          <w:szCs w:val="24"/>
        </w:rPr>
        <w:t xml:space="preserve">generally </w:t>
      </w:r>
      <w:r>
        <w:rPr>
          <w:rFonts w:ascii="Times New Roman" w:hAnsi="Times New Roman"/>
          <w:sz w:val="24"/>
          <w:szCs w:val="24"/>
        </w:rPr>
        <w:t xml:space="preserve">call for </w:t>
      </w:r>
      <w:r w:rsidRPr="001A4D2C">
        <w:rPr>
          <w:rFonts w:ascii="Times New Roman" w:hAnsi="Times New Roman"/>
          <w:sz w:val="24"/>
          <w:szCs w:val="24"/>
        </w:rPr>
        <w:t>align</w:t>
      </w:r>
      <w:r>
        <w:rPr>
          <w:rFonts w:ascii="Times New Roman" w:hAnsi="Times New Roman"/>
          <w:sz w:val="24"/>
          <w:szCs w:val="24"/>
        </w:rPr>
        <w:t>ment</w:t>
      </w:r>
      <w:r w:rsidRPr="001A4D2C">
        <w:rPr>
          <w:rFonts w:ascii="Times New Roman" w:hAnsi="Times New Roman"/>
          <w:sz w:val="24"/>
          <w:szCs w:val="24"/>
        </w:rPr>
        <w:t xml:space="preserve"> with Australia where possible, align</w:t>
      </w:r>
      <w:r>
        <w:rPr>
          <w:rFonts w:ascii="Times New Roman" w:hAnsi="Times New Roman"/>
          <w:sz w:val="24"/>
          <w:szCs w:val="24"/>
        </w:rPr>
        <w:t>ment</w:t>
      </w:r>
      <w:r w:rsidRPr="001A4D2C">
        <w:rPr>
          <w:rFonts w:ascii="Times New Roman" w:hAnsi="Times New Roman"/>
          <w:sz w:val="24"/>
          <w:szCs w:val="24"/>
        </w:rPr>
        <w:t xml:space="preserve"> with the Australian 12 month period for entity accounts </w:t>
      </w:r>
      <w:r>
        <w:rPr>
          <w:rFonts w:ascii="Times New Roman" w:hAnsi="Times New Roman"/>
          <w:sz w:val="24"/>
          <w:szCs w:val="24"/>
        </w:rPr>
        <w:t xml:space="preserve">may </w:t>
      </w:r>
      <w:r w:rsidRPr="001A4D2C">
        <w:rPr>
          <w:rFonts w:ascii="Times New Roman" w:hAnsi="Times New Roman"/>
          <w:sz w:val="24"/>
          <w:szCs w:val="24"/>
        </w:rPr>
        <w:t xml:space="preserve">be a step too far, particularly given the tight time-frames for New Zealand’s implementation. </w:t>
      </w:r>
    </w:p>
    <w:p w:rsidR="000B178F" w:rsidRPr="001A4D2C" w:rsidRDefault="000B178F" w:rsidP="007946CC">
      <w:pPr>
        <w:pStyle w:val="Bullet-list"/>
        <w:spacing w:after="0" w:line="240" w:lineRule="auto"/>
        <w:ind w:left="567" w:hanging="567"/>
        <w:jc w:val="both"/>
        <w:rPr>
          <w:rFonts w:ascii="Times New Roman" w:hAnsi="Times New Roman"/>
          <w:sz w:val="24"/>
          <w:szCs w:val="24"/>
        </w:rPr>
      </w:pPr>
    </w:p>
    <w:p w:rsidR="000B178F" w:rsidRPr="001A4D2C" w:rsidRDefault="000B178F" w:rsidP="007946CC">
      <w:pPr>
        <w:pStyle w:val="Bullet-list"/>
        <w:spacing w:after="0" w:line="240" w:lineRule="auto"/>
        <w:ind w:left="567" w:hanging="567"/>
        <w:jc w:val="both"/>
        <w:rPr>
          <w:rFonts w:ascii="Times New Roman" w:hAnsi="Times New Roman"/>
          <w:sz w:val="24"/>
          <w:szCs w:val="24"/>
        </w:rPr>
      </w:pPr>
      <w:r w:rsidRPr="001A4D2C">
        <w:rPr>
          <w:rFonts w:ascii="Times New Roman" w:hAnsi="Times New Roman"/>
          <w:sz w:val="24"/>
          <w:szCs w:val="24"/>
        </w:rPr>
        <w:fldChar w:fldCharType="begin"/>
      </w:r>
      <w:r w:rsidRPr="001A4D2C">
        <w:rPr>
          <w:rFonts w:ascii="Times New Roman" w:hAnsi="Times New Roman"/>
          <w:sz w:val="24"/>
          <w:szCs w:val="24"/>
        </w:rPr>
        <w:instrText xml:space="preserve"> AUTONUM  \* Arabic  </w:instrText>
      </w:r>
      <w:r w:rsidRPr="001A4D2C">
        <w:rPr>
          <w:rFonts w:ascii="Times New Roman" w:hAnsi="Times New Roman"/>
          <w:sz w:val="24"/>
          <w:szCs w:val="24"/>
        </w:rPr>
        <w:fldChar w:fldCharType="end"/>
      </w:r>
      <w:r w:rsidRPr="001A4D2C">
        <w:rPr>
          <w:rFonts w:ascii="Times New Roman" w:hAnsi="Times New Roman"/>
          <w:sz w:val="24"/>
          <w:szCs w:val="24"/>
        </w:rPr>
        <w:tab/>
      </w:r>
      <w:r>
        <w:rPr>
          <w:rFonts w:ascii="Times New Roman" w:hAnsi="Times New Roman"/>
          <w:sz w:val="24"/>
          <w:szCs w:val="24"/>
        </w:rPr>
        <w:t xml:space="preserve">It is proposed to </w:t>
      </w:r>
      <w:r w:rsidRPr="001A4D2C">
        <w:rPr>
          <w:rFonts w:ascii="Times New Roman" w:hAnsi="Times New Roman"/>
          <w:sz w:val="24"/>
          <w:szCs w:val="24"/>
        </w:rPr>
        <w:t xml:space="preserve">retain the 24 month due diligence period for completing due diligence reviews of pre-existing entity accounts, and not </w:t>
      </w:r>
      <w:r>
        <w:rPr>
          <w:rFonts w:ascii="Times New Roman" w:hAnsi="Times New Roman"/>
          <w:sz w:val="24"/>
          <w:szCs w:val="24"/>
        </w:rPr>
        <w:t xml:space="preserve">to </w:t>
      </w:r>
      <w:r w:rsidRPr="001A4D2C">
        <w:rPr>
          <w:rFonts w:ascii="Times New Roman" w:hAnsi="Times New Roman"/>
          <w:sz w:val="24"/>
          <w:szCs w:val="24"/>
        </w:rPr>
        <w:t>follow the Australian approach to this issue.</w:t>
      </w:r>
    </w:p>
    <w:p w:rsidR="00EC4458" w:rsidRDefault="00EC4458" w:rsidP="007946CC">
      <w:pPr>
        <w:pStyle w:val="Bullet-list"/>
        <w:spacing w:after="0" w:line="240" w:lineRule="auto"/>
        <w:ind w:left="567" w:hanging="567"/>
        <w:jc w:val="both"/>
        <w:rPr>
          <w:rFonts w:ascii="Times New Roman" w:hAnsi="Times New Roman"/>
          <w:sz w:val="24"/>
          <w:szCs w:val="24"/>
        </w:rPr>
      </w:pPr>
    </w:p>
    <w:p w:rsidR="009E1B9F" w:rsidRPr="00F65FFA" w:rsidRDefault="00643475" w:rsidP="007946CC">
      <w:pPr>
        <w:pStyle w:val="Bullet-list"/>
        <w:spacing w:after="0" w:line="240" w:lineRule="auto"/>
        <w:ind w:left="567" w:hanging="567"/>
        <w:jc w:val="both"/>
        <w:rPr>
          <w:rFonts w:ascii="Times New Roman" w:hAnsi="Times New Roman"/>
          <w:b/>
          <w:i/>
          <w:sz w:val="24"/>
          <w:szCs w:val="24"/>
        </w:rPr>
      </w:pPr>
      <w:r w:rsidRPr="00F65FFA">
        <w:rPr>
          <w:rFonts w:ascii="Times New Roman" w:hAnsi="Times New Roman"/>
          <w:b/>
          <w:i/>
          <w:sz w:val="24"/>
          <w:szCs w:val="24"/>
        </w:rPr>
        <w:t>Wider approach</w:t>
      </w:r>
    </w:p>
    <w:p w:rsidR="009E1B9F" w:rsidRDefault="009E1B9F" w:rsidP="007946CC">
      <w:pPr>
        <w:pStyle w:val="Bullet-list"/>
        <w:spacing w:after="0" w:line="240" w:lineRule="auto"/>
        <w:ind w:left="567" w:hanging="567"/>
        <w:jc w:val="both"/>
        <w:rPr>
          <w:rFonts w:ascii="Times New Roman" w:hAnsi="Times New Roman"/>
          <w:sz w:val="24"/>
          <w:szCs w:val="24"/>
        </w:rPr>
      </w:pPr>
    </w:p>
    <w:p w:rsidR="006960B0" w:rsidRDefault="008E2C51" w:rsidP="007946CC">
      <w:pPr>
        <w:pStyle w:val="Bullet-list"/>
        <w:spacing w:after="0" w:line="240" w:lineRule="auto"/>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r>
      <w:r w:rsidR="00492C5E">
        <w:rPr>
          <w:rFonts w:ascii="Times New Roman" w:hAnsi="Times New Roman"/>
          <w:sz w:val="24"/>
          <w:szCs w:val="24"/>
        </w:rPr>
        <w:t xml:space="preserve">During the development of the </w:t>
      </w:r>
      <w:r w:rsidR="00053C62">
        <w:rPr>
          <w:rFonts w:ascii="Times New Roman" w:hAnsi="Times New Roman"/>
          <w:sz w:val="24"/>
          <w:szCs w:val="24"/>
        </w:rPr>
        <w:t>CRS</w:t>
      </w:r>
      <w:r w:rsidR="00492C5E">
        <w:rPr>
          <w:rFonts w:ascii="Times New Roman" w:hAnsi="Times New Roman"/>
          <w:sz w:val="24"/>
          <w:szCs w:val="24"/>
        </w:rPr>
        <w:t xml:space="preserve">, </w:t>
      </w:r>
      <w:r w:rsidR="004337A7">
        <w:rPr>
          <w:rFonts w:ascii="Times New Roman" w:hAnsi="Times New Roman"/>
          <w:sz w:val="24"/>
          <w:szCs w:val="24"/>
        </w:rPr>
        <w:t>private sector interests</w:t>
      </w:r>
      <w:r w:rsidR="00492C5E">
        <w:rPr>
          <w:rFonts w:ascii="Times New Roman" w:hAnsi="Times New Roman"/>
          <w:sz w:val="24"/>
          <w:szCs w:val="24"/>
        </w:rPr>
        <w:t xml:space="preserve"> raised concerns with the OECD that </w:t>
      </w:r>
      <w:r w:rsidR="00F35BAA">
        <w:rPr>
          <w:rFonts w:ascii="Times New Roman" w:hAnsi="Times New Roman"/>
          <w:sz w:val="24"/>
          <w:szCs w:val="24"/>
        </w:rPr>
        <w:t xml:space="preserve">the </w:t>
      </w:r>
      <w:r w:rsidR="00AC6114">
        <w:rPr>
          <w:rFonts w:ascii="Times New Roman" w:hAnsi="Times New Roman"/>
          <w:sz w:val="24"/>
          <w:szCs w:val="24"/>
        </w:rPr>
        <w:t xml:space="preserve">number of </w:t>
      </w:r>
      <w:r w:rsidR="00492C5E">
        <w:rPr>
          <w:rFonts w:ascii="Times New Roman" w:hAnsi="Times New Roman"/>
          <w:sz w:val="24"/>
          <w:szCs w:val="24"/>
        </w:rPr>
        <w:t xml:space="preserve">jurisdictions participating in the AEOI initiative can be expected to increase over time.  </w:t>
      </w:r>
      <w:r w:rsidR="00053C62">
        <w:rPr>
          <w:rFonts w:ascii="Times New Roman" w:hAnsi="Times New Roman"/>
          <w:sz w:val="24"/>
          <w:szCs w:val="24"/>
        </w:rPr>
        <w:t>E</w:t>
      </w:r>
      <w:r w:rsidR="00F35BAA">
        <w:rPr>
          <w:rFonts w:ascii="Times New Roman" w:hAnsi="Times New Roman"/>
          <w:sz w:val="24"/>
          <w:szCs w:val="24"/>
        </w:rPr>
        <w:t xml:space="preserve">ach new country </w:t>
      </w:r>
      <w:r w:rsidR="004337A7">
        <w:rPr>
          <w:rFonts w:ascii="Times New Roman" w:hAnsi="Times New Roman"/>
          <w:sz w:val="24"/>
          <w:szCs w:val="24"/>
        </w:rPr>
        <w:t>joining</w:t>
      </w:r>
      <w:r w:rsidR="00F35BAA">
        <w:rPr>
          <w:rFonts w:ascii="Times New Roman" w:hAnsi="Times New Roman"/>
          <w:sz w:val="24"/>
          <w:szCs w:val="24"/>
        </w:rPr>
        <w:t xml:space="preserve"> the initiative would trigger a requirement for </w:t>
      </w:r>
      <w:r w:rsidR="004337A7">
        <w:rPr>
          <w:rFonts w:ascii="Times New Roman" w:hAnsi="Times New Roman"/>
          <w:sz w:val="24"/>
          <w:szCs w:val="24"/>
        </w:rPr>
        <w:t xml:space="preserve">financial institutions to conduct </w:t>
      </w:r>
      <w:r w:rsidR="00AC6114">
        <w:rPr>
          <w:rFonts w:ascii="Times New Roman" w:hAnsi="Times New Roman"/>
          <w:sz w:val="24"/>
          <w:szCs w:val="24"/>
        </w:rPr>
        <w:t xml:space="preserve">a new round of </w:t>
      </w:r>
      <w:r w:rsidR="00F35BAA">
        <w:rPr>
          <w:rFonts w:ascii="Times New Roman" w:hAnsi="Times New Roman"/>
          <w:sz w:val="24"/>
          <w:szCs w:val="24"/>
        </w:rPr>
        <w:t xml:space="preserve">due diligence </w:t>
      </w:r>
      <w:r w:rsidR="004337A7">
        <w:rPr>
          <w:rFonts w:ascii="Times New Roman" w:hAnsi="Times New Roman"/>
          <w:sz w:val="24"/>
          <w:szCs w:val="24"/>
        </w:rPr>
        <w:t xml:space="preserve">reviews </w:t>
      </w:r>
      <w:r w:rsidR="00F35BAA">
        <w:rPr>
          <w:rFonts w:ascii="Times New Roman" w:hAnsi="Times New Roman"/>
          <w:sz w:val="24"/>
          <w:szCs w:val="24"/>
        </w:rPr>
        <w:t xml:space="preserve">of accounts.  </w:t>
      </w:r>
      <w:r w:rsidR="004337A7">
        <w:rPr>
          <w:rFonts w:ascii="Times New Roman" w:hAnsi="Times New Roman"/>
          <w:sz w:val="24"/>
          <w:szCs w:val="24"/>
        </w:rPr>
        <w:t xml:space="preserve">This could be prevented by </w:t>
      </w:r>
      <w:r w:rsidR="00F35BAA">
        <w:rPr>
          <w:rFonts w:ascii="Times New Roman" w:hAnsi="Times New Roman"/>
          <w:sz w:val="24"/>
          <w:szCs w:val="24"/>
        </w:rPr>
        <w:t>treat</w:t>
      </w:r>
      <w:r w:rsidR="004337A7">
        <w:rPr>
          <w:rFonts w:ascii="Times New Roman" w:hAnsi="Times New Roman"/>
          <w:sz w:val="24"/>
          <w:szCs w:val="24"/>
        </w:rPr>
        <w:t>ing</w:t>
      </w:r>
      <w:r w:rsidR="00F35BAA">
        <w:rPr>
          <w:rFonts w:ascii="Times New Roman" w:hAnsi="Times New Roman"/>
          <w:sz w:val="24"/>
          <w:szCs w:val="24"/>
        </w:rPr>
        <w:t xml:space="preserve"> all jurisdictions as reportable jurisdictions</w:t>
      </w:r>
      <w:r w:rsidR="00764463">
        <w:rPr>
          <w:rFonts w:ascii="Times New Roman" w:hAnsi="Times New Roman"/>
          <w:sz w:val="24"/>
          <w:szCs w:val="24"/>
        </w:rPr>
        <w:t xml:space="preserve"> for due diligence purposes</w:t>
      </w:r>
      <w:r w:rsidR="004337A7">
        <w:rPr>
          <w:rFonts w:ascii="Times New Roman" w:hAnsi="Times New Roman"/>
          <w:sz w:val="24"/>
          <w:szCs w:val="24"/>
        </w:rPr>
        <w:t xml:space="preserve">.  This approach </w:t>
      </w:r>
      <w:r w:rsidR="00AC6114">
        <w:rPr>
          <w:rFonts w:ascii="Times New Roman" w:hAnsi="Times New Roman"/>
          <w:sz w:val="24"/>
          <w:szCs w:val="24"/>
        </w:rPr>
        <w:t xml:space="preserve">would </w:t>
      </w:r>
      <w:r w:rsidR="006960B0">
        <w:rPr>
          <w:rFonts w:ascii="Times New Roman" w:hAnsi="Times New Roman"/>
          <w:sz w:val="24"/>
          <w:szCs w:val="24"/>
        </w:rPr>
        <w:t>have a</w:t>
      </w:r>
      <w:r w:rsidR="004337A7">
        <w:rPr>
          <w:rFonts w:ascii="Times New Roman" w:hAnsi="Times New Roman"/>
          <w:sz w:val="24"/>
          <w:szCs w:val="24"/>
        </w:rPr>
        <w:t xml:space="preserve"> significant compliance cost saving, </w:t>
      </w:r>
      <w:r w:rsidR="00AC6114">
        <w:rPr>
          <w:rFonts w:ascii="Times New Roman" w:hAnsi="Times New Roman"/>
          <w:sz w:val="24"/>
          <w:szCs w:val="24"/>
        </w:rPr>
        <w:t xml:space="preserve">and </w:t>
      </w:r>
      <w:r w:rsidR="004337A7">
        <w:rPr>
          <w:rFonts w:ascii="Times New Roman" w:hAnsi="Times New Roman"/>
          <w:sz w:val="24"/>
          <w:szCs w:val="24"/>
        </w:rPr>
        <w:t xml:space="preserve">we are not aware of any jurisdiction </w:t>
      </w:r>
      <w:r w:rsidR="006960B0">
        <w:rPr>
          <w:rFonts w:ascii="Times New Roman" w:hAnsi="Times New Roman"/>
          <w:sz w:val="24"/>
          <w:szCs w:val="24"/>
        </w:rPr>
        <w:t xml:space="preserve">not adopting the </w:t>
      </w:r>
      <w:r w:rsidR="006960B0" w:rsidRPr="006960B0">
        <w:rPr>
          <w:rFonts w:ascii="Times New Roman" w:hAnsi="Times New Roman"/>
          <w:i/>
          <w:sz w:val="24"/>
          <w:szCs w:val="24"/>
        </w:rPr>
        <w:t>wider approach to due diligence</w:t>
      </w:r>
      <w:r w:rsidR="006960B0">
        <w:rPr>
          <w:rFonts w:ascii="Times New Roman" w:hAnsi="Times New Roman"/>
          <w:sz w:val="24"/>
          <w:szCs w:val="24"/>
        </w:rPr>
        <w:t>.</w:t>
      </w:r>
      <w:r w:rsidR="00764463">
        <w:rPr>
          <w:rFonts w:ascii="Times New Roman" w:hAnsi="Times New Roman"/>
          <w:sz w:val="24"/>
          <w:szCs w:val="24"/>
        </w:rPr>
        <w:t xml:space="preserve">  Submissions strongly endorsed this approach.</w:t>
      </w:r>
    </w:p>
    <w:p w:rsidR="006960B0" w:rsidRDefault="006960B0" w:rsidP="007946CC">
      <w:pPr>
        <w:pStyle w:val="Bullet-list"/>
        <w:spacing w:after="0" w:line="240" w:lineRule="auto"/>
        <w:ind w:left="567" w:hanging="567"/>
        <w:jc w:val="both"/>
        <w:rPr>
          <w:rFonts w:ascii="Times New Roman" w:hAnsi="Times New Roman"/>
          <w:sz w:val="24"/>
          <w:szCs w:val="24"/>
        </w:rPr>
      </w:pPr>
    </w:p>
    <w:p w:rsidR="006960B0" w:rsidRDefault="006960B0" w:rsidP="007946CC">
      <w:pPr>
        <w:pStyle w:val="Bullet-list"/>
        <w:spacing w:after="0" w:line="240" w:lineRule="auto"/>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t xml:space="preserve">For consistency, to prevent confusion for customers, and to avoid putting financial institutions that adopt the wider approach at a competitive disadvantage, it is proposed to make the wider approach for due diligence mandatory rather for all financial institutions.  Submissions </w:t>
      </w:r>
      <w:r w:rsidR="00764463">
        <w:rPr>
          <w:rFonts w:ascii="Times New Roman" w:hAnsi="Times New Roman"/>
          <w:sz w:val="24"/>
          <w:szCs w:val="24"/>
        </w:rPr>
        <w:t>generally</w:t>
      </w:r>
      <w:r>
        <w:rPr>
          <w:rFonts w:ascii="Times New Roman" w:hAnsi="Times New Roman"/>
          <w:sz w:val="24"/>
          <w:szCs w:val="24"/>
        </w:rPr>
        <w:t xml:space="preserve"> endorsed this approach.</w:t>
      </w:r>
    </w:p>
    <w:p w:rsidR="006960B0" w:rsidRDefault="006960B0" w:rsidP="007946CC">
      <w:pPr>
        <w:pStyle w:val="Bullet-list"/>
        <w:spacing w:after="0" w:line="240" w:lineRule="auto"/>
        <w:ind w:left="567" w:hanging="567"/>
        <w:jc w:val="both"/>
        <w:rPr>
          <w:rFonts w:ascii="Times New Roman" w:hAnsi="Times New Roman"/>
          <w:sz w:val="24"/>
          <w:szCs w:val="24"/>
        </w:rPr>
      </w:pPr>
    </w:p>
    <w:p w:rsidR="008E2C51" w:rsidRDefault="006960B0" w:rsidP="007946CC">
      <w:pPr>
        <w:pStyle w:val="Bullet-list"/>
        <w:spacing w:after="0" w:line="240" w:lineRule="auto"/>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t>The wider approach to due diligence</w:t>
      </w:r>
      <w:r w:rsidR="004337A7">
        <w:rPr>
          <w:rFonts w:ascii="Times New Roman" w:hAnsi="Times New Roman"/>
          <w:sz w:val="24"/>
          <w:szCs w:val="24"/>
        </w:rPr>
        <w:t xml:space="preserve"> raises the question of what then happens to the additional information collected that does not need to be exchanged</w:t>
      </w:r>
      <w:r>
        <w:rPr>
          <w:rFonts w:ascii="Times New Roman" w:hAnsi="Times New Roman"/>
          <w:sz w:val="24"/>
          <w:szCs w:val="24"/>
        </w:rPr>
        <w:t xml:space="preserve"> (‘the residual information’)</w:t>
      </w:r>
      <w:r w:rsidR="004337A7">
        <w:rPr>
          <w:rFonts w:ascii="Times New Roman" w:hAnsi="Times New Roman"/>
          <w:sz w:val="24"/>
          <w:szCs w:val="24"/>
        </w:rPr>
        <w:t>.</w:t>
      </w:r>
    </w:p>
    <w:p w:rsidR="004337A7" w:rsidRDefault="004337A7" w:rsidP="007946CC">
      <w:pPr>
        <w:pStyle w:val="Bullet-list"/>
        <w:spacing w:after="0" w:line="240" w:lineRule="auto"/>
        <w:ind w:left="567" w:hanging="567"/>
        <w:jc w:val="both"/>
        <w:rPr>
          <w:rFonts w:ascii="Times New Roman" w:hAnsi="Times New Roman"/>
          <w:sz w:val="24"/>
          <w:szCs w:val="24"/>
        </w:rPr>
      </w:pPr>
    </w:p>
    <w:p w:rsidR="006960B0" w:rsidRDefault="004337A7" w:rsidP="007946CC">
      <w:pPr>
        <w:pStyle w:val="Bullet-list"/>
        <w:spacing w:after="0" w:line="240" w:lineRule="auto"/>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r>
      <w:r w:rsidR="00991FE1">
        <w:rPr>
          <w:rFonts w:ascii="Times New Roman" w:hAnsi="Times New Roman"/>
          <w:sz w:val="24"/>
          <w:szCs w:val="24"/>
        </w:rPr>
        <w:t xml:space="preserve">The </w:t>
      </w:r>
      <w:r w:rsidR="006960B0">
        <w:rPr>
          <w:rFonts w:ascii="Times New Roman" w:hAnsi="Times New Roman"/>
          <w:sz w:val="24"/>
          <w:szCs w:val="24"/>
        </w:rPr>
        <w:t xml:space="preserve">residual </w:t>
      </w:r>
      <w:r w:rsidR="00991FE1">
        <w:rPr>
          <w:rFonts w:ascii="Times New Roman" w:hAnsi="Times New Roman"/>
          <w:sz w:val="24"/>
          <w:szCs w:val="24"/>
        </w:rPr>
        <w:t>information could be held by the financial institutions.  However, t</w:t>
      </w:r>
      <w:r>
        <w:rPr>
          <w:rFonts w:ascii="Times New Roman" w:hAnsi="Times New Roman"/>
          <w:sz w:val="24"/>
          <w:szCs w:val="24"/>
        </w:rPr>
        <w:t xml:space="preserve">he greatest compliance cost saving would arise from </w:t>
      </w:r>
      <w:r w:rsidR="006A1B82">
        <w:rPr>
          <w:rFonts w:ascii="Times New Roman" w:hAnsi="Times New Roman"/>
          <w:sz w:val="24"/>
          <w:szCs w:val="24"/>
        </w:rPr>
        <w:t xml:space="preserve">financial institutions </w:t>
      </w:r>
      <w:r>
        <w:rPr>
          <w:rFonts w:ascii="Times New Roman" w:hAnsi="Times New Roman"/>
          <w:sz w:val="24"/>
          <w:szCs w:val="24"/>
        </w:rPr>
        <w:t xml:space="preserve">simply </w:t>
      </w:r>
      <w:r w:rsidR="00991FE1">
        <w:rPr>
          <w:rFonts w:ascii="Times New Roman" w:hAnsi="Times New Roman"/>
          <w:sz w:val="24"/>
          <w:szCs w:val="24"/>
        </w:rPr>
        <w:t xml:space="preserve">being allowed to </w:t>
      </w:r>
      <w:r>
        <w:rPr>
          <w:rFonts w:ascii="Times New Roman" w:hAnsi="Times New Roman"/>
          <w:sz w:val="24"/>
          <w:szCs w:val="24"/>
        </w:rPr>
        <w:t>report</w:t>
      </w:r>
      <w:r w:rsidR="00991FE1">
        <w:rPr>
          <w:rFonts w:ascii="Times New Roman" w:hAnsi="Times New Roman"/>
          <w:sz w:val="24"/>
          <w:szCs w:val="24"/>
        </w:rPr>
        <w:t xml:space="preserve"> </w:t>
      </w:r>
      <w:r w:rsidR="006A1B82">
        <w:rPr>
          <w:rFonts w:ascii="Times New Roman" w:hAnsi="Times New Roman"/>
          <w:sz w:val="24"/>
          <w:szCs w:val="24"/>
        </w:rPr>
        <w:t xml:space="preserve">all of the </w:t>
      </w:r>
      <w:r w:rsidR="00AC6114">
        <w:rPr>
          <w:rFonts w:ascii="Times New Roman" w:hAnsi="Times New Roman"/>
          <w:sz w:val="24"/>
          <w:szCs w:val="24"/>
        </w:rPr>
        <w:t xml:space="preserve">information </w:t>
      </w:r>
      <w:r w:rsidR="006A1B82">
        <w:rPr>
          <w:rFonts w:ascii="Times New Roman" w:hAnsi="Times New Roman"/>
          <w:sz w:val="24"/>
          <w:szCs w:val="24"/>
        </w:rPr>
        <w:t xml:space="preserve">they collect (including the residual information) </w:t>
      </w:r>
      <w:r>
        <w:rPr>
          <w:rFonts w:ascii="Times New Roman" w:hAnsi="Times New Roman"/>
          <w:sz w:val="24"/>
          <w:szCs w:val="24"/>
        </w:rPr>
        <w:t xml:space="preserve">to the </w:t>
      </w:r>
      <w:r w:rsidR="00991FE1">
        <w:rPr>
          <w:rFonts w:ascii="Times New Roman" w:hAnsi="Times New Roman"/>
          <w:sz w:val="24"/>
          <w:szCs w:val="24"/>
        </w:rPr>
        <w:t xml:space="preserve">local </w:t>
      </w:r>
      <w:r>
        <w:rPr>
          <w:rFonts w:ascii="Times New Roman" w:hAnsi="Times New Roman"/>
          <w:sz w:val="24"/>
          <w:szCs w:val="24"/>
        </w:rPr>
        <w:t xml:space="preserve">tax administration, even </w:t>
      </w:r>
      <w:r w:rsidR="006960B0">
        <w:rPr>
          <w:rFonts w:ascii="Times New Roman" w:hAnsi="Times New Roman"/>
          <w:sz w:val="24"/>
          <w:szCs w:val="24"/>
        </w:rPr>
        <w:t>though</w:t>
      </w:r>
      <w:r>
        <w:rPr>
          <w:rFonts w:ascii="Times New Roman" w:hAnsi="Times New Roman"/>
          <w:sz w:val="24"/>
          <w:szCs w:val="24"/>
        </w:rPr>
        <w:t xml:space="preserve"> it will </w:t>
      </w:r>
      <w:r w:rsidR="006960B0">
        <w:rPr>
          <w:rFonts w:ascii="Times New Roman" w:hAnsi="Times New Roman"/>
          <w:sz w:val="24"/>
          <w:szCs w:val="24"/>
        </w:rPr>
        <w:t>not</w:t>
      </w:r>
      <w:r>
        <w:rPr>
          <w:rFonts w:ascii="Times New Roman" w:hAnsi="Times New Roman"/>
          <w:sz w:val="24"/>
          <w:szCs w:val="24"/>
        </w:rPr>
        <w:t xml:space="preserve"> be exchanged.</w:t>
      </w:r>
      <w:r w:rsidR="00991FE1">
        <w:rPr>
          <w:rFonts w:ascii="Times New Roman" w:hAnsi="Times New Roman"/>
          <w:sz w:val="24"/>
          <w:szCs w:val="24"/>
        </w:rPr>
        <w:t xml:space="preserve">  </w:t>
      </w:r>
      <w:r w:rsidR="00764463">
        <w:rPr>
          <w:rFonts w:ascii="Times New Roman" w:hAnsi="Times New Roman"/>
          <w:sz w:val="24"/>
          <w:szCs w:val="24"/>
        </w:rPr>
        <w:t xml:space="preserve">Under this approach, financial institutions would not be constantly required to keep track of the jurisdictions New Zealand has entered into AEOI relationships with.  Instead, financial institutions would merely report all of the information about non-residents to Inland Revenue.  </w:t>
      </w:r>
      <w:r w:rsidR="006960B0">
        <w:rPr>
          <w:rFonts w:ascii="Times New Roman" w:hAnsi="Times New Roman"/>
          <w:sz w:val="24"/>
          <w:szCs w:val="24"/>
        </w:rPr>
        <w:t xml:space="preserve">This is referred to as the </w:t>
      </w:r>
      <w:r w:rsidR="006960B0" w:rsidRPr="006960B0">
        <w:rPr>
          <w:rFonts w:ascii="Times New Roman" w:hAnsi="Times New Roman"/>
          <w:i/>
          <w:sz w:val="24"/>
          <w:szCs w:val="24"/>
        </w:rPr>
        <w:t>wider approach to reporting</w:t>
      </w:r>
      <w:r w:rsidR="006960B0">
        <w:rPr>
          <w:rFonts w:ascii="Times New Roman" w:hAnsi="Times New Roman"/>
          <w:sz w:val="24"/>
          <w:szCs w:val="24"/>
        </w:rPr>
        <w:t xml:space="preserve">.  </w:t>
      </w:r>
      <w:r w:rsidR="00991FE1">
        <w:rPr>
          <w:rFonts w:ascii="Times New Roman" w:hAnsi="Times New Roman"/>
          <w:sz w:val="24"/>
          <w:szCs w:val="24"/>
        </w:rPr>
        <w:t xml:space="preserve">Some countries, </w:t>
      </w:r>
      <w:r w:rsidR="009633E2">
        <w:rPr>
          <w:rFonts w:ascii="Times New Roman" w:hAnsi="Times New Roman"/>
          <w:sz w:val="24"/>
          <w:szCs w:val="24"/>
        </w:rPr>
        <w:t xml:space="preserve">including </w:t>
      </w:r>
      <w:r w:rsidR="00991FE1">
        <w:rPr>
          <w:rFonts w:ascii="Times New Roman" w:hAnsi="Times New Roman"/>
          <w:sz w:val="24"/>
          <w:szCs w:val="24"/>
        </w:rPr>
        <w:t xml:space="preserve">Australia, have adopted this option.  </w:t>
      </w:r>
      <w:r w:rsidR="006960B0">
        <w:rPr>
          <w:rFonts w:ascii="Times New Roman" w:hAnsi="Times New Roman"/>
          <w:sz w:val="24"/>
          <w:szCs w:val="24"/>
        </w:rPr>
        <w:t>Others, such as the United Kingdom, require the residual information to be retained by financial institutions.</w:t>
      </w:r>
    </w:p>
    <w:p w:rsidR="006960B0" w:rsidRDefault="006960B0" w:rsidP="007946CC">
      <w:pPr>
        <w:pStyle w:val="Bullet-list"/>
        <w:spacing w:after="0" w:line="240" w:lineRule="auto"/>
        <w:ind w:left="567" w:hanging="567"/>
        <w:jc w:val="both"/>
        <w:rPr>
          <w:rFonts w:ascii="Times New Roman" w:hAnsi="Times New Roman"/>
          <w:sz w:val="24"/>
          <w:szCs w:val="24"/>
        </w:rPr>
      </w:pPr>
    </w:p>
    <w:p w:rsidR="004337A7" w:rsidRDefault="006960B0" w:rsidP="007946CC">
      <w:pPr>
        <w:pStyle w:val="Bullet-list"/>
        <w:spacing w:after="0" w:line="240" w:lineRule="auto"/>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t>T</w:t>
      </w:r>
      <w:r w:rsidR="00991FE1">
        <w:rPr>
          <w:rFonts w:ascii="Times New Roman" w:hAnsi="Times New Roman"/>
          <w:sz w:val="24"/>
          <w:szCs w:val="24"/>
        </w:rPr>
        <w:t xml:space="preserve">he general preference in submissions </w:t>
      </w:r>
      <w:r>
        <w:rPr>
          <w:rFonts w:ascii="Times New Roman" w:hAnsi="Times New Roman"/>
          <w:sz w:val="24"/>
          <w:szCs w:val="24"/>
        </w:rPr>
        <w:t xml:space="preserve">is </w:t>
      </w:r>
      <w:r w:rsidR="00991FE1">
        <w:rPr>
          <w:rFonts w:ascii="Times New Roman" w:hAnsi="Times New Roman"/>
          <w:sz w:val="24"/>
          <w:szCs w:val="24"/>
        </w:rPr>
        <w:t xml:space="preserve">to align with Australia, </w:t>
      </w:r>
      <w:r>
        <w:rPr>
          <w:rFonts w:ascii="Times New Roman" w:hAnsi="Times New Roman"/>
          <w:sz w:val="24"/>
          <w:szCs w:val="24"/>
        </w:rPr>
        <w:t xml:space="preserve">and adopting the wider approach to reporting would also be consistent with the approach of minimising compliance costs wherever possible.  Moreover, the pool of residual information </w:t>
      </w:r>
      <w:r w:rsidR="006A1B82">
        <w:rPr>
          <w:rFonts w:ascii="Times New Roman" w:hAnsi="Times New Roman"/>
          <w:sz w:val="24"/>
          <w:szCs w:val="24"/>
        </w:rPr>
        <w:t>c</w:t>
      </w:r>
      <w:r>
        <w:rPr>
          <w:rFonts w:ascii="Times New Roman" w:hAnsi="Times New Roman"/>
          <w:sz w:val="24"/>
          <w:szCs w:val="24"/>
        </w:rPr>
        <w:t>ould be use</w:t>
      </w:r>
      <w:r w:rsidR="006A1B82">
        <w:rPr>
          <w:rFonts w:ascii="Times New Roman" w:hAnsi="Times New Roman"/>
          <w:sz w:val="24"/>
          <w:szCs w:val="24"/>
        </w:rPr>
        <w:t>d</w:t>
      </w:r>
      <w:r>
        <w:rPr>
          <w:rFonts w:ascii="Times New Roman" w:hAnsi="Times New Roman"/>
          <w:sz w:val="24"/>
          <w:szCs w:val="24"/>
        </w:rPr>
        <w:t xml:space="preserve"> </w:t>
      </w:r>
      <w:r w:rsidR="006A1B82">
        <w:rPr>
          <w:rFonts w:ascii="Times New Roman" w:hAnsi="Times New Roman"/>
          <w:sz w:val="24"/>
          <w:szCs w:val="24"/>
        </w:rPr>
        <w:t>by</w:t>
      </w:r>
      <w:r>
        <w:rPr>
          <w:rFonts w:ascii="Times New Roman" w:hAnsi="Times New Roman"/>
          <w:sz w:val="24"/>
          <w:szCs w:val="24"/>
        </w:rPr>
        <w:t xml:space="preserve"> Inland Revenue </w:t>
      </w:r>
      <w:r w:rsidR="006A1B82">
        <w:rPr>
          <w:rFonts w:ascii="Times New Roman" w:hAnsi="Times New Roman"/>
          <w:sz w:val="24"/>
          <w:szCs w:val="24"/>
        </w:rPr>
        <w:t>to assist in</w:t>
      </w:r>
      <w:r w:rsidR="00764463">
        <w:rPr>
          <w:rFonts w:ascii="Times New Roman" w:hAnsi="Times New Roman"/>
          <w:sz w:val="24"/>
          <w:szCs w:val="24"/>
        </w:rPr>
        <w:t>, for example,</w:t>
      </w:r>
      <w:r w:rsidR="006A1B82">
        <w:rPr>
          <w:rFonts w:ascii="Times New Roman" w:hAnsi="Times New Roman"/>
          <w:sz w:val="24"/>
          <w:szCs w:val="24"/>
        </w:rPr>
        <w:t xml:space="preserve"> confirming that the non-residents have the correct non-resident withholding rate (similar to the way that the information to be exchanged can be used)</w:t>
      </w:r>
      <w:r w:rsidR="00764463">
        <w:rPr>
          <w:rFonts w:ascii="Times New Roman" w:hAnsi="Times New Roman"/>
          <w:sz w:val="24"/>
          <w:szCs w:val="24"/>
        </w:rPr>
        <w:t xml:space="preserve"> to the extent that such use is consistent with legal obligations and responsibilities</w:t>
      </w:r>
      <w:r w:rsidR="00991FE1">
        <w:rPr>
          <w:rFonts w:ascii="Times New Roman" w:hAnsi="Times New Roman"/>
          <w:sz w:val="24"/>
          <w:szCs w:val="24"/>
        </w:rPr>
        <w:t xml:space="preserve">.  </w:t>
      </w:r>
      <w:r w:rsidR="006A1B82">
        <w:rPr>
          <w:rFonts w:ascii="Times New Roman" w:hAnsi="Times New Roman"/>
          <w:sz w:val="24"/>
          <w:szCs w:val="24"/>
        </w:rPr>
        <w:t>This is a delicate matter that involves balancing benefits against privacy concerns.  For consistency with New Zealand’s privacy laws, it is proposed that the potential use of the residual information by Inland Revenue be subject to full transparency.</w:t>
      </w:r>
    </w:p>
    <w:p w:rsidR="002B0EE8" w:rsidRDefault="002B0EE8" w:rsidP="007946CC">
      <w:pPr>
        <w:pStyle w:val="Bullet-list"/>
        <w:spacing w:after="0" w:line="240" w:lineRule="auto"/>
        <w:ind w:left="567" w:hanging="567"/>
        <w:jc w:val="both"/>
        <w:rPr>
          <w:rFonts w:ascii="Times New Roman" w:hAnsi="Times New Roman"/>
          <w:sz w:val="24"/>
          <w:szCs w:val="24"/>
        </w:rPr>
      </w:pPr>
    </w:p>
    <w:p w:rsidR="007946CC" w:rsidRDefault="007946CC" w:rsidP="007946CC">
      <w:pPr>
        <w:pStyle w:val="Bullet-list"/>
        <w:spacing w:after="0" w:line="240" w:lineRule="auto"/>
        <w:ind w:left="567" w:hanging="567"/>
        <w:jc w:val="both"/>
        <w:rPr>
          <w:rFonts w:ascii="Times New Roman" w:hAnsi="Times New Roman"/>
          <w:b/>
          <w:i/>
          <w:sz w:val="24"/>
          <w:szCs w:val="24"/>
        </w:rPr>
      </w:pPr>
    </w:p>
    <w:p w:rsidR="007946CC" w:rsidRDefault="007946CC" w:rsidP="007946CC">
      <w:pPr>
        <w:pStyle w:val="Bullet-list"/>
        <w:spacing w:after="0" w:line="240" w:lineRule="auto"/>
        <w:ind w:left="567" w:hanging="567"/>
        <w:jc w:val="both"/>
        <w:rPr>
          <w:rFonts w:ascii="Times New Roman" w:hAnsi="Times New Roman"/>
          <w:b/>
          <w:i/>
          <w:sz w:val="24"/>
          <w:szCs w:val="24"/>
        </w:rPr>
      </w:pPr>
    </w:p>
    <w:p w:rsidR="007946CC" w:rsidRDefault="007946CC" w:rsidP="007946CC">
      <w:pPr>
        <w:pStyle w:val="Bullet-list"/>
        <w:spacing w:after="0" w:line="240" w:lineRule="auto"/>
        <w:ind w:left="567" w:hanging="567"/>
        <w:jc w:val="both"/>
        <w:rPr>
          <w:rFonts w:ascii="Times New Roman" w:hAnsi="Times New Roman"/>
          <w:b/>
          <w:i/>
          <w:sz w:val="24"/>
          <w:szCs w:val="24"/>
        </w:rPr>
      </w:pPr>
    </w:p>
    <w:p w:rsidR="002B0EE8" w:rsidRPr="00F65FFA" w:rsidRDefault="002B0EE8" w:rsidP="007946CC">
      <w:pPr>
        <w:pStyle w:val="Bullet-list"/>
        <w:spacing w:after="0" w:line="240" w:lineRule="auto"/>
        <w:ind w:left="567" w:hanging="567"/>
        <w:jc w:val="both"/>
        <w:rPr>
          <w:rFonts w:ascii="Times New Roman" w:hAnsi="Times New Roman"/>
          <w:b/>
          <w:i/>
          <w:sz w:val="24"/>
          <w:szCs w:val="24"/>
        </w:rPr>
      </w:pPr>
      <w:r w:rsidRPr="00F65FFA">
        <w:rPr>
          <w:rFonts w:ascii="Times New Roman" w:hAnsi="Times New Roman"/>
          <w:b/>
          <w:i/>
          <w:sz w:val="24"/>
          <w:szCs w:val="24"/>
        </w:rPr>
        <w:t>Alignment with existing regimes</w:t>
      </w:r>
    </w:p>
    <w:p w:rsidR="002B0EE8" w:rsidRDefault="002B0EE8" w:rsidP="007946CC">
      <w:pPr>
        <w:pStyle w:val="Bullet-list"/>
        <w:spacing w:after="0" w:line="240" w:lineRule="auto"/>
        <w:ind w:left="567" w:hanging="567"/>
        <w:jc w:val="both"/>
        <w:rPr>
          <w:rFonts w:ascii="Times New Roman" w:hAnsi="Times New Roman"/>
          <w:sz w:val="24"/>
          <w:szCs w:val="24"/>
        </w:rPr>
      </w:pPr>
    </w:p>
    <w:p w:rsidR="002B0EE8" w:rsidRPr="002B0EE8" w:rsidRDefault="002B0EE8" w:rsidP="007946CC">
      <w:pPr>
        <w:pStyle w:val="Bullet-list"/>
        <w:spacing w:after="0" w:line="240" w:lineRule="auto"/>
        <w:ind w:left="567" w:hanging="567"/>
        <w:jc w:val="both"/>
        <w:rPr>
          <w:rFonts w:ascii="Times New Roman" w:hAnsi="Times New Roman"/>
          <w:sz w:val="24"/>
          <w:szCs w:val="24"/>
        </w:rPr>
      </w:pPr>
      <w:r w:rsidRPr="002B0EE8">
        <w:rPr>
          <w:rFonts w:ascii="Times New Roman" w:hAnsi="Times New Roman"/>
          <w:sz w:val="24"/>
          <w:szCs w:val="24"/>
        </w:rPr>
        <w:fldChar w:fldCharType="begin"/>
      </w:r>
      <w:r w:rsidRPr="002B0EE8">
        <w:rPr>
          <w:rFonts w:ascii="Times New Roman" w:hAnsi="Times New Roman"/>
          <w:sz w:val="24"/>
          <w:szCs w:val="24"/>
        </w:rPr>
        <w:instrText xml:space="preserve"> AUTONUM  \* Arabic  </w:instrText>
      </w:r>
      <w:r w:rsidRPr="002B0EE8">
        <w:rPr>
          <w:rFonts w:ascii="Times New Roman" w:hAnsi="Times New Roman"/>
          <w:sz w:val="24"/>
          <w:szCs w:val="24"/>
        </w:rPr>
        <w:fldChar w:fldCharType="end"/>
      </w:r>
      <w:r w:rsidRPr="002B0EE8">
        <w:rPr>
          <w:rFonts w:ascii="Times New Roman" w:hAnsi="Times New Roman"/>
          <w:sz w:val="24"/>
          <w:szCs w:val="24"/>
        </w:rPr>
        <w:tab/>
        <w:t xml:space="preserve">The CRS due diligence and reporting procedures leverage off FATCA and AML/CFT procedures in a number of ways.  For example, CRS uses a number of FATCA terms and concepts (such as what constitutes a financial institution and the types of accounts that are subject to due diligence and reporting).  Financial institutions are also sometimes able to use AML/CFT information to assist with CRS due diligence.  However, the CRS and </w:t>
      </w:r>
      <w:r>
        <w:rPr>
          <w:rFonts w:ascii="Times New Roman" w:hAnsi="Times New Roman"/>
          <w:sz w:val="24"/>
          <w:szCs w:val="24"/>
        </w:rPr>
        <w:t>supporting OECD documentation</w:t>
      </w:r>
      <w:r w:rsidRPr="002B0EE8">
        <w:rPr>
          <w:rFonts w:ascii="Times New Roman" w:hAnsi="Times New Roman"/>
          <w:sz w:val="24"/>
          <w:szCs w:val="24"/>
        </w:rPr>
        <w:t xml:space="preserve"> are clear that there are a number of areas where CRS due diligence and reporting procedures diverge from FATCA and AML/CFT procedures.</w:t>
      </w:r>
    </w:p>
    <w:p w:rsidR="002B0EE8" w:rsidRPr="002B0EE8" w:rsidRDefault="002B0EE8" w:rsidP="007946CC">
      <w:pPr>
        <w:pStyle w:val="Bullet-list"/>
        <w:spacing w:after="0" w:line="240" w:lineRule="auto"/>
        <w:ind w:left="567" w:hanging="567"/>
        <w:jc w:val="both"/>
        <w:rPr>
          <w:rFonts w:ascii="Times New Roman" w:hAnsi="Times New Roman"/>
          <w:sz w:val="24"/>
          <w:szCs w:val="24"/>
        </w:rPr>
      </w:pPr>
    </w:p>
    <w:p w:rsidR="002B0EE8" w:rsidRPr="002B0EE8" w:rsidRDefault="002B0EE8" w:rsidP="007946CC">
      <w:pPr>
        <w:pStyle w:val="Bullet-list"/>
        <w:spacing w:after="0" w:line="240" w:lineRule="auto"/>
        <w:ind w:left="567" w:hanging="567"/>
        <w:jc w:val="both"/>
        <w:rPr>
          <w:rFonts w:ascii="Times New Roman" w:hAnsi="Times New Roman"/>
          <w:sz w:val="24"/>
          <w:szCs w:val="24"/>
        </w:rPr>
      </w:pPr>
      <w:r w:rsidRPr="002B0EE8">
        <w:rPr>
          <w:rFonts w:ascii="Times New Roman" w:hAnsi="Times New Roman"/>
          <w:sz w:val="24"/>
          <w:szCs w:val="24"/>
        </w:rPr>
        <w:fldChar w:fldCharType="begin"/>
      </w:r>
      <w:r w:rsidRPr="002B0EE8">
        <w:rPr>
          <w:rFonts w:ascii="Times New Roman" w:hAnsi="Times New Roman"/>
          <w:sz w:val="24"/>
          <w:szCs w:val="24"/>
        </w:rPr>
        <w:instrText xml:space="preserve"> AUTONUM  \* Arabic  </w:instrText>
      </w:r>
      <w:r w:rsidRPr="002B0EE8">
        <w:rPr>
          <w:rFonts w:ascii="Times New Roman" w:hAnsi="Times New Roman"/>
          <w:sz w:val="24"/>
          <w:szCs w:val="24"/>
        </w:rPr>
        <w:fldChar w:fldCharType="end"/>
      </w:r>
      <w:r w:rsidRPr="002B0EE8">
        <w:rPr>
          <w:rFonts w:ascii="Times New Roman" w:hAnsi="Times New Roman"/>
          <w:sz w:val="24"/>
          <w:szCs w:val="24"/>
        </w:rPr>
        <w:tab/>
        <w:t>One consistent theme of the submissions is that New Zealand should look to align CRS due diligence with FATCA and AML/CFT procedures where possible with a view to minimising compliance costs for financial institutions.</w:t>
      </w:r>
    </w:p>
    <w:p w:rsidR="002B0EE8" w:rsidRPr="002B0EE8" w:rsidRDefault="002B0EE8" w:rsidP="007946CC">
      <w:pPr>
        <w:pStyle w:val="Bullet-list"/>
        <w:spacing w:after="0" w:line="240" w:lineRule="auto"/>
        <w:ind w:left="567" w:hanging="567"/>
        <w:jc w:val="both"/>
        <w:rPr>
          <w:rFonts w:ascii="Times New Roman" w:hAnsi="Times New Roman"/>
          <w:sz w:val="24"/>
          <w:szCs w:val="24"/>
        </w:rPr>
      </w:pPr>
    </w:p>
    <w:p w:rsidR="002B0EE8" w:rsidRPr="002B0EE8" w:rsidRDefault="002B0EE8" w:rsidP="007946CC">
      <w:pPr>
        <w:pStyle w:val="Bullet-list"/>
        <w:spacing w:after="0" w:line="240" w:lineRule="auto"/>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t>Although this approach has been adopted where possible (for example in aligning the AEOI and FATCA reporting periods) it is not possible in all situations.  T</w:t>
      </w:r>
      <w:r w:rsidRPr="002B0EE8">
        <w:rPr>
          <w:rFonts w:ascii="Times New Roman" w:hAnsi="Times New Roman"/>
          <w:sz w:val="24"/>
          <w:szCs w:val="24"/>
        </w:rPr>
        <w:t xml:space="preserve">o the extent that there are any differences between regimes, the CRS must drive CRS due diligence and reporting obligations.  This is because CRS is a global standard that needs to be implemented consistently worldwide.  New Zealand’s compliance with this global standard will be </w:t>
      </w:r>
      <w:r>
        <w:rPr>
          <w:rFonts w:ascii="Times New Roman" w:hAnsi="Times New Roman"/>
          <w:sz w:val="24"/>
          <w:szCs w:val="24"/>
        </w:rPr>
        <w:t>internationally</w:t>
      </w:r>
      <w:r w:rsidRPr="002B0EE8">
        <w:rPr>
          <w:rFonts w:ascii="Times New Roman" w:hAnsi="Times New Roman"/>
          <w:sz w:val="24"/>
          <w:szCs w:val="24"/>
        </w:rPr>
        <w:t xml:space="preserve"> reviewed.</w:t>
      </w:r>
    </w:p>
    <w:p w:rsidR="002B0EE8" w:rsidRDefault="002B0EE8" w:rsidP="007946CC">
      <w:pPr>
        <w:pStyle w:val="Bullet-list"/>
        <w:spacing w:after="0" w:line="240" w:lineRule="auto"/>
        <w:ind w:left="567" w:hanging="567"/>
        <w:jc w:val="both"/>
        <w:rPr>
          <w:rFonts w:ascii="Times New Roman" w:hAnsi="Times New Roman"/>
          <w:sz w:val="24"/>
          <w:szCs w:val="24"/>
        </w:rPr>
      </w:pPr>
    </w:p>
    <w:p w:rsidR="00643475" w:rsidRPr="00F65FFA" w:rsidRDefault="00643475" w:rsidP="007946CC">
      <w:pPr>
        <w:pStyle w:val="Bullet-list"/>
        <w:spacing w:after="0" w:line="240" w:lineRule="auto"/>
        <w:ind w:left="567" w:hanging="567"/>
        <w:jc w:val="both"/>
        <w:rPr>
          <w:rFonts w:ascii="Times New Roman" w:hAnsi="Times New Roman"/>
          <w:b/>
          <w:i/>
          <w:sz w:val="24"/>
          <w:szCs w:val="24"/>
        </w:rPr>
      </w:pPr>
      <w:r w:rsidRPr="00F65FFA">
        <w:rPr>
          <w:rFonts w:ascii="Times New Roman" w:hAnsi="Times New Roman"/>
          <w:b/>
          <w:i/>
          <w:sz w:val="24"/>
          <w:szCs w:val="24"/>
        </w:rPr>
        <w:t>Enforcement</w:t>
      </w:r>
    </w:p>
    <w:p w:rsidR="00643475" w:rsidRDefault="00643475" w:rsidP="007946CC">
      <w:pPr>
        <w:pStyle w:val="Bullet-list"/>
        <w:spacing w:after="0" w:line="240" w:lineRule="auto"/>
        <w:ind w:left="567" w:hanging="567"/>
        <w:jc w:val="both"/>
        <w:rPr>
          <w:rFonts w:ascii="Times New Roman" w:hAnsi="Times New Roman"/>
          <w:sz w:val="24"/>
          <w:szCs w:val="24"/>
        </w:rPr>
      </w:pPr>
    </w:p>
    <w:p w:rsidR="008E2C51" w:rsidRDefault="00991FE1" w:rsidP="007946CC">
      <w:pPr>
        <w:pStyle w:val="Bullet-list"/>
        <w:spacing w:after="0" w:line="240" w:lineRule="auto"/>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sidR="00AC6114">
        <w:rPr>
          <w:rFonts w:ascii="Times New Roman" w:hAnsi="Times New Roman"/>
          <w:sz w:val="24"/>
          <w:szCs w:val="24"/>
        </w:rPr>
        <w:tab/>
      </w:r>
      <w:r>
        <w:rPr>
          <w:rFonts w:ascii="Times New Roman" w:hAnsi="Times New Roman"/>
          <w:sz w:val="24"/>
          <w:szCs w:val="24"/>
        </w:rPr>
        <w:t xml:space="preserve">The CRS requires effective anti-avoidance and enforcement rules to ensure compliance.  </w:t>
      </w:r>
      <w:r w:rsidR="00764463">
        <w:rPr>
          <w:rFonts w:ascii="Times New Roman" w:hAnsi="Times New Roman"/>
          <w:sz w:val="24"/>
          <w:szCs w:val="24"/>
        </w:rPr>
        <w:t xml:space="preserve">This includes a specific expectation that implementing jurisdictions will have robust rules in place that will ensure self-certifications are always obtained for new accounts.  </w:t>
      </w:r>
      <w:r>
        <w:rPr>
          <w:rFonts w:ascii="Times New Roman" w:hAnsi="Times New Roman"/>
          <w:sz w:val="24"/>
          <w:szCs w:val="24"/>
        </w:rPr>
        <w:t xml:space="preserve">However, it leaves the design of those rules up to each </w:t>
      </w:r>
      <w:r w:rsidR="00643475">
        <w:rPr>
          <w:rFonts w:ascii="Times New Roman" w:hAnsi="Times New Roman"/>
          <w:sz w:val="24"/>
          <w:szCs w:val="24"/>
        </w:rPr>
        <w:t>country</w:t>
      </w:r>
      <w:r>
        <w:rPr>
          <w:rFonts w:ascii="Times New Roman" w:hAnsi="Times New Roman"/>
          <w:sz w:val="24"/>
          <w:szCs w:val="24"/>
        </w:rPr>
        <w:t>.</w:t>
      </w:r>
    </w:p>
    <w:p w:rsidR="00991FE1" w:rsidRDefault="00991FE1" w:rsidP="007946CC">
      <w:pPr>
        <w:pStyle w:val="Bullet-list"/>
        <w:spacing w:after="0" w:line="240" w:lineRule="auto"/>
        <w:ind w:left="567" w:hanging="567"/>
        <w:jc w:val="both"/>
        <w:rPr>
          <w:rFonts w:ascii="Times New Roman" w:hAnsi="Times New Roman"/>
          <w:sz w:val="24"/>
          <w:szCs w:val="24"/>
        </w:rPr>
      </w:pPr>
    </w:p>
    <w:p w:rsidR="00991FE1" w:rsidRDefault="00991FE1" w:rsidP="007946CC">
      <w:pPr>
        <w:pStyle w:val="Bullet-list"/>
        <w:spacing w:after="0" w:line="240" w:lineRule="auto"/>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t xml:space="preserve">In terms of an anti-avoidance rule, we propose a similar rule to that </w:t>
      </w:r>
      <w:r w:rsidR="00AC6114">
        <w:rPr>
          <w:rFonts w:ascii="Times New Roman" w:hAnsi="Times New Roman"/>
          <w:sz w:val="24"/>
          <w:szCs w:val="24"/>
        </w:rPr>
        <w:t>introduced</w:t>
      </w:r>
      <w:r>
        <w:rPr>
          <w:rFonts w:ascii="Times New Roman" w:hAnsi="Times New Roman"/>
          <w:sz w:val="24"/>
          <w:szCs w:val="24"/>
        </w:rPr>
        <w:t xml:space="preserve"> for FATCA</w:t>
      </w:r>
      <w:r w:rsidR="00053C62">
        <w:rPr>
          <w:rFonts w:ascii="Times New Roman" w:hAnsi="Times New Roman"/>
          <w:sz w:val="24"/>
          <w:szCs w:val="24"/>
        </w:rPr>
        <w:t xml:space="preserve">. </w:t>
      </w:r>
      <w:r w:rsidR="008B68FB">
        <w:rPr>
          <w:rFonts w:ascii="Times New Roman" w:hAnsi="Times New Roman"/>
          <w:sz w:val="24"/>
          <w:szCs w:val="24"/>
        </w:rPr>
        <w:t xml:space="preserve"> </w:t>
      </w:r>
      <w:r w:rsidR="00053C62">
        <w:rPr>
          <w:rFonts w:ascii="Times New Roman" w:hAnsi="Times New Roman"/>
          <w:sz w:val="24"/>
          <w:szCs w:val="24"/>
        </w:rPr>
        <w:t xml:space="preserve">This would be </w:t>
      </w:r>
      <w:r>
        <w:rPr>
          <w:rFonts w:ascii="Times New Roman" w:hAnsi="Times New Roman"/>
          <w:sz w:val="24"/>
          <w:szCs w:val="24"/>
        </w:rPr>
        <w:t xml:space="preserve">modified (as required by the CRS) to ensure that </w:t>
      </w:r>
      <w:r w:rsidR="00053C62">
        <w:rPr>
          <w:rFonts w:ascii="Times New Roman" w:hAnsi="Times New Roman"/>
          <w:sz w:val="24"/>
          <w:szCs w:val="24"/>
        </w:rPr>
        <w:t xml:space="preserve">in addition to financial institutions </w:t>
      </w:r>
      <w:r>
        <w:rPr>
          <w:rFonts w:ascii="Times New Roman" w:hAnsi="Times New Roman"/>
          <w:sz w:val="24"/>
          <w:szCs w:val="24"/>
        </w:rPr>
        <w:t xml:space="preserve">it applies to </w:t>
      </w:r>
      <w:r w:rsidR="00764463">
        <w:rPr>
          <w:rFonts w:ascii="Times New Roman" w:hAnsi="Times New Roman"/>
          <w:sz w:val="24"/>
          <w:szCs w:val="24"/>
        </w:rPr>
        <w:t xml:space="preserve">account holders, intermediaries, </w:t>
      </w:r>
      <w:r w:rsidR="00186EBC">
        <w:rPr>
          <w:rFonts w:ascii="Times New Roman" w:hAnsi="Times New Roman"/>
          <w:sz w:val="24"/>
          <w:szCs w:val="24"/>
        </w:rPr>
        <w:t xml:space="preserve">and </w:t>
      </w:r>
      <w:r w:rsidR="00764463">
        <w:rPr>
          <w:rFonts w:ascii="Times New Roman" w:hAnsi="Times New Roman"/>
          <w:sz w:val="24"/>
          <w:szCs w:val="24"/>
        </w:rPr>
        <w:t>certain other persons (in recognition of the fact that such persons often control the information that institutions are required to obtain and report, so could take steps to circumvent C</w:t>
      </w:r>
      <w:r w:rsidR="00552D0E">
        <w:rPr>
          <w:rFonts w:ascii="Times New Roman" w:hAnsi="Times New Roman"/>
          <w:sz w:val="24"/>
          <w:szCs w:val="24"/>
        </w:rPr>
        <w:t>RS due diligence and reporting)</w:t>
      </w:r>
      <w:r>
        <w:rPr>
          <w:rFonts w:ascii="Times New Roman" w:hAnsi="Times New Roman"/>
          <w:sz w:val="24"/>
          <w:szCs w:val="24"/>
        </w:rPr>
        <w:t>.</w:t>
      </w:r>
      <w:r w:rsidR="00AC6114">
        <w:rPr>
          <w:rFonts w:ascii="Times New Roman" w:hAnsi="Times New Roman"/>
          <w:sz w:val="24"/>
          <w:szCs w:val="24"/>
        </w:rPr>
        <w:t xml:space="preserve">  The rule could apply, for example, in the case of a financial institution that advises a customer to maintain an account with a related entity in a non-participating jurisdiction</w:t>
      </w:r>
      <w:r w:rsidR="00764463">
        <w:rPr>
          <w:rFonts w:ascii="Times New Roman" w:hAnsi="Times New Roman"/>
          <w:sz w:val="24"/>
          <w:szCs w:val="24"/>
        </w:rPr>
        <w:t xml:space="preserve"> (where there is no scope to link the accounts for due diligence purposes)</w:t>
      </w:r>
      <w:r w:rsidR="00AC6114">
        <w:rPr>
          <w:rFonts w:ascii="Times New Roman" w:hAnsi="Times New Roman"/>
          <w:sz w:val="24"/>
          <w:szCs w:val="24"/>
        </w:rPr>
        <w:t>, so as to avoid reporting obligations while still offering services to the customer as if the account was maintained by the financial institution itself.</w:t>
      </w:r>
      <w:r w:rsidR="00B15342">
        <w:rPr>
          <w:rFonts w:ascii="Times New Roman" w:hAnsi="Times New Roman"/>
          <w:sz w:val="24"/>
          <w:szCs w:val="24"/>
        </w:rPr>
        <w:t xml:space="preserve">  It is proposed that this modification will also apply for FATCA purposes.</w:t>
      </w:r>
    </w:p>
    <w:p w:rsidR="00991FE1" w:rsidRDefault="00991FE1" w:rsidP="007946CC">
      <w:pPr>
        <w:pStyle w:val="Bullet-list"/>
        <w:spacing w:after="0" w:line="240" w:lineRule="auto"/>
        <w:ind w:left="567" w:hanging="567"/>
        <w:jc w:val="both"/>
        <w:rPr>
          <w:rFonts w:ascii="Times New Roman" w:hAnsi="Times New Roman"/>
          <w:sz w:val="24"/>
          <w:szCs w:val="24"/>
        </w:rPr>
      </w:pPr>
    </w:p>
    <w:p w:rsidR="00BB4CB1" w:rsidRDefault="00991FE1" w:rsidP="007946CC">
      <w:pPr>
        <w:pStyle w:val="Bullet-list"/>
        <w:spacing w:after="0" w:line="240" w:lineRule="auto"/>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t xml:space="preserve">In terms of </w:t>
      </w:r>
      <w:r w:rsidR="00BB4CB1">
        <w:rPr>
          <w:rFonts w:ascii="Times New Roman" w:hAnsi="Times New Roman"/>
          <w:sz w:val="24"/>
          <w:szCs w:val="24"/>
        </w:rPr>
        <w:t xml:space="preserve">enforcement rules, we propose a regime </w:t>
      </w:r>
      <w:r w:rsidR="00B15342">
        <w:rPr>
          <w:rFonts w:ascii="Times New Roman" w:hAnsi="Times New Roman"/>
          <w:sz w:val="24"/>
          <w:szCs w:val="24"/>
        </w:rPr>
        <w:t xml:space="preserve">broadly </w:t>
      </w:r>
      <w:r w:rsidR="00BB4CB1">
        <w:rPr>
          <w:rFonts w:ascii="Times New Roman" w:hAnsi="Times New Roman"/>
          <w:sz w:val="24"/>
          <w:szCs w:val="24"/>
        </w:rPr>
        <w:t>based on civil penalties (rather than criminal penalties, as is the case for FATCA</w:t>
      </w:r>
      <w:r w:rsidR="006A08B7">
        <w:rPr>
          <w:rFonts w:ascii="Times New Roman" w:hAnsi="Times New Roman"/>
          <w:sz w:val="24"/>
          <w:szCs w:val="24"/>
        </w:rPr>
        <w:t>)</w:t>
      </w:r>
      <w:r w:rsidR="00BB4CB1">
        <w:rPr>
          <w:rFonts w:ascii="Times New Roman" w:hAnsi="Times New Roman"/>
          <w:sz w:val="24"/>
          <w:szCs w:val="24"/>
        </w:rPr>
        <w:t xml:space="preserve">.  We are not aware of any other implementing </w:t>
      </w:r>
      <w:r w:rsidR="006A08B7">
        <w:rPr>
          <w:rFonts w:ascii="Times New Roman" w:hAnsi="Times New Roman"/>
          <w:sz w:val="24"/>
          <w:szCs w:val="24"/>
        </w:rPr>
        <w:t xml:space="preserve">country </w:t>
      </w:r>
      <w:r w:rsidR="00BB4CB1">
        <w:rPr>
          <w:rFonts w:ascii="Times New Roman" w:hAnsi="Times New Roman"/>
          <w:sz w:val="24"/>
          <w:szCs w:val="24"/>
        </w:rPr>
        <w:t xml:space="preserve">imposing </w:t>
      </w:r>
      <w:r w:rsidR="00B15342">
        <w:rPr>
          <w:rFonts w:ascii="Times New Roman" w:hAnsi="Times New Roman"/>
          <w:sz w:val="24"/>
          <w:szCs w:val="24"/>
        </w:rPr>
        <w:t xml:space="preserve">specific </w:t>
      </w:r>
      <w:r w:rsidR="00BB4CB1">
        <w:rPr>
          <w:rFonts w:ascii="Times New Roman" w:hAnsi="Times New Roman"/>
          <w:sz w:val="24"/>
          <w:szCs w:val="24"/>
        </w:rPr>
        <w:t>criminal penalties for AEOI.</w:t>
      </w:r>
    </w:p>
    <w:p w:rsidR="00BB4CB1" w:rsidRDefault="00BB4CB1" w:rsidP="007946CC">
      <w:pPr>
        <w:pStyle w:val="Bullet-list"/>
        <w:spacing w:after="0" w:line="240" w:lineRule="auto"/>
        <w:ind w:left="567" w:hanging="567"/>
        <w:jc w:val="both"/>
        <w:rPr>
          <w:rFonts w:ascii="Times New Roman" w:hAnsi="Times New Roman"/>
          <w:sz w:val="24"/>
          <w:szCs w:val="24"/>
        </w:rPr>
      </w:pPr>
    </w:p>
    <w:p w:rsidR="008E2C51" w:rsidRDefault="00BB4CB1" w:rsidP="007946CC">
      <w:pPr>
        <w:pStyle w:val="Bullet-list"/>
        <w:spacing w:after="0" w:line="240" w:lineRule="auto"/>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r>
      <w:r w:rsidR="00BC004F">
        <w:rPr>
          <w:rFonts w:ascii="Times New Roman" w:hAnsi="Times New Roman"/>
          <w:sz w:val="24"/>
          <w:szCs w:val="24"/>
        </w:rPr>
        <w:t>P</w:t>
      </w:r>
      <w:r>
        <w:rPr>
          <w:rFonts w:ascii="Times New Roman" w:hAnsi="Times New Roman"/>
          <w:sz w:val="24"/>
          <w:szCs w:val="24"/>
        </w:rPr>
        <w:t xml:space="preserve">enalties </w:t>
      </w:r>
      <w:r w:rsidR="009633E2">
        <w:rPr>
          <w:rFonts w:ascii="Times New Roman" w:hAnsi="Times New Roman"/>
          <w:sz w:val="24"/>
          <w:szCs w:val="24"/>
        </w:rPr>
        <w:t>(for example, for failure to conduct due diligence</w:t>
      </w:r>
      <w:r w:rsidR="00B15342">
        <w:rPr>
          <w:rFonts w:ascii="Times New Roman" w:hAnsi="Times New Roman"/>
          <w:sz w:val="24"/>
          <w:szCs w:val="24"/>
        </w:rPr>
        <w:t xml:space="preserve"> or reporting</w:t>
      </w:r>
      <w:r w:rsidR="009633E2">
        <w:rPr>
          <w:rFonts w:ascii="Times New Roman" w:hAnsi="Times New Roman"/>
          <w:sz w:val="24"/>
          <w:szCs w:val="24"/>
        </w:rPr>
        <w:t xml:space="preserve">) </w:t>
      </w:r>
      <w:r>
        <w:rPr>
          <w:rFonts w:ascii="Times New Roman" w:hAnsi="Times New Roman"/>
          <w:sz w:val="24"/>
          <w:szCs w:val="24"/>
        </w:rPr>
        <w:t xml:space="preserve">would </w:t>
      </w:r>
      <w:r w:rsidR="00BC004F">
        <w:rPr>
          <w:rFonts w:ascii="Times New Roman" w:hAnsi="Times New Roman"/>
          <w:sz w:val="24"/>
          <w:szCs w:val="24"/>
        </w:rPr>
        <w:t xml:space="preserve">primarily </w:t>
      </w:r>
      <w:r>
        <w:rPr>
          <w:rFonts w:ascii="Times New Roman" w:hAnsi="Times New Roman"/>
          <w:sz w:val="24"/>
          <w:szCs w:val="24"/>
        </w:rPr>
        <w:t>apply at the financial institution level</w:t>
      </w:r>
      <w:r w:rsidR="00B15342">
        <w:rPr>
          <w:rFonts w:ascii="Times New Roman" w:hAnsi="Times New Roman"/>
          <w:sz w:val="24"/>
          <w:szCs w:val="24"/>
        </w:rPr>
        <w:t xml:space="preserve"> (including a specific penalty for failure to obtain a self-certification when opening a new account</w:t>
      </w:r>
      <w:r w:rsidR="00B15342" w:rsidRPr="00DA6AAC">
        <w:rPr>
          <w:rFonts w:ascii="Times New Roman" w:hAnsi="Times New Roman"/>
          <w:sz w:val="24"/>
          <w:szCs w:val="24"/>
        </w:rPr>
        <w:t>)</w:t>
      </w:r>
      <w:r w:rsidR="00B15342" w:rsidRPr="00F65FFA">
        <w:rPr>
          <w:rStyle w:val="FootnoteReference"/>
          <w:rFonts w:ascii="Times New Roman" w:hAnsi="Times New Roman"/>
          <w:szCs w:val="16"/>
        </w:rPr>
        <w:footnoteReference w:id="10"/>
      </w:r>
      <w:r w:rsidRPr="00F65FFA">
        <w:rPr>
          <w:rFonts w:ascii="Times New Roman" w:hAnsi="Times New Roman"/>
          <w:sz w:val="16"/>
          <w:szCs w:val="16"/>
        </w:rPr>
        <w:t>.</w:t>
      </w:r>
      <w:r>
        <w:rPr>
          <w:rFonts w:ascii="Times New Roman" w:hAnsi="Times New Roman"/>
          <w:sz w:val="24"/>
          <w:szCs w:val="24"/>
        </w:rPr>
        <w:t xml:space="preserve">  However, as a transitional measure, we propose allowing a grace period </w:t>
      </w:r>
      <w:r w:rsidR="00172BBC">
        <w:rPr>
          <w:rFonts w:ascii="Times New Roman" w:hAnsi="Times New Roman"/>
          <w:sz w:val="24"/>
          <w:szCs w:val="24"/>
        </w:rPr>
        <w:t>through to 31 March 2019</w:t>
      </w:r>
      <w:r>
        <w:rPr>
          <w:rFonts w:ascii="Times New Roman" w:hAnsi="Times New Roman"/>
          <w:sz w:val="24"/>
          <w:szCs w:val="24"/>
        </w:rPr>
        <w:t xml:space="preserve"> during which time a </w:t>
      </w:r>
      <w:r w:rsidR="00172BBC">
        <w:rPr>
          <w:rFonts w:ascii="Times New Roman" w:hAnsi="Times New Roman"/>
          <w:sz w:val="24"/>
          <w:szCs w:val="24"/>
        </w:rPr>
        <w:t>‘</w:t>
      </w:r>
      <w:r>
        <w:rPr>
          <w:rFonts w:ascii="Times New Roman" w:hAnsi="Times New Roman"/>
          <w:sz w:val="24"/>
          <w:szCs w:val="24"/>
        </w:rPr>
        <w:t xml:space="preserve">reasonable </w:t>
      </w:r>
      <w:r w:rsidR="00BC004F">
        <w:rPr>
          <w:rFonts w:ascii="Times New Roman" w:hAnsi="Times New Roman"/>
          <w:sz w:val="24"/>
          <w:szCs w:val="24"/>
        </w:rPr>
        <w:t>endeavours</w:t>
      </w:r>
      <w:r w:rsidR="00172BBC">
        <w:rPr>
          <w:rFonts w:ascii="Times New Roman" w:hAnsi="Times New Roman"/>
          <w:sz w:val="24"/>
          <w:szCs w:val="24"/>
        </w:rPr>
        <w:t>’</w:t>
      </w:r>
      <w:r>
        <w:rPr>
          <w:rFonts w:ascii="Times New Roman" w:hAnsi="Times New Roman"/>
          <w:sz w:val="24"/>
          <w:szCs w:val="24"/>
        </w:rPr>
        <w:t xml:space="preserve"> defence could be mounted and a reasonable period of time allowed to rectify identified errors.  After the transitional period, the penalties would be applied on a more rigorous basis.</w:t>
      </w:r>
      <w:r w:rsidR="00B15342">
        <w:rPr>
          <w:rFonts w:ascii="Times New Roman" w:hAnsi="Times New Roman"/>
          <w:sz w:val="24"/>
          <w:szCs w:val="24"/>
        </w:rPr>
        <w:t xml:space="preserve">  It is also proposed that undocumented new accounts are reported to be used as a tool to review and monitor compliance by financial institutions with their CRS due diligence obligations.</w:t>
      </w:r>
    </w:p>
    <w:p w:rsidR="00BB4CB1" w:rsidRDefault="00BB4CB1" w:rsidP="007946CC">
      <w:pPr>
        <w:pStyle w:val="Bullet-list"/>
        <w:spacing w:after="0" w:line="240" w:lineRule="auto"/>
        <w:ind w:left="567" w:hanging="567"/>
        <w:jc w:val="both"/>
        <w:rPr>
          <w:rFonts w:ascii="Times New Roman" w:hAnsi="Times New Roman"/>
          <w:sz w:val="24"/>
          <w:szCs w:val="24"/>
        </w:rPr>
      </w:pPr>
    </w:p>
    <w:p w:rsidR="00B15342" w:rsidRDefault="00BB4CB1" w:rsidP="007946CC">
      <w:pPr>
        <w:pStyle w:val="Bullet-list"/>
        <w:spacing w:after="0" w:line="240" w:lineRule="auto"/>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r>
      <w:r w:rsidR="00186EBC">
        <w:rPr>
          <w:rFonts w:ascii="Times New Roman" w:hAnsi="Times New Roman"/>
          <w:sz w:val="24"/>
          <w:szCs w:val="24"/>
        </w:rPr>
        <w:t>In some cases, f</w:t>
      </w:r>
      <w:r>
        <w:rPr>
          <w:rFonts w:ascii="Times New Roman" w:hAnsi="Times New Roman"/>
          <w:sz w:val="24"/>
          <w:szCs w:val="24"/>
        </w:rPr>
        <w:t xml:space="preserve">inancial institutions may experience </w:t>
      </w:r>
      <w:r w:rsidR="00186EBC">
        <w:rPr>
          <w:rFonts w:ascii="Times New Roman" w:hAnsi="Times New Roman"/>
          <w:sz w:val="24"/>
          <w:szCs w:val="24"/>
        </w:rPr>
        <w:t xml:space="preserve">difficulty </w:t>
      </w:r>
      <w:r>
        <w:rPr>
          <w:rFonts w:ascii="Times New Roman" w:hAnsi="Times New Roman"/>
          <w:sz w:val="24"/>
          <w:szCs w:val="24"/>
        </w:rPr>
        <w:t xml:space="preserve">in </w:t>
      </w:r>
      <w:r w:rsidR="001F1FFD">
        <w:rPr>
          <w:rFonts w:ascii="Times New Roman" w:hAnsi="Times New Roman"/>
          <w:sz w:val="24"/>
          <w:szCs w:val="24"/>
        </w:rPr>
        <w:t>obtaining responses from account holders</w:t>
      </w:r>
      <w:r w:rsidR="00B15342">
        <w:rPr>
          <w:rFonts w:ascii="Times New Roman" w:hAnsi="Times New Roman"/>
          <w:sz w:val="24"/>
          <w:szCs w:val="24"/>
        </w:rPr>
        <w:t>, intermediaries and other persons</w:t>
      </w:r>
      <w:r w:rsidR="001F1FFD">
        <w:rPr>
          <w:rFonts w:ascii="Times New Roman" w:hAnsi="Times New Roman"/>
          <w:sz w:val="24"/>
          <w:szCs w:val="24"/>
        </w:rPr>
        <w:t xml:space="preserve"> to requests for documentation (particular</w:t>
      </w:r>
      <w:r w:rsidR="00B15342">
        <w:rPr>
          <w:rFonts w:ascii="Times New Roman" w:hAnsi="Times New Roman"/>
          <w:sz w:val="24"/>
          <w:szCs w:val="24"/>
        </w:rPr>
        <w:t>ly</w:t>
      </w:r>
      <w:r w:rsidR="001F1FFD">
        <w:rPr>
          <w:rFonts w:ascii="Times New Roman" w:hAnsi="Times New Roman"/>
          <w:sz w:val="24"/>
          <w:szCs w:val="24"/>
        </w:rPr>
        <w:t xml:space="preserve"> self-certification of tax residence)</w:t>
      </w:r>
      <w:r w:rsidR="00B15342">
        <w:rPr>
          <w:rFonts w:ascii="Times New Roman" w:hAnsi="Times New Roman"/>
          <w:sz w:val="24"/>
          <w:szCs w:val="24"/>
        </w:rPr>
        <w:t>.  I</w:t>
      </w:r>
      <w:r w:rsidR="001F1FFD">
        <w:rPr>
          <w:rFonts w:ascii="Times New Roman" w:hAnsi="Times New Roman"/>
          <w:sz w:val="24"/>
          <w:szCs w:val="24"/>
        </w:rPr>
        <w:t xml:space="preserve">t is </w:t>
      </w:r>
      <w:r w:rsidR="00B15342">
        <w:rPr>
          <w:rFonts w:ascii="Times New Roman" w:hAnsi="Times New Roman"/>
          <w:sz w:val="24"/>
          <w:szCs w:val="24"/>
        </w:rPr>
        <w:t xml:space="preserve">therefore </w:t>
      </w:r>
      <w:r w:rsidR="001F1FFD">
        <w:rPr>
          <w:rFonts w:ascii="Times New Roman" w:hAnsi="Times New Roman"/>
          <w:sz w:val="24"/>
          <w:szCs w:val="24"/>
        </w:rPr>
        <w:t>proposed to supplement t</w:t>
      </w:r>
      <w:r>
        <w:rPr>
          <w:rFonts w:ascii="Times New Roman" w:hAnsi="Times New Roman"/>
          <w:sz w:val="24"/>
          <w:szCs w:val="24"/>
        </w:rPr>
        <w:t xml:space="preserve">he penalties imposed on financial institutions </w:t>
      </w:r>
      <w:r w:rsidR="009633E2">
        <w:rPr>
          <w:rFonts w:ascii="Times New Roman" w:hAnsi="Times New Roman"/>
          <w:sz w:val="24"/>
          <w:szCs w:val="24"/>
        </w:rPr>
        <w:t xml:space="preserve">with </w:t>
      </w:r>
      <w:r>
        <w:rPr>
          <w:rFonts w:ascii="Times New Roman" w:hAnsi="Times New Roman"/>
          <w:sz w:val="24"/>
          <w:szCs w:val="24"/>
        </w:rPr>
        <w:t>penalties on account holders</w:t>
      </w:r>
      <w:r w:rsidR="00B15342">
        <w:rPr>
          <w:rFonts w:ascii="Times New Roman" w:hAnsi="Times New Roman"/>
          <w:sz w:val="24"/>
          <w:szCs w:val="24"/>
        </w:rPr>
        <w:t>,</w:t>
      </w:r>
      <w:r>
        <w:rPr>
          <w:rFonts w:ascii="Times New Roman" w:hAnsi="Times New Roman"/>
          <w:sz w:val="24"/>
          <w:szCs w:val="24"/>
        </w:rPr>
        <w:t xml:space="preserve"> intermediaries</w:t>
      </w:r>
      <w:r w:rsidR="00B15342">
        <w:rPr>
          <w:rFonts w:ascii="Times New Roman" w:hAnsi="Times New Roman"/>
          <w:sz w:val="24"/>
          <w:szCs w:val="24"/>
        </w:rPr>
        <w:t>, or other persons</w:t>
      </w:r>
      <w:r>
        <w:rPr>
          <w:rFonts w:ascii="Times New Roman" w:hAnsi="Times New Roman"/>
          <w:sz w:val="24"/>
          <w:szCs w:val="24"/>
        </w:rPr>
        <w:t xml:space="preserve"> for either providing </w:t>
      </w:r>
      <w:r w:rsidR="001F1FFD">
        <w:rPr>
          <w:rFonts w:ascii="Times New Roman" w:hAnsi="Times New Roman"/>
          <w:sz w:val="24"/>
          <w:szCs w:val="24"/>
        </w:rPr>
        <w:t xml:space="preserve">a </w:t>
      </w:r>
      <w:r>
        <w:rPr>
          <w:rFonts w:ascii="Times New Roman" w:hAnsi="Times New Roman"/>
          <w:sz w:val="24"/>
          <w:szCs w:val="24"/>
        </w:rPr>
        <w:t xml:space="preserve">false self-certification or </w:t>
      </w:r>
      <w:r w:rsidR="00B15342">
        <w:rPr>
          <w:rFonts w:ascii="Times New Roman" w:hAnsi="Times New Roman"/>
          <w:sz w:val="24"/>
          <w:szCs w:val="24"/>
        </w:rPr>
        <w:t>(where the person fails</w:t>
      </w:r>
      <w:r>
        <w:rPr>
          <w:rFonts w:ascii="Times New Roman" w:hAnsi="Times New Roman"/>
          <w:sz w:val="24"/>
          <w:szCs w:val="24"/>
        </w:rPr>
        <w:t xml:space="preserve"> to provide </w:t>
      </w:r>
      <w:r w:rsidR="001F1FFD">
        <w:rPr>
          <w:rFonts w:ascii="Times New Roman" w:hAnsi="Times New Roman"/>
          <w:sz w:val="24"/>
          <w:szCs w:val="24"/>
        </w:rPr>
        <w:t xml:space="preserve">a </w:t>
      </w:r>
      <w:r>
        <w:rPr>
          <w:rFonts w:ascii="Times New Roman" w:hAnsi="Times New Roman"/>
          <w:sz w:val="24"/>
          <w:szCs w:val="24"/>
        </w:rPr>
        <w:t>self-certification</w:t>
      </w:r>
      <w:r w:rsidR="001F1FFD">
        <w:rPr>
          <w:rFonts w:ascii="Times New Roman" w:hAnsi="Times New Roman"/>
          <w:sz w:val="24"/>
          <w:szCs w:val="24"/>
        </w:rPr>
        <w:t xml:space="preserve"> </w:t>
      </w:r>
      <w:r w:rsidR="00B15342">
        <w:rPr>
          <w:rFonts w:ascii="Times New Roman" w:hAnsi="Times New Roman"/>
          <w:sz w:val="24"/>
          <w:szCs w:val="24"/>
        </w:rPr>
        <w:t>(or material information about a change of circumstances relating to a self-certification) with the intention of circumventing CRS reporting</w:t>
      </w:r>
      <w:r>
        <w:rPr>
          <w:rFonts w:ascii="Times New Roman" w:hAnsi="Times New Roman"/>
          <w:sz w:val="24"/>
          <w:szCs w:val="24"/>
        </w:rPr>
        <w:t>.</w:t>
      </w:r>
      <w:r w:rsidR="00B15342">
        <w:rPr>
          <w:rFonts w:ascii="Times New Roman" w:hAnsi="Times New Roman"/>
          <w:sz w:val="24"/>
          <w:szCs w:val="24"/>
        </w:rPr>
        <w:t xml:space="preserve">  There would also be a requirement of persons that hold accounts or funds on behalf of another person to take reasonable steps to provide (on request) CRS information to that financial institution, with a penalty for non-compliance.</w:t>
      </w:r>
    </w:p>
    <w:p w:rsidR="00B15342" w:rsidRDefault="00B15342" w:rsidP="007946CC">
      <w:pPr>
        <w:pStyle w:val="Bullet-list"/>
        <w:spacing w:after="0" w:line="240" w:lineRule="auto"/>
        <w:ind w:left="567" w:hanging="567"/>
        <w:jc w:val="both"/>
        <w:rPr>
          <w:rFonts w:ascii="Times New Roman" w:hAnsi="Times New Roman"/>
          <w:sz w:val="24"/>
          <w:szCs w:val="24"/>
        </w:rPr>
      </w:pPr>
    </w:p>
    <w:p w:rsidR="00BB4CB1" w:rsidRDefault="00B15342" w:rsidP="007946CC">
      <w:pPr>
        <w:pStyle w:val="Bullet-list"/>
        <w:spacing w:after="0" w:line="240" w:lineRule="auto"/>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t>It is proposed that these penalties on account holders, intermediaries, and other persons, will be extended to apply to FATCA, as there is currently a gap in these areas.</w:t>
      </w:r>
    </w:p>
    <w:p w:rsidR="002B0EE8" w:rsidRDefault="002B0EE8" w:rsidP="007946CC">
      <w:pPr>
        <w:pStyle w:val="Bullet-list"/>
        <w:spacing w:after="0" w:line="240" w:lineRule="auto"/>
        <w:ind w:left="567" w:hanging="567"/>
        <w:jc w:val="both"/>
        <w:rPr>
          <w:rFonts w:ascii="Times New Roman" w:hAnsi="Times New Roman"/>
          <w:sz w:val="24"/>
          <w:szCs w:val="24"/>
        </w:rPr>
      </w:pPr>
    </w:p>
    <w:p w:rsidR="00FE2F41" w:rsidRPr="00F65FFA" w:rsidRDefault="00FE2F41" w:rsidP="007946CC">
      <w:pPr>
        <w:pStyle w:val="Bullet-list"/>
        <w:spacing w:after="0" w:line="240" w:lineRule="auto"/>
        <w:ind w:left="567" w:hanging="567"/>
        <w:jc w:val="both"/>
        <w:rPr>
          <w:rFonts w:ascii="Times New Roman" w:hAnsi="Times New Roman"/>
          <w:b/>
          <w:i/>
          <w:sz w:val="24"/>
          <w:szCs w:val="24"/>
        </w:rPr>
      </w:pPr>
      <w:r w:rsidRPr="00F65FFA">
        <w:rPr>
          <w:rFonts w:ascii="Times New Roman" w:hAnsi="Times New Roman"/>
          <w:b/>
          <w:i/>
          <w:sz w:val="24"/>
          <w:szCs w:val="24"/>
        </w:rPr>
        <w:t>Stage two implementation issues</w:t>
      </w:r>
    </w:p>
    <w:p w:rsidR="00FE2F41" w:rsidRDefault="00FE2F41" w:rsidP="007946CC">
      <w:pPr>
        <w:pStyle w:val="Bullet-list"/>
        <w:spacing w:after="0" w:line="240" w:lineRule="auto"/>
        <w:ind w:left="567" w:hanging="567"/>
        <w:jc w:val="both"/>
        <w:rPr>
          <w:rFonts w:ascii="Times New Roman" w:hAnsi="Times New Roman"/>
          <w:sz w:val="24"/>
          <w:szCs w:val="24"/>
        </w:rPr>
      </w:pPr>
    </w:p>
    <w:p w:rsidR="001A4D2C" w:rsidRDefault="001A4D2C" w:rsidP="007946CC">
      <w:pPr>
        <w:pStyle w:val="TRNormal"/>
        <w:tabs>
          <w:tab w:val="left" w:pos="567"/>
        </w:tabs>
        <w:ind w:left="567" w:hanging="567"/>
      </w:pPr>
      <w:r>
        <w:fldChar w:fldCharType="begin"/>
      </w:r>
      <w:r>
        <w:instrText xml:space="preserve"> AUTONUM  \* Arabic  </w:instrText>
      </w:r>
      <w:r>
        <w:fldChar w:fldCharType="end"/>
      </w:r>
      <w:r>
        <w:tab/>
        <w:t>The AEOI standard requires implementing jurisdictions to publish a number of lists.  These are:</w:t>
      </w:r>
    </w:p>
    <w:p w:rsidR="001A4D2C" w:rsidRDefault="001A4D2C" w:rsidP="001A4D2C">
      <w:pPr>
        <w:pStyle w:val="TRNormal"/>
        <w:tabs>
          <w:tab w:val="left" w:pos="567"/>
        </w:tabs>
      </w:pPr>
    </w:p>
    <w:p w:rsidR="001A4D2C" w:rsidRDefault="001A4D2C" w:rsidP="001A4D2C">
      <w:pPr>
        <w:pStyle w:val="TRNormal"/>
        <w:tabs>
          <w:tab w:val="left" w:pos="567"/>
        </w:tabs>
        <w:spacing w:line="240" w:lineRule="auto"/>
        <w:ind w:left="1276" w:hanging="709"/>
      </w:pPr>
      <w:r>
        <w:sym w:font="Wingdings 2" w:char="F097"/>
      </w:r>
      <w:r>
        <w:tab/>
      </w:r>
      <w:r w:rsidRPr="00582B03">
        <w:rPr>
          <w:i/>
        </w:rPr>
        <w:t>Reportable jurisdiction</w:t>
      </w:r>
      <w:r>
        <w:rPr>
          <w:i/>
        </w:rPr>
        <w:t>s</w:t>
      </w:r>
      <w:r>
        <w:t>.  An implementing jurisdiction must list the countries that it intends providing AEOI information to.</w:t>
      </w:r>
    </w:p>
    <w:p w:rsidR="001A4D2C" w:rsidRDefault="001A4D2C" w:rsidP="001A4D2C">
      <w:pPr>
        <w:pStyle w:val="TRNormal"/>
        <w:tabs>
          <w:tab w:val="left" w:pos="567"/>
        </w:tabs>
        <w:spacing w:line="240" w:lineRule="auto"/>
        <w:ind w:left="1276" w:hanging="709"/>
      </w:pPr>
    </w:p>
    <w:p w:rsidR="001A4D2C" w:rsidRDefault="001A4D2C" w:rsidP="001A4D2C">
      <w:pPr>
        <w:pStyle w:val="TRNormal"/>
        <w:tabs>
          <w:tab w:val="left" w:pos="567"/>
        </w:tabs>
        <w:spacing w:line="240" w:lineRule="auto"/>
        <w:ind w:left="1276" w:hanging="709"/>
      </w:pPr>
      <w:r>
        <w:sym w:font="Wingdings 2" w:char="F097"/>
      </w:r>
      <w:r>
        <w:tab/>
      </w:r>
      <w:r w:rsidRPr="0026625C">
        <w:rPr>
          <w:i/>
        </w:rPr>
        <w:t>Participating jurisdictions</w:t>
      </w:r>
      <w:r>
        <w:t>. An implementing jurisdiction must also list the countries that it has an arrangement to receive AEOI information from</w:t>
      </w:r>
      <w:r w:rsidRPr="00DA6AAC">
        <w:t>.</w:t>
      </w:r>
      <w:r w:rsidR="004E6D47" w:rsidRPr="00DA6AAC">
        <w:rPr>
          <w:rStyle w:val="FootnoteReference"/>
          <w:rFonts w:ascii="Times New Roman" w:hAnsi="Times New Roman"/>
        </w:rPr>
        <w:footnoteReference w:id="11"/>
      </w:r>
    </w:p>
    <w:p w:rsidR="001A4D2C" w:rsidRDefault="001A4D2C" w:rsidP="001A4D2C">
      <w:pPr>
        <w:pStyle w:val="TRNormal"/>
        <w:tabs>
          <w:tab w:val="left" w:pos="567"/>
        </w:tabs>
        <w:spacing w:line="240" w:lineRule="auto"/>
        <w:ind w:left="1276" w:hanging="709"/>
      </w:pPr>
    </w:p>
    <w:p w:rsidR="001A4D2C" w:rsidRDefault="001A4D2C" w:rsidP="001A4D2C">
      <w:pPr>
        <w:pStyle w:val="TRNormal"/>
        <w:tabs>
          <w:tab w:val="left" w:pos="567"/>
        </w:tabs>
        <w:spacing w:line="240" w:lineRule="auto"/>
        <w:ind w:left="1276" w:hanging="709"/>
      </w:pPr>
      <w:r>
        <w:sym w:font="Wingdings 2" w:char="F097"/>
      </w:r>
      <w:r>
        <w:tab/>
      </w:r>
      <w:r w:rsidRPr="00582B03">
        <w:rPr>
          <w:i/>
        </w:rPr>
        <w:t>Excluded Entities and Accounts</w:t>
      </w:r>
      <w:r>
        <w:t xml:space="preserve">.  An implementing jurisdiction must list the </w:t>
      </w:r>
      <w:r w:rsidRPr="003104CF">
        <w:t>specific financial institutions and accounts that</w:t>
      </w:r>
      <w:r>
        <w:t xml:space="preserve"> it has excluded from AEOI obligations on the basis that they pose a low risk in the context of tax evasion.</w:t>
      </w:r>
    </w:p>
    <w:p w:rsidR="001A4D2C" w:rsidRDefault="001A4D2C" w:rsidP="006D72D2">
      <w:pPr>
        <w:pStyle w:val="TRNormal"/>
        <w:tabs>
          <w:tab w:val="left" w:pos="567"/>
        </w:tabs>
        <w:spacing w:line="240" w:lineRule="auto"/>
      </w:pPr>
    </w:p>
    <w:p w:rsidR="001A4D2C" w:rsidRDefault="001A4D2C" w:rsidP="007946CC">
      <w:pPr>
        <w:pStyle w:val="TRNormal"/>
        <w:tabs>
          <w:tab w:val="left" w:pos="567"/>
        </w:tabs>
        <w:spacing w:line="240" w:lineRule="auto"/>
        <w:ind w:left="567" w:hanging="567"/>
      </w:pPr>
      <w:r>
        <w:fldChar w:fldCharType="begin"/>
      </w:r>
      <w:r>
        <w:instrText xml:space="preserve"> AUTONUM  \* Arabic  </w:instrText>
      </w:r>
      <w:r>
        <w:fldChar w:fldCharType="end"/>
      </w:r>
      <w:r>
        <w:tab/>
        <w:t xml:space="preserve">These lists do not need to be finalised in parallel with the implementation legislation, but will need to be in place </w:t>
      </w:r>
      <w:r w:rsidR="006D72D2">
        <w:t>prior to the 1 July 2017 start date, with sufficient lead time for financial institutions to develop their systems and processes.</w:t>
      </w:r>
    </w:p>
    <w:p w:rsidR="001A4D2C" w:rsidRDefault="001A4D2C" w:rsidP="007946CC">
      <w:pPr>
        <w:pStyle w:val="TRNormal"/>
        <w:tabs>
          <w:tab w:val="left" w:pos="567"/>
        </w:tabs>
        <w:spacing w:line="240" w:lineRule="auto"/>
        <w:ind w:left="567" w:hanging="567"/>
      </w:pPr>
    </w:p>
    <w:p w:rsidR="006D72D2" w:rsidRDefault="001A4D2C" w:rsidP="007946CC">
      <w:pPr>
        <w:pStyle w:val="TRNormal"/>
        <w:tabs>
          <w:tab w:val="left" w:pos="567"/>
        </w:tabs>
        <w:spacing w:line="240" w:lineRule="auto"/>
        <w:ind w:left="567" w:hanging="567"/>
      </w:pPr>
      <w:r>
        <w:fldChar w:fldCharType="begin"/>
      </w:r>
      <w:r>
        <w:instrText xml:space="preserve"> AUTONUM  \* Arabic  </w:instrText>
      </w:r>
      <w:r>
        <w:fldChar w:fldCharType="end"/>
      </w:r>
      <w:r>
        <w:tab/>
        <w:t xml:space="preserve">The issue of reportable jurisdictions raises potential privacy issues, given that the information to be disclosed to jurisdictions is of a highly sensitive personal and financial nature.  </w:t>
      </w:r>
      <w:r w:rsidR="006D72D2">
        <w:t>F</w:t>
      </w:r>
      <w:r>
        <w:t xml:space="preserve">rameworks for confidentiality and data safeguards are a key element of AOEI implementation </w:t>
      </w:r>
      <w:r w:rsidR="006D72D2">
        <w:t>for</w:t>
      </w:r>
      <w:r>
        <w:t xml:space="preserve"> all jurisdictions</w:t>
      </w:r>
      <w:r w:rsidR="006D72D2">
        <w:t>, and are the subject of separate Global Forum reviews.  However, s</w:t>
      </w:r>
      <w:r>
        <w:t xml:space="preserve">ubmissions </w:t>
      </w:r>
      <w:r w:rsidR="006D72D2">
        <w:t>proposed</w:t>
      </w:r>
      <w:r>
        <w:t xml:space="preserve"> that </w:t>
      </w:r>
      <w:r w:rsidR="006D72D2">
        <w:t xml:space="preserve">a degree of caution should be exercised in the case </w:t>
      </w:r>
      <w:r w:rsidR="0022551A">
        <w:t xml:space="preserve">of </w:t>
      </w:r>
      <w:r>
        <w:t xml:space="preserve">jurisdictions </w:t>
      </w:r>
      <w:r w:rsidR="006D72D2">
        <w:t xml:space="preserve">such as those that have no previous experience in exchange of information.  </w:t>
      </w:r>
      <w:r>
        <w:t xml:space="preserve">Submissions strongly proposed that </w:t>
      </w:r>
      <w:r w:rsidR="006D72D2">
        <w:t>selection of New Zealand’s reportable jurisdictions be subject to</w:t>
      </w:r>
      <w:r>
        <w:t xml:space="preserve"> </w:t>
      </w:r>
      <w:r w:rsidR="006D72D2">
        <w:t xml:space="preserve">a robust and </w:t>
      </w:r>
      <w:r>
        <w:t>transparen</w:t>
      </w:r>
      <w:r w:rsidR="006D72D2">
        <w:t xml:space="preserve">t process, </w:t>
      </w:r>
      <w:r>
        <w:t>and Government oversight.</w:t>
      </w:r>
    </w:p>
    <w:p w:rsidR="006D72D2" w:rsidRDefault="006D72D2" w:rsidP="007946CC">
      <w:pPr>
        <w:pStyle w:val="TRNormal"/>
        <w:tabs>
          <w:tab w:val="left" w:pos="567"/>
        </w:tabs>
        <w:spacing w:line="240" w:lineRule="auto"/>
        <w:ind w:left="567" w:hanging="567"/>
      </w:pPr>
    </w:p>
    <w:p w:rsidR="001A4D2C" w:rsidRDefault="006D72D2" w:rsidP="007946CC">
      <w:pPr>
        <w:pStyle w:val="TRNormal"/>
        <w:tabs>
          <w:tab w:val="left" w:pos="567"/>
        </w:tabs>
        <w:spacing w:line="240" w:lineRule="auto"/>
        <w:ind w:left="567" w:hanging="567"/>
      </w:pPr>
      <w:r>
        <w:fldChar w:fldCharType="begin"/>
      </w:r>
      <w:r>
        <w:instrText xml:space="preserve"> AUTONUM  \* Arabic  </w:instrText>
      </w:r>
      <w:r>
        <w:fldChar w:fldCharType="end"/>
      </w:r>
      <w:r>
        <w:tab/>
        <w:t xml:space="preserve">In acknowledgement of </w:t>
      </w:r>
      <w:r w:rsidR="00703905">
        <w:t xml:space="preserve">the concerns raised in </w:t>
      </w:r>
      <w:r>
        <w:t>these submissions</w:t>
      </w:r>
      <w:r w:rsidR="001A4D2C">
        <w:t>, it is proposed that th</w:t>
      </w:r>
      <w:r>
        <w:t>e</w:t>
      </w:r>
      <w:r w:rsidR="001A4D2C">
        <w:t xml:space="preserve"> list </w:t>
      </w:r>
      <w:r>
        <w:t>of reportable jurisdictions be selected by a process</w:t>
      </w:r>
      <w:r w:rsidR="00703905">
        <w:t xml:space="preserve"> that will involve Inland Revenue disseminating the outcome of Global Forum reviews and calling for submissions on genuine reasons why a jurisdiction should not be included on the list.  Inland Revenue’s decisions</w:t>
      </w:r>
      <w:r>
        <w:t xml:space="preserve"> will </w:t>
      </w:r>
      <w:r w:rsidR="001A4D2C">
        <w:t>be</w:t>
      </w:r>
      <w:r w:rsidR="00703905">
        <w:t xml:space="preserve"> subject to Government oversight through an Order in Council process for announcing and maintaining the list.</w:t>
      </w:r>
    </w:p>
    <w:p w:rsidR="001A4D2C" w:rsidRDefault="001A4D2C" w:rsidP="006D72D2">
      <w:pPr>
        <w:pStyle w:val="TRNormal"/>
        <w:tabs>
          <w:tab w:val="left" w:pos="567"/>
        </w:tabs>
        <w:spacing w:line="240" w:lineRule="auto"/>
      </w:pPr>
    </w:p>
    <w:p w:rsidR="001A4D2C" w:rsidRDefault="00703905" w:rsidP="007946CC">
      <w:pPr>
        <w:pStyle w:val="TRNormal"/>
        <w:tabs>
          <w:tab w:val="left" w:pos="567"/>
        </w:tabs>
        <w:spacing w:line="240" w:lineRule="auto"/>
        <w:ind w:left="567" w:hanging="567"/>
      </w:pPr>
      <w:r>
        <w:fldChar w:fldCharType="begin"/>
      </w:r>
      <w:r>
        <w:instrText xml:space="preserve"> AUTONUM  \* Arabic  </w:instrText>
      </w:r>
      <w:r>
        <w:fldChar w:fldCharType="end"/>
      </w:r>
      <w:r>
        <w:tab/>
      </w:r>
      <w:r w:rsidR="001A4D2C">
        <w:t xml:space="preserve">The issue of determining excluded entities and accounts will </w:t>
      </w:r>
      <w:r>
        <w:t xml:space="preserve">also necessarily </w:t>
      </w:r>
      <w:r w:rsidR="001A4D2C">
        <w:t xml:space="preserve">involve Inland Revenue receiving and considering submissions.  </w:t>
      </w:r>
      <w:r>
        <w:t>However, it</w:t>
      </w:r>
      <w:r w:rsidR="001A4D2C">
        <w:t xml:space="preserve"> is proposed that the Commissioner of Inland Revenue be authorised to announce, and maintain, the lists of excluded entities and accounts, by Commissioner’s determination.</w:t>
      </w:r>
    </w:p>
    <w:p w:rsidR="001A4D2C" w:rsidRDefault="001A4D2C" w:rsidP="007946CC">
      <w:pPr>
        <w:pStyle w:val="TRNormal"/>
        <w:tabs>
          <w:tab w:val="left" w:pos="567"/>
        </w:tabs>
        <w:spacing w:line="240" w:lineRule="auto"/>
        <w:ind w:left="567" w:hanging="567"/>
      </w:pPr>
    </w:p>
    <w:p w:rsidR="001A4D2C" w:rsidRDefault="001A4D2C" w:rsidP="007946CC">
      <w:pPr>
        <w:pStyle w:val="TRNormal"/>
        <w:tabs>
          <w:tab w:val="left" w:pos="567"/>
        </w:tabs>
        <w:spacing w:line="240" w:lineRule="auto"/>
        <w:ind w:left="567" w:hanging="567"/>
      </w:pPr>
      <w:r>
        <w:fldChar w:fldCharType="begin"/>
      </w:r>
      <w:r>
        <w:instrText xml:space="preserve"> AUTONUM  \* Arabic  </w:instrText>
      </w:r>
      <w:r>
        <w:fldChar w:fldCharType="end"/>
      </w:r>
      <w:r>
        <w:tab/>
        <w:t>Similarly, it is proposed that the Commissioner of Inland Revenue be authorised to announce, and maintain, the lists of participating jurisdictions, by Commissioner’s determination.</w:t>
      </w:r>
    </w:p>
    <w:p w:rsidR="00E10EAF" w:rsidRDefault="00E10EAF" w:rsidP="007946CC">
      <w:pPr>
        <w:pStyle w:val="TRNormal"/>
        <w:tabs>
          <w:tab w:val="left" w:pos="567"/>
        </w:tabs>
        <w:spacing w:line="240" w:lineRule="auto"/>
        <w:ind w:left="567" w:hanging="567"/>
      </w:pPr>
    </w:p>
    <w:p w:rsidR="00E10EAF" w:rsidRDefault="00E10EAF" w:rsidP="006D72D2">
      <w:pPr>
        <w:pStyle w:val="TRNormal"/>
        <w:tabs>
          <w:tab w:val="left" w:pos="567"/>
        </w:tabs>
        <w:spacing w:line="240" w:lineRule="auto"/>
      </w:pPr>
    </w:p>
    <w:p w:rsidR="000545DC" w:rsidRPr="00FD37C4" w:rsidRDefault="00D943DD" w:rsidP="00F65FFA">
      <w:pPr>
        <w:pStyle w:val="Bullet-list"/>
        <w:spacing w:after="0" w:line="240" w:lineRule="auto"/>
        <w:ind w:left="0" w:firstLine="0"/>
        <w:jc w:val="both"/>
      </w:pPr>
      <w:bookmarkStart w:id="39" w:name="_Toc244580369"/>
      <w:bookmarkStart w:id="40" w:name="_Toc244587045"/>
      <w:bookmarkStart w:id="41" w:name="_Toc244857279"/>
      <w:bookmarkStart w:id="42" w:name="_Toc244912544"/>
      <w:bookmarkStart w:id="43" w:name="_Toc244917001"/>
      <w:r w:rsidRPr="00F65FFA">
        <w:rPr>
          <w:rFonts w:ascii="Times New Roman" w:hAnsi="Times New Roman"/>
          <w:b/>
          <w:sz w:val="24"/>
          <w:szCs w:val="24"/>
        </w:rPr>
        <w:t>MONITORING, EVALUATION AND REVIEW</w:t>
      </w:r>
      <w:bookmarkEnd w:id="39"/>
      <w:bookmarkEnd w:id="40"/>
      <w:bookmarkEnd w:id="41"/>
      <w:bookmarkEnd w:id="42"/>
      <w:bookmarkEnd w:id="43"/>
    </w:p>
    <w:p w:rsidR="00E10EAF" w:rsidRDefault="00E10EAF" w:rsidP="00706833">
      <w:pPr>
        <w:pStyle w:val="Bullet-list"/>
        <w:spacing w:after="0" w:line="240" w:lineRule="auto"/>
        <w:ind w:left="0" w:firstLine="0"/>
        <w:jc w:val="both"/>
        <w:rPr>
          <w:rFonts w:ascii="Times New Roman" w:hAnsi="Times New Roman"/>
          <w:sz w:val="24"/>
          <w:szCs w:val="24"/>
        </w:rPr>
      </w:pPr>
    </w:p>
    <w:p w:rsidR="005B4F81" w:rsidRDefault="00706833" w:rsidP="007946CC">
      <w:pPr>
        <w:pStyle w:val="Bullet-list"/>
        <w:spacing w:after="0" w:line="240" w:lineRule="auto"/>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t xml:space="preserve">New Zealand’s implementation will be subject to </w:t>
      </w:r>
      <w:r w:rsidR="005B4F81">
        <w:rPr>
          <w:rFonts w:ascii="Times New Roman" w:hAnsi="Times New Roman"/>
          <w:sz w:val="24"/>
          <w:szCs w:val="24"/>
        </w:rPr>
        <w:t xml:space="preserve">international </w:t>
      </w:r>
      <w:r>
        <w:rPr>
          <w:rFonts w:ascii="Times New Roman" w:hAnsi="Times New Roman"/>
          <w:sz w:val="24"/>
          <w:szCs w:val="24"/>
        </w:rPr>
        <w:t>peer review and on-going monitoring by the Global Forum</w:t>
      </w:r>
      <w:r w:rsidR="005B4F81">
        <w:rPr>
          <w:rFonts w:ascii="Times New Roman" w:hAnsi="Times New Roman"/>
          <w:sz w:val="24"/>
          <w:szCs w:val="24"/>
        </w:rPr>
        <w:t>.  The peer review schedule has not yet been determined.</w:t>
      </w:r>
    </w:p>
    <w:p w:rsidR="005B4F81" w:rsidRDefault="005B4F81" w:rsidP="007946CC">
      <w:pPr>
        <w:pStyle w:val="Bullet-list"/>
        <w:spacing w:after="0" w:line="240" w:lineRule="auto"/>
        <w:ind w:left="567" w:hanging="567"/>
        <w:jc w:val="both"/>
        <w:rPr>
          <w:rFonts w:ascii="Times New Roman" w:hAnsi="Times New Roman"/>
          <w:sz w:val="24"/>
          <w:szCs w:val="24"/>
        </w:rPr>
      </w:pPr>
    </w:p>
    <w:p w:rsidR="005B4F81" w:rsidRDefault="005B4F81" w:rsidP="007946CC">
      <w:pPr>
        <w:pStyle w:val="Bullet-list"/>
        <w:spacing w:after="0" w:line="240" w:lineRule="auto"/>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t xml:space="preserve">As the AEOI standard is determined internationally, future changes at the international level </w:t>
      </w:r>
      <w:r w:rsidR="008A4338">
        <w:rPr>
          <w:rFonts w:ascii="Times New Roman" w:hAnsi="Times New Roman"/>
          <w:sz w:val="24"/>
          <w:szCs w:val="24"/>
        </w:rPr>
        <w:t>are likely</w:t>
      </w:r>
      <w:r>
        <w:rPr>
          <w:rFonts w:ascii="Times New Roman" w:hAnsi="Times New Roman"/>
          <w:sz w:val="24"/>
          <w:szCs w:val="24"/>
        </w:rPr>
        <w:t xml:space="preserve"> – particularly as coun</w:t>
      </w:r>
      <w:r w:rsidR="008A4338">
        <w:rPr>
          <w:rFonts w:ascii="Times New Roman" w:hAnsi="Times New Roman"/>
          <w:sz w:val="24"/>
          <w:szCs w:val="24"/>
        </w:rPr>
        <w:t>tries identify issues and concerns, and make consequential adjustments to the rules to address these issues</w:t>
      </w:r>
      <w:r>
        <w:rPr>
          <w:rFonts w:ascii="Times New Roman" w:hAnsi="Times New Roman"/>
          <w:sz w:val="24"/>
          <w:szCs w:val="24"/>
        </w:rPr>
        <w:t>.</w:t>
      </w:r>
      <w:r w:rsidR="00712F10">
        <w:rPr>
          <w:rFonts w:ascii="Times New Roman" w:hAnsi="Times New Roman"/>
          <w:sz w:val="24"/>
          <w:szCs w:val="24"/>
        </w:rPr>
        <w:t xml:space="preserve">  New Zealand will need to monitor and respond to these changes.</w:t>
      </w:r>
    </w:p>
    <w:p w:rsidR="005B4F81" w:rsidRDefault="005B4F81" w:rsidP="007946CC">
      <w:pPr>
        <w:pStyle w:val="Bullet-list"/>
        <w:spacing w:after="0" w:line="240" w:lineRule="auto"/>
        <w:ind w:left="567" w:hanging="567"/>
        <w:jc w:val="both"/>
        <w:rPr>
          <w:rFonts w:ascii="Times New Roman" w:hAnsi="Times New Roman"/>
          <w:sz w:val="24"/>
          <w:szCs w:val="24"/>
        </w:rPr>
      </w:pPr>
    </w:p>
    <w:p w:rsidR="00492C5E" w:rsidRDefault="005B4F81" w:rsidP="007946CC">
      <w:pPr>
        <w:pStyle w:val="Bullet-list"/>
        <w:spacing w:after="0" w:line="240" w:lineRule="auto"/>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t>Domestically, a</w:t>
      </w:r>
      <w:r w:rsidR="00706833">
        <w:rPr>
          <w:rFonts w:ascii="Times New Roman" w:hAnsi="Times New Roman"/>
          <w:sz w:val="24"/>
          <w:szCs w:val="24"/>
        </w:rPr>
        <w:t xml:space="preserve">n internal review of the AEOI legislation is </w:t>
      </w:r>
      <w:r>
        <w:rPr>
          <w:rFonts w:ascii="Times New Roman" w:hAnsi="Times New Roman"/>
          <w:sz w:val="24"/>
          <w:szCs w:val="24"/>
        </w:rPr>
        <w:t xml:space="preserve">also </w:t>
      </w:r>
      <w:r w:rsidR="00706833">
        <w:rPr>
          <w:rFonts w:ascii="Times New Roman" w:hAnsi="Times New Roman"/>
          <w:sz w:val="24"/>
          <w:szCs w:val="24"/>
        </w:rPr>
        <w:t xml:space="preserve">proposed 18 to 24 months after enactment.  This will primarily be to evaluate </w:t>
      </w:r>
      <w:r w:rsidR="00712F10">
        <w:rPr>
          <w:rFonts w:ascii="Times New Roman" w:hAnsi="Times New Roman"/>
          <w:sz w:val="24"/>
          <w:szCs w:val="24"/>
        </w:rPr>
        <w:t>if the rules are working as intended or if adjustments</w:t>
      </w:r>
      <w:r>
        <w:rPr>
          <w:rFonts w:ascii="Times New Roman" w:hAnsi="Times New Roman"/>
          <w:sz w:val="24"/>
          <w:szCs w:val="24"/>
        </w:rPr>
        <w:t xml:space="preserve"> </w:t>
      </w:r>
      <w:r w:rsidR="00712F10">
        <w:rPr>
          <w:rFonts w:ascii="Times New Roman" w:hAnsi="Times New Roman"/>
          <w:sz w:val="24"/>
          <w:szCs w:val="24"/>
        </w:rPr>
        <w:t>are needed.</w:t>
      </w:r>
      <w:r>
        <w:rPr>
          <w:rFonts w:ascii="Times New Roman" w:hAnsi="Times New Roman"/>
          <w:sz w:val="24"/>
          <w:szCs w:val="24"/>
        </w:rPr>
        <w:t xml:space="preserve">  </w:t>
      </w:r>
      <w:r w:rsidR="00712F10">
        <w:rPr>
          <w:rFonts w:ascii="Times New Roman" w:hAnsi="Times New Roman"/>
          <w:sz w:val="24"/>
          <w:szCs w:val="24"/>
        </w:rPr>
        <w:t>In p</w:t>
      </w:r>
      <w:r>
        <w:rPr>
          <w:rFonts w:ascii="Times New Roman" w:hAnsi="Times New Roman"/>
          <w:sz w:val="24"/>
          <w:szCs w:val="24"/>
        </w:rPr>
        <w:t>articular</w:t>
      </w:r>
      <w:r w:rsidR="00712F10">
        <w:rPr>
          <w:rFonts w:ascii="Times New Roman" w:hAnsi="Times New Roman"/>
          <w:sz w:val="24"/>
          <w:szCs w:val="24"/>
        </w:rPr>
        <w:t xml:space="preserve">, </w:t>
      </w:r>
      <w:r w:rsidR="001F1FFD">
        <w:rPr>
          <w:rFonts w:ascii="Times New Roman" w:hAnsi="Times New Roman"/>
          <w:sz w:val="24"/>
          <w:szCs w:val="24"/>
        </w:rPr>
        <w:t xml:space="preserve">New Zealand’s </w:t>
      </w:r>
      <w:r w:rsidR="004E6D47">
        <w:rPr>
          <w:rFonts w:ascii="Times New Roman" w:hAnsi="Times New Roman"/>
          <w:sz w:val="24"/>
          <w:szCs w:val="24"/>
        </w:rPr>
        <w:t xml:space="preserve">CRS </w:t>
      </w:r>
      <w:r w:rsidR="001F1FFD">
        <w:rPr>
          <w:rFonts w:ascii="Times New Roman" w:hAnsi="Times New Roman"/>
          <w:sz w:val="24"/>
          <w:szCs w:val="24"/>
        </w:rPr>
        <w:t xml:space="preserve">anti-avoidance and enforcement provisions </w:t>
      </w:r>
      <w:r w:rsidR="00712F10">
        <w:rPr>
          <w:rFonts w:ascii="Times New Roman" w:hAnsi="Times New Roman"/>
          <w:sz w:val="24"/>
          <w:szCs w:val="24"/>
        </w:rPr>
        <w:t xml:space="preserve">will be evaluated to determine if they </w:t>
      </w:r>
      <w:r w:rsidR="001F1FFD">
        <w:rPr>
          <w:rFonts w:ascii="Times New Roman" w:hAnsi="Times New Roman"/>
          <w:sz w:val="24"/>
          <w:szCs w:val="24"/>
        </w:rPr>
        <w:t>are effective</w:t>
      </w:r>
      <w:r>
        <w:rPr>
          <w:rFonts w:ascii="Times New Roman" w:hAnsi="Times New Roman"/>
          <w:sz w:val="24"/>
          <w:szCs w:val="24"/>
        </w:rPr>
        <w:t>.</w:t>
      </w:r>
      <w:r w:rsidR="00712F10">
        <w:rPr>
          <w:rFonts w:ascii="Times New Roman" w:hAnsi="Times New Roman"/>
          <w:sz w:val="24"/>
          <w:szCs w:val="24"/>
        </w:rPr>
        <w:t xml:space="preserve">  I</w:t>
      </w:r>
      <w:r w:rsidR="00492C5E">
        <w:rPr>
          <w:rFonts w:ascii="Times New Roman" w:hAnsi="Times New Roman"/>
          <w:sz w:val="24"/>
          <w:szCs w:val="24"/>
        </w:rPr>
        <w:t>n addition</w:t>
      </w:r>
      <w:r w:rsidR="00712F10">
        <w:rPr>
          <w:rFonts w:ascii="Times New Roman" w:hAnsi="Times New Roman"/>
          <w:sz w:val="24"/>
          <w:szCs w:val="24"/>
        </w:rPr>
        <w:t>, it may be possible to use this opportunity</w:t>
      </w:r>
      <w:r w:rsidR="00492C5E">
        <w:rPr>
          <w:rFonts w:ascii="Times New Roman" w:hAnsi="Times New Roman"/>
          <w:sz w:val="24"/>
          <w:szCs w:val="24"/>
        </w:rPr>
        <w:t xml:space="preserve"> to </w:t>
      </w:r>
      <w:r w:rsidR="004E6D47">
        <w:rPr>
          <w:rFonts w:ascii="Times New Roman" w:hAnsi="Times New Roman"/>
          <w:sz w:val="24"/>
          <w:szCs w:val="24"/>
        </w:rPr>
        <w:t xml:space="preserve">further </w:t>
      </w:r>
      <w:r w:rsidR="00492C5E">
        <w:rPr>
          <w:rFonts w:ascii="Times New Roman" w:hAnsi="Times New Roman"/>
          <w:sz w:val="24"/>
          <w:szCs w:val="24"/>
        </w:rPr>
        <w:t>align FATCA legislation with the AEOI legislation</w:t>
      </w:r>
      <w:r w:rsidR="004E6D47">
        <w:rPr>
          <w:rFonts w:ascii="Times New Roman" w:hAnsi="Times New Roman"/>
          <w:sz w:val="24"/>
          <w:szCs w:val="24"/>
        </w:rPr>
        <w:t>, as we obtain information about how the regimes (particularly the penalties provisions) are working in practice</w:t>
      </w:r>
      <w:r w:rsidR="00BB4CB1">
        <w:rPr>
          <w:rFonts w:ascii="Times New Roman" w:hAnsi="Times New Roman"/>
          <w:sz w:val="24"/>
          <w:szCs w:val="24"/>
        </w:rPr>
        <w:t>.</w:t>
      </w:r>
    </w:p>
    <w:p w:rsidR="00261CEF" w:rsidRDefault="00261CEF" w:rsidP="007946CC">
      <w:pPr>
        <w:pStyle w:val="Bullet-list"/>
        <w:spacing w:after="0" w:line="240" w:lineRule="auto"/>
        <w:ind w:left="567" w:hanging="567"/>
        <w:jc w:val="both"/>
        <w:rPr>
          <w:rFonts w:ascii="Times New Roman" w:hAnsi="Times New Roman"/>
          <w:sz w:val="24"/>
          <w:szCs w:val="24"/>
        </w:rPr>
      </w:pPr>
    </w:p>
    <w:p w:rsidR="00594805" w:rsidRPr="00E10EAF" w:rsidRDefault="00261CEF" w:rsidP="007946CC">
      <w:pPr>
        <w:pStyle w:val="Bullet-list"/>
        <w:spacing w:after="0" w:line="240" w:lineRule="auto"/>
        <w:ind w:left="567" w:hanging="56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w:instrText>
      </w:r>
      <w:r>
        <w:rPr>
          <w:rFonts w:ascii="Times New Roman" w:hAnsi="Times New Roman"/>
          <w:sz w:val="24"/>
          <w:szCs w:val="24"/>
        </w:rPr>
        <w:fldChar w:fldCharType="end"/>
      </w:r>
      <w:r>
        <w:rPr>
          <w:rFonts w:ascii="Times New Roman" w:hAnsi="Times New Roman"/>
          <w:sz w:val="24"/>
          <w:szCs w:val="24"/>
        </w:rPr>
        <w:tab/>
        <w:t xml:space="preserve">It is not appropriate to make changes to the </w:t>
      </w:r>
      <w:r w:rsidRPr="00261CEF">
        <w:rPr>
          <w:rFonts w:ascii="Times New Roman" w:hAnsi="Times New Roman"/>
          <w:sz w:val="24"/>
          <w:szCs w:val="24"/>
          <w:lang w:val="en-GB"/>
        </w:rPr>
        <w:t xml:space="preserve">FATCA </w:t>
      </w:r>
      <w:r>
        <w:rPr>
          <w:rFonts w:ascii="Times New Roman" w:hAnsi="Times New Roman"/>
          <w:sz w:val="24"/>
          <w:szCs w:val="24"/>
          <w:lang w:val="en-GB"/>
        </w:rPr>
        <w:t>rules as part of the initial AEOI implementation, as AEOI consultation did not specifically seek information on this point.</w:t>
      </w:r>
    </w:p>
    <w:sectPr w:rsidR="00594805" w:rsidRPr="00E10EAF" w:rsidSect="00F65FFA">
      <w:footerReference w:type="even" r:id="rId8"/>
      <w:footerReference w:type="default" r:id="rId9"/>
      <w:pgSz w:w="11907" w:h="16840" w:code="9"/>
      <w:pgMar w:top="1134" w:right="1418" w:bottom="1134" w:left="1418"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0A9" w:rsidRDefault="00CE00A9" w:rsidP="00F72085">
      <w:r>
        <w:separator/>
      </w:r>
    </w:p>
  </w:endnote>
  <w:endnote w:type="continuationSeparator" w:id="0">
    <w:p w:rsidR="00CE00A9" w:rsidRDefault="00CE00A9" w:rsidP="00F7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B1" w:rsidRDefault="005521B1" w:rsidP="0059480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5521B1" w:rsidRPr="00281580" w:rsidRDefault="005521B1" w:rsidP="00594805">
    <w:pPr>
      <w:pStyle w:val="EvenFooter"/>
      <w:rPr>
        <w:caps/>
      </w:rPr>
    </w:pPr>
    <w:r w:rsidRPr="00281580">
      <w:t xml:space="preserve">   |   </w:t>
    </w:r>
    <w:r>
      <w:t>Regulatory Impact Statement - Template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B1" w:rsidRPr="00594805" w:rsidRDefault="005521B1" w:rsidP="00594805">
    <w:pPr>
      <w:pStyle w:val="Footer"/>
      <w:rPr>
        <w:rStyle w:val="PageNumber"/>
        <w:rFonts w:ascii="Times New Roman" w:hAnsi="Times New Roman"/>
        <w:color w:val="auto"/>
        <w:sz w:val="20"/>
        <w:szCs w:val="20"/>
      </w:rPr>
    </w:pPr>
    <w:r w:rsidRPr="00594805">
      <w:rPr>
        <w:rStyle w:val="PageNumber"/>
        <w:rFonts w:ascii="Times New Roman" w:hAnsi="Times New Roman"/>
        <w:color w:val="auto"/>
        <w:sz w:val="20"/>
        <w:szCs w:val="20"/>
      </w:rPr>
      <w:fldChar w:fldCharType="begin"/>
    </w:r>
    <w:r w:rsidRPr="00594805">
      <w:rPr>
        <w:rStyle w:val="PageNumber"/>
        <w:rFonts w:ascii="Times New Roman" w:hAnsi="Times New Roman"/>
        <w:color w:val="auto"/>
        <w:sz w:val="20"/>
        <w:szCs w:val="20"/>
      </w:rPr>
      <w:instrText xml:space="preserve">PAGE  </w:instrText>
    </w:r>
    <w:r w:rsidRPr="00594805">
      <w:rPr>
        <w:rStyle w:val="PageNumber"/>
        <w:rFonts w:ascii="Times New Roman" w:hAnsi="Times New Roman"/>
        <w:color w:val="auto"/>
        <w:sz w:val="20"/>
        <w:szCs w:val="20"/>
      </w:rPr>
      <w:fldChar w:fldCharType="separate"/>
    </w:r>
    <w:r w:rsidR="00E5154B">
      <w:rPr>
        <w:rStyle w:val="PageNumber"/>
        <w:rFonts w:ascii="Times New Roman" w:hAnsi="Times New Roman"/>
        <w:color w:val="auto"/>
        <w:sz w:val="20"/>
        <w:szCs w:val="20"/>
      </w:rPr>
      <w:t>21</w:t>
    </w:r>
    <w:r w:rsidRPr="00594805">
      <w:rPr>
        <w:rStyle w:val="PageNumber"/>
        <w:rFonts w:ascii="Times New Roman" w:hAnsi="Times New Roman"/>
        <w:color w:val="auto"/>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0A9" w:rsidRDefault="00CE00A9" w:rsidP="00F72085">
      <w:r>
        <w:separator/>
      </w:r>
    </w:p>
  </w:footnote>
  <w:footnote w:type="continuationSeparator" w:id="0">
    <w:p w:rsidR="00CE00A9" w:rsidRDefault="00CE00A9" w:rsidP="00F72085">
      <w:r>
        <w:continuationSeparator/>
      </w:r>
    </w:p>
  </w:footnote>
  <w:footnote w:id="1">
    <w:p w:rsidR="005521B1" w:rsidRPr="00135CC4" w:rsidRDefault="005521B1" w:rsidP="00F65FFA">
      <w:pPr>
        <w:pStyle w:val="FootnoteText"/>
        <w:spacing w:after="0"/>
        <w:ind w:left="0" w:firstLine="0"/>
        <w:jc w:val="both"/>
        <w:rPr>
          <w:rFonts w:ascii="Times New Roman" w:hAnsi="Times New Roman"/>
          <w:lang w:val="en-NZ"/>
        </w:rPr>
      </w:pPr>
      <w:r w:rsidRPr="00135CC4">
        <w:rPr>
          <w:rStyle w:val="FootnoteReference"/>
          <w:rFonts w:ascii="Times New Roman" w:hAnsi="Times New Roman"/>
        </w:rPr>
        <w:footnoteRef/>
      </w:r>
      <w:r w:rsidRPr="00135CC4">
        <w:rPr>
          <w:rFonts w:ascii="Times New Roman" w:hAnsi="Times New Roman"/>
        </w:rPr>
        <w:t xml:space="preserve"> </w:t>
      </w:r>
      <w:r w:rsidRPr="00135CC4">
        <w:rPr>
          <w:rFonts w:ascii="Times New Roman" w:hAnsi="Times New Roman"/>
          <w:lang w:val="en-NZ"/>
        </w:rPr>
        <w:t xml:space="preserve">The OECD </w:t>
      </w:r>
      <w:r w:rsidRPr="00135CC4">
        <w:rPr>
          <w:rFonts w:ascii="Times New Roman" w:hAnsi="Times New Roman"/>
          <w:i/>
          <w:lang w:val="en-NZ"/>
        </w:rPr>
        <w:t>Multilateral Competent Authority Agreement on Automatic Exchange of Financial Account Information</w:t>
      </w:r>
      <w:r w:rsidRPr="00135CC4">
        <w:rPr>
          <w:rFonts w:ascii="Times New Roman" w:hAnsi="Times New Roman"/>
          <w:lang w:val="en-NZ"/>
        </w:rPr>
        <w:t xml:space="preserve"> (MCAA)</w:t>
      </w:r>
    </w:p>
  </w:footnote>
  <w:footnote w:id="2">
    <w:p w:rsidR="005521B1" w:rsidRPr="00135CC4" w:rsidRDefault="005521B1" w:rsidP="00F65FFA">
      <w:pPr>
        <w:pStyle w:val="FootnoteText"/>
        <w:spacing w:after="0"/>
        <w:ind w:left="0" w:firstLine="0"/>
        <w:rPr>
          <w:rFonts w:ascii="Times New Roman" w:hAnsi="Times New Roman"/>
          <w:lang w:val="en-NZ"/>
        </w:rPr>
      </w:pPr>
      <w:r w:rsidRPr="00135CC4">
        <w:rPr>
          <w:rStyle w:val="FootnoteReference"/>
          <w:rFonts w:ascii="Times New Roman" w:hAnsi="Times New Roman"/>
        </w:rPr>
        <w:footnoteRef/>
      </w:r>
      <w:r w:rsidRPr="00135CC4">
        <w:rPr>
          <w:rFonts w:ascii="Times New Roman" w:hAnsi="Times New Roman"/>
        </w:rPr>
        <w:t xml:space="preserve"> </w:t>
      </w:r>
      <w:r w:rsidRPr="00135CC4">
        <w:rPr>
          <w:rFonts w:ascii="Times New Roman" w:hAnsi="Times New Roman"/>
          <w:lang w:val="en-NZ"/>
        </w:rPr>
        <w:t>Determining these jurisdictions will be subject to a separate process, as explained at paragraphs 120 and 121 below.</w:t>
      </w:r>
    </w:p>
  </w:footnote>
  <w:footnote w:id="3">
    <w:p w:rsidR="005521B1" w:rsidRPr="00F65FFA" w:rsidRDefault="005521B1" w:rsidP="00F65FFA">
      <w:pPr>
        <w:pStyle w:val="FootnoteText"/>
        <w:spacing w:after="0"/>
        <w:ind w:left="0" w:firstLine="0"/>
        <w:jc w:val="both"/>
        <w:rPr>
          <w:rFonts w:ascii="Times New Roman" w:hAnsi="Times New Roman"/>
          <w:lang w:val="en-NZ"/>
        </w:rPr>
      </w:pPr>
      <w:r w:rsidRPr="00135CC4">
        <w:rPr>
          <w:rStyle w:val="FootnoteReference"/>
          <w:rFonts w:ascii="Times New Roman" w:hAnsi="Times New Roman"/>
        </w:rPr>
        <w:footnoteRef/>
      </w:r>
      <w:r w:rsidRPr="00135CC4">
        <w:rPr>
          <w:rFonts w:ascii="Times New Roman" w:hAnsi="Times New Roman"/>
        </w:rPr>
        <w:t xml:space="preserve"> </w:t>
      </w:r>
      <w:r w:rsidRPr="00135CC4">
        <w:rPr>
          <w:rFonts w:ascii="Times New Roman" w:hAnsi="Times New Roman"/>
          <w:lang w:val="en-NZ"/>
        </w:rPr>
        <w:t xml:space="preserve">AEOI </w:t>
      </w:r>
      <w:r w:rsidRPr="00135CC4">
        <w:rPr>
          <w:rFonts w:ascii="Times New Roman" w:hAnsi="Times New Roman"/>
        </w:rPr>
        <w:t>forms part of the wider picture of a focus on cross-border tax compliance, both internationally (f</w:t>
      </w:r>
      <w:r w:rsidRPr="00135CC4">
        <w:rPr>
          <w:rFonts w:ascii="Times New Roman" w:hAnsi="Times New Roman"/>
          <w:lang w:val="en-NZ"/>
        </w:rPr>
        <w:t>or example, the G20/OECD Base Erosion and Profit Shifting (BEPS) initiative which primarily relates to multinational enterprises) and domestically (for example, GST and online shopping).</w:t>
      </w:r>
    </w:p>
  </w:footnote>
  <w:footnote w:id="4">
    <w:p w:rsidR="005521B1" w:rsidRPr="00612AB9" w:rsidRDefault="005521B1" w:rsidP="00F65FFA">
      <w:pPr>
        <w:pStyle w:val="FootnoteText"/>
        <w:tabs>
          <w:tab w:val="clear" w:pos="425"/>
        </w:tabs>
        <w:spacing w:after="0"/>
        <w:ind w:left="0" w:firstLine="0"/>
        <w:jc w:val="both"/>
        <w:rPr>
          <w:rFonts w:ascii="Times New Roman" w:hAnsi="Times New Roman"/>
          <w:lang w:val="en-NZ"/>
        </w:rPr>
      </w:pPr>
      <w:r w:rsidRPr="00612AB9">
        <w:rPr>
          <w:rStyle w:val="FootnoteReference"/>
          <w:rFonts w:ascii="Times New Roman" w:hAnsi="Times New Roman"/>
        </w:rPr>
        <w:footnoteRef/>
      </w:r>
      <w:r w:rsidRPr="00612AB9">
        <w:rPr>
          <w:rFonts w:ascii="Times New Roman" w:hAnsi="Times New Roman"/>
        </w:rPr>
        <w:t xml:space="preserve"> Many of these jurisdictions may nevertheless implement AEOI.  In the main, they are smaller developing countries.  International organisations concerned with implementing the global </w:t>
      </w:r>
      <w:r w:rsidRPr="00612AB9">
        <w:rPr>
          <w:rFonts w:ascii="Times New Roman" w:hAnsi="Times New Roman"/>
          <w:i/>
        </w:rPr>
        <w:t>Post-2015 Development</w:t>
      </w:r>
      <w:r w:rsidRPr="00612AB9">
        <w:rPr>
          <w:rFonts w:ascii="Times New Roman" w:hAnsi="Times New Roman"/>
        </w:rPr>
        <w:t xml:space="preserve"> and </w:t>
      </w:r>
      <w:r w:rsidRPr="00612AB9">
        <w:rPr>
          <w:rFonts w:ascii="Times New Roman" w:hAnsi="Times New Roman"/>
          <w:i/>
        </w:rPr>
        <w:t>Financing for Development</w:t>
      </w:r>
      <w:r w:rsidRPr="00612AB9">
        <w:rPr>
          <w:rFonts w:ascii="Times New Roman" w:hAnsi="Times New Roman"/>
        </w:rPr>
        <w:t xml:space="preserve"> agendas are factoring AEOI implementation into their work programmes, as a key aspect of the ‘domestic resource mobilisation’ element of that agenda.</w:t>
      </w:r>
    </w:p>
  </w:footnote>
  <w:footnote w:id="5">
    <w:p w:rsidR="005521B1" w:rsidRPr="00654765" w:rsidRDefault="005521B1" w:rsidP="00F65FFA">
      <w:pPr>
        <w:pStyle w:val="FootnoteText"/>
        <w:spacing w:after="0"/>
        <w:ind w:left="0" w:firstLine="0"/>
        <w:jc w:val="both"/>
        <w:rPr>
          <w:rFonts w:ascii="Times New Roman" w:hAnsi="Times New Roman"/>
          <w:lang w:val="en-NZ"/>
        </w:rPr>
      </w:pPr>
      <w:r w:rsidRPr="00654765">
        <w:rPr>
          <w:rStyle w:val="FootnoteReference"/>
          <w:rFonts w:ascii="Times New Roman" w:hAnsi="Times New Roman"/>
        </w:rPr>
        <w:footnoteRef/>
      </w:r>
      <w:r w:rsidRPr="00654765">
        <w:rPr>
          <w:rFonts w:ascii="Times New Roman" w:hAnsi="Times New Roman"/>
        </w:rPr>
        <w:t xml:space="preserve"> </w:t>
      </w:r>
      <w:r w:rsidRPr="00654765">
        <w:rPr>
          <w:rFonts w:ascii="Times New Roman" w:hAnsi="Times New Roman"/>
          <w:lang w:val="en-NZ"/>
        </w:rPr>
        <w:t>Note that the option of a ‘wider approach’, which would capture non-residents from all jurisdictions, not just those in jurisdictions we will exchange information with is elaborated on below in this report.</w:t>
      </w:r>
    </w:p>
  </w:footnote>
  <w:footnote w:id="6">
    <w:p w:rsidR="005521B1" w:rsidRPr="006B7BB1" w:rsidRDefault="005521B1" w:rsidP="00F65FFA">
      <w:pPr>
        <w:pStyle w:val="FootnoteText"/>
        <w:spacing w:after="0"/>
        <w:ind w:left="0" w:firstLine="0"/>
        <w:jc w:val="both"/>
        <w:rPr>
          <w:rStyle w:val="FootnoteReference"/>
          <w:rFonts w:ascii="Times New Roman" w:hAnsi="Times New Roman"/>
        </w:rPr>
      </w:pPr>
      <w:r w:rsidRPr="00654765">
        <w:rPr>
          <w:rStyle w:val="FootnoteReference"/>
          <w:rFonts w:ascii="Times New Roman" w:hAnsi="Times New Roman"/>
        </w:rPr>
        <w:footnoteRef/>
      </w:r>
      <w:r w:rsidRPr="00654765">
        <w:rPr>
          <w:rFonts w:ascii="Times New Roman" w:hAnsi="Times New Roman"/>
          <w:lang w:val="en-NZ"/>
        </w:rPr>
        <w:t xml:space="preserve"> The reference here to ‘citizens’ is a key point of difference from AEOI.  AEOI only applies to tax residents, reflecting the fact that most countries only tax the worldwide income of persons who are tax resident.  The US, however, also applies this approach to citizens, regardless of whether they are also tax residents of the US.</w:t>
      </w:r>
      <w:r w:rsidRPr="002357E2">
        <w:rPr>
          <w:lang w:val="en-NZ"/>
        </w:rPr>
        <w:t xml:space="preserve"> </w:t>
      </w:r>
    </w:p>
  </w:footnote>
  <w:footnote w:id="7">
    <w:p w:rsidR="005521B1" w:rsidRPr="003A2C94" w:rsidRDefault="005521B1" w:rsidP="00A72D22">
      <w:pPr>
        <w:pStyle w:val="FootnoteText"/>
        <w:spacing w:after="0"/>
        <w:ind w:left="0" w:firstLine="0"/>
        <w:rPr>
          <w:rFonts w:ascii="Times New Roman" w:hAnsi="Times New Roman"/>
          <w:lang w:val="en-NZ"/>
        </w:rPr>
      </w:pPr>
      <w:r w:rsidRPr="003A2C94">
        <w:rPr>
          <w:rStyle w:val="FootnoteReference"/>
          <w:rFonts w:ascii="Times New Roman" w:hAnsi="Times New Roman"/>
        </w:rPr>
        <w:footnoteRef/>
      </w:r>
      <w:r w:rsidRPr="003A2C94">
        <w:rPr>
          <w:rFonts w:ascii="Times New Roman" w:hAnsi="Times New Roman"/>
        </w:rPr>
        <w:t xml:space="preserve"> </w:t>
      </w:r>
      <w:r w:rsidRPr="003A2C94">
        <w:rPr>
          <w:rFonts w:ascii="Times New Roman" w:hAnsi="Times New Roman"/>
          <w:lang w:val="en-NZ"/>
        </w:rPr>
        <w:t>As noted, AEOI due diligence depends to a significant degree on information obtained for AML/CFT purposes.  However, there are gaps where AEOI due diligence obligations go beyond AML/CFT requirements.</w:t>
      </w:r>
    </w:p>
  </w:footnote>
  <w:footnote w:id="8">
    <w:p w:rsidR="005521B1" w:rsidRPr="003A2C94" w:rsidRDefault="005521B1" w:rsidP="003946E7">
      <w:pPr>
        <w:pStyle w:val="FootnoteText"/>
        <w:spacing w:after="0"/>
        <w:ind w:left="0" w:firstLine="0"/>
        <w:rPr>
          <w:rFonts w:ascii="Times New Roman" w:hAnsi="Times New Roman"/>
          <w:lang w:val="en-NZ"/>
        </w:rPr>
      </w:pPr>
      <w:r w:rsidRPr="003A2C94">
        <w:rPr>
          <w:rStyle w:val="FootnoteReference"/>
          <w:rFonts w:ascii="Times New Roman" w:hAnsi="Times New Roman"/>
        </w:rPr>
        <w:footnoteRef/>
      </w:r>
      <w:r w:rsidRPr="003A2C94">
        <w:rPr>
          <w:rFonts w:ascii="Times New Roman" w:hAnsi="Times New Roman"/>
        </w:rPr>
        <w:t xml:space="preserve"> </w:t>
      </w:r>
      <w:r>
        <w:rPr>
          <w:rFonts w:ascii="Times New Roman" w:hAnsi="Times New Roman"/>
        </w:rPr>
        <w:t xml:space="preserve">We note, </w:t>
      </w:r>
      <w:r w:rsidRPr="003A2C94">
        <w:rPr>
          <w:rFonts w:ascii="Times New Roman" w:hAnsi="Times New Roman"/>
          <w:lang w:val="en-NZ"/>
        </w:rPr>
        <w:t xml:space="preserve">however, that </w:t>
      </w:r>
      <w:r>
        <w:rPr>
          <w:rFonts w:ascii="Times New Roman" w:hAnsi="Times New Roman"/>
          <w:lang w:val="en-NZ"/>
        </w:rPr>
        <w:t xml:space="preserve">although </w:t>
      </w:r>
      <w:r w:rsidRPr="003A2C94">
        <w:rPr>
          <w:rFonts w:ascii="Times New Roman" w:hAnsi="Times New Roman"/>
          <w:lang w:val="en-NZ"/>
        </w:rPr>
        <w:t>Australia has opted to make the wider approach mandatory in all cases, New Zealand will allow the wider approach to be optional in the case of reporting.</w:t>
      </w:r>
    </w:p>
  </w:footnote>
  <w:footnote w:id="9">
    <w:p w:rsidR="005521B1" w:rsidRPr="004E6D47" w:rsidRDefault="005521B1">
      <w:pPr>
        <w:pStyle w:val="FootnoteText"/>
        <w:rPr>
          <w:lang w:val="en-NZ"/>
        </w:rPr>
      </w:pPr>
      <w:r w:rsidRPr="003946E7">
        <w:rPr>
          <w:rStyle w:val="FootnoteReference"/>
          <w:rFonts w:ascii="Times New Roman" w:hAnsi="Times New Roman"/>
        </w:rPr>
        <w:footnoteRef/>
      </w:r>
      <w:r w:rsidRPr="003946E7">
        <w:rPr>
          <w:rFonts w:ascii="Times New Roman" w:hAnsi="Times New Roman"/>
        </w:rPr>
        <w:t xml:space="preserve"> In broad terms, financial institutions need to carry out more extensive due diligence procedures for high value accounts.</w:t>
      </w:r>
    </w:p>
  </w:footnote>
  <w:footnote w:id="10">
    <w:p w:rsidR="005521B1" w:rsidRPr="00971963" w:rsidRDefault="005521B1" w:rsidP="00F65FFA">
      <w:pPr>
        <w:pStyle w:val="FootnoteText"/>
        <w:spacing w:after="0"/>
        <w:ind w:left="0" w:firstLine="0"/>
        <w:jc w:val="both"/>
        <w:rPr>
          <w:rFonts w:ascii="Times New Roman" w:hAnsi="Times New Roman"/>
          <w:lang w:val="en-NZ"/>
        </w:rPr>
      </w:pPr>
      <w:r w:rsidRPr="00DA6AAC">
        <w:rPr>
          <w:rStyle w:val="FootnoteReference"/>
          <w:rFonts w:ascii="Times New Roman" w:hAnsi="Times New Roman"/>
        </w:rPr>
        <w:footnoteRef/>
      </w:r>
      <w:r w:rsidRPr="00DA6AAC">
        <w:rPr>
          <w:rFonts w:ascii="Times New Roman" w:hAnsi="Times New Roman"/>
        </w:rPr>
        <w:t xml:space="preserve"> </w:t>
      </w:r>
      <w:r w:rsidRPr="00DA6AAC">
        <w:rPr>
          <w:rFonts w:ascii="Times New Roman" w:hAnsi="Times New Roman"/>
          <w:lang w:val="en-NZ"/>
        </w:rPr>
        <w:t xml:space="preserve">The CRS commentary is clear that there is an expectation that implementing jurisdictions will have robust provisions in </w:t>
      </w:r>
      <w:r w:rsidRPr="00971963">
        <w:rPr>
          <w:rFonts w:ascii="Times New Roman" w:hAnsi="Times New Roman"/>
          <w:lang w:val="en-NZ"/>
        </w:rPr>
        <w:t>place to ensure that self-certifications are always obtained for new accounts.</w:t>
      </w:r>
    </w:p>
  </w:footnote>
  <w:footnote w:id="11">
    <w:p w:rsidR="005521B1" w:rsidRPr="00F65FFA" w:rsidRDefault="005521B1" w:rsidP="00F65FFA">
      <w:pPr>
        <w:pStyle w:val="FootnoteText"/>
        <w:ind w:left="0" w:firstLine="0"/>
        <w:rPr>
          <w:rFonts w:ascii="Times New Roman" w:hAnsi="Times New Roman"/>
          <w:lang w:val="en-NZ"/>
        </w:rPr>
      </w:pPr>
      <w:r w:rsidRPr="00DA6AAC">
        <w:rPr>
          <w:rStyle w:val="FootnoteReference"/>
          <w:rFonts w:ascii="Times New Roman" w:hAnsi="Times New Roman"/>
        </w:rPr>
        <w:footnoteRef/>
      </w:r>
      <w:r w:rsidRPr="00DA6AAC">
        <w:rPr>
          <w:rFonts w:ascii="Times New Roman" w:hAnsi="Times New Roman"/>
        </w:rPr>
        <w:t xml:space="preserve"> </w:t>
      </w:r>
      <w:r w:rsidRPr="00DA6AAC">
        <w:rPr>
          <w:rFonts w:ascii="Times New Roman" w:hAnsi="Times New Roman"/>
          <w:lang w:val="en-NZ"/>
        </w:rPr>
        <w:t>Note that, during the global implementation phase, a transitional period will apply during which jurisdictions that have committed to implementing AEOI will be treated as participating jurisdictions.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2C8"/>
    <w:multiLevelType w:val="multilevel"/>
    <w:tmpl w:val="B2DA03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3C6EC8"/>
    <w:multiLevelType w:val="hybridMultilevel"/>
    <w:tmpl w:val="7F4C066C"/>
    <w:lvl w:ilvl="0" w:tplc="14090003">
      <w:start w:val="1"/>
      <w:numFmt w:val="bullet"/>
      <w:lvlText w:val="o"/>
      <w:lvlJc w:val="left"/>
      <w:pPr>
        <w:ind w:left="1854" w:hanging="360"/>
      </w:pPr>
      <w:rPr>
        <w:rFonts w:ascii="Courier New" w:hAnsi="Courier New" w:cs="Courier New"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
    <w:nsid w:val="0A656555"/>
    <w:multiLevelType w:val="hybridMultilevel"/>
    <w:tmpl w:val="7D7A40F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4">
    <w:nsid w:val="335F0215"/>
    <w:multiLevelType w:val="hybridMultilevel"/>
    <w:tmpl w:val="51F81936"/>
    <w:lvl w:ilvl="0" w:tplc="A89AB082">
      <w:start w:val="1"/>
      <w:numFmt w:val="decimal"/>
      <w:pStyle w:val="Numberparagraph"/>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AED498D"/>
    <w:multiLevelType w:val="hybridMultilevel"/>
    <w:tmpl w:val="BAF4CFB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6EA4D42"/>
    <w:multiLevelType w:val="hybridMultilevel"/>
    <w:tmpl w:val="33383CC8"/>
    <w:lvl w:ilvl="0" w:tplc="14090001">
      <w:start w:val="1"/>
      <w:numFmt w:val="bullet"/>
      <w:lvlText w:val=""/>
      <w:lvlJc w:val="left"/>
      <w:pPr>
        <w:ind w:left="1494" w:hanging="360"/>
      </w:pPr>
      <w:rPr>
        <w:rFonts w:ascii="Symbol" w:hAnsi="Symbol"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7">
    <w:nsid w:val="494E7FCF"/>
    <w:multiLevelType w:val="hybridMultilevel"/>
    <w:tmpl w:val="F67EE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A4C325A"/>
    <w:multiLevelType w:val="hybridMultilevel"/>
    <w:tmpl w:val="DEFC1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76AE433F"/>
    <w:multiLevelType w:val="hybridMultilevel"/>
    <w:tmpl w:val="AE9895D4"/>
    <w:lvl w:ilvl="0" w:tplc="42842DE2">
      <w:numFmt w:val="bullet"/>
      <w:lvlText w:val=""/>
      <w:lvlJc w:val="left"/>
      <w:pPr>
        <w:ind w:left="1494" w:hanging="360"/>
      </w:pPr>
      <w:rPr>
        <w:rFonts w:ascii="Wingdings 2" w:eastAsia="Times New Roman" w:hAnsi="Wingdings 2" w:cs="Times New Roman"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10">
    <w:nsid w:val="79115C5D"/>
    <w:multiLevelType w:val="hybridMultilevel"/>
    <w:tmpl w:val="5F98DD9C"/>
    <w:lvl w:ilvl="0" w:tplc="0590ADFE">
      <w:numFmt w:val="bullet"/>
      <w:lvlText w:val=""/>
      <w:lvlJc w:val="left"/>
      <w:pPr>
        <w:ind w:left="1494" w:hanging="360"/>
      </w:pPr>
      <w:rPr>
        <w:rFonts w:ascii="Wingdings 2" w:eastAsia="Times New Roman" w:hAnsi="Wingdings 2" w:cs="Times New Roman"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num w:numId="1">
    <w:abstractNumId w:val="3"/>
  </w:num>
  <w:num w:numId="2">
    <w:abstractNumId w:val="2"/>
  </w:num>
  <w:num w:numId="3">
    <w:abstractNumId w:val="8"/>
  </w:num>
  <w:num w:numId="4">
    <w:abstractNumId w:val="7"/>
  </w:num>
  <w:num w:numId="5">
    <w:abstractNumId w:val="6"/>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9"/>
  </w:num>
  <w:num w:numId="13">
    <w:abstractNumId w:val="5"/>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fillcolor="white" stroke="f">
      <v:fill color="white" opacity="0"/>
      <v:stroke on="f"/>
      <o:colormru v:ext="edit" colors="#ddd,#cfcfcf,#cacaca,#66f,blue,#ccd3e1,#002469,#335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15"/>
    <w:rsid w:val="00001539"/>
    <w:rsid w:val="000023B3"/>
    <w:rsid w:val="00002433"/>
    <w:rsid w:val="000037F4"/>
    <w:rsid w:val="00004720"/>
    <w:rsid w:val="00004A8A"/>
    <w:rsid w:val="00005DC9"/>
    <w:rsid w:val="00010986"/>
    <w:rsid w:val="00010F7D"/>
    <w:rsid w:val="00012338"/>
    <w:rsid w:val="00013A18"/>
    <w:rsid w:val="00014196"/>
    <w:rsid w:val="000147DC"/>
    <w:rsid w:val="00015072"/>
    <w:rsid w:val="00016722"/>
    <w:rsid w:val="0002068B"/>
    <w:rsid w:val="000232EB"/>
    <w:rsid w:val="00023BAB"/>
    <w:rsid w:val="00023EA6"/>
    <w:rsid w:val="00024B22"/>
    <w:rsid w:val="0002568E"/>
    <w:rsid w:val="00025954"/>
    <w:rsid w:val="00030890"/>
    <w:rsid w:val="00030DEA"/>
    <w:rsid w:val="00033950"/>
    <w:rsid w:val="000343E7"/>
    <w:rsid w:val="00035185"/>
    <w:rsid w:val="00036A3D"/>
    <w:rsid w:val="00036EE4"/>
    <w:rsid w:val="00041469"/>
    <w:rsid w:val="00041CD1"/>
    <w:rsid w:val="0004221C"/>
    <w:rsid w:val="000431FE"/>
    <w:rsid w:val="000435AD"/>
    <w:rsid w:val="00045AFC"/>
    <w:rsid w:val="00046F46"/>
    <w:rsid w:val="00047559"/>
    <w:rsid w:val="000523FC"/>
    <w:rsid w:val="000526E4"/>
    <w:rsid w:val="00053C62"/>
    <w:rsid w:val="0005434D"/>
    <w:rsid w:val="000545DC"/>
    <w:rsid w:val="0005503E"/>
    <w:rsid w:val="00055373"/>
    <w:rsid w:val="00055D70"/>
    <w:rsid w:val="00056263"/>
    <w:rsid w:val="00056E3D"/>
    <w:rsid w:val="00056F77"/>
    <w:rsid w:val="0005761E"/>
    <w:rsid w:val="00057AC4"/>
    <w:rsid w:val="000606D4"/>
    <w:rsid w:val="00060712"/>
    <w:rsid w:val="00060AAB"/>
    <w:rsid w:val="00060CD3"/>
    <w:rsid w:val="000655B2"/>
    <w:rsid w:val="00070193"/>
    <w:rsid w:val="00073A19"/>
    <w:rsid w:val="00073EDA"/>
    <w:rsid w:val="00073F31"/>
    <w:rsid w:val="000745D3"/>
    <w:rsid w:val="00074B13"/>
    <w:rsid w:val="00074D02"/>
    <w:rsid w:val="0007562B"/>
    <w:rsid w:val="00080CE0"/>
    <w:rsid w:val="00080DE3"/>
    <w:rsid w:val="0008167F"/>
    <w:rsid w:val="00082653"/>
    <w:rsid w:val="00082ABC"/>
    <w:rsid w:val="00083ADB"/>
    <w:rsid w:val="00084AC0"/>
    <w:rsid w:val="00085660"/>
    <w:rsid w:val="00086007"/>
    <w:rsid w:val="000863E2"/>
    <w:rsid w:val="00086898"/>
    <w:rsid w:val="0008712F"/>
    <w:rsid w:val="00087C41"/>
    <w:rsid w:val="00095446"/>
    <w:rsid w:val="000959C1"/>
    <w:rsid w:val="00096BFA"/>
    <w:rsid w:val="00097CEA"/>
    <w:rsid w:val="000A073E"/>
    <w:rsid w:val="000A20D1"/>
    <w:rsid w:val="000A39F4"/>
    <w:rsid w:val="000A43F8"/>
    <w:rsid w:val="000A4419"/>
    <w:rsid w:val="000B005C"/>
    <w:rsid w:val="000B01CC"/>
    <w:rsid w:val="000B0480"/>
    <w:rsid w:val="000B0615"/>
    <w:rsid w:val="000B0C12"/>
    <w:rsid w:val="000B0D42"/>
    <w:rsid w:val="000B16BF"/>
    <w:rsid w:val="000B178F"/>
    <w:rsid w:val="000B2052"/>
    <w:rsid w:val="000B3456"/>
    <w:rsid w:val="000B5B1E"/>
    <w:rsid w:val="000C0912"/>
    <w:rsid w:val="000C2669"/>
    <w:rsid w:val="000C26E9"/>
    <w:rsid w:val="000C3EB5"/>
    <w:rsid w:val="000C43B6"/>
    <w:rsid w:val="000C684B"/>
    <w:rsid w:val="000C6EED"/>
    <w:rsid w:val="000C79FD"/>
    <w:rsid w:val="000D012A"/>
    <w:rsid w:val="000D0ED0"/>
    <w:rsid w:val="000D0FA0"/>
    <w:rsid w:val="000D2215"/>
    <w:rsid w:val="000D2A6B"/>
    <w:rsid w:val="000D31FE"/>
    <w:rsid w:val="000D4834"/>
    <w:rsid w:val="000D5E01"/>
    <w:rsid w:val="000D6393"/>
    <w:rsid w:val="000D670A"/>
    <w:rsid w:val="000D77C0"/>
    <w:rsid w:val="000D7C12"/>
    <w:rsid w:val="000E0036"/>
    <w:rsid w:val="000E310A"/>
    <w:rsid w:val="000E3979"/>
    <w:rsid w:val="000E3A49"/>
    <w:rsid w:val="000E3CE1"/>
    <w:rsid w:val="000E73FF"/>
    <w:rsid w:val="000E7C1C"/>
    <w:rsid w:val="000F03B0"/>
    <w:rsid w:val="000F162C"/>
    <w:rsid w:val="000F2066"/>
    <w:rsid w:val="000F3333"/>
    <w:rsid w:val="000F6F99"/>
    <w:rsid w:val="000F7020"/>
    <w:rsid w:val="00101A24"/>
    <w:rsid w:val="00102343"/>
    <w:rsid w:val="00107000"/>
    <w:rsid w:val="00113146"/>
    <w:rsid w:val="00114F56"/>
    <w:rsid w:val="001158BA"/>
    <w:rsid w:val="00115B76"/>
    <w:rsid w:val="00116006"/>
    <w:rsid w:val="00116B51"/>
    <w:rsid w:val="0012410B"/>
    <w:rsid w:val="00125812"/>
    <w:rsid w:val="00125ADD"/>
    <w:rsid w:val="0012655E"/>
    <w:rsid w:val="00126CD1"/>
    <w:rsid w:val="00127757"/>
    <w:rsid w:val="00130E8F"/>
    <w:rsid w:val="001336E3"/>
    <w:rsid w:val="001339BB"/>
    <w:rsid w:val="00135CC4"/>
    <w:rsid w:val="00136EED"/>
    <w:rsid w:val="00141B20"/>
    <w:rsid w:val="00141D39"/>
    <w:rsid w:val="00142051"/>
    <w:rsid w:val="0014306D"/>
    <w:rsid w:val="00143437"/>
    <w:rsid w:val="00144369"/>
    <w:rsid w:val="00144ADC"/>
    <w:rsid w:val="00144BBB"/>
    <w:rsid w:val="00146FC1"/>
    <w:rsid w:val="00150932"/>
    <w:rsid w:val="00152D49"/>
    <w:rsid w:val="00157E18"/>
    <w:rsid w:val="00161022"/>
    <w:rsid w:val="00161358"/>
    <w:rsid w:val="001620EB"/>
    <w:rsid w:val="00162F09"/>
    <w:rsid w:val="00163D03"/>
    <w:rsid w:val="0016538E"/>
    <w:rsid w:val="00166A7A"/>
    <w:rsid w:val="00166C49"/>
    <w:rsid w:val="001674EB"/>
    <w:rsid w:val="00167EE1"/>
    <w:rsid w:val="001705C4"/>
    <w:rsid w:val="00171172"/>
    <w:rsid w:val="00171281"/>
    <w:rsid w:val="001712D6"/>
    <w:rsid w:val="001726B0"/>
    <w:rsid w:val="00172BBC"/>
    <w:rsid w:val="00175644"/>
    <w:rsid w:val="001767C7"/>
    <w:rsid w:val="001800AF"/>
    <w:rsid w:val="00180A3B"/>
    <w:rsid w:val="00180AFC"/>
    <w:rsid w:val="00180BD5"/>
    <w:rsid w:val="00180D17"/>
    <w:rsid w:val="00183D99"/>
    <w:rsid w:val="00183EB1"/>
    <w:rsid w:val="00184219"/>
    <w:rsid w:val="00185884"/>
    <w:rsid w:val="00186EBC"/>
    <w:rsid w:val="001901C1"/>
    <w:rsid w:val="00190331"/>
    <w:rsid w:val="0019141D"/>
    <w:rsid w:val="0019180F"/>
    <w:rsid w:val="00191B67"/>
    <w:rsid w:val="00191EEC"/>
    <w:rsid w:val="00194873"/>
    <w:rsid w:val="00194B8A"/>
    <w:rsid w:val="00194CF9"/>
    <w:rsid w:val="00197273"/>
    <w:rsid w:val="00197454"/>
    <w:rsid w:val="001A13C8"/>
    <w:rsid w:val="001A1C61"/>
    <w:rsid w:val="001A1DFB"/>
    <w:rsid w:val="001A4D2C"/>
    <w:rsid w:val="001A5694"/>
    <w:rsid w:val="001A5BEE"/>
    <w:rsid w:val="001B0726"/>
    <w:rsid w:val="001B0A7A"/>
    <w:rsid w:val="001B0DF0"/>
    <w:rsid w:val="001B1A87"/>
    <w:rsid w:val="001B1BDF"/>
    <w:rsid w:val="001B24D5"/>
    <w:rsid w:val="001B2869"/>
    <w:rsid w:val="001B3F6D"/>
    <w:rsid w:val="001B3F81"/>
    <w:rsid w:val="001B4E6C"/>
    <w:rsid w:val="001B54FC"/>
    <w:rsid w:val="001B7122"/>
    <w:rsid w:val="001C0CF6"/>
    <w:rsid w:val="001C2214"/>
    <w:rsid w:val="001C2524"/>
    <w:rsid w:val="001C41C2"/>
    <w:rsid w:val="001C6912"/>
    <w:rsid w:val="001D0A46"/>
    <w:rsid w:val="001D22ED"/>
    <w:rsid w:val="001D3440"/>
    <w:rsid w:val="001D37FB"/>
    <w:rsid w:val="001D4D62"/>
    <w:rsid w:val="001D53A8"/>
    <w:rsid w:val="001D7325"/>
    <w:rsid w:val="001E12C8"/>
    <w:rsid w:val="001E1A8F"/>
    <w:rsid w:val="001E6AFE"/>
    <w:rsid w:val="001F0773"/>
    <w:rsid w:val="001F0DD3"/>
    <w:rsid w:val="001F1711"/>
    <w:rsid w:val="001F1A2D"/>
    <w:rsid w:val="001F1FFD"/>
    <w:rsid w:val="001F21CB"/>
    <w:rsid w:val="001F6750"/>
    <w:rsid w:val="00200311"/>
    <w:rsid w:val="002008D1"/>
    <w:rsid w:val="00202E20"/>
    <w:rsid w:val="002036AA"/>
    <w:rsid w:val="00203789"/>
    <w:rsid w:val="00204A66"/>
    <w:rsid w:val="00205334"/>
    <w:rsid w:val="00205C33"/>
    <w:rsid w:val="00213B41"/>
    <w:rsid w:val="00214433"/>
    <w:rsid w:val="00216A85"/>
    <w:rsid w:val="00216DB5"/>
    <w:rsid w:val="00216F08"/>
    <w:rsid w:val="00217A19"/>
    <w:rsid w:val="00221E4D"/>
    <w:rsid w:val="00222CA5"/>
    <w:rsid w:val="00223298"/>
    <w:rsid w:val="00224A1F"/>
    <w:rsid w:val="00224BD6"/>
    <w:rsid w:val="00225396"/>
    <w:rsid w:val="002253E9"/>
    <w:rsid w:val="0022551A"/>
    <w:rsid w:val="002258FC"/>
    <w:rsid w:val="00226226"/>
    <w:rsid w:val="00227D78"/>
    <w:rsid w:val="00227FE4"/>
    <w:rsid w:val="002317B4"/>
    <w:rsid w:val="002331A0"/>
    <w:rsid w:val="00233A96"/>
    <w:rsid w:val="00233DC9"/>
    <w:rsid w:val="0023447D"/>
    <w:rsid w:val="002357E2"/>
    <w:rsid w:val="0023708B"/>
    <w:rsid w:val="00237318"/>
    <w:rsid w:val="00237FE9"/>
    <w:rsid w:val="0024128C"/>
    <w:rsid w:val="00241979"/>
    <w:rsid w:val="00245DA0"/>
    <w:rsid w:val="00246C9C"/>
    <w:rsid w:val="00247ADA"/>
    <w:rsid w:val="00251406"/>
    <w:rsid w:val="00251F55"/>
    <w:rsid w:val="00257836"/>
    <w:rsid w:val="00260D29"/>
    <w:rsid w:val="00261CEF"/>
    <w:rsid w:val="00264EEE"/>
    <w:rsid w:val="0026530E"/>
    <w:rsid w:val="00265DED"/>
    <w:rsid w:val="00265E6C"/>
    <w:rsid w:val="00266A30"/>
    <w:rsid w:val="0026794D"/>
    <w:rsid w:val="00267FAB"/>
    <w:rsid w:val="00270456"/>
    <w:rsid w:val="00270CAF"/>
    <w:rsid w:val="002712C8"/>
    <w:rsid w:val="002719ED"/>
    <w:rsid w:val="00271EB7"/>
    <w:rsid w:val="0027239E"/>
    <w:rsid w:val="00272E82"/>
    <w:rsid w:val="00273D5C"/>
    <w:rsid w:val="00273ECF"/>
    <w:rsid w:val="00275209"/>
    <w:rsid w:val="0027527B"/>
    <w:rsid w:val="00275B26"/>
    <w:rsid w:val="0027706F"/>
    <w:rsid w:val="00280350"/>
    <w:rsid w:val="00281580"/>
    <w:rsid w:val="00282DD1"/>
    <w:rsid w:val="00283259"/>
    <w:rsid w:val="00283AFA"/>
    <w:rsid w:val="00283D22"/>
    <w:rsid w:val="00287942"/>
    <w:rsid w:val="0029150E"/>
    <w:rsid w:val="00292783"/>
    <w:rsid w:val="0029399F"/>
    <w:rsid w:val="00293E21"/>
    <w:rsid w:val="00295264"/>
    <w:rsid w:val="002956D5"/>
    <w:rsid w:val="00295DFA"/>
    <w:rsid w:val="00296404"/>
    <w:rsid w:val="0029649F"/>
    <w:rsid w:val="002A05D3"/>
    <w:rsid w:val="002A06C6"/>
    <w:rsid w:val="002A107A"/>
    <w:rsid w:val="002A35F4"/>
    <w:rsid w:val="002A535E"/>
    <w:rsid w:val="002A5881"/>
    <w:rsid w:val="002A5E7A"/>
    <w:rsid w:val="002B0025"/>
    <w:rsid w:val="002B0801"/>
    <w:rsid w:val="002B0A3F"/>
    <w:rsid w:val="002B0EE8"/>
    <w:rsid w:val="002B5324"/>
    <w:rsid w:val="002B56E7"/>
    <w:rsid w:val="002B5823"/>
    <w:rsid w:val="002B733A"/>
    <w:rsid w:val="002B7F4A"/>
    <w:rsid w:val="002C003D"/>
    <w:rsid w:val="002C0074"/>
    <w:rsid w:val="002C097E"/>
    <w:rsid w:val="002C1FC7"/>
    <w:rsid w:val="002C2315"/>
    <w:rsid w:val="002C301D"/>
    <w:rsid w:val="002C3999"/>
    <w:rsid w:val="002C4A38"/>
    <w:rsid w:val="002C65B8"/>
    <w:rsid w:val="002C734D"/>
    <w:rsid w:val="002C744C"/>
    <w:rsid w:val="002D01BF"/>
    <w:rsid w:val="002D0FAA"/>
    <w:rsid w:val="002D3E81"/>
    <w:rsid w:val="002D4AC3"/>
    <w:rsid w:val="002D52A0"/>
    <w:rsid w:val="002D6691"/>
    <w:rsid w:val="002D6C66"/>
    <w:rsid w:val="002E0169"/>
    <w:rsid w:val="002E062E"/>
    <w:rsid w:val="002E1226"/>
    <w:rsid w:val="002E1D30"/>
    <w:rsid w:val="002E2678"/>
    <w:rsid w:val="002E28C6"/>
    <w:rsid w:val="002E4DB3"/>
    <w:rsid w:val="002E6B3F"/>
    <w:rsid w:val="002E6D37"/>
    <w:rsid w:val="002E79A6"/>
    <w:rsid w:val="002F10BF"/>
    <w:rsid w:val="002F110D"/>
    <w:rsid w:val="002F32BD"/>
    <w:rsid w:val="002F4407"/>
    <w:rsid w:val="002F5A1A"/>
    <w:rsid w:val="002F6E67"/>
    <w:rsid w:val="002F71F1"/>
    <w:rsid w:val="002F7C03"/>
    <w:rsid w:val="0030111A"/>
    <w:rsid w:val="003020F3"/>
    <w:rsid w:val="003022D4"/>
    <w:rsid w:val="003038AC"/>
    <w:rsid w:val="0030392F"/>
    <w:rsid w:val="00305726"/>
    <w:rsid w:val="00306E9B"/>
    <w:rsid w:val="003076FA"/>
    <w:rsid w:val="003104CF"/>
    <w:rsid w:val="00310D70"/>
    <w:rsid w:val="0031214B"/>
    <w:rsid w:val="00313F3E"/>
    <w:rsid w:val="0031480B"/>
    <w:rsid w:val="00314A19"/>
    <w:rsid w:val="00315307"/>
    <w:rsid w:val="00315D17"/>
    <w:rsid w:val="003164D7"/>
    <w:rsid w:val="00316B54"/>
    <w:rsid w:val="003176BB"/>
    <w:rsid w:val="00317E1A"/>
    <w:rsid w:val="00320A3C"/>
    <w:rsid w:val="00322FEB"/>
    <w:rsid w:val="003232C2"/>
    <w:rsid w:val="003237B0"/>
    <w:rsid w:val="0032503F"/>
    <w:rsid w:val="003262CE"/>
    <w:rsid w:val="003264ED"/>
    <w:rsid w:val="003308B4"/>
    <w:rsid w:val="00333209"/>
    <w:rsid w:val="00334A4E"/>
    <w:rsid w:val="003352EF"/>
    <w:rsid w:val="00340094"/>
    <w:rsid w:val="003418C0"/>
    <w:rsid w:val="003424A8"/>
    <w:rsid w:val="003425F7"/>
    <w:rsid w:val="00343012"/>
    <w:rsid w:val="00343233"/>
    <w:rsid w:val="00343B25"/>
    <w:rsid w:val="003441E3"/>
    <w:rsid w:val="003445EA"/>
    <w:rsid w:val="00350175"/>
    <w:rsid w:val="00351EC0"/>
    <w:rsid w:val="00352990"/>
    <w:rsid w:val="00353113"/>
    <w:rsid w:val="00353518"/>
    <w:rsid w:val="00355DAA"/>
    <w:rsid w:val="003613F4"/>
    <w:rsid w:val="00361819"/>
    <w:rsid w:val="00361F3D"/>
    <w:rsid w:val="00362E2F"/>
    <w:rsid w:val="00362FE1"/>
    <w:rsid w:val="00363DCE"/>
    <w:rsid w:val="00365680"/>
    <w:rsid w:val="00366A1A"/>
    <w:rsid w:val="00367B6E"/>
    <w:rsid w:val="00370B2E"/>
    <w:rsid w:val="00372D68"/>
    <w:rsid w:val="0037447C"/>
    <w:rsid w:val="0037458C"/>
    <w:rsid w:val="00374E9A"/>
    <w:rsid w:val="00375E7C"/>
    <w:rsid w:val="00375FFD"/>
    <w:rsid w:val="00381DB8"/>
    <w:rsid w:val="003826A0"/>
    <w:rsid w:val="00383462"/>
    <w:rsid w:val="00384B58"/>
    <w:rsid w:val="00385683"/>
    <w:rsid w:val="00385EC1"/>
    <w:rsid w:val="00386DD1"/>
    <w:rsid w:val="00387CA4"/>
    <w:rsid w:val="00391389"/>
    <w:rsid w:val="00391E64"/>
    <w:rsid w:val="003946E7"/>
    <w:rsid w:val="00395750"/>
    <w:rsid w:val="0039581F"/>
    <w:rsid w:val="00396861"/>
    <w:rsid w:val="0039783E"/>
    <w:rsid w:val="003A0009"/>
    <w:rsid w:val="003A0E47"/>
    <w:rsid w:val="003A4360"/>
    <w:rsid w:val="003A68AA"/>
    <w:rsid w:val="003A7561"/>
    <w:rsid w:val="003A76E4"/>
    <w:rsid w:val="003A7E73"/>
    <w:rsid w:val="003B08B0"/>
    <w:rsid w:val="003B09F2"/>
    <w:rsid w:val="003B1384"/>
    <w:rsid w:val="003B35B8"/>
    <w:rsid w:val="003B4A9D"/>
    <w:rsid w:val="003B4B13"/>
    <w:rsid w:val="003B4D2C"/>
    <w:rsid w:val="003B53A6"/>
    <w:rsid w:val="003C0785"/>
    <w:rsid w:val="003C1764"/>
    <w:rsid w:val="003C3AD0"/>
    <w:rsid w:val="003C722C"/>
    <w:rsid w:val="003C7985"/>
    <w:rsid w:val="003C7CAC"/>
    <w:rsid w:val="003C7E67"/>
    <w:rsid w:val="003D20ED"/>
    <w:rsid w:val="003D4ED7"/>
    <w:rsid w:val="003D6531"/>
    <w:rsid w:val="003D6C84"/>
    <w:rsid w:val="003E017A"/>
    <w:rsid w:val="003E1FAF"/>
    <w:rsid w:val="003E20B9"/>
    <w:rsid w:val="003E3836"/>
    <w:rsid w:val="003E39B9"/>
    <w:rsid w:val="003E4097"/>
    <w:rsid w:val="003E4AC8"/>
    <w:rsid w:val="003E4BB4"/>
    <w:rsid w:val="003E68B5"/>
    <w:rsid w:val="003F14AC"/>
    <w:rsid w:val="003F27A7"/>
    <w:rsid w:val="003F2D09"/>
    <w:rsid w:val="003F2DAA"/>
    <w:rsid w:val="003F34BF"/>
    <w:rsid w:val="003F37EA"/>
    <w:rsid w:val="003F47F5"/>
    <w:rsid w:val="003F59CC"/>
    <w:rsid w:val="003F5E57"/>
    <w:rsid w:val="003F5F9D"/>
    <w:rsid w:val="003F7652"/>
    <w:rsid w:val="003F7EDA"/>
    <w:rsid w:val="00401D87"/>
    <w:rsid w:val="00402BF8"/>
    <w:rsid w:val="00403755"/>
    <w:rsid w:val="0040387F"/>
    <w:rsid w:val="00406227"/>
    <w:rsid w:val="00407D3B"/>
    <w:rsid w:val="00410626"/>
    <w:rsid w:val="00411D4A"/>
    <w:rsid w:val="00412557"/>
    <w:rsid w:val="0041363C"/>
    <w:rsid w:val="00414E9A"/>
    <w:rsid w:val="00415CC4"/>
    <w:rsid w:val="00415FD6"/>
    <w:rsid w:val="0041696F"/>
    <w:rsid w:val="00420C0D"/>
    <w:rsid w:val="00420D4C"/>
    <w:rsid w:val="00423B79"/>
    <w:rsid w:val="004240D2"/>
    <w:rsid w:val="00424ADF"/>
    <w:rsid w:val="00427662"/>
    <w:rsid w:val="004303B8"/>
    <w:rsid w:val="00431677"/>
    <w:rsid w:val="00433183"/>
    <w:rsid w:val="004337A7"/>
    <w:rsid w:val="00433AED"/>
    <w:rsid w:val="004342F0"/>
    <w:rsid w:val="004353DD"/>
    <w:rsid w:val="00435F4A"/>
    <w:rsid w:val="00437C49"/>
    <w:rsid w:val="0044117C"/>
    <w:rsid w:val="004418F2"/>
    <w:rsid w:val="00443662"/>
    <w:rsid w:val="00443DF2"/>
    <w:rsid w:val="00444E78"/>
    <w:rsid w:val="004455A5"/>
    <w:rsid w:val="00445911"/>
    <w:rsid w:val="00445F4D"/>
    <w:rsid w:val="00446050"/>
    <w:rsid w:val="00446FC1"/>
    <w:rsid w:val="00447C26"/>
    <w:rsid w:val="00447F1A"/>
    <w:rsid w:val="0045085A"/>
    <w:rsid w:val="00450CBA"/>
    <w:rsid w:val="0045110A"/>
    <w:rsid w:val="00452DA2"/>
    <w:rsid w:val="004532A3"/>
    <w:rsid w:val="00455363"/>
    <w:rsid w:val="00456B8F"/>
    <w:rsid w:val="00457045"/>
    <w:rsid w:val="004574C4"/>
    <w:rsid w:val="00457A91"/>
    <w:rsid w:val="004604E9"/>
    <w:rsid w:val="00460786"/>
    <w:rsid w:val="00460A55"/>
    <w:rsid w:val="004610FB"/>
    <w:rsid w:val="0046180A"/>
    <w:rsid w:val="00462BC6"/>
    <w:rsid w:val="00463FEB"/>
    <w:rsid w:val="004660F2"/>
    <w:rsid w:val="00470C11"/>
    <w:rsid w:val="00471759"/>
    <w:rsid w:val="0047175C"/>
    <w:rsid w:val="004721E0"/>
    <w:rsid w:val="00472F9C"/>
    <w:rsid w:val="00473803"/>
    <w:rsid w:val="004755FE"/>
    <w:rsid w:val="004759BF"/>
    <w:rsid w:val="00476857"/>
    <w:rsid w:val="00476B4E"/>
    <w:rsid w:val="0047782F"/>
    <w:rsid w:val="004828C6"/>
    <w:rsid w:val="00484217"/>
    <w:rsid w:val="00484675"/>
    <w:rsid w:val="00484F33"/>
    <w:rsid w:val="004869CF"/>
    <w:rsid w:val="00487545"/>
    <w:rsid w:val="00490239"/>
    <w:rsid w:val="00490B1D"/>
    <w:rsid w:val="00491DC5"/>
    <w:rsid w:val="004929EC"/>
    <w:rsid w:val="00492C5E"/>
    <w:rsid w:val="004935F6"/>
    <w:rsid w:val="00493B10"/>
    <w:rsid w:val="00493F24"/>
    <w:rsid w:val="00495017"/>
    <w:rsid w:val="0049615F"/>
    <w:rsid w:val="004971EF"/>
    <w:rsid w:val="004A2043"/>
    <w:rsid w:val="004A2FD9"/>
    <w:rsid w:val="004A51CB"/>
    <w:rsid w:val="004A5D55"/>
    <w:rsid w:val="004A6D51"/>
    <w:rsid w:val="004B03BE"/>
    <w:rsid w:val="004B0A80"/>
    <w:rsid w:val="004B1950"/>
    <w:rsid w:val="004B2839"/>
    <w:rsid w:val="004B300A"/>
    <w:rsid w:val="004B4E7B"/>
    <w:rsid w:val="004B4F32"/>
    <w:rsid w:val="004B6ED4"/>
    <w:rsid w:val="004B7418"/>
    <w:rsid w:val="004B78FA"/>
    <w:rsid w:val="004C0FBA"/>
    <w:rsid w:val="004C1080"/>
    <w:rsid w:val="004C2B29"/>
    <w:rsid w:val="004C3F7B"/>
    <w:rsid w:val="004C3FD4"/>
    <w:rsid w:val="004C4916"/>
    <w:rsid w:val="004C6A1A"/>
    <w:rsid w:val="004C78C4"/>
    <w:rsid w:val="004D040C"/>
    <w:rsid w:val="004D2B88"/>
    <w:rsid w:val="004D2EB8"/>
    <w:rsid w:val="004D3A3F"/>
    <w:rsid w:val="004D512D"/>
    <w:rsid w:val="004D58A1"/>
    <w:rsid w:val="004D5D38"/>
    <w:rsid w:val="004D5F74"/>
    <w:rsid w:val="004D6ED4"/>
    <w:rsid w:val="004E10E0"/>
    <w:rsid w:val="004E156F"/>
    <w:rsid w:val="004E198A"/>
    <w:rsid w:val="004E2A32"/>
    <w:rsid w:val="004E3061"/>
    <w:rsid w:val="004E3F7E"/>
    <w:rsid w:val="004E4192"/>
    <w:rsid w:val="004E67E6"/>
    <w:rsid w:val="004E6D47"/>
    <w:rsid w:val="004E7530"/>
    <w:rsid w:val="004F0E40"/>
    <w:rsid w:val="004F19CD"/>
    <w:rsid w:val="004F1F6E"/>
    <w:rsid w:val="004F245D"/>
    <w:rsid w:val="004F5E93"/>
    <w:rsid w:val="004F603D"/>
    <w:rsid w:val="004F6545"/>
    <w:rsid w:val="004F6D32"/>
    <w:rsid w:val="004F6FC8"/>
    <w:rsid w:val="0050046F"/>
    <w:rsid w:val="00500EEF"/>
    <w:rsid w:val="005015CE"/>
    <w:rsid w:val="00501BD9"/>
    <w:rsid w:val="00503FE0"/>
    <w:rsid w:val="005041A7"/>
    <w:rsid w:val="00504E3C"/>
    <w:rsid w:val="00506456"/>
    <w:rsid w:val="00506825"/>
    <w:rsid w:val="00506FA2"/>
    <w:rsid w:val="00507196"/>
    <w:rsid w:val="005103B1"/>
    <w:rsid w:val="00510550"/>
    <w:rsid w:val="00515680"/>
    <w:rsid w:val="005173F5"/>
    <w:rsid w:val="00517D7F"/>
    <w:rsid w:val="00517E7D"/>
    <w:rsid w:val="00520779"/>
    <w:rsid w:val="00521E8C"/>
    <w:rsid w:val="00523AAC"/>
    <w:rsid w:val="00523CF5"/>
    <w:rsid w:val="005246FD"/>
    <w:rsid w:val="00525A4C"/>
    <w:rsid w:val="00525C51"/>
    <w:rsid w:val="00530417"/>
    <w:rsid w:val="00530B0F"/>
    <w:rsid w:val="00532095"/>
    <w:rsid w:val="005321B7"/>
    <w:rsid w:val="005328C3"/>
    <w:rsid w:val="0053379A"/>
    <w:rsid w:val="005337D5"/>
    <w:rsid w:val="00534AE7"/>
    <w:rsid w:val="0053679A"/>
    <w:rsid w:val="00536C66"/>
    <w:rsid w:val="0054067C"/>
    <w:rsid w:val="00541C62"/>
    <w:rsid w:val="005437B7"/>
    <w:rsid w:val="00543E03"/>
    <w:rsid w:val="00545F4F"/>
    <w:rsid w:val="00545F60"/>
    <w:rsid w:val="00547754"/>
    <w:rsid w:val="0054782B"/>
    <w:rsid w:val="0055051C"/>
    <w:rsid w:val="00550BD7"/>
    <w:rsid w:val="005520E3"/>
    <w:rsid w:val="005521B1"/>
    <w:rsid w:val="00552D0E"/>
    <w:rsid w:val="005536BC"/>
    <w:rsid w:val="005544E5"/>
    <w:rsid w:val="00554B2A"/>
    <w:rsid w:val="00554B2F"/>
    <w:rsid w:val="00557118"/>
    <w:rsid w:val="00560DF6"/>
    <w:rsid w:val="005612C1"/>
    <w:rsid w:val="00562BC9"/>
    <w:rsid w:val="0056357E"/>
    <w:rsid w:val="00563B07"/>
    <w:rsid w:val="00564874"/>
    <w:rsid w:val="00566834"/>
    <w:rsid w:val="005668F0"/>
    <w:rsid w:val="005677E2"/>
    <w:rsid w:val="0056783D"/>
    <w:rsid w:val="0057019F"/>
    <w:rsid w:val="005704E5"/>
    <w:rsid w:val="00570549"/>
    <w:rsid w:val="0057101F"/>
    <w:rsid w:val="00571A9D"/>
    <w:rsid w:val="00571BA5"/>
    <w:rsid w:val="00572983"/>
    <w:rsid w:val="00573B85"/>
    <w:rsid w:val="00574342"/>
    <w:rsid w:val="005754DE"/>
    <w:rsid w:val="00576798"/>
    <w:rsid w:val="00580450"/>
    <w:rsid w:val="00580CDE"/>
    <w:rsid w:val="00581009"/>
    <w:rsid w:val="005819B2"/>
    <w:rsid w:val="00582409"/>
    <w:rsid w:val="00582DC6"/>
    <w:rsid w:val="00583F9C"/>
    <w:rsid w:val="005848D0"/>
    <w:rsid w:val="00585B15"/>
    <w:rsid w:val="00585F5E"/>
    <w:rsid w:val="00586DC7"/>
    <w:rsid w:val="00590AA0"/>
    <w:rsid w:val="00590BD9"/>
    <w:rsid w:val="00590D92"/>
    <w:rsid w:val="00591D93"/>
    <w:rsid w:val="00593561"/>
    <w:rsid w:val="00594805"/>
    <w:rsid w:val="00596392"/>
    <w:rsid w:val="00596EAD"/>
    <w:rsid w:val="00597DFE"/>
    <w:rsid w:val="00597E1E"/>
    <w:rsid w:val="00597FAF"/>
    <w:rsid w:val="005A13E7"/>
    <w:rsid w:val="005A196E"/>
    <w:rsid w:val="005A270B"/>
    <w:rsid w:val="005A3D06"/>
    <w:rsid w:val="005A3DA9"/>
    <w:rsid w:val="005A62E6"/>
    <w:rsid w:val="005A6CC1"/>
    <w:rsid w:val="005A6CCD"/>
    <w:rsid w:val="005A7107"/>
    <w:rsid w:val="005B174D"/>
    <w:rsid w:val="005B1762"/>
    <w:rsid w:val="005B1DFE"/>
    <w:rsid w:val="005B29AF"/>
    <w:rsid w:val="005B39D2"/>
    <w:rsid w:val="005B3B36"/>
    <w:rsid w:val="005B4F81"/>
    <w:rsid w:val="005B545C"/>
    <w:rsid w:val="005B55F8"/>
    <w:rsid w:val="005B5924"/>
    <w:rsid w:val="005B6561"/>
    <w:rsid w:val="005C0312"/>
    <w:rsid w:val="005C0453"/>
    <w:rsid w:val="005C21D1"/>
    <w:rsid w:val="005C24B6"/>
    <w:rsid w:val="005C29FA"/>
    <w:rsid w:val="005C363D"/>
    <w:rsid w:val="005C3E29"/>
    <w:rsid w:val="005C3E40"/>
    <w:rsid w:val="005C5151"/>
    <w:rsid w:val="005C5F92"/>
    <w:rsid w:val="005C6EDB"/>
    <w:rsid w:val="005D0763"/>
    <w:rsid w:val="005D0FD8"/>
    <w:rsid w:val="005D2D18"/>
    <w:rsid w:val="005D3DE0"/>
    <w:rsid w:val="005D4C84"/>
    <w:rsid w:val="005D57F3"/>
    <w:rsid w:val="005D67EA"/>
    <w:rsid w:val="005E0B96"/>
    <w:rsid w:val="005E2D88"/>
    <w:rsid w:val="005E4156"/>
    <w:rsid w:val="005E6DB6"/>
    <w:rsid w:val="005E7559"/>
    <w:rsid w:val="005F03AF"/>
    <w:rsid w:val="005F2C40"/>
    <w:rsid w:val="005F3093"/>
    <w:rsid w:val="005F4DCE"/>
    <w:rsid w:val="005F5FC9"/>
    <w:rsid w:val="0060184B"/>
    <w:rsid w:val="00601A52"/>
    <w:rsid w:val="00602E73"/>
    <w:rsid w:val="00603033"/>
    <w:rsid w:val="00603627"/>
    <w:rsid w:val="006036A6"/>
    <w:rsid w:val="00603E2B"/>
    <w:rsid w:val="00603FA8"/>
    <w:rsid w:val="006050DD"/>
    <w:rsid w:val="006062EF"/>
    <w:rsid w:val="0061025C"/>
    <w:rsid w:val="00610DB8"/>
    <w:rsid w:val="006121E5"/>
    <w:rsid w:val="00612AB9"/>
    <w:rsid w:val="00612D19"/>
    <w:rsid w:val="0061317B"/>
    <w:rsid w:val="00613972"/>
    <w:rsid w:val="006159F2"/>
    <w:rsid w:val="00615E70"/>
    <w:rsid w:val="006170F2"/>
    <w:rsid w:val="00617398"/>
    <w:rsid w:val="0061761D"/>
    <w:rsid w:val="006207E9"/>
    <w:rsid w:val="00621E70"/>
    <w:rsid w:val="00624C11"/>
    <w:rsid w:val="00626B7E"/>
    <w:rsid w:val="00632BA7"/>
    <w:rsid w:val="00632C89"/>
    <w:rsid w:val="00632E8C"/>
    <w:rsid w:val="00634F11"/>
    <w:rsid w:val="006359F5"/>
    <w:rsid w:val="00635A18"/>
    <w:rsid w:val="006371BF"/>
    <w:rsid w:val="006377D3"/>
    <w:rsid w:val="00637BB7"/>
    <w:rsid w:val="00642ADD"/>
    <w:rsid w:val="00643396"/>
    <w:rsid w:val="00643475"/>
    <w:rsid w:val="00643788"/>
    <w:rsid w:val="0064402C"/>
    <w:rsid w:val="006445A2"/>
    <w:rsid w:val="00645C45"/>
    <w:rsid w:val="00646179"/>
    <w:rsid w:val="006464FD"/>
    <w:rsid w:val="006474EE"/>
    <w:rsid w:val="0064763A"/>
    <w:rsid w:val="006544DB"/>
    <w:rsid w:val="00654765"/>
    <w:rsid w:val="00656647"/>
    <w:rsid w:val="0065713B"/>
    <w:rsid w:val="0065713C"/>
    <w:rsid w:val="0065773E"/>
    <w:rsid w:val="00660B1F"/>
    <w:rsid w:val="00662194"/>
    <w:rsid w:val="006637FA"/>
    <w:rsid w:val="00663B17"/>
    <w:rsid w:val="00664770"/>
    <w:rsid w:val="00666A40"/>
    <w:rsid w:val="00671424"/>
    <w:rsid w:val="006729AC"/>
    <w:rsid w:val="006755C1"/>
    <w:rsid w:val="00675A28"/>
    <w:rsid w:val="00676159"/>
    <w:rsid w:val="006772A7"/>
    <w:rsid w:val="006772CA"/>
    <w:rsid w:val="00677EE9"/>
    <w:rsid w:val="006804CF"/>
    <w:rsid w:val="006822DA"/>
    <w:rsid w:val="00682473"/>
    <w:rsid w:val="006829A8"/>
    <w:rsid w:val="00682FBC"/>
    <w:rsid w:val="00683A57"/>
    <w:rsid w:val="0068449E"/>
    <w:rsid w:val="00684530"/>
    <w:rsid w:val="00684A4C"/>
    <w:rsid w:val="006873EA"/>
    <w:rsid w:val="00692162"/>
    <w:rsid w:val="00693024"/>
    <w:rsid w:val="00694ABE"/>
    <w:rsid w:val="00694E49"/>
    <w:rsid w:val="006960B0"/>
    <w:rsid w:val="0069726B"/>
    <w:rsid w:val="006A08B7"/>
    <w:rsid w:val="006A0E74"/>
    <w:rsid w:val="006A0FE1"/>
    <w:rsid w:val="006A1B82"/>
    <w:rsid w:val="006A218F"/>
    <w:rsid w:val="006A3F76"/>
    <w:rsid w:val="006A4054"/>
    <w:rsid w:val="006A40A1"/>
    <w:rsid w:val="006A5C00"/>
    <w:rsid w:val="006A6165"/>
    <w:rsid w:val="006A6392"/>
    <w:rsid w:val="006A7E28"/>
    <w:rsid w:val="006B2116"/>
    <w:rsid w:val="006B2982"/>
    <w:rsid w:val="006B35BE"/>
    <w:rsid w:val="006B3B0E"/>
    <w:rsid w:val="006B7BB1"/>
    <w:rsid w:val="006C0A4C"/>
    <w:rsid w:val="006C1B43"/>
    <w:rsid w:val="006C1D7C"/>
    <w:rsid w:val="006C3765"/>
    <w:rsid w:val="006C37E8"/>
    <w:rsid w:val="006C39BF"/>
    <w:rsid w:val="006C4775"/>
    <w:rsid w:val="006C6FA2"/>
    <w:rsid w:val="006C7000"/>
    <w:rsid w:val="006C7763"/>
    <w:rsid w:val="006D012B"/>
    <w:rsid w:val="006D09FE"/>
    <w:rsid w:val="006D0DDB"/>
    <w:rsid w:val="006D12A7"/>
    <w:rsid w:val="006D1500"/>
    <w:rsid w:val="006D1760"/>
    <w:rsid w:val="006D2BD5"/>
    <w:rsid w:val="006D3ECE"/>
    <w:rsid w:val="006D4E45"/>
    <w:rsid w:val="006D5350"/>
    <w:rsid w:val="006D72D2"/>
    <w:rsid w:val="006E0317"/>
    <w:rsid w:val="006E0511"/>
    <w:rsid w:val="006E12C1"/>
    <w:rsid w:val="006E5580"/>
    <w:rsid w:val="006E607F"/>
    <w:rsid w:val="006E7DC2"/>
    <w:rsid w:val="006F0D73"/>
    <w:rsid w:val="006F1342"/>
    <w:rsid w:val="006F3D80"/>
    <w:rsid w:val="006F3EF5"/>
    <w:rsid w:val="006F49F0"/>
    <w:rsid w:val="006F774C"/>
    <w:rsid w:val="0070184A"/>
    <w:rsid w:val="00702E8D"/>
    <w:rsid w:val="0070360B"/>
    <w:rsid w:val="00703905"/>
    <w:rsid w:val="00703F07"/>
    <w:rsid w:val="00704726"/>
    <w:rsid w:val="007053E7"/>
    <w:rsid w:val="0070569D"/>
    <w:rsid w:val="00705884"/>
    <w:rsid w:val="00705BD1"/>
    <w:rsid w:val="007063F2"/>
    <w:rsid w:val="00706833"/>
    <w:rsid w:val="00706E77"/>
    <w:rsid w:val="007075B8"/>
    <w:rsid w:val="00707B2E"/>
    <w:rsid w:val="00710B00"/>
    <w:rsid w:val="00711471"/>
    <w:rsid w:val="00712398"/>
    <w:rsid w:val="00712F10"/>
    <w:rsid w:val="00716DEA"/>
    <w:rsid w:val="0072105B"/>
    <w:rsid w:val="0072284E"/>
    <w:rsid w:val="00723508"/>
    <w:rsid w:val="00723BFE"/>
    <w:rsid w:val="0073286C"/>
    <w:rsid w:val="007328CC"/>
    <w:rsid w:val="007330DF"/>
    <w:rsid w:val="00733260"/>
    <w:rsid w:val="00735070"/>
    <w:rsid w:val="00735AD3"/>
    <w:rsid w:val="007364DA"/>
    <w:rsid w:val="007409D2"/>
    <w:rsid w:val="00742222"/>
    <w:rsid w:val="00743EA9"/>
    <w:rsid w:val="0074529C"/>
    <w:rsid w:val="00747ECC"/>
    <w:rsid w:val="00750BF8"/>
    <w:rsid w:val="00750E2F"/>
    <w:rsid w:val="007515BC"/>
    <w:rsid w:val="00753328"/>
    <w:rsid w:val="00753433"/>
    <w:rsid w:val="00754E11"/>
    <w:rsid w:val="00756097"/>
    <w:rsid w:val="00764463"/>
    <w:rsid w:val="00764F3A"/>
    <w:rsid w:val="007652B0"/>
    <w:rsid w:val="00765CC1"/>
    <w:rsid w:val="007669BA"/>
    <w:rsid w:val="00767151"/>
    <w:rsid w:val="00770261"/>
    <w:rsid w:val="007712EA"/>
    <w:rsid w:val="00772439"/>
    <w:rsid w:val="00773ACD"/>
    <w:rsid w:val="007768C5"/>
    <w:rsid w:val="0077715B"/>
    <w:rsid w:val="007773BD"/>
    <w:rsid w:val="00777B72"/>
    <w:rsid w:val="00777EEE"/>
    <w:rsid w:val="007811C0"/>
    <w:rsid w:val="007819CF"/>
    <w:rsid w:val="0078263F"/>
    <w:rsid w:val="00783657"/>
    <w:rsid w:val="00786840"/>
    <w:rsid w:val="00790852"/>
    <w:rsid w:val="00790EEE"/>
    <w:rsid w:val="00791304"/>
    <w:rsid w:val="00791677"/>
    <w:rsid w:val="00791E8E"/>
    <w:rsid w:val="007931A9"/>
    <w:rsid w:val="00793591"/>
    <w:rsid w:val="007946CC"/>
    <w:rsid w:val="00794DF3"/>
    <w:rsid w:val="00794E52"/>
    <w:rsid w:val="00794E6C"/>
    <w:rsid w:val="007952A7"/>
    <w:rsid w:val="00796982"/>
    <w:rsid w:val="007A02C7"/>
    <w:rsid w:val="007A05C6"/>
    <w:rsid w:val="007A2C70"/>
    <w:rsid w:val="007A3499"/>
    <w:rsid w:val="007A375D"/>
    <w:rsid w:val="007A5826"/>
    <w:rsid w:val="007A657A"/>
    <w:rsid w:val="007B249F"/>
    <w:rsid w:val="007B4330"/>
    <w:rsid w:val="007B435A"/>
    <w:rsid w:val="007B5D7E"/>
    <w:rsid w:val="007B788E"/>
    <w:rsid w:val="007B7895"/>
    <w:rsid w:val="007C17B1"/>
    <w:rsid w:val="007C3FB6"/>
    <w:rsid w:val="007C43BB"/>
    <w:rsid w:val="007C6ED9"/>
    <w:rsid w:val="007C737B"/>
    <w:rsid w:val="007D1D13"/>
    <w:rsid w:val="007D20FF"/>
    <w:rsid w:val="007D36F2"/>
    <w:rsid w:val="007D3B6C"/>
    <w:rsid w:val="007D57DC"/>
    <w:rsid w:val="007E00A1"/>
    <w:rsid w:val="007E061F"/>
    <w:rsid w:val="007E2BB1"/>
    <w:rsid w:val="007E2F2D"/>
    <w:rsid w:val="007E3A3A"/>
    <w:rsid w:val="007E3C1B"/>
    <w:rsid w:val="007E6D47"/>
    <w:rsid w:val="007E71C7"/>
    <w:rsid w:val="007F0096"/>
    <w:rsid w:val="007F2BB3"/>
    <w:rsid w:val="007F35FA"/>
    <w:rsid w:val="007F3724"/>
    <w:rsid w:val="007F4330"/>
    <w:rsid w:val="007F45A7"/>
    <w:rsid w:val="007F4C1B"/>
    <w:rsid w:val="007F62A9"/>
    <w:rsid w:val="008022F1"/>
    <w:rsid w:val="0080288A"/>
    <w:rsid w:val="00802E2A"/>
    <w:rsid w:val="00803569"/>
    <w:rsid w:val="008049CE"/>
    <w:rsid w:val="00807058"/>
    <w:rsid w:val="0080739F"/>
    <w:rsid w:val="0080758E"/>
    <w:rsid w:val="0081025E"/>
    <w:rsid w:val="00812261"/>
    <w:rsid w:val="008124E6"/>
    <w:rsid w:val="00812B72"/>
    <w:rsid w:val="00813360"/>
    <w:rsid w:val="00813620"/>
    <w:rsid w:val="00816F3A"/>
    <w:rsid w:val="008171ED"/>
    <w:rsid w:val="00820A94"/>
    <w:rsid w:val="00822DB3"/>
    <w:rsid w:val="008237C3"/>
    <w:rsid w:val="00823B52"/>
    <w:rsid w:val="00823B90"/>
    <w:rsid w:val="008304E8"/>
    <w:rsid w:val="00831ACA"/>
    <w:rsid w:val="00831AD5"/>
    <w:rsid w:val="00831BAA"/>
    <w:rsid w:val="00831E32"/>
    <w:rsid w:val="00834C7B"/>
    <w:rsid w:val="00836367"/>
    <w:rsid w:val="008375CF"/>
    <w:rsid w:val="008425D5"/>
    <w:rsid w:val="00843D20"/>
    <w:rsid w:val="00844454"/>
    <w:rsid w:val="00847192"/>
    <w:rsid w:val="0084731D"/>
    <w:rsid w:val="00850142"/>
    <w:rsid w:val="008511D0"/>
    <w:rsid w:val="00855148"/>
    <w:rsid w:val="00857420"/>
    <w:rsid w:val="0085773A"/>
    <w:rsid w:val="008603F1"/>
    <w:rsid w:val="00860CCE"/>
    <w:rsid w:val="00862540"/>
    <w:rsid w:val="00862551"/>
    <w:rsid w:val="0086294E"/>
    <w:rsid w:val="00863459"/>
    <w:rsid w:val="008637E1"/>
    <w:rsid w:val="00865CF5"/>
    <w:rsid w:val="008666A4"/>
    <w:rsid w:val="008669BF"/>
    <w:rsid w:val="00867328"/>
    <w:rsid w:val="00867E68"/>
    <w:rsid w:val="00872CDA"/>
    <w:rsid w:val="0087340F"/>
    <w:rsid w:val="00873D37"/>
    <w:rsid w:val="00874188"/>
    <w:rsid w:val="00876879"/>
    <w:rsid w:val="0088302D"/>
    <w:rsid w:val="008830FE"/>
    <w:rsid w:val="00883A51"/>
    <w:rsid w:val="008841C7"/>
    <w:rsid w:val="00885271"/>
    <w:rsid w:val="00885C28"/>
    <w:rsid w:val="00885F6B"/>
    <w:rsid w:val="008866E0"/>
    <w:rsid w:val="00887803"/>
    <w:rsid w:val="00887ABA"/>
    <w:rsid w:val="00891481"/>
    <w:rsid w:val="00893A34"/>
    <w:rsid w:val="00893C21"/>
    <w:rsid w:val="00893F1F"/>
    <w:rsid w:val="00897964"/>
    <w:rsid w:val="008A2903"/>
    <w:rsid w:val="008A2ECB"/>
    <w:rsid w:val="008A41D1"/>
    <w:rsid w:val="008A4338"/>
    <w:rsid w:val="008A5D0B"/>
    <w:rsid w:val="008A6B32"/>
    <w:rsid w:val="008A6D57"/>
    <w:rsid w:val="008A7289"/>
    <w:rsid w:val="008A7DEB"/>
    <w:rsid w:val="008B39F2"/>
    <w:rsid w:val="008B68FB"/>
    <w:rsid w:val="008B7CC7"/>
    <w:rsid w:val="008C0BAD"/>
    <w:rsid w:val="008C15CD"/>
    <w:rsid w:val="008C1654"/>
    <w:rsid w:val="008C2E66"/>
    <w:rsid w:val="008C3CF3"/>
    <w:rsid w:val="008C4059"/>
    <w:rsid w:val="008C5061"/>
    <w:rsid w:val="008D321E"/>
    <w:rsid w:val="008D4069"/>
    <w:rsid w:val="008D4C74"/>
    <w:rsid w:val="008D578D"/>
    <w:rsid w:val="008D6F8D"/>
    <w:rsid w:val="008E0799"/>
    <w:rsid w:val="008E144C"/>
    <w:rsid w:val="008E1524"/>
    <w:rsid w:val="008E1751"/>
    <w:rsid w:val="008E2C51"/>
    <w:rsid w:val="008E35D5"/>
    <w:rsid w:val="008E499D"/>
    <w:rsid w:val="008F1742"/>
    <w:rsid w:val="008F3401"/>
    <w:rsid w:val="008F45DD"/>
    <w:rsid w:val="008F524F"/>
    <w:rsid w:val="008F546B"/>
    <w:rsid w:val="008F7F16"/>
    <w:rsid w:val="009011FA"/>
    <w:rsid w:val="00903A46"/>
    <w:rsid w:val="00907EF1"/>
    <w:rsid w:val="009112D6"/>
    <w:rsid w:val="00911779"/>
    <w:rsid w:val="00912583"/>
    <w:rsid w:val="00912FE6"/>
    <w:rsid w:val="0091537A"/>
    <w:rsid w:val="0091613C"/>
    <w:rsid w:val="00916AA9"/>
    <w:rsid w:val="00917703"/>
    <w:rsid w:val="00920BA6"/>
    <w:rsid w:val="00921613"/>
    <w:rsid w:val="00921AD9"/>
    <w:rsid w:val="00922DFB"/>
    <w:rsid w:val="00924DAD"/>
    <w:rsid w:val="00924EF9"/>
    <w:rsid w:val="00926B17"/>
    <w:rsid w:val="00931139"/>
    <w:rsid w:val="00931186"/>
    <w:rsid w:val="00931C60"/>
    <w:rsid w:val="00932330"/>
    <w:rsid w:val="009366A0"/>
    <w:rsid w:val="009407EE"/>
    <w:rsid w:val="00943B26"/>
    <w:rsid w:val="00950357"/>
    <w:rsid w:val="0095200D"/>
    <w:rsid w:val="009542D3"/>
    <w:rsid w:val="00956DA6"/>
    <w:rsid w:val="009575E3"/>
    <w:rsid w:val="00957F52"/>
    <w:rsid w:val="00960387"/>
    <w:rsid w:val="00961C3D"/>
    <w:rsid w:val="00961DC0"/>
    <w:rsid w:val="00962484"/>
    <w:rsid w:val="0096278C"/>
    <w:rsid w:val="009633E2"/>
    <w:rsid w:val="009643C4"/>
    <w:rsid w:val="00967BAA"/>
    <w:rsid w:val="00970DF3"/>
    <w:rsid w:val="00971224"/>
    <w:rsid w:val="00971963"/>
    <w:rsid w:val="00972B39"/>
    <w:rsid w:val="00975870"/>
    <w:rsid w:val="00975CDC"/>
    <w:rsid w:val="009768F2"/>
    <w:rsid w:val="009778E1"/>
    <w:rsid w:val="00981A56"/>
    <w:rsid w:val="00983242"/>
    <w:rsid w:val="00983700"/>
    <w:rsid w:val="00984467"/>
    <w:rsid w:val="0098563C"/>
    <w:rsid w:val="0098603E"/>
    <w:rsid w:val="00986F53"/>
    <w:rsid w:val="0099032A"/>
    <w:rsid w:val="0099053A"/>
    <w:rsid w:val="009918E8"/>
    <w:rsid w:val="00991ACC"/>
    <w:rsid w:val="00991FE1"/>
    <w:rsid w:val="00992345"/>
    <w:rsid w:val="00993572"/>
    <w:rsid w:val="00995D58"/>
    <w:rsid w:val="0099604A"/>
    <w:rsid w:val="009962FE"/>
    <w:rsid w:val="00997E46"/>
    <w:rsid w:val="009A0E5A"/>
    <w:rsid w:val="009A1F84"/>
    <w:rsid w:val="009A237B"/>
    <w:rsid w:val="009A23EE"/>
    <w:rsid w:val="009A2C24"/>
    <w:rsid w:val="009A4293"/>
    <w:rsid w:val="009A6068"/>
    <w:rsid w:val="009B0464"/>
    <w:rsid w:val="009B1209"/>
    <w:rsid w:val="009B3F9B"/>
    <w:rsid w:val="009B4464"/>
    <w:rsid w:val="009B5ED9"/>
    <w:rsid w:val="009B687E"/>
    <w:rsid w:val="009B78C5"/>
    <w:rsid w:val="009C1938"/>
    <w:rsid w:val="009C4DC5"/>
    <w:rsid w:val="009C4F2E"/>
    <w:rsid w:val="009C5262"/>
    <w:rsid w:val="009C6B0A"/>
    <w:rsid w:val="009D07A9"/>
    <w:rsid w:val="009D176F"/>
    <w:rsid w:val="009D5865"/>
    <w:rsid w:val="009D5E4C"/>
    <w:rsid w:val="009D6D25"/>
    <w:rsid w:val="009E03FB"/>
    <w:rsid w:val="009E17B9"/>
    <w:rsid w:val="009E1B9F"/>
    <w:rsid w:val="009E39BD"/>
    <w:rsid w:val="009E56D2"/>
    <w:rsid w:val="009E7A6D"/>
    <w:rsid w:val="009F06E5"/>
    <w:rsid w:val="009F09E6"/>
    <w:rsid w:val="009F39B2"/>
    <w:rsid w:val="009F630C"/>
    <w:rsid w:val="009F7B9A"/>
    <w:rsid w:val="009F7F75"/>
    <w:rsid w:val="00A00486"/>
    <w:rsid w:val="00A00FB0"/>
    <w:rsid w:val="00A0358C"/>
    <w:rsid w:val="00A03704"/>
    <w:rsid w:val="00A05AD3"/>
    <w:rsid w:val="00A067D6"/>
    <w:rsid w:val="00A06AC7"/>
    <w:rsid w:val="00A11347"/>
    <w:rsid w:val="00A11C67"/>
    <w:rsid w:val="00A12961"/>
    <w:rsid w:val="00A136AC"/>
    <w:rsid w:val="00A13885"/>
    <w:rsid w:val="00A144CF"/>
    <w:rsid w:val="00A169B4"/>
    <w:rsid w:val="00A16CD8"/>
    <w:rsid w:val="00A178DF"/>
    <w:rsid w:val="00A20C92"/>
    <w:rsid w:val="00A214BF"/>
    <w:rsid w:val="00A227F2"/>
    <w:rsid w:val="00A240B1"/>
    <w:rsid w:val="00A241BD"/>
    <w:rsid w:val="00A260E7"/>
    <w:rsid w:val="00A2777E"/>
    <w:rsid w:val="00A3103A"/>
    <w:rsid w:val="00A31268"/>
    <w:rsid w:val="00A31E8F"/>
    <w:rsid w:val="00A3580A"/>
    <w:rsid w:val="00A40AF3"/>
    <w:rsid w:val="00A41E37"/>
    <w:rsid w:val="00A41FC7"/>
    <w:rsid w:val="00A42C83"/>
    <w:rsid w:val="00A44EB9"/>
    <w:rsid w:val="00A458F0"/>
    <w:rsid w:val="00A46A67"/>
    <w:rsid w:val="00A474F8"/>
    <w:rsid w:val="00A51CC9"/>
    <w:rsid w:val="00A51EF6"/>
    <w:rsid w:val="00A52763"/>
    <w:rsid w:val="00A52964"/>
    <w:rsid w:val="00A541BB"/>
    <w:rsid w:val="00A54E12"/>
    <w:rsid w:val="00A637DD"/>
    <w:rsid w:val="00A65EA6"/>
    <w:rsid w:val="00A673ED"/>
    <w:rsid w:val="00A72D22"/>
    <w:rsid w:val="00A72D91"/>
    <w:rsid w:val="00A73D4B"/>
    <w:rsid w:val="00A748A3"/>
    <w:rsid w:val="00A761FA"/>
    <w:rsid w:val="00A771C0"/>
    <w:rsid w:val="00A80CA4"/>
    <w:rsid w:val="00A81192"/>
    <w:rsid w:val="00A81297"/>
    <w:rsid w:val="00A82A72"/>
    <w:rsid w:val="00A839A6"/>
    <w:rsid w:val="00A84B5E"/>
    <w:rsid w:val="00A85A08"/>
    <w:rsid w:val="00A86724"/>
    <w:rsid w:val="00A8672D"/>
    <w:rsid w:val="00A90B0E"/>
    <w:rsid w:val="00A90B93"/>
    <w:rsid w:val="00A92E1D"/>
    <w:rsid w:val="00A93AA0"/>
    <w:rsid w:val="00A94F1D"/>
    <w:rsid w:val="00A95810"/>
    <w:rsid w:val="00A95DA6"/>
    <w:rsid w:val="00A97006"/>
    <w:rsid w:val="00A97DC2"/>
    <w:rsid w:val="00AA0305"/>
    <w:rsid w:val="00AA1E55"/>
    <w:rsid w:val="00AA2A15"/>
    <w:rsid w:val="00AA2A96"/>
    <w:rsid w:val="00AA2B71"/>
    <w:rsid w:val="00AA42A7"/>
    <w:rsid w:val="00AA50D5"/>
    <w:rsid w:val="00AA714E"/>
    <w:rsid w:val="00AB1C8B"/>
    <w:rsid w:val="00AB3143"/>
    <w:rsid w:val="00AB4B80"/>
    <w:rsid w:val="00AB7678"/>
    <w:rsid w:val="00AC014E"/>
    <w:rsid w:val="00AC238D"/>
    <w:rsid w:val="00AC4B7F"/>
    <w:rsid w:val="00AC6114"/>
    <w:rsid w:val="00AC7238"/>
    <w:rsid w:val="00AC7BEB"/>
    <w:rsid w:val="00AC7C05"/>
    <w:rsid w:val="00AD162D"/>
    <w:rsid w:val="00AD16E4"/>
    <w:rsid w:val="00AD2189"/>
    <w:rsid w:val="00AD2C02"/>
    <w:rsid w:val="00AD31A9"/>
    <w:rsid w:val="00AD5287"/>
    <w:rsid w:val="00AD6CF5"/>
    <w:rsid w:val="00AD7847"/>
    <w:rsid w:val="00AE097A"/>
    <w:rsid w:val="00AE1714"/>
    <w:rsid w:val="00AE1B5A"/>
    <w:rsid w:val="00AE2151"/>
    <w:rsid w:val="00AE249D"/>
    <w:rsid w:val="00AE31B0"/>
    <w:rsid w:val="00AE3EC0"/>
    <w:rsid w:val="00AE6FC4"/>
    <w:rsid w:val="00AE77E5"/>
    <w:rsid w:val="00AF0479"/>
    <w:rsid w:val="00AF26A2"/>
    <w:rsid w:val="00AF3DFB"/>
    <w:rsid w:val="00AF411C"/>
    <w:rsid w:val="00AF4B64"/>
    <w:rsid w:val="00AF7734"/>
    <w:rsid w:val="00AF7EC6"/>
    <w:rsid w:val="00B01B51"/>
    <w:rsid w:val="00B03333"/>
    <w:rsid w:val="00B033B6"/>
    <w:rsid w:val="00B0379D"/>
    <w:rsid w:val="00B0406A"/>
    <w:rsid w:val="00B06841"/>
    <w:rsid w:val="00B06B03"/>
    <w:rsid w:val="00B07DB6"/>
    <w:rsid w:val="00B113E5"/>
    <w:rsid w:val="00B1162D"/>
    <w:rsid w:val="00B14C06"/>
    <w:rsid w:val="00B15342"/>
    <w:rsid w:val="00B153F0"/>
    <w:rsid w:val="00B162A3"/>
    <w:rsid w:val="00B17172"/>
    <w:rsid w:val="00B17ECC"/>
    <w:rsid w:val="00B23398"/>
    <w:rsid w:val="00B245B0"/>
    <w:rsid w:val="00B26E56"/>
    <w:rsid w:val="00B31879"/>
    <w:rsid w:val="00B32D2F"/>
    <w:rsid w:val="00B3311C"/>
    <w:rsid w:val="00B33125"/>
    <w:rsid w:val="00B34A3B"/>
    <w:rsid w:val="00B355C5"/>
    <w:rsid w:val="00B3673D"/>
    <w:rsid w:val="00B44C6C"/>
    <w:rsid w:val="00B46E75"/>
    <w:rsid w:val="00B4757F"/>
    <w:rsid w:val="00B5187A"/>
    <w:rsid w:val="00B5229A"/>
    <w:rsid w:val="00B52E33"/>
    <w:rsid w:val="00B52F7E"/>
    <w:rsid w:val="00B55CD1"/>
    <w:rsid w:val="00B605F9"/>
    <w:rsid w:val="00B61C67"/>
    <w:rsid w:val="00B6314D"/>
    <w:rsid w:val="00B64BD8"/>
    <w:rsid w:val="00B66FD7"/>
    <w:rsid w:val="00B70EFF"/>
    <w:rsid w:val="00B713DA"/>
    <w:rsid w:val="00B71654"/>
    <w:rsid w:val="00B727C2"/>
    <w:rsid w:val="00B738C7"/>
    <w:rsid w:val="00B747AC"/>
    <w:rsid w:val="00B75E1D"/>
    <w:rsid w:val="00B77124"/>
    <w:rsid w:val="00B8023E"/>
    <w:rsid w:val="00B82106"/>
    <w:rsid w:val="00B82526"/>
    <w:rsid w:val="00B82809"/>
    <w:rsid w:val="00B84872"/>
    <w:rsid w:val="00B87915"/>
    <w:rsid w:val="00B9084D"/>
    <w:rsid w:val="00B91224"/>
    <w:rsid w:val="00B91420"/>
    <w:rsid w:val="00B92DEC"/>
    <w:rsid w:val="00B93E06"/>
    <w:rsid w:val="00B9525A"/>
    <w:rsid w:val="00BA015D"/>
    <w:rsid w:val="00BA064C"/>
    <w:rsid w:val="00BA08F9"/>
    <w:rsid w:val="00BA0C85"/>
    <w:rsid w:val="00BA1B22"/>
    <w:rsid w:val="00BA1E0C"/>
    <w:rsid w:val="00BA4091"/>
    <w:rsid w:val="00BA4735"/>
    <w:rsid w:val="00BA54D5"/>
    <w:rsid w:val="00BA5D61"/>
    <w:rsid w:val="00BB0E47"/>
    <w:rsid w:val="00BB2DB8"/>
    <w:rsid w:val="00BB3A50"/>
    <w:rsid w:val="00BB4CB1"/>
    <w:rsid w:val="00BB4D9B"/>
    <w:rsid w:val="00BB647C"/>
    <w:rsid w:val="00BC004F"/>
    <w:rsid w:val="00BC0098"/>
    <w:rsid w:val="00BC0C83"/>
    <w:rsid w:val="00BC33E7"/>
    <w:rsid w:val="00BC5A0A"/>
    <w:rsid w:val="00BC61B1"/>
    <w:rsid w:val="00BC74B2"/>
    <w:rsid w:val="00BD1F16"/>
    <w:rsid w:val="00BD201F"/>
    <w:rsid w:val="00BD27A9"/>
    <w:rsid w:val="00BD55D3"/>
    <w:rsid w:val="00BD787F"/>
    <w:rsid w:val="00BD7E26"/>
    <w:rsid w:val="00BE00F2"/>
    <w:rsid w:val="00BE209A"/>
    <w:rsid w:val="00BE2293"/>
    <w:rsid w:val="00BE2455"/>
    <w:rsid w:val="00BE24AF"/>
    <w:rsid w:val="00BE37DF"/>
    <w:rsid w:val="00BE37E1"/>
    <w:rsid w:val="00BE4B28"/>
    <w:rsid w:val="00BE4ED0"/>
    <w:rsid w:val="00BE57F6"/>
    <w:rsid w:val="00BE6E5D"/>
    <w:rsid w:val="00BE7220"/>
    <w:rsid w:val="00BF021D"/>
    <w:rsid w:val="00BF2D80"/>
    <w:rsid w:val="00BF2DF2"/>
    <w:rsid w:val="00BF32A0"/>
    <w:rsid w:val="00BF34A5"/>
    <w:rsid w:val="00BF3828"/>
    <w:rsid w:val="00BF4F4D"/>
    <w:rsid w:val="00BF5144"/>
    <w:rsid w:val="00BF5E9D"/>
    <w:rsid w:val="00BF6C79"/>
    <w:rsid w:val="00C00747"/>
    <w:rsid w:val="00C01116"/>
    <w:rsid w:val="00C02336"/>
    <w:rsid w:val="00C04254"/>
    <w:rsid w:val="00C043A7"/>
    <w:rsid w:val="00C044F1"/>
    <w:rsid w:val="00C050D3"/>
    <w:rsid w:val="00C10374"/>
    <w:rsid w:val="00C1094F"/>
    <w:rsid w:val="00C12840"/>
    <w:rsid w:val="00C13480"/>
    <w:rsid w:val="00C1593D"/>
    <w:rsid w:val="00C172E3"/>
    <w:rsid w:val="00C217D7"/>
    <w:rsid w:val="00C21910"/>
    <w:rsid w:val="00C22372"/>
    <w:rsid w:val="00C22791"/>
    <w:rsid w:val="00C244FF"/>
    <w:rsid w:val="00C268EB"/>
    <w:rsid w:val="00C27FC3"/>
    <w:rsid w:val="00C31F16"/>
    <w:rsid w:val="00C33D51"/>
    <w:rsid w:val="00C34065"/>
    <w:rsid w:val="00C35BF3"/>
    <w:rsid w:val="00C3670D"/>
    <w:rsid w:val="00C41370"/>
    <w:rsid w:val="00C41EED"/>
    <w:rsid w:val="00C442B6"/>
    <w:rsid w:val="00C459A1"/>
    <w:rsid w:val="00C47A2B"/>
    <w:rsid w:val="00C5096F"/>
    <w:rsid w:val="00C50CC6"/>
    <w:rsid w:val="00C5302D"/>
    <w:rsid w:val="00C5403F"/>
    <w:rsid w:val="00C55956"/>
    <w:rsid w:val="00C55CDD"/>
    <w:rsid w:val="00C5787F"/>
    <w:rsid w:val="00C57E44"/>
    <w:rsid w:val="00C60E71"/>
    <w:rsid w:val="00C61A6F"/>
    <w:rsid w:val="00C62F4A"/>
    <w:rsid w:val="00C6318D"/>
    <w:rsid w:val="00C634DB"/>
    <w:rsid w:val="00C63883"/>
    <w:rsid w:val="00C66506"/>
    <w:rsid w:val="00C70641"/>
    <w:rsid w:val="00C72EF0"/>
    <w:rsid w:val="00C7318D"/>
    <w:rsid w:val="00C74CC2"/>
    <w:rsid w:val="00C76487"/>
    <w:rsid w:val="00C77322"/>
    <w:rsid w:val="00C77ACD"/>
    <w:rsid w:val="00C81584"/>
    <w:rsid w:val="00C82FC1"/>
    <w:rsid w:val="00C83726"/>
    <w:rsid w:val="00C85536"/>
    <w:rsid w:val="00C9240D"/>
    <w:rsid w:val="00C94EF9"/>
    <w:rsid w:val="00C96565"/>
    <w:rsid w:val="00C975F3"/>
    <w:rsid w:val="00C9766A"/>
    <w:rsid w:val="00C9795B"/>
    <w:rsid w:val="00CA1310"/>
    <w:rsid w:val="00CA27D5"/>
    <w:rsid w:val="00CA3336"/>
    <w:rsid w:val="00CA3630"/>
    <w:rsid w:val="00CA49A2"/>
    <w:rsid w:val="00CA4D80"/>
    <w:rsid w:val="00CA552A"/>
    <w:rsid w:val="00CA55AC"/>
    <w:rsid w:val="00CA5DA4"/>
    <w:rsid w:val="00CA6831"/>
    <w:rsid w:val="00CA683E"/>
    <w:rsid w:val="00CB0179"/>
    <w:rsid w:val="00CB0C87"/>
    <w:rsid w:val="00CB2278"/>
    <w:rsid w:val="00CB354D"/>
    <w:rsid w:val="00CB6BD8"/>
    <w:rsid w:val="00CB74C1"/>
    <w:rsid w:val="00CC0031"/>
    <w:rsid w:val="00CC1B2D"/>
    <w:rsid w:val="00CC2C4F"/>
    <w:rsid w:val="00CC3FDF"/>
    <w:rsid w:val="00CC60B9"/>
    <w:rsid w:val="00CD1628"/>
    <w:rsid w:val="00CD2712"/>
    <w:rsid w:val="00CD35A0"/>
    <w:rsid w:val="00CD41EE"/>
    <w:rsid w:val="00CD476F"/>
    <w:rsid w:val="00CD664F"/>
    <w:rsid w:val="00CD7C95"/>
    <w:rsid w:val="00CD7D8B"/>
    <w:rsid w:val="00CE00A9"/>
    <w:rsid w:val="00CE3D5E"/>
    <w:rsid w:val="00CE49E7"/>
    <w:rsid w:val="00CE5455"/>
    <w:rsid w:val="00CE642E"/>
    <w:rsid w:val="00CF034B"/>
    <w:rsid w:val="00CF32E9"/>
    <w:rsid w:val="00CF345C"/>
    <w:rsid w:val="00CF4E94"/>
    <w:rsid w:val="00CF56C1"/>
    <w:rsid w:val="00CF75BA"/>
    <w:rsid w:val="00D0100E"/>
    <w:rsid w:val="00D010E3"/>
    <w:rsid w:val="00D01A19"/>
    <w:rsid w:val="00D02E90"/>
    <w:rsid w:val="00D0482D"/>
    <w:rsid w:val="00D05810"/>
    <w:rsid w:val="00D10925"/>
    <w:rsid w:val="00D15ADE"/>
    <w:rsid w:val="00D20416"/>
    <w:rsid w:val="00D20CCF"/>
    <w:rsid w:val="00D21942"/>
    <w:rsid w:val="00D22B65"/>
    <w:rsid w:val="00D23682"/>
    <w:rsid w:val="00D30BD9"/>
    <w:rsid w:val="00D30C9F"/>
    <w:rsid w:val="00D31275"/>
    <w:rsid w:val="00D3196B"/>
    <w:rsid w:val="00D321BF"/>
    <w:rsid w:val="00D324FC"/>
    <w:rsid w:val="00D35F36"/>
    <w:rsid w:val="00D36893"/>
    <w:rsid w:val="00D36FA6"/>
    <w:rsid w:val="00D378DF"/>
    <w:rsid w:val="00D41322"/>
    <w:rsid w:val="00D42B0C"/>
    <w:rsid w:val="00D47AC5"/>
    <w:rsid w:val="00D5090D"/>
    <w:rsid w:val="00D5113F"/>
    <w:rsid w:val="00D52351"/>
    <w:rsid w:val="00D52E1B"/>
    <w:rsid w:val="00D56336"/>
    <w:rsid w:val="00D56BA7"/>
    <w:rsid w:val="00D576E9"/>
    <w:rsid w:val="00D5781D"/>
    <w:rsid w:val="00D617EF"/>
    <w:rsid w:val="00D62ECD"/>
    <w:rsid w:val="00D65CF2"/>
    <w:rsid w:val="00D6682C"/>
    <w:rsid w:val="00D66CF8"/>
    <w:rsid w:val="00D66DB5"/>
    <w:rsid w:val="00D67F9B"/>
    <w:rsid w:val="00D7008D"/>
    <w:rsid w:val="00D7086E"/>
    <w:rsid w:val="00D70C49"/>
    <w:rsid w:val="00D70F3A"/>
    <w:rsid w:val="00D71EDD"/>
    <w:rsid w:val="00D72BEF"/>
    <w:rsid w:val="00D72C62"/>
    <w:rsid w:val="00D73886"/>
    <w:rsid w:val="00D75EE3"/>
    <w:rsid w:val="00D76AB8"/>
    <w:rsid w:val="00D772B3"/>
    <w:rsid w:val="00D77A52"/>
    <w:rsid w:val="00D804A0"/>
    <w:rsid w:val="00D81B58"/>
    <w:rsid w:val="00D81C14"/>
    <w:rsid w:val="00D832D5"/>
    <w:rsid w:val="00D83376"/>
    <w:rsid w:val="00D84B5D"/>
    <w:rsid w:val="00D853FF"/>
    <w:rsid w:val="00D8705F"/>
    <w:rsid w:val="00D87A07"/>
    <w:rsid w:val="00D92A15"/>
    <w:rsid w:val="00D934FF"/>
    <w:rsid w:val="00D943DD"/>
    <w:rsid w:val="00D957C0"/>
    <w:rsid w:val="00D965FE"/>
    <w:rsid w:val="00DA0546"/>
    <w:rsid w:val="00DA1332"/>
    <w:rsid w:val="00DA377B"/>
    <w:rsid w:val="00DA48F6"/>
    <w:rsid w:val="00DA5238"/>
    <w:rsid w:val="00DA53C1"/>
    <w:rsid w:val="00DA5621"/>
    <w:rsid w:val="00DA5B67"/>
    <w:rsid w:val="00DA6AAC"/>
    <w:rsid w:val="00DA7ECD"/>
    <w:rsid w:val="00DB0851"/>
    <w:rsid w:val="00DB09E4"/>
    <w:rsid w:val="00DB2D17"/>
    <w:rsid w:val="00DB5E4D"/>
    <w:rsid w:val="00DB5F9F"/>
    <w:rsid w:val="00DB6D1F"/>
    <w:rsid w:val="00DC11CB"/>
    <w:rsid w:val="00DC13EA"/>
    <w:rsid w:val="00DC1BB7"/>
    <w:rsid w:val="00DC3ADA"/>
    <w:rsid w:val="00DC4A0B"/>
    <w:rsid w:val="00DC4D66"/>
    <w:rsid w:val="00DC554F"/>
    <w:rsid w:val="00DC6111"/>
    <w:rsid w:val="00DC62E6"/>
    <w:rsid w:val="00DC691E"/>
    <w:rsid w:val="00DC73B8"/>
    <w:rsid w:val="00DC78F4"/>
    <w:rsid w:val="00DD026E"/>
    <w:rsid w:val="00DD1715"/>
    <w:rsid w:val="00DD2C4D"/>
    <w:rsid w:val="00DD35FE"/>
    <w:rsid w:val="00DD37BF"/>
    <w:rsid w:val="00DD4340"/>
    <w:rsid w:val="00DD44AD"/>
    <w:rsid w:val="00DD45F6"/>
    <w:rsid w:val="00DD5596"/>
    <w:rsid w:val="00DD5A7F"/>
    <w:rsid w:val="00DD6B23"/>
    <w:rsid w:val="00DE1E06"/>
    <w:rsid w:val="00DE342A"/>
    <w:rsid w:val="00DE48C3"/>
    <w:rsid w:val="00DE493A"/>
    <w:rsid w:val="00DE5099"/>
    <w:rsid w:val="00DE58AE"/>
    <w:rsid w:val="00DE7190"/>
    <w:rsid w:val="00DF1157"/>
    <w:rsid w:val="00DF178D"/>
    <w:rsid w:val="00DF2711"/>
    <w:rsid w:val="00DF2E2D"/>
    <w:rsid w:val="00DF38C7"/>
    <w:rsid w:val="00DF4392"/>
    <w:rsid w:val="00DF4E1F"/>
    <w:rsid w:val="00DF69A1"/>
    <w:rsid w:val="00DF6DE1"/>
    <w:rsid w:val="00DF752E"/>
    <w:rsid w:val="00E0035B"/>
    <w:rsid w:val="00E00956"/>
    <w:rsid w:val="00E011B3"/>
    <w:rsid w:val="00E01A14"/>
    <w:rsid w:val="00E01A51"/>
    <w:rsid w:val="00E01E1A"/>
    <w:rsid w:val="00E02EE2"/>
    <w:rsid w:val="00E04AB2"/>
    <w:rsid w:val="00E04B3B"/>
    <w:rsid w:val="00E04D61"/>
    <w:rsid w:val="00E05109"/>
    <w:rsid w:val="00E05894"/>
    <w:rsid w:val="00E0642C"/>
    <w:rsid w:val="00E06BD0"/>
    <w:rsid w:val="00E109E0"/>
    <w:rsid w:val="00E10EAF"/>
    <w:rsid w:val="00E1364D"/>
    <w:rsid w:val="00E14FA3"/>
    <w:rsid w:val="00E151B6"/>
    <w:rsid w:val="00E153CF"/>
    <w:rsid w:val="00E1543D"/>
    <w:rsid w:val="00E15D9B"/>
    <w:rsid w:val="00E169B1"/>
    <w:rsid w:val="00E17572"/>
    <w:rsid w:val="00E176F6"/>
    <w:rsid w:val="00E177EE"/>
    <w:rsid w:val="00E204AA"/>
    <w:rsid w:val="00E220B4"/>
    <w:rsid w:val="00E245F0"/>
    <w:rsid w:val="00E2566D"/>
    <w:rsid w:val="00E27820"/>
    <w:rsid w:val="00E304B3"/>
    <w:rsid w:val="00E32827"/>
    <w:rsid w:val="00E329AF"/>
    <w:rsid w:val="00E342B0"/>
    <w:rsid w:val="00E350B7"/>
    <w:rsid w:val="00E356BA"/>
    <w:rsid w:val="00E37A33"/>
    <w:rsid w:val="00E37D1E"/>
    <w:rsid w:val="00E40979"/>
    <w:rsid w:val="00E40FD6"/>
    <w:rsid w:val="00E435B7"/>
    <w:rsid w:val="00E43A26"/>
    <w:rsid w:val="00E466D8"/>
    <w:rsid w:val="00E46AF2"/>
    <w:rsid w:val="00E47557"/>
    <w:rsid w:val="00E503F7"/>
    <w:rsid w:val="00E5154B"/>
    <w:rsid w:val="00E5543F"/>
    <w:rsid w:val="00E6140D"/>
    <w:rsid w:val="00E61F52"/>
    <w:rsid w:val="00E6411D"/>
    <w:rsid w:val="00E6414B"/>
    <w:rsid w:val="00E64851"/>
    <w:rsid w:val="00E66C57"/>
    <w:rsid w:val="00E67C51"/>
    <w:rsid w:val="00E70BD3"/>
    <w:rsid w:val="00E71783"/>
    <w:rsid w:val="00E71967"/>
    <w:rsid w:val="00E7237E"/>
    <w:rsid w:val="00E72A5A"/>
    <w:rsid w:val="00E72D5C"/>
    <w:rsid w:val="00E72EA1"/>
    <w:rsid w:val="00E735B1"/>
    <w:rsid w:val="00E73BE0"/>
    <w:rsid w:val="00E741ED"/>
    <w:rsid w:val="00E770AD"/>
    <w:rsid w:val="00E77FD2"/>
    <w:rsid w:val="00E81DCB"/>
    <w:rsid w:val="00E85206"/>
    <w:rsid w:val="00E90B31"/>
    <w:rsid w:val="00E90BDF"/>
    <w:rsid w:val="00E929ED"/>
    <w:rsid w:val="00E940AC"/>
    <w:rsid w:val="00E94F36"/>
    <w:rsid w:val="00E95883"/>
    <w:rsid w:val="00EA258A"/>
    <w:rsid w:val="00EA447E"/>
    <w:rsid w:val="00EA4DBC"/>
    <w:rsid w:val="00EA50AB"/>
    <w:rsid w:val="00EB037F"/>
    <w:rsid w:val="00EB10EA"/>
    <w:rsid w:val="00EB1595"/>
    <w:rsid w:val="00EB31AB"/>
    <w:rsid w:val="00EB4EFE"/>
    <w:rsid w:val="00EB5751"/>
    <w:rsid w:val="00EC175E"/>
    <w:rsid w:val="00EC22D7"/>
    <w:rsid w:val="00EC245A"/>
    <w:rsid w:val="00EC4458"/>
    <w:rsid w:val="00EC4BAE"/>
    <w:rsid w:val="00EC58EB"/>
    <w:rsid w:val="00EC5B7C"/>
    <w:rsid w:val="00EC5D37"/>
    <w:rsid w:val="00EC6A3F"/>
    <w:rsid w:val="00ED2391"/>
    <w:rsid w:val="00ED3DA3"/>
    <w:rsid w:val="00ED6DE6"/>
    <w:rsid w:val="00EE42D0"/>
    <w:rsid w:val="00EE6411"/>
    <w:rsid w:val="00EE66C7"/>
    <w:rsid w:val="00EE6922"/>
    <w:rsid w:val="00EE6B2F"/>
    <w:rsid w:val="00EE70C3"/>
    <w:rsid w:val="00EF02F8"/>
    <w:rsid w:val="00EF0400"/>
    <w:rsid w:val="00EF5730"/>
    <w:rsid w:val="00EF5C83"/>
    <w:rsid w:val="00EF7D7A"/>
    <w:rsid w:val="00F002B2"/>
    <w:rsid w:val="00F00AC2"/>
    <w:rsid w:val="00F01548"/>
    <w:rsid w:val="00F01C27"/>
    <w:rsid w:val="00F0204B"/>
    <w:rsid w:val="00F02B88"/>
    <w:rsid w:val="00F03B3D"/>
    <w:rsid w:val="00F05177"/>
    <w:rsid w:val="00F0601A"/>
    <w:rsid w:val="00F0724E"/>
    <w:rsid w:val="00F12FA2"/>
    <w:rsid w:val="00F14C67"/>
    <w:rsid w:val="00F15518"/>
    <w:rsid w:val="00F17616"/>
    <w:rsid w:val="00F22E5F"/>
    <w:rsid w:val="00F233B0"/>
    <w:rsid w:val="00F24E5E"/>
    <w:rsid w:val="00F25D76"/>
    <w:rsid w:val="00F26DA9"/>
    <w:rsid w:val="00F31D64"/>
    <w:rsid w:val="00F33537"/>
    <w:rsid w:val="00F33736"/>
    <w:rsid w:val="00F33B09"/>
    <w:rsid w:val="00F3434E"/>
    <w:rsid w:val="00F358FC"/>
    <w:rsid w:val="00F35BAA"/>
    <w:rsid w:val="00F36D4A"/>
    <w:rsid w:val="00F376EB"/>
    <w:rsid w:val="00F37FE5"/>
    <w:rsid w:val="00F40EC2"/>
    <w:rsid w:val="00F40EFA"/>
    <w:rsid w:val="00F41545"/>
    <w:rsid w:val="00F41EEA"/>
    <w:rsid w:val="00F4341D"/>
    <w:rsid w:val="00F4545C"/>
    <w:rsid w:val="00F45E80"/>
    <w:rsid w:val="00F50177"/>
    <w:rsid w:val="00F51132"/>
    <w:rsid w:val="00F51CC5"/>
    <w:rsid w:val="00F51F90"/>
    <w:rsid w:val="00F567BF"/>
    <w:rsid w:val="00F56AC0"/>
    <w:rsid w:val="00F56F0E"/>
    <w:rsid w:val="00F56F47"/>
    <w:rsid w:val="00F57335"/>
    <w:rsid w:val="00F57A39"/>
    <w:rsid w:val="00F61F72"/>
    <w:rsid w:val="00F62680"/>
    <w:rsid w:val="00F63723"/>
    <w:rsid w:val="00F63BA4"/>
    <w:rsid w:val="00F65E9E"/>
    <w:rsid w:val="00F65FFA"/>
    <w:rsid w:val="00F7025D"/>
    <w:rsid w:val="00F72085"/>
    <w:rsid w:val="00F73FF5"/>
    <w:rsid w:val="00F74EFB"/>
    <w:rsid w:val="00F76F54"/>
    <w:rsid w:val="00F7712A"/>
    <w:rsid w:val="00F77955"/>
    <w:rsid w:val="00F77BE1"/>
    <w:rsid w:val="00F803F8"/>
    <w:rsid w:val="00F8144D"/>
    <w:rsid w:val="00F82B0E"/>
    <w:rsid w:val="00F8415B"/>
    <w:rsid w:val="00F84424"/>
    <w:rsid w:val="00F869F8"/>
    <w:rsid w:val="00F86B46"/>
    <w:rsid w:val="00F86BE3"/>
    <w:rsid w:val="00F90B85"/>
    <w:rsid w:val="00F90EFD"/>
    <w:rsid w:val="00F926D8"/>
    <w:rsid w:val="00F93F4C"/>
    <w:rsid w:val="00F9535B"/>
    <w:rsid w:val="00F95DE8"/>
    <w:rsid w:val="00F962C7"/>
    <w:rsid w:val="00F96FD2"/>
    <w:rsid w:val="00F9780A"/>
    <w:rsid w:val="00FA06AC"/>
    <w:rsid w:val="00FA0E40"/>
    <w:rsid w:val="00FA13F8"/>
    <w:rsid w:val="00FA1906"/>
    <w:rsid w:val="00FA2EC0"/>
    <w:rsid w:val="00FA31AD"/>
    <w:rsid w:val="00FA3F1F"/>
    <w:rsid w:val="00FA47E1"/>
    <w:rsid w:val="00FA4EA3"/>
    <w:rsid w:val="00FB0933"/>
    <w:rsid w:val="00FB13E0"/>
    <w:rsid w:val="00FB1516"/>
    <w:rsid w:val="00FB38D6"/>
    <w:rsid w:val="00FB3AE0"/>
    <w:rsid w:val="00FB4CA8"/>
    <w:rsid w:val="00FB5EBA"/>
    <w:rsid w:val="00FB6B34"/>
    <w:rsid w:val="00FC07C4"/>
    <w:rsid w:val="00FC1619"/>
    <w:rsid w:val="00FC19E8"/>
    <w:rsid w:val="00FC22CF"/>
    <w:rsid w:val="00FC3B31"/>
    <w:rsid w:val="00FC43D1"/>
    <w:rsid w:val="00FC4541"/>
    <w:rsid w:val="00FC5866"/>
    <w:rsid w:val="00FC5B63"/>
    <w:rsid w:val="00FC5E53"/>
    <w:rsid w:val="00FD0BDA"/>
    <w:rsid w:val="00FD37C4"/>
    <w:rsid w:val="00FD3EB9"/>
    <w:rsid w:val="00FD4975"/>
    <w:rsid w:val="00FD4992"/>
    <w:rsid w:val="00FD79FF"/>
    <w:rsid w:val="00FE297B"/>
    <w:rsid w:val="00FE2F41"/>
    <w:rsid w:val="00FE3880"/>
    <w:rsid w:val="00FE47DF"/>
    <w:rsid w:val="00FE7555"/>
    <w:rsid w:val="00FE75DD"/>
    <w:rsid w:val="00FF0C5F"/>
    <w:rsid w:val="00FF0CC1"/>
    <w:rsid w:val="00FF253E"/>
    <w:rsid w:val="00FF274C"/>
    <w:rsid w:val="00FF2B67"/>
    <w:rsid w:val="00FF354D"/>
    <w:rsid w:val="00FF61E2"/>
    <w:rsid w:val="00FF6B48"/>
    <w:rsid w:val="00FF7563"/>
    <w:rsid w:val="00FF7A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stroke="f">
      <v:fill color="white" opacity="0"/>
      <v:stroke on="f"/>
      <o:colormru v:ext="edit" colors="#ddd,#cfcfcf,#cacaca,#66f,blue,#ccd3e1,#002469,#33508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1"/>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21E4D"/>
    <w:rPr>
      <w:rFonts w:ascii="Arial" w:hAnsi="Arial"/>
      <w:sz w:val="22"/>
      <w:lang w:val="en-GB" w:eastAsia="en-GB"/>
    </w:rPr>
  </w:style>
  <w:style w:type="paragraph" w:customStyle="1" w:styleId="Numberparagraph">
    <w:name w:val="Number paragraph"/>
    <w:basedOn w:val="Normal"/>
    <w:qFormat/>
    <w:rsid w:val="00794DF3"/>
    <w:pPr>
      <w:numPr>
        <w:numId w:val="10"/>
      </w:numPr>
      <w:tabs>
        <w:tab w:val="left" w:pos="567"/>
      </w:tabs>
      <w:spacing w:after="0" w:line="240" w:lineRule="auto"/>
      <w:jc w:val="both"/>
    </w:pPr>
    <w:rPr>
      <w:rFonts w:ascii="Times New Roman" w:hAnsi="Times New Roman"/>
      <w:sz w:val="24"/>
      <w:szCs w:val="24"/>
      <w:lang w:val="en-NZ" w:eastAsia="en-AU"/>
    </w:rPr>
  </w:style>
  <w:style w:type="paragraph" w:customStyle="1" w:styleId="TRNormal">
    <w:name w:val="_TRNormal"/>
    <w:rsid w:val="001A4D2C"/>
    <w:pPr>
      <w:spacing w:line="300" w:lineRule="atLeast"/>
      <w:jc w:val="both"/>
    </w:pPr>
    <w:rPr>
      <w:sz w:val="24"/>
      <w:lang w:eastAsia="en-AU"/>
    </w:rPr>
  </w:style>
  <w:style w:type="character" w:styleId="Emphasis">
    <w:name w:val="Emphasis"/>
    <w:basedOn w:val="DefaultParagraphFont"/>
    <w:uiPriority w:val="20"/>
    <w:qFormat/>
    <w:rsid w:val="00216A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1"/>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21E4D"/>
    <w:rPr>
      <w:rFonts w:ascii="Arial" w:hAnsi="Arial"/>
      <w:sz w:val="22"/>
      <w:lang w:val="en-GB" w:eastAsia="en-GB"/>
    </w:rPr>
  </w:style>
  <w:style w:type="paragraph" w:customStyle="1" w:styleId="Numberparagraph">
    <w:name w:val="Number paragraph"/>
    <w:basedOn w:val="Normal"/>
    <w:qFormat/>
    <w:rsid w:val="00794DF3"/>
    <w:pPr>
      <w:numPr>
        <w:numId w:val="10"/>
      </w:numPr>
      <w:tabs>
        <w:tab w:val="left" w:pos="567"/>
      </w:tabs>
      <w:spacing w:after="0" w:line="240" w:lineRule="auto"/>
      <w:jc w:val="both"/>
    </w:pPr>
    <w:rPr>
      <w:rFonts w:ascii="Times New Roman" w:hAnsi="Times New Roman"/>
      <w:sz w:val="24"/>
      <w:szCs w:val="24"/>
      <w:lang w:val="en-NZ" w:eastAsia="en-AU"/>
    </w:rPr>
  </w:style>
  <w:style w:type="paragraph" w:customStyle="1" w:styleId="TRNormal">
    <w:name w:val="_TRNormal"/>
    <w:rsid w:val="001A4D2C"/>
    <w:pPr>
      <w:spacing w:line="300" w:lineRule="atLeast"/>
      <w:jc w:val="both"/>
    </w:pPr>
    <w:rPr>
      <w:sz w:val="24"/>
      <w:lang w:eastAsia="en-AU"/>
    </w:rPr>
  </w:style>
  <w:style w:type="character" w:styleId="Emphasis">
    <w:name w:val="Emphasis"/>
    <w:basedOn w:val="DefaultParagraphFont"/>
    <w:uiPriority w:val="20"/>
    <w:qFormat/>
    <w:rsid w:val="00216A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401946111">
      <w:bodyDiv w:val="1"/>
      <w:marLeft w:val="0"/>
      <w:marRight w:val="0"/>
      <w:marTop w:val="0"/>
      <w:marBottom w:val="0"/>
      <w:divBdr>
        <w:top w:val="none" w:sz="0" w:space="0" w:color="auto"/>
        <w:left w:val="none" w:sz="0" w:space="0" w:color="auto"/>
        <w:bottom w:val="none" w:sz="0" w:space="0" w:color="auto"/>
        <w:right w:val="none" w:sz="0" w:space="0" w:color="auto"/>
      </w:divBdr>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840598">
      <w:bodyDiv w:val="1"/>
      <w:marLeft w:val="0"/>
      <w:marRight w:val="0"/>
      <w:marTop w:val="0"/>
      <w:marBottom w:val="0"/>
      <w:divBdr>
        <w:top w:val="none" w:sz="0" w:space="0" w:color="auto"/>
        <w:left w:val="none" w:sz="0" w:space="0" w:color="auto"/>
        <w:bottom w:val="none" w:sz="0" w:space="0" w:color="auto"/>
        <w:right w:val="none" w:sz="0" w:space="0" w:color="auto"/>
      </w:divBdr>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847597">
      <w:bodyDiv w:val="1"/>
      <w:marLeft w:val="0"/>
      <w:marRight w:val="0"/>
      <w:marTop w:val="0"/>
      <w:marBottom w:val="480"/>
      <w:divBdr>
        <w:top w:val="none" w:sz="0" w:space="0" w:color="auto"/>
        <w:left w:val="none" w:sz="0" w:space="0" w:color="auto"/>
        <w:bottom w:val="none" w:sz="0" w:space="0" w:color="auto"/>
        <w:right w:val="none" w:sz="0" w:space="0" w:color="auto"/>
      </w:divBdr>
      <w:divsChild>
        <w:div w:id="288898340">
          <w:marLeft w:val="0"/>
          <w:marRight w:val="0"/>
          <w:marTop w:val="0"/>
          <w:marBottom w:val="0"/>
          <w:divBdr>
            <w:top w:val="none" w:sz="0" w:space="0" w:color="auto"/>
            <w:left w:val="none" w:sz="0" w:space="0" w:color="auto"/>
            <w:bottom w:val="none" w:sz="0" w:space="0" w:color="auto"/>
            <w:right w:val="none" w:sz="0" w:space="0" w:color="auto"/>
          </w:divBdr>
          <w:divsChild>
            <w:div w:id="2025205327">
              <w:marLeft w:val="0"/>
              <w:marRight w:val="0"/>
              <w:marTop w:val="0"/>
              <w:marBottom w:val="0"/>
              <w:divBdr>
                <w:top w:val="none" w:sz="0" w:space="0" w:color="auto"/>
                <w:left w:val="none" w:sz="0" w:space="0" w:color="auto"/>
                <w:bottom w:val="none" w:sz="0" w:space="0" w:color="auto"/>
                <w:right w:val="none" w:sz="0" w:space="0" w:color="auto"/>
              </w:divBdr>
              <w:divsChild>
                <w:div w:id="1561594280">
                  <w:marLeft w:val="0"/>
                  <w:marRight w:val="0"/>
                  <w:marTop w:val="0"/>
                  <w:marBottom w:val="0"/>
                  <w:divBdr>
                    <w:top w:val="none" w:sz="0" w:space="0" w:color="auto"/>
                    <w:left w:val="none" w:sz="0" w:space="0" w:color="auto"/>
                    <w:bottom w:val="none" w:sz="0" w:space="0" w:color="auto"/>
                    <w:right w:val="none" w:sz="0" w:space="0" w:color="auto"/>
                  </w:divBdr>
                  <w:divsChild>
                    <w:div w:id="1436904771">
                      <w:marLeft w:val="0"/>
                      <w:marRight w:val="0"/>
                      <w:marTop w:val="0"/>
                      <w:marBottom w:val="0"/>
                      <w:divBdr>
                        <w:top w:val="none" w:sz="0" w:space="0" w:color="auto"/>
                        <w:left w:val="none" w:sz="0" w:space="0" w:color="auto"/>
                        <w:bottom w:val="none" w:sz="0" w:space="0" w:color="auto"/>
                        <w:right w:val="none" w:sz="0" w:space="0" w:color="auto"/>
                      </w:divBdr>
                      <w:divsChild>
                        <w:div w:id="622544630">
                          <w:marLeft w:val="0"/>
                          <w:marRight w:val="0"/>
                          <w:marTop w:val="0"/>
                          <w:marBottom w:val="0"/>
                          <w:divBdr>
                            <w:top w:val="none" w:sz="0" w:space="0" w:color="auto"/>
                            <w:left w:val="none" w:sz="0" w:space="0" w:color="auto"/>
                            <w:bottom w:val="none" w:sz="0" w:space="0" w:color="auto"/>
                            <w:right w:val="none" w:sz="0" w:space="0" w:color="auto"/>
                          </w:divBdr>
                          <w:divsChild>
                            <w:div w:id="429400080">
                              <w:marLeft w:val="0"/>
                              <w:marRight w:val="0"/>
                              <w:marTop w:val="0"/>
                              <w:marBottom w:val="0"/>
                              <w:divBdr>
                                <w:top w:val="none" w:sz="0" w:space="0" w:color="auto"/>
                                <w:left w:val="none" w:sz="0" w:space="0" w:color="auto"/>
                                <w:bottom w:val="none" w:sz="0" w:space="0" w:color="auto"/>
                                <w:right w:val="none" w:sz="0" w:space="0" w:color="auto"/>
                              </w:divBdr>
                              <w:divsChild>
                                <w:div w:id="900486197">
                                  <w:marLeft w:val="-390"/>
                                  <w:marRight w:val="-390"/>
                                  <w:marTop w:val="0"/>
                                  <w:marBottom w:val="360"/>
                                  <w:divBdr>
                                    <w:top w:val="none" w:sz="0" w:space="0" w:color="auto"/>
                                    <w:left w:val="none" w:sz="0" w:space="0" w:color="auto"/>
                                    <w:bottom w:val="none" w:sz="0" w:space="0" w:color="auto"/>
                                    <w:right w:val="none" w:sz="0" w:space="0" w:color="auto"/>
                                  </w:divBdr>
                                  <w:divsChild>
                                    <w:div w:id="115240241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8121</Words>
  <Characters>48582</Characters>
  <Application>Microsoft Office Word</Application>
  <DocSecurity>0</DocSecurity>
  <Lines>1104</Lines>
  <Paragraphs>313</Paragraphs>
  <ScaleCrop>false</ScaleCrop>
  <HeadingPairs>
    <vt:vector size="2" baseType="variant">
      <vt:variant>
        <vt:lpstr>Title</vt:lpstr>
      </vt:variant>
      <vt:variant>
        <vt:i4>1</vt:i4>
      </vt:variant>
    </vt:vector>
  </HeadingPairs>
  <TitlesOfParts>
    <vt:vector size="1" baseType="lpstr">
      <vt:lpstr>Regulatory impact statement - Implementing New Zealand’s commitment to Automatic Exchange of Information (AEOI) (May 2016)</vt:lpstr>
    </vt:vector>
  </TitlesOfParts>
  <Company>Inland Revenue</Company>
  <LinksUpToDate>false</LinksUpToDate>
  <CharactersWithSpaces>56390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Implementing New Zealand’s commitment to Automatic Exchange of Information (AEOI) (May 2016)</dc:title>
  <dc:creator>Policy and Strategy</dc:creator>
  <dc:description>Published August 2016.</dc:description>
  <cp:lastModifiedBy>David Nind</cp:lastModifiedBy>
  <cp:revision>2</cp:revision>
  <dcterms:created xsi:type="dcterms:W3CDTF">2016-08-07T05:20:00Z</dcterms:created>
  <dcterms:modified xsi:type="dcterms:W3CDTF">2016-08-07T05:21:00Z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