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C" w:rsidRPr="007C737B" w:rsidRDefault="007C737B" w:rsidP="000D03D4">
      <w:pPr>
        <w:pStyle w:val="RISheading"/>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GoBack"/>
      <w:bookmarkEnd w:id="0"/>
      <w:bookmarkEnd w:id="6"/>
      <w:r w:rsidRPr="007C737B">
        <w:t>Regulatory Impact Statement</w:t>
      </w:r>
      <w:bookmarkEnd w:id="1"/>
      <w:bookmarkEnd w:id="2"/>
      <w:bookmarkEnd w:id="3"/>
      <w:bookmarkEnd w:id="4"/>
      <w:bookmarkEnd w:id="5"/>
    </w:p>
    <w:p w:rsidR="000545DC" w:rsidRPr="004342F0" w:rsidRDefault="004B5FC7" w:rsidP="000D03D4">
      <w:pPr>
        <w:pStyle w:val="RISheading"/>
      </w:pPr>
      <w:r>
        <w:t>Remission income, tax losses and insolvent individuals</w:t>
      </w:r>
    </w:p>
    <w:p w:rsidR="000545DC" w:rsidRPr="004342F0" w:rsidRDefault="001C6912" w:rsidP="000D03D4">
      <w:pPr>
        <w:pStyle w:val="RISheading"/>
      </w:pPr>
      <w:r w:rsidRPr="004342F0">
        <w:t xml:space="preserve">Agency </w:t>
      </w:r>
      <w:r w:rsidR="000545DC" w:rsidRPr="004342F0">
        <w:t xml:space="preserve">Disclosure Statement </w:t>
      </w:r>
    </w:p>
    <w:p w:rsidR="000545DC" w:rsidRPr="004342F0" w:rsidRDefault="000545DC" w:rsidP="004B3B68">
      <w:r w:rsidRPr="004342F0">
        <w:t xml:space="preserve">This Regulatory Impact Statement has been prepared by </w:t>
      </w:r>
      <w:r w:rsidR="009F7B9A" w:rsidRPr="004342F0">
        <w:t>Inland Revenue</w:t>
      </w:r>
      <w:r w:rsidR="009A23EE">
        <w:t>.</w:t>
      </w:r>
    </w:p>
    <w:p w:rsidR="005F050F" w:rsidRDefault="005F050F" w:rsidP="004B3B68"/>
    <w:p w:rsidR="004342F0" w:rsidRDefault="000545DC" w:rsidP="004B3B68">
      <w:r w:rsidRPr="004342F0">
        <w:t xml:space="preserve">It provides an analysis of options to </w:t>
      </w:r>
      <w:r w:rsidR="003501FB">
        <w:t>address inconsistencies</w:t>
      </w:r>
      <w:r w:rsidR="004B5FC7">
        <w:t xml:space="preserve"> in the taxation law</w:t>
      </w:r>
      <w:r w:rsidR="003501FB">
        <w:t xml:space="preserve"> </w:t>
      </w:r>
      <w:r w:rsidR="004B5FC7">
        <w:t>relating to</w:t>
      </w:r>
      <w:r w:rsidR="003501FB">
        <w:t xml:space="preserve"> the carry-forward of tax losses and the fresh</w:t>
      </w:r>
      <w:r w:rsidR="006456F5">
        <w:t>-</w:t>
      </w:r>
      <w:r w:rsidR="003501FB">
        <w:t>start principle of insolvency law.</w:t>
      </w:r>
    </w:p>
    <w:p w:rsidR="003501FB" w:rsidRDefault="003501FB" w:rsidP="004B3B68">
      <w:pPr>
        <w:pStyle w:val="Text"/>
        <w:rPr>
          <w:lang w:val="en-NZ"/>
        </w:rPr>
      </w:pPr>
      <w:r>
        <w:rPr>
          <w:lang w:val="en-NZ"/>
        </w:rPr>
        <w:t>The options are considered in the light of the objectives of:</w:t>
      </w:r>
    </w:p>
    <w:p w:rsidR="003501FB" w:rsidRPr="00ED48BC" w:rsidRDefault="003501FB" w:rsidP="00C745FC">
      <w:pPr>
        <w:pStyle w:val="RISbullet"/>
        <w:rPr>
          <w:i/>
        </w:rPr>
      </w:pPr>
      <w:r>
        <w:t xml:space="preserve">neutrality of the tax system in relation to investment decisions; </w:t>
      </w:r>
    </w:p>
    <w:p w:rsidR="00ED48BC" w:rsidRPr="003501FB" w:rsidRDefault="00ED48BC" w:rsidP="00C745FC">
      <w:pPr>
        <w:pStyle w:val="RISbullet"/>
        <w:numPr>
          <w:ilvl w:val="0"/>
          <w:numId w:val="0"/>
        </w:numPr>
        <w:ind w:left="851"/>
      </w:pPr>
    </w:p>
    <w:p w:rsidR="00991307" w:rsidRPr="000002C3" w:rsidRDefault="003501FB" w:rsidP="00C745FC">
      <w:pPr>
        <w:pStyle w:val="RISbullet"/>
        <w:rPr>
          <w:i/>
        </w:rPr>
      </w:pPr>
      <w:r>
        <w:t>the efficiency of the tax system</w:t>
      </w:r>
      <w:r w:rsidR="00991307">
        <w:t>; and</w:t>
      </w:r>
    </w:p>
    <w:p w:rsidR="00991307" w:rsidRDefault="00991307" w:rsidP="000002C3">
      <w:pPr>
        <w:pStyle w:val="ListParagraph"/>
      </w:pPr>
    </w:p>
    <w:p w:rsidR="003501FB" w:rsidRPr="003501FB" w:rsidRDefault="00991307" w:rsidP="00C745FC">
      <w:pPr>
        <w:pStyle w:val="RISbullet"/>
        <w:rPr>
          <w:i/>
        </w:rPr>
      </w:pPr>
      <w:r>
        <w:t>the objectives of insolvency law.</w:t>
      </w:r>
    </w:p>
    <w:p w:rsidR="003501FB" w:rsidRDefault="003501FB" w:rsidP="004B3B68">
      <w:pPr>
        <w:pStyle w:val="Text"/>
        <w:rPr>
          <w:lang w:val="en-NZ"/>
        </w:rPr>
      </w:pPr>
      <w:r>
        <w:rPr>
          <w:lang w:val="en-NZ"/>
        </w:rPr>
        <w:t>For the purpose of our analysis, we assumed that the tax system should complement the objectives of insolvency law in relation to the fresh</w:t>
      </w:r>
      <w:r w:rsidR="006456F5">
        <w:rPr>
          <w:lang w:val="en-NZ"/>
        </w:rPr>
        <w:t>-</w:t>
      </w:r>
      <w:r>
        <w:rPr>
          <w:lang w:val="en-NZ"/>
        </w:rPr>
        <w:t>start principle.</w:t>
      </w:r>
    </w:p>
    <w:p w:rsidR="003501FB" w:rsidRDefault="003501FB" w:rsidP="004B3B68">
      <w:pPr>
        <w:pStyle w:val="Text"/>
        <w:rPr>
          <w:lang w:val="en-NZ"/>
        </w:rPr>
      </w:pPr>
      <w:r>
        <w:rPr>
          <w:lang w:val="en-NZ"/>
        </w:rPr>
        <w:t xml:space="preserve">The estimate of nil fiscal impact is based on current outcomes in practice.  </w:t>
      </w:r>
      <w:r w:rsidR="00CD0CE0">
        <w:rPr>
          <w:lang w:val="en-NZ"/>
        </w:rPr>
        <w:t>Published data indicates about 3,000 individuals</w:t>
      </w:r>
      <w:r w:rsidR="006923D5">
        <w:rPr>
          <w:lang w:val="en-NZ"/>
        </w:rPr>
        <w:t xml:space="preserve"> annually</w:t>
      </w:r>
      <w:r w:rsidR="00CD0CE0">
        <w:rPr>
          <w:lang w:val="en-NZ"/>
        </w:rPr>
        <w:t xml:space="preserve"> are subjec</w:t>
      </w:r>
      <w:r w:rsidR="00B66362">
        <w:rPr>
          <w:lang w:val="en-NZ"/>
        </w:rPr>
        <w:t>t to insolvency procedures and obtain relief from debts</w:t>
      </w:r>
      <w:r w:rsidR="00CD0CE0">
        <w:rPr>
          <w:lang w:val="en-NZ"/>
        </w:rPr>
        <w:t xml:space="preserve"> </w:t>
      </w:r>
      <w:r w:rsidR="00B66362">
        <w:rPr>
          <w:lang w:val="en-NZ"/>
        </w:rPr>
        <w:t>under</w:t>
      </w:r>
      <w:r w:rsidR="00CD0CE0">
        <w:rPr>
          <w:lang w:val="en-NZ"/>
        </w:rPr>
        <w:t xml:space="preserve"> the fresh</w:t>
      </w:r>
      <w:r w:rsidR="006456F5">
        <w:rPr>
          <w:lang w:val="en-NZ"/>
        </w:rPr>
        <w:t>-</w:t>
      </w:r>
      <w:r w:rsidR="00CD0CE0">
        <w:rPr>
          <w:lang w:val="en-NZ"/>
        </w:rPr>
        <w:t xml:space="preserve">start principle of insolvency law.  </w:t>
      </w:r>
      <w:r w:rsidR="000002C3">
        <w:rPr>
          <w:lang w:val="en-NZ"/>
        </w:rPr>
        <w:t>Because of data limitations in identifying all taxpayers who may benefit from the fresh</w:t>
      </w:r>
      <w:r w:rsidR="006456F5">
        <w:rPr>
          <w:lang w:val="en-NZ"/>
        </w:rPr>
        <w:t>-</w:t>
      </w:r>
      <w:r w:rsidR="000002C3">
        <w:rPr>
          <w:lang w:val="en-NZ"/>
        </w:rPr>
        <w:t xml:space="preserve">start principle, it is not possible to determine the number of insolvent individuals who have carried-forward tax losses.  </w:t>
      </w:r>
      <w:r w:rsidR="00B66362">
        <w:rPr>
          <w:lang w:val="en-NZ"/>
        </w:rPr>
        <w:t xml:space="preserve">However, as the objective of the policy proposals is for the tax system to better support the objectives of insolvency law, </w:t>
      </w:r>
      <w:r w:rsidR="005F050F">
        <w:rPr>
          <w:lang w:val="en-NZ"/>
        </w:rPr>
        <w:t>this limitation has not impacted on the analysis or conclusions.</w:t>
      </w:r>
    </w:p>
    <w:p w:rsidR="00385EC1" w:rsidRPr="004342F0" w:rsidRDefault="004B5FC7" w:rsidP="004B3B68">
      <w:pPr>
        <w:pStyle w:val="Text"/>
        <w:rPr>
          <w:lang w:val="en-NZ"/>
        </w:rPr>
      </w:pPr>
      <w:r>
        <w:rPr>
          <w:lang w:val="en-NZ"/>
        </w:rPr>
        <w:t xml:space="preserve">The policy proposals were provided to a targeted audience, but no material matters were raised in </w:t>
      </w:r>
      <w:r w:rsidR="005F050F">
        <w:rPr>
          <w:lang w:val="en-NZ"/>
        </w:rPr>
        <w:t>feedback</w:t>
      </w:r>
      <w:r>
        <w:rPr>
          <w:lang w:val="en-NZ"/>
        </w:rPr>
        <w:t>.</w:t>
      </w:r>
    </w:p>
    <w:p w:rsidR="00085660" w:rsidRDefault="004B5FC7" w:rsidP="004B3B68">
      <w:pPr>
        <w:pStyle w:val="Text"/>
        <w:rPr>
          <w:lang w:val="en-NZ"/>
        </w:rPr>
      </w:pPr>
      <w:r>
        <w:rPr>
          <w:lang w:val="en-NZ"/>
        </w:rPr>
        <w:t>None of the policy options considered have environmental or cultural impacts, and nor were there any significant constraints, caveats and uncertainties concerning the regulatory impact analysis, other than the data limitations noted above.</w:t>
      </w:r>
    </w:p>
    <w:p w:rsidR="004B5FC7" w:rsidRPr="004342F0" w:rsidRDefault="004B5FC7" w:rsidP="004B3B68">
      <w:pPr>
        <w:pStyle w:val="Text"/>
        <w:rPr>
          <w:lang w:val="en-NZ"/>
        </w:rPr>
      </w:pPr>
      <w:r>
        <w:rPr>
          <w:lang w:val="en-NZ"/>
        </w:rPr>
        <w:t xml:space="preserve">None of the policy options considered would restrict market </w:t>
      </w:r>
      <w:r w:rsidR="00ED48BC">
        <w:rPr>
          <w:lang w:val="en-NZ"/>
        </w:rPr>
        <w:t>competition</w:t>
      </w:r>
      <w:r>
        <w:rPr>
          <w:lang w:val="en-NZ"/>
        </w:rPr>
        <w:t>, reduce the incentives for business to innovate and invest, unduly impair private property rights, or override fundamental principles of common law.</w:t>
      </w:r>
    </w:p>
    <w:p w:rsidR="00085660" w:rsidRDefault="00085660" w:rsidP="004B3B68">
      <w:pPr>
        <w:pStyle w:val="Text"/>
        <w:rPr>
          <w:lang w:val="en-NZ"/>
        </w:rPr>
      </w:pPr>
    </w:p>
    <w:p w:rsidR="005F050F" w:rsidRDefault="005F050F" w:rsidP="004B3B68">
      <w:pPr>
        <w:pStyle w:val="Text"/>
        <w:rPr>
          <w:lang w:val="en-NZ"/>
        </w:rPr>
      </w:pPr>
    </w:p>
    <w:p w:rsidR="00385EC1" w:rsidRPr="004342F0" w:rsidRDefault="00385EC1" w:rsidP="004B3B68">
      <w:pPr>
        <w:pStyle w:val="Text"/>
        <w:rPr>
          <w:lang w:val="en-NZ"/>
        </w:rPr>
      </w:pPr>
    </w:p>
    <w:p w:rsidR="00085660" w:rsidRPr="004342F0" w:rsidRDefault="00085660" w:rsidP="004B3B68">
      <w:pPr>
        <w:pStyle w:val="Text"/>
        <w:rPr>
          <w:lang w:val="en-NZ"/>
        </w:rPr>
      </w:pPr>
    </w:p>
    <w:p w:rsidR="00085660" w:rsidRPr="004342F0" w:rsidRDefault="004B5FC7" w:rsidP="004B3B68">
      <w:pPr>
        <w:pStyle w:val="Text"/>
        <w:rPr>
          <w:lang w:val="en-NZ"/>
        </w:rPr>
      </w:pPr>
      <w:r>
        <w:rPr>
          <w:lang w:val="en-NZ"/>
        </w:rPr>
        <w:t>Peter Frawley</w:t>
      </w:r>
    </w:p>
    <w:p w:rsidR="009F7B9A" w:rsidRPr="004342F0" w:rsidRDefault="004B5FC7" w:rsidP="004B3B68">
      <w:pPr>
        <w:pStyle w:val="Text"/>
        <w:rPr>
          <w:lang w:val="en-NZ"/>
        </w:rPr>
      </w:pPr>
      <w:r>
        <w:rPr>
          <w:lang w:val="en-NZ"/>
        </w:rPr>
        <w:t>Policy Manager</w:t>
      </w:r>
      <w:r w:rsidR="00ED48BC">
        <w:rPr>
          <w:lang w:val="en-NZ"/>
        </w:rPr>
        <w:t xml:space="preserve">, </w:t>
      </w:r>
      <w:r w:rsidR="005A62E6">
        <w:rPr>
          <w:lang w:val="en-NZ"/>
        </w:rPr>
        <w:t>Policy and Strategy</w:t>
      </w:r>
    </w:p>
    <w:p w:rsidR="000545DC" w:rsidRPr="004342F0" w:rsidRDefault="001C6912" w:rsidP="004B3B68">
      <w:pPr>
        <w:pStyle w:val="Text"/>
        <w:rPr>
          <w:lang w:val="en-NZ"/>
        </w:rPr>
      </w:pPr>
      <w:r w:rsidRPr="004342F0">
        <w:rPr>
          <w:lang w:val="en-NZ"/>
        </w:rPr>
        <w:t>Inland Revenue</w:t>
      </w:r>
    </w:p>
    <w:p w:rsidR="00ED48BC" w:rsidRDefault="00434849" w:rsidP="000002C3">
      <w:pPr>
        <w:pStyle w:val="Text"/>
        <w:rPr>
          <w:lang w:val="en-NZ"/>
        </w:rPr>
      </w:pPr>
      <w:r>
        <w:rPr>
          <w:lang w:val="en-NZ"/>
        </w:rPr>
        <w:t xml:space="preserve">9 </w:t>
      </w:r>
      <w:r w:rsidR="00DB630D">
        <w:rPr>
          <w:lang w:val="en-NZ"/>
        </w:rPr>
        <w:t xml:space="preserve">/ </w:t>
      </w:r>
      <w:r>
        <w:rPr>
          <w:lang w:val="en-NZ"/>
        </w:rPr>
        <w:t>11</w:t>
      </w:r>
      <w:r w:rsidR="00DB630D">
        <w:rPr>
          <w:lang w:val="en-NZ"/>
        </w:rPr>
        <w:t xml:space="preserve"> </w:t>
      </w:r>
      <w:r w:rsidR="005F050F">
        <w:rPr>
          <w:lang w:val="en-NZ"/>
        </w:rPr>
        <w:t xml:space="preserve">/ </w:t>
      </w:r>
      <w:r>
        <w:rPr>
          <w:lang w:val="en-NZ"/>
        </w:rPr>
        <w:t>2015</w:t>
      </w:r>
      <w:r w:rsidR="005F050F">
        <w:rPr>
          <w:lang w:val="en-NZ"/>
        </w:rPr>
        <w:t xml:space="preserve"> </w:t>
      </w:r>
      <w:r w:rsidR="00DB630D">
        <w:rPr>
          <w:lang w:val="en-NZ"/>
        </w:rPr>
        <w:t xml:space="preserve"> </w:t>
      </w:r>
      <w:r w:rsidR="005F050F">
        <w:rPr>
          <w:lang w:val="en-NZ"/>
        </w:rPr>
        <w:t xml:space="preserve"> </w:t>
      </w:r>
      <w:r w:rsidR="00ED48BC">
        <w:rPr>
          <w:lang w:val="en-NZ"/>
        </w:rPr>
        <w:br w:type="page"/>
      </w:r>
    </w:p>
    <w:p w:rsidR="000545DC" w:rsidRDefault="001C6912" w:rsidP="000D03D4">
      <w:pPr>
        <w:pStyle w:val="RISheading"/>
      </w:pPr>
      <w:bookmarkStart w:id="7" w:name="_Toc244580363"/>
      <w:bookmarkStart w:id="8" w:name="_Toc244587039"/>
      <w:bookmarkStart w:id="9" w:name="_Toc244857273"/>
      <w:bookmarkStart w:id="10" w:name="_Toc244912538"/>
      <w:bookmarkStart w:id="11" w:name="_Toc244916995"/>
      <w:r w:rsidRPr="004342F0">
        <w:lastRenderedPageBreak/>
        <w:t>STATUS QUO AND PROBLEM DEFINITION</w:t>
      </w:r>
      <w:bookmarkEnd w:id="7"/>
      <w:bookmarkEnd w:id="8"/>
      <w:bookmarkEnd w:id="9"/>
      <w:bookmarkEnd w:id="10"/>
      <w:bookmarkEnd w:id="11"/>
    </w:p>
    <w:p w:rsidR="004B5FC7" w:rsidRPr="000D03D4" w:rsidRDefault="002A3B64" w:rsidP="000D03D4">
      <w:pPr>
        <w:pStyle w:val="Heading3"/>
      </w:pPr>
      <w:r w:rsidRPr="000D03D4">
        <w:t>C</w:t>
      </w:r>
      <w:r w:rsidR="004B5FC7" w:rsidRPr="000D03D4">
        <w:t>urrent regulatory environment</w:t>
      </w:r>
    </w:p>
    <w:p w:rsidR="00FF5E8A" w:rsidRPr="00BB4CC8" w:rsidRDefault="00FF5E8A" w:rsidP="00103D35">
      <w:pPr>
        <w:pStyle w:val="RISnumbering"/>
      </w:pPr>
      <w:r w:rsidRPr="00BB4CC8">
        <w:t xml:space="preserve">Under long-standing policy, a person is able to carry forward unused tax </w:t>
      </w:r>
      <w:r w:rsidR="005C6775" w:rsidRPr="00BB4CC8">
        <w:t>losses from</w:t>
      </w:r>
      <w:r w:rsidRPr="00BB4CC8">
        <w:t xml:space="preserve"> year to year, to offset against net income in a future tax year</w:t>
      </w:r>
      <w:r w:rsidR="002A3B64">
        <w:t>.  However, this ability to carry forward tax losses has always been contingent on the debtor fully satisfying his or her liabilities for expenses incurred that have been taken into account in calculating past tax losses.</w:t>
      </w:r>
      <w:r w:rsidRPr="00BB4CC8">
        <w:t xml:space="preserve">  </w:t>
      </w:r>
    </w:p>
    <w:p w:rsidR="00FF5E8A" w:rsidRPr="00FF5E8A" w:rsidRDefault="00FF5E8A" w:rsidP="00103D35">
      <w:pPr>
        <w:pStyle w:val="RISnumbering"/>
        <w:numPr>
          <w:ilvl w:val="0"/>
          <w:numId w:val="0"/>
        </w:numPr>
        <w:rPr>
          <w:lang w:val="en-AU"/>
        </w:rPr>
      </w:pPr>
    </w:p>
    <w:p w:rsidR="00FF5E8A" w:rsidRPr="004342F0" w:rsidRDefault="002A3B64" w:rsidP="00103D35">
      <w:pPr>
        <w:pStyle w:val="RISnumbering"/>
      </w:pPr>
      <w:r>
        <w:t>Allowing a person to carry forward tax losses</w:t>
      </w:r>
      <w:r w:rsidR="00FF5E8A" w:rsidRPr="00FF5E8A">
        <w:t xml:space="preserve"> is based on the assumption that a person would continue in business and make sufficient profits to absorb earlier losses.  This is consistent with </w:t>
      </w:r>
      <w:r>
        <w:t>key policy</w:t>
      </w:r>
      <w:r w:rsidRPr="00FF5E8A">
        <w:t xml:space="preserve"> </w:t>
      </w:r>
      <w:r>
        <w:t>objective</w:t>
      </w:r>
      <w:r w:rsidR="005F050F">
        <w:t>s</w:t>
      </w:r>
      <w:r>
        <w:t xml:space="preserve"> for</w:t>
      </w:r>
      <w:r w:rsidR="00FF5E8A" w:rsidRPr="00FF5E8A">
        <w:t xml:space="preserve"> </w:t>
      </w:r>
      <w:r w:rsidR="006456F5">
        <w:t xml:space="preserve">the tax </w:t>
      </w:r>
      <w:r w:rsidR="00FF5E8A" w:rsidRPr="00FF5E8A">
        <w:t>loss carry-forward rules</w:t>
      </w:r>
      <w:r>
        <w:t>, which is to</w:t>
      </w:r>
      <w:r w:rsidR="00FF5E8A" w:rsidRPr="00FF5E8A">
        <w:t xml:space="preserve"> encourage entrepreneurial risk</w:t>
      </w:r>
      <w:r w:rsidR="00FF5E8A">
        <w:t xml:space="preserve">-taking </w:t>
      </w:r>
      <w:r w:rsidR="00FF5E8A" w:rsidRPr="00FF5E8A">
        <w:t>and that Governments share in the rewards of that business through taxes.</w:t>
      </w:r>
    </w:p>
    <w:p w:rsidR="009E39BD" w:rsidRPr="004342F0" w:rsidRDefault="009E39BD" w:rsidP="00103D35">
      <w:pPr>
        <w:pStyle w:val="RISnumbering"/>
        <w:numPr>
          <w:ilvl w:val="0"/>
          <w:numId w:val="0"/>
        </w:numPr>
      </w:pPr>
    </w:p>
    <w:p w:rsidR="00BB4CC8" w:rsidRDefault="00FF5E8A" w:rsidP="00103D35">
      <w:pPr>
        <w:pStyle w:val="RISnumbering"/>
      </w:pPr>
      <w:r>
        <w:t xml:space="preserve">If a person is unable to continue in business and </w:t>
      </w:r>
      <w:r w:rsidR="00BB4CC8">
        <w:t>be sufficiently profitable to absorb earlier tax losses, it is possible for that person to become insolvent and be unable to satisfy debt obligations as they fall due.</w:t>
      </w:r>
      <w:r w:rsidR="002A3B64">
        <w:t xml:space="preserve"> If an insolvent person is unable to satisfy those debt obligations, they may obtain relief from their debts by</w:t>
      </w:r>
      <w:r w:rsidR="005F050F">
        <w:t xml:space="preserve"> being</w:t>
      </w:r>
      <w:r w:rsidR="002A3B64">
        <w:t xml:space="preserve"> declared bankrupt or by entering into arrangements under alternatives to bankruptcy, such as occurs on completion of the “no-asset procedure” under the Insolvency Act 2006, or under a deed of compromise with creditors.</w:t>
      </w:r>
    </w:p>
    <w:p w:rsidR="00BB4CC8" w:rsidRDefault="00BB4CC8" w:rsidP="00103D35">
      <w:pPr>
        <w:pStyle w:val="RISnumbering"/>
        <w:numPr>
          <w:ilvl w:val="0"/>
          <w:numId w:val="0"/>
        </w:numPr>
      </w:pPr>
    </w:p>
    <w:p w:rsidR="002A3B64" w:rsidRDefault="00BB4CC8" w:rsidP="00103D35">
      <w:pPr>
        <w:pStyle w:val="RISnumbering"/>
      </w:pPr>
      <w:r>
        <w:t>I</w:t>
      </w:r>
      <w:r w:rsidR="002A3B64">
        <w:t>n general, the intervention of i</w:t>
      </w:r>
      <w:r w:rsidR="00FF5E8A">
        <w:t xml:space="preserve">nsolvency law </w:t>
      </w:r>
      <w:r w:rsidR="002A3B64">
        <w:t>in contract law is intended to</w:t>
      </w:r>
      <w:r w:rsidR="00FF5E8A">
        <w:t xml:space="preserve"> protect the honest, but unfortunate debtor from his or her creditors, through discharge from debts after a period to enable a fresh start</w:t>
      </w:r>
      <w:r w:rsidR="002A3B64">
        <w:t xml:space="preserve"> (“the fresh</w:t>
      </w:r>
      <w:r w:rsidR="006456F5">
        <w:t>-</w:t>
      </w:r>
      <w:r w:rsidR="002A3B64">
        <w:t>start principle”)</w:t>
      </w:r>
      <w:r w:rsidR="00FF5E8A">
        <w:t xml:space="preserve">.  </w:t>
      </w:r>
    </w:p>
    <w:p w:rsidR="002A3B64" w:rsidRDefault="002A3B64" w:rsidP="00103D35">
      <w:pPr>
        <w:pStyle w:val="RISnumbering"/>
        <w:numPr>
          <w:ilvl w:val="0"/>
          <w:numId w:val="0"/>
        </w:numPr>
      </w:pPr>
    </w:p>
    <w:p w:rsidR="00FF5E8A" w:rsidRDefault="006456F5" w:rsidP="00103D35">
      <w:pPr>
        <w:pStyle w:val="RISnumbering"/>
      </w:pPr>
      <w:r>
        <w:t>However, the fresh-</w:t>
      </w:r>
      <w:r w:rsidR="00FF5E8A">
        <w:t>start principle is not solely concerned with “resetting” the insolvent person’s financial liabilities to zero.  It also involves</w:t>
      </w:r>
      <w:r w:rsidR="002A3B64" w:rsidRPr="002A3B64">
        <w:t xml:space="preserve"> </w:t>
      </w:r>
      <w:r w:rsidR="002A3B64" w:rsidRPr="00DB7C29">
        <w:t>the insolvent individual</w:t>
      </w:r>
      <w:r w:rsidR="00FF5E8A">
        <w:t>:</w:t>
      </w:r>
    </w:p>
    <w:p w:rsidR="00FF5E8A" w:rsidRDefault="00FF5E8A" w:rsidP="00103D35">
      <w:pPr>
        <w:pStyle w:val="RISnumbering"/>
        <w:numPr>
          <w:ilvl w:val="0"/>
          <w:numId w:val="0"/>
        </w:numPr>
      </w:pPr>
    </w:p>
    <w:p w:rsidR="00FF5E8A" w:rsidRPr="00DB7C29" w:rsidRDefault="00FF5E8A" w:rsidP="00103D35">
      <w:pPr>
        <w:pStyle w:val="RISbullet"/>
      </w:pPr>
      <w:r w:rsidRPr="00DB7C29">
        <w:t>surrendering his or her capital for equitable distribution among creditors (subject to minimal retentions for family maintenance); and</w:t>
      </w:r>
    </w:p>
    <w:p w:rsidR="00BB4CC8" w:rsidRPr="00DB7C29" w:rsidRDefault="00BB4CC8" w:rsidP="00103D35">
      <w:pPr>
        <w:pStyle w:val="RISbullet"/>
        <w:numPr>
          <w:ilvl w:val="0"/>
          <w:numId w:val="0"/>
        </w:numPr>
        <w:ind w:left="851"/>
      </w:pPr>
    </w:p>
    <w:p w:rsidR="00FF5E8A" w:rsidRPr="00DB7C29" w:rsidRDefault="00FF5E8A" w:rsidP="00103D35">
      <w:pPr>
        <w:pStyle w:val="RISbullet"/>
      </w:pPr>
      <w:r w:rsidRPr="00DB7C29">
        <w:t>being able to resume economic activity</w:t>
      </w:r>
      <w:r w:rsidR="002A3B64">
        <w:t>, free of the burden of past debt (other than certain debts, such as child support debt)</w:t>
      </w:r>
      <w:r w:rsidR="005C6775">
        <w:t>,</w:t>
      </w:r>
      <w:r w:rsidR="005C6775" w:rsidRPr="00DB7C29">
        <w:t xml:space="preserve"> with</w:t>
      </w:r>
      <w:r w:rsidRPr="00DB7C29">
        <w:t xml:space="preserve"> only a minimal level of personal assets.  </w:t>
      </w:r>
    </w:p>
    <w:p w:rsidR="00ED0AAC" w:rsidRDefault="00ED0AAC" w:rsidP="00DF25F0">
      <w:pPr>
        <w:pStyle w:val="RISparagraph"/>
        <w:numPr>
          <w:ilvl w:val="0"/>
          <w:numId w:val="0"/>
        </w:numPr>
        <w:ind w:left="927"/>
      </w:pPr>
    </w:p>
    <w:p w:rsidR="00FF5E8A" w:rsidRDefault="006456F5" w:rsidP="00103D35">
      <w:pPr>
        <w:pStyle w:val="RISnumbering"/>
      </w:pPr>
      <w:r>
        <w:t>The basis of the fresh-</w:t>
      </w:r>
      <w:r w:rsidR="00FF5E8A">
        <w:t xml:space="preserve">start principle is that the insolvent person surrenders rights to property they </w:t>
      </w:r>
      <w:r w:rsidR="005C6775">
        <w:t>own in</w:t>
      </w:r>
      <w:r w:rsidR="00FF5E8A">
        <w:t xml:space="preserve"> exchange for the subsequent cancellation of debts on discharge from bankruptcy.  </w:t>
      </w:r>
      <w:r w:rsidR="002A3B64">
        <w:t xml:space="preserve">The </w:t>
      </w:r>
      <w:r w:rsidR="00FF5E8A">
        <w:t>purpose</w:t>
      </w:r>
      <w:r w:rsidR="002A3B64">
        <w:t xml:space="preserve"> of this trade-off</w:t>
      </w:r>
      <w:r w:rsidR="00FF5E8A">
        <w:t xml:space="preserve"> is to encourage insolvent </w:t>
      </w:r>
      <w:r w:rsidR="002A3B64">
        <w:t xml:space="preserve">individuals </w:t>
      </w:r>
      <w:r w:rsidR="00FF5E8A">
        <w:t xml:space="preserve">to again become productive, benefitting both themselves, and society as a whole.  </w:t>
      </w:r>
    </w:p>
    <w:p w:rsidR="003A11B4" w:rsidRPr="003A11B4" w:rsidRDefault="000D03D4" w:rsidP="000D03D4">
      <w:pPr>
        <w:pStyle w:val="Heading3"/>
      </w:pPr>
      <w:r>
        <w:t>Current law</w:t>
      </w:r>
      <w:r w:rsidR="000F1A56">
        <w:t xml:space="preserve"> and practice</w:t>
      </w:r>
      <w:r>
        <w:t xml:space="preserve">: </w:t>
      </w:r>
      <w:r w:rsidR="001F0B6A">
        <w:t>income tax</w:t>
      </w:r>
    </w:p>
    <w:p w:rsidR="00B038D4" w:rsidRDefault="003A11B4" w:rsidP="00103D35">
      <w:pPr>
        <w:pStyle w:val="RISnumbering"/>
      </w:pPr>
      <w:r>
        <w:t>Under current</w:t>
      </w:r>
      <w:r w:rsidR="000D03D4">
        <w:t xml:space="preserve"> income</w:t>
      </w:r>
      <w:r>
        <w:t xml:space="preserve"> </w:t>
      </w:r>
      <w:r w:rsidR="00365B22">
        <w:t>tax law</w:t>
      </w:r>
      <w:r>
        <w:t xml:space="preserve">, </w:t>
      </w:r>
      <w:r w:rsidR="001F0B6A">
        <w:t xml:space="preserve">a person is required to satisfy his or her income tax obligations in relation to income derived.  Normally, it is clear that the person who derives the income is also required to satisfy those income tax obligations, including filing returns of income.  </w:t>
      </w:r>
    </w:p>
    <w:p w:rsidR="00B038D4" w:rsidRDefault="00B038D4" w:rsidP="00103D35">
      <w:pPr>
        <w:pStyle w:val="RISnumbering"/>
        <w:numPr>
          <w:ilvl w:val="0"/>
          <w:numId w:val="0"/>
        </w:numPr>
      </w:pPr>
    </w:p>
    <w:p w:rsidR="001F0B6A" w:rsidRDefault="00B038D4" w:rsidP="00103D35">
      <w:pPr>
        <w:pStyle w:val="RISnumbering"/>
      </w:pPr>
      <w:r>
        <w:t xml:space="preserve">On being declared bankrupt, the person receives a new Inland Revenue number.  This practice is to enable Inland Revenue and the bankrupt to distinguish between income tax obligations before and during bankruptcy. </w:t>
      </w:r>
    </w:p>
    <w:p w:rsidR="001F0B6A" w:rsidRDefault="001F0B6A" w:rsidP="00103D35">
      <w:pPr>
        <w:pStyle w:val="RISnumbering"/>
        <w:numPr>
          <w:ilvl w:val="0"/>
          <w:numId w:val="0"/>
        </w:numPr>
      </w:pPr>
    </w:p>
    <w:p w:rsidR="00365B22" w:rsidRDefault="001F0B6A" w:rsidP="00103D35">
      <w:pPr>
        <w:pStyle w:val="RISnumbering"/>
      </w:pPr>
      <w:r>
        <w:t>T</w:t>
      </w:r>
      <w:r w:rsidR="00365B22">
        <w:t xml:space="preserve">here </w:t>
      </w:r>
      <w:r w:rsidR="00637D90">
        <w:t xml:space="preserve">are </w:t>
      </w:r>
      <w:r w:rsidR="00C912DF">
        <w:t xml:space="preserve">three </w:t>
      </w:r>
      <w:r w:rsidR="00637D90">
        <w:t xml:space="preserve">sets of </w:t>
      </w:r>
      <w:r>
        <w:t xml:space="preserve">income tax </w:t>
      </w:r>
      <w:r w:rsidR="00637D90">
        <w:t>rules</w:t>
      </w:r>
      <w:r w:rsidR="00365B22">
        <w:t xml:space="preserve"> relating to carried-forward tax losses of a person who is</w:t>
      </w:r>
      <w:r w:rsidR="003A11B4">
        <w:t xml:space="preserve"> </w:t>
      </w:r>
      <w:r w:rsidR="005F050F">
        <w:t xml:space="preserve">declared </w:t>
      </w:r>
      <w:r w:rsidR="00637D90">
        <w:t>bankrupt:</w:t>
      </w:r>
    </w:p>
    <w:p w:rsidR="00DB7C29" w:rsidRDefault="00DB7C29" w:rsidP="00103D35">
      <w:pPr>
        <w:pStyle w:val="RISnumbering"/>
        <w:numPr>
          <w:ilvl w:val="0"/>
          <w:numId w:val="0"/>
        </w:numPr>
        <w:ind w:left="643"/>
      </w:pPr>
    </w:p>
    <w:p w:rsidR="00DB630D" w:rsidRPr="00DB630D" w:rsidRDefault="00365B22" w:rsidP="00103D35">
      <w:pPr>
        <w:pStyle w:val="RISbullet"/>
      </w:pPr>
      <w:r>
        <w:t xml:space="preserve">First, </w:t>
      </w:r>
      <w:r w:rsidR="00C912DF">
        <w:t xml:space="preserve">tax losses </w:t>
      </w:r>
      <w:r w:rsidR="00434849">
        <w:t xml:space="preserve">of an insolvent individual </w:t>
      </w:r>
      <w:r w:rsidR="00C912DF">
        <w:t xml:space="preserve">may be carried forward into the period of bankruptcy and applied against income derived </w:t>
      </w:r>
      <w:r w:rsidR="00434849">
        <w:t>during bankruptcy</w:t>
      </w:r>
      <w:r w:rsidR="00C912DF">
        <w:t>.  This may result in a refund of tax, which is part of the bankrupt estate.  Inland Revenue is required to pay that refund to the Official Assignee</w:t>
      </w:r>
      <w:r w:rsidR="00DB630D">
        <w:t xml:space="preserve"> who would include this in</w:t>
      </w:r>
      <w:r w:rsidR="00DB630D" w:rsidRPr="00DB630D">
        <w:t xml:space="preserve"> distribution</w:t>
      </w:r>
      <w:r w:rsidR="00DB630D">
        <w:t>s</w:t>
      </w:r>
      <w:r w:rsidR="00DB630D" w:rsidRPr="00DB630D">
        <w:t xml:space="preserve"> to creditors.  Under current tax and insolvency law, this is the only means by which creditors receive the benefit of the bankrupt’s carried forward tax losses.</w:t>
      </w:r>
    </w:p>
    <w:p w:rsidR="00C912DF" w:rsidRDefault="00C912DF" w:rsidP="00103D35">
      <w:pPr>
        <w:pStyle w:val="RISbullet"/>
        <w:numPr>
          <w:ilvl w:val="0"/>
          <w:numId w:val="0"/>
        </w:numPr>
        <w:ind w:left="851"/>
      </w:pPr>
    </w:p>
    <w:p w:rsidR="00FD7584" w:rsidRDefault="00C912DF" w:rsidP="00103D35">
      <w:pPr>
        <w:pStyle w:val="RISbullet"/>
      </w:pPr>
      <w:r>
        <w:t xml:space="preserve">Second, </w:t>
      </w:r>
      <w:r w:rsidR="00365B22">
        <w:t xml:space="preserve">the Commissioner of Inland Revenue is obliged to write off tax debt that is unrecoverable from the bankrupt estate. </w:t>
      </w:r>
      <w:r w:rsidR="00FD7584">
        <w:t>If tax debt of a bankrupt is written off, any carried forward tax losses are correspondingly reduced.</w:t>
      </w:r>
    </w:p>
    <w:p w:rsidR="00C912DF" w:rsidRDefault="00C912DF" w:rsidP="00103D35">
      <w:pPr>
        <w:pStyle w:val="RISbullet"/>
        <w:numPr>
          <w:ilvl w:val="0"/>
          <w:numId w:val="0"/>
        </w:numPr>
      </w:pPr>
    </w:p>
    <w:p w:rsidR="00ED48BC" w:rsidRDefault="00C912DF" w:rsidP="00103D35">
      <w:pPr>
        <w:pStyle w:val="RISbullet"/>
      </w:pPr>
      <w:r>
        <w:t xml:space="preserve">Third, </w:t>
      </w:r>
      <w:r w:rsidR="00637D90">
        <w:t>on discharge from bankruptcy,</w:t>
      </w:r>
      <w:r w:rsidR="00365B22">
        <w:t xml:space="preserve"> most of </w:t>
      </w:r>
      <w:r>
        <w:t>the bankrupt’s</w:t>
      </w:r>
      <w:r w:rsidR="003A11B4">
        <w:t xml:space="preserve"> outstanding debts are cancelled (</w:t>
      </w:r>
      <w:r w:rsidR="00365B22">
        <w:t>there are some exceptions</w:t>
      </w:r>
      <w:r w:rsidR="00335DFC">
        <w:t xml:space="preserve"> to this principle</w:t>
      </w:r>
      <w:r w:rsidR="00365B22">
        <w:t>, in particular</w:t>
      </w:r>
      <w:r w:rsidR="00434849">
        <w:t>,</w:t>
      </w:r>
      <w:r w:rsidR="00365B22">
        <w:t xml:space="preserve"> child support debt)</w:t>
      </w:r>
      <w:r w:rsidR="00434849">
        <w:t xml:space="preserve"> and remission income may arise to the extent of the person’s carried-forward tax losses</w:t>
      </w:r>
      <w:r w:rsidR="00365B22">
        <w:t xml:space="preserve">.  </w:t>
      </w:r>
    </w:p>
    <w:p w:rsidR="00ED48BC" w:rsidRDefault="00ED48BC" w:rsidP="00DF25F0">
      <w:pPr>
        <w:pStyle w:val="RISparagraph"/>
        <w:numPr>
          <w:ilvl w:val="0"/>
          <w:numId w:val="0"/>
        </w:numPr>
        <w:ind w:left="927"/>
      </w:pPr>
    </w:p>
    <w:p w:rsidR="00C912DF" w:rsidRDefault="000D03D4" w:rsidP="00103D35">
      <w:pPr>
        <w:pStyle w:val="RISnumbering"/>
      </w:pPr>
      <w:r>
        <w:t xml:space="preserve">Under </w:t>
      </w:r>
      <w:r w:rsidR="00C912DF">
        <w:t xml:space="preserve">remission income </w:t>
      </w:r>
      <w:r>
        <w:t>rules</w:t>
      </w:r>
      <w:r w:rsidR="00C912DF">
        <w:t xml:space="preserve"> in the Income Tax Act 2007,</w:t>
      </w:r>
      <w:r w:rsidR="00365B22">
        <w:t xml:space="preserve"> </w:t>
      </w:r>
      <w:r>
        <w:t xml:space="preserve">if a </w:t>
      </w:r>
      <w:r w:rsidR="00365B22">
        <w:t xml:space="preserve">bankrupt </w:t>
      </w:r>
      <w:r>
        <w:t xml:space="preserve">has </w:t>
      </w:r>
      <w:r w:rsidR="00365B22">
        <w:t xml:space="preserve">previously carried on a business, some of the </w:t>
      </w:r>
      <w:r>
        <w:t xml:space="preserve">debt </w:t>
      </w:r>
      <w:r w:rsidR="00365B22">
        <w:t xml:space="preserve">cancelled </w:t>
      </w:r>
      <w:r>
        <w:t xml:space="preserve">on discharge from bankruptcy </w:t>
      </w:r>
      <w:r w:rsidR="00365B22">
        <w:t xml:space="preserve">may be </w:t>
      </w:r>
      <w:r>
        <w:t xml:space="preserve">recovered </w:t>
      </w:r>
      <w:r w:rsidR="005C6775">
        <w:t>as remission</w:t>
      </w:r>
      <w:r w:rsidR="00365B22">
        <w:t xml:space="preserve"> income</w:t>
      </w:r>
      <w:r>
        <w:t xml:space="preserve">.  </w:t>
      </w:r>
      <w:r w:rsidR="00C912DF">
        <w:t>The intended effect of these</w:t>
      </w:r>
      <w:r>
        <w:t xml:space="preserve"> remission income</w:t>
      </w:r>
      <w:r w:rsidR="00C912DF">
        <w:t xml:space="preserve"> rules</w:t>
      </w:r>
      <w:r w:rsidR="00365B22">
        <w:t xml:space="preserve"> </w:t>
      </w:r>
      <w:r w:rsidR="005F050F">
        <w:t xml:space="preserve">is </w:t>
      </w:r>
      <w:r w:rsidR="00C912DF">
        <w:t>to reduce the amount of</w:t>
      </w:r>
      <w:r w:rsidR="00365B22">
        <w:t xml:space="preserve"> carried forward tax losses</w:t>
      </w:r>
      <w:r w:rsidR="00ED48BC">
        <w:t xml:space="preserve">.  </w:t>
      </w:r>
    </w:p>
    <w:p w:rsidR="00C912DF" w:rsidRDefault="00C912DF" w:rsidP="00103D35">
      <w:pPr>
        <w:pStyle w:val="RISnumbering"/>
        <w:numPr>
          <w:ilvl w:val="0"/>
          <w:numId w:val="0"/>
        </w:numPr>
      </w:pPr>
    </w:p>
    <w:p w:rsidR="00637D90" w:rsidRDefault="00ED48BC" w:rsidP="00103D35">
      <w:pPr>
        <w:pStyle w:val="RISnumbering"/>
      </w:pPr>
      <w:r>
        <w:t>The</w:t>
      </w:r>
      <w:r w:rsidR="000D03D4">
        <w:t>se</w:t>
      </w:r>
      <w:r>
        <w:t xml:space="preserve"> remission income rules </w:t>
      </w:r>
      <w:r w:rsidR="000D03D4">
        <w:t>apply</w:t>
      </w:r>
      <w:r w:rsidR="005F050F">
        <w:t xml:space="preserve"> on discharge from bankruptcy</w:t>
      </w:r>
      <w:r w:rsidR="000D03D4">
        <w:t xml:space="preserve"> if expenses incurred by the bankrupt</w:t>
      </w:r>
      <w:r w:rsidR="00C912DF">
        <w:t xml:space="preserve"> </w:t>
      </w:r>
      <w:r w:rsidR="000D03D4">
        <w:t>are included in the calculation of past tax losses</w:t>
      </w:r>
      <w:r w:rsidR="00C912DF">
        <w:t>.  The operation of the remission income rules</w:t>
      </w:r>
      <w:r w:rsidR="000D03D4">
        <w:t xml:space="preserve"> is</w:t>
      </w:r>
      <w:r>
        <w:t xml:space="preserve"> consistent</w:t>
      </w:r>
      <w:r w:rsidR="00335DFC">
        <w:t xml:space="preserve"> with the long standing policy that the carry-forward of tax losses is contingent on </w:t>
      </w:r>
      <w:r w:rsidR="00C912DF">
        <w:t xml:space="preserve">satisfying </w:t>
      </w:r>
      <w:r w:rsidR="00335DFC">
        <w:t>debts incurred relating to deductions included in past tax losses.</w:t>
      </w:r>
    </w:p>
    <w:p w:rsidR="00637D90" w:rsidRDefault="00637D90" w:rsidP="00DF25F0">
      <w:pPr>
        <w:pStyle w:val="RISparagraph"/>
        <w:numPr>
          <w:ilvl w:val="0"/>
          <w:numId w:val="0"/>
        </w:numPr>
        <w:ind w:left="927"/>
      </w:pPr>
    </w:p>
    <w:p w:rsidR="000D03D4" w:rsidRDefault="00637D90" w:rsidP="00103D35">
      <w:pPr>
        <w:pStyle w:val="RISnumbering"/>
      </w:pPr>
      <w:r>
        <w:t xml:space="preserve">After the application of </w:t>
      </w:r>
      <w:r w:rsidR="00C912DF">
        <w:t>these</w:t>
      </w:r>
      <w:r>
        <w:t xml:space="preserve"> rules, if a discharged bankrupt has a carried forward tax loss remaining, </w:t>
      </w:r>
      <w:r w:rsidR="00C912DF">
        <w:t xml:space="preserve">under current law, any remaining </w:t>
      </w:r>
      <w:r>
        <w:t>tax loss is then able to be used to offset against his or her future income.</w:t>
      </w:r>
    </w:p>
    <w:p w:rsidR="000D03D4" w:rsidRDefault="000D03D4" w:rsidP="005F0E9C">
      <w:pPr>
        <w:pStyle w:val="RISHeading2"/>
      </w:pPr>
      <w:r>
        <w:t>Cu</w:t>
      </w:r>
      <w:r w:rsidR="00C912DF">
        <w:t>rrent law</w:t>
      </w:r>
      <w:r w:rsidR="000F1A56">
        <w:t xml:space="preserve"> and practice</w:t>
      </w:r>
      <w:r w:rsidR="00C912DF">
        <w:t xml:space="preserve">: the </w:t>
      </w:r>
      <w:r w:rsidR="00726630">
        <w:t>insolvent individual</w:t>
      </w:r>
      <w:r w:rsidR="00C912DF">
        <w:t xml:space="preserve"> and the Official Assignee</w:t>
      </w:r>
    </w:p>
    <w:p w:rsidR="00726630" w:rsidRDefault="00C912DF" w:rsidP="00103D35">
      <w:pPr>
        <w:pStyle w:val="RISnumbering"/>
      </w:pPr>
      <w:r>
        <w:t xml:space="preserve">The Official Assignee is responsible for administering the application of insolvency law for individuals.   Under insolvency law, </w:t>
      </w:r>
      <w:r w:rsidR="00726630">
        <w:t>there are two main procedures that can result in an insolvent person being released from all debts under the Insolvency Act 2006:</w:t>
      </w:r>
    </w:p>
    <w:p w:rsidR="00726630" w:rsidRDefault="00726630" w:rsidP="00103D35">
      <w:pPr>
        <w:pStyle w:val="RISnumbering"/>
        <w:numPr>
          <w:ilvl w:val="0"/>
          <w:numId w:val="0"/>
        </w:numPr>
      </w:pPr>
    </w:p>
    <w:p w:rsidR="00726630" w:rsidRDefault="00434849" w:rsidP="00103D35">
      <w:pPr>
        <w:pStyle w:val="RISbullet"/>
      </w:pPr>
      <w:r>
        <w:t>bankruptcy</w:t>
      </w:r>
      <w:r w:rsidR="00726630">
        <w:t>; and</w:t>
      </w:r>
    </w:p>
    <w:p w:rsidR="00726630" w:rsidRDefault="00726630" w:rsidP="00103D35">
      <w:pPr>
        <w:pStyle w:val="RISbullet"/>
        <w:numPr>
          <w:ilvl w:val="0"/>
          <w:numId w:val="0"/>
        </w:numPr>
        <w:ind w:left="851"/>
      </w:pPr>
    </w:p>
    <w:p w:rsidR="00726630" w:rsidRDefault="00726630" w:rsidP="00103D35">
      <w:pPr>
        <w:pStyle w:val="RISbullet"/>
      </w:pPr>
      <w:r>
        <w:t>the no-asset procedure.</w:t>
      </w:r>
    </w:p>
    <w:p w:rsidR="00726630" w:rsidRDefault="00726630" w:rsidP="00103D35">
      <w:pPr>
        <w:pStyle w:val="RISnumbering"/>
        <w:numPr>
          <w:ilvl w:val="0"/>
          <w:numId w:val="0"/>
        </w:numPr>
      </w:pPr>
    </w:p>
    <w:p w:rsidR="00726630" w:rsidRDefault="00726630" w:rsidP="00103D35">
      <w:pPr>
        <w:pStyle w:val="RISnumbering"/>
      </w:pPr>
      <w:r>
        <w:t xml:space="preserve">On being declared bankrupt, </w:t>
      </w:r>
      <w:r w:rsidR="00B038D4">
        <w:t xml:space="preserve">all assets of </w:t>
      </w:r>
      <w:r>
        <w:t>the</w:t>
      </w:r>
      <w:r w:rsidR="00B038D4">
        <w:t xml:space="preserve"> bankrupt are vested in the Official Assignee by operation of law, and become property of the bankrupt’s estate.  D</w:t>
      </w:r>
      <w:r w:rsidR="00C912DF">
        <w:t>uring bankruptcy, any property received by the bankrupt</w:t>
      </w:r>
      <w:r w:rsidR="00B038D4" w:rsidRPr="00B038D4">
        <w:t xml:space="preserve"> </w:t>
      </w:r>
      <w:r w:rsidR="00B038D4">
        <w:t xml:space="preserve">is also vested by operation of law in the Official Assignee and becomes </w:t>
      </w:r>
      <w:r w:rsidR="00C912DF">
        <w:t>property of the bankrupt estate</w:t>
      </w:r>
      <w:r w:rsidR="00B038D4">
        <w:t>.</w:t>
      </w:r>
    </w:p>
    <w:p w:rsidR="00726630" w:rsidRDefault="00726630" w:rsidP="00103D35">
      <w:pPr>
        <w:pStyle w:val="RISnumbering"/>
        <w:numPr>
          <w:ilvl w:val="0"/>
          <w:numId w:val="0"/>
        </w:numPr>
      </w:pPr>
    </w:p>
    <w:p w:rsidR="001F0B6A" w:rsidRDefault="001F0B6A" w:rsidP="00103D35">
      <w:pPr>
        <w:pStyle w:val="RISnumbering"/>
      </w:pPr>
      <w:r>
        <w:t xml:space="preserve">Under insolvency law, </w:t>
      </w:r>
      <w:r w:rsidR="00C912DF">
        <w:t>property</w:t>
      </w:r>
      <w:r>
        <w:t xml:space="preserve"> vesting in the Official Assignee</w:t>
      </w:r>
      <w:r w:rsidR="00C912DF">
        <w:t xml:space="preserve"> includes income derived by the bankrupt</w:t>
      </w:r>
      <w:r>
        <w:t xml:space="preserve"> during bankruptcy.  </w:t>
      </w:r>
      <w:r w:rsidR="00B038D4">
        <w:t xml:space="preserve">This income is usually earned from personal exertion during bankruptcy and usually consists of salary or wages.  </w:t>
      </w:r>
      <w:r>
        <w:t>However, this rule</w:t>
      </w:r>
      <w:r w:rsidR="00B038D4">
        <w:t xml:space="preserve"> of vesting</w:t>
      </w:r>
      <w:r>
        <w:t xml:space="preserve"> is</w:t>
      </w:r>
      <w:r w:rsidR="00C912DF">
        <w:t xml:space="preserve"> subject to the bankrupt being </w:t>
      </w:r>
      <w:r>
        <w:t>permitted</w:t>
      </w:r>
      <w:r w:rsidR="00C912DF">
        <w:t xml:space="preserve"> to retain sufficient </w:t>
      </w:r>
      <w:r w:rsidR="006B4164">
        <w:t xml:space="preserve">income and certain assets to a level that is necessary for family </w:t>
      </w:r>
      <w:r w:rsidR="00726630">
        <w:t>maintenance.  In</w:t>
      </w:r>
      <w:r w:rsidR="00B038D4">
        <w:t xml:space="preserve"> practice, the Official Assignee generally permits a bankrupt to retain salary or wages earned, but the bankrupt can be asked to contribute to the bankrupt estate from after-tax income.</w:t>
      </w:r>
      <w:r w:rsidR="00726630">
        <w:t xml:space="preserve">  In addition, a</w:t>
      </w:r>
      <w:r w:rsidR="000D7B74">
        <w:t>ll tax</w:t>
      </w:r>
      <w:r>
        <w:t xml:space="preserve"> refunds arising during </w:t>
      </w:r>
      <w:r w:rsidR="000D7B74">
        <w:t xml:space="preserve">the period of bankruptcy belong to the Official Assignee.  </w:t>
      </w:r>
    </w:p>
    <w:p w:rsidR="001F0B6A" w:rsidRDefault="001F0B6A" w:rsidP="00103D35">
      <w:pPr>
        <w:pStyle w:val="RISnumbering"/>
        <w:numPr>
          <w:ilvl w:val="0"/>
          <w:numId w:val="0"/>
        </w:numPr>
      </w:pPr>
    </w:p>
    <w:p w:rsidR="00C912DF" w:rsidRDefault="00C912DF" w:rsidP="00103D35">
      <w:pPr>
        <w:pStyle w:val="RISnumbering"/>
      </w:pPr>
      <w:r>
        <w:t>As a matter of practice, the Official Assignee does not file returns of income on behalf of</w:t>
      </w:r>
      <w:r w:rsidR="00726630">
        <w:t xml:space="preserve"> the bankrupt</w:t>
      </w:r>
      <w:r w:rsidR="00B038D4">
        <w:t xml:space="preserve"> or for the bankrupt’s estate.</w:t>
      </w:r>
      <w:r>
        <w:t xml:space="preserve">  We understand that this practice is based on the </w:t>
      </w:r>
      <w:r w:rsidR="00726630">
        <w:t xml:space="preserve">view that the </w:t>
      </w:r>
      <w:r>
        <w:t>Official Assignee</w:t>
      </w:r>
      <w:r w:rsidR="00726630">
        <w:t xml:space="preserve"> is not an agent for the bankrupt </w:t>
      </w:r>
      <w:r w:rsidR="00B038D4">
        <w:t>and that the administration of the bankrupt estate</w:t>
      </w:r>
      <w:r>
        <w:t xml:space="preserve"> is covered by the exemption from income tax for public authorities</w:t>
      </w:r>
      <w:r w:rsidR="00B038D4">
        <w:t xml:space="preserve"> in the Income Tax Act 2007</w:t>
      </w:r>
      <w:r>
        <w:t>.</w:t>
      </w:r>
    </w:p>
    <w:p w:rsidR="00726630" w:rsidRDefault="00726630" w:rsidP="00103D35">
      <w:pPr>
        <w:pStyle w:val="RISnumbering"/>
        <w:numPr>
          <w:ilvl w:val="0"/>
          <w:numId w:val="0"/>
        </w:numPr>
      </w:pPr>
    </w:p>
    <w:p w:rsidR="00726630" w:rsidRDefault="00726630" w:rsidP="00103D35">
      <w:pPr>
        <w:pStyle w:val="RISnumbering"/>
      </w:pPr>
      <w:r>
        <w:t>The no-asset procedure is an alternative to bankruptcy for insolvent individuals with low levels of</w:t>
      </w:r>
      <w:r w:rsidR="00C34542">
        <w:t xml:space="preserve"> provable</w:t>
      </w:r>
      <w:r>
        <w:t xml:space="preserve"> debt </w:t>
      </w:r>
      <w:r w:rsidR="00C34542">
        <w:t xml:space="preserve">(up to $40,000) </w:t>
      </w:r>
      <w:r>
        <w:t>and no realisable assets</w:t>
      </w:r>
      <w:r w:rsidR="00C34542">
        <w:t xml:space="preserve"> (other than minimal levels of assets for family maintenance and tools of trade)</w:t>
      </w:r>
      <w:r>
        <w:t xml:space="preserve">.  </w:t>
      </w:r>
      <w:r w:rsidR="00C34542">
        <w:t xml:space="preserve">This procedure is administered by the Official Assignee, and the insolvent individual must obtain approval to enter the procedure.  Provided the individual complies with requirements relating to spending and credit during the term of the no-asset procedure, on completing the term of the no-asset procedure (usually one year), those provable debts are wiped.  This procedure does not apply to student loan or child support debt. </w:t>
      </w:r>
    </w:p>
    <w:p w:rsidR="00335DFC" w:rsidRPr="000D03D4" w:rsidRDefault="00335DFC" w:rsidP="00C165F5">
      <w:pPr>
        <w:pStyle w:val="RISHeading2"/>
        <w:tabs>
          <w:tab w:val="left" w:pos="7389"/>
        </w:tabs>
      </w:pPr>
      <w:r w:rsidRPr="000D03D4">
        <w:t>The proble</w:t>
      </w:r>
      <w:r w:rsidR="00517E17">
        <w:t>ms</w:t>
      </w:r>
      <w:r w:rsidR="00C34542">
        <w:tab/>
      </w:r>
    </w:p>
    <w:p w:rsidR="007C33EF" w:rsidRDefault="00335DFC" w:rsidP="00103D35">
      <w:pPr>
        <w:pStyle w:val="RISnumbering"/>
      </w:pPr>
      <w:r>
        <w:t xml:space="preserve">In general, where the tax system interfaces with non-tax policy objectives, the tax system seeks to </w:t>
      </w:r>
      <w:r w:rsidR="007C33EF">
        <w:t>give outcomes that are</w:t>
      </w:r>
      <w:r>
        <w:t xml:space="preserve"> complementary </w:t>
      </w:r>
      <w:r w:rsidR="007C33EF">
        <w:t>to</w:t>
      </w:r>
      <w:r>
        <w:t xml:space="preserve"> the non-tax policy objectives.  </w:t>
      </w:r>
    </w:p>
    <w:p w:rsidR="007C33EF" w:rsidRDefault="007C33EF" w:rsidP="00103D35">
      <w:pPr>
        <w:pStyle w:val="RISnumbering"/>
        <w:numPr>
          <w:ilvl w:val="0"/>
          <w:numId w:val="0"/>
        </w:numPr>
        <w:ind w:left="643"/>
      </w:pPr>
    </w:p>
    <w:p w:rsidR="00335DFC" w:rsidRPr="001D512F" w:rsidRDefault="00335DFC" w:rsidP="00103D35">
      <w:pPr>
        <w:pStyle w:val="RISnumbering"/>
      </w:pPr>
      <w:bookmarkStart w:id="12" w:name="_Ref434498811"/>
      <w:r>
        <w:t>However, the</w:t>
      </w:r>
      <w:r w:rsidR="00B6107D">
        <w:t xml:space="preserve"> policy and operational objectives for</w:t>
      </w:r>
      <w:r>
        <w:t xml:space="preserve"> current tax rules </w:t>
      </w:r>
      <w:r w:rsidR="007C33EF">
        <w:t xml:space="preserve">for insolvent individuals </w:t>
      </w:r>
      <w:r w:rsidR="006B4164">
        <w:t xml:space="preserve">are </w:t>
      </w:r>
      <w:r w:rsidR="00B6107D">
        <w:t xml:space="preserve">not well-aligned </w:t>
      </w:r>
      <w:r w:rsidR="006B4164">
        <w:t xml:space="preserve">with the </w:t>
      </w:r>
      <w:r w:rsidRPr="001D512F">
        <w:t>policy objectives of</w:t>
      </w:r>
      <w:r w:rsidR="00B6107D">
        <w:t xml:space="preserve"> insolvency law, and in particular</w:t>
      </w:r>
      <w:r w:rsidRPr="001D512F">
        <w:t xml:space="preserve"> the fresh</w:t>
      </w:r>
      <w:r w:rsidR="006456F5">
        <w:t>-</w:t>
      </w:r>
      <w:r w:rsidRPr="001D512F">
        <w:t>start principle</w:t>
      </w:r>
      <w:r w:rsidR="00B6107D">
        <w:t>.  This gives rise to a number of technical and administrative issues</w:t>
      </w:r>
      <w:r w:rsidR="006B4164">
        <w:t>, as follows</w:t>
      </w:r>
      <w:r w:rsidR="003129B2">
        <w:t>:</w:t>
      </w:r>
      <w:bookmarkEnd w:id="12"/>
    </w:p>
    <w:p w:rsidR="00335DFC" w:rsidRPr="001D512F" w:rsidRDefault="00335DFC" w:rsidP="00103D35">
      <w:pPr>
        <w:pStyle w:val="RISbullet"/>
        <w:numPr>
          <w:ilvl w:val="0"/>
          <w:numId w:val="0"/>
        </w:numPr>
        <w:ind w:left="851"/>
      </w:pPr>
    </w:p>
    <w:p w:rsidR="006B4164" w:rsidRDefault="006B4164" w:rsidP="00103D35">
      <w:pPr>
        <w:pStyle w:val="RISbullet"/>
      </w:pPr>
      <w:r>
        <w:t xml:space="preserve">inconsistent treatment of tax losses carried-forward into bankruptcy; </w:t>
      </w:r>
    </w:p>
    <w:p w:rsidR="006B4164" w:rsidRDefault="006B4164" w:rsidP="00103D35">
      <w:pPr>
        <w:pStyle w:val="RISbullet"/>
        <w:numPr>
          <w:ilvl w:val="0"/>
          <w:numId w:val="0"/>
        </w:numPr>
        <w:ind w:left="851"/>
      </w:pPr>
    </w:p>
    <w:p w:rsidR="00CC11DE" w:rsidRPr="001D512F" w:rsidRDefault="00CC11DE" w:rsidP="00103D35">
      <w:pPr>
        <w:pStyle w:val="RISbullet"/>
      </w:pPr>
      <w:r w:rsidRPr="001D512F">
        <w:t xml:space="preserve">inconsistency with the policy for carrying-forward tax losses being contingent on satisfying </w:t>
      </w:r>
      <w:r w:rsidR="006B4164">
        <w:t>expenses</w:t>
      </w:r>
      <w:r w:rsidR="006B4164" w:rsidRPr="001D512F">
        <w:t xml:space="preserve"> </w:t>
      </w:r>
      <w:r w:rsidR="006B4164">
        <w:t>incurred that have been</w:t>
      </w:r>
      <w:r w:rsidRPr="001D512F">
        <w:t xml:space="preserve"> included in past tax losses</w:t>
      </w:r>
      <w:r w:rsidR="006B4164">
        <w:t>;</w:t>
      </w:r>
    </w:p>
    <w:p w:rsidR="00CC11DE" w:rsidRPr="001D512F" w:rsidRDefault="00CC11DE" w:rsidP="00103D35">
      <w:pPr>
        <w:pStyle w:val="RISbullet"/>
        <w:numPr>
          <w:ilvl w:val="0"/>
          <w:numId w:val="0"/>
        </w:numPr>
        <w:ind w:left="851"/>
      </w:pPr>
    </w:p>
    <w:p w:rsidR="00517E17" w:rsidRDefault="00517E17" w:rsidP="00103D35">
      <w:pPr>
        <w:pStyle w:val="RISbullet"/>
      </w:pPr>
      <w:r>
        <w:t>some tax deduction and timing rules do not give neutral outcomes when a person is declared bankrupt; and</w:t>
      </w:r>
    </w:p>
    <w:p w:rsidR="00517E17" w:rsidRDefault="00517E17" w:rsidP="005F0E9C">
      <w:pPr>
        <w:pStyle w:val="ListParagraph"/>
      </w:pPr>
    </w:p>
    <w:p w:rsidR="00B6107D" w:rsidRDefault="00F05E3E" w:rsidP="00103D35">
      <w:pPr>
        <w:pStyle w:val="RISbullet"/>
      </w:pPr>
      <w:r w:rsidRPr="001D512F">
        <w:t xml:space="preserve">the </w:t>
      </w:r>
      <w:r w:rsidR="00517E17">
        <w:t>carrying forward of tax losses on discharge from bankruptcy</w:t>
      </w:r>
      <w:r w:rsidRPr="001D512F">
        <w:t xml:space="preserve"> </w:t>
      </w:r>
      <w:r w:rsidR="00517E17">
        <w:t>is potentially</w:t>
      </w:r>
      <w:r w:rsidR="00CC11DE" w:rsidRPr="001D512F">
        <w:t xml:space="preserve"> non-neutral in relation to</w:t>
      </w:r>
      <w:r w:rsidR="00517E17">
        <w:t xml:space="preserve"> both investment decisions and the treatment of discharged bankrupts</w:t>
      </w:r>
      <w:r w:rsidR="00060970">
        <w:t xml:space="preserve">; </w:t>
      </w:r>
    </w:p>
    <w:p w:rsidR="00B6107D" w:rsidRDefault="00B6107D" w:rsidP="00C165F5">
      <w:pPr>
        <w:pStyle w:val="ListParagraph"/>
      </w:pPr>
    </w:p>
    <w:p w:rsidR="00B6107D" w:rsidRDefault="00B6107D" w:rsidP="00103D35">
      <w:pPr>
        <w:pStyle w:val="RISbullet"/>
      </w:pPr>
      <w:r>
        <w:t>the insolvency law rule that treats</w:t>
      </w:r>
      <w:r w:rsidRPr="000D7B74">
        <w:t xml:space="preserve"> income derived by the bankrupt as property of the Official Assignee results in uncertainty over who is responsible for filing returns of income for the bankrupt</w:t>
      </w:r>
      <w:r>
        <w:t>; and</w:t>
      </w:r>
    </w:p>
    <w:p w:rsidR="00060970" w:rsidRDefault="00060970" w:rsidP="005F0E9C">
      <w:pPr>
        <w:pStyle w:val="ListParagraph"/>
      </w:pPr>
    </w:p>
    <w:p w:rsidR="00335DFC" w:rsidRPr="001D512F" w:rsidRDefault="00060970" w:rsidP="00103D35">
      <w:pPr>
        <w:pStyle w:val="RISbullet"/>
      </w:pPr>
      <w:r>
        <w:t xml:space="preserve">business records of a person declared bankrupt are to be given to the Official Assignee and not retained by the </w:t>
      </w:r>
      <w:r w:rsidR="005C6775">
        <w:t>taxpayer,</w:t>
      </w:r>
      <w:r>
        <w:t xml:space="preserve"> which is inconsistent with the requirements of taxation law.  </w:t>
      </w:r>
      <w:r w:rsidR="00335DFC" w:rsidRPr="001D512F">
        <w:t xml:space="preserve"> </w:t>
      </w:r>
    </w:p>
    <w:p w:rsidR="00E3565F" w:rsidRDefault="00E3565F" w:rsidP="00103D35">
      <w:pPr>
        <w:pStyle w:val="RISnumbering"/>
        <w:numPr>
          <w:ilvl w:val="0"/>
          <w:numId w:val="0"/>
        </w:numPr>
      </w:pPr>
    </w:p>
    <w:p w:rsidR="00846C24" w:rsidRDefault="00E3565F" w:rsidP="00103D35">
      <w:pPr>
        <w:pStyle w:val="RISnumbering"/>
      </w:pPr>
      <w:r>
        <w:t>If</w:t>
      </w:r>
      <w:r w:rsidR="00B6107D">
        <w:t xml:space="preserve"> the value of carried-forward tax losses </w:t>
      </w:r>
      <w:r>
        <w:t xml:space="preserve">is significant and those tax losses are not fully realised during bankruptcy (through tax refunds), a discharged bankrupt has access to a valuable tax asset.  Under income tax law, a tax loss that is carried-forward after discharge from bankruptcy is a tax asset that benefits the taxpayer in future years by reducing tax on income derived in the future.  This retention of a potentially valuable tax asset beyond discharge from bankruptcy </w:t>
      </w:r>
      <w:r w:rsidR="00B6107D">
        <w:t>is inconsistent with the</w:t>
      </w:r>
      <w:r>
        <w:t xml:space="preserve"> fresh</w:t>
      </w:r>
      <w:r w:rsidR="006456F5">
        <w:t>-</w:t>
      </w:r>
      <w:r>
        <w:t>start principle</w:t>
      </w:r>
      <w:r w:rsidR="00846C24">
        <w:t xml:space="preserve"> which </w:t>
      </w:r>
      <w:r>
        <w:t xml:space="preserve"> holds that </w:t>
      </w:r>
      <w:r w:rsidR="00846C24">
        <w:t>the cancellation of debts on discharge from bankruptcy is in exchange for the insolvent debtor surrendering assets for the benefit of creditors.</w:t>
      </w:r>
    </w:p>
    <w:p w:rsidR="000D7B74" w:rsidRDefault="000D7B74" w:rsidP="00103D35">
      <w:pPr>
        <w:pStyle w:val="RISnumbering"/>
        <w:numPr>
          <w:ilvl w:val="0"/>
          <w:numId w:val="0"/>
        </w:numPr>
      </w:pPr>
    </w:p>
    <w:p w:rsidR="00114D38" w:rsidRDefault="00846C24" w:rsidP="00103D35">
      <w:pPr>
        <w:pStyle w:val="RISnumbering"/>
      </w:pPr>
      <w:r>
        <w:t xml:space="preserve">In practice, carried-forward tax losses generally result from past expenses, many of which are funded by debt.  </w:t>
      </w:r>
      <w:r w:rsidR="003129B2">
        <w:t>Allowing</w:t>
      </w:r>
      <w:r>
        <w:t xml:space="preserve"> tax losses to be carried forward</w:t>
      </w:r>
      <w:r w:rsidR="003129B2">
        <w:t>,</w:t>
      </w:r>
      <w:r>
        <w:t xml:space="preserve"> if those losses are funded by debts that cancelled on discharge from bankruptcy</w:t>
      </w:r>
      <w:r w:rsidR="003129B2">
        <w:t>,</w:t>
      </w:r>
      <w:r>
        <w:t xml:space="preserve"> would be</w:t>
      </w:r>
      <w:r w:rsidR="00CC11DE">
        <w:t xml:space="preserve"> inconsistent with the </w:t>
      </w:r>
      <w:r w:rsidR="00114D38">
        <w:t xml:space="preserve">long-standing </w:t>
      </w:r>
      <w:r w:rsidR="00CC11DE">
        <w:t>policy</w:t>
      </w:r>
      <w:r w:rsidR="00114D38">
        <w:t xml:space="preserve"> </w:t>
      </w:r>
      <w:r w:rsidR="00CC11DE">
        <w:t>that tax losses</w:t>
      </w:r>
      <w:r w:rsidR="00114D38">
        <w:t xml:space="preserve"> should only be able to be carried forward if </w:t>
      </w:r>
      <w:r w:rsidR="00CC11DE">
        <w:t xml:space="preserve">the taxpayer </w:t>
      </w:r>
      <w:r w:rsidR="00114D38">
        <w:t>fully satisfies debts for expenses incurred relating to past tax losses.</w:t>
      </w:r>
      <w:r>
        <w:t xml:space="preserve"> </w:t>
      </w:r>
    </w:p>
    <w:p w:rsidR="00AA5075" w:rsidRDefault="00AA5075" w:rsidP="00103D35">
      <w:pPr>
        <w:pStyle w:val="RISnumbering"/>
        <w:numPr>
          <w:ilvl w:val="0"/>
          <w:numId w:val="0"/>
        </w:numPr>
      </w:pPr>
    </w:p>
    <w:p w:rsidR="008143E5" w:rsidRDefault="00517E17" w:rsidP="00103D35">
      <w:pPr>
        <w:pStyle w:val="RISnumbering"/>
      </w:pPr>
      <w:r w:rsidRPr="00CC11DE">
        <w:t>On being declared bankrupt, all property of the bankrupt vests in the Official Assignee</w:t>
      </w:r>
      <w:r>
        <w:t>.  Some timing, valuation and deduction rules apply on disposals of tax</w:t>
      </w:r>
      <w:r w:rsidR="008143E5">
        <w:t>-</w:t>
      </w:r>
      <w:r>
        <w:t xml:space="preserve">base property, which would include a disposal by way of assets vested in the Official Assignee.  </w:t>
      </w:r>
      <w:r w:rsidR="00846C24">
        <w:t xml:space="preserve">The technical application of these rules can result in losses and gains being included in the bankrupt’s taxable income despite those losses and gains on vesting having no connection with the past business of the bankrupt.  </w:t>
      </w:r>
      <w:r>
        <w:t xml:space="preserve">It is not intended that being declared bankrupt should result in </w:t>
      </w:r>
      <w:r w:rsidR="00846C24">
        <w:t xml:space="preserve">such </w:t>
      </w:r>
      <w:r>
        <w:t>non-neutral tax outcomes.   Such an outcome would be inconsistent with the policy objectives of</w:t>
      </w:r>
      <w:r w:rsidR="008143E5">
        <w:t>:</w:t>
      </w:r>
    </w:p>
    <w:p w:rsidR="003129B2" w:rsidRDefault="003129B2" w:rsidP="003129B2">
      <w:pPr>
        <w:pStyle w:val="RISnumbering"/>
        <w:numPr>
          <w:ilvl w:val="0"/>
          <w:numId w:val="0"/>
        </w:numPr>
      </w:pPr>
    </w:p>
    <w:p w:rsidR="008143E5" w:rsidRDefault="008143E5" w:rsidP="00103D35">
      <w:pPr>
        <w:pStyle w:val="RISbullet"/>
      </w:pPr>
      <w:r>
        <w:t>income tax law in relation to gains or losses arising from disposals of tax-base property; and</w:t>
      </w:r>
    </w:p>
    <w:p w:rsidR="008143E5" w:rsidRDefault="008143E5" w:rsidP="00103D35">
      <w:pPr>
        <w:pStyle w:val="RISbullet"/>
        <w:numPr>
          <w:ilvl w:val="0"/>
          <w:numId w:val="0"/>
        </w:numPr>
        <w:ind w:left="851"/>
      </w:pPr>
    </w:p>
    <w:p w:rsidR="008143E5" w:rsidRDefault="008143E5" w:rsidP="00103D35">
      <w:pPr>
        <w:pStyle w:val="RISbullet"/>
      </w:pPr>
      <w:r>
        <w:t>insolvency law, which does not intend deductions for losses or income to arise on a person being declared bankrupt.</w:t>
      </w:r>
    </w:p>
    <w:p w:rsidR="00517E17" w:rsidRDefault="00517E17" w:rsidP="00103D35">
      <w:pPr>
        <w:pStyle w:val="RISnumbering"/>
        <w:numPr>
          <w:ilvl w:val="0"/>
          <w:numId w:val="0"/>
        </w:numPr>
      </w:pPr>
    </w:p>
    <w:p w:rsidR="00114D38" w:rsidRDefault="007C33EF" w:rsidP="00103D35">
      <w:pPr>
        <w:pStyle w:val="RISnumbering"/>
      </w:pPr>
      <w:r>
        <w:t>The ability for carried-forward tax losses to survive bankruptcy may also influence investment decisions.  Assuming all other things to be equal,</w:t>
      </w:r>
      <w:r w:rsidR="00114D38">
        <w:t xml:space="preserve"> a</w:t>
      </w:r>
      <w:r w:rsidR="00F05E3E">
        <w:t>s</w:t>
      </w:r>
      <w:r>
        <w:t xml:space="preserve"> tax losses </w:t>
      </w:r>
      <w:r w:rsidR="00F05E3E">
        <w:t>currently</w:t>
      </w:r>
      <w:r>
        <w:t xml:space="preserve"> survive bankruptcy, the use of the </w:t>
      </w:r>
      <w:r w:rsidR="00F05E3E">
        <w:t>sole trader business structure w</w:t>
      </w:r>
      <w:r>
        <w:t xml:space="preserve">ould </w:t>
      </w:r>
      <w:r w:rsidR="00F05E3E">
        <w:t xml:space="preserve">likely be preferred </w:t>
      </w:r>
      <w:r>
        <w:t>over a company structure because tax losses of a company are e</w:t>
      </w:r>
      <w:r w:rsidR="00F05E3E">
        <w:t>xtinguished on liquidation.</w:t>
      </w:r>
      <w:r w:rsidR="00114D38">
        <w:t xml:space="preserve">  </w:t>
      </w:r>
    </w:p>
    <w:p w:rsidR="00114D38" w:rsidRDefault="00114D38" w:rsidP="00103D35">
      <w:pPr>
        <w:pStyle w:val="RISnumbering"/>
        <w:numPr>
          <w:ilvl w:val="0"/>
          <w:numId w:val="0"/>
        </w:numPr>
      </w:pPr>
    </w:p>
    <w:p w:rsidR="00A26015" w:rsidRDefault="00114D38" w:rsidP="00103D35">
      <w:pPr>
        <w:pStyle w:val="RISnumbering"/>
      </w:pPr>
      <w:r>
        <w:t xml:space="preserve">This non-neutral outcome arises because </w:t>
      </w:r>
      <w:r w:rsidR="00F05E3E">
        <w:t>the remission income rule</w:t>
      </w:r>
      <w:r>
        <w:t>s that apply</w:t>
      </w:r>
      <w:r w:rsidR="00F05E3E">
        <w:t xml:space="preserve"> on discharge from bankruptcy </w:t>
      </w:r>
      <w:r>
        <w:t xml:space="preserve">do </w:t>
      </w:r>
      <w:r w:rsidR="00F05E3E">
        <w:t xml:space="preserve">not apply to all forms of debt.  For example it does not apply to a fixed term loan (a financial arrangement) used to finance the purchase of trading assets but does apply to trade debt.  </w:t>
      </w:r>
      <w:r>
        <w:t xml:space="preserve">Therefore it is likely that a </w:t>
      </w:r>
      <w:r w:rsidR="00F05E3E">
        <w:t>taxpayer</w:t>
      </w:r>
      <w:r w:rsidR="00F05E3E" w:rsidRPr="005F0E9C">
        <w:rPr>
          <w:rStyle w:val="RISparaChar0"/>
        </w:rPr>
        <w:t xml:space="preserve"> </w:t>
      </w:r>
      <w:r w:rsidR="00F05E3E">
        <w:t>would prefer to finance the business trading activity with a debt that would not be subject to the remission income rule</w:t>
      </w:r>
      <w:r w:rsidR="00517E17">
        <w:t>s</w:t>
      </w:r>
      <w:r w:rsidR="00F05E3E">
        <w:t xml:space="preserve"> (which would mean that carried-forward tax losses are not reduced on discharge from bankruptcy).</w:t>
      </w:r>
      <w:r>
        <w:t xml:space="preserve">  </w:t>
      </w:r>
      <w:r w:rsidR="00B11363">
        <w:t xml:space="preserve">This is illustrated in the </w:t>
      </w:r>
      <w:r>
        <w:t>example</w:t>
      </w:r>
      <w:r w:rsidR="00A26015">
        <w:t xml:space="preserve"> set out in paragraph</w:t>
      </w:r>
      <w:r w:rsidR="003129B2">
        <w:t xml:space="preserve"> </w:t>
      </w:r>
      <w:r w:rsidR="003129B2">
        <w:fldChar w:fldCharType="begin"/>
      </w:r>
      <w:r w:rsidR="003129B2">
        <w:instrText xml:space="preserve"> REF _Ref434217448 \r \h </w:instrText>
      </w:r>
      <w:r w:rsidR="003129B2">
        <w:fldChar w:fldCharType="separate"/>
      </w:r>
      <w:r w:rsidR="003129B2">
        <w:t>36</w:t>
      </w:r>
      <w:r w:rsidR="003129B2">
        <w:fldChar w:fldCharType="end"/>
      </w:r>
      <w:r w:rsidR="00A34BD8">
        <w:t>.</w:t>
      </w:r>
    </w:p>
    <w:p w:rsidR="00E3565F" w:rsidRDefault="00E3565F" w:rsidP="00103D35">
      <w:pPr>
        <w:pStyle w:val="RISnumbering"/>
        <w:numPr>
          <w:ilvl w:val="0"/>
          <w:numId w:val="0"/>
        </w:numPr>
      </w:pPr>
    </w:p>
    <w:p w:rsidR="00517E17" w:rsidRDefault="00A26015" w:rsidP="00103D35">
      <w:pPr>
        <w:pStyle w:val="RISnumbering"/>
      </w:pPr>
      <w:r>
        <w:t>A</w:t>
      </w:r>
      <w:r w:rsidR="00517E17">
        <w:t xml:space="preserve"> horizontal equity concern is that the tax system currently allows the future tax benefit of carried-forward tax losses (an asset) to be retained following discharge from bankruptcy.  This means that the discharged bankrupt with carried-forward tax losses has an advantage compared to a discharged bankrupt who does not have carried forward tax losses.  </w:t>
      </w:r>
      <w:r w:rsidR="008143E5">
        <w:t>This is a non-neutral outcome arising from current income tax law.</w:t>
      </w:r>
    </w:p>
    <w:p w:rsidR="008143E5" w:rsidRDefault="008143E5" w:rsidP="00103D35">
      <w:pPr>
        <w:pStyle w:val="RISnumbering"/>
        <w:numPr>
          <w:ilvl w:val="0"/>
          <w:numId w:val="0"/>
        </w:numPr>
      </w:pPr>
    </w:p>
    <w:p w:rsidR="008143E5" w:rsidRDefault="008143E5" w:rsidP="00103D35">
      <w:pPr>
        <w:pStyle w:val="RISnumbering"/>
      </w:pPr>
      <w:r>
        <w:t xml:space="preserve">Under income tax law, it is normally clear who has derived income.  However, </w:t>
      </w:r>
      <w:r w:rsidR="006456F5">
        <w:t>under</w:t>
      </w:r>
      <w:r>
        <w:t xml:space="preserve"> insolvency law</w:t>
      </w:r>
      <w:r w:rsidR="006456F5">
        <w:t>,</w:t>
      </w:r>
      <w:r>
        <w:t xml:space="preserve"> income derived by a bankrupt during the period of bankruptcy is technically property of the Official Assignee</w:t>
      </w:r>
      <w:r w:rsidR="006456F5">
        <w:t>, but subject to the bankrupt being able to retain a sufficient amount of that income for family maintenance purposes.  This gives rise to</w:t>
      </w:r>
      <w:r>
        <w:t xml:space="preserve"> uncertainty about who has derived that income.  The main administrative problem arising is that it is unclear who is responsible for the income tax obligations for income derive by a bankrupt during the period of bankruptcy.</w:t>
      </w:r>
    </w:p>
    <w:p w:rsidR="008143E5" w:rsidRDefault="008143E5" w:rsidP="00103D35">
      <w:pPr>
        <w:pStyle w:val="RISnumbering"/>
        <w:numPr>
          <w:ilvl w:val="0"/>
          <w:numId w:val="0"/>
        </w:numPr>
      </w:pPr>
    </w:p>
    <w:p w:rsidR="00F940FF" w:rsidRDefault="00F940FF" w:rsidP="00103D35">
      <w:pPr>
        <w:pStyle w:val="RISnumbering"/>
      </w:pPr>
      <w:r>
        <w:t xml:space="preserve"> </w:t>
      </w:r>
      <w:r w:rsidR="008143E5">
        <w:t xml:space="preserve">Another administrative </w:t>
      </w:r>
      <w:r w:rsidR="00726630">
        <w:t xml:space="preserve">and compliance </w:t>
      </w:r>
      <w:r w:rsidR="008143E5">
        <w:t>issue arises due to insolvency law requiring</w:t>
      </w:r>
      <w:r w:rsidR="00060970">
        <w:t xml:space="preserve"> business records </w:t>
      </w:r>
      <w:r w:rsidR="008143E5">
        <w:t>of a bankrupt to be</w:t>
      </w:r>
      <w:r w:rsidR="00060970">
        <w:t xml:space="preserve"> vested in the Official Assignee.  The Official Assignee’s practice is not to file returns of income on behalf of the bankrupt individual as the Official Assignee </w:t>
      </w:r>
      <w:r w:rsidR="008143E5">
        <w:t xml:space="preserve">is not the agent for the bankrupt, but serves to </w:t>
      </w:r>
      <w:r w:rsidR="00060970">
        <w:t>administer the bankrupt</w:t>
      </w:r>
      <w:r w:rsidR="008143E5">
        <w:t>’s</w:t>
      </w:r>
      <w:r w:rsidR="00060970">
        <w:t xml:space="preserve"> estate on behalf of the creditors and not for the benefit of the bankrupt.  Consequently, </w:t>
      </w:r>
      <w:r w:rsidR="00726630">
        <w:t xml:space="preserve">neither </w:t>
      </w:r>
      <w:r w:rsidR="00060970">
        <w:t>the bankrupt</w:t>
      </w:r>
      <w:r w:rsidR="00726630">
        <w:t xml:space="preserve"> nor Inland Revenue</w:t>
      </w:r>
      <w:r w:rsidR="00060970">
        <w:t xml:space="preserve"> have </w:t>
      </w:r>
      <w:r w:rsidR="00726630">
        <w:t xml:space="preserve">ready access to the necessary </w:t>
      </w:r>
      <w:r w:rsidR="00060970">
        <w:t>information to determine whether a carried forward tax loss exists either on being declared bankrupt or on being discharged from bankruptcy.</w:t>
      </w:r>
    </w:p>
    <w:p w:rsidR="005629D3" w:rsidRDefault="005629D3" w:rsidP="00103D35">
      <w:pPr>
        <w:pStyle w:val="RISnumbering"/>
        <w:numPr>
          <w:ilvl w:val="0"/>
          <w:numId w:val="0"/>
        </w:numPr>
      </w:pPr>
    </w:p>
    <w:p w:rsidR="005629D3" w:rsidRDefault="005629D3" w:rsidP="00103D35">
      <w:pPr>
        <w:pStyle w:val="RISnumbering"/>
        <w:rPr>
          <w:lang w:val="en-NZ"/>
        </w:rPr>
      </w:pPr>
      <w:r>
        <w:rPr>
          <w:lang w:val="en-NZ"/>
        </w:rPr>
        <w:t>Published data indicates that in each year about 3,000 individuals are subject to insolvency procedures in recent times and obtain relief from debts under the fresh</w:t>
      </w:r>
      <w:r w:rsidR="006456F5">
        <w:rPr>
          <w:lang w:val="en-NZ"/>
        </w:rPr>
        <w:t>-</w:t>
      </w:r>
      <w:r>
        <w:rPr>
          <w:lang w:val="en-NZ"/>
        </w:rPr>
        <w:t>start principle of insolvency law.  Because of data limitations in identifying all taxpayers who may benefit from the fresh</w:t>
      </w:r>
      <w:r w:rsidR="006456F5">
        <w:rPr>
          <w:lang w:val="en-NZ"/>
        </w:rPr>
        <w:t>-</w:t>
      </w:r>
      <w:r>
        <w:rPr>
          <w:lang w:val="en-NZ"/>
        </w:rPr>
        <w:t>start principle, it is not possible to determine the number of insolvent individuals who have carried-forward tax losses.  However, as the objective of the policy proposals is for the tax system to better support the objectives of insolvency law, this limitation has not impacted on the analysis or conclusions.</w:t>
      </w:r>
    </w:p>
    <w:p w:rsidR="005629D3" w:rsidRDefault="005629D3" w:rsidP="00103D35">
      <w:pPr>
        <w:pStyle w:val="RISnumbering"/>
        <w:numPr>
          <w:ilvl w:val="0"/>
          <w:numId w:val="0"/>
        </w:numPr>
      </w:pPr>
    </w:p>
    <w:p w:rsidR="00ED0AAC" w:rsidRDefault="00ED0AAC" w:rsidP="00ED0AAC">
      <w:pPr>
        <w:pStyle w:val="ListNumber2"/>
        <w:numPr>
          <w:ilvl w:val="0"/>
          <w:numId w:val="0"/>
        </w:numPr>
        <w:ind w:left="643"/>
      </w:pPr>
    </w:p>
    <w:p w:rsidR="00ED0AAC" w:rsidRPr="00ED0AAC" w:rsidRDefault="00ED0AAC" w:rsidP="00ED0AAC">
      <w:pPr>
        <w:rPr>
          <w:b/>
        </w:rPr>
      </w:pPr>
      <w:r w:rsidRPr="00ED0AAC">
        <w:rPr>
          <w:b/>
        </w:rPr>
        <w:t>OBJECTIVES OF THE POLICY REVIEW</w:t>
      </w:r>
    </w:p>
    <w:p w:rsidR="00ED0AAC" w:rsidRPr="00ED0AAC" w:rsidRDefault="00ED0AAC" w:rsidP="00ED0AAC"/>
    <w:p w:rsidR="00BB4CC8" w:rsidRPr="009938A6" w:rsidRDefault="00BB4CC8" w:rsidP="00103D35">
      <w:pPr>
        <w:pStyle w:val="RISnumbering"/>
        <w:rPr>
          <w:lang w:val="en-AU"/>
        </w:rPr>
      </w:pPr>
      <w:r>
        <w:t xml:space="preserve">The </w:t>
      </w:r>
      <w:r w:rsidR="00726630">
        <w:t xml:space="preserve">main objective of this </w:t>
      </w:r>
      <w:r w:rsidR="009938A6">
        <w:t xml:space="preserve">review </w:t>
      </w:r>
      <w:r w:rsidR="00060970">
        <w:t xml:space="preserve">is </w:t>
      </w:r>
      <w:r w:rsidR="00726630">
        <w:t>to ensure that tax policy outcomes support the objectives of insolvency law.  Specifically, the review considers</w:t>
      </w:r>
      <w:r w:rsidRPr="009938A6">
        <w:rPr>
          <w:lang w:val="en-AU"/>
        </w:rPr>
        <w:t>, and to what extent, carried-forward tax losses of an insolvent person should be cancelled –</w:t>
      </w:r>
    </w:p>
    <w:p w:rsidR="001C3991" w:rsidRPr="001C3991" w:rsidRDefault="001C3991" w:rsidP="00DF25F0">
      <w:pPr>
        <w:pStyle w:val="RISparagraph"/>
        <w:numPr>
          <w:ilvl w:val="0"/>
          <w:numId w:val="0"/>
        </w:numPr>
        <w:ind w:left="567"/>
      </w:pPr>
    </w:p>
    <w:p w:rsidR="00BB4CC8" w:rsidRPr="009938A6" w:rsidRDefault="00BB4CC8" w:rsidP="00103D35">
      <w:pPr>
        <w:pStyle w:val="RISbullet"/>
      </w:pPr>
      <w:r w:rsidRPr="009938A6">
        <w:t>on discharge from bankruptcy or completion of the no</w:t>
      </w:r>
      <w:r w:rsidR="00C6387F">
        <w:t>-</w:t>
      </w:r>
      <w:r w:rsidRPr="009938A6">
        <w:t xml:space="preserve">asset procedure (Insolvency Act 2006); </w:t>
      </w:r>
      <w:r w:rsidR="009938A6">
        <w:t>and</w:t>
      </w:r>
    </w:p>
    <w:p w:rsidR="006B22AD" w:rsidRDefault="006B22AD" w:rsidP="00103D35">
      <w:pPr>
        <w:pStyle w:val="RISbullet"/>
        <w:numPr>
          <w:ilvl w:val="0"/>
          <w:numId w:val="0"/>
        </w:numPr>
        <w:ind w:left="567"/>
      </w:pPr>
    </w:p>
    <w:p w:rsidR="00BB4CC8" w:rsidRDefault="009938A6" w:rsidP="00103D35">
      <w:pPr>
        <w:pStyle w:val="RISbullet"/>
      </w:pPr>
      <w:r>
        <w:t>on</w:t>
      </w:r>
      <w:r w:rsidR="00BB4CC8" w:rsidRPr="00FF5E8A">
        <w:t xml:space="preserve"> remission of debt </w:t>
      </w:r>
      <w:r>
        <w:t>occurring within</w:t>
      </w:r>
      <w:r w:rsidRPr="009938A6">
        <w:t xml:space="preserve"> </w:t>
      </w:r>
      <w:r>
        <w:t>alternatives to bankruptcy</w:t>
      </w:r>
      <w:r w:rsidR="00BB4CC8" w:rsidRPr="00FF5E8A">
        <w:t xml:space="preserve"> </w:t>
      </w:r>
      <w:r>
        <w:t xml:space="preserve">under </w:t>
      </w:r>
      <w:r w:rsidR="00BB4CC8" w:rsidRPr="00FF5E8A">
        <w:t>statutory or common</w:t>
      </w:r>
      <w:r>
        <w:t xml:space="preserve"> law.</w:t>
      </w:r>
    </w:p>
    <w:p w:rsidR="00ED0AAC" w:rsidRPr="00FF5E8A" w:rsidRDefault="00ED0AAC" w:rsidP="00DF25F0">
      <w:pPr>
        <w:pStyle w:val="RISparagraph"/>
        <w:numPr>
          <w:ilvl w:val="0"/>
          <w:numId w:val="0"/>
        </w:numPr>
        <w:ind w:left="927"/>
      </w:pPr>
    </w:p>
    <w:p w:rsidR="006B22AD" w:rsidRDefault="00A34BD8" w:rsidP="00103D35">
      <w:pPr>
        <w:pStyle w:val="RISnumbering"/>
        <w:rPr>
          <w:lang w:val="en-AU"/>
        </w:rPr>
      </w:pPr>
      <w:bookmarkStart w:id="13" w:name="_Ref433722490"/>
      <w:r>
        <w:rPr>
          <w:lang w:val="en-AU"/>
        </w:rPr>
        <w:t>The options considered in this RIS</w:t>
      </w:r>
      <w:r w:rsidR="006B22AD">
        <w:rPr>
          <w:lang w:val="en-AU"/>
        </w:rPr>
        <w:t xml:space="preserve"> </w:t>
      </w:r>
      <w:r w:rsidR="0007659B">
        <w:rPr>
          <w:lang w:val="en-AU"/>
        </w:rPr>
        <w:t xml:space="preserve">are </w:t>
      </w:r>
      <w:r w:rsidR="006B22AD">
        <w:rPr>
          <w:lang w:val="en-AU"/>
        </w:rPr>
        <w:t xml:space="preserve">evaluated against the following </w:t>
      </w:r>
      <w:r w:rsidR="00060970">
        <w:rPr>
          <w:lang w:val="en-AU"/>
        </w:rPr>
        <w:t>criteria</w:t>
      </w:r>
      <w:r w:rsidR="006B22AD">
        <w:rPr>
          <w:lang w:val="en-AU"/>
        </w:rPr>
        <w:t>:</w:t>
      </w:r>
      <w:bookmarkEnd w:id="13"/>
    </w:p>
    <w:p w:rsidR="002A6059" w:rsidRDefault="002A6059" w:rsidP="00103D35">
      <w:pPr>
        <w:pStyle w:val="RISnumbering"/>
        <w:numPr>
          <w:ilvl w:val="0"/>
          <w:numId w:val="0"/>
        </w:numPr>
        <w:ind w:left="643"/>
        <w:rPr>
          <w:lang w:val="en-AU"/>
        </w:rPr>
      </w:pPr>
    </w:p>
    <w:p w:rsidR="002A6059" w:rsidRPr="002A6059" w:rsidRDefault="00DB7C29" w:rsidP="00103D35">
      <w:pPr>
        <w:pStyle w:val="RISpara"/>
        <w:numPr>
          <w:ilvl w:val="0"/>
          <w:numId w:val="24"/>
        </w:numPr>
      </w:pPr>
      <w:r>
        <w:t>m</w:t>
      </w:r>
      <w:r w:rsidR="002A6059" w:rsidRPr="002A6059">
        <w:t>aintaining the coherency</w:t>
      </w:r>
      <w:r w:rsidR="00A26015">
        <w:t xml:space="preserve"> </w:t>
      </w:r>
      <w:r w:rsidR="002A6059" w:rsidRPr="002A6059">
        <w:t>of the tax system</w:t>
      </w:r>
      <w:r w:rsidR="00060970">
        <w:t>, including horizontal equity</w:t>
      </w:r>
      <w:r w:rsidR="002A6059" w:rsidRPr="002A6059">
        <w:t xml:space="preserve">; </w:t>
      </w:r>
    </w:p>
    <w:p w:rsidR="002A6059" w:rsidRDefault="002A6059" w:rsidP="007E2D9D">
      <w:pPr>
        <w:pStyle w:val="RISparagraph"/>
        <w:numPr>
          <w:ilvl w:val="0"/>
          <w:numId w:val="0"/>
        </w:numPr>
        <w:ind w:left="927"/>
      </w:pPr>
    </w:p>
    <w:p w:rsidR="002A6059" w:rsidRDefault="00DB7C29" w:rsidP="00103D35">
      <w:pPr>
        <w:pStyle w:val="RISpara"/>
        <w:numPr>
          <w:ilvl w:val="0"/>
          <w:numId w:val="24"/>
        </w:numPr>
      </w:pPr>
      <w:r>
        <w:t>c</w:t>
      </w:r>
      <w:r w:rsidR="002A6059">
        <w:t>onsistency with the objectives of insolvency law</w:t>
      </w:r>
    </w:p>
    <w:p w:rsidR="002A6059" w:rsidRDefault="002A6059" w:rsidP="007E2D9D">
      <w:pPr>
        <w:pStyle w:val="RISparagraph"/>
        <w:numPr>
          <w:ilvl w:val="0"/>
          <w:numId w:val="0"/>
        </w:numPr>
        <w:ind w:left="927"/>
      </w:pPr>
    </w:p>
    <w:p w:rsidR="002A6059" w:rsidRDefault="00DB7C29" w:rsidP="00103D35">
      <w:pPr>
        <w:pStyle w:val="RISpara"/>
        <w:numPr>
          <w:ilvl w:val="0"/>
          <w:numId w:val="24"/>
        </w:numPr>
      </w:pPr>
      <w:r>
        <w:t>m</w:t>
      </w:r>
      <w:r w:rsidR="002A6059">
        <w:t>inimising tax and compliance costs for taxpayers;</w:t>
      </w:r>
    </w:p>
    <w:p w:rsidR="002A6059" w:rsidRDefault="002A6059" w:rsidP="007E2D9D">
      <w:pPr>
        <w:pStyle w:val="RISparagraph"/>
        <w:numPr>
          <w:ilvl w:val="0"/>
          <w:numId w:val="0"/>
        </w:numPr>
        <w:ind w:left="927"/>
      </w:pPr>
    </w:p>
    <w:p w:rsidR="002A6059" w:rsidRDefault="00DB7C29" w:rsidP="00103D35">
      <w:pPr>
        <w:pStyle w:val="RISpara"/>
        <w:numPr>
          <w:ilvl w:val="0"/>
          <w:numId w:val="24"/>
        </w:numPr>
      </w:pPr>
      <w:r>
        <w:t>m</w:t>
      </w:r>
      <w:r w:rsidR="002A6059">
        <w:t>inimising administration costs for the Official Assignee; and</w:t>
      </w:r>
    </w:p>
    <w:p w:rsidR="002A6059" w:rsidRDefault="002A6059" w:rsidP="007E2D9D">
      <w:pPr>
        <w:pStyle w:val="RISparagraph"/>
        <w:numPr>
          <w:ilvl w:val="0"/>
          <w:numId w:val="0"/>
        </w:numPr>
        <w:ind w:left="927"/>
      </w:pPr>
    </w:p>
    <w:p w:rsidR="006B22AD" w:rsidRDefault="00DB7C29" w:rsidP="00103D35">
      <w:pPr>
        <w:pStyle w:val="RISpara"/>
        <w:numPr>
          <w:ilvl w:val="0"/>
          <w:numId w:val="24"/>
        </w:numPr>
      </w:pPr>
      <w:r>
        <w:t>m</w:t>
      </w:r>
      <w:r w:rsidR="002A6059">
        <w:t>inimising administration costs for Inland Revenue.</w:t>
      </w:r>
    </w:p>
    <w:p w:rsidR="00ED0AAC" w:rsidRPr="002A6059" w:rsidRDefault="00ED0AAC" w:rsidP="00DF25F0">
      <w:pPr>
        <w:pStyle w:val="RISparagraph"/>
        <w:numPr>
          <w:ilvl w:val="0"/>
          <w:numId w:val="0"/>
        </w:numPr>
        <w:ind w:left="927"/>
      </w:pPr>
    </w:p>
    <w:p w:rsidR="00C6387F" w:rsidRDefault="002A6059" w:rsidP="003129B2">
      <w:pPr>
        <w:pStyle w:val="RISnumbering"/>
      </w:pPr>
      <w:r>
        <w:t xml:space="preserve">The review is not intended to alter the general tax treatment for partial remission of debt under statutory or common law alternatives to bankruptcy.  </w:t>
      </w:r>
    </w:p>
    <w:p w:rsidR="00C6387F" w:rsidRDefault="00C6387F" w:rsidP="00C6387F">
      <w:pPr>
        <w:pStyle w:val="RISnumbering"/>
        <w:numPr>
          <w:ilvl w:val="0"/>
          <w:numId w:val="0"/>
        </w:numPr>
      </w:pPr>
    </w:p>
    <w:p w:rsidR="002A6059" w:rsidRDefault="002A6059" w:rsidP="00103D35">
      <w:pPr>
        <w:pStyle w:val="RISnumbering"/>
      </w:pPr>
      <w:r>
        <w:t xml:space="preserve">We also note that trade-offs will inevitably be made across the various </w:t>
      </w:r>
      <w:r w:rsidR="00A34BD8">
        <w:t>criteria</w:t>
      </w:r>
      <w:r>
        <w:t xml:space="preserve">.  For example, </w:t>
      </w:r>
      <w:r w:rsidR="0007659B">
        <w:t>clarifying that the bankrupt is responsible for satisfying income tax obligations for income derived during bankruptcy meets criterion (a) but may result in an increase in compliance costs for the taxpayer (criterion (c).</w:t>
      </w:r>
    </w:p>
    <w:p w:rsidR="00A34BD8" w:rsidRDefault="00A34BD8" w:rsidP="00103D35">
      <w:pPr>
        <w:pStyle w:val="RISnumbering"/>
        <w:numPr>
          <w:ilvl w:val="0"/>
          <w:numId w:val="0"/>
        </w:numPr>
      </w:pPr>
    </w:p>
    <w:p w:rsidR="00320A3C" w:rsidRPr="004342F0" w:rsidRDefault="00D943DD" w:rsidP="000D03D4">
      <w:pPr>
        <w:pStyle w:val="RISheading"/>
      </w:pPr>
      <w:bookmarkStart w:id="14" w:name="_Toc244580365"/>
      <w:bookmarkStart w:id="15" w:name="_Toc244587041"/>
      <w:bookmarkStart w:id="16" w:name="_Toc244857275"/>
      <w:bookmarkStart w:id="17" w:name="_Toc244912540"/>
      <w:bookmarkStart w:id="18" w:name="_Toc244916997"/>
      <w:r w:rsidRPr="004342F0">
        <w:t>REGULATORY IMPACT ANALYSIS</w:t>
      </w:r>
      <w:bookmarkEnd w:id="14"/>
      <w:bookmarkEnd w:id="15"/>
      <w:bookmarkEnd w:id="16"/>
      <w:bookmarkEnd w:id="17"/>
      <w:bookmarkEnd w:id="18"/>
      <w:r w:rsidRPr="004342F0">
        <w:t xml:space="preserve"> </w:t>
      </w:r>
    </w:p>
    <w:p w:rsidR="00444A8D" w:rsidRDefault="00444A8D" w:rsidP="00103D35">
      <w:pPr>
        <w:pStyle w:val="RISnumbering"/>
      </w:pPr>
      <w:r>
        <w:t xml:space="preserve">Three options, including the status quo are considered in this RIS for addressing the problems.  </w:t>
      </w:r>
      <w:r w:rsidR="00ED0AAC">
        <w:t>The options</w:t>
      </w:r>
      <w:r>
        <w:t xml:space="preserve"> are</w:t>
      </w:r>
      <w:r w:rsidR="00ED0AAC">
        <w:t xml:space="preserve"> as follows</w:t>
      </w:r>
      <w:r>
        <w:t>:</w:t>
      </w:r>
    </w:p>
    <w:p w:rsidR="00444A8D" w:rsidRDefault="00444A8D" w:rsidP="00103D35">
      <w:pPr>
        <w:pStyle w:val="RISnumbering"/>
        <w:numPr>
          <w:ilvl w:val="0"/>
          <w:numId w:val="0"/>
        </w:numPr>
        <w:ind w:left="643"/>
      </w:pPr>
    </w:p>
    <w:p w:rsidR="00444A8D" w:rsidRDefault="00444A8D" w:rsidP="00103D35">
      <w:pPr>
        <w:pStyle w:val="RISbullet"/>
      </w:pPr>
      <w:r>
        <w:t>Option 1 –</w:t>
      </w:r>
      <w:r w:rsidR="002C7024">
        <w:t>A</w:t>
      </w:r>
      <w:r>
        <w:t>n insolvent individual</w:t>
      </w:r>
      <w:r w:rsidR="003E0936">
        <w:t xml:space="preserve"> who becomes</w:t>
      </w:r>
      <w:r>
        <w:t xml:space="preserve"> bankrupt continue</w:t>
      </w:r>
      <w:r w:rsidR="0072121C">
        <w:t>s</w:t>
      </w:r>
      <w:r>
        <w:t xml:space="preserve"> to apply the current </w:t>
      </w:r>
      <w:r w:rsidR="0072121C">
        <w:t>remission income rules</w:t>
      </w:r>
      <w:r w:rsidR="003E0936">
        <w:t xml:space="preserve">.  These rules apply </w:t>
      </w:r>
      <w:r w:rsidR="0072121C">
        <w:t xml:space="preserve">if </w:t>
      </w:r>
      <w:r>
        <w:t>some</w:t>
      </w:r>
      <w:r w:rsidR="003E0936">
        <w:t>,</w:t>
      </w:r>
      <w:r>
        <w:t xml:space="preserve"> or all</w:t>
      </w:r>
      <w:r w:rsidR="003E0936">
        <w:t>,</w:t>
      </w:r>
      <w:r>
        <w:t xml:space="preserve"> debt </w:t>
      </w:r>
      <w:r w:rsidR="0072121C">
        <w:t xml:space="preserve">is remitted or cancelled </w:t>
      </w:r>
      <w:r>
        <w:t>under any procedure of insolvency law</w:t>
      </w:r>
      <w:r w:rsidR="002C7024">
        <w:t>, but do not apply to all types of debt</w:t>
      </w:r>
      <w:r w:rsidR="00A34BD8">
        <w:t>.  Tax losses may continue to be carried-forward on discharge from bankruptcy</w:t>
      </w:r>
      <w:r w:rsidR="0007659B">
        <w:t>.</w:t>
      </w:r>
    </w:p>
    <w:p w:rsidR="00444A8D" w:rsidRDefault="00444A8D" w:rsidP="00103D35">
      <w:pPr>
        <w:pStyle w:val="RISpara"/>
        <w:numPr>
          <w:ilvl w:val="0"/>
          <w:numId w:val="0"/>
        </w:numPr>
        <w:ind w:left="927"/>
      </w:pPr>
    </w:p>
    <w:p w:rsidR="00444A8D" w:rsidRDefault="00444A8D" w:rsidP="00103D35">
      <w:pPr>
        <w:pStyle w:val="RISbullet"/>
      </w:pPr>
      <w:r>
        <w:t xml:space="preserve">Option 2 – </w:t>
      </w:r>
      <w:r w:rsidR="002C7024">
        <w:t>A</w:t>
      </w:r>
      <w:r>
        <w:t xml:space="preserve">n insolvent individual </w:t>
      </w:r>
      <w:r w:rsidR="002C7024">
        <w:t>who is</w:t>
      </w:r>
      <w:r>
        <w:t xml:space="preserve"> released from all debt under any procedure of insolvency law</w:t>
      </w:r>
      <w:r w:rsidR="002C7024">
        <w:t xml:space="preserve"> will have their carried-forward tax losses cancelled.  The remission income rules that apply on discharge from bankruptcy would no longer apply</w:t>
      </w:r>
      <w:r w:rsidR="0007659B">
        <w:t>.</w:t>
      </w:r>
    </w:p>
    <w:p w:rsidR="00444A8D" w:rsidRDefault="00444A8D" w:rsidP="00103D35">
      <w:pPr>
        <w:pStyle w:val="RISpara"/>
        <w:numPr>
          <w:ilvl w:val="0"/>
          <w:numId w:val="0"/>
        </w:numPr>
        <w:ind w:left="927"/>
      </w:pPr>
    </w:p>
    <w:p w:rsidR="0072121C" w:rsidRDefault="00444A8D" w:rsidP="00103D35">
      <w:pPr>
        <w:pStyle w:val="RISbullet"/>
      </w:pPr>
      <w:r>
        <w:t xml:space="preserve">Option 3 – </w:t>
      </w:r>
      <w:r w:rsidR="002C7024">
        <w:t xml:space="preserve">An insolvent individual who has been released from all debt under any procedure of insolvency law will have their carried-forward tax losses cancelled, but only to the extent of </w:t>
      </w:r>
      <w:r w:rsidR="0072121C">
        <w:t xml:space="preserve">business debts </w:t>
      </w:r>
      <w:r w:rsidR="002C7024">
        <w:t xml:space="preserve">that have been </w:t>
      </w:r>
      <w:r w:rsidR="0072121C">
        <w:t>cancelled</w:t>
      </w:r>
      <w:r w:rsidR="002C7024">
        <w:t>.  The remission income rules that apply on discharge from bankruptcy would no longer apply</w:t>
      </w:r>
      <w:r w:rsidR="0072121C">
        <w:t>.</w:t>
      </w:r>
    </w:p>
    <w:p w:rsidR="002C7024" w:rsidRDefault="002C7024" w:rsidP="00103D35">
      <w:pPr>
        <w:pStyle w:val="RISpara"/>
        <w:numPr>
          <w:ilvl w:val="0"/>
          <w:numId w:val="0"/>
        </w:numPr>
        <w:ind w:left="927"/>
      </w:pPr>
    </w:p>
    <w:p w:rsidR="002F34E3" w:rsidRDefault="002F34E3" w:rsidP="000D03D4">
      <w:pPr>
        <w:pStyle w:val="Heading3"/>
      </w:pPr>
      <w:r>
        <w:t>Analysis of options</w:t>
      </w:r>
    </w:p>
    <w:p w:rsidR="002F34E3" w:rsidRDefault="002F34E3" w:rsidP="002F34E3">
      <w:pPr>
        <w:pStyle w:val="Heading4"/>
      </w:pPr>
      <w:r w:rsidRPr="002F34E3">
        <w:t>Option 1: status quo</w:t>
      </w:r>
    </w:p>
    <w:p w:rsidR="000F1A56" w:rsidRPr="005F0E9C" w:rsidRDefault="000F1A56" w:rsidP="005F0E9C">
      <w:pPr>
        <w:rPr>
          <w:lang w:val="en-AU" w:eastAsia="en-US"/>
        </w:rPr>
      </w:pPr>
    </w:p>
    <w:p w:rsidR="000F1A56" w:rsidRDefault="003A4B79" w:rsidP="00103D35">
      <w:pPr>
        <w:pStyle w:val="RISnumbering"/>
      </w:pPr>
      <w:r>
        <w:t>Under o</w:t>
      </w:r>
      <w:r w:rsidR="000F1A56">
        <w:t xml:space="preserve">ption 1, the current law and practice would remain unaltered.  </w:t>
      </w:r>
    </w:p>
    <w:p w:rsidR="00CF24C7" w:rsidRDefault="0007659B" w:rsidP="004B3B68">
      <w:pPr>
        <w:pStyle w:val="Heading6"/>
      </w:pPr>
      <w:r>
        <w:t>Maintaining the</w:t>
      </w:r>
      <w:r w:rsidR="0072121C" w:rsidRPr="006E1113">
        <w:t xml:space="preserve"> coherency of the tax system</w:t>
      </w:r>
      <w:r>
        <w:t>, including horizontal equity</w:t>
      </w:r>
    </w:p>
    <w:p w:rsidR="002F1826" w:rsidRPr="00A26015" w:rsidRDefault="002F1826" w:rsidP="005F0E9C"/>
    <w:p w:rsidR="003E0936" w:rsidRDefault="0072121C" w:rsidP="00103D35">
      <w:pPr>
        <w:pStyle w:val="RISnumbering"/>
      </w:pPr>
      <w:bookmarkStart w:id="19" w:name="_Ref434215385"/>
      <w:r>
        <w:t>Option 1</w:t>
      </w:r>
      <w:r w:rsidR="003E0936">
        <w:t xml:space="preserve"> permits a bankrupt to carry tax losses forward after being discharged from bankruptcy, at which time debts of the bankrupt are released and the bankrupt is given a fresh start.</w:t>
      </w:r>
    </w:p>
    <w:p w:rsidR="003E0936" w:rsidRDefault="003E0936" w:rsidP="00103D35">
      <w:pPr>
        <w:pStyle w:val="RISnumbering"/>
        <w:numPr>
          <w:ilvl w:val="0"/>
          <w:numId w:val="0"/>
        </w:numPr>
      </w:pPr>
    </w:p>
    <w:p w:rsidR="00CF24C7" w:rsidRDefault="003E0936" w:rsidP="00103D35">
      <w:pPr>
        <w:pStyle w:val="RISnumbering"/>
      </w:pPr>
      <w:bookmarkStart w:id="20" w:name="_Ref434217448"/>
      <w:r>
        <w:t>Option 1</w:t>
      </w:r>
      <w:r w:rsidR="0072121C">
        <w:t xml:space="preserve"> is inconsistent with the objective that the tax system should be neutral in rel</w:t>
      </w:r>
      <w:r w:rsidR="00CF24C7">
        <w:t>ation to investment decisions.  In particular, the loss carry-forward rules relating to insolvent persons provides an incentive for taxpayers to prefer:</w:t>
      </w:r>
      <w:bookmarkEnd w:id="19"/>
      <w:bookmarkEnd w:id="20"/>
    </w:p>
    <w:p w:rsidR="00CF24C7" w:rsidRDefault="00CF24C7" w:rsidP="00103D35">
      <w:pPr>
        <w:pStyle w:val="RISnumbering"/>
        <w:numPr>
          <w:ilvl w:val="0"/>
          <w:numId w:val="0"/>
        </w:numPr>
        <w:ind w:left="643"/>
      </w:pPr>
    </w:p>
    <w:p w:rsidR="00CF24C7" w:rsidRDefault="00CF24C7" w:rsidP="00103D35">
      <w:pPr>
        <w:pStyle w:val="RISpara"/>
        <w:numPr>
          <w:ilvl w:val="0"/>
          <w:numId w:val="36"/>
        </w:numPr>
      </w:pPr>
      <w:r>
        <w:t xml:space="preserve"> the sole trader business structure over a company business structure</w:t>
      </w:r>
      <w:r w:rsidR="002F1826">
        <w:t xml:space="preserve"> (this is because under current tax law, carried-forward tax losses survive bankruptcy of an individual but do not survive liquidation of a company</w:t>
      </w:r>
      <w:r>
        <w:t>; and</w:t>
      </w:r>
    </w:p>
    <w:p w:rsidR="00CF24C7" w:rsidRDefault="00CF24C7" w:rsidP="00103D35">
      <w:pPr>
        <w:pStyle w:val="RISpara"/>
        <w:numPr>
          <w:ilvl w:val="0"/>
          <w:numId w:val="0"/>
        </w:numPr>
        <w:ind w:left="927"/>
      </w:pPr>
    </w:p>
    <w:p w:rsidR="00C6387F" w:rsidRDefault="00C6387F">
      <w:pPr>
        <w:spacing w:line="240" w:lineRule="auto"/>
      </w:pPr>
      <w:r>
        <w:br w:type="page"/>
      </w:r>
    </w:p>
    <w:p w:rsidR="00C6387F" w:rsidRDefault="001C3991" w:rsidP="00103D35">
      <w:pPr>
        <w:pStyle w:val="RISpara"/>
        <w:numPr>
          <w:ilvl w:val="0"/>
          <w:numId w:val="36"/>
        </w:numPr>
      </w:pPr>
      <w:r w:rsidRPr="005F0E9C">
        <w:t>f</w:t>
      </w:r>
      <w:r w:rsidR="00CF24C7" w:rsidRPr="005F0E9C">
        <w:t>unding their business with either personal savings, or debt to which the remission income rules do not apply</w:t>
      </w:r>
      <w:r w:rsidR="002C7024">
        <w:t xml:space="preserve">.  </w:t>
      </w:r>
      <w:r w:rsidR="00C6387F">
        <w:t>This is illustrated in the following example.</w:t>
      </w:r>
    </w:p>
    <w:p w:rsidR="00C6387F" w:rsidRDefault="00C6387F" w:rsidP="00C6387F">
      <w:pPr>
        <w:pStyle w:val="RISpara"/>
        <w:numPr>
          <w:ilvl w:val="0"/>
          <w:numId w:val="0"/>
        </w:numPr>
        <w:ind w:left="567"/>
      </w:pPr>
    </w:p>
    <w:p w:rsidR="00A26015" w:rsidRPr="00C6387F" w:rsidRDefault="00C6387F" w:rsidP="00C6387F">
      <w:pPr>
        <w:pStyle w:val="RISpara"/>
        <w:numPr>
          <w:ilvl w:val="0"/>
          <w:numId w:val="0"/>
        </w:numPr>
        <w:ind w:left="927"/>
        <w:rPr>
          <w:i/>
        </w:rPr>
      </w:pPr>
      <w:r>
        <w:rPr>
          <w:i/>
        </w:rPr>
        <w:t>O</w:t>
      </w:r>
      <w:r w:rsidR="00A26015" w:rsidRPr="00C6387F">
        <w:rPr>
          <w:i/>
          <w:lang w:val="en-AU"/>
        </w:rPr>
        <w:t xml:space="preserve">n discharge from bankruptcy, </w:t>
      </w:r>
      <w:r w:rsidR="00CF4950" w:rsidRPr="00C6387F">
        <w:rPr>
          <w:i/>
        </w:rPr>
        <w:t xml:space="preserve">assume </w:t>
      </w:r>
      <w:r w:rsidR="00A26015" w:rsidRPr="00C6387F">
        <w:rPr>
          <w:i/>
          <w:lang w:val="en-AU"/>
        </w:rPr>
        <w:t>a bankrupt</w:t>
      </w:r>
      <w:r w:rsidR="00A26015" w:rsidRPr="00C6387F">
        <w:rPr>
          <w:i/>
        </w:rPr>
        <w:t xml:space="preserve"> has a carried-forward tax loss of $500.  Under current tax law, the amount of tax losses that could be carried forward after discharge from bankruptcy would differ, according to the type of business funding adopted, as follows:</w:t>
      </w:r>
    </w:p>
    <w:p w:rsidR="00A26015" w:rsidRPr="00114D38" w:rsidRDefault="00A26015" w:rsidP="00A26015">
      <w:pPr>
        <w:tabs>
          <w:tab w:val="left" w:pos="1134"/>
        </w:tabs>
        <w:ind w:left="1494" w:hanging="360"/>
        <w:contextualSpacing/>
        <w:rPr>
          <w:i/>
          <w:lang w:val="en-AU"/>
        </w:rPr>
      </w:pPr>
    </w:p>
    <w:tbl>
      <w:tblPr>
        <w:tblStyle w:val="TableGrid"/>
        <w:tblpPr w:leftFromText="180" w:rightFromText="180" w:vertAnchor="text" w:tblpX="936"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93"/>
        <w:gridCol w:w="2410"/>
      </w:tblGrid>
      <w:tr w:rsidR="00A26015" w:rsidRPr="00114D38" w:rsidTr="005F0E9C">
        <w:tc>
          <w:tcPr>
            <w:tcW w:w="2660" w:type="dxa"/>
            <w:shd w:val="clear" w:color="auto" w:fill="auto"/>
          </w:tcPr>
          <w:p w:rsidR="00A26015" w:rsidRPr="005F0E9C" w:rsidRDefault="00A26015" w:rsidP="00C6387F">
            <w:pPr>
              <w:ind w:left="76"/>
              <w:contextualSpacing/>
              <w:jc w:val="left"/>
              <w:rPr>
                <w:b/>
                <w:i/>
                <w:sz w:val="20"/>
                <w:lang w:val="en-AU"/>
              </w:rPr>
            </w:pPr>
            <w:r w:rsidRPr="005F0E9C">
              <w:rPr>
                <w:b/>
                <w:i/>
                <w:sz w:val="20"/>
                <w:lang w:val="en-AU"/>
              </w:rPr>
              <w:t>Business funded by</w:t>
            </w:r>
          </w:p>
        </w:tc>
        <w:tc>
          <w:tcPr>
            <w:tcW w:w="2693" w:type="dxa"/>
          </w:tcPr>
          <w:p w:rsidR="00A26015" w:rsidRPr="005F0E9C" w:rsidRDefault="00A26015" w:rsidP="00C6387F">
            <w:pPr>
              <w:ind w:left="34"/>
              <w:contextualSpacing/>
              <w:jc w:val="left"/>
              <w:rPr>
                <w:b/>
                <w:i/>
                <w:sz w:val="20"/>
                <w:lang w:val="en-AU"/>
              </w:rPr>
            </w:pPr>
            <w:r w:rsidRPr="005F0E9C">
              <w:rPr>
                <w:b/>
                <w:i/>
                <w:sz w:val="20"/>
                <w:lang w:val="en-AU"/>
              </w:rPr>
              <w:t>Amount of business funding</w:t>
            </w:r>
          </w:p>
        </w:tc>
        <w:tc>
          <w:tcPr>
            <w:tcW w:w="2410" w:type="dxa"/>
          </w:tcPr>
          <w:p w:rsidR="00C6387F" w:rsidRDefault="008C0103" w:rsidP="00C6387F">
            <w:pPr>
              <w:ind w:left="34"/>
              <w:contextualSpacing/>
              <w:jc w:val="center"/>
              <w:rPr>
                <w:b/>
                <w:i/>
                <w:sz w:val="20"/>
                <w:lang w:val="en-AU"/>
              </w:rPr>
            </w:pPr>
            <w:r>
              <w:rPr>
                <w:b/>
                <w:i/>
                <w:sz w:val="20"/>
                <w:lang w:val="en-AU"/>
              </w:rPr>
              <w:t>T</w:t>
            </w:r>
            <w:r w:rsidR="00A26015" w:rsidRPr="005F0E9C">
              <w:rPr>
                <w:b/>
                <w:i/>
                <w:sz w:val="20"/>
                <w:lang w:val="en-AU"/>
              </w:rPr>
              <w:t>ax loss to</w:t>
            </w:r>
          </w:p>
          <w:p w:rsidR="00A26015" w:rsidRPr="005F0E9C" w:rsidRDefault="00A26015" w:rsidP="00C6387F">
            <w:pPr>
              <w:ind w:left="34"/>
              <w:contextualSpacing/>
              <w:jc w:val="center"/>
              <w:rPr>
                <w:b/>
                <w:i/>
                <w:sz w:val="20"/>
                <w:lang w:val="en-AU"/>
              </w:rPr>
            </w:pPr>
            <w:r w:rsidRPr="005F0E9C">
              <w:rPr>
                <w:b/>
                <w:i/>
                <w:sz w:val="20"/>
                <w:lang w:val="en-AU"/>
              </w:rPr>
              <w:t>carry-forward</w:t>
            </w:r>
          </w:p>
        </w:tc>
      </w:tr>
      <w:tr w:rsidR="00A26015" w:rsidRPr="00114D38" w:rsidTr="005F0E9C">
        <w:tc>
          <w:tcPr>
            <w:tcW w:w="2660" w:type="dxa"/>
          </w:tcPr>
          <w:p w:rsidR="00A26015" w:rsidRPr="00114D38" w:rsidRDefault="00A26015" w:rsidP="00A26015">
            <w:pPr>
              <w:numPr>
                <w:ilvl w:val="0"/>
                <w:numId w:val="29"/>
              </w:numPr>
              <w:tabs>
                <w:tab w:val="left" w:pos="1134"/>
              </w:tabs>
              <w:ind w:left="414" w:hanging="283"/>
              <w:contextualSpacing/>
              <w:jc w:val="left"/>
              <w:rPr>
                <w:i/>
                <w:sz w:val="20"/>
                <w:lang w:val="en-AU"/>
              </w:rPr>
            </w:pPr>
            <w:r w:rsidRPr="00114D38">
              <w:rPr>
                <w:i/>
                <w:sz w:val="20"/>
                <w:lang w:val="en-AU"/>
              </w:rPr>
              <w:t>personal savings</w:t>
            </w:r>
          </w:p>
        </w:tc>
        <w:tc>
          <w:tcPr>
            <w:tcW w:w="2693" w:type="dxa"/>
            <w:vAlign w:val="center"/>
          </w:tcPr>
          <w:p w:rsidR="00A26015" w:rsidRPr="00114D38" w:rsidRDefault="00A26015" w:rsidP="005F0E9C">
            <w:pPr>
              <w:tabs>
                <w:tab w:val="left" w:pos="1134"/>
              </w:tabs>
              <w:ind w:left="317" w:right="917" w:hanging="360"/>
              <w:contextualSpacing/>
              <w:jc w:val="right"/>
              <w:rPr>
                <w:i/>
                <w:sz w:val="20"/>
                <w:lang w:val="en-AU"/>
              </w:rPr>
            </w:pPr>
            <w:r w:rsidRPr="00114D38">
              <w:rPr>
                <w:i/>
                <w:sz w:val="20"/>
                <w:lang w:val="en-AU"/>
              </w:rPr>
              <w:t>$500</w:t>
            </w:r>
          </w:p>
        </w:tc>
        <w:tc>
          <w:tcPr>
            <w:tcW w:w="2410" w:type="dxa"/>
            <w:vAlign w:val="center"/>
          </w:tcPr>
          <w:p w:rsidR="00A26015" w:rsidRPr="00114D38" w:rsidRDefault="00A26015" w:rsidP="005F0E9C">
            <w:pPr>
              <w:ind w:left="142" w:right="884"/>
              <w:contextualSpacing/>
              <w:jc w:val="right"/>
              <w:rPr>
                <w:i/>
                <w:sz w:val="20"/>
                <w:lang w:val="en-AU"/>
              </w:rPr>
            </w:pPr>
            <w:r w:rsidRPr="00114D38">
              <w:rPr>
                <w:i/>
                <w:sz w:val="20"/>
                <w:lang w:val="en-AU"/>
              </w:rPr>
              <w:t>$500</w:t>
            </w:r>
          </w:p>
        </w:tc>
      </w:tr>
      <w:tr w:rsidR="00A26015" w:rsidRPr="00114D38" w:rsidTr="005F0E9C">
        <w:tc>
          <w:tcPr>
            <w:tcW w:w="2660" w:type="dxa"/>
          </w:tcPr>
          <w:p w:rsidR="00A26015" w:rsidRPr="00114D38" w:rsidRDefault="00A26015" w:rsidP="00A26015">
            <w:pPr>
              <w:numPr>
                <w:ilvl w:val="0"/>
                <w:numId w:val="29"/>
              </w:numPr>
              <w:tabs>
                <w:tab w:val="left" w:pos="1134"/>
              </w:tabs>
              <w:ind w:left="414" w:hanging="283"/>
              <w:contextualSpacing/>
              <w:jc w:val="left"/>
              <w:rPr>
                <w:i/>
                <w:sz w:val="20"/>
                <w:lang w:val="en-AU"/>
              </w:rPr>
            </w:pPr>
            <w:r>
              <w:rPr>
                <w:i/>
                <w:sz w:val="20"/>
                <w:lang w:val="en-AU"/>
              </w:rPr>
              <w:t>debt subject to remission income rules</w:t>
            </w:r>
          </w:p>
        </w:tc>
        <w:tc>
          <w:tcPr>
            <w:tcW w:w="2693" w:type="dxa"/>
            <w:vAlign w:val="center"/>
          </w:tcPr>
          <w:p w:rsidR="00A26015" w:rsidRPr="00114D38" w:rsidRDefault="00A26015" w:rsidP="005F0E9C">
            <w:pPr>
              <w:tabs>
                <w:tab w:val="left" w:pos="1134"/>
              </w:tabs>
              <w:ind w:left="317" w:right="917" w:hanging="360"/>
              <w:contextualSpacing/>
              <w:jc w:val="right"/>
              <w:rPr>
                <w:i/>
                <w:sz w:val="20"/>
                <w:lang w:val="en-AU"/>
              </w:rPr>
            </w:pPr>
            <w:r w:rsidRPr="00114D38">
              <w:rPr>
                <w:i/>
                <w:sz w:val="20"/>
                <w:lang w:val="en-AU"/>
              </w:rPr>
              <w:t>$500</w:t>
            </w:r>
          </w:p>
        </w:tc>
        <w:tc>
          <w:tcPr>
            <w:tcW w:w="2410" w:type="dxa"/>
            <w:vAlign w:val="center"/>
          </w:tcPr>
          <w:p w:rsidR="00A26015" w:rsidRPr="00114D38" w:rsidRDefault="00A26015" w:rsidP="005F0E9C">
            <w:pPr>
              <w:ind w:left="142" w:right="884"/>
              <w:contextualSpacing/>
              <w:jc w:val="right"/>
              <w:rPr>
                <w:i/>
                <w:sz w:val="20"/>
                <w:lang w:val="en-AU"/>
              </w:rPr>
            </w:pPr>
            <w:r w:rsidRPr="00114D38">
              <w:rPr>
                <w:i/>
                <w:sz w:val="20"/>
                <w:lang w:val="en-AU"/>
              </w:rPr>
              <w:t>$0</w:t>
            </w:r>
          </w:p>
        </w:tc>
      </w:tr>
      <w:tr w:rsidR="00A26015" w:rsidRPr="00114D38" w:rsidTr="005F0E9C">
        <w:tc>
          <w:tcPr>
            <w:tcW w:w="2660" w:type="dxa"/>
          </w:tcPr>
          <w:p w:rsidR="00A26015" w:rsidRPr="00114D38" w:rsidRDefault="00A26015" w:rsidP="00A26015">
            <w:pPr>
              <w:numPr>
                <w:ilvl w:val="0"/>
                <w:numId w:val="29"/>
              </w:numPr>
              <w:tabs>
                <w:tab w:val="left" w:pos="1134"/>
              </w:tabs>
              <w:ind w:left="414" w:hanging="283"/>
              <w:contextualSpacing/>
              <w:jc w:val="left"/>
              <w:rPr>
                <w:i/>
                <w:sz w:val="20"/>
                <w:lang w:val="en-AU"/>
              </w:rPr>
            </w:pPr>
            <w:r>
              <w:rPr>
                <w:i/>
                <w:sz w:val="20"/>
                <w:lang w:val="en-AU"/>
              </w:rPr>
              <w:t>debt not subject to remission income rules</w:t>
            </w:r>
          </w:p>
        </w:tc>
        <w:tc>
          <w:tcPr>
            <w:tcW w:w="2693" w:type="dxa"/>
            <w:vAlign w:val="center"/>
          </w:tcPr>
          <w:p w:rsidR="00A26015" w:rsidRPr="00114D38" w:rsidRDefault="00A26015" w:rsidP="005F0E9C">
            <w:pPr>
              <w:tabs>
                <w:tab w:val="left" w:pos="1134"/>
              </w:tabs>
              <w:ind w:left="317" w:right="917" w:hanging="360"/>
              <w:contextualSpacing/>
              <w:jc w:val="right"/>
              <w:rPr>
                <w:i/>
                <w:sz w:val="20"/>
                <w:lang w:val="en-AU"/>
              </w:rPr>
            </w:pPr>
            <w:r w:rsidRPr="00114D38">
              <w:rPr>
                <w:i/>
                <w:sz w:val="20"/>
                <w:lang w:val="en-AU"/>
              </w:rPr>
              <w:t>$500</w:t>
            </w:r>
          </w:p>
        </w:tc>
        <w:tc>
          <w:tcPr>
            <w:tcW w:w="2410" w:type="dxa"/>
            <w:vAlign w:val="center"/>
          </w:tcPr>
          <w:p w:rsidR="00A26015" w:rsidRPr="00114D38" w:rsidRDefault="00A26015" w:rsidP="005F0E9C">
            <w:pPr>
              <w:ind w:left="142" w:right="884"/>
              <w:contextualSpacing/>
              <w:jc w:val="right"/>
              <w:rPr>
                <w:i/>
                <w:sz w:val="20"/>
                <w:lang w:val="en-AU"/>
              </w:rPr>
            </w:pPr>
            <w:r w:rsidRPr="00114D38">
              <w:rPr>
                <w:i/>
                <w:sz w:val="20"/>
                <w:lang w:val="en-AU"/>
              </w:rPr>
              <w:t>$500</w:t>
            </w:r>
          </w:p>
        </w:tc>
      </w:tr>
      <w:tr w:rsidR="00A26015" w:rsidRPr="00114D38" w:rsidTr="005F0E9C">
        <w:tc>
          <w:tcPr>
            <w:tcW w:w="2660" w:type="dxa"/>
          </w:tcPr>
          <w:p w:rsidR="00A26015" w:rsidRPr="00114D38" w:rsidRDefault="008C0103" w:rsidP="00103D35">
            <w:pPr>
              <w:numPr>
                <w:ilvl w:val="0"/>
                <w:numId w:val="29"/>
              </w:numPr>
              <w:tabs>
                <w:tab w:val="left" w:pos="1134"/>
              </w:tabs>
              <w:ind w:left="414" w:hanging="283"/>
              <w:contextualSpacing/>
              <w:jc w:val="left"/>
              <w:rPr>
                <w:i/>
                <w:sz w:val="20"/>
                <w:lang w:val="en-AU"/>
              </w:rPr>
            </w:pPr>
            <w:r>
              <w:rPr>
                <w:i/>
                <w:sz w:val="20"/>
                <w:lang w:val="en-AU"/>
              </w:rPr>
              <w:t xml:space="preserve">debt, </w:t>
            </w:r>
            <w:r w:rsidR="00A26015" w:rsidRPr="00114D38">
              <w:rPr>
                <w:i/>
                <w:sz w:val="20"/>
                <w:lang w:val="en-AU"/>
              </w:rPr>
              <w:t xml:space="preserve">60% of </w:t>
            </w:r>
            <w:r>
              <w:rPr>
                <w:i/>
                <w:sz w:val="20"/>
                <w:lang w:val="en-AU"/>
              </w:rPr>
              <w:t>which</w:t>
            </w:r>
            <w:r w:rsidRPr="00114D38">
              <w:rPr>
                <w:i/>
                <w:sz w:val="20"/>
                <w:lang w:val="en-AU"/>
              </w:rPr>
              <w:t xml:space="preserve"> </w:t>
            </w:r>
            <w:r w:rsidR="00A26015" w:rsidRPr="00114D38">
              <w:rPr>
                <w:i/>
                <w:sz w:val="20"/>
                <w:lang w:val="en-AU"/>
              </w:rPr>
              <w:t xml:space="preserve">is </w:t>
            </w:r>
            <w:r w:rsidR="00A26015">
              <w:rPr>
                <w:i/>
                <w:sz w:val="20"/>
                <w:lang w:val="en-AU"/>
              </w:rPr>
              <w:t>subject to remission income rules</w:t>
            </w:r>
            <w:r w:rsidR="00A26015" w:rsidRPr="00114D38">
              <w:rPr>
                <w:i/>
                <w:sz w:val="20"/>
                <w:lang w:val="en-AU"/>
              </w:rPr>
              <w:t xml:space="preserve"> </w:t>
            </w:r>
          </w:p>
        </w:tc>
        <w:tc>
          <w:tcPr>
            <w:tcW w:w="2693" w:type="dxa"/>
            <w:vAlign w:val="center"/>
          </w:tcPr>
          <w:p w:rsidR="00A26015" w:rsidRPr="00114D38" w:rsidRDefault="00A26015" w:rsidP="005F0E9C">
            <w:pPr>
              <w:tabs>
                <w:tab w:val="left" w:pos="1134"/>
              </w:tabs>
              <w:ind w:left="317" w:right="917" w:hanging="360"/>
              <w:contextualSpacing/>
              <w:jc w:val="right"/>
              <w:rPr>
                <w:i/>
                <w:sz w:val="20"/>
                <w:lang w:val="en-AU"/>
              </w:rPr>
            </w:pPr>
            <w:r w:rsidRPr="00114D38">
              <w:rPr>
                <w:i/>
                <w:sz w:val="20"/>
                <w:lang w:val="en-AU"/>
              </w:rPr>
              <w:t>$500</w:t>
            </w:r>
          </w:p>
        </w:tc>
        <w:tc>
          <w:tcPr>
            <w:tcW w:w="2410" w:type="dxa"/>
            <w:vAlign w:val="center"/>
          </w:tcPr>
          <w:p w:rsidR="00A26015" w:rsidRPr="00114D38" w:rsidRDefault="00A26015" w:rsidP="005F0E9C">
            <w:pPr>
              <w:ind w:left="142" w:right="884"/>
              <w:contextualSpacing/>
              <w:jc w:val="right"/>
              <w:rPr>
                <w:i/>
                <w:sz w:val="20"/>
                <w:lang w:val="en-AU"/>
              </w:rPr>
            </w:pPr>
            <w:r w:rsidRPr="00114D38">
              <w:rPr>
                <w:i/>
                <w:sz w:val="20"/>
                <w:lang w:val="en-AU"/>
              </w:rPr>
              <w:t>$200</w:t>
            </w:r>
          </w:p>
        </w:tc>
      </w:tr>
    </w:tbl>
    <w:p w:rsidR="00ED0AAC" w:rsidRDefault="00ED0AAC" w:rsidP="00DF25F0">
      <w:pPr>
        <w:pStyle w:val="RISparagraph"/>
        <w:numPr>
          <w:ilvl w:val="0"/>
          <w:numId w:val="0"/>
        </w:numPr>
        <w:ind w:left="927"/>
      </w:pPr>
    </w:p>
    <w:p w:rsidR="00A26015" w:rsidRDefault="00A26015" w:rsidP="00103D35">
      <w:pPr>
        <w:pStyle w:val="RISnumbering"/>
        <w:numPr>
          <w:ilvl w:val="0"/>
          <w:numId w:val="0"/>
        </w:numPr>
      </w:pPr>
    </w:p>
    <w:p w:rsidR="00A26015" w:rsidRDefault="00A26015" w:rsidP="00103D35">
      <w:pPr>
        <w:pStyle w:val="RISnumbering"/>
        <w:numPr>
          <w:ilvl w:val="0"/>
          <w:numId w:val="0"/>
        </w:numPr>
      </w:pPr>
    </w:p>
    <w:p w:rsidR="00A26015" w:rsidRDefault="00A26015" w:rsidP="00103D35">
      <w:pPr>
        <w:pStyle w:val="RISnumbering"/>
        <w:numPr>
          <w:ilvl w:val="0"/>
          <w:numId w:val="0"/>
        </w:numPr>
      </w:pPr>
    </w:p>
    <w:p w:rsidR="00A26015" w:rsidRDefault="00A26015" w:rsidP="00103D35">
      <w:pPr>
        <w:pStyle w:val="RISnumbering"/>
        <w:numPr>
          <w:ilvl w:val="0"/>
          <w:numId w:val="0"/>
        </w:numPr>
      </w:pPr>
    </w:p>
    <w:p w:rsidR="00A26015" w:rsidRDefault="00A26015" w:rsidP="00103D35">
      <w:pPr>
        <w:pStyle w:val="RISnumbering"/>
        <w:numPr>
          <w:ilvl w:val="0"/>
          <w:numId w:val="0"/>
        </w:numPr>
      </w:pPr>
    </w:p>
    <w:p w:rsidR="00A26015" w:rsidRDefault="00A26015" w:rsidP="00103D35">
      <w:pPr>
        <w:pStyle w:val="RISnumbering"/>
        <w:numPr>
          <w:ilvl w:val="0"/>
          <w:numId w:val="0"/>
        </w:numPr>
      </w:pPr>
    </w:p>
    <w:p w:rsidR="00A26015" w:rsidRDefault="00A26015" w:rsidP="00103D35">
      <w:pPr>
        <w:pStyle w:val="RISnumbering"/>
        <w:numPr>
          <w:ilvl w:val="0"/>
          <w:numId w:val="0"/>
        </w:numPr>
      </w:pPr>
    </w:p>
    <w:p w:rsidR="00A26015" w:rsidRDefault="00A26015" w:rsidP="00103D35">
      <w:pPr>
        <w:pStyle w:val="RISnumbering"/>
        <w:numPr>
          <w:ilvl w:val="0"/>
          <w:numId w:val="0"/>
        </w:numPr>
      </w:pPr>
    </w:p>
    <w:p w:rsidR="00A26015" w:rsidRDefault="00A26015" w:rsidP="00103D35">
      <w:pPr>
        <w:pStyle w:val="RISnumbering"/>
        <w:numPr>
          <w:ilvl w:val="0"/>
          <w:numId w:val="0"/>
        </w:numPr>
      </w:pPr>
    </w:p>
    <w:p w:rsidR="00A26015" w:rsidRDefault="00A26015" w:rsidP="00103D35">
      <w:pPr>
        <w:pStyle w:val="RISnumbering"/>
        <w:numPr>
          <w:ilvl w:val="0"/>
          <w:numId w:val="0"/>
        </w:numPr>
      </w:pPr>
    </w:p>
    <w:p w:rsidR="00CF24C7" w:rsidRDefault="00AE32DF" w:rsidP="00103D35">
      <w:pPr>
        <w:pStyle w:val="RISnumbering"/>
      </w:pPr>
      <w:bookmarkStart w:id="21" w:name="_Ref434397195"/>
      <w:r>
        <w:t xml:space="preserve">Option 1 is inconsistent with </w:t>
      </w:r>
      <w:r w:rsidR="00CF24C7">
        <w:t>the</w:t>
      </w:r>
      <w:r>
        <w:t xml:space="preserve"> long standing tax</w:t>
      </w:r>
      <w:r w:rsidR="00CF24C7">
        <w:t xml:space="preserve"> policy </w:t>
      </w:r>
      <w:r>
        <w:t xml:space="preserve">for the </w:t>
      </w:r>
      <w:r w:rsidR="00CF24C7">
        <w:t>carry-forward of tax losses</w:t>
      </w:r>
      <w:r w:rsidR="008C0103">
        <w:t xml:space="preserve"> that </w:t>
      </w:r>
      <w:r>
        <w:t>the carry forward of tax losses</w:t>
      </w:r>
      <w:r w:rsidR="00CF24C7">
        <w:t xml:space="preserve"> is contingent on</w:t>
      </w:r>
      <w:r w:rsidR="00AC5A62">
        <w:t xml:space="preserve"> satisfying</w:t>
      </w:r>
      <w:r w:rsidR="00CF24C7">
        <w:t xml:space="preserve"> debts </w:t>
      </w:r>
      <w:r w:rsidR="001C6980">
        <w:t>for</w:t>
      </w:r>
      <w:r w:rsidR="00CF24C7">
        <w:t xml:space="preserve"> </w:t>
      </w:r>
      <w:r w:rsidR="001C6980">
        <w:t xml:space="preserve">expenses incurred that </w:t>
      </w:r>
      <w:r w:rsidR="002C7024">
        <w:t xml:space="preserve">have been </w:t>
      </w:r>
      <w:r w:rsidR="00CF24C7">
        <w:t xml:space="preserve">included in past </w:t>
      </w:r>
      <w:r w:rsidR="001C3991">
        <w:t>tax losses</w:t>
      </w:r>
      <w:r w:rsidR="005C6775">
        <w:t>.</w:t>
      </w:r>
      <w:bookmarkEnd w:id="21"/>
    </w:p>
    <w:p w:rsidR="00CF24C7" w:rsidRDefault="00CF24C7" w:rsidP="00103D35">
      <w:pPr>
        <w:pStyle w:val="RISnumbering"/>
        <w:numPr>
          <w:ilvl w:val="0"/>
          <w:numId w:val="0"/>
        </w:numPr>
        <w:ind w:left="643"/>
      </w:pPr>
    </w:p>
    <w:p w:rsidR="00CF24C7" w:rsidRDefault="00CF24C7" w:rsidP="00103D35">
      <w:pPr>
        <w:pStyle w:val="RISnumbering"/>
      </w:pPr>
      <w:r>
        <w:t>The technical ability to carry</w:t>
      </w:r>
      <w:r w:rsidR="00AC5A62">
        <w:t xml:space="preserve"> </w:t>
      </w:r>
      <w:r>
        <w:t xml:space="preserve">forward tax losses beyond discharge from bankruptcy results </w:t>
      </w:r>
      <w:r w:rsidR="00AC5A62">
        <w:t xml:space="preserve">in </w:t>
      </w:r>
      <w:r w:rsidR="00AE32DF">
        <w:t>non-neutral tax treatment for</w:t>
      </w:r>
      <w:r>
        <w:t xml:space="preserve"> discharged bankrupts with tax losses as compared to discharged bankrupts who do not have tax losses.</w:t>
      </w:r>
      <w:r w:rsidR="00AC5A62">
        <w:t xml:space="preserve">  </w:t>
      </w:r>
      <w:r w:rsidR="00AE32DF">
        <w:t>This is inconsistent with the principle of horizontal equity and consequently impacts on the coherency of the tax system.</w:t>
      </w:r>
    </w:p>
    <w:p w:rsidR="00ED0AAC" w:rsidRDefault="00ED0AAC" w:rsidP="00ED0AAC">
      <w:pPr>
        <w:pStyle w:val="ListNumber2"/>
        <w:numPr>
          <w:ilvl w:val="0"/>
          <w:numId w:val="0"/>
        </w:numPr>
        <w:ind w:left="643"/>
      </w:pPr>
    </w:p>
    <w:p w:rsidR="008A33CB" w:rsidRDefault="008A33CB" w:rsidP="00103D35">
      <w:pPr>
        <w:pStyle w:val="RISnumbering"/>
      </w:pPr>
      <w:r>
        <w:t>Under the status quo, it is still possible for a range of timing</w:t>
      </w:r>
      <w:r w:rsidR="004B3B68">
        <w:t>, valuation,</w:t>
      </w:r>
      <w:r>
        <w:t xml:space="preserve"> and deduction rules to apply on a person being </w:t>
      </w:r>
      <w:r w:rsidR="005F050F">
        <w:t xml:space="preserve">declared </w:t>
      </w:r>
      <w:r>
        <w:t xml:space="preserve">bankrupt.  Some market value rules may result in the bankrupt </w:t>
      </w:r>
      <w:r w:rsidR="00AC5A62">
        <w:t xml:space="preserve">being </w:t>
      </w:r>
      <w:r>
        <w:t xml:space="preserve">required </w:t>
      </w:r>
      <w:r w:rsidR="00AC5A62">
        <w:t>to include, in</w:t>
      </w:r>
      <w:r>
        <w:t xml:space="preserve"> calculating their taxable income, the value of property vested in the Official Assignee.  This is </w:t>
      </w:r>
      <w:r w:rsidR="003E0936">
        <w:t>results in a non-neutral tax treatment for the bankrupt solely from the process of bankruptcy.</w:t>
      </w:r>
    </w:p>
    <w:p w:rsidR="00917F57" w:rsidRDefault="00917F57" w:rsidP="004B3B68">
      <w:pPr>
        <w:pStyle w:val="Heading6"/>
      </w:pPr>
      <w:r>
        <w:t>Consistency with the objectives of insolvency law</w:t>
      </w:r>
    </w:p>
    <w:p w:rsidR="00917F57" w:rsidRPr="00917F57" w:rsidRDefault="00917F57" w:rsidP="00C165F5"/>
    <w:p w:rsidR="00917F57" w:rsidRDefault="00917F57" w:rsidP="008C0103">
      <w:pPr>
        <w:pStyle w:val="RISnumbering"/>
      </w:pPr>
      <w:r>
        <w:t>Continuing with the status quo, which allows tax losses to be carried forward following discharge from bankruptcy, would result in income tax law continuing to be inconsistent with the fresh</w:t>
      </w:r>
      <w:r w:rsidR="006456F5">
        <w:t>-</w:t>
      </w:r>
      <w:r>
        <w:t xml:space="preserve">start principle and provide non-neutral outcomes as between discharged bankrupts.  These problems are set out in paragraph </w:t>
      </w:r>
      <w:r w:rsidR="0007659B">
        <w:fldChar w:fldCharType="begin"/>
      </w:r>
      <w:r w:rsidR="0007659B">
        <w:instrText xml:space="preserve"> REF _Ref434498811 \r \h </w:instrText>
      </w:r>
      <w:r w:rsidR="0007659B">
        <w:fldChar w:fldCharType="separate"/>
      </w:r>
      <w:r w:rsidR="004635E7">
        <w:t>19</w:t>
      </w:r>
      <w:r w:rsidR="0007659B">
        <w:fldChar w:fldCharType="end"/>
      </w:r>
      <w:r w:rsidR="0007659B">
        <w:t xml:space="preserve"> </w:t>
      </w:r>
      <w:r>
        <w:t xml:space="preserve">of this </w:t>
      </w:r>
      <w:proofErr w:type="spellStart"/>
      <w:r>
        <w:t>RIS</w:t>
      </w:r>
      <w:proofErr w:type="spellEnd"/>
      <w:r>
        <w:t>.</w:t>
      </w:r>
    </w:p>
    <w:p w:rsidR="0072121C" w:rsidRDefault="0072121C" w:rsidP="004B3B68">
      <w:pPr>
        <w:pStyle w:val="Heading6"/>
      </w:pPr>
      <w:r w:rsidRPr="006E1113">
        <w:t>Minimising tax and</w:t>
      </w:r>
      <w:r w:rsidR="006E1113">
        <w:t xml:space="preserve"> compliance costs for taxpayers</w:t>
      </w:r>
    </w:p>
    <w:p w:rsidR="002B095F" w:rsidRPr="005F0E9C" w:rsidRDefault="002B095F" w:rsidP="005F0E9C"/>
    <w:p w:rsidR="00120171" w:rsidRDefault="00120171" w:rsidP="00103D35">
      <w:pPr>
        <w:pStyle w:val="RISnumbering"/>
      </w:pPr>
      <w:r>
        <w:t xml:space="preserve">Currently taxpayers incur the cost of engaging an accountant to determine if tax losses exist on being declared bankrupt or on discharge from bankruptcy.  It is not possible to determine the scale of these costs due to data limitations. </w:t>
      </w:r>
    </w:p>
    <w:p w:rsidR="00120171" w:rsidRPr="006E1113" w:rsidRDefault="00120171" w:rsidP="00103D35">
      <w:pPr>
        <w:pStyle w:val="RISnumbering"/>
        <w:numPr>
          <w:ilvl w:val="0"/>
          <w:numId w:val="0"/>
        </w:numPr>
      </w:pPr>
    </w:p>
    <w:p w:rsidR="001D512F" w:rsidRDefault="006E1113" w:rsidP="00103D35">
      <w:pPr>
        <w:pStyle w:val="RISnumbering"/>
      </w:pPr>
      <w:r>
        <w:t xml:space="preserve">Outcomes </w:t>
      </w:r>
      <w:r w:rsidR="00120171">
        <w:t xml:space="preserve">from Inland Revenue’s administration of insolvents </w:t>
      </w:r>
      <w:r>
        <w:t xml:space="preserve">indicate that very few taxpayers have tax losses on discharge from bankruptcy and that often there are insufficient business records available to establish whether tax losses exist.  </w:t>
      </w:r>
      <w:r w:rsidR="0007659B">
        <w:t>No material change is expected in tax and compliance costs for taxpayers under option 1.</w:t>
      </w:r>
    </w:p>
    <w:p w:rsidR="0072121C" w:rsidRDefault="0072121C" w:rsidP="004B3B68">
      <w:pPr>
        <w:pStyle w:val="Heading6"/>
      </w:pPr>
      <w:r w:rsidRPr="0072121C">
        <w:t>Minimising administration costs for the Official Assignee</w:t>
      </w:r>
    </w:p>
    <w:p w:rsidR="003E0936" w:rsidRPr="005F0E9C" w:rsidRDefault="003E0936" w:rsidP="005F0E9C"/>
    <w:p w:rsidR="00DE598B" w:rsidRPr="006923D5" w:rsidRDefault="00120171" w:rsidP="00103D35">
      <w:pPr>
        <w:pStyle w:val="RISnumbering"/>
      </w:pPr>
      <w:r>
        <w:t xml:space="preserve">Currently, the </w:t>
      </w:r>
      <w:r w:rsidR="006E1113">
        <w:t xml:space="preserve">Official Assignee’s administration costs </w:t>
      </w:r>
      <w:r>
        <w:t xml:space="preserve">for insolvent individuals relate to insolvency procedures under the Insolvency Act.  </w:t>
      </w:r>
      <w:r w:rsidR="00DE598B">
        <w:t>Due to data limitations, the scale of these costs is not able to be determined.</w:t>
      </w:r>
      <w:r w:rsidR="0007659B">
        <w:t xml:space="preserve">  No material change is expected in administration costs for the Official Assignee under option 1.</w:t>
      </w:r>
    </w:p>
    <w:p w:rsidR="0072121C" w:rsidRDefault="0072121C" w:rsidP="005F0E9C">
      <w:pPr>
        <w:pStyle w:val="Heading6"/>
      </w:pPr>
      <w:r w:rsidRPr="0072121C">
        <w:t>Minimising administration costs for Inland Revenue.</w:t>
      </w:r>
    </w:p>
    <w:p w:rsidR="00AE32DF" w:rsidRPr="0072121C" w:rsidRDefault="00AE32DF" w:rsidP="00103D35">
      <w:pPr>
        <w:pStyle w:val="RISnumbering"/>
        <w:numPr>
          <w:ilvl w:val="0"/>
          <w:numId w:val="0"/>
        </w:numPr>
      </w:pPr>
    </w:p>
    <w:p w:rsidR="006E1113" w:rsidRDefault="006E1113" w:rsidP="00103D35">
      <w:pPr>
        <w:pStyle w:val="RISnumbering"/>
      </w:pPr>
      <w:r>
        <w:t xml:space="preserve">Inland Revenue’s </w:t>
      </w:r>
      <w:r w:rsidR="00DE598B">
        <w:t xml:space="preserve">main </w:t>
      </w:r>
      <w:r>
        <w:t xml:space="preserve">administration costs </w:t>
      </w:r>
      <w:r w:rsidR="00DE598B">
        <w:t>relate to clarifying who</w:t>
      </w:r>
      <w:r w:rsidR="00AE32DF">
        <w:t xml:space="preserve"> has the obligation to file returns of income in relation to income derived by a bankrupt during the period of bankruptcy.</w:t>
      </w:r>
      <w:r w:rsidR="0007659B">
        <w:t xml:space="preserve">  No material change is expected in administration costs for Inland Revenue under option 1.</w:t>
      </w:r>
    </w:p>
    <w:p w:rsidR="00AE32DF" w:rsidRDefault="00AE32DF" w:rsidP="00103D35">
      <w:pPr>
        <w:pStyle w:val="RISnumbering"/>
        <w:numPr>
          <w:ilvl w:val="0"/>
          <w:numId w:val="0"/>
        </w:numPr>
      </w:pPr>
    </w:p>
    <w:p w:rsidR="002A6059" w:rsidRPr="005F0E9C" w:rsidRDefault="006E1113" w:rsidP="005F0E9C">
      <w:pPr>
        <w:pStyle w:val="Heading4"/>
      </w:pPr>
      <w:bookmarkStart w:id="22" w:name="_Toc244580366"/>
      <w:bookmarkStart w:id="23" w:name="_Toc244587042"/>
      <w:bookmarkStart w:id="24" w:name="_Toc244857276"/>
      <w:bookmarkStart w:id="25" w:name="_Toc244912541"/>
      <w:bookmarkStart w:id="26" w:name="_Toc244916998"/>
      <w:r w:rsidRPr="005F0E9C">
        <w:t>Option 2 – cancel all tax losses of an insolvent individual on being released from all debt under any procedure of insolvency law</w:t>
      </w:r>
      <w:r w:rsidR="002A6059" w:rsidRPr="005F0E9C">
        <w:tab/>
      </w:r>
    </w:p>
    <w:p w:rsidR="002B095F" w:rsidRPr="005F0E9C" w:rsidRDefault="002B095F" w:rsidP="005F0E9C">
      <w:pPr>
        <w:rPr>
          <w:lang w:val="en-AU"/>
        </w:rPr>
      </w:pPr>
    </w:p>
    <w:p w:rsidR="002B095F" w:rsidRDefault="00DE598B" w:rsidP="00103D35">
      <w:pPr>
        <w:pStyle w:val="RISnumbering"/>
        <w:rPr>
          <w:lang w:val="en-AU"/>
        </w:rPr>
      </w:pPr>
      <w:r>
        <w:rPr>
          <w:lang w:val="en-AU"/>
        </w:rPr>
        <w:t>Under o</w:t>
      </w:r>
      <w:r w:rsidR="006E1113" w:rsidRPr="006E1113">
        <w:rPr>
          <w:lang w:val="en-AU"/>
        </w:rPr>
        <w:t xml:space="preserve">ption </w:t>
      </w:r>
      <w:r w:rsidR="001C3991">
        <w:rPr>
          <w:lang w:val="en-AU"/>
        </w:rPr>
        <w:t>2</w:t>
      </w:r>
      <w:r>
        <w:rPr>
          <w:lang w:val="en-AU"/>
        </w:rPr>
        <w:t xml:space="preserve">, </w:t>
      </w:r>
      <w:r w:rsidR="00485CA7">
        <w:rPr>
          <w:lang w:val="en-AU"/>
        </w:rPr>
        <w:t xml:space="preserve">the remission income rules in the Income Tax Act </w:t>
      </w:r>
      <w:r>
        <w:rPr>
          <w:lang w:val="en-AU"/>
        </w:rPr>
        <w:t xml:space="preserve">would no </w:t>
      </w:r>
      <w:r w:rsidR="00485CA7">
        <w:rPr>
          <w:lang w:val="en-AU"/>
        </w:rPr>
        <w:t xml:space="preserve">longer apply </w:t>
      </w:r>
      <w:r>
        <w:rPr>
          <w:lang w:val="en-AU"/>
        </w:rPr>
        <w:t xml:space="preserve">to a person discharged from </w:t>
      </w:r>
      <w:r w:rsidR="002B095F">
        <w:rPr>
          <w:lang w:val="en-AU"/>
        </w:rPr>
        <w:t xml:space="preserve">bankruptcy or </w:t>
      </w:r>
      <w:r>
        <w:rPr>
          <w:lang w:val="en-AU"/>
        </w:rPr>
        <w:t>who completes</w:t>
      </w:r>
      <w:r w:rsidR="002B095F">
        <w:rPr>
          <w:lang w:val="en-AU"/>
        </w:rPr>
        <w:t xml:space="preserve"> the “no-asset procedure” under the Insolvency Act 2006.  </w:t>
      </w:r>
      <w:r>
        <w:rPr>
          <w:lang w:val="en-AU"/>
        </w:rPr>
        <w:t xml:space="preserve">In addition, </w:t>
      </w:r>
      <w:r w:rsidR="00485CA7">
        <w:rPr>
          <w:lang w:val="en-AU"/>
        </w:rPr>
        <w:t>carried-forward tax losses of a person released from all debt</w:t>
      </w:r>
      <w:r w:rsidR="008C0103">
        <w:rPr>
          <w:lang w:val="en-AU"/>
        </w:rPr>
        <w:t>s</w:t>
      </w:r>
      <w:r w:rsidR="00485CA7">
        <w:rPr>
          <w:lang w:val="en-AU"/>
        </w:rPr>
        <w:t xml:space="preserve"> under any procedure of insolvency law</w:t>
      </w:r>
      <w:r>
        <w:rPr>
          <w:lang w:val="en-AU"/>
        </w:rPr>
        <w:t xml:space="preserve"> would be cancelled</w:t>
      </w:r>
      <w:r w:rsidR="00485CA7">
        <w:rPr>
          <w:lang w:val="en-AU"/>
        </w:rPr>
        <w:t>.  Typically, this would occur on</w:t>
      </w:r>
      <w:r w:rsidR="002B095F">
        <w:rPr>
          <w:lang w:val="en-AU"/>
        </w:rPr>
        <w:t xml:space="preserve"> being </w:t>
      </w:r>
      <w:r w:rsidR="0032433A">
        <w:rPr>
          <w:lang w:val="en-AU"/>
        </w:rPr>
        <w:t>discharged</w:t>
      </w:r>
      <w:r w:rsidR="00485CA7">
        <w:rPr>
          <w:lang w:val="en-AU"/>
        </w:rPr>
        <w:t xml:space="preserve"> from bankruptcy or completing the “no-asset procedure” of the Insolvency Act 2006.  </w:t>
      </w:r>
    </w:p>
    <w:p w:rsidR="002B095F" w:rsidRDefault="002B095F" w:rsidP="00103D35">
      <w:pPr>
        <w:pStyle w:val="RISnumbering"/>
        <w:numPr>
          <w:ilvl w:val="0"/>
          <w:numId w:val="0"/>
        </w:numPr>
        <w:rPr>
          <w:lang w:val="en-AU"/>
        </w:rPr>
      </w:pPr>
    </w:p>
    <w:p w:rsidR="002B095F" w:rsidRDefault="002B095F" w:rsidP="00103D35">
      <w:pPr>
        <w:pStyle w:val="RISnumbering"/>
        <w:rPr>
          <w:lang w:val="en-AU"/>
        </w:rPr>
      </w:pPr>
      <w:r>
        <w:rPr>
          <w:lang w:val="en-AU"/>
        </w:rPr>
        <w:t>In addition:</w:t>
      </w:r>
    </w:p>
    <w:p w:rsidR="002B095F" w:rsidRDefault="002B095F" w:rsidP="00103D35">
      <w:pPr>
        <w:pStyle w:val="RISnumbering"/>
        <w:numPr>
          <w:ilvl w:val="0"/>
          <w:numId w:val="0"/>
        </w:numPr>
        <w:rPr>
          <w:lang w:val="en-AU"/>
        </w:rPr>
      </w:pPr>
    </w:p>
    <w:p w:rsidR="00485CA7" w:rsidRDefault="00DE598B" w:rsidP="00103D35">
      <w:pPr>
        <w:pStyle w:val="RISbullet"/>
      </w:pPr>
      <w:r>
        <w:t>T</w:t>
      </w:r>
      <w:r w:rsidR="002B095F">
        <w:t>he</w:t>
      </w:r>
      <w:r>
        <w:t xml:space="preserve"> tax</w:t>
      </w:r>
      <w:r w:rsidR="002B095F">
        <w:t xml:space="preserve"> rules relating to </w:t>
      </w:r>
      <w:r>
        <w:t>disposals of tax-base</w:t>
      </w:r>
      <w:r w:rsidR="002B095F">
        <w:t xml:space="preserve"> property would </w:t>
      </w:r>
      <w:r w:rsidR="0032433A">
        <w:t xml:space="preserve">be amended to give </w:t>
      </w:r>
      <w:r w:rsidR="002B095F">
        <w:t xml:space="preserve">a tax-neutral treatment for </w:t>
      </w:r>
      <w:r>
        <w:t xml:space="preserve">assets vested in the Official Assignee on a </w:t>
      </w:r>
      <w:r w:rsidR="002B095F">
        <w:t xml:space="preserve">person </w:t>
      </w:r>
      <w:r>
        <w:t xml:space="preserve">being </w:t>
      </w:r>
      <w:r w:rsidR="002B095F">
        <w:t>declared bankrupt; and</w:t>
      </w:r>
    </w:p>
    <w:p w:rsidR="002B095F" w:rsidRDefault="002B095F" w:rsidP="00103D35">
      <w:pPr>
        <w:pStyle w:val="RISpara"/>
        <w:numPr>
          <w:ilvl w:val="0"/>
          <w:numId w:val="0"/>
        </w:numPr>
        <w:ind w:left="927"/>
      </w:pPr>
    </w:p>
    <w:p w:rsidR="002B095F" w:rsidRDefault="002B095F" w:rsidP="00103D35">
      <w:pPr>
        <w:pStyle w:val="RISbullet"/>
      </w:pPr>
      <w:r>
        <w:t xml:space="preserve">the </w:t>
      </w:r>
      <w:r w:rsidR="00DE598B">
        <w:t xml:space="preserve">tax </w:t>
      </w:r>
      <w:r>
        <w:t xml:space="preserve">rules would be clarified </w:t>
      </w:r>
      <w:r w:rsidR="00DE598B">
        <w:t xml:space="preserve">to ensure </w:t>
      </w:r>
      <w:r>
        <w:t>a bankrupt is responsible for satisfying income tax obligations relating to income derived during bankruptcy.</w:t>
      </w:r>
    </w:p>
    <w:p w:rsidR="00485CA7" w:rsidRDefault="00485CA7" w:rsidP="00103D35">
      <w:pPr>
        <w:pStyle w:val="RISnumbering"/>
        <w:numPr>
          <w:ilvl w:val="0"/>
          <w:numId w:val="0"/>
        </w:numPr>
        <w:rPr>
          <w:lang w:val="en-AU"/>
        </w:rPr>
      </w:pPr>
    </w:p>
    <w:p w:rsidR="00485CA7" w:rsidRDefault="00485CA7" w:rsidP="00103D35">
      <w:pPr>
        <w:pStyle w:val="RISnumbering"/>
        <w:rPr>
          <w:lang w:val="en-AU"/>
        </w:rPr>
      </w:pPr>
      <w:r>
        <w:rPr>
          <w:lang w:val="en-AU"/>
        </w:rPr>
        <w:t>A partial release of debt may</w:t>
      </w:r>
      <w:r w:rsidR="00DE598B">
        <w:rPr>
          <w:lang w:val="en-AU"/>
        </w:rPr>
        <w:t xml:space="preserve"> also occur</w:t>
      </w:r>
      <w:r>
        <w:rPr>
          <w:lang w:val="en-AU"/>
        </w:rPr>
        <w:t xml:space="preserve"> under any procedure that is an alternative to bankruptcy.  </w:t>
      </w:r>
      <w:r w:rsidR="00DE598B">
        <w:rPr>
          <w:lang w:val="en-AU"/>
        </w:rPr>
        <w:t xml:space="preserve">These procedures are </w:t>
      </w:r>
      <w:r>
        <w:rPr>
          <w:lang w:val="en-AU"/>
        </w:rPr>
        <w:t xml:space="preserve">intended to </w:t>
      </w:r>
      <w:r w:rsidR="002B095F">
        <w:rPr>
          <w:lang w:val="en-AU"/>
        </w:rPr>
        <w:t>assist</w:t>
      </w:r>
      <w:r>
        <w:rPr>
          <w:lang w:val="en-AU"/>
        </w:rPr>
        <w:t xml:space="preserve"> the </w:t>
      </w:r>
      <w:r w:rsidR="0032433A">
        <w:rPr>
          <w:lang w:val="en-AU"/>
        </w:rPr>
        <w:t>debtor and</w:t>
      </w:r>
      <w:r w:rsidR="002B095F">
        <w:rPr>
          <w:lang w:val="en-AU"/>
        </w:rPr>
        <w:t xml:space="preserve"> </w:t>
      </w:r>
      <w:r w:rsidR="00DE598B">
        <w:rPr>
          <w:lang w:val="en-AU"/>
        </w:rPr>
        <w:t xml:space="preserve">his or her </w:t>
      </w:r>
      <w:r w:rsidR="002B095F">
        <w:rPr>
          <w:lang w:val="en-AU"/>
        </w:rPr>
        <w:t xml:space="preserve">creditors by reducing debts to a level that can be managed.  </w:t>
      </w:r>
      <w:r w:rsidR="00DE598B">
        <w:rPr>
          <w:lang w:val="en-AU"/>
        </w:rPr>
        <w:t>E</w:t>
      </w:r>
      <w:r>
        <w:rPr>
          <w:lang w:val="en-AU"/>
        </w:rPr>
        <w:t xml:space="preserve">xisting remission rules in the Income Tax Act 2007 would </w:t>
      </w:r>
      <w:r w:rsidR="0032433A">
        <w:rPr>
          <w:lang w:val="en-AU"/>
        </w:rPr>
        <w:t xml:space="preserve">continue to </w:t>
      </w:r>
      <w:r>
        <w:rPr>
          <w:lang w:val="en-AU"/>
        </w:rPr>
        <w:t xml:space="preserve">apply </w:t>
      </w:r>
      <w:r w:rsidR="0032433A">
        <w:rPr>
          <w:lang w:val="en-AU"/>
        </w:rPr>
        <w:t>to partial remissions of debt</w:t>
      </w:r>
      <w:r w:rsidR="00DE598B">
        <w:rPr>
          <w:lang w:val="en-AU"/>
        </w:rPr>
        <w:t>, and carried forward tax losses may be used to offset that income.  The fresh</w:t>
      </w:r>
      <w:r w:rsidR="006456F5">
        <w:rPr>
          <w:lang w:val="en-AU"/>
        </w:rPr>
        <w:t>-</w:t>
      </w:r>
      <w:r w:rsidR="00DE598B">
        <w:rPr>
          <w:lang w:val="en-AU"/>
        </w:rPr>
        <w:t xml:space="preserve">start principle does not apply in these situations, as all debts are not fully released and the debtor is not generally required to surrender assets in exchange for that partial remission.  </w:t>
      </w:r>
      <w:r>
        <w:rPr>
          <w:lang w:val="en-AU"/>
        </w:rPr>
        <w:t>After applying the remission income rules to partial remission of debt, any remaining balance of carried-forward tax losses remain available for carry-forward.</w:t>
      </w:r>
      <w:r w:rsidR="00DE598B">
        <w:rPr>
          <w:lang w:val="en-AU"/>
        </w:rPr>
        <w:t xml:space="preserve"> </w:t>
      </w:r>
    </w:p>
    <w:p w:rsidR="0007659B" w:rsidRDefault="0007659B" w:rsidP="0007659B">
      <w:pPr>
        <w:pStyle w:val="Heading6"/>
      </w:pPr>
      <w:r>
        <w:t>Maintaining the</w:t>
      </w:r>
      <w:r w:rsidRPr="006E1113">
        <w:t xml:space="preserve"> coherency of the tax system</w:t>
      </w:r>
      <w:r>
        <w:t>, including horizontal equity</w:t>
      </w:r>
    </w:p>
    <w:p w:rsidR="00485CA7" w:rsidRDefault="00485CA7" w:rsidP="00103D35">
      <w:pPr>
        <w:pStyle w:val="RISnumbering"/>
        <w:numPr>
          <w:ilvl w:val="0"/>
          <w:numId w:val="0"/>
        </w:numPr>
        <w:rPr>
          <w:lang w:val="en-AU"/>
        </w:rPr>
      </w:pPr>
    </w:p>
    <w:p w:rsidR="00485CA7" w:rsidRDefault="00485CA7" w:rsidP="00103D35">
      <w:pPr>
        <w:pStyle w:val="RISnumbering"/>
        <w:rPr>
          <w:lang w:val="en-AU"/>
        </w:rPr>
      </w:pPr>
      <w:r>
        <w:rPr>
          <w:lang w:val="en-AU"/>
        </w:rPr>
        <w:t xml:space="preserve">Option 2 </w:t>
      </w:r>
      <w:r w:rsidR="006E1113" w:rsidRPr="006E1113">
        <w:rPr>
          <w:lang w:val="en-AU"/>
        </w:rPr>
        <w:t xml:space="preserve">is consistent with the objective that the tax system should be neutral in </w:t>
      </w:r>
      <w:r w:rsidR="001C3991">
        <w:rPr>
          <w:lang w:val="en-AU"/>
        </w:rPr>
        <w:t xml:space="preserve">relation to investment decisions.  This option does not prefer any particular business structure </w:t>
      </w:r>
      <w:r>
        <w:rPr>
          <w:lang w:val="en-AU"/>
        </w:rPr>
        <w:t xml:space="preserve">as it results in carried-forward tax losses being cancelled irrespective of whether a sole-trader or company business structure is selected.  </w:t>
      </w:r>
    </w:p>
    <w:p w:rsidR="00485CA7" w:rsidRDefault="00485CA7" w:rsidP="00103D35">
      <w:pPr>
        <w:pStyle w:val="RISnumbering"/>
        <w:numPr>
          <w:ilvl w:val="0"/>
          <w:numId w:val="0"/>
        </w:numPr>
        <w:rPr>
          <w:lang w:val="en-AU"/>
        </w:rPr>
      </w:pPr>
    </w:p>
    <w:p w:rsidR="00C6387F" w:rsidRDefault="00C6387F">
      <w:pPr>
        <w:spacing w:line="240" w:lineRule="auto"/>
        <w:rPr>
          <w:szCs w:val="24"/>
          <w:lang w:val="en-AU"/>
        </w:rPr>
      </w:pPr>
      <w:r>
        <w:rPr>
          <w:lang w:val="en-AU"/>
        </w:rPr>
        <w:br w:type="page"/>
      </w:r>
    </w:p>
    <w:p w:rsidR="00AC5A62" w:rsidRPr="005C6775" w:rsidRDefault="005F0E9C" w:rsidP="00103D35">
      <w:pPr>
        <w:pStyle w:val="RISnumbering"/>
      </w:pPr>
      <w:r>
        <w:rPr>
          <w:lang w:val="en-AU"/>
        </w:rPr>
        <w:t>Op</w:t>
      </w:r>
      <w:r w:rsidR="00485CA7" w:rsidRPr="005F0E9C">
        <w:rPr>
          <w:lang w:val="en-AU"/>
        </w:rPr>
        <w:t xml:space="preserve">tion </w:t>
      </w:r>
      <w:r>
        <w:rPr>
          <w:lang w:val="en-AU"/>
        </w:rPr>
        <w:t xml:space="preserve">2 </w:t>
      </w:r>
      <w:r w:rsidR="00485CA7" w:rsidRPr="005F0E9C">
        <w:rPr>
          <w:lang w:val="en-AU"/>
        </w:rPr>
        <w:t xml:space="preserve">also does not </w:t>
      </w:r>
      <w:r>
        <w:rPr>
          <w:lang w:val="en-AU"/>
        </w:rPr>
        <w:t>result in a preference for</w:t>
      </w:r>
      <w:r w:rsidRPr="005F0E9C">
        <w:rPr>
          <w:lang w:val="en-AU"/>
        </w:rPr>
        <w:t xml:space="preserve"> </w:t>
      </w:r>
      <w:r w:rsidR="00485CA7" w:rsidRPr="005F0E9C">
        <w:rPr>
          <w:lang w:val="en-AU"/>
        </w:rPr>
        <w:t xml:space="preserve">any particular type of </w:t>
      </w:r>
      <w:r>
        <w:rPr>
          <w:lang w:val="en-AU"/>
        </w:rPr>
        <w:t xml:space="preserve">business </w:t>
      </w:r>
      <w:r w:rsidR="00485CA7" w:rsidRPr="005F0E9C">
        <w:rPr>
          <w:lang w:val="en-AU"/>
        </w:rPr>
        <w:t>funding</w:t>
      </w:r>
      <w:r w:rsidR="006E1113" w:rsidRPr="005F0E9C">
        <w:rPr>
          <w:lang w:val="en-AU"/>
        </w:rPr>
        <w:t>.</w:t>
      </w:r>
      <w:r w:rsidR="00485CA7" w:rsidRPr="005F0E9C">
        <w:rPr>
          <w:lang w:val="en-AU"/>
        </w:rPr>
        <w:t xml:space="preserve">  It applies equally whether the business funding comes from personal savings, business debt, or debt that is </w:t>
      </w:r>
      <w:r w:rsidR="0032433A" w:rsidRPr="005F0E9C">
        <w:rPr>
          <w:lang w:val="en-AU"/>
        </w:rPr>
        <w:t>not subject to the remission income rules</w:t>
      </w:r>
      <w:r w:rsidR="00485CA7" w:rsidRPr="005F0E9C">
        <w:rPr>
          <w:lang w:val="en-AU"/>
        </w:rPr>
        <w:t xml:space="preserve">.  </w:t>
      </w:r>
      <w:r w:rsidR="00C6387F">
        <w:rPr>
          <w:lang w:val="en-AU"/>
        </w:rPr>
        <w:t>This is illustrated in the following example:</w:t>
      </w:r>
    </w:p>
    <w:p w:rsidR="000F1A56" w:rsidRDefault="000F1A56">
      <w:pPr>
        <w:spacing w:line="240" w:lineRule="auto"/>
        <w:rPr>
          <w:i/>
          <w:lang w:val="en-AU"/>
        </w:rPr>
      </w:pPr>
    </w:p>
    <w:p w:rsidR="0032433A" w:rsidRDefault="00C6387F" w:rsidP="005F0E9C">
      <w:pPr>
        <w:pStyle w:val="RISparagraph"/>
        <w:numPr>
          <w:ilvl w:val="0"/>
          <w:numId w:val="0"/>
        </w:numPr>
        <w:ind w:left="567"/>
        <w:rPr>
          <w:i/>
        </w:rPr>
      </w:pPr>
      <w:r>
        <w:rPr>
          <w:i/>
        </w:rPr>
        <w:t>O</w:t>
      </w:r>
      <w:r w:rsidRPr="00C6387F">
        <w:rPr>
          <w:i/>
        </w:rPr>
        <w:t xml:space="preserve">n discharge from bankruptcy, assume the bankrupt has a carried-forward tax loss of $500. </w:t>
      </w:r>
      <w:r>
        <w:rPr>
          <w:i/>
        </w:rPr>
        <w:t xml:space="preserve">Under option 2, the cancellation of tax losses </w:t>
      </w:r>
      <w:r w:rsidR="008C0103" w:rsidRPr="008C0103">
        <w:rPr>
          <w:i/>
        </w:rPr>
        <w:t>is neutral across all funding choices.</w:t>
      </w:r>
    </w:p>
    <w:p w:rsidR="008C0103" w:rsidRDefault="008C0103" w:rsidP="005F0E9C">
      <w:pPr>
        <w:pStyle w:val="RISparagraph"/>
        <w:numPr>
          <w:ilvl w:val="0"/>
          <w:numId w:val="0"/>
        </w:numPr>
        <w:ind w:left="567"/>
        <w:rPr>
          <w:i/>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551"/>
        <w:gridCol w:w="2268"/>
      </w:tblGrid>
      <w:tr w:rsidR="00AC5A62" w:rsidRPr="0005209B" w:rsidTr="005F0E9C">
        <w:tc>
          <w:tcPr>
            <w:tcW w:w="3119" w:type="dxa"/>
          </w:tcPr>
          <w:p w:rsidR="00AC5A62" w:rsidRPr="005F0E9C" w:rsidRDefault="00AC5A62" w:rsidP="00103D35">
            <w:pPr>
              <w:pStyle w:val="RISparagraph"/>
              <w:numPr>
                <w:ilvl w:val="0"/>
                <w:numId w:val="0"/>
              </w:numPr>
              <w:jc w:val="center"/>
              <w:rPr>
                <w:b/>
                <w:i/>
                <w:sz w:val="20"/>
              </w:rPr>
            </w:pPr>
            <w:r w:rsidRPr="005F0E9C">
              <w:rPr>
                <w:b/>
                <w:i/>
                <w:sz w:val="20"/>
              </w:rPr>
              <w:t>Business funded by</w:t>
            </w:r>
          </w:p>
        </w:tc>
        <w:tc>
          <w:tcPr>
            <w:tcW w:w="2551" w:type="dxa"/>
            <w:tcBorders>
              <w:left w:val="nil"/>
            </w:tcBorders>
          </w:tcPr>
          <w:p w:rsidR="00AC5A62" w:rsidRPr="005F0E9C" w:rsidRDefault="00AC5A62" w:rsidP="00103D35">
            <w:pPr>
              <w:pStyle w:val="RISparagraph"/>
              <w:numPr>
                <w:ilvl w:val="0"/>
                <w:numId w:val="0"/>
              </w:numPr>
              <w:jc w:val="center"/>
              <w:rPr>
                <w:b/>
                <w:i/>
                <w:sz w:val="20"/>
              </w:rPr>
            </w:pPr>
            <w:r w:rsidRPr="005F0E9C">
              <w:rPr>
                <w:b/>
                <w:i/>
                <w:sz w:val="20"/>
              </w:rPr>
              <w:t>Amount of business funding</w:t>
            </w:r>
          </w:p>
        </w:tc>
        <w:tc>
          <w:tcPr>
            <w:tcW w:w="2268" w:type="dxa"/>
          </w:tcPr>
          <w:p w:rsidR="00AC5A62" w:rsidRPr="005F0E9C" w:rsidRDefault="008C0103" w:rsidP="00103D35">
            <w:pPr>
              <w:pStyle w:val="RISparagraph"/>
              <w:numPr>
                <w:ilvl w:val="0"/>
                <w:numId w:val="0"/>
              </w:numPr>
              <w:jc w:val="center"/>
              <w:rPr>
                <w:b/>
                <w:i/>
                <w:sz w:val="20"/>
              </w:rPr>
            </w:pPr>
            <w:r>
              <w:rPr>
                <w:b/>
                <w:i/>
                <w:sz w:val="20"/>
              </w:rPr>
              <w:t>T</w:t>
            </w:r>
            <w:r w:rsidR="00AC5A62" w:rsidRPr="005F0E9C">
              <w:rPr>
                <w:b/>
                <w:i/>
                <w:sz w:val="20"/>
              </w:rPr>
              <w:t>ax loss to carry-forward</w:t>
            </w:r>
          </w:p>
        </w:tc>
      </w:tr>
      <w:tr w:rsidR="0032433A" w:rsidRPr="0005209B" w:rsidTr="005F0E9C">
        <w:tc>
          <w:tcPr>
            <w:tcW w:w="3119" w:type="dxa"/>
          </w:tcPr>
          <w:p w:rsidR="0032433A" w:rsidRPr="0005209B" w:rsidRDefault="0032433A" w:rsidP="0032433A">
            <w:pPr>
              <w:pStyle w:val="RISparagraph"/>
              <w:numPr>
                <w:ilvl w:val="0"/>
                <w:numId w:val="29"/>
              </w:numPr>
              <w:ind w:left="414" w:hanging="283"/>
              <w:jc w:val="left"/>
              <w:rPr>
                <w:i/>
                <w:sz w:val="20"/>
              </w:rPr>
            </w:pPr>
            <w:r w:rsidRPr="00114D38">
              <w:rPr>
                <w:i/>
                <w:sz w:val="20"/>
              </w:rPr>
              <w:t>personal savings</w:t>
            </w:r>
          </w:p>
        </w:tc>
        <w:tc>
          <w:tcPr>
            <w:tcW w:w="2551" w:type="dxa"/>
            <w:tcBorders>
              <w:left w:val="nil"/>
            </w:tcBorders>
            <w:vAlign w:val="center"/>
          </w:tcPr>
          <w:p w:rsidR="0032433A" w:rsidRPr="0005209B" w:rsidRDefault="0032433A" w:rsidP="005F0E9C">
            <w:pPr>
              <w:pStyle w:val="RISparagraph"/>
              <w:numPr>
                <w:ilvl w:val="0"/>
                <w:numId w:val="0"/>
              </w:numPr>
              <w:jc w:val="center"/>
              <w:rPr>
                <w:i/>
                <w:sz w:val="20"/>
              </w:rPr>
            </w:pPr>
            <w:r w:rsidRPr="0005209B">
              <w:rPr>
                <w:i/>
                <w:sz w:val="20"/>
              </w:rPr>
              <w:t>$500</w:t>
            </w:r>
          </w:p>
        </w:tc>
        <w:tc>
          <w:tcPr>
            <w:tcW w:w="2268" w:type="dxa"/>
            <w:vAlign w:val="center"/>
          </w:tcPr>
          <w:p w:rsidR="0032433A" w:rsidRPr="0005209B" w:rsidRDefault="0032433A" w:rsidP="005F0E9C">
            <w:pPr>
              <w:pStyle w:val="RISparagraph"/>
              <w:numPr>
                <w:ilvl w:val="0"/>
                <w:numId w:val="0"/>
              </w:numPr>
              <w:jc w:val="center"/>
              <w:rPr>
                <w:i/>
                <w:sz w:val="20"/>
              </w:rPr>
            </w:pPr>
            <w:r w:rsidRPr="0005209B">
              <w:rPr>
                <w:i/>
                <w:sz w:val="20"/>
              </w:rPr>
              <w:t>$</w:t>
            </w:r>
            <w:r>
              <w:rPr>
                <w:i/>
                <w:sz w:val="20"/>
              </w:rPr>
              <w:t>0</w:t>
            </w:r>
          </w:p>
        </w:tc>
      </w:tr>
      <w:tr w:rsidR="0032433A" w:rsidRPr="0005209B" w:rsidTr="005F0E9C">
        <w:tc>
          <w:tcPr>
            <w:tcW w:w="3119" w:type="dxa"/>
          </w:tcPr>
          <w:p w:rsidR="0032433A" w:rsidRPr="0005209B" w:rsidRDefault="008076F3" w:rsidP="005F0E9C">
            <w:pPr>
              <w:pStyle w:val="RISparagraph"/>
              <w:numPr>
                <w:ilvl w:val="0"/>
                <w:numId w:val="29"/>
              </w:numPr>
              <w:ind w:left="414" w:hanging="283"/>
              <w:rPr>
                <w:i/>
                <w:sz w:val="20"/>
              </w:rPr>
            </w:pPr>
            <w:r>
              <w:rPr>
                <w:i/>
                <w:sz w:val="20"/>
              </w:rPr>
              <w:t>business debt</w:t>
            </w:r>
          </w:p>
        </w:tc>
        <w:tc>
          <w:tcPr>
            <w:tcW w:w="2551" w:type="dxa"/>
            <w:tcBorders>
              <w:left w:val="nil"/>
            </w:tcBorders>
            <w:vAlign w:val="center"/>
          </w:tcPr>
          <w:p w:rsidR="0032433A" w:rsidRPr="0005209B" w:rsidRDefault="0032433A" w:rsidP="005F0E9C">
            <w:pPr>
              <w:pStyle w:val="RISparagraph"/>
              <w:numPr>
                <w:ilvl w:val="0"/>
                <w:numId w:val="0"/>
              </w:numPr>
              <w:jc w:val="center"/>
              <w:rPr>
                <w:i/>
                <w:sz w:val="20"/>
              </w:rPr>
            </w:pPr>
            <w:r w:rsidRPr="0005209B">
              <w:rPr>
                <w:i/>
                <w:sz w:val="20"/>
              </w:rPr>
              <w:t>$500</w:t>
            </w:r>
          </w:p>
        </w:tc>
        <w:tc>
          <w:tcPr>
            <w:tcW w:w="2268" w:type="dxa"/>
            <w:vAlign w:val="center"/>
          </w:tcPr>
          <w:p w:rsidR="0032433A" w:rsidRPr="0005209B" w:rsidRDefault="0032433A" w:rsidP="005F0E9C">
            <w:pPr>
              <w:pStyle w:val="RISparagraph"/>
              <w:numPr>
                <w:ilvl w:val="0"/>
                <w:numId w:val="0"/>
              </w:numPr>
              <w:jc w:val="center"/>
              <w:rPr>
                <w:i/>
                <w:sz w:val="20"/>
              </w:rPr>
            </w:pPr>
            <w:r w:rsidRPr="0005209B">
              <w:rPr>
                <w:i/>
                <w:sz w:val="20"/>
              </w:rPr>
              <w:t>$0</w:t>
            </w:r>
          </w:p>
        </w:tc>
      </w:tr>
    </w:tbl>
    <w:p w:rsidR="00ED0AAC" w:rsidRDefault="00ED0AAC" w:rsidP="00C165F5">
      <w:pPr>
        <w:tabs>
          <w:tab w:val="left" w:pos="2791"/>
        </w:tabs>
        <w:rPr>
          <w:lang w:val="en-AU"/>
        </w:rPr>
      </w:pPr>
    </w:p>
    <w:p w:rsidR="00C6387F" w:rsidRDefault="00C6387F" w:rsidP="00C165F5">
      <w:pPr>
        <w:tabs>
          <w:tab w:val="left" w:pos="2791"/>
        </w:tabs>
        <w:rPr>
          <w:lang w:val="en-AU"/>
        </w:rPr>
      </w:pPr>
    </w:p>
    <w:p w:rsidR="00AC5A62" w:rsidRDefault="001C3991" w:rsidP="00103D35">
      <w:pPr>
        <w:pStyle w:val="RISnumbering"/>
        <w:rPr>
          <w:lang w:val="en-AU"/>
        </w:rPr>
      </w:pPr>
      <w:r w:rsidRPr="001C3991">
        <w:rPr>
          <w:lang w:val="en-AU"/>
        </w:rPr>
        <w:t>Option 2 is consistent with the policy that the carry-forward of tax losses is contingent on debts that relate to deductions included in past tax losses being fully repaid</w:t>
      </w:r>
      <w:r>
        <w:rPr>
          <w:lang w:val="en-AU"/>
        </w:rPr>
        <w:t xml:space="preserve"> and improves the coherency of the tax system.</w:t>
      </w:r>
      <w:r w:rsidRPr="001C3991">
        <w:rPr>
          <w:lang w:val="en-AU"/>
        </w:rPr>
        <w:t xml:space="preserve"> </w:t>
      </w:r>
      <w:r w:rsidR="00AC5A62">
        <w:rPr>
          <w:lang w:val="en-AU"/>
        </w:rPr>
        <w:t xml:space="preserve">  </w:t>
      </w:r>
    </w:p>
    <w:p w:rsidR="006E1113" w:rsidRDefault="006E1113" w:rsidP="004B3B68">
      <w:pPr>
        <w:pStyle w:val="Heading6"/>
        <w:rPr>
          <w:lang w:val="en-AU"/>
        </w:rPr>
      </w:pPr>
      <w:r w:rsidRPr="001C3991">
        <w:rPr>
          <w:lang w:val="en-AU"/>
        </w:rPr>
        <w:t>Consistency with the objectives of insolvency law</w:t>
      </w:r>
    </w:p>
    <w:p w:rsidR="002B095F" w:rsidRPr="005F0E9C" w:rsidRDefault="002B095F" w:rsidP="005F0E9C">
      <w:pPr>
        <w:rPr>
          <w:lang w:val="en-AU"/>
        </w:rPr>
      </w:pPr>
    </w:p>
    <w:p w:rsidR="006E1113" w:rsidRPr="006E1113" w:rsidRDefault="0007659B" w:rsidP="00103D35">
      <w:pPr>
        <w:pStyle w:val="RISnumbering"/>
        <w:rPr>
          <w:lang w:val="en-AU"/>
        </w:rPr>
      </w:pPr>
      <w:r>
        <w:rPr>
          <w:lang w:val="en-AU"/>
        </w:rPr>
        <w:t>Option 2</w:t>
      </w:r>
      <w:r w:rsidR="006E1113" w:rsidRPr="006E1113">
        <w:rPr>
          <w:lang w:val="en-AU"/>
        </w:rPr>
        <w:t xml:space="preserve"> is consisten</w:t>
      </w:r>
      <w:r w:rsidR="001C3991">
        <w:rPr>
          <w:lang w:val="en-AU"/>
        </w:rPr>
        <w:t>t</w:t>
      </w:r>
      <w:r w:rsidR="006E1113" w:rsidRPr="006E1113">
        <w:rPr>
          <w:lang w:val="en-AU"/>
        </w:rPr>
        <w:t xml:space="preserve"> with </w:t>
      </w:r>
      <w:r w:rsidR="006456F5">
        <w:rPr>
          <w:lang w:val="en-AU"/>
        </w:rPr>
        <w:t>the fresh-</w:t>
      </w:r>
      <w:r w:rsidR="001C3991">
        <w:rPr>
          <w:lang w:val="en-AU"/>
        </w:rPr>
        <w:t xml:space="preserve">start principle of </w:t>
      </w:r>
      <w:r w:rsidR="006E1113" w:rsidRPr="006E1113">
        <w:rPr>
          <w:lang w:val="en-AU"/>
        </w:rPr>
        <w:t xml:space="preserve">insolvency law.  </w:t>
      </w:r>
      <w:r w:rsidR="008076F3">
        <w:rPr>
          <w:lang w:val="en-AU"/>
        </w:rPr>
        <w:t>This is because the tax benefit (a tax asset) is surrendered as part of the process of being discharged from bankruptcy.</w:t>
      </w:r>
    </w:p>
    <w:p w:rsidR="006E1113" w:rsidRDefault="006E1113" w:rsidP="004B3B68">
      <w:pPr>
        <w:pStyle w:val="Heading6"/>
        <w:rPr>
          <w:lang w:val="en-AU"/>
        </w:rPr>
      </w:pPr>
      <w:r w:rsidRPr="006E1113">
        <w:rPr>
          <w:lang w:val="en-AU"/>
        </w:rPr>
        <w:t>Minimising tax and compliance costs for taxpayers</w:t>
      </w:r>
    </w:p>
    <w:p w:rsidR="002B095F" w:rsidRPr="005F0E9C" w:rsidRDefault="002B095F" w:rsidP="005F0E9C">
      <w:pPr>
        <w:rPr>
          <w:lang w:val="en-AU"/>
        </w:rPr>
      </w:pPr>
    </w:p>
    <w:p w:rsidR="001C3991" w:rsidRDefault="001C3991" w:rsidP="00103D35">
      <w:pPr>
        <w:pStyle w:val="RISnumbering"/>
        <w:rPr>
          <w:lang w:val="en-AU"/>
        </w:rPr>
      </w:pPr>
      <w:r>
        <w:rPr>
          <w:lang w:val="en-AU"/>
        </w:rPr>
        <w:t xml:space="preserve">Option 2 will result in taxpayers not needing to determine if tax losses exist on discharge from bankruptcy and this eliminates a potential </w:t>
      </w:r>
      <w:r w:rsidR="00AC5A62">
        <w:rPr>
          <w:lang w:val="en-AU"/>
        </w:rPr>
        <w:t>wasted expense</w:t>
      </w:r>
      <w:r>
        <w:rPr>
          <w:lang w:val="en-AU"/>
        </w:rPr>
        <w:t xml:space="preserve"> (t</w:t>
      </w:r>
      <w:r w:rsidR="006E1113" w:rsidRPr="006E1113">
        <w:rPr>
          <w:lang w:val="en-AU"/>
        </w:rPr>
        <w:t>he cost of engaging an accountant to determine if tax losses exist on discharge from bankruptcy</w:t>
      </w:r>
      <w:r>
        <w:rPr>
          <w:lang w:val="en-AU"/>
        </w:rPr>
        <w:t>).</w:t>
      </w:r>
      <w:r w:rsidR="002B095F">
        <w:rPr>
          <w:lang w:val="en-AU"/>
        </w:rPr>
        <w:t xml:space="preserve">  In addition, the taxpayer </w:t>
      </w:r>
      <w:r w:rsidR="00CF4950">
        <w:rPr>
          <w:lang w:val="en-AU"/>
        </w:rPr>
        <w:t>would not need to determine the tax effect of assets vesting in the Official Assignee.</w:t>
      </w:r>
    </w:p>
    <w:p w:rsidR="006E1113" w:rsidRDefault="006E1113" w:rsidP="004B3B68">
      <w:pPr>
        <w:pStyle w:val="Heading6"/>
        <w:rPr>
          <w:lang w:val="en-AU"/>
        </w:rPr>
      </w:pPr>
      <w:r w:rsidRPr="006E1113">
        <w:rPr>
          <w:lang w:val="en-AU"/>
        </w:rPr>
        <w:t>Minimising administration costs for the Official Assignee</w:t>
      </w:r>
    </w:p>
    <w:p w:rsidR="002B095F" w:rsidRPr="005F0E9C" w:rsidRDefault="002B095F" w:rsidP="005F0E9C">
      <w:pPr>
        <w:rPr>
          <w:lang w:val="en-AU"/>
        </w:rPr>
      </w:pPr>
    </w:p>
    <w:p w:rsidR="006E1113" w:rsidRPr="006E1113" w:rsidRDefault="006E1113" w:rsidP="00103D35">
      <w:pPr>
        <w:pStyle w:val="RISnumbering"/>
        <w:rPr>
          <w:lang w:val="en-AU"/>
        </w:rPr>
      </w:pPr>
      <w:r w:rsidRPr="006E1113">
        <w:rPr>
          <w:lang w:val="en-AU"/>
        </w:rPr>
        <w:t xml:space="preserve">The Official Assignee’s administration costs would be unchanged </w:t>
      </w:r>
      <w:r w:rsidR="00382276">
        <w:rPr>
          <w:lang w:val="en-AU"/>
        </w:rPr>
        <w:t>under</w:t>
      </w:r>
      <w:r w:rsidRPr="006E1113">
        <w:rPr>
          <w:lang w:val="en-AU"/>
        </w:rPr>
        <w:t xml:space="preserve"> </w:t>
      </w:r>
      <w:r w:rsidR="005F0E9C">
        <w:rPr>
          <w:lang w:val="en-AU"/>
        </w:rPr>
        <w:t>o</w:t>
      </w:r>
      <w:r w:rsidR="003A4B79">
        <w:rPr>
          <w:lang w:val="en-AU"/>
        </w:rPr>
        <w:t>ption</w:t>
      </w:r>
      <w:r w:rsidR="001C3991">
        <w:rPr>
          <w:lang w:val="en-AU"/>
        </w:rPr>
        <w:t xml:space="preserve"> 2</w:t>
      </w:r>
      <w:r w:rsidRPr="006E1113">
        <w:rPr>
          <w:lang w:val="en-AU"/>
        </w:rPr>
        <w:t>.</w:t>
      </w:r>
      <w:r w:rsidR="00382276">
        <w:rPr>
          <w:lang w:val="en-AU"/>
        </w:rPr>
        <w:t xml:space="preserve">  </w:t>
      </w:r>
    </w:p>
    <w:p w:rsidR="006E1113" w:rsidRDefault="006E1113" w:rsidP="004B3B68">
      <w:pPr>
        <w:pStyle w:val="Heading6"/>
        <w:rPr>
          <w:lang w:val="en-AU"/>
        </w:rPr>
      </w:pPr>
      <w:r w:rsidRPr="006E1113">
        <w:rPr>
          <w:lang w:val="en-AU"/>
        </w:rPr>
        <w:t>Minimising administration costs for Inland Revenue.</w:t>
      </w:r>
    </w:p>
    <w:p w:rsidR="00AC5A62" w:rsidRPr="00A26015" w:rsidRDefault="00AC5A62" w:rsidP="005F0E9C">
      <w:pPr>
        <w:rPr>
          <w:lang w:val="en-AU"/>
        </w:rPr>
      </w:pPr>
    </w:p>
    <w:p w:rsidR="000F1A56" w:rsidRDefault="000F1A56" w:rsidP="00103D35">
      <w:pPr>
        <w:pStyle w:val="RISnumbering"/>
        <w:rPr>
          <w:lang w:val="en-AU"/>
        </w:rPr>
      </w:pPr>
      <w:r>
        <w:rPr>
          <w:lang w:val="en-AU"/>
        </w:rPr>
        <w:t xml:space="preserve">Inland Revenue’s administration costs would </w:t>
      </w:r>
      <w:r w:rsidR="0019619F">
        <w:rPr>
          <w:lang w:val="en-AU"/>
        </w:rPr>
        <w:t>decrease</w:t>
      </w:r>
      <w:r>
        <w:rPr>
          <w:lang w:val="en-AU"/>
        </w:rPr>
        <w:t xml:space="preserve"> in </w:t>
      </w:r>
      <w:r w:rsidR="0007659B">
        <w:rPr>
          <w:lang w:val="en-AU"/>
        </w:rPr>
        <w:t xml:space="preserve">the following </w:t>
      </w:r>
      <w:r>
        <w:rPr>
          <w:lang w:val="en-AU"/>
        </w:rPr>
        <w:t>areas</w:t>
      </w:r>
      <w:r w:rsidR="0019619F">
        <w:rPr>
          <w:lang w:val="en-AU"/>
        </w:rPr>
        <w:t>, but due to data limitations it is not possible to determine the scale of the overall effect</w:t>
      </w:r>
      <w:r>
        <w:rPr>
          <w:lang w:val="en-AU"/>
        </w:rPr>
        <w:t>:</w:t>
      </w:r>
    </w:p>
    <w:p w:rsidR="000F1A56" w:rsidRDefault="000F1A56" w:rsidP="00103D35">
      <w:pPr>
        <w:pStyle w:val="RISnumbering"/>
        <w:numPr>
          <w:ilvl w:val="0"/>
          <w:numId w:val="0"/>
        </w:numPr>
        <w:rPr>
          <w:lang w:val="en-AU"/>
        </w:rPr>
      </w:pPr>
    </w:p>
    <w:p w:rsidR="000F1A56" w:rsidRPr="001C3F25" w:rsidRDefault="000F1A56" w:rsidP="00103D35">
      <w:pPr>
        <w:pStyle w:val="RISpara"/>
        <w:numPr>
          <w:ilvl w:val="0"/>
          <w:numId w:val="38"/>
        </w:numPr>
      </w:pPr>
      <w:r>
        <w:t>t</w:t>
      </w:r>
      <w:r w:rsidRPr="001C3F25">
        <w:t xml:space="preserve">he law would be clarified to ensure that the bankrupt is responsible for filing returns of income for income derived during the period of bankruptcy; </w:t>
      </w:r>
    </w:p>
    <w:p w:rsidR="000F1A56" w:rsidRPr="00382276" w:rsidRDefault="0019619F" w:rsidP="00103D35">
      <w:pPr>
        <w:pStyle w:val="RISpara"/>
        <w:numPr>
          <w:ilvl w:val="0"/>
          <w:numId w:val="0"/>
        </w:numPr>
        <w:ind w:left="927"/>
      </w:pPr>
      <w:r>
        <w:tab/>
      </w:r>
    </w:p>
    <w:p w:rsidR="000F1A56" w:rsidRPr="00DF25F0" w:rsidRDefault="000F1A56" w:rsidP="00103D35">
      <w:pPr>
        <w:pStyle w:val="RISpara"/>
      </w:pPr>
      <w:r w:rsidRPr="00DF25F0">
        <w:t>it would no longer be possible for disputes to arise on whether carried forward tax losses exist on discharge from bankruptcy (although in practice this rarely occurs); and</w:t>
      </w:r>
    </w:p>
    <w:p w:rsidR="000F1A56" w:rsidRDefault="000F1A56" w:rsidP="00103D35">
      <w:pPr>
        <w:pStyle w:val="RISpara"/>
        <w:numPr>
          <w:ilvl w:val="0"/>
          <w:numId w:val="0"/>
        </w:numPr>
        <w:ind w:left="927"/>
      </w:pPr>
    </w:p>
    <w:p w:rsidR="00810E7E" w:rsidRDefault="000F1A56" w:rsidP="00103D35">
      <w:pPr>
        <w:pStyle w:val="RISpara"/>
      </w:pPr>
      <w:r>
        <w:t>the law would be clarified to provide that:</w:t>
      </w:r>
    </w:p>
    <w:p w:rsidR="00810E7E" w:rsidRDefault="00810E7E">
      <w:pPr>
        <w:spacing w:line="240" w:lineRule="auto"/>
      </w:pPr>
      <w:r>
        <w:br w:type="page"/>
      </w:r>
    </w:p>
    <w:p w:rsidR="000F1A56" w:rsidRDefault="000F1A56" w:rsidP="000F1A56">
      <w:pPr>
        <w:pStyle w:val="RISparagraph"/>
        <w:numPr>
          <w:ilvl w:val="0"/>
          <w:numId w:val="0"/>
        </w:numPr>
        <w:ind w:left="927"/>
      </w:pPr>
    </w:p>
    <w:p w:rsidR="000F1A56" w:rsidRDefault="000F1A56" w:rsidP="00103D35">
      <w:pPr>
        <w:pStyle w:val="RISbullet"/>
      </w:pPr>
      <w:r w:rsidRPr="00CF4950">
        <w:t>the rules relating to vesting of tax base property in the Official Assignee would be amended to give a tax-neutral treatment for the person declared bankrupt</w:t>
      </w:r>
      <w:r>
        <w:t xml:space="preserve">. </w:t>
      </w:r>
      <w:r w:rsidRPr="00CF4950" w:rsidDel="00CF4950">
        <w:t xml:space="preserve"> </w:t>
      </w:r>
      <w:r>
        <w:t>This clarification is to ensure that no tax costs or benefits arise</w:t>
      </w:r>
      <w:r w:rsidR="0007659B">
        <w:t xml:space="preserve"> for the bankrupt as a result of </w:t>
      </w:r>
      <w:r>
        <w:t>being declared bankrupt</w:t>
      </w:r>
      <w:r w:rsidR="0007659B">
        <w:t>.  This improves</w:t>
      </w:r>
      <w:r>
        <w:t xml:space="preserve"> consistency with the objectives of insolvency law; and</w:t>
      </w:r>
    </w:p>
    <w:p w:rsidR="000F1A56" w:rsidRDefault="000F1A56" w:rsidP="00103D35">
      <w:pPr>
        <w:pStyle w:val="RISbullet"/>
        <w:numPr>
          <w:ilvl w:val="0"/>
          <w:numId w:val="0"/>
        </w:numPr>
        <w:ind w:left="851"/>
      </w:pPr>
    </w:p>
    <w:p w:rsidR="000F1A56" w:rsidRDefault="000F1A56" w:rsidP="00103D35">
      <w:pPr>
        <w:pStyle w:val="RISbullet"/>
      </w:pPr>
      <w:r>
        <w:t>the bankrupt is responsible for filing returns of income for income derived during the period of bankruptcy.  This clarification is likely to reduce the number of contacts with bankrupts.</w:t>
      </w:r>
    </w:p>
    <w:p w:rsidR="000F1A56" w:rsidRDefault="000F1A56" w:rsidP="00103D35">
      <w:pPr>
        <w:pStyle w:val="RISbullet"/>
        <w:numPr>
          <w:ilvl w:val="0"/>
          <w:numId w:val="0"/>
        </w:numPr>
        <w:rPr>
          <w:lang w:eastAsia="en-US"/>
        </w:rPr>
      </w:pPr>
    </w:p>
    <w:p w:rsidR="002A6059" w:rsidRDefault="00382276" w:rsidP="00382276">
      <w:pPr>
        <w:pStyle w:val="Heading4"/>
      </w:pPr>
      <w:r w:rsidRPr="00382276">
        <w:t xml:space="preserve">Option 3 – cancel tax losses partially to the extent of business debts cancelled under </w:t>
      </w:r>
      <w:r>
        <w:t>any procedure of insolvency law</w:t>
      </w:r>
    </w:p>
    <w:p w:rsidR="002B095F" w:rsidRPr="005F0E9C" w:rsidRDefault="002B095F" w:rsidP="005F0E9C">
      <w:pPr>
        <w:rPr>
          <w:lang w:val="en-AU"/>
        </w:rPr>
      </w:pPr>
    </w:p>
    <w:p w:rsidR="008076F3" w:rsidRDefault="008076F3" w:rsidP="00103D35">
      <w:pPr>
        <w:pStyle w:val="RISnumbering"/>
        <w:rPr>
          <w:lang w:val="en-AU"/>
        </w:rPr>
      </w:pPr>
      <w:r>
        <w:rPr>
          <w:lang w:val="en-AU"/>
        </w:rPr>
        <w:t>Under o</w:t>
      </w:r>
      <w:r w:rsidRPr="006E1113">
        <w:rPr>
          <w:lang w:val="en-AU"/>
        </w:rPr>
        <w:t xml:space="preserve">ption </w:t>
      </w:r>
      <w:r>
        <w:rPr>
          <w:lang w:val="en-AU"/>
        </w:rPr>
        <w:t>3, the remission income rules in the Income Tax Act would no longer apply to a person discharged from bankruptcy or who completes the “no-asset procedure” under the Insolvency Act 2006.  In addition, carried-forward tax losses of a person released from all debt under any procedure of insolvency law would be cancelled, but only to the extent the debts released are debts of the business activity.  Typically, this would occur on being discharged from bankruptcy or completing the “no-asset procedure” of the Insolvency Act 2006.</w:t>
      </w:r>
    </w:p>
    <w:p w:rsidR="00CF4950" w:rsidRDefault="00CF4950">
      <w:pPr>
        <w:spacing w:line="240" w:lineRule="auto"/>
        <w:rPr>
          <w:szCs w:val="24"/>
          <w:lang w:val="en-AU"/>
        </w:rPr>
      </w:pPr>
    </w:p>
    <w:p w:rsidR="002B095F" w:rsidRDefault="002B095F" w:rsidP="00103D35">
      <w:pPr>
        <w:pStyle w:val="RISnumbering"/>
        <w:rPr>
          <w:lang w:val="en-AU"/>
        </w:rPr>
      </w:pPr>
      <w:r>
        <w:rPr>
          <w:lang w:val="en-AU"/>
        </w:rPr>
        <w:t>In addition:</w:t>
      </w:r>
    </w:p>
    <w:p w:rsidR="002B095F" w:rsidRDefault="002B095F" w:rsidP="00103D35">
      <w:pPr>
        <w:pStyle w:val="RISnumbering"/>
        <w:numPr>
          <w:ilvl w:val="0"/>
          <w:numId w:val="0"/>
        </w:numPr>
        <w:rPr>
          <w:lang w:val="en-AU"/>
        </w:rPr>
      </w:pPr>
    </w:p>
    <w:p w:rsidR="002B095F" w:rsidRPr="005F0E9C" w:rsidRDefault="002B095F" w:rsidP="00103D35">
      <w:pPr>
        <w:pStyle w:val="RISbullet"/>
      </w:pPr>
      <w:r w:rsidRPr="005F0E9C">
        <w:t xml:space="preserve">the </w:t>
      </w:r>
      <w:r w:rsidR="008076F3">
        <w:t xml:space="preserve">tax </w:t>
      </w:r>
      <w:r w:rsidRPr="005F0E9C">
        <w:t xml:space="preserve">rules relating to vesting of tax base property in the Official Assignee would </w:t>
      </w:r>
      <w:r w:rsidR="0032433A" w:rsidRPr="005F0E9C">
        <w:t>be amended to give</w:t>
      </w:r>
      <w:r w:rsidRPr="005F0E9C">
        <w:t xml:space="preserve"> a tax-neutral treatment for the person declared bankrupt</w:t>
      </w:r>
      <w:r w:rsidR="008076F3">
        <w:t xml:space="preserve">; </w:t>
      </w:r>
      <w:r w:rsidRPr="005F0E9C">
        <w:t>and</w:t>
      </w:r>
    </w:p>
    <w:p w:rsidR="002B095F" w:rsidRPr="005F0E9C" w:rsidRDefault="002B095F" w:rsidP="00103D35">
      <w:pPr>
        <w:pStyle w:val="RISpara"/>
        <w:numPr>
          <w:ilvl w:val="0"/>
          <w:numId w:val="0"/>
        </w:numPr>
        <w:ind w:left="927"/>
      </w:pPr>
    </w:p>
    <w:p w:rsidR="002B095F" w:rsidRPr="005F0E9C" w:rsidRDefault="00CF4950" w:rsidP="00103D35">
      <w:pPr>
        <w:pStyle w:val="RISbullet"/>
      </w:pPr>
      <w:r w:rsidRPr="005F0E9C">
        <w:t>the</w:t>
      </w:r>
      <w:r w:rsidR="008076F3">
        <w:t xml:space="preserve"> tax rules would be clarified to ensure that a</w:t>
      </w:r>
      <w:r w:rsidRPr="005F0E9C">
        <w:t xml:space="preserve"> bankrupt is responsible for </w:t>
      </w:r>
      <w:r w:rsidR="008076F3">
        <w:t>satisfying income tax obligations relating to income</w:t>
      </w:r>
      <w:r w:rsidRPr="005F0E9C">
        <w:t xml:space="preserve"> derived during the period of bankruptcy.</w:t>
      </w:r>
    </w:p>
    <w:p w:rsidR="002B095F" w:rsidRDefault="002B095F" w:rsidP="00103D35">
      <w:pPr>
        <w:pStyle w:val="RISnumbering"/>
        <w:numPr>
          <w:ilvl w:val="0"/>
          <w:numId w:val="0"/>
        </w:numPr>
        <w:rPr>
          <w:lang w:val="en-AU"/>
        </w:rPr>
      </w:pPr>
    </w:p>
    <w:p w:rsidR="008076F3" w:rsidRDefault="008076F3" w:rsidP="00103D35">
      <w:pPr>
        <w:pStyle w:val="RISnumbering"/>
        <w:rPr>
          <w:lang w:val="en-AU"/>
        </w:rPr>
      </w:pPr>
      <w:r>
        <w:rPr>
          <w:lang w:val="en-AU"/>
        </w:rPr>
        <w:t>A partial release of debt may also occur under any procedure that is an alternative to bankruptcy.  These procedures are intended to assist the debtor and his or her creditors by reducing debts to a level that can be managed.  Existing remission rules in the Income Tax Act 2007 would continue to apply to partial remissions of debt, and carried forward tax losses may be used to offset that income.  The fresh</w:t>
      </w:r>
      <w:r w:rsidR="006456F5">
        <w:rPr>
          <w:lang w:val="en-AU"/>
        </w:rPr>
        <w:t>-</w:t>
      </w:r>
      <w:r>
        <w:rPr>
          <w:lang w:val="en-AU"/>
        </w:rPr>
        <w:t xml:space="preserve">start principle does not apply in these situations, as all debts are not fully released and the debtor is not generally required to surrender assets in exchange for that partial remission.  After applying the remission income rules to partial remission of debt, any remaining balance of carried-forward tax losses remain available for carry-forward. </w:t>
      </w:r>
    </w:p>
    <w:p w:rsidR="0019619F" w:rsidRDefault="0019619F" w:rsidP="0019619F">
      <w:pPr>
        <w:pStyle w:val="Heading6"/>
      </w:pPr>
      <w:r>
        <w:t>Maintaining the</w:t>
      </w:r>
      <w:r w:rsidRPr="006E1113">
        <w:t xml:space="preserve"> coherency of the tax system</w:t>
      </w:r>
      <w:r>
        <w:t>, including horizontal equity</w:t>
      </w:r>
    </w:p>
    <w:p w:rsidR="002B095F" w:rsidRDefault="002B095F" w:rsidP="00103D35">
      <w:pPr>
        <w:pStyle w:val="RISnumbering"/>
        <w:numPr>
          <w:ilvl w:val="0"/>
          <w:numId w:val="0"/>
        </w:numPr>
        <w:rPr>
          <w:lang w:val="en-AU"/>
        </w:rPr>
      </w:pPr>
    </w:p>
    <w:p w:rsidR="00FD1D5E" w:rsidRDefault="0032433A" w:rsidP="006456F5">
      <w:pPr>
        <w:pStyle w:val="RISnumbering"/>
        <w:rPr>
          <w:lang w:val="en-AU"/>
        </w:rPr>
      </w:pPr>
      <w:r w:rsidRPr="005F0E9C">
        <w:rPr>
          <w:lang w:val="en-AU"/>
        </w:rPr>
        <w:t xml:space="preserve">Option 3 </w:t>
      </w:r>
      <w:r w:rsidR="00382276" w:rsidRPr="005F0E9C">
        <w:rPr>
          <w:lang w:val="en-AU"/>
        </w:rPr>
        <w:t xml:space="preserve">is </w:t>
      </w:r>
      <w:r w:rsidRPr="005F0E9C">
        <w:rPr>
          <w:lang w:val="en-AU"/>
        </w:rPr>
        <w:t>in</w:t>
      </w:r>
      <w:r w:rsidR="00382276" w:rsidRPr="005F0E9C">
        <w:rPr>
          <w:lang w:val="en-AU"/>
        </w:rPr>
        <w:t>consistent with the objective</w:t>
      </w:r>
      <w:r w:rsidR="00932315" w:rsidRPr="005F0E9C">
        <w:rPr>
          <w:lang w:val="en-AU"/>
        </w:rPr>
        <w:t>s of the fresh</w:t>
      </w:r>
      <w:r w:rsidR="006456F5">
        <w:rPr>
          <w:lang w:val="en-AU"/>
        </w:rPr>
        <w:t>-</w:t>
      </w:r>
      <w:r w:rsidR="00932315" w:rsidRPr="006456F5">
        <w:rPr>
          <w:lang w:val="en-AU"/>
        </w:rPr>
        <w:t>start principle and with the objective</w:t>
      </w:r>
      <w:r w:rsidR="00382276" w:rsidRPr="006456F5">
        <w:rPr>
          <w:lang w:val="en-AU"/>
        </w:rPr>
        <w:t xml:space="preserve"> that the tax system should be neutral in relation to investment decisions.  </w:t>
      </w:r>
      <w:r w:rsidR="00932315" w:rsidRPr="006456F5">
        <w:rPr>
          <w:lang w:val="en-AU"/>
        </w:rPr>
        <w:t>This inconsistency arises if carried-forward tax losses</w:t>
      </w:r>
      <w:r w:rsidRPr="006456F5">
        <w:rPr>
          <w:lang w:val="en-AU"/>
        </w:rPr>
        <w:t xml:space="preserve"> ex</w:t>
      </w:r>
      <w:r w:rsidR="00FD1D5E" w:rsidRPr="006456F5">
        <w:rPr>
          <w:lang w:val="en-AU"/>
        </w:rPr>
        <w:t>ceed business debts</w:t>
      </w:r>
      <w:r w:rsidR="0019619F" w:rsidRPr="006456F5">
        <w:rPr>
          <w:lang w:val="en-AU"/>
        </w:rPr>
        <w:t xml:space="preserve"> because that excess of the</w:t>
      </w:r>
      <w:r w:rsidR="00932315" w:rsidRPr="006456F5">
        <w:rPr>
          <w:lang w:val="en-AU"/>
        </w:rPr>
        <w:t xml:space="preserve"> carried tax loss may continue to be carried forward after the bankrupt is released from </w:t>
      </w:r>
      <w:r w:rsidR="0019619F" w:rsidRPr="006456F5">
        <w:rPr>
          <w:lang w:val="en-AU"/>
        </w:rPr>
        <w:t xml:space="preserve">all </w:t>
      </w:r>
      <w:r w:rsidR="00932315" w:rsidRPr="006456F5">
        <w:rPr>
          <w:lang w:val="en-AU"/>
        </w:rPr>
        <w:t>debts under insolvency law.  Therefore, t</w:t>
      </w:r>
      <w:r w:rsidR="00FD1D5E" w:rsidRPr="006456F5">
        <w:rPr>
          <w:lang w:val="en-AU"/>
        </w:rPr>
        <w:t>his</w:t>
      </w:r>
      <w:r w:rsidR="00382276" w:rsidRPr="006456F5">
        <w:rPr>
          <w:lang w:val="en-AU"/>
        </w:rPr>
        <w:t xml:space="preserve"> option </w:t>
      </w:r>
      <w:r w:rsidR="00FD1D5E" w:rsidRPr="006456F5">
        <w:rPr>
          <w:lang w:val="en-AU"/>
        </w:rPr>
        <w:t>results in a preference for:</w:t>
      </w:r>
    </w:p>
    <w:p w:rsidR="00810E7E" w:rsidRDefault="00810E7E">
      <w:pPr>
        <w:spacing w:line="240" w:lineRule="auto"/>
        <w:rPr>
          <w:szCs w:val="24"/>
          <w:lang w:val="en-AU"/>
        </w:rPr>
      </w:pPr>
      <w:r>
        <w:rPr>
          <w:lang w:val="en-AU"/>
        </w:rPr>
        <w:br w:type="page"/>
      </w:r>
    </w:p>
    <w:p w:rsidR="00810E7E" w:rsidRPr="006456F5" w:rsidRDefault="00810E7E" w:rsidP="00810E7E">
      <w:pPr>
        <w:pStyle w:val="RISnumbering"/>
        <w:numPr>
          <w:ilvl w:val="0"/>
          <w:numId w:val="0"/>
        </w:numPr>
        <w:rPr>
          <w:lang w:val="en-AU"/>
        </w:rPr>
      </w:pPr>
    </w:p>
    <w:p w:rsidR="001D512F" w:rsidRDefault="001D512F" w:rsidP="00103D35">
      <w:pPr>
        <w:pStyle w:val="RISnumbering"/>
        <w:numPr>
          <w:ilvl w:val="0"/>
          <w:numId w:val="0"/>
        </w:numPr>
        <w:rPr>
          <w:lang w:val="en-AU"/>
        </w:rPr>
      </w:pPr>
    </w:p>
    <w:p w:rsidR="00382276" w:rsidRDefault="00382276" w:rsidP="00C6387F">
      <w:pPr>
        <w:pStyle w:val="RISbullet"/>
      </w:pPr>
      <w:r w:rsidRPr="00FD1D5E">
        <w:t xml:space="preserve"> </w:t>
      </w:r>
      <w:r w:rsidR="00FD1D5E" w:rsidRPr="00FD1D5E">
        <w:t>the sole trader business structure over the company business structure</w:t>
      </w:r>
      <w:r w:rsidR="00932315">
        <w:t xml:space="preserve"> (because not all carried-forward tax losses are cancelled for the sole trader)</w:t>
      </w:r>
      <w:r w:rsidR="00FD1D5E" w:rsidRPr="00FD1D5E">
        <w:t>;</w:t>
      </w:r>
      <w:r w:rsidR="00FD1D5E">
        <w:t xml:space="preserve"> and</w:t>
      </w:r>
    </w:p>
    <w:p w:rsidR="00FD1D5E" w:rsidRDefault="00FD1D5E" w:rsidP="00C6387F">
      <w:pPr>
        <w:pStyle w:val="RISbullet"/>
        <w:numPr>
          <w:ilvl w:val="0"/>
          <w:numId w:val="0"/>
        </w:numPr>
        <w:ind w:left="993"/>
      </w:pPr>
    </w:p>
    <w:p w:rsidR="00AC5A62" w:rsidRDefault="00FD1D5E" w:rsidP="00C6387F">
      <w:pPr>
        <w:pStyle w:val="RISbullet"/>
      </w:pPr>
      <w:r>
        <w:t xml:space="preserve">funding for the business being from either personal savings, or </w:t>
      </w:r>
      <w:r w:rsidR="0080535F">
        <w:t xml:space="preserve">from </w:t>
      </w:r>
      <w:r w:rsidR="0019619F">
        <w:t>private debt.</w:t>
      </w:r>
      <w:r w:rsidR="00AC5A62">
        <w:t xml:space="preserve">  </w:t>
      </w:r>
      <w:r w:rsidR="00932315">
        <w:t xml:space="preserve">This is illustrated in the </w:t>
      </w:r>
      <w:r w:rsidR="00CF4950">
        <w:t xml:space="preserve">following </w:t>
      </w:r>
      <w:r w:rsidR="00AC5A62">
        <w:t>example</w:t>
      </w:r>
      <w:r w:rsidR="00932315">
        <w:t>:</w:t>
      </w:r>
    </w:p>
    <w:p w:rsidR="000F1A56" w:rsidRDefault="000F1A56">
      <w:pPr>
        <w:spacing w:line="240" w:lineRule="auto"/>
        <w:rPr>
          <w:i/>
          <w:lang w:val="en-AU"/>
        </w:rPr>
      </w:pPr>
    </w:p>
    <w:p w:rsidR="00C6387F" w:rsidRDefault="00C6387F" w:rsidP="00103D35">
      <w:pPr>
        <w:pStyle w:val="RISparagraph"/>
        <w:numPr>
          <w:ilvl w:val="0"/>
          <w:numId w:val="0"/>
        </w:numPr>
        <w:tabs>
          <w:tab w:val="clear" w:pos="1134"/>
        </w:tabs>
        <w:ind w:left="993"/>
        <w:rPr>
          <w:i/>
        </w:rPr>
      </w:pPr>
    </w:p>
    <w:p w:rsidR="00AC5A62" w:rsidRPr="0005209B" w:rsidRDefault="00AC5A62" w:rsidP="00103D35">
      <w:pPr>
        <w:pStyle w:val="RISparagraph"/>
        <w:numPr>
          <w:ilvl w:val="0"/>
          <w:numId w:val="0"/>
        </w:numPr>
        <w:tabs>
          <w:tab w:val="clear" w:pos="1134"/>
        </w:tabs>
        <w:ind w:left="993"/>
        <w:rPr>
          <w:i/>
        </w:rPr>
      </w:pPr>
      <w:r>
        <w:rPr>
          <w:i/>
        </w:rPr>
        <w:t>On discharge from bankruptcy, the</w:t>
      </w:r>
      <w:r w:rsidRPr="0005209B">
        <w:rPr>
          <w:i/>
        </w:rPr>
        <w:t xml:space="preserve"> bankrupt has</w:t>
      </w:r>
      <w:r>
        <w:rPr>
          <w:i/>
        </w:rPr>
        <w:t xml:space="preserve"> a carried-forward</w:t>
      </w:r>
      <w:r w:rsidRPr="0005209B">
        <w:rPr>
          <w:i/>
        </w:rPr>
        <w:t xml:space="preserve"> tax loss</w:t>
      </w:r>
      <w:r>
        <w:rPr>
          <w:i/>
        </w:rPr>
        <w:t xml:space="preserve"> of</w:t>
      </w:r>
      <w:r w:rsidRPr="0005209B">
        <w:rPr>
          <w:i/>
        </w:rPr>
        <w:t xml:space="preserve"> $500</w:t>
      </w:r>
      <w:r>
        <w:rPr>
          <w:i/>
        </w:rPr>
        <w:t xml:space="preserve">. The effect of option 3 </w:t>
      </w:r>
      <w:r w:rsidR="00CF4950">
        <w:rPr>
          <w:i/>
        </w:rPr>
        <w:t>on carried-forward tax losses would</w:t>
      </w:r>
      <w:r>
        <w:rPr>
          <w:i/>
        </w:rPr>
        <w:t xml:space="preserve"> differ as follows:</w:t>
      </w:r>
      <w:r w:rsidR="00BE390F">
        <w:rPr>
          <w:i/>
        </w:rPr>
        <w:t xml:space="preserve"> </w:t>
      </w:r>
    </w:p>
    <w:p w:rsidR="00AC5A62" w:rsidRDefault="00AC5A62" w:rsidP="00AC5A62">
      <w:pPr>
        <w:pStyle w:val="RISparagraph"/>
        <w:numPr>
          <w:ilvl w:val="0"/>
          <w:numId w:val="0"/>
        </w:numPr>
        <w:ind w:left="1287" w:hanging="360"/>
        <w:rPr>
          <w:i/>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551"/>
        <w:gridCol w:w="2268"/>
      </w:tblGrid>
      <w:tr w:rsidR="00AC5A62" w:rsidRPr="0005209B" w:rsidTr="005F0E9C">
        <w:tc>
          <w:tcPr>
            <w:tcW w:w="2693" w:type="dxa"/>
          </w:tcPr>
          <w:p w:rsidR="00AC5A62" w:rsidRPr="0005209B" w:rsidRDefault="00AC5A62" w:rsidP="005F0E9C">
            <w:pPr>
              <w:pStyle w:val="RISparagraph"/>
              <w:numPr>
                <w:ilvl w:val="0"/>
                <w:numId w:val="0"/>
              </w:numPr>
              <w:jc w:val="center"/>
              <w:rPr>
                <w:i/>
                <w:sz w:val="20"/>
              </w:rPr>
            </w:pPr>
            <w:r w:rsidRPr="0005209B">
              <w:rPr>
                <w:i/>
                <w:sz w:val="20"/>
              </w:rPr>
              <w:t>Business funded by:</w:t>
            </w:r>
          </w:p>
        </w:tc>
        <w:tc>
          <w:tcPr>
            <w:tcW w:w="2551" w:type="dxa"/>
            <w:tcBorders>
              <w:left w:val="nil"/>
            </w:tcBorders>
          </w:tcPr>
          <w:p w:rsidR="00AC5A62" w:rsidRPr="0005209B" w:rsidRDefault="00AC5A62" w:rsidP="005F0E9C">
            <w:pPr>
              <w:pStyle w:val="RISparagraph"/>
              <w:numPr>
                <w:ilvl w:val="0"/>
                <w:numId w:val="0"/>
              </w:numPr>
              <w:jc w:val="center"/>
              <w:rPr>
                <w:i/>
                <w:sz w:val="20"/>
              </w:rPr>
            </w:pPr>
            <w:r w:rsidRPr="0005209B">
              <w:rPr>
                <w:i/>
                <w:sz w:val="20"/>
              </w:rPr>
              <w:t xml:space="preserve">Amount </w:t>
            </w:r>
            <w:r>
              <w:rPr>
                <w:i/>
                <w:sz w:val="20"/>
              </w:rPr>
              <w:t>of business funding</w:t>
            </w:r>
          </w:p>
        </w:tc>
        <w:tc>
          <w:tcPr>
            <w:tcW w:w="2268" w:type="dxa"/>
          </w:tcPr>
          <w:p w:rsidR="00AC5A62" w:rsidRPr="0005209B" w:rsidRDefault="00AC5A62" w:rsidP="005F0E9C">
            <w:pPr>
              <w:pStyle w:val="RISparagraph"/>
              <w:numPr>
                <w:ilvl w:val="0"/>
                <w:numId w:val="0"/>
              </w:numPr>
              <w:jc w:val="center"/>
              <w:rPr>
                <w:i/>
                <w:sz w:val="20"/>
              </w:rPr>
            </w:pPr>
            <w:r w:rsidRPr="0005209B">
              <w:rPr>
                <w:i/>
                <w:sz w:val="20"/>
              </w:rPr>
              <w:t>tax loss to carry-forward</w:t>
            </w:r>
          </w:p>
        </w:tc>
      </w:tr>
      <w:tr w:rsidR="008076F3" w:rsidRPr="0005209B" w:rsidTr="005F0E9C">
        <w:tc>
          <w:tcPr>
            <w:tcW w:w="2693" w:type="dxa"/>
          </w:tcPr>
          <w:p w:rsidR="008076F3" w:rsidRPr="0005209B" w:rsidRDefault="008076F3" w:rsidP="00AC5A62">
            <w:pPr>
              <w:pStyle w:val="RISparagraph"/>
              <w:numPr>
                <w:ilvl w:val="0"/>
                <w:numId w:val="29"/>
              </w:numPr>
              <w:ind w:left="414" w:hanging="283"/>
              <w:jc w:val="left"/>
              <w:rPr>
                <w:i/>
                <w:sz w:val="20"/>
              </w:rPr>
            </w:pPr>
            <w:r w:rsidRPr="00114D38">
              <w:rPr>
                <w:i/>
                <w:sz w:val="20"/>
              </w:rPr>
              <w:t>personal savings</w:t>
            </w:r>
          </w:p>
        </w:tc>
        <w:tc>
          <w:tcPr>
            <w:tcW w:w="2551" w:type="dxa"/>
            <w:tcBorders>
              <w:left w:val="nil"/>
            </w:tcBorders>
            <w:vAlign w:val="center"/>
          </w:tcPr>
          <w:p w:rsidR="008076F3" w:rsidRPr="0005209B" w:rsidRDefault="008076F3" w:rsidP="005F0E9C">
            <w:pPr>
              <w:pStyle w:val="RISparagraph"/>
              <w:numPr>
                <w:ilvl w:val="0"/>
                <w:numId w:val="0"/>
              </w:numPr>
              <w:ind w:right="884"/>
              <w:jc w:val="right"/>
              <w:rPr>
                <w:i/>
                <w:sz w:val="20"/>
              </w:rPr>
            </w:pPr>
            <w:r w:rsidRPr="0005209B">
              <w:rPr>
                <w:i/>
                <w:sz w:val="20"/>
              </w:rPr>
              <w:t>$500</w:t>
            </w:r>
          </w:p>
        </w:tc>
        <w:tc>
          <w:tcPr>
            <w:tcW w:w="2268" w:type="dxa"/>
            <w:vAlign w:val="center"/>
          </w:tcPr>
          <w:p w:rsidR="008076F3" w:rsidRPr="0005209B" w:rsidRDefault="008076F3" w:rsidP="005F0E9C">
            <w:pPr>
              <w:pStyle w:val="RISparagraph"/>
              <w:numPr>
                <w:ilvl w:val="0"/>
                <w:numId w:val="0"/>
              </w:numPr>
              <w:ind w:right="600"/>
              <w:jc w:val="right"/>
              <w:rPr>
                <w:i/>
                <w:sz w:val="20"/>
              </w:rPr>
            </w:pPr>
            <w:r w:rsidRPr="0005209B">
              <w:rPr>
                <w:i/>
                <w:sz w:val="20"/>
              </w:rPr>
              <w:t>$</w:t>
            </w:r>
            <w:r>
              <w:rPr>
                <w:i/>
                <w:sz w:val="20"/>
              </w:rPr>
              <w:t>500</w:t>
            </w:r>
          </w:p>
        </w:tc>
      </w:tr>
      <w:tr w:rsidR="008076F3" w:rsidRPr="0005209B" w:rsidTr="005F0E9C">
        <w:tc>
          <w:tcPr>
            <w:tcW w:w="2693" w:type="dxa"/>
          </w:tcPr>
          <w:p w:rsidR="008076F3" w:rsidRPr="0005209B" w:rsidRDefault="008076F3" w:rsidP="005F0E9C">
            <w:pPr>
              <w:pStyle w:val="RISparagraph"/>
              <w:numPr>
                <w:ilvl w:val="0"/>
                <w:numId w:val="29"/>
              </w:numPr>
              <w:ind w:left="414" w:hanging="283"/>
              <w:rPr>
                <w:i/>
                <w:sz w:val="20"/>
              </w:rPr>
            </w:pPr>
            <w:r>
              <w:rPr>
                <w:i/>
                <w:sz w:val="20"/>
              </w:rPr>
              <w:t>business debt</w:t>
            </w:r>
          </w:p>
        </w:tc>
        <w:tc>
          <w:tcPr>
            <w:tcW w:w="2551" w:type="dxa"/>
            <w:tcBorders>
              <w:left w:val="nil"/>
            </w:tcBorders>
            <w:vAlign w:val="center"/>
          </w:tcPr>
          <w:p w:rsidR="008076F3" w:rsidRPr="0005209B" w:rsidRDefault="008076F3" w:rsidP="005F0E9C">
            <w:pPr>
              <w:pStyle w:val="RISparagraph"/>
              <w:numPr>
                <w:ilvl w:val="0"/>
                <w:numId w:val="0"/>
              </w:numPr>
              <w:ind w:right="884"/>
              <w:jc w:val="right"/>
              <w:rPr>
                <w:i/>
                <w:sz w:val="20"/>
              </w:rPr>
            </w:pPr>
            <w:r w:rsidRPr="0005209B">
              <w:rPr>
                <w:i/>
                <w:sz w:val="20"/>
              </w:rPr>
              <w:t>$500</w:t>
            </w:r>
          </w:p>
        </w:tc>
        <w:tc>
          <w:tcPr>
            <w:tcW w:w="2268" w:type="dxa"/>
            <w:vAlign w:val="center"/>
          </w:tcPr>
          <w:p w:rsidR="008076F3" w:rsidRPr="0005209B" w:rsidRDefault="008076F3" w:rsidP="005F0E9C">
            <w:pPr>
              <w:pStyle w:val="RISparagraph"/>
              <w:numPr>
                <w:ilvl w:val="0"/>
                <w:numId w:val="0"/>
              </w:numPr>
              <w:ind w:right="600"/>
              <w:jc w:val="right"/>
              <w:rPr>
                <w:i/>
                <w:sz w:val="20"/>
              </w:rPr>
            </w:pPr>
            <w:r w:rsidRPr="0005209B">
              <w:rPr>
                <w:i/>
                <w:sz w:val="20"/>
              </w:rPr>
              <w:t>$0</w:t>
            </w:r>
          </w:p>
        </w:tc>
      </w:tr>
    </w:tbl>
    <w:p w:rsidR="001D512F" w:rsidRDefault="001D512F" w:rsidP="00DF25F0">
      <w:pPr>
        <w:pStyle w:val="RISparagraph"/>
        <w:numPr>
          <w:ilvl w:val="0"/>
          <w:numId w:val="0"/>
        </w:numPr>
        <w:ind w:left="567"/>
      </w:pPr>
    </w:p>
    <w:p w:rsidR="008C0103" w:rsidRDefault="008C0103" w:rsidP="00DF25F0">
      <w:pPr>
        <w:pStyle w:val="RISparagraph"/>
        <w:numPr>
          <w:ilvl w:val="0"/>
          <w:numId w:val="0"/>
        </w:numPr>
        <w:ind w:left="567"/>
      </w:pPr>
    </w:p>
    <w:p w:rsidR="00932315" w:rsidRDefault="000F1A56" w:rsidP="00103D35">
      <w:pPr>
        <w:pStyle w:val="RISnumbering"/>
        <w:rPr>
          <w:lang w:val="en-AU"/>
        </w:rPr>
      </w:pPr>
      <w:r>
        <w:rPr>
          <w:lang w:val="en-AU"/>
        </w:rPr>
        <w:t xml:space="preserve">Option 3 is </w:t>
      </w:r>
      <w:r w:rsidR="00932315">
        <w:rPr>
          <w:lang w:val="en-AU"/>
        </w:rPr>
        <w:t xml:space="preserve">inconsistent with the objectives of horizontal equity as it results in </w:t>
      </w:r>
      <w:r>
        <w:rPr>
          <w:lang w:val="en-AU"/>
        </w:rPr>
        <w:t>a</w:t>
      </w:r>
      <w:r w:rsidR="00932315">
        <w:rPr>
          <w:lang w:val="en-AU"/>
        </w:rPr>
        <w:t xml:space="preserve"> debtor </w:t>
      </w:r>
      <w:r>
        <w:rPr>
          <w:lang w:val="en-AU"/>
        </w:rPr>
        <w:t xml:space="preserve">who is </w:t>
      </w:r>
      <w:r w:rsidR="00932315">
        <w:rPr>
          <w:lang w:val="en-AU"/>
        </w:rPr>
        <w:t>released from all debt continuing to be able to carry forward tax losses. That</w:t>
      </w:r>
      <w:r w:rsidR="008076F3">
        <w:rPr>
          <w:lang w:val="en-AU"/>
        </w:rPr>
        <w:t xml:space="preserve"> outcome</w:t>
      </w:r>
      <w:r w:rsidR="00932315">
        <w:rPr>
          <w:lang w:val="en-AU"/>
        </w:rPr>
        <w:t xml:space="preserve"> is inconsistent with the coherency of the tax system.</w:t>
      </w:r>
    </w:p>
    <w:p w:rsidR="00382276" w:rsidRDefault="00382276" w:rsidP="004B3B68">
      <w:pPr>
        <w:pStyle w:val="Heading6"/>
      </w:pPr>
      <w:r w:rsidRPr="00382276">
        <w:t>Consistency with the objectives of insolvency law</w:t>
      </w:r>
    </w:p>
    <w:p w:rsidR="00932315" w:rsidRPr="005F0E9C" w:rsidRDefault="00932315" w:rsidP="005F0E9C"/>
    <w:p w:rsidR="00382276" w:rsidRPr="006456F5" w:rsidRDefault="00FD1D5E" w:rsidP="006456F5">
      <w:pPr>
        <w:pStyle w:val="RISnumbering"/>
        <w:rPr>
          <w:lang w:val="en-AU"/>
        </w:rPr>
      </w:pPr>
      <w:r>
        <w:rPr>
          <w:lang w:val="en-AU"/>
        </w:rPr>
        <w:t xml:space="preserve">Under </w:t>
      </w:r>
      <w:r w:rsidR="003A4B79">
        <w:rPr>
          <w:lang w:val="en-AU"/>
        </w:rPr>
        <w:t>option</w:t>
      </w:r>
      <w:r>
        <w:rPr>
          <w:lang w:val="en-AU"/>
        </w:rPr>
        <w:t xml:space="preserve"> 3, </w:t>
      </w:r>
      <w:r w:rsidR="00932315">
        <w:rPr>
          <w:lang w:val="en-AU"/>
        </w:rPr>
        <w:t xml:space="preserve">some </w:t>
      </w:r>
      <w:r>
        <w:rPr>
          <w:lang w:val="en-AU"/>
        </w:rPr>
        <w:t xml:space="preserve">tax losses may </w:t>
      </w:r>
      <w:r w:rsidR="00932315">
        <w:rPr>
          <w:lang w:val="en-AU"/>
        </w:rPr>
        <w:t xml:space="preserve">continue to </w:t>
      </w:r>
      <w:r>
        <w:rPr>
          <w:lang w:val="en-AU"/>
        </w:rPr>
        <w:t xml:space="preserve">be </w:t>
      </w:r>
      <w:r w:rsidR="00932315">
        <w:rPr>
          <w:lang w:val="en-AU"/>
        </w:rPr>
        <w:t>carried-</w:t>
      </w:r>
      <w:r>
        <w:rPr>
          <w:lang w:val="en-AU"/>
        </w:rPr>
        <w:t xml:space="preserve">forward </w:t>
      </w:r>
      <w:r w:rsidR="00932315">
        <w:rPr>
          <w:lang w:val="en-AU"/>
        </w:rPr>
        <w:t xml:space="preserve">after the debtor is released from all debt.  This would occur to the extent carried-forward tax </w:t>
      </w:r>
      <w:r>
        <w:rPr>
          <w:lang w:val="en-AU"/>
        </w:rPr>
        <w:t xml:space="preserve">losses exceed business debts cancelled on discharge from bankruptcy.  In this respect, option </w:t>
      </w:r>
      <w:r w:rsidR="003A4B79">
        <w:rPr>
          <w:lang w:val="en-AU"/>
        </w:rPr>
        <w:t>3</w:t>
      </w:r>
      <w:r w:rsidR="00382276" w:rsidRPr="00382276">
        <w:rPr>
          <w:lang w:val="en-AU"/>
        </w:rPr>
        <w:t xml:space="preserve"> is </w:t>
      </w:r>
      <w:r>
        <w:rPr>
          <w:lang w:val="en-AU"/>
        </w:rPr>
        <w:t>in</w:t>
      </w:r>
      <w:r w:rsidR="00382276" w:rsidRPr="00382276">
        <w:rPr>
          <w:lang w:val="en-AU"/>
        </w:rPr>
        <w:t>consistent with the fresh</w:t>
      </w:r>
      <w:r w:rsidR="006456F5">
        <w:rPr>
          <w:lang w:val="en-AU"/>
        </w:rPr>
        <w:t>-</w:t>
      </w:r>
      <w:r w:rsidR="00382276" w:rsidRPr="006456F5">
        <w:rPr>
          <w:lang w:val="en-AU"/>
        </w:rPr>
        <w:t>start principle of insolvency law</w:t>
      </w:r>
      <w:r w:rsidR="008076F3" w:rsidRPr="006456F5">
        <w:rPr>
          <w:lang w:val="en-AU"/>
        </w:rPr>
        <w:t xml:space="preserve"> as the benefit of carried forward tax losses (a tax asset) is still available to the discharged bankrupt.</w:t>
      </w:r>
    </w:p>
    <w:p w:rsidR="00382276" w:rsidRDefault="00382276" w:rsidP="004B3B68">
      <w:pPr>
        <w:pStyle w:val="Heading6"/>
        <w:rPr>
          <w:lang w:val="en-AU"/>
        </w:rPr>
      </w:pPr>
      <w:r w:rsidRPr="00382276">
        <w:rPr>
          <w:lang w:val="en-AU"/>
        </w:rPr>
        <w:t>Minimising tax and compliance costs for taxpayers</w:t>
      </w:r>
    </w:p>
    <w:p w:rsidR="00932315" w:rsidRPr="005F0E9C" w:rsidRDefault="00932315" w:rsidP="005F0E9C">
      <w:pPr>
        <w:rPr>
          <w:lang w:val="en-AU"/>
        </w:rPr>
      </w:pPr>
    </w:p>
    <w:p w:rsidR="00A309DF" w:rsidRDefault="001C3F25" w:rsidP="00103D35">
      <w:pPr>
        <w:pStyle w:val="RISnumbering"/>
        <w:rPr>
          <w:lang w:val="en-AU"/>
        </w:rPr>
      </w:pPr>
      <w:r>
        <w:rPr>
          <w:lang w:val="en-AU"/>
        </w:rPr>
        <w:t>Option 3</w:t>
      </w:r>
      <w:r w:rsidR="00382276" w:rsidRPr="00382276">
        <w:rPr>
          <w:lang w:val="en-AU"/>
        </w:rPr>
        <w:t xml:space="preserve"> will result in taxpayers </w:t>
      </w:r>
      <w:r>
        <w:rPr>
          <w:lang w:val="en-AU"/>
        </w:rPr>
        <w:t>being required to determine which debts cancelled on bankruptcy are business debts.  The fungibility of money may make this analysis difficult to achieve</w:t>
      </w:r>
      <w:r w:rsidR="00A309DF">
        <w:rPr>
          <w:lang w:val="en-AU"/>
        </w:rPr>
        <w:t xml:space="preserve"> or result in an incentive to treat</w:t>
      </w:r>
      <w:r w:rsidR="00932315">
        <w:rPr>
          <w:lang w:val="en-AU"/>
        </w:rPr>
        <w:t xml:space="preserve"> a debt raised for</w:t>
      </w:r>
      <w:r w:rsidR="00A309DF">
        <w:rPr>
          <w:lang w:val="en-AU"/>
        </w:rPr>
        <w:t xml:space="preserve"> personal</w:t>
      </w:r>
      <w:r w:rsidR="00932315">
        <w:rPr>
          <w:lang w:val="en-AU"/>
        </w:rPr>
        <w:t xml:space="preserve"> and business purposes to be treated as being mainly on </w:t>
      </w:r>
      <w:r w:rsidR="00A309DF">
        <w:rPr>
          <w:lang w:val="en-AU"/>
        </w:rPr>
        <w:t xml:space="preserve">personal account.  This incentive arises because the lower the level of business debt, the lower the </w:t>
      </w:r>
      <w:r w:rsidR="00932315">
        <w:rPr>
          <w:lang w:val="en-AU"/>
        </w:rPr>
        <w:t>amount of</w:t>
      </w:r>
      <w:r w:rsidR="00A309DF">
        <w:rPr>
          <w:lang w:val="en-AU"/>
        </w:rPr>
        <w:t xml:space="preserve"> carried forward tax losses that </w:t>
      </w:r>
      <w:r w:rsidR="00932315">
        <w:rPr>
          <w:lang w:val="en-AU"/>
        </w:rPr>
        <w:t xml:space="preserve">are </w:t>
      </w:r>
      <w:r w:rsidR="00A309DF">
        <w:rPr>
          <w:lang w:val="en-AU"/>
        </w:rPr>
        <w:t>cancelled.</w:t>
      </w:r>
      <w:r w:rsidR="00CF4950">
        <w:rPr>
          <w:lang w:val="en-AU"/>
        </w:rPr>
        <w:t xml:space="preserve">  This is an increase in compliance cost.</w:t>
      </w:r>
    </w:p>
    <w:p w:rsidR="001D512F" w:rsidRDefault="001D512F" w:rsidP="00103D35">
      <w:pPr>
        <w:pStyle w:val="RISnumbering"/>
        <w:numPr>
          <w:ilvl w:val="0"/>
          <w:numId w:val="0"/>
        </w:numPr>
        <w:rPr>
          <w:lang w:val="en-AU"/>
        </w:rPr>
      </w:pPr>
    </w:p>
    <w:p w:rsidR="00CF4950" w:rsidRDefault="00CF4950" w:rsidP="00103D35">
      <w:pPr>
        <w:pStyle w:val="RISnumbering"/>
        <w:rPr>
          <w:lang w:val="en-AU"/>
        </w:rPr>
      </w:pPr>
      <w:r>
        <w:rPr>
          <w:lang w:val="en-AU"/>
        </w:rPr>
        <w:t>However, taxpayers would no longer be required to determine the tax effect of assets vesting in the Official Assignee.  This is a decrease in compliance cost.</w:t>
      </w:r>
      <w:r w:rsidR="00A92BBE">
        <w:rPr>
          <w:lang w:val="en-AU"/>
        </w:rPr>
        <w:t xml:space="preserve">  Overall, it is expected that the cost of identifying the level of business debt would outweigh the cost of determining the tax effect of assets vesting in the Official Assignee.  Due to data limitations, it is not possible to determine the scale of these costs.</w:t>
      </w:r>
    </w:p>
    <w:p w:rsidR="00382276" w:rsidRDefault="00382276" w:rsidP="004B3B68">
      <w:pPr>
        <w:pStyle w:val="Heading6"/>
        <w:rPr>
          <w:lang w:val="en-AU"/>
        </w:rPr>
      </w:pPr>
      <w:r w:rsidRPr="00382276">
        <w:rPr>
          <w:lang w:val="en-AU"/>
        </w:rPr>
        <w:t>Minimising administration costs for the Official Assignee</w:t>
      </w:r>
    </w:p>
    <w:p w:rsidR="00CF4950" w:rsidRPr="005F0E9C" w:rsidRDefault="00CF4950" w:rsidP="005F0E9C">
      <w:pPr>
        <w:rPr>
          <w:lang w:val="en-AU"/>
        </w:rPr>
      </w:pPr>
    </w:p>
    <w:p w:rsidR="001C3F25" w:rsidRDefault="00382276" w:rsidP="00103D35">
      <w:pPr>
        <w:pStyle w:val="RISnumbering"/>
        <w:rPr>
          <w:lang w:val="en-AU"/>
        </w:rPr>
      </w:pPr>
      <w:r w:rsidRPr="00382276">
        <w:rPr>
          <w:lang w:val="en-AU"/>
        </w:rPr>
        <w:t xml:space="preserve">The Official Assignee’s administration costs would be </w:t>
      </w:r>
      <w:r w:rsidR="001C3F25">
        <w:rPr>
          <w:lang w:val="en-AU"/>
        </w:rPr>
        <w:t xml:space="preserve">largely unchanged under option 3. </w:t>
      </w:r>
      <w:r w:rsidR="00FD1D5E">
        <w:rPr>
          <w:lang w:val="en-AU"/>
        </w:rPr>
        <w:t xml:space="preserve"> However, as the bankrupt’s business records of a business in existence prior to bankruptcy would vest in the Official Assignee, there could be some increase in compliance cost for the Official Assignee if, prior to being discharged from bankruptcy, a bankrupt seeks to determine if he or she has carried-forward tax losses</w:t>
      </w:r>
      <w:r w:rsidR="00932315">
        <w:rPr>
          <w:lang w:val="en-AU"/>
        </w:rPr>
        <w:t>.</w:t>
      </w:r>
    </w:p>
    <w:p w:rsidR="00382276" w:rsidRDefault="00382276" w:rsidP="001D512F">
      <w:pPr>
        <w:pStyle w:val="Heading6"/>
        <w:rPr>
          <w:lang w:val="en-AU"/>
        </w:rPr>
      </w:pPr>
      <w:r w:rsidRPr="00382276">
        <w:rPr>
          <w:lang w:val="en-AU"/>
        </w:rPr>
        <w:t>Minimising administration costs for Inland Revenue.</w:t>
      </w:r>
    </w:p>
    <w:p w:rsidR="00CF4950" w:rsidRPr="005F0E9C" w:rsidRDefault="00CF4950" w:rsidP="005F0E9C">
      <w:pPr>
        <w:rPr>
          <w:lang w:val="en-AU"/>
        </w:rPr>
      </w:pPr>
    </w:p>
    <w:p w:rsidR="001C3F25" w:rsidRDefault="00382276" w:rsidP="00103D35">
      <w:pPr>
        <w:pStyle w:val="RISnumbering"/>
        <w:rPr>
          <w:lang w:val="en-AU"/>
        </w:rPr>
      </w:pPr>
      <w:r w:rsidRPr="00382276">
        <w:rPr>
          <w:lang w:val="en-AU"/>
        </w:rPr>
        <w:t xml:space="preserve">Inland Revenue’s administration costs would be </w:t>
      </w:r>
      <w:r w:rsidR="001C3F25">
        <w:rPr>
          <w:lang w:val="en-AU"/>
        </w:rPr>
        <w:t>likely increased under option 3.  This is because the Department would need to engage with the bankrupt in determining both the level of debt that is business related and the amount, if any, of carried forward tax losses.</w:t>
      </w:r>
    </w:p>
    <w:p w:rsidR="001D512F" w:rsidRDefault="001D512F" w:rsidP="00103D35">
      <w:pPr>
        <w:pStyle w:val="RISnumbering"/>
        <w:numPr>
          <w:ilvl w:val="0"/>
          <w:numId w:val="0"/>
        </w:numPr>
        <w:rPr>
          <w:lang w:val="en-AU"/>
        </w:rPr>
      </w:pPr>
    </w:p>
    <w:p w:rsidR="001C3F25" w:rsidRDefault="001C3F25" w:rsidP="00103D35">
      <w:pPr>
        <w:pStyle w:val="RISnumbering"/>
        <w:rPr>
          <w:lang w:val="en-AU"/>
        </w:rPr>
      </w:pPr>
      <w:r>
        <w:rPr>
          <w:lang w:val="en-AU"/>
        </w:rPr>
        <w:t xml:space="preserve">Inland Revenue’s administration costs would </w:t>
      </w:r>
      <w:r w:rsidR="0019619F">
        <w:rPr>
          <w:lang w:val="en-AU"/>
        </w:rPr>
        <w:t>decrease</w:t>
      </w:r>
      <w:r w:rsidR="008A33CB">
        <w:rPr>
          <w:lang w:val="en-AU"/>
        </w:rPr>
        <w:t xml:space="preserve"> in </w:t>
      </w:r>
      <w:r w:rsidR="0019619F">
        <w:rPr>
          <w:lang w:val="en-AU"/>
        </w:rPr>
        <w:t xml:space="preserve">the following </w:t>
      </w:r>
      <w:r w:rsidR="008A33CB">
        <w:rPr>
          <w:lang w:val="en-AU"/>
        </w:rPr>
        <w:t>areas</w:t>
      </w:r>
      <w:r w:rsidR="008076F3">
        <w:rPr>
          <w:lang w:val="en-AU"/>
        </w:rPr>
        <w:t>, but due to data limitations it is not possible to determine the</w:t>
      </w:r>
      <w:r w:rsidR="00A92BBE">
        <w:rPr>
          <w:lang w:val="en-AU"/>
        </w:rPr>
        <w:t xml:space="preserve"> scale of the</w:t>
      </w:r>
      <w:r w:rsidR="008076F3">
        <w:rPr>
          <w:lang w:val="en-AU"/>
        </w:rPr>
        <w:t xml:space="preserve"> overall effect</w:t>
      </w:r>
      <w:r>
        <w:rPr>
          <w:lang w:val="en-AU"/>
        </w:rPr>
        <w:t>:</w:t>
      </w:r>
    </w:p>
    <w:p w:rsidR="001C3F25" w:rsidRDefault="001C3F25" w:rsidP="00103D35">
      <w:pPr>
        <w:pStyle w:val="RISnumbering"/>
        <w:numPr>
          <w:ilvl w:val="0"/>
          <w:numId w:val="0"/>
        </w:numPr>
        <w:rPr>
          <w:lang w:val="en-AU"/>
        </w:rPr>
      </w:pPr>
    </w:p>
    <w:p w:rsidR="00382276" w:rsidRPr="001C3F25" w:rsidRDefault="001C3F25" w:rsidP="00103D35">
      <w:pPr>
        <w:pStyle w:val="RISpara"/>
        <w:numPr>
          <w:ilvl w:val="0"/>
          <w:numId w:val="39"/>
        </w:numPr>
      </w:pPr>
      <w:r>
        <w:t>t</w:t>
      </w:r>
      <w:r w:rsidRPr="001C3F25">
        <w:t xml:space="preserve">he law would be clarified </w:t>
      </w:r>
      <w:r w:rsidR="00382276" w:rsidRPr="001C3F25">
        <w:t xml:space="preserve">to ensure that the bankrupt is responsible for filing returns of income for income derived during the period of bankruptcy; </w:t>
      </w:r>
    </w:p>
    <w:p w:rsidR="00382276" w:rsidRPr="00382276" w:rsidRDefault="00382276" w:rsidP="00103D35">
      <w:pPr>
        <w:pStyle w:val="RISpara"/>
        <w:numPr>
          <w:ilvl w:val="0"/>
          <w:numId w:val="0"/>
        </w:numPr>
        <w:ind w:left="927"/>
      </w:pPr>
    </w:p>
    <w:p w:rsidR="002A6059" w:rsidRPr="00DF25F0" w:rsidRDefault="00382276" w:rsidP="00103D35">
      <w:pPr>
        <w:pStyle w:val="RISpara"/>
      </w:pPr>
      <w:r w:rsidRPr="00DF25F0">
        <w:t>it would no longer be possible for disputes to arise on whether carried forward tax losses exist on discharge from bankruptcy (although in</w:t>
      </w:r>
      <w:r w:rsidR="008A33CB" w:rsidRPr="00DF25F0">
        <w:t xml:space="preserve"> practice this rarely occurs); and</w:t>
      </w:r>
    </w:p>
    <w:p w:rsidR="008A33CB" w:rsidRDefault="008A33CB" w:rsidP="00103D35">
      <w:pPr>
        <w:pStyle w:val="RISpara"/>
        <w:numPr>
          <w:ilvl w:val="0"/>
          <w:numId w:val="0"/>
        </w:numPr>
        <w:ind w:left="927"/>
      </w:pPr>
    </w:p>
    <w:p w:rsidR="008A33CB" w:rsidRDefault="008A33CB" w:rsidP="00103D35">
      <w:pPr>
        <w:pStyle w:val="RISpara"/>
      </w:pPr>
      <w:r>
        <w:t>the law would be clarified to provide that:</w:t>
      </w:r>
    </w:p>
    <w:p w:rsidR="001D512F" w:rsidRDefault="001D512F" w:rsidP="00DF25F0">
      <w:pPr>
        <w:pStyle w:val="RISparagraph"/>
        <w:numPr>
          <w:ilvl w:val="0"/>
          <w:numId w:val="0"/>
        </w:numPr>
        <w:ind w:left="927"/>
      </w:pPr>
    </w:p>
    <w:p w:rsidR="008A33CB" w:rsidRDefault="00CF4950" w:rsidP="00103D35">
      <w:pPr>
        <w:pStyle w:val="RISbullet"/>
      </w:pPr>
      <w:r w:rsidRPr="00CF4950">
        <w:t xml:space="preserve">the rules relating to </w:t>
      </w:r>
      <w:r w:rsidR="00220E98">
        <w:t xml:space="preserve">disposals of </w:t>
      </w:r>
      <w:r w:rsidRPr="00CF4950">
        <w:t>tax base property in would be amended to give a tax-neutral treatment for the person declared bankrupt</w:t>
      </w:r>
      <w:r w:rsidR="00220E98">
        <w:t xml:space="preserve"> in relation to the vesting of that property in the Official Assignee</w:t>
      </w:r>
      <w:r>
        <w:t xml:space="preserve">. </w:t>
      </w:r>
      <w:r w:rsidRPr="00CF4950" w:rsidDel="00CF4950">
        <w:t xml:space="preserve"> </w:t>
      </w:r>
      <w:r w:rsidR="008A33CB">
        <w:t xml:space="preserve">This clarification </w:t>
      </w:r>
      <w:r w:rsidR="00DF25F0">
        <w:t>is to ensure</w:t>
      </w:r>
      <w:r w:rsidR="008A33CB">
        <w:t xml:space="preserve"> that no tax costs or benefits arise from being de</w:t>
      </w:r>
      <w:r w:rsidR="00DF25F0">
        <w:t xml:space="preserve">clared bankrupt for consistency </w:t>
      </w:r>
      <w:r w:rsidR="008A33CB">
        <w:t>with the objectives of insolvency law; and</w:t>
      </w:r>
    </w:p>
    <w:p w:rsidR="008A33CB" w:rsidRDefault="008A33CB" w:rsidP="00103D35">
      <w:pPr>
        <w:pStyle w:val="RISbullet"/>
        <w:numPr>
          <w:ilvl w:val="0"/>
          <w:numId w:val="0"/>
        </w:numPr>
        <w:ind w:left="851"/>
      </w:pPr>
    </w:p>
    <w:p w:rsidR="008A33CB" w:rsidRDefault="008A33CB" w:rsidP="00103D35">
      <w:pPr>
        <w:pStyle w:val="RISbullet"/>
      </w:pPr>
      <w:r>
        <w:t>the bankrupt is responsible for filing returns of income for income derived during the period of bankruptcy.  This clarification is likely to reduce the number of contacts with bankrupts.</w:t>
      </w:r>
    </w:p>
    <w:p w:rsidR="00C6387F" w:rsidRDefault="00C6387F" w:rsidP="00C6387F">
      <w:pPr>
        <w:pStyle w:val="ListParagraph"/>
      </w:pPr>
    </w:p>
    <w:p w:rsidR="00C6387F" w:rsidRPr="008A33CB" w:rsidRDefault="00C6387F" w:rsidP="00C6387F">
      <w:pPr>
        <w:pStyle w:val="RISbullet"/>
        <w:numPr>
          <w:ilvl w:val="0"/>
          <w:numId w:val="0"/>
        </w:numPr>
        <w:ind w:left="993" w:hanging="426"/>
      </w:pPr>
    </w:p>
    <w:p w:rsidR="00C5205C" w:rsidRDefault="00C5205C" w:rsidP="000D03D4">
      <w:pPr>
        <w:pStyle w:val="Heading3"/>
        <w:rPr>
          <w:lang w:val="en-AU"/>
        </w:rPr>
      </w:pPr>
      <w:r>
        <w:rPr>
          <w:lang w:val="en-AU"/>
        </w:rPr>
        <w:t>Impacts of each feasible option</w:t>
      </w:r>
    </w:p>
    <w:p w:rsidR="00C5205C" w:rsidRDefault="00C5205C" w:rsidP="00103D35">
      <w:pPr>
        <w:pStyle w:val="RISnumbering"/>
        <w:rPr>
          <w:lang w:val="en-AU"/>
        </w:rPr>
      </w:pPr>
      <w:r>
        <w:rPr>
          <w:lang w:val="en-AU"/>
        </w:rPr>
        <w:t xml:space="preserve">The impacts of each feasible option against the objectives of the review and the economic, fiscal, compliance and administrative impacts are summarised in Table 1: </w:t>
      </w:r>
      <w:r w:rsidRPr="00F66FF6">
        <w:rPr>
          <w:i/>
          <w:lang w:val="en-AU"/>
        </w:rPr>
        <w:t>Summary of analysis: objectives and impacts</w:t>
      </w:r>
      <w:r>
        <w:rPr>
          <w:lang w:val="en-AU"/>
        </w:rPr>
        <w:t>.</w:t>
      </w:r>
    </w:p>
    <w:p w:rsidR="00F66FF6" w:rsidRDefault="00F66FF6" w:rsidP="00103D35">
      <w:pPr>
        <w:pStyle w:val="RISnumbering"/>
        <w:rPr>
          <w:lang w:val="en-AU"/>
        </w:rPr>
        <w:sectPr w:rsidR="00F66FF6" w:rsidSect="006474EE">
          <w:footerReference w:type="even" r:id="rId9"/>
          <w:footerReference w:type="default" r:id="rId10"/>
          <w:pgSz w:w="11907" w:h="16840" w:code="9"/>
          <w:pgMar w:top="1134" w:right="1418" w:bottom="1134" w:left="1418" w:header="567" w:footer="567" w:gutter="0"/>
          <w:pgNumType w:start="1"/>
          <w:cols w:space="720"/>
          <w:docGrid w:linePitch="360"/>
        </w:sectPr>
      </w:pPr>
    </w:p>
    <w:p w:rsidR="00F66FF6" w:rsidRPr="00DF25F0" w:rsidRDefault="00F66FF6" w:rsidP="004B3B68">
      <w:pPr>
        <w:rPr>
          <w:i/>
        </w:rPr>
      </w:pPr>
      <w:r w:rsidRPr="00DF25F0">
        <w:rPr>
          <w:i/>
        </w:rPr>
        <w:t>Table 1 Summary of analysis: objectives and impacts</w:t>
      </w:r>
    </w:p>
    <w:p w:rsidR="00DF25F0" w:rsidRPr="00F66FF6" w:rsidRDefault="00DF25F0" w:rsidP="004B3B68"/>
    <w:tbl>
      <w:tblPr>
        <w:tblStyle w:val="TableGrid2"/>
        <w:tblW w:w="15593" w:type="dxa"/>
        <w:tblInd w:w="-459" w:type="dxa"/>
        <w:tblLayout w:type="fixed"/>
        <w:tblLook w:val="04A0" w:firstRow="1" w:lastRow="0" w:firstColumn="1" w:lastColumn="0" w:noHBand="0" w:noVBand="1"/>
      </w:tblPr>
      <w:tblGrid>
        <w:gridCol w:w="1560"/>
        <w:gridCol w:w="1417"/>
        <w:gridCol w:w="2268"/>
        <w:gridCol w:w="851"/>
        <w:gridCol w:w="2551"/>
        <w:gridCol w:w="42"/>
        <w:gridCol w:w="2226"/>
        <w:gridCol w:w="1843"/>
        <w:gridCol w:w="2835"/>
      </w:tblGrid>
      <w:tr w:rsidR="00F66FF6" w:rsidRPr="000002C3" w:rsidTr="000002C3">
        <w:trPr>
          <w:cantSplit/>
          <w:tblHeader/>
        </w:trPr>
        <w:tc>
          <w:tcPr>
            <w:tcW w:w="1560" w:type="dxa"/>
            <w:vMerge w:val="restart"/>
            <w:tcBorders>
              <w:top w:val="threeDEngrave" w:sz="24" w:space="0" w:color="auto"/>
              <w:left w:val="threeDEngrave" w:sz="24" w:space="0" w:color="auto"/>
              <w:right w:val="dotted" w:sz="4" w:space="0" w:color="auto"/>
            </w:tcBorders>
            <w:shd w:val="clear" w:color="auto" w:fill="auto"/>
            <w:vAlign w:val="center"/>
          </w:tcPr>
          <w:p w:rsidR="00F66FF6" w:rsidRPr="000002C3" w:rsidRDefault="00F66FF6" w:rsidP="000002C3">
            <w:pPr>
              <w:spacing w:line="240" w:lineRule="auto"/>
              <w:jc w:val="center"/>
              <w:rPr>
                <w:b/>
                <w:sz w:val="20"/>
                <w:lang w:val="en-AU" w:eastAsia="en-US"/>
              </w:rPr>
            </w:pPr>
            <w:r w:rsidRPr="000002C3">
              <w:rPr>
                <w:b/>
                <w:sz w:val="20"/>
                <w:lang w:val="en-AU" w:eastAsia="en-US"/>
              </w:rPr>
              <w:t>Description</w:t>
            </w:r>
          </w:p>
        </w:tc>
        <w:tc>
          <w:tcPr>
            <w:tcW w:w="1417" w:type="dxa"/>
            <w:vMerge w:val="restart"/>
            <w:tcBorders>
              <w:top w:val="threeDEngrave" w:sz="24" w:space="0" w:color="auto"/>
              <w:left w:val="dotted" w:sz="4" w:space="0" w:color="auto"/>
              <w:right w:val="dotted" w:sz="4" w:space="0" w:color="auto"/>
            </w:tcBorders>
            <w:shd w:val="clear" w:color="auto" w:fill="auto"/>
            <w:vAlign w:val="center"/>
          </w:tcPr>
          <w:p w:rsidR="00F66FF6" w:rsidRPr="000002C3" w:rsidRDefault="00F66FF6" w:rsidP="000002C3">
            <w:pPr>
              <w:spacing w:line="240" w:lineRule="auto"/>
              <w:jc w:val="center"/>
              <w:rPr>
                <w:b/>
                <w:sz w:val="20"/>
                <w:lang w:val="en-AU" w:eastAsia="en-US"/>
              </w:rPr>
            </w:pPr>
            <w:r w:rsidRPr="000002C3">
              <w:rPr>
                <w:b/>
                <w:sz w:val="20"/>
                <w:lang w:val="en-AU" w:eastAsia="en-US"/>
              </w:rPr>
              <w:t>Meets</w:t>
            </w:r>
            <w:r w:rsidR="0090185E">
              <w:rPr>
                <w:b/>
                <w:sz w:val="20"/>
                <w:lang w:val="en-AU" w:eastAsia="en-US"/>
              </w:rPr>
              <w:t xml:space="preserve"> </w:t>
            </w:r>
            <w:r w:rsidR="00A92BBE" w:rsidRPr="000002C3">
              <w:rPr>
                <w:b/>
                <w:sz w:val="20"/>
                <w:lang w:val="en-AU" w:eastAsia="en-US"/>
              </w:rPr>
              <w:t>criteri</w:t>
            </w:r>
            <w:r w:rsidR="0090185E">
              <w:rPr>
                <w:b/>
                <w:sz w:val="20"/>
                <w:lang w:val="en-AU" w:eastAsia="en-US"/>
              </w:rPr>
              <w:t xml:space="preserve">a (paragraph </w:t>
            </w:r>
            <w:r w:rsidR="0090185E">
              <w:rPr>
                <w:b/>
                <w:sz w:val="20"/>
                <w:lang w:val="en-AU" w:eastAsia="en-US"/>
              </w:rPr>
              <w:fldChar w:fldCharType="begin"/>
            </w:r>
            <w:r w:rsidR="0090185E">
              <w:rPr>
                <w:b/>
                <w:sz w:val="20"/>
                <w:lang w:val="en-AU" w:eastAsia="en-US"/>
              </w:rPr>
              <w:instrText xml:space="preserve"> REF _Ref433722490 \r \h </w:instrText>
            </w:r>
            <w:r w:rsidR="0090185E">
              <w:rPr>
                <w:b/>
                <w:sz w:val="20"/>
                <w:lang w:val="en-AU" w:eastAsia="en-US"/>
              </w:rPr>
            </w:r>
            <w:r w:rsidR="0090185E">
              <w:rPr>
                <w:b/>
                <w:sz w:val="20"/>
                <w:lang w:val="en-AU" w:eastAsia="en-US"/>
              </w:rPr>
              <w:fldChar w:fldCharType="separate"/>
            </w:r>
            <w:r w:rsidR="004635E7">
              <w:rPr>
                <w:b/>
                <w:sz w:val="20"/>
                <w:lang w:val="en-AU" w:eastAsia="en-US"/>
              </w:rPr>
              <w:t>30</w:t>
            </w:r>
            <w:r w:rsidR="0090185E">
              <w:rPr>
                <w:b/>
                <w:sz w:val="20"/>
                <w:lang w:val="en-AU" w:eastAsia="en-US"/>
              </w:rPr>
              <w:fldChar w:fldCharType="end"/>
            </w:r>
            <w:r w:rsidR="0090185E">
              <w:rPr>
                <w:b/>
                <w:sz w:val="20"/>
                <w:lang w:val="en-AU" w:eastAsia="en-US"/>
              </w:rPr>
              <w:t xml:space="preserve"> refers)</w:t>
            </w:r>
          </w:p>
        </w:tc>
        <w:tc>
          <w:tcPr>
            <w:tcW w:w="9781" w:type="dxa"/>
            <w:gridSpan w:val="6"/>
            <w:tcBorders>
              <w:top w:val="threeDEngrave" w:sz="24" w:space="0" w:color="auto"/>
              <w:left w:val="dotted" w:sz="4" w:space="0" w:color="auto"/>
              <w:bottom w:val="single" w:sz="4" w:space="0" w:color="auto"/>
              <w:right w:val="dotted" w:sz="4" w:space="0" w:color="auto"/>
            </w:tcBorders>
            <w:shd w:val="clear" w:color="auto" w:fill="D9D9D9" w:themeFill="background1" w:themeFillShade="D9"/>
            <w:vAlign w:val="center"/>
          </w:tcPr>
          <w:p w:rsidR="00F66FF6" w:rsidRPr="000002C3" w:rsidRDefault="00F66FF6" w:rsidP="00DF25F0">
            <w:pPr>
              <w:spacing w:line="240" w:lineRule="auto"/>
              <w:rPr>
                <w:b/>
                <w:sz w:val="20"/>
                <w:lang w:val="en-AU" w:eastAsia="en-US"/>
              </w:rPr>
            </w:pPr>
            <w:r w:rsidRPr="000002C3">
              <w:rPr>
                <w:b/>
                <w:sz w:val="20"/>
                <w:lang w:val="en-AU" w:eastAsia="en-US"/>
              </w:rPr>
              <w:t>IMPACTS</w:t>
            </w:r>
          </w:p>
        </w:tc>
        <w:tc>
          <w:tcPr>
            <w:tcW w:w="2835" w:type="dxa"/>
            <w:vMerge w:val="restart"/>
            <w:tcBorders>
              <w:top w:val="threeDEngrave" w:sz="24" w:space="0" w:color="auto"/>
              <w:left w:val="dotted" w:sz="4" w:space="0" w:color="auto"/>
              <w:right w:val="threeDEmboss" w:sz="24" w:space="0" w:color="auto"/>
            </w:tcBorders>
            <w:shd w:val="clear" w:color="auto" w:fill="auto"/>
            <w:vAlign w:val="center"/>
          </w:tcPr>
          <w:p w:rsidR="00F66FF6" w:rsidRPr="000002C3" w:rsidRDefault="000F1A56" w:rsidP="000002C3">
            <w:pPr>
              <w:spacing w:line="240" w:lineRule="auto"/>
              <w:jc w:val="center"/>
              <w:rPr>
                <w:b/>
                <w:sz w:val="20"/>
                <w:lang w:val="en-AU" w:eastAsia="en-US"/>
              </w:rPr>
            </w:pPr>
            <w:r w:rsidRPr="000002C3">
              <w:rPr>
                <w:b/>
                <w:sz w:val="20"/>
                <w:lang w:val="en-AU" w:eastAsia="en-US"/>
              </w:rPr>
              <w:t>Recommendation</w:t>
            </w:r>
          </w:p>
        </w:tc>
      </w:tr>
      <w:tr w:rsidR="00F66FF6" w:rsidRPr="00DF25F0" w:rsidTr="000002C3">
        <w:trPr>
          <w:cantSplit/>
          <w:trHeight w:val="792"/>
          <w:tblHeader/>
        </w:trPr>
        <w:tc>
          <w:tcPr>
            <w:tcW w:w="1560" w:type="dxa"/>
            <w:vMerge/>
            <w:tcBorders>
              <w:left w:val="threeDEngrave" w:sz="24" w:space="0" w:color="auto"/>
              <w:bottom w:val="threeDEmboss" w:sz="24" w:space="0" w:color="auto"/>
              <w:right w:val="dotted" w:sz="4" w:space="0" w:color="auto"/>
            </w:tcBorders>
            <w:shd w:val="clear" w:color="auto" w:fill="auto"/>
            <w:vAlign w:val="center"/>
          </w:tcPr>
          <w:p w:rsidR="00F66FF6" w:rsidRPr="00DF25F0" w:rsidRDefault="00F66FF6" w:rsidP="00DF25F0">
            <w:pPr>
              <w:spacing w:line="240" w:lineRule="auto"/>
              <w:rPr>
                <w:sz w:val="20"/>
                <w:lang w:val="en-AU" w:eastAsia="en-US"/>
              </w:rPr>
            </w:pPr>
          </w:p>
        </w:tc>
        <w:tc>
          <w:tcPr>
            <w:tcW w:w="1417" w:type="dxa"/>
            <w:vMerge/>
            <w:tcBorders>
              <w:left w:val="dotted" w:sz="4" w:space="0" w:color="auto"/>
              <w:bottom w:val="threeDEmboss" w:sz="24" w:space="0" w:color="auto"/>
              <w:right w:val="dotted" w:sz="4" w:space="0" w:color="auto"/>
            </w:tcBorders>
            <w:shd w:val="clear" w:color="auto" w:fill="auto"/>
            <w:vAlign w:val="center"/>
          </w:tcPr>
          <w:p w:rsidR="00F66FF6" w:rsidRPr="00DF25F0" w:rsidRDefault="00F66FF6" w:rsidP="00DF25F0">
            <w:pPr>
              <w:spacing w:line="240" w:lineRule="auto"/>
              <w:rPr>
                <w:sz w:val="20"/>
                <w:lang w:val="en-AU" w:eastAsia="en-US"/>
              </w:rPr>
            </w:pPr>
          </w:p>
        </w:tc>
        <w:tc>
          <w:tcPr>
            <w:tcW w:w="2268" w:type="dxa"/>
            <w:tcBorders>
              <w:top w:val="single" w:sz="4" w:space="0" w:color="auto"/>
              <w:left w:val="dotted" w:sz="4" w:space="0" w:color="auto"/>
              <w:bottom w:val="threeDEmboss" w:sz="24" w:space="0" w:color="auto"/>
              <w:right w:val="dotted" w:sz="4" w:space="0" w:color="auto"/>
            </w:tcBorders>
            <w:shd w:val="clear" w:color="auto" w:fill="auto"/>
            <w:vAlign w:val="center"/>
          </w:tcPr>
          <w:p w:rsidR="00F66FF6" w:rsidRPr="000002C3" w:rsidRDefault="00F66FF6" w:rsidP="000002C3">
            <w:pPr>
              <w:spacing w:line="240" w:lineRule="auto"/>
              <w:jc w:val="center"/>
              <w:rPr>
                <w:b/>
                <w:sz w:val="20"/>
                <w:lang w:val="en-AU" w:eastAsia="en-US"/>
              </w:rPr>
            </w:pPr>
            <w:r w:rsidRPr="000002C3">
              <w:rPr>
                <w:b/>
                <w:sz w:val="20"/>
                <w:lang w:val="en-AU" w:eastAsia="en-US"/>
              </w:rPr>
              <w:t>Economic impact</w:t>
            </w:r>
          </w:p>
        </w:tc>
        <w:tc>
          <w:tcPr>
            <w:tcW w:w="851" w:type="dxa"/>
            <w:tcBorders>
              <w:top w:val="single" w:sz="4" w:space="0" w:color="auto"/>
              <w:left w:val="dotted" w:sz="4" w:space="0" w:color="auto"/>
              <w:bottom w:val="threeDEmboss" w:sz="24" w:space="0" w:color="auto"/>
              <w:right w:val="dotted" w:sz="4" w:space="0" w:color="auto"/>
            </w:tcBorders>
            <w:shd w:val="clear" w:color="auto" w:fill="auto"/>
            <w:vAlign w:val="center"/>
          </w:tcPr>
          <w:p w:rsidR="00F66FF6" w:rsidRPr="000002C3" w:rsidRDefault="00F66FF6" w:rsidP="000002C3">
            <w:pPr>
              <w:spacing w:line="240" w:lineRule="auto"/>
              <w:jc w:val="center"/>
              <w:rPr>
                <w:b/>
                <w:sz w:val="20"/>
                <w:lang w:val="en-AU" w:eastAsia="en-US"/>
              </w:rPr>
            </w:pPr>
            <w:r w:rsidRPr="000002C3">
              <w:rPr>
                <w:b/>
                <w:sz w:val="20"/>
                <w:lang w:val="en-AU" w:eastAsia="en-US"/>
              </w:rPr>
              <w:t>Fiscal impact</w:t>
            </w:r>
          </w:p>
        </w:tc>
        <w:tc>
          <w:tcPr>
            <w:tcW w:w="2551" w:type="dxa"/>
            <w:tcBorders>
              <w:top w:val="single" w:sz="4" w:space="0" w:color="auto"/>
              <w:left w:val="dotted" w:sz="4" w:space="0" w:color="auto"/>
              <w:bottom w:val="threeDEmboss" w:sz="24" w:space="0" w:color="auto"/>
              <w:right w:val="dotted" w:sz="4" w:space="0" w:color="auto"/>
            </w:tcBorders>
            <w:shd w:val="clear" w:color="auto" w:fill="auto"/>
            <w:vAlign w:val="center"/>
          </w:tcPr>
          <w:p w:rsidR="00F66FF6" w:rsidRPr="000002C3" w:rsidRDefault="00F66FF6" w:rsidP="000002C3">
            <w:pPr>
              <w:spacing w:line="240" w:lineRule="auto"/>
              <w:jc w:val="center"/>
              <w:rPr>
                <w:b/>
                <w:sz w:val="20"/>
                <w:lang w:val="en-AU" w:eastAsia="en-US"/>
              </w:rPr>
            </w:pPr>
            <w:r w:rsidRPr="000002C3">
              <w:rPr>
                <w:b/>
                <w:sz w:val="20"/>
                <w:lang w:val="en-AU" w:eastAsia="en-US"/>
              </w:rPr>
              <w:t>Compliance impacts</w:t>
            </w:r>
          </w:p>
        </w:tc>
        <w:tc>
          <w:tcPr>
            <w:tcW w:w="2268" w:type="dxa"/>
            <w:gridSpan w:val="2"/>
            <w:tcBorders>
              <w:top w:val="single" w:sz="4" w:space="0" w:color="auto"/>
              <w:left w:val="dotted" w:sz="4" w:space="0" w:color="auto"/>
              <w:bottom w:val="threeDEmboss" w:sz="24" w:space="0" w:color="auto"/>
              <w:right w:val="dotted" w:sz="4" w:space="0" w:color="auto"/>
            </w:tcBorders>
            <w:shd w:val="clear" w:color="auto" w:fill="auto"/>
            <w:vAlign w:val="center"/>
          </w:tcPr>
          <w:p w:rsidR="00F66FF6" w:rsidRPr="000002C3" w:rsidRDefault="00F66FF6" w:rsidP="000002C3">
            <w:pPr>
              <w:spacing w:line="240" w:lineRule="auto"/>
              <w:jc w:val="center"/>
              <w:rPr>
                <w:b/>
                <w:sz w:val="20"/>
                <w:lang w:val="en-AU" w:eastAsia="en-US"/>
              </w:rPr>
            </w:pPr>
            <w:r w:rsidRPr="000002C3">
              <w:rPr>
                <w:b/>
                <w:sz w:val="20"/>
                <w:lang w:val="en-AU" w:eastAsia="en-US"/>
              </w:rPr>
              <w:t>Administration impacts</w:t>
            </w:r>
          </w:p>
        </w:tc>
        <w:tc>
          <w:tcPr>
            <w:tcW w:w="1843" w:type="dxa"/>
            <w:tcBorders>
              <w:top w:val="single" w:sz="4" w:space="0" w:color="auto"/>
              <w:left w:val="dotted" w:sz="4" w:space="0" w:color="auto"/>
              <w:bottom w:val="threeDEmboss" w:sz="24" w:space="0" w:color="auto"/>
              <w:right w:val="dotted" w:sz="4" w:space="0" w:color="auto"/>
            </w:tcBorders>
            <w:shd w:val="clear" w:color="auto" w:fill="auto"/>
            <w:vAlign w:val="center"/>
          </w:tcPr>
          <w:p w:rsidR="00F66FF6" w:rsidRPr="000002C3" w:rsidRDefault="00F66FF6" w:rsidP="000002C3">
            <w:pPr>
              <w:spacing w:line="240" w:lineRule="auto"/>
              <w:jc w:val="center"/>
              <w:rPr>
                <w:b/>
                <w:sz w:val="20"/>
                <w:lang w:val="en-AU" w:eastAsia="en-US"/>
              </w:rPr>
            </w:pPr>
            <w:r w:rsidRPr="000002C3">
              <w:rPr>
                <w:b/>
                <w:sz w:val="20"/>
                <w:lang w:val="en-AU" w:eastAsia="en-US"/>
              </w:rPr>
              <w:t>Risks</w:t>
            </w:r>
          </w:p>
        </w:tc>
        <w:tc>
          <w:tcPr>
            <w:tcW w:w="2835" w:type="dxa"/>
            <w:vMerge/>
            <w:tcBorders>
              <w:left w:val="dotted" w:sz="4" w:space="0" w:color="auto"/>
              <w:bottom w:val="threeDEmboss" w:sz="24" w:space="0" w:color="auto"/>
              <w:right w:val="threeDEmboss" w:sz="24" w:space="0" w:color="auto"/>
            </w:tcBorders>
            <w:shd w:val="clear" w:color="auto" w:fill="auto"/>
            <w:vAlign w:val="center"/>
          </w:tcPr>
          <w:p w:rsidR="00F66FF6" w:rsidRPr="00DF25F0" w:rsidRDefault="00F66FF6" w:rsidP="00DF25F0">
            <w:pPr>
              <w:spacing w:line="240" w:lineRule="auto"/>
              <w:rPr>
                <w:sz w:val="20"/>
                <w:lang w:val="en-AU" w:eastAsia="en-US"/>
              </w:rPr>
            </w:pPr>
          </w:p>
        </w:tc>
      </w:tr>
      <w:tr w:rsidR="00F66FF6" w:rsidRPr="00DF25F0" w:rsidTr="000002C3">
        <w:trPr>
          <w:cantSplit/>
        </w:trPr>
        <w:tc>
          <w:tcPr>
            <w:tcW w:w="1560" w:type="dxa"/>
            <w:tcBorders>
              <w:top w:val="threeDEngrave" w:sz="24" w:space="0" w:color="auto"/>
              <w:left w:val="threeDEngrave" w:sz="24" w:space="0" w:color="auto"/>
              <w:bottom w:val="threeDEngrave" w:sz="24" w:space="0" w:color="auto"/>
              <w:right w:val="dotted" w:sz="4" w:space="0" w:color="auto"/>
            </w:tcBorders>
            <w:vAlign w:val="center"/>
          </w:tcPr>
          <w:p w:rsidR="00F66FF6" w:rsidRPr="00DF25F0" w:rsidRDefault="00F66FF6" w:rsidP="00103D35">
            <w:pPr>
              <w:spacing w:line="240" w:lineRule="auto"/>
              <w:jc w:val="left"/>
              <w:rPr>
                <w:sz w:val="18"/>
                <w:lang w:val="en-AU" w:eastAsia="en-US"/>
              </w:rPr>
            </w:pPr>
            <w:r w:rsidRPr="00DF25F0">
              <w:rPr>
                <w:sz w:val="18"/>
                <w:lang w:val="en-AU" w:eastAsia="en-US"/>
              </w:rPr>
              <w:t>Option 1: Status quo</w:t>
            </w:r>
            <w:r w:rsidR="0019619F">
              <w:rPr>
                <w:sz w:val="18"/>
                <w:lang w:val="en-AU" w:eastAsia="en-US"/>
              </w:rPr>
              <w:t>/</w:t>
            </w:r>
          </w:p>
        </w:tc>
        <w:tc>
          <w:tcPr>
            <w:tcW w:w="1417" w:type="dxa"/>
            <w:tcBorders>
              <w:top w:val="threeDEngrave" w:sz="24" w:space="0" w:color="auto"/>
              <w:left w:val="dotted" w:sz="4" w:space="0" w:color="auto"/>
              <w:bottom w:val="threeDEngrave" w:sz="24" w:space="0" w:color="auto"/>
              <w:right w:val="dotted" w:sz="4" w:space="0" w:color="auto"/>
            </w:tcBorders>
            <w:vAlign w:val="center"/>
          </w:tcPr>
          <w:p w:rsidR="00F66FF6" w:rsidRPr="00DF25F0" w:rsidRDefault="00FD1D5E" w:rsidP="00103D35">
            <w:pPr>
              <w:spacing w:line="240" w:lineRule="auto"/>
              <w:jc w:val="left"/>
              <w:rPr>
                <w:sz w:val="18"/>
                <w:lang w:val="en-AU" w:eastAsia="en-US"/>
              </w:rPr>
            </w:pPr>
            <w:r w:rsidRPr="00DF25F0">
              <w:rPr>
                <w:sz w:val="18"/>
                <w:lang w:val="en-AU" w:eastAsia="en-US"/>
              </w:rPr>
              <w:t>(a) and (b) are not met.</w:t>
            </w:r>
          </w:p>
          <w:p w:rsidR="00FD1D5E" w:rsidRPr="00DF25F0" w:rsidRDefault="00FD1D5E" w:rsidP="00103D35">
            <w:pPr>
              <w:spacing w:line="240" w:lineRule="auto"/>
              <w:jc w:val="left"/>
              <w:rPr>
                <w:sz w:val="18"/>
                <w:lang w:val="en-AU" w:eastAsia="en-US"/>
              </w:rPr>
            </w:pPr>
            <w:r w:rsidRPr="00DF25F0">
              <w:rPr>
                <w:sz w:val="18"/>
                <w:lang w:val="en-AU" w:eastAsia="en-US"/>
              </w:rPr>
              <w:t>(c), (d</w:t>
            </w:r>
            <w:r w:rsidR="00DF25F0" w:rsidRPr="00DF25F0">
              <w:rPr>
                <w:sz w:val="18"/>
                <w:lang w:val="en-AU" w:eastAsia="en-US"/>
              </w:rPr>
              <w:t>)</w:t>
            </w:r>
            <w:r w:rsidRPr="00DF25F0">
              <w:rPr>
                <w:sz w:val="18"/>
                <w:lang w:val="en-AU" w:eastAsia="en-US"/>
              </w:rPr>
              <w:t xml:space="preserve"> and (e)</w:t>
            </w:r>
            <w:r w:rsidR="00DF25F0" w:rsidRPr="00DF25F0">
              <w:rPr>
                <w:sz w:val="18"/>
                <w:lang w:val="en-AU" w:eastAsia="en-US"/>
              </w:rPr>
              <w:t xml:space="preserve"> </w:t>
            </w:r>
            <w:r w:rsidRPr="00DF25F0">
              <w:rPr>
                <w:sz w:val="18"/>
                <w:lang w:val="en-AU" w:eastAsia="en-US"/>
              </w:rPr>
              <w:t>are met</w:t>
            </w:r>
            <w:r w:rsidR="00DF25F0" w:rsidRPr="00DF25F0">
              <w:rPr>
                <w:sz w:val="18"/>
                <w:lang w:val="en-AU" w:eastAsia="en-US"/>
              </w:rPr>
              <w:t>.</w:t>
            </w:r>
          </w:p>
        </w:tc>
        <w:tc>
          <w:tcPr>
            <w:tcW w:w="2268" w:type="dxa"/>
            <w:tcBorders>
              <w:top w:val="threeDEngrave" w:sz="24" w:space="0" w:color="auto"/>
              <w:left w:val="dotted" w:sz="4" w:space="0" w:color="auto"/>
              <w:bottom w:val="threeDEngrave" w:sz="24" w:space="0" w:color="auto"/>
              <w:right w:val="dotted" w:sz="4" w:space="0" w:color="auto"/>
            </w:tcBorders>
            <w:vAlign w:val="center"/>
          </w:tcPr>
          <w:p w:rsidR="00F66FF6" w:rsidRPr="00DF25F0" w:rsidRDefault="00F66FF6" w:rsidP="00103D35">
            <w:pPr>
              <w:spacing w:line="240" w:lineRule="auto"/>
              <w:jc w:val="left"/>
              <w:rPr>
                <w:sz w:val="18"/>
                <w:lang w:val="en-AU" w:eastAsia="en-US"/>
              </w:rPr>
            </w:pPr>
            <w:r w:rsidRPr="00DF25F0">
              <w:rPr>
                <w:sz w:val="18"/>
                <w:lang w:val="en-AU" w:eastAsia="en-US"/>
              </w:rPr>
              <w:t>Gives preference to sole trader business structure over company business structure.</w:t>
            </w:r>
          </w:p>
          <w:p w:rsidR="00F66FF6" w:rsidRPr="00DF25F0" w:rsidRDefault="00F66FF6" w:rsidP="00103D35">
            <w:pPr>
              <w:spacing w:line="240" w:lineRule="auto"/>
              <w:jc w:val="left"/>
              <w:rPr>
                <w:sz w:val="18"/>
                <w:lang w:val="en-AU" w:eastAsia="en-US"/>
              </w:rPr>
            </w:pPr>
            <w:r w:rsidRPr="00DF25F0">
              <w:rPr>
                <w:sz w:val="18"/>
                <w:lang w:val="en-AU" w:eastAsia="en-US"/>
              </w:rPr>
              <w:t xml:space="preserve">Gives preference to </w:t>
            </w:r>
            <w:r w:rsidR="000F1A56">
              <w:rPr>
                <w:sz w:val="18"/>
                <w:lang w:val="en-AU" w:eastAsia="en-US"/>
              </w:rPr>
              <w:t xml:space="preserve">fund </w:t>
            </w:r>
            <w:r w:rsidRPr="00DF25F0">
              <w:rPr>
                <w:sz w:val="18"/>
                <w:lang w:val="en-AU" w:eastAsia="en-US"/>
              </w:rPr>
              <w:t>business from personal savings and debt not subject to remission income rules.</w:t>
            </w:r>
          </w:p>
          <w:p w:rsidR="00F66FF6" w:rsidRDefault="00F66FF6" w:rsidP="00103D35">
            <w:pPr>
              <w:spacing w:line="240" w:lineRule="auto"/>
              <w:jc w:val="left"/>
              <w:rPr>
                <w:sz w:val="18"/>
                <w:lang w:val="en-AU" w:eastAsia="en-US"/>
              </w:rPr>
            </w:pPr>
            <w:r w:rsidRPr="00DF25F0">
              <w:rPr>
                <w:sz w:val="18"/>
                <w:lang w:val="en-AU" w:eastAsia="en-US"/>
              </w:rPr>
              <w:t>Inconsistent with policy for carrying forward tax losses.</w:t>
            </w:r>
          </w:p>
          <w:p w:rsidR="00C6387F" w:rsidRPr="00DF25F0" w:rsidRDefault="00C6387F" w:rsidP="00103D35">
            <w:pPr>
              <w:spacing w:line="240" w:lineRule="auto"/>
              <w:jc w:val="left"/>
              <w:rPr>
                <w:sz w:val="18"/>
                <w:lang w:val="en-AU" w:eastAsia="en-US"/>
              </w:rPr>
            </w:pPr>
          </w:p>
        </w:tc>
        <w:tc>
          <w:tcPr>
            <w:tcW w:w="851" w:type="dxa"/>
            <w:tcBorders>
              <w:top w:val="threeDEngrave" w:sz="24" w:space="0" w:color="auto"/>
              <w:left w:val="dotted" w:sz="4" w:space="0" w:color="auto"/>
              <w:bottom w:val="threeDEngrave" w:sz="24" w:space="0" w:color="auto"/>
              <w:right w:val="dotted" w:sz="4" w:space="0" w:color="auto"/>
            </w:tcBorders>
            <w:vAlign w:val="center"/>
          </w:tcPr>
          <w:p w:rsidR="00F66FF6" w:rsidRPr="00DF25F0" w:rsidRDefault="00F66FF6" w:rsidP="00103D35">
            <w:pPr>
              <w:spacing w:line="240" w:lineRule="auto"/>
              <w:jc w:val="left"/>
              <w:rPr>
                <w:sz w:val="18"/>
                <w:lang w:val="en-AU" w:eastAsia="en-US"/>
              </w:rPr>
            </w:pPr>
            <w:r w:rsidRPr="00DF25F0">
              <w:rPr>
                <w:sz w:val="18"/>
                <w:lang w:val="en-AU" w:eastAsia="en-US"/>
              </w:rPr>
              <w:t>Nil</w:t>
            </w:r>
          </w:p>
        </w:tc>
        <w:tc>
          <w:tcPr>
            <w:tcW w:w="2593" w:type="dxa"/>
            <w:gridSpan w:val="2"/>
            <w:tcBorders>
              <w:top w:val="threeDEngrave" w:sz="24" w:space="0" w:color="auto"/>
              <w:left w:val="dotted" w:sz="4" w:space="0" w:color="auto"/>
              <w:bottom w:val="threeDEngrave" w:sz="24" w:space="0" w:color="auto"/>
              <w:right w:val="dotted" w:sz="4" w:space="0" w:color="auto"/>
            </w:tcBorders>
            <w:vAlign w:val="center"/>
          </w:tcPr>
          <w:p w:rsidR="00F66FF6" w:rsidRPr="00DF25F0" w:rsidRDefault="00F66FF6" w:rsidP="00103D35">
            <w:pPr>
              <w:spacing w:line="240" w:lineRule="auto"/>
              <w:jc w:val="left"/>
              <w:rPr>
                <w:sz w:val="18"/>
                <w:lang w:val="en-AU" w:eastAsia="en-US"/>
              </w:rPr>
            </w:pPr>
            <w:r w:rsidRPr="00DF25F0">
              <w:rPr>
                <w:sz w:val="18"/>
                <w:lang w:val="en-AU" w:eastAsia="en-US"/>
              </w:rPr>
              <w:t xml:space="preserve">Although there is a potential for </w:t>
            </w:r>
            <w:r w:rsidR="00EA30E5">
              <w:rPr>
                <w:sz w:val="18"/>
                <w:lang w:val="en-AU" w:eastAsia="en-US"/>
              </w:rPr>
              <w:t>wasted expenses</w:t>
            </w:r>
            <w:r w:rsidRPr="00DF25F0">
              <w:rPr>
                <w:sz w:val="18"/>
                <w:lang w:val="en-AU" w:eastAsia="en-US"/>
              </w:rPr>
              <w:t xml:space="preserve"> to arise in determining whether carried forward tax losses exist, there is no change in compliance costs as this is the effect of the status </w:t>
            </w:r>
            <w:r w:rsidR="00A92BBE">
              <w:rPr>
                <w:sz w:val="18"/>
                <w:lang w:val="en-AU" w:eastAsia="en-US"/>
              </w:rPr>
              <w:t>quo</w:t>
            </w:r>
            <w:r w:rsidRPr="00DF25F0">
              <w:rPr>
                <w:sz w:val="18"/>
                <w:lang w:val="en-AU" w:eastAsia="en-US"/>
              </w:rPr>
              <w:t>.</w:t>
            </w:r>
          </w:p>
        </w:tc>
        <w:tc>
          <w:tcPr>
            <w:tcW w:w="2226" w:type="dxa"/>
            <w:tcBorders>
              <w:top w:val="threeDEngrave" w:sz="24" w:space="0" w:color="auto"/>
              <w:left w:val="dotted" w:sz="4" w:space="0" w:color="auto"/>
              <w:bottom w:val="threeDEngrave" w:sz="24" w:space="0" w:color="auto"/>
              <w:right w:val="dotted" w:sz="4" w:space="0" w:color="auto"/>
            </w:tcBorders>
            <w:vAlign w:val="center"/>
          </w:tcPr>
          <w:p w:rsidR="00F66FF6" w:rsidRPr="00DF25F0" w:rsidRDefault="00A92BBE" w:rsidP="00103D35">
            <w:pPr>
              <w:spacing w:line="240" w:lineRule="auto"/>
              <w:jc w:val="left"/>
              <w:rPr>
                <w:sz w:val="18"/>
                <w:lang w:val="en-AU" w:eastAsia="en-US"/>
              </w:rPr>
            </w:pPr>
            <w:r>
              <w:rPr>
                <w:sz w:val="18"/>
                <w:lang w:val="en-AU" w:eastAsia="en-US"/>
              </w:rPr>
              <w:t>O</w:t>
            </w:r>
            <w:r w:rsidR="00F66FF6" w:rsidRPr="00DF25F0">
              <w:rPr>
                <w:sz w:val="18"/>
                <w:lang w:val="en-AU" w:eastAsia="en-US"/>
              </w:rPr>
              <w:t>ngoing uncertainty about application of tax law to bankrupts</w:t>
            </w:r>
            <w:r>
              <w:rPr>
                <w:sz w:val="18"/>
                <w:lang w:val="en-AU" w:eastAsia="en-US"/>
              </w:rPr>
              <w:t>, including compliance obligations and the tax treatment of assets vested in the Official Assignee</w:t>
            </w:r>
            <w:r w:rsidR="00F66FF6" w:rsidRPr="00DF25F0">
              <w:rPr>
                <w:sz w:val="18"/>
                <w:lang w:val="en-AU" w:eastAsia="en-US"/>
              </w:rPr>
              <w:t xml:space="preserve">. </w:t>
            </w:r>
          </w:p>
        </w:tc>
        <w:tc>
          <w:tcPr>
            <w:tcW w:w="1843" w:type="dxa"/>
            <w:tcBorders>
              <w:top w:val="threeDEngrave" w:sz="24" w:space="0" w:color="auto"/>
              <w:left w:val="dotted" w:sz="4" w:space="0" w:color="auto"/>
              <w:bottom w:val="threeDEngrave" w:sz="24" w:space="0" w:color="auto"/>
              <w:right w:val="dotted" w:sz="4" w:space="0" w:color="auto"/>
            </w:tcBorders>
            <w:vAlign w:val="center"/>
          </w:tcPr>
          <w:p w:rsidR="00A309DF" w:rsidRPr="00DF25F0" w:rsidRDefault="00F66FF6" w:rsidP="00103D35">
            <w:pPr>
              <w:spacing w:line="240" w:lineRule="auto"/>
              <w:jc w:val="left"/>
              <w:rPr>
                <w:sz w:val="18"/>
                <w:lang w:val="en-AU" w:eastAsia="en-US"/>
              </w:rPr>
            </w:pPr>
            <w:r w:rsidRPr="00DF25F0">
              <w:rPr>
                <w:sz w:val="18"/>
                <w:lang w:val="en-AU" w:eastAsia="en-US"/>
              </w:rPr>
              <w:t>Inconsi</w:t>
            </w:r>
            <w:r w:rsidR="00A309DF" w:rsidRPr="00DF25F0">
              <w:rPr>
                <w:sz w:val="18"/>
                <w:lang w:val="en-AU" w:eastAsia="en-US"/>
              </w:rPr>
              <w:t>stencies between law and policy remain.</w:t>
            </w:r>
          </w:p>
          <w:p w:rsidR="00F66FF6" w:rsidRPr="00DF25F0" w:rsidRDefault="00A309DF" w:rsidP="00103D35">
            <w:pPr>
              <w:spacing w:line="240" w:lineRule="auto"/>
              <w:jc w:val="left"/>
              <w:rPr>
                <w:sz w:val="18"/>
                <w:lang w:val="en-AU" w:eastAsia="en-US"/>
              </w:rPr>
            </w:pPr>
            <w:r w:rsidRPr="00DF25F0">
              <w:rPr>
                <w:sz w:val="18"/>
                <w:lang w:val="en-AU" w:eastAsia="en-US"/>
              </w:rPr>
              <w:t>U</w:t>
            </w:r>
            <w:r w:rsidR="00F66FF6" w:rsidRPr="00DF25F0">
              <w:rPr>
                <w:sz w:val="18"/>
                <w:lang w:val="en-AU" w:eastAsia="en-US"/>
              </w:rPr>
              <w:t xml:space="preserve">ncertainty about the application of the law to bankrupts may give rise to </w:t>
            </w:r>
            <w:r w:rsidR="00EA30E5">
              <w:rPr>
                <w:sz w:val="18"/>
                <w:lang w:val="en-AU" w:eastAsia="en-US"/>
              </w:rPr>
              <w:t>wasted expenses</w:t>
            </w:r>
            <w:r w:rsidR="00F66FF6" w:rsidRPr="00DF25F0">
              <w:rPr>
                <w:sz w:val="18"/>
                <w:lang w:val="en-AU" w:eastAsia="en-US"/>
              </w:rPr>
              <w:t>.</w:t>
            </w:r>
          </w:p>
        </w:tc>
        <w:tc>
          <w:tcPr>
            <w:tcW w:w="2835" w:type="dxa"/>
            <w:tcBorders>
              <w:top w:val="threeDEngrave" w:sz="24" w:space="0" w:color="auto"/>
              <w:left w:val="dotted" w:sz="4" w:space="0" w:color="auto"/>
              <w:bottom w:val="threeDEngrave" w:sz="24" w:space="0" w:color="auto"/>
              <w:right w:val="threeDEmboss" w:sz="24" w:space="0" w:color="auto"/>
            </w:tcBorders>
            <w:vAlign w:val="center"/>
          </w:tcPr>
          <w:p w:rsidR="00F66FF6" w:rsidRPr="00DF25F0" w:rsidRDefault="00F66FF6" w:rsidP="00103D35">
            <w:pPr>
              <w:spacing w:line="240" w:lineRule="auto"/>
              <w:jc w:val="left"/>
              <w:rPr>
                <w:sz w:val="18"/>
                <w:lang w:val="en-AU" w:eastAsia="en-US"/>
              </w:rPr>
            </w:pPr>
            <w:r w:rsidRPr="00DF25F0">
              <w:rPr>
                <w:sz w:val="18"/>
                <w:lang w:val="en-AU" w:eastAsia="en-US"/>
              </w:rPr>
              <w:t>Does not address the problem.</w:t>
            </w:r>
          </w:p>
          <w:p w:rsidR="00F66FF6" w:rsidRPr="00DF25F0" w:rsidRDefault="00F66FF6" w:rsidP="00103D35">
            <w:pPr>
              <w:spacing w:line="240" w:lineRule="auto"/>
              <w:jc w:val="left"/>
              <w:rPr>
                <w:sz w:val="18"/>
                <w:lang w:val="en-AU" w:eastAsia="en-US"/>
              </w:rPr>
            </w:pPr>
            <w:r w:rsidRPr="00DF25F0">
              <w:rPr>
                <w:sz w:val="18"/>
                <w:lang w:val="en-AU" w:eastAsia="en-US"/>
              </w:rPr>
              <w:t>Not recommended.</w:t>
            </w:r>
          </w:p>
          <w:p w:rsidR="00F66FF6" w:rsidRPr="00DF25F0" w:rsidRDefault="00F66FF6" w:rsidP="00103D35">
            <w:pPr>
              <w:spacing w:line="240" w:lineRule="auto"/>
              <w:jc w:val="left"/>
              <w:rPr>
                <w:sz w:val="18"/>
                <w:lang w:val="en-AU" w:eastAsia="en-US"/>
              </w:rPr>
            </w:pPr>
          </w:p>
        </w:tc>
      </w:tr>
      <w:tr w:rsidR="00F66FF6" w:rsidRPr="00DF25F0" w:rsidTr="000002C3">
        <w:trPr>
          <w:cantSplit/>
        </w:trPr>
        <w:tc>
          <w:tcPr>
            <w:tcW w:w="1560" w:type="dxa"/>
            <w:tcBorders>
              <w:top w:val="threeDEmboss" w:sz="24" w:space="0" w:color="auto"/>
              <w:left w:val="threeDEngrave" w:sz="24" w:space="0" w:color="auto"/>
              <w:bottom w:val="dotted" w:sz="4" w:space="0" w:color="auto"/>
              <w:right w:val="dotted" w:sz="4" w:space="0" w:color="auto"/>
            </w:tcBorders>
            <w:shd w:val="clear" w:color="auto" w:fill="auto"/>
            <w:vAlign w:val="center"/>
          </w:tcPr>
          <w:p w:rsidR="00F66FF6" w:rsidRPr="00DF25F0" w:rsidRDefault="00F66FF6" w:rsidP="00103D35">
            <w:pPr>
              <w:spacing w:line="240" w:lineRule="auto"/>
              <w:jc w:val="left"/>
              <w:rPr>
                <w:sz w:val="18"/>
                <w:lang w:val="en-AU" w:eastAsia="en-US"/>
              </w:rPr>
            </w:pPr>
            <w:r w:rsidRPr="00DF25F0">
              <w:rPr>
                <w:sz w:val="18"/>
                <w:lang w:val="en-AU" w:eastAsia="en-US"/>
              </w:rPr>
              <w:t>Option 2:</w:t>
            </w:r>
            <w:r w:rsidR="00C745FC">
              <w:rPr>
                <w:sz w:val="18"/>
                <w:lang w:val="en-AU" w:eastAsia="en-US"/>
              </w:rPr>
              <w:t xml:space="preserve"> </w:t>
            </w:r>
            <w:r w:rsidRPr="00DF25F0">
              <w:rPr>
                <w:sz w:val="18"/>
                <w:lang w:val="en-AU" w:eastAsia="en-US"/>
              </w:rPr>
              <w:t>Cancel carried forward  tax losses if all debts cancelled under insolvency law</w:t>
            </w:r>
            <w:r w:rsidR="0019619F">
              <w:rPr>
                <w:sz w:val="18"/>
                <w:lang w:val="en-AU" w:eastAsia="en-US"/>
              </w:rPr>
              <w:t>/</w:t>
            </w:r>
          </w:p>
        </w:tc>
        <w:tc>
          <w:tcPr>
            <w:tcW w:w="1417" w:type="dxa"/>
            <w:tcBorders>
              <w:top w:val="threeDEmboss" w:sz="24" w:space="0" w:color="auto"/>
              <w:left w:val="dotted" w:sz="4" w:space="0" w:color="auto"/>
              <w:bottom w:val="dotted" w:sz="4" w:space="0" w:color="auto"/>
              <w:right w:val="dotted" w:sz="4" w:space="0" w:color="auto"/>
            </w:tcBorders>
            <w:shd w:val="clear" w:color="auto" w:fill="auto"/>
            <w:vAlign w:val="center"/>
          </w:tcPr>
          <w:p w:rsidR="00F66FF6" w:rsidRPr="00DF25F0" w:rsidRDefault="000002C3" w:rsidP="00103D35">
            <w:pPr>
              <w:spacing w:line="240" w:lineRule="auto"/>
              <w:jc w:val="left"/>
              <w:rPr>
                <w:sz w:val="18"/>
                <w:lang w:val="en-AU" w:eastAsia="en-US"/>
              </w:rPr>
            </w:pPr>
            <w:r w:rsidRPr="00DF25F0">
              <w:rPr>
                <w:sz w:val="18"/>
                <w:lang w:val="en-AU" w:eastAsia="en-US"/>
              </w:rPr>
              <w:t xml:space="preserve">(a) to (e) </w:t>
            </w:r>
            <w:r>
              <w:rPr>
                <w:sz w:val="18"/>
                <w:lang w:val="en-AU" w:eastAsia="en-US"/>
              </w:rPr>
              <w:t xml:space="preserve">are </w:t>
            </w:r>
            <w:r w:rsidRPr="00DF25F0">
              <w:rPr>
                <w:sz w:val="18"/>
                <w:lang w:val="en-AU" w:eastAsia="en-US"/>
              </w:rPr>
              <w:t>all met.</w:t>
            </w:r>
          </w:p>
        </w:tc>
        <w:tc>
          <w:tcPr>
            <w:tcW w:w="2268" w:type="dxa"/>
            <w:tcBorders>
              <w:top w:val="threeDEmboss" w:sz="24" w:space="0" w:color="auto"/>
              <w:left w:val="dotted" w:sz="4" w:space="0" w:color="auto"/>
              <w:bottom w:val="dotted" w:sz="4" w:space="0" w:color="auto"/>
              <w:right w:val="dotted" w:sz="4" w:space="0" w:color="auto"/>
            </w:tcBorders>
            <w:shd w:val="clear" w:color="auto" w:fill="auto"/>
            <w:vAlign w:val="center"/>
          </w:tcPr>
          <w:p w:rsidR="00F66FF6" w:rsidRPr="00DF25F0" w:rsidRDefault="009B5E94" w:rsidP="00103D35">
            <w:pPr>
              <w:spacing w:line="240" w:lineRule="auto"/>
              <w:jc w:val="left"/>
              <w:rPr>
                <w:sz w:val="18"/>
                <w:lang w:val="en-AU" w:eastAsia="en-US"/>
              </w:rPr>
            </w:pPr>
            <w:r w:rsidRPr="00DF25F0">
              <w:rPr>
                <w:sz w:val="18"/>
                <w:lang w:val="en-AU" w:eastAsia="en-US"/>
              </w:rPr>
              <w:t>Has neutral effect</w:t>
            </w:r>
            <w:r w:rsidR="0019619F">
              <w:rPr>
                <w:sz w:val="18"/>
                <w:lang w:val="en-AU" w:eastAsia="en-US"/>
              </w:rPr>
              <w:t>.</w:t>
            </w:r>
          </w:p>
          <w:p w:rsidR="009B5E94" w:rsidRPr="00DF25F0" w:rsidRDefault="009B5E94" w:rsidP="00103D35">
            <w:pPr>
              <w:spacing w:line="240" w:lineRule="auto"/>
              <w:jc w:val="left"/>
              <w:rPr>
                <w:sz w:val="18"/>
                <w:lang w:val="en-AU" w:eastAsia="en-US"/>
              </w:rPr>
            </w:pPr>
            <w:r w:rsidRPr="00DF25F0">
              <w:rPr>
                <w:sz w:val="18"/>
                <w:lang w:val="en-AU" w:eastAsia="en-US"/>
              </w:rPr>
              <w:t>Consistent with policy for carrying forward tax losses</w:t>
            </w:r>
            <w:r w:rsidR="0019619F">
              <w:rPr>
                <w:sz w:val="18"/>
                <w:lang w:val="en-AU" w:eastAsia="en-US"/>
              </w:rPr>
              <w:t>.</w:t>
            </w:r>
          </w:p>
        </w:tc>
        <w:tc>
          <w:tcPr>
            <w:tcW w:w="851" w:type="dxa"/>
            <w:tcBorders>
              <w:top w:val="threeDEmboss" w:sz="24" w:space="0" w:color="auto"/>
              <w:left w:val="dotted" w:sz="4" w:space="0" w:color="auto"/>
              <w:bottom w:val="dotted" w:sz="4" w:space="0" w:color="auto"/>
              <w:right w:val="dotted" w:sz="4" w:space="0" w:color="auto"/>
            </w:tcBorders>
            <w:shd w:val="clear" w:color="auto" w:fill="auto"/>
            <w:vAlign w:val="center"/>
          </w:tcPr>
          <w:p w:rsidR="00F66FF6" w:rsidRPr="00DF25F0" w:rsidRDefault="00F66FF6" w:rsidP="00103D35">
            <w:pPr>
              <w:spacing w:line="240" w:lineRule="auto"/>
              <w:jc w:val="left"/>
              <w:rPr>
                <w:sz w:val="18"/>
                <w:lang w:val="en-AU" w:eastAsia="en-US"/>
              </w:rPr>
            </w:pPr>
            <w:r w:rsidRPr="00DF25F0">
              <w:rPr>
                <w:sz w:val="18"/>
                <w:lang w:val="en-AU" w:eastAsia="en-US"/>
              </w:rPr>
              <w:t>Nil</w:t>
            </w:r>
          </w:p>
        </w:tc>
        <w:tc>
          <w:tcPr>
            <w:tcW w:w="2593" w:type="dxa"/>
            <w:gridSpan w:val="2"/>
            <w:tcBorders>
              <w:top w:val="threeDEmboss" w:sz="24" w:space="0" w:color="auto"/>
              <w:left w:val="dotted" w:sz="4" w:space="0" w:color="auto"/>
              <w:bottom w:val="dotted" w:sz="4" w:space="0" w:color="auto"/>
              <w:right w:val="dotted" w:sz="4" w:space="0" w:color="auto"/>
            </w:tcBorders>
            <w:shd w:val="clear" w:color="auto" w:fill="auto"/>
            <w:vAlign w:val="center"/>
          </w:tcPr>
          <w:p w:rsidR="00F66FF6" w:rsidRPr="00DF25F0" w:rsidRDefault="00DF25F0" w:rsidP="00103D35">
            <w:pPr>
              <w:spacing w:line="240" w:lineRule="auto"/>
              <w:jc w:val="left"/>
              <w:rPr>
                <w:sz w:val="18"/>
                <w:lang w:val="en-AU" w:eastAsia="en-US"/>
              </w:rPr>
            </w:pPr>
            <w:r w:rsidRPr="00DF25F0">
              <w:rPr>
                <w:sz w:val="18"/>
                <w:lang w:val="en-AU" w:eastAsia="en-US"/>
              </w:rPr>
              <w:t>No change in compliance costs would be expected</w:t>
            </w:r>
            <w:r w:rsidR="0090185E">
              <w:rPr>
                <w:sz w:val="18"/>
                <w:lang w:val="en-AU" w:eastAsia="en-US"/>
              </w:rPr>
              <w:t xml:space="preserve"> as the outcome is largely consistent with current outcomes in practice</w:t>
            </w:r>
            <w:r w:rsidRPr="00DF25F0">
              <w:rPr>
                <w:sz w:val="18"/>
                <w:lang w:val="en-AU" w:eastAsia="en-US"/>
              </w:rPr>
              <w:t>.</w:t>
            </w:r>
          </w:p>
        </w:tc>
        <w:tc>
          <w:tcPr>
            <w:tcW w:w="2226" w:type="dxa"/>
            <w:tcBorders>
              <w:top w:val="threeDEmboss" w:sz="24" w:space="0" w:color="auto"/>
              <w:left w:val="dotted" w:sz="4" w:space="0" w:color="auto"/>
              <w:bottom w:val="dotted" w:sz="4" w:space="0" w:color="auto"/>
              <w:right w:val="dotted" w:sz="4" w:space="0" w:color="auto"/>
            </w:tcBorders>
            <w:shd w:val="clear" w:color="auto" w:fill="auto"/>
            <w:vAlign w:val="center"/>
          </w:tcPr>
          <w:p w:rsidR="00F66FF6" w:rsidRPr="00DF25F0" w:rsidRDefault="009B5E94" w:rsidP="00103D35">
            <w:pPr>
              <w:spacing w:line="240" w:lineRule="auto"/>
              <w:jc w:val="left"/>
              <w:rPr>
                <w:sz w:val="18"/>
                <w:lang w:val="en-AU" w:eastAsia="en-US"/>
              </w:rPr>
            </w:pPr>
            <w:r w:rsidRPr="00DF25F0">
              <w:rPr>
                <w:sz w:val="18"/>
                <w:lang w:val="en-AU" w:eastAsia="en-US"/>
              </w:rPr>
              <w:t xml:space="preserve">A potential minor decrease in administration costs, as the </w:t>
            </w:r>
            <w:r w:rsidR="0090185E">
              <w:rPr>
                <w:sz w:val="18"/>
                <w:lang w:val="en-AU" w:eastAsia="en-US"/>
              </w:rPr>
              <w:t>value</w:t>
            </w:r>
            <w:r w:rsidR="0090185E" w:rsidRPr="00DF25F0">
              <w:rPr>
                <w:sz w:val="18"/>
                <w:lang w:val="en-AU" w:eastAsia="en-US"/>
              </w:rPr>
              <w:t xml:space="preserve"> </w:t>
            </w:r>
            <w:r w:rsidRPr="00DF25F0">
              <w:rPr>
                <w:sz w:val="18"/>
                <w:lang w:val="en-AU" w:eastAsia="en-US"/>
              </w:rPr>
              <w:t xml:space="preserve">of carried forward tax losses on discharge from bankruptcy would no longer </w:t>
            </w:r>
            <w:r w:rsidR="00A309DF" w:rsidRPr="00DF25F0">
              <w:rPr>
                <w:sz w:val="18"/>
                <w:lang w:val="en-AU" w:eastAsia="en-US"/>
              </w:rPr>
              <w:t>be a disputable matter</w:t>
            </w:r>
            <w:r w:rsidRPr="00DF25F0">
              <w:rPr>
                <w:sz w:val="18"/>
                <w:lang w:val="en-AU" w:eastAsia="en-US"/>
              </w:rPr>
              <w:t>.</w:t>
            </w:r>
          </w:p>
        </w:tc>
        <w:tc>
          <w:tcPr>
            <w:tcW w:w="1843" w:type="dxa"/>
            <w:tcBorders>
              <w:top w:val="threeDEmboss" w:sz="24" w:space="0" w:color="auto"/>
              <w:left w:val="dotted" w:sz="4" w:space="0" w:color="auto"/>
              <w:bottom w:val="dotted" w:sz="4" w:space="0" w:color="auto"/>
              <w:right w:val="dotted" w:sz="4" w:space="0" w:color="auto"/>
            </w:tcBorders>
            <w:shd w:val="clear" w:color="auto" w:fill="auto"/>
            <w:vAlign w:val="center"/>
          </w:tcPr>
          <w:p w:rsidR="00F66FF6" w:rsidRPr="00DF25F0" w:rsidRDefault="009B5E94" w:rsidP="00103D35">
            <w:pPr>
              <w:spacing w:line="240" w:lineRule="auto"/>
              <w:jc w:val="left"/>
              <w:rPr>
                <w:sz w:val="18"/>
                <w:lang w:val="en-AU" w:eastAsia="en-US"/>
              </w:rPr>
            </w:pPr>
            <w:r w:rsidRPr="00DF25F0">
              <w:rPr>
                <w:sz w:val="18"/>
                <w:lang w:val="en-AU" w:eastAsia="en-US"/>
              </w:rPr>
              <w:t>No risks identified.</w:t>
            </w:r>
          </w:p>
        </w:tc>
        <w:tc>
          <w:tcPr>
            <w:tcW w:w="2835" w:type="dxa"/>
            <w:tcBorders>
              <w:top w:val="threeDEmboss" w:sz="24" w:space="0" w:color="auto"/>
              <w:left w:val="dotted" w:sz="4" w:space="0" w:color="auto"/>
              <w:bottom w:val="dotted" w:sz="4" w:space="0" w:color="auto"/>
              <w:right w:val="threeDEmboss" w:sz="24" w:space="0" w:color="auto"/>
            </w:tcBorders>
            <w:shd w:val="clear" w:color="auto" w:fill="auto"/>
            <w:vAlign w:val="center"/>
          </w:tcPr>
          <w:p w:rsidR="00F66FF6" w:rsidRPr="00DF25F0" w:rsidRDefault="00F66FF6" w:rsidP="00103D35">
            <w:pPr>
              <w:spacing w:line="240" w:lineRule="auto"/>
              <w:jc w:val="left"/>
              <w:rPr>
                <w:sz w:val="18"/>
                <w:lang w:val="en-AU" w:eastAsia="en-US"/>
              </w:rPr>
            </w:pPr>
            <w:r w:rsidRPr="00DF25F0">
              <w:rPr>
                <w:sz w:val="18"/>
                <w:lang w:val="en-AU" w:eastAsia="en-US"/>
              </w:rPr>
              <w:t>Addresses the problem.</w:t>
            </w:r>
          </w:p>
          <w:p w:rsidR="00A309DF" w:rsidRPr="00DF25F0" w:rsidRDefault="00F66FF6" w:rsidP="00103D35">
            <w:pPr>
              <w:spacing w:line="240" w:lineRule="auto"/>
              <w:jc w:val="left"/>
              <w:rPr>
                <w:sz w:val="18"/>
                <w:lang w:val="en-AU" w:eastAsia="en-US"/>
              </w:rPr>
            </w:pPr>
            <w:r w:rsidRPr="00DF25F0">
              <w:rPr>
                <w:sz w:val="18"/>
                <w:lang w:val="en-AU" w:eastAsia="en-US"/>
              </w:rPr>
              <w:t>Co</w:t>
            </w:r>
            <w:r w:rsidR="00A309DF" w:rsidRPr="00DF25F0">
              <w:rPr>
                <w:sz w:val="18"/>
                <w:lang w:val="en-AU" w:eastAsia="en-US"/>
              </w:rPr>
              <w:t>nsistent with policy objectives.</w:t>
            </w:r>
          </w:p>
          <w:p w:rsidR="00F66FF6" w:rsidRPr="00DF25F0" w:rsidRDefault="00F66FF6" w:rsidP="00103D35">
            <w:pPr>
              <w:spacing w:line="240" w:lineRule="auto"/>
              <w:jc w:val="left"/>
              <w:rPr>
                <w:sz w:val="18"/>
                <w:lang w:val="en-AU" w:eastAsia="en-US"/>
              </w:rPr>
            </w:pPr>
            <w:r w:rsidRPr="00DF25F0">
              <w:rPr>
                <w:sz w:val="18"/>
                <w:lang w:val="en-AU" w:eastAsia="en-US"/>
              </w:rPr>
              <w:t>Recommended method.</w:t>
            </w:r>
          </w:p>
        </w:tc>
      </w:tr>
      <w:tr w:rsidR="00F66FF6" w:rsidRPr="00DF25F0" w:rsidTr="000002C3">
        <w:trPr>
          <w:cantSplit/>
        </w:trPr>
        <w:tc>
          <w:tcPr>
            <w:tcW w:w="1560" w:type="dxa"/>
            <w:tcBorders>
              <w:top w:val="threeDEngrave" w:sz="24" w:space="0" w:color="auto"/>
              <w:left w:val="threeDEngrave" w:sz="24" w:space="0" w:color="auto"/>
              <w:bottom w:val="threeDEngrave" w:sz="24" w:space="0" w:color="auto"/>
              <w:right w:val="dotted" w:sz="4" w:space="0" w:color="auto"/>
            </w:tcBorders>
            <w:vAlign w:val="center"/>
          </w:tcPr>
          <w:p w:rsidR="00F66FF6" w:rsidRPr="00DF25F0" w:rsidRDefault="00F66FF6" w:rsidP="00103D35">
            <w:pPr>
              <w:spacing w:line="240" w:lineRule="auto"/>
              <w:jc w:val="left"/>
              <w:rPr>
                <w:sz w:val="18"/>
                <w:lang w:val="en-AU" w:eastAsia="en-US"/>
              </w:rPr>
            </w:pPr>
            <w:r w:rsidRPr="00DF25F0">
              <w:rPr>
                <w:sz w:val="18"/>
                <w:lang w:val="en-AU" w:eastAsia="en-US"/>
              </w:rPr>
              <w:t>Option 3: Cancel carried</w:t>
            </w:r>
            <w:r w:rsidR="00C745FC">
              <w:rPr>
                <w:sz w:val="18"/>
                <w:lang w:val="en-AU" w:eastAsia="en-US"/>
              </w:rPr>
              <w:t>-</w:t>
            </w:r>
            <w:r w:rsidRPr="00DF25F0">
              <w:rPr>
                <w:sz w:val="18"/>
                <w:lang w:val="en-AU" w:eastAsia="en-US"/>
              </w:rPr>
              <w:t>forward tax losses to</w:t>
            </w:r>
            <w:r w:rsidR="0019619F">
              <w:rPr>
                <w:sz w:val="18"/>
                <w:lang w:val="en-AU" w:eastAsia="en-US"/>
              </w:rPr>
              <w:t xml:space="preserve"> the</w:t>
            </w:r>
            <w:r w:rsidRPr="00DF25F0">
              <w:rPr>
                <w:sz w:val="18"/>
                <w:lang w:val="en-AU" w:eastAsia="en-US"/>
              </w:rPr>
              <w:t xml:space="preserve"> extent business debts cancelled under insolvency law</w:t>
            </w:r>
            <w:r w:rsidR="0019619F">
              <w:rPr>
                <w:sz w:val="18"/>
                <w:lang w:val="en-AU" w:eastAsia="en-US"/>
              </w:rPr>
              <w:t>.</w:t>
            </w:r>
          </w:p>
          <w:p w:rsidR="00F66FF6" w:rsidRPr="00DF25F0" w:rsidRDefault="00F66FF6" w:rsidP="00103D35">
            <w:pPr>
              <w:spacing w:line="240" w:lineRule="auto"/>
              <w:jc w:val="left"/>
              <w:rPr>
                <w:sz w:val="18"/>
                <w:lang w:val="en-AU" w:eastAsia="en-US"/>
              </w:rPr>
            </w:pPr>
          </w:p>
        </w:tc>
        <w:tc>
          <w:tcPr>
            <w:tcW w:w="1417" w:type="dxa"/>
            <w:tcBorders>
              <w:top w:val="threeDEngrave" w:sz="24" w:space="0" w:color="auto"/>
              <w:left w:val="dotted" w:sz="4" w:space="0" w:color="auto"/>
              <w:bottom w:val="threeDEngrave" w:sz="24" w:space="0" w:color="auto"/>
              <w:right w:val="dotted" w:sz="4" w:space="0" w:color="auto"/>
            </w:tcBorders>
            <w:vAlign w:val="center"/>
          </w:tcPr>
          <w:p w:rsidR="00F66FF6" w:rsidRPr="00DF25F0" w:rsidRDefault="009B5E94" w:rsidP="00103D35">
            <w:pPr>
              <w:spacing w:line="240" w:lineRule="auto"/>
              <w:jc w:val="left"/>
              <w:rPr>
                <w:sz w:val="18"/>
                <w:lang w:val="en-AU" w:eastAsia="en-US"/>
              </w:rPr>
            </w:pPr>
            <w:r w:rsidRPr="00DF25F0">
              <w:rPr>
                <w:sz w:val="18"/>
                <w:lang w:val="en-AU" w:eastAsia="en-US"/>
              </w:rPr>
              <w:t>(a) to (e) are not met.</w:t>
            </w:r>
          </w:p>
        </w:tc>
        <w:tc>
          <w:tcPr>
            <w:tcW w:w="2268" w:type="dxa"/>
            <w:tcBorders>
              <w:top w:val="threeDEngrave" w:sz="24" w:space="0" w:color="auto"/>
              <w:left w:val="dotted" w:sz="4" w:space="0" w:color="auto"/>
              <w:bottom w:val="threeDEngrave" w:sz="24" w:space="0" w:color="auto"/>
              <w:right w:val="dotted" w:sz="4" w:space="0" w:color="auto"/>
            </w:tcBorders>
            <w:vAlign w:val="center"/>
          </w:tcPr>
          <w:p w:rsidR="009B5E94" w:rsidRPr="00DF25F0" w:rsidRDefault="009B5E94" w:rsidP="00103D35">
            <w:pPr>
              <w:spacing w:line="240" w:lineRule="auto"/>
              <w:jc w:val="left"/>
              <w:rPr>
                <w:sz w:val="18"/>
                <w:lang w:val="en-AU" w:eastAsia="en-US"/>
              </w:rPr>
            </w:pPr>
            <w:r w:rsidRPr="00DF25F0">
              <w:rPr>
                <w:sz w:val="18"/>
                <w:lang w:val="en-AU" w:eastAsia="en-US"/>
              </w:rPr>
              <w:t>Gives preference to sole trader business structure over company business structure.</w:t>
            </w:r>
          </w:p>
          <w:p w:rsidR="009B5E94" w:rsidRPr="00DF25F0" w:rsidRDefault="009B5E94" w:rsidP="00103D35">
            <w:pPr>
              <w:spacing w:line="240" w:lineRule="auto"/>
              <w:jc w:val="left"/>
              <w:rPr>
                <w:sz w:val="18"/>
                <w:lang w:val="en-AU" w:eastAsia="en-US"/>
              </w:rPr>
            </w:pPr>
            <w:r w:rsidRPr="00DF25F0">
              <w:rPr>
                <w:sz w:val="18"/>
                <w:lang w:val="en-AU" w:eastAsia="en-US"/>
              </w:rPr>
              <w:t xml:space="preserve">Gives preference to </w:t>
            </w:r>
            <w:r w:rsidR="000F1A56">
              <w:rPr>
                <w:sz w:val="18"/>
                <w:lang w:val="en-AU" w:eastAsia="en-US"/>
              </w:rPr>
              <w:t xml:space="preserve">fund </w:t>
            </w:r>
            <w:r w:rsidR="000F1A56" w:rsidRPr="00DF25F0">
              <w:rPr>
                <w:sz w:val="18"/>
                <w:lang w:val="en-AU" w:eastAsia="en-US"/>
              </w:rPr>
              <w:t>business from personal savings and debt not subject to remission income rules</w:t>
            </w:r>
            <w:r w:rsidRPr="00DF25F0">
              <w:rPr>
                <w:sz w:val="18"/>
                <w:lang w:val="en-AU" w:eastAsia="en-US"/>
              </w:rPr>
              <w:t>.</w:t>
            </w:r>
          </w:p>
          <w:p w:rsidR="00F66FF6" w:rsidRDefault="00A92BBE" w:rsidP="00103D35">
            <w:pPr>
              <w:spacing w:line="240" w:lineRule="auto"/>
              <w:jc w:val="left"/>
              <w:rPr>
                <w:sz w:val="18"/>
                <w:lang w:val="en-AU" w:eastAsia="en-US"/>
              </w:rPr>
            </w:pPr>
            <w:r>
              <w:rPr>
                <w:sz w:val="18"/>
                <w:lang w:val="en-AU" w:eastAsia="en-US"/>
              </w:rPr>
              <w:t>I</w:t>
            </w:r>
            <w:r w:rsidR="009B5E94" w:rsidRPr="00DF25F0">
              <w:rPr>
                <w:sz w:val="18"/>
                <w:lang w:val="en-AU" w:eastAsia="en-US"/>
              </w:rPr>
              <w:t>nconsistent with policy for carrying forward tax losses</w:t>
            </w:r>
            <w:r w:rsidR="00C745FC">
              <w:rPr>
                <w:sz w:val="18"/>
                <w:lang w:val="en-AU" w:eastAsia="en-US"/>
              </w:rPr>
              <w:t>.</w:t>
            </w:r>
          </w:p>
          <w:p w:rsidR="00C6387F" w:rsidRPr="00DF25F0" w:rsidRDefault="00C6387F" w:rsidP="00103D35">
            <w:pPr>
              <w:spacing w:line="240" w:lineRule="auto"/>
              <w:jc w:val="left"/>
              <w:rPr>
                <w:sz w:val="18"/>
                <w:lang w:val="en-AU" w:eastAsia="en-US"/>
              </w:rPr>
            </w:pPr>
          </w:p>
        </w:tc>
        <w:tc>
          <w:tcPr>
            <w:tcW w:w="851" w:type="dxa"/>
            <w:tcBorders>
              <w:top w:val="threeDEngrave" w:sz="24" w:space="0" w:color="auto"/>
              <w:left w:val="dotted" w:sz="4" w:space="0" w:color="auto"/>
              <w:bottom w:val="threeDEngrave" w:sz="24" w:space="0" w:color="auto"/>
              <w:right w:val="dotted" w:sz="4" w:space="0" w:color="auto"/>
            </w:tcBorders>
            <w:vAlign w:val="center"/>
          </w:tcPr>
          <w:p w:rsidR="00F66FF6" w:rsidRPr="00DF25F0" w:rsidRDefault="00F66FF6" w:rsidP="00103D35">
            <w:pPr>
              <w:spacing w:line="240" w:lineRule="auto"/>
              <w:jc w:val="left"/>
              <w:rPr>
                <w:sz w:val="18"/>
                <w:lang w:val="en-AU" w:eastAsia="en-US"/>
              </w:rPr>
            </w:pPr>
            <w:r w:rsidRPr="00DF25F0">
              <w:rPr>
                <w:sz w:val="18"/>
                <w:lang w:val="en-AU" w:eastAsia="en-US"/>
              </w:rPr>
              <w:t>Nil.</w:t>
            </w:r>
          </w:p>
        </w:tc>
        <w:tc>
          <w:tcPr>
            <w:tcW w:w="2593" w:type="dxa"/>
            <w:gridSpan w:val="2"/>
            <w:tcBorders>
              <w:top w:val="threeDEngrave" w:sz="24" w:space="0" w:color="auto"/>
              <w:left w:val="dotted" w:sz="4" w:space="0" w:color="auto"/>
              <w:bottom w:val="threeDEngrave" w:sz="24" w:space="0" w:color="auto"/>
              <w:right w:val="dotted" w:sz="4" w:space="0" w:color="auto"/>
            </w:tcBorders>
            <w:vAlign w:val="center"/>
          </w:tcPr>
          <w:p w:rsidR="00F66FF6" w:rsidRPr="00DF25F0" w:rsidRDefault="00A309DF" w:rsidP="00103D35">
            <w:pPr>
              <w:spacing w:line="240" w:lineRule="auto"/>
              <w:jc w:val="left"/>
              <w:rPr>
                <w:sz w:val="18"/>
                <w:lang w:val="en-AU" w:eastAsia="en-US"/>
              </w:rPr>
            </w:pPr>
            <w:r w:rsidRPr="00DF25F0">
              <w:rPr>
                <w:sz w:val="18"/>
                <w:lang w:val="en-AU" w:eastAsia="en-US"/>
              </w:rPr>
              <w:t>A</w:t>
            </w:r>
            <w:r w:rsidR="00A92BBE">
              <w:rPr>
                <w:sz w:val="18"/>
                <w:lang w:val="en-AU" w:eastAsia="en-US"/>
              </w:rPr>
              <w:t xml:space="preserve"> </w:t>
            </w:r>
            <w:r w:rsidR="0090185E">
              <w:rPr>
                <w:sz w:val="18"/>
                <w:lang w:val="en-AU" w:eastAsia="en-US"/>
              </w:rPr>
              <w:t>net (small)</w:t>
            </w:r>
            <w:r w:rsidR="0090185E" w:rsidRPr="00DF25F0">
              <w:rPr>
                <w:sz w:val="18"/>
                <w:lang w:val="en-AU" w:eastAsia="en-US"/>
              </w:rPr>
              <w:t xml:space="preserve"> </w:t>
            </w:r>
            <w:r w:rsidRPr="00DF25F0">
              <w:rPr>
                <w:sz w:val="18"/>
                <w:lang w:val="en-AU" w:eastAsia="en-US"/>
              </w:rPr>
              <w:t xml:space="preserve">increase in compliance costs would be expected, </w:t>
            </w:r>
            <w:r w:rsidR="00A92BBE">
              <w:rPr>
                <w:sz w:val="18"/>
                <w:lang w:val="en-AU" w:eastAsia="en-US"/>
              </w:rPr>
              <w:t xml:space="preserve">  The scale of this net increase is not able to be determined due to data limitations.</w:t>
            </w:r>
          </w:p>
        </w:tc>
        <w:tc>
          <w:tcPr>
            <w:tcW w:w="2226" w:type="dxa"/>
            <w:tcBorders>
              <w:top w:val="threeDEngrave" w:sz="24" w:space="0" w:color="auto"/>
              <w:left w:val="dotted" w:sz="4" w:space="0" w:color="auto"/>
              <w:bottom w:val="threeDEngrave" w:sz="24" w:space="0" w:color="auto"/>
              <w:right w:val="dotted" w:sz="4" w:space="0" w:color="auto"/>
            </w:tcBorders>
            <w:vAlign w:val="center"/>
          </w:tcPr>
          <w:p w:rsidR="00F66FF6" w:rsidRPr="00DF25F0" w:rsidRDefault="009B5E94" w:rsidP="00103D35">
            <w:pPr>
              <w:spacing w:line="240" w:lineRule="auto"/>
              <w:jc w:val="left"/>
              <w:rPr>
                <w:sz w:val="18"/>
                <w:lang w:val="en-AU" w:eastAsia="en-US"/>
              </w:rPr>
            </w:pPr>
            <w:r w:rsidRPr="00DF25F0">
              <w:rPr>
                <w:sz w:val="18"/>
                <w:lang w:val="en-AU" w:eastAsia="en-US"/>
              </w:rPr>
              <w:t xml:space="preserve">There is </w:t>
            </w:r>
            <w:r w:rsidR="00A92BBE">
              <w:rPr>
                <w:sz w:val="18"/>
                <w:lang w:val="en-AU" w:eastAsia="en-US"/>
              </w:rPr>
              <w:t>a</w:t>
            </w:r>
            <w:r w:rsidRPr="00DF25F0">
              <w:rPr>
                <w:sz w:val="18"/>
                <w:lang w:val="en-AU" w:eastAsia="en-US"/>
              </w:rPr>
              <w:t xml:space="preserve"> risk of increased administration costs </w:t>
            </w:r>
            <w:r w:rsidR="0090185E">
              <w:rPr>
                <w:sz w:val="18"/>
                <w:lang w:val="en-AU" w:eastAsia="en-US"/>
              </w:rPr>
              <w:t>relating to</w:t>
            </w:r>
            <w:r w:rsidR="0090185E" w:rsidRPr="00DF25F0">
              <w:rPr>
                <w:sz w:val="18"/>
                <w:lang w:val="en-AU" w:eastAsia="en-US"/>
              </w:rPr>
              <w:t xml:space="preserve"> </w:t>
            </w:r>
            <w:r w:rsidR="0090185E">
              <w:rPr>
                <w:sz w:val="18"/>
                <w:lang w:val="en-AU" w:eastAsia="en-US"/>
              </w:rPr>
              <w:t>determining the value of carried-</w:t>
            </w:r>
            <w:r w:rsidRPr="00DF25F0">
              <w:rPr>
                <w:sz w:val="18"/>
                <w:lang w:val="en-AU" w:eastAsia="en-US"/>
              </w:rPr>
              <w:t>forward tax losses</w:t>
            </w:r>
            <w:r w:rsidR="0090185E">
              <w:rPr>
                <w:sz w:val="18"/>
                <w:lang w:val="en-AU" w:eastAsia="en-US"/>
              </w:rPr>
              <w:t>.</w:t>
            </w:r>
          </w:p>
        </w:tc>
        <w:tc>
          <w:tcPr>
            <w:tcW w:w="1843" w:type="dxa"/>
            <w:tcBorders>
              <w:top w:val="threeDEngrave" w:sz="24" w:space="0" w:color="auto"/>
              <w:left w:val="dotted" w:sz="4" w:space="0" w:color="auto"/>
              <w:bottom w:val="threeDEngrave" w:sz="24" w:space="0" w:color="auto"/>
              <w:right w:val="dotted" w:sz="4" w:space="0" w:color="auto"/>
            </w:tcBorders>
            <w:vAlign w:val="center"/>
          </w:tcPr>
          <w:p w:rsidR="00A309DF" w:rsidRPr="00DF25F0" w:rsidRDefault="00A309DF" w:rsidP="00103D35">
            <w:pPr>
              <w:spacing w:line="240" w:lineRule="auto"/>
              <w:jc w:val="left"/>
              <w:rPr>
                <w:sz w:val="18"/>
                <w:lang w:val="en-AU" w:eastAsia="en-US"/>
              </w:rPr>
            </w:pPr>
            <w:r w:rsidRPr="00DF25F0">
              <w:rPr>
                <w:sz w:val="18"/>
                <w:lang w:val="en-AU" w:eastAsia="en-US"/>
              </w:rPr>
              <w:t>Inconsistencies between law and policy remain.</w:t>
            </w:r>
          </w:p>
          <w:p w:rsidR="00A309DF" w:rsidRPr="00DF25F0" w:rsidRDefault="00A309DF" w:rsidP="00103D35">
            <w:pPr>
              <w:spacing w:line="240" w:lineRule="auto"/>
              <w:jc w:val="left"/>
              <w:rPr>
                <w:sz w:val="18"/>
                <w:lang w:val="en-AU" w:eastAsia="en-US"/>
              </w:rPr>
            </w:pPr>
            <w:r w:rsidRPr="00DF25F0">
              <w:rPr>
                <w:sz w:val="18"/>
                <w:lang w:val="en-AU" w:eastAsia="en-US"/>
              </w:rPr>
              <w:t>Risk of dispute between administrators and taxpayer on whether carried-forward tax losses exist.</w:t>
            </w:r>
          </w:p>
          <w:p w:rsidR="00F66FF6" w:rsidRPr="00DF25F0" w:rsidRDefault="00F66FF6" w:rsidP="00103D35">
            <w:pPr>
              <w:spacing w:line="240" w:lineRule="auto"/>
              <w:jc w:val="left"/>
              <w:rPr>
                <w:sz w:val="18"/>
                <w:lang w:val="en-AU" w:eastAsia="en-US"/>
              </w:rPr>
            </w:pPr>
          </w:p>
        </w:tc>
        <w:tc>
          <w:tcPr>
            <w:tcW w:w="2835" w:type="dxa"/>
            <w:tcBorders>
              <w:top w:val="threeDEngrave" w:sz="24" w:space="0" w:color="auto"/>
              <w:left w:val="dotted" w:sz="4" w:space="0" w:color="auto"/>
              <w:bottom w:val="threeDEngrave" w:sz="24" w:space="0" w:color="auto"/>
              <w:right w:val="threeDEmboss" w:sz="24" w:space="0" w:color="auto"/>
            </w:tcBorders>
            <w:vAlign w:val="center"/>
          </w:tcPr>
          <w:p w:rsidR="00F66FF6" w:rsidRPr="00DF25F0" w:rsidRDefault="00A309DF" w:rsidP="00103D35">
            <w:pPr>
              <w:spacing w:line="240" w:lineRule="auto"/>
              <w:jc w:val="left"/>
              <w:rPr>
                <w:sz w:val="18"/>
                <w:lang w:val="en-AU" w:eastAsia="en-US"/>
              </w:rPr>
            </w:pPr>
            <w:r w:rsidRPr="00DF25F0">
              <w:rPr>
                <w:sz w:val="18"/>
                <w:lang w:val="en-AU" w:eastAsia="en-US"/>
              </w:rPr>
              <w:t>Does not address the problem.</w:t>
            </w:r>
          </w:p>
          <w:p w:rsidR="00F66FF6" w:rsidRPr="00DF25F0" w:rsidRDefault="00F66FF6" w:rsidP="00103D35">
            <w:pPr>
              <w:spacing w:line="240" w:lineRule="auto"/>
              <w:jc w:val="left"/>
              <w:rPr>
                <w:sz w:val="18"/>
                <w:lang w:val="en-AU" w:eastAsia="en-US"/>
              </w:rPr>
            </w:pPr>
            <w:r w:rsidRPr="00DF25F0">
              <w:rPr>
                <w:sz w:val="18"/>
                <w:lang w:val="en-AU" w:eastAsia="en-US"/>
              </w:rPr>
              <w:t>Not recommended.</w:t>
            </w:r>
          </w:p>
        </w:tc>
      </w:tr>
    </w:tbl>
    <w:p w:rsidR="00F66FF6" w:rsidRDefault="00F66FF6" w:rsidP="00103D35">
      <w:pPr>
        <w:pStyle w:val="RISnumbering"/>
        <w:numPr>
          <w:ilvl w:val="0"/>
          <w:numId w:val="0"/>
        </w:numPr>
        <w:rPr>
          <w:lang w:val="en-AU"/>
        </w:rPr>
        <w:sectPr w:rsidR="00F66FF6" w:rsidSect="00103D35">
          <w:pgSz w:w="16840" w:h="11907" w:orient="landscape" w:code="9"/>
          <w:pgMar w:top="1418" w:right="1134" w:bottom="1418" w:left="1134" w:header="567" w:footer="567" w:gutter="0"/>
          <w:cols w:space="720"/>
          <w:docGrid w:linePitch="360"/>
        </w:sectPr>
      </w:pPr>
    </w:p>
    <w:p w:rsidR="00F66FF6" w:rsidRDefault="00F66FF6" w:rsidP="00103D35">
      <w:pPr>
        <w:pStyle w:val="RISnumbering"/>
        <w:numPr>
          <w:ilvl w:val="0"/>
          <w:numId w:val="0"/>
        </w:numPr>
        <w:rPr>
          <w:lang w:val="en-AU"/>
        </w:rPr>
      </w:pPr>
    </w:p>
    <w:p w:rsidR="002A6059" w:rsidRPr="002A6059" w:rsidRDefault="00A309DF" w:rsidP="000D03D4">
      <w:pPr>
        <w:pStyle w:val="Heading3"/>
        <w:rPr>
          <w:lang w:val="en-AU"/>
        </w:rPr>
      </w:pPr>
      <w:r>
        <w:rPr>
          <w:lang w:val="en-AU"/>
        </w:rPr>
        <w:t>Economic impacts</w:t>
      </w:r>
    </w:p>
    <w:p w:rsidR="002A6059" w:rsidRPr="002A6059" w:rsidRDefault="00A309DF" w:rsidP="00103D35">
      <w:pPr>
        <w:pStyle w:val="RISnumbering"/>
        <w:rPr>
          <w:lang w:val="en-AU"/>
        </w:rPr>
      </w:pPr>
      <w:r>
        <w:rPr>
          <w:lang w:val="en-AU"/>
        </w:rPr>
        <w:t>Option 2 is the only option that is consistent with the policy objectives of ensuring that the tax system is neutral in relation to investment decisions.   This option is also the only option that is consistent with the long-standing policy that tax losses may only be carried forward if debts relating to deductions included in past tax losses have been fully satisfied.</w:t>
      </w:r>
    </w:p>
    <w:p w:rsidR="00A309DF" w:rsidRDefault="00A309DF" w:rsidP="000D03D4">
      <w:pPr>
        <w:pStyle w:val="Heading3"/>
        <w:rPr>
          <w:lang w:val="en-AU"/>
        </w:rPr>
      </w:pPr>
      <w:r>
        <w:rPr>
          <w:lang w:val="en-AU"/>
        </w:rPr>
        <w:t>Fiscal impacts</w:t>
      </w:r>
    </w:p>
    <w:p w:rsidR="00E53782" w:rsidRDefault="00A92BBE" w:rsidP="00103D35">
      <w:pPr>
        <w:pStyle w:val="RISnumbering"/>
        <w:rPr>
          <w:lang w:val="en-AU"/>
        </w:rPr>
      </w:pPr>
      <w:r>
        <w:rPr>
          <w:lang w:val="en-AU"/>
        </w:rPr>
        <w:t xml:space="preserve">Information provided by Inland Revenue’s administration of insolvent individuals indicates that </w:t>
      </w:r>
      <w:r w:rsidR="00E53782">
        <w:rPr>
          <w:lang w:val="en-AU"/>
        </w:rPr>
        <w:t>most</w:t>
      </w:r>
      <w:r w:rsidR="00E53782" w:rsidRPr="00E53782">
        <w:rPr>
          <w:lang w:val="en-AU"/>
        </w:rPr>
        <w:t xml:space="preserve"> taxpayers</w:t>
      </w:r>
      <w:r w:rsidR="00E53782">
        <w:rPr>
          <w:lang w:val="en-AU"/>
        </w:rPr>
        <w:t>:</w:t>
      </w:r>
    </w:p>
    <w:p w:rsidR="00E53782" w:rsidRDefault="00E53782" w:rsidP="00103D35">
      <w:pPr>
        <w:pStyle w:val="RISnumbering"/>
        <w:numPr>
          <w:ilvl w:val="0"/>
          <w:numId w:val="0"/>
        </w:numPr>
        <w:rPr>
          <w:lang w:val="en-AU"/>
        </w:rPr>
      </w:pPr>
    </w:p>
    <w:p w:rsidR="00E53782" w:rsidRDefault="00A309DF" w:rsidP="00103D35">
      <w:pPr>
        <w:pStyle w:val="RISbullet"/>
      </w:pPr>
      <w:r w:rsidRPr="00E53782">
        <w:t>do not have tax losses to carry-forward on discharge from bankr</w:t>
      </w:r>
      <w:r w:rsidR="00E53782" w:rsidRPr="00E53782">
        <w:t xml:space="preserve">uptcy; or </w:t>
      </w:r>
    </w:p>
    <w:p w:rsidR="00E53782" w:rsidRDefault="00E53782" w:rsidP="00DF25F0">
      <w:pPr>
        <w:pStyle w:val="RISparagraph"/>
        <w:numPr>
          <w:ilvl w:val="0"/>
          <w:numId w:val="0"/>
        </w:numPr>
        <w:ind w:left="567"/>
      </w:pPr>
    </w:p>
    <w:p w:rsidR="00E53782" w:rsidRDefault="00E53782" w:rsidP="00103D35">
      <w:pPr>
        <w:pStyle w:val="RISbullet"/>
      </w:pPr>
      <w:r w:rsidRPr="00E53782">
        <w:t>do not have sufficient business records to determine whether</w:t>
      </w:r>
      <w:r>
        <w:t xml:space="preserve"> carried-forward</w:t>
      </w:r>
      <w:r w:rsidRPr="00E53782">
        <w:t xml:space="preserve"> tax losses exist</w:t>
      </w:r>
      <w:r>
        <w:t xml:space="preserve"> on discharge from bankruptcy</w:t>
      </w:r>
      <w:r w:rsidRPr="00E53782">
        <w:t xml:space="preserve">; or </w:t>
      </w:r>
      <w:r w:rsidR="002A6059" w:rsidRPr="00E53782">
        <w:t xml:space="preserve"> </w:t>
      </w:r>
    </w:p>
    <w:p w:rsidR="00E53782" w:rsidRDefault="00E53782" w:rsidP="00DF25F0">
      <w:pPr>
        <w:pStyle w:val="RISparagraph"/>
        <w:numPr>
          <w:ilvl w:val="0"/>
          <w:numId w:val="0"/>
        </w:numPr>
        <w:ind w:left="567"/>
      </w:pPr>
    </w:p>
    <w:p w:rsidR="00E53782" w:rsidRDefault="00E53782" w:rsidP="00103D35">
      <w:pPr>
        <w:pStyle w:val="RISbullet"/>
      </w:pPr>
      <w:r>
        <w:t>are not willing to meet the cost of determining whether carried-forward tax losses exist on</w:t>
      </w:r>
      <w:r w:rsidR="002A6059" w:rsidRPr="00E53782">
        <w:t xml:space="preserve"> discharge from bankruptcy</w:t>
      </w:r>
      <w:r w:rsidR="00DF25F0">
        <w:t>.</w:t>
      </w:r>
    </w:p>
    <w:p w:rsidR="00DF25F0" w:rsidRDefault="00DF25F0" w:rsidP="00DF25F0">
      <w:pPr>
        <w:pStyle w:val="RISparagraph"/>
        <w:numPr>
          <w:ilvl w:val="0"/>
          <w:numId w:val="0"/>
        </w:numPr>
        <w:ind w:left="927"/>
      </w:pPr>
    </w:p>
    <w:p w:rsidR="00E53782" w:rsidRDefault="00E53782" w:rsidP="00103D35">
      <w:pPr>
        <w:pStyle w:val="RISnumbering"/>
        <w:rPr>
          <w:lang w:val="en-AU"/>
        </w:rPr>
      </w:pPr>
      <w:r>
        <w:rPr>
          <w:lang w:val="en-AU"/>
        </w:rPr>
        <w:t xml:space="preserve">Consequently, </w:t>
      </w:r>
      <w:r w:rsidR="003A4B79">
        <w:rPr>
          <w:lang w:val="en-AU"/>
        </w:rPr>
        <w:t>option</w:t>
      </w:r>
      <w:r>
        <w:rPr>
          <w:lang w:val="en-AU"/>
        </w:rPr>
        <w:t xml:space="preserve"> 2 </w:t>
      </w:r>
      <w:r w:rsidR="00DF25F0">
        <w:rPr>
          <w:lang w:val="en-AU"/>
        </w:rPr>
        <w:t>is not expected to result in a</w:t>
      </w:r>
      <w:r>
        <w:rPr>
          <w:lang w:val="en-AU"/>
        </w:rPr>
        <w:t xml:space="preserve"> fiscal impact.  If </w:t>
      </w:r>
      <w:r w:rsidR="003A4B79">
        <w:rPr>
          <w:lang w:val="en-AU"/>
        </w:rPr>
        <w:t>o</w:t>
      </w:r>
      <w:r>
        <w:rPr>
          <w:lang w:val="en-AU"/>
        </w:rPr>
        <w:t xml:space="preserve">ption 3 were selected, there is a potential that taxpayers may </w:t>
      </w:r>
      <w:r w:rsidR="003A4B79">
        <w:rPr>
          <w:lang w:val="en-AU"/>
        </w:rPr>
        <w:t xml:space="preserve">seek </w:t>
      </w:r>
      <w:r>
        <w:rPr>
          <w:lang w:val="en-AU"/>
        </w:rPr>
        <w:t>determine that carried forward tax losses exist.  Our view is that the amount of these tax losses would be immaterial.</w:t>
      </w:r>
    </w:p>
    <w:p w:rsidR="002A6059" w:rsidRPr="002A6059" w:rsidRDefault="00E53782" w:rsidP="000D03D4">
      <w:pPr>
        <w:pStyle w:val="Heading3"/>
        <w:rPr>
          <w:lang w:val="en-AU"/>
        </w:rPr>
      </w:pPr>
      <w:r>
        <w:rPr>
          <w:lang w:val="en-AU"/>
        </w:rPr>
        <w:t>Compliance impacts</w:t>
      </w:r>
    </w:p>
    <w:p w:rsidR="00A92BBE" w:rsidRDefault="00E53782" w:rsidP="00103D35">
      <w:pPr>
        <w:pStyle w:val="RISnumbering"/>
        <w:rPr>
          <w:lang w:val="en-AU"/>
        </w:rPr>
      </w:pPr>
      <w:r>
        <w:rPr>
          <w:lang w:val="en-AU"/>
        </w:rPr>
        <w:t xml:space="preserve">There is expected to be </w:t>
      </w:r>
      <w:r w:rsidR="00A92BBE">
        <w:rPr>
          <w:lang w:val="en-AU"/>
        </w:rPr>
        <w:t xml:space="preserve">a minor reduction in </w:t>
      </w:r>
      <w:r>
        <w:rPr>
          <w:lang w:val="en-AU"/>
        </w:rPr>
        <w:t>compliance</w:t>
      </w:r>
      <w:r w:rsidR="00A92BBE">
        <w:rPr>
          <w:lang w:val="en-AU"/>
        </w:rPr>
        <w:t xml:space="preserve"> impact</w:t>
      </w:r>
      <w:r>
        <w:rPr>
          <w:lang w:val="en-AU"/>
        </w:rPr>
        <w:t xml:space="preserve"> from adopting </w:t>
      </w:r>
      <w:r w:rsidR="003A4B79">
        <w:rPr>
          <w:lang w:val="en-AU"/>
        </w:rPr>
        <w:t>o</w:t>
      </w:r>
      <w:r>
        <w:rPr>
          <w:lang w:val="en-AU"/>
        </w:rPr>
        <w:t>ption 2</w:t>
      </w:r>
      <w:r w:rsidR="00A92BBE">
        <w:rPr>
          <w:lang w:val="en-AU"/>
        </w:rPr>
        <w:t>.  This is because the law will be made more certain in relation to:</w:t>
      </w:r>
    </w:p>
    <w:p w:rsidR="00A92BBE" w:rsidRDefault="00A92BBE" w:rsidP="00103D35">
      <w:pPr>
        <w:pStyle w:val="RISnumbering"/>
        <w:numPr>
          <w:ilvl w:val="0"/>
          <w:numId w:val="0"/>
        </w:numPr>
        <w:rPr>
          <w:lang w:val="en-AU"/>
        </w:rPr>
      </w:pPr>
    </w:p>
    <w:p w:rsidR="006C0EB1" w:rsidRDefault="00A92BBE" w:rsidP="00103D35">
      <w:pPr>
        <w:pStyle w:val="RISbullet"/>
      </w:pPr>
      <w:r>
        <w:t>the tax treatment of tax-base property vested in the Official Assignee</w:t>
      </w:r>
      <w:r w:rsidR="006C0EB1">
        <w:t>; and</w:t>
      </w:r>
    </w:p>
    <w:p w:rsidR="006C0EB1" w:rsidRDefault="006C0EB1" w:rsidP="00103D35">
      <w:pPr>
        <w:pStyle w:val="RISbullet"/>
        <w:numPr>
          <w:ilvl w:val="0"/>
          <w:numId w:val="0"/>
        </w:numPr>
        <w:ind w:left="851"/>
      </w:pPr>
    </w:p>
    <w:p w:rsidR="006C0EB1" w:rsidRDefault="006C0EB1" w:rsidP="00103D35">
      <w:pPr>
        <w:pStyle w:val="RISbullet"/>
      </w:pPr>
      <w:r>
        <w:t>the tax treatment of carried forward tax losses on being released from all debts under procedures of the Insolvency Act 2006.</w:t>
      </w:r>
    </w:p>
    <w:p w:rsidR="00E53782" w:rsidRDefault="00E53782" w:rsidP="00103D35">
      <w:pPr>
        <w:pStyle w:val="RISnumbering"/>
        <w:numPr>
          <w:ilvl w:val="0"/>
          <w:numId w:val="0"/>
        </w:numPr>
        <w:rPr>
          <w:lang w:val="en-AU"/>
        </w:rPr>
      </w:pPr>
    </w:p>
    <w:p w:rsidR="00E53782" w:rsidRDefault="00E53782" w:rsidP="00103D35">
      <w:pPr>
        <w:pStyle w:val="RISnumbering"/>
        <w:rPr>
          <w:lang w:val="en-AU"/>
        </w:rPr>
      </w:pPr>
      <w:r>
        <w:rPr>
          <w:lang w:val="en-AU"/>
        </w:rPr>
        <w:t xml:space="preserve">However, if option 3 were adopted, compliance costs would be expected to rise, as taxpayers are required to self-assess their tax losses.  </w:t>
      </w:r>
      <w:r w:rsidR="006C0EB1">
        <w:rPr>
          <w:lang w:val="en-AU"/>
        </w:rPr>
        <w:t>In particular, a</w:t>
      </w:r>
      <w:r>
        <w:rPr>
          <w:lang w:val="en-AU"/>
        </w:rPr>
        <w:t xml:space="preserve"> discharged bankrupt would need to have sufficient business records of the pre-bankruptcy business to establish:</w:t>
      </w:r>
    </w:p>
    <w:p w:rsidR="00E53782" w:rsidRDefault="00E53782" w:rsidP="00103D35">
      <w:pPr>
        <w:pStyle w:val="RISnumbering"/>
        <w:numPr>
          <w:ilvl w:val="0"/>
          <w:numId w:val="0"/>
        </w:numPr>
        <w:rPr>
          <w:lang w:val="en-AU"/>
        </w:rPr>
      </w:pPr>
    </w:p>
    <w:p w:rsidR="00E53782" w:rsidRDefault="00C745FC" w:rsidP="00103D35">
      <w:pPr>
        <w:pStyle w:val="RISbullet"/>
      </w:pPr>
      <w:r>
        <w:t xml:space="preserve">that </w:t>
      </w:r>
      <w:r w:rsidR="00E53782">
        <w:t>c</w:t>
      </w:r>
      <w:r w:rsidR="00E53782" w:rsidRPr="00E53782">
        <w:t xml:space="preserve">arried forward tax losses </w:t>
      </w:r>
      <w:r w:rsidR="00E53782">
        <w:t xml:space="preserve">existed on being </w:t>
      </w:r>
      <w:r w:rsidR="005F050F">
        <w:t xml:space="preserve">declared </w:t>
      </w:r>
      <w:r w:rsidR="00E53782">
        <w:t>bankrupt; and</w:t>
      </w:r>
    </w:p>
    <w:p w:rsidR="00E53782" w:rsidRDefault="00E53782" w:rsidP="00DF25F0">
      <w:pPr>
        <w:pStyle w:val="RISparagraph"/>
        <w:numPr>
          <w:ilvl w:val="0"/>
          <w:numId w:val="0"/>
        </w:numPr>
        <w:ind w:left="567"/>
      </w:pPr>
    </w:p>
    <w:p w:rsidR="00E53782" w:rsidRDefault="00E53782" w:rsidP="00103D35">
      <w:pPr>
        <w:pStyle w:val="RISbullet"/>
      </w:pPr>
      <w:r>
        <w:t>the amount of business debt that has been cancelled on discharge from bankruptcy.</w:t>
      </w:r>
    </w:p>
    <w:p w:rsidR="002A6059" w:rsidRDefault="00E53782" w:rsidP="000D03D4">
      <w:pPr>
        <w:pStyle w:val="Heading3"/>
        <w:rPr>
          <w:lang w:val="en-AU"/>
        </w:rPr>
      </w:pPr>
      <w:r>
        <w:rPr>
          <w:lang w:val="en-AU"/>
        </w:rPr>
        <w:t>Social, cultural or environmental impacts.</w:t>
      </w:r>
    </w:p>
    <w:p w:rsidR="00E53782" w:rsidRPr="002A6059" w:rsidRDefault="00E53782" w:rsidP="00103D35">
      <w:pPr>
        <w:pStyle w:val="RISnumbering"/>
        <w:rPr>
          <w:lang w:val="en-AU"/>
        </w:rPr>
      </w:pPr>
      <w:r>
        <w:rPr>
          <w:lang w:val="en-AU"/>
        </w:rPr>
        <w:t>None of the options have social, cultural, or environmental impacts.</w:t>
      </w:r>
    </w:p>
    <w:p w:rsidR="00C6387F" w:rsidRDefault="00C6387F">
      <w:pPr>
        <w:spacing w:line="240" w:lineRule="auto"/>
        <w:rPr>
          <w:b/>
          <w:spacing w:val="20"/>
          <w:szCs w:val="24"/>
        </w:rPr>
      </w:pPr>
      <w:r>
        <w:br w:type="page"/>
      </w:r>
    </w:p>
    <w:p w:rsidR="00E53782" w:rsidRPr="004342F0" w:rsidRDefault="00E53782" w:rsidP="000D03D4">
      <w:pPr>
        <w:pStyle w:val="RISheading"/>
      </w:pPr>
      <w:r w:rsidRPr="004342F0">
        <w:t>CONSULTATION</w:t>
      </w:r>
    </w:p>
    <w:p w:rsidR="002660B2" w:rsidRDefault="002660B2" w:rsidP="00103D35">
      <w:pPr>
        <w:pStyle w:val="RISnumbering"/>
      </w:pPr>
      <w:r>
        <w:t>Policy proposals were provided in a targeted consultation letter to the Accident Compensation Corporation (ACC), Chartered Accountants: Australia and New Zealand (CAANZ), the New Zealand Law Society (NZLS), and the Official Assignee.  The consultation was limited to interested parties on the basis that the proposal related to complex technical aspects of the relationship between insolvency law and taxation legislation.</w:t>
      </w:r>
    </w:p>
    <w:p w:rsidR="002660B2" w:rsidRDefault="002660B2" w:rsidP="00103D35">
      <w:pPr>
        <w:pStyle w:val="RISnumbering"/>
        <w:numPr>
          <w:ilvl w:val="0"/>
          <w:numId w:val="0"/>
        </w:numPr>
      </w:pPr>
    </w:p>
    <w:p w:rsidR="002660B2" w:rsidRPr="002660B2" w:rsidRDefault="002660B2" w:rsidP="00C165F5">
      <w:r w:rsidRPr="002660B2">
        <w:t>The consultation letter set out policy proposals on the relationship between insolvency law and the carry forward of tax losses that arose prior to insolvency by either:</w:t>
      </w:r>
    </w:p>
    <w:p w:rsidR="002660B2" w:rsidRPr="002660B2" w:rsidRDefault="002660B2" w:rsidP="00103D35">
      <w:pPr>
        <w:pStyle w:val="RISnumbering"/>
        <w:numPr>
          <w:ilvl w:val="0"/>
          <w:numId w:val="0"/>
        </w:numPr>
      </w:pPr>
    </w:p>
    <w:p w:rsidR="002660B2" w:rsidRPr="002660B2" w:rsidRDefault="002660B2" w:rsidP="00103D35">
      <w:pPr>
        <w:pStyle w:val="RISbullet"/>
      </w:pPr>
      <w:r w:rsidRPr="002660B2">
        <w:t>a discharged bankrupt; or</w:t>
      </w:r>
    </w:p>
    <w:p w:rsidR="002660B2" w:rsidRPr="002660B2" w:rsidRDefault="002660B2" w:rsidP="00103D35">
      <w:pPr>
        <w:pStyle w:val="RISpara"/>
        <w:numPr>
          <w:ilvl w:val="0"/>
          <w:numId w:val="0"/>
        </w:numPr>
        <w:ind w:left="927"/>
      </w:pPr>
    </w:p>
    <w:p w:rsidR="002660B2" w:rsidRDefault="002660B2" w:rsidP="00103D35">
      <w:pPr>
        <w:pStyle w:val="RISbullet"/>
      </w:pPr>
      <w:r w:rsidRPr="002660B2">
        <w:t>an insolvent individual released from the full amount of a debt under the “no</w:t>
      </w:r>
      <w:r w:rsidR="00C6387F">
        <w:t>-</w:t>
      </w:r>
      <w:r w:rsidRPr="002660B2">
        <w:t xml:space="preserve">asset procedure” </w:t>
      </w:r>
      <w:r w:rsidR="00C6387F">
        <w:t xml:space="preserve">(an alternative to bankruptcy under the </w:t>
      </w:r>
      <w:r w:rsidR="00C6387F" w:rsidRPr="002660B2">
        <w:t>Insolvency Act 2006)</w:t>
      </w:r>
      <w:r w:rsidRPr="002660B2">
        <w:t xml:space="preserve">.  </w:t>
      </w:r>
    </w:p>
    <w:p w:rsidR="007E2D9D" w:rsidRPr="002660B2" w:rsidRDefault="007E2D9D" w:rsidP="00103D35">
      <w:pPr>
        <w:pStyle w:val="RISpara"/>
        <w:numPr>
          <w:ilvl w:val="0"/>
          <w:numId w:val="0"/>
        </w:numPr>
        <w:ind w:left="927"/>
      </w:pPr>
    </w:p>
    <w:p w:rsidR="002660B2" w:rsidRPr="002660B2" w:rsidRDefault="002660B2" w:rsidP="00103D35">
      <w:pPr>
        <w:pStyle w:val="RISnumbering"/>
      </w:pPr>
      <w:r w:rsidRPr="002660B2">
        <w:t>The policy proposals were:</w:t>
      </w:r>
    </w:p>
    <w:p w:rsidR="002660B2" w:rsidRPr="002660B2" w:rsidRDefault="002660B2" w:rsidP="00103D35">
      <w:pPr>
        <w:pStyle w:val="RISnumbering"/>
        <w:numPr>
          <w:ilvl w:val="0"/>
          <w:numId w:val="0"/>
        </w:numPr>
      </w:pPr>
    </w:p>
    <w:p w:rsidR="002660B2" w:rsidRPr="00103D35" w:rsidRDefault="002660B2" w:rsidP="00103D35">
      <w:pPr>
        <w:pStyle w:val="RISpara"/>
        <w:numPr>
          <w:ilvl w:val="0"/>
          <w:numId w:val="20"/>
        </w:numPr>
      </w:pPr>
      <w:r w:rsidRPr="00103D35">
        <w:t>Whether, and to what extent, carried-forward tax losses of an insolv</w:t>
      </w:r>
      <w:r w:rsidR="007E2D9D" w:rsidRPr="00103D35">
        <w:t>ent person should be cancelled:</w:t>
      </w:r>
    </w:p>
    <w:p w:rsidR="007E2D9D" w:rsidRDefault="007E2D9D" w:rsidP="00103D35">
      <w:pPr>
        <w:pStyle w:val="RISpara"/>
        <w:numPr>
          <w:ilvl w:val="0"/>
          <w:numId w:val="0"/>
        </w:numPr>
        <w:ind w:left="927"/>
      </w:pPr>
    </w:p>
    <w:p w:rsidR="002660B2" w:rsidRDefault="002660B2" w:rsidP="00C6387F">
      <w:pPr>
        <w:pStyle w:val="RISbullet"/>
        <w:tabs>
          <w:tab w:val="clear" w:pos="993"/>
          <w:tab w:val="num" w:pos="1353"/>
        </w:tabs>
        <w:ind w:left="1353"/>
      </w:pPr>
      <w:r w:rsidRPr="002660B2">
        <w:t xml:space="preserve">on discharge from bankruptcy or </w:t>
      </w:r>
      <w:r w:rsidR="00C6387F">
        <w:t xml:space="preserve">on </w:t>
      </w:r>
      <w:r w:rsidRPr="002660B2">
        <w:t>completion of the no</w:t>
      </w:r>
      <w:r w:rsidR="00C6387F">
        <w:t>-</w:t>
      </w:r>
      <w:r w:rsidRPr="002660B2">
        <w:t>asset procedure; and</w:t>
      </w:r>
    </w:p>
    <w:p w:rsidR="002660B2" w:rsidRPr="002660B2" w:rsidRDefault="002660B2" w:rsidP="00C6387F">
      <w:pPr>
        <w:pStyle w:val="RISbullet"/>
        <w:numPr>
          <w:ilvl w:val="0"/>
          <w:numId w:val="0"/>
        </w:numPr>
        <w:ind w:left="1211"/>
      </w:pPr>
    </w:p>
    <w:p w:rsidR="002660B2" w:rsidRPr="002660B2" w:rsidRDefault="002660B2" w:rsidP="00C6387F">
      <w:pPr>
        <w:pStyle w:val="RISbullet"/>
        <w:ind w:left="1353"/>
      </w:pPr>
      <w:r w:rsidRPr="002660B2">
        <w:t xml:space="preserve">to the extent partial remission of debt occurs under </w:t>
      </w:r>
      <w:r w:rsidR="00C6387F">
        <w:t>other</w:t>
      </w:r>
      <w:r w:rsidRPr="002660B2">
        <w:t xml:space="preserve"> alternatives to bankruptcy?</w:t>
      </w:r>
    </w:p>
    <w:p w:rsidR="002660B2" w:rsidRPr="002660B2" w:rsidRDefault="002660B2" w:rsidP="00103D35">
      <w:pPr>
        <w:pStyle w:val="RISpara"/>
        <w:numPr>
          <w:ilvl w:val="0"/>
          <w:numId w:val="0"/>
        </w:numPr>
        <w:ind w:left="927"/>
      </w:pPr>
    </w:p>
    <w:p w:rsidR="002660B2" w:rsidRPr="002660B2" w:rsidRDefault="002660B2" w:rsidP="00103D35">
      <w:pPr>
        <w:pStyle w:val="RISpara"/>
      </w:pPr>
      <w:r w:rsidRPr="002660B2">
        <w:t>Whether the differences in the income tax treatment of cancelled debts on discharge from bankruptcy result in an incentive to fund business activity in a particular way, in order to preserve carried-forward tax losses?</w:t>
      </w:r>
    </w:p>
    <w:p w:rsidR="002660B2" w:rsidRPr="002660B2" w:rsidRDefault="002660B2" w:rsidP="00103D35">
      <w:pPr>
        <w:pStyle w:val="RISpara"/>
        <w:numPr>
          <w:ilvl w:val="0"/>
          <w:numId w:val="0"/>
        </w:numPr>
        <w:ind w:left="927"/>
      </w:pPr>
    </w:p>
    <w:p w:rsidR="00ED48BC" w:rsidRDefault="007E2D9D" w:rsidP="00103D35">
      <w:pPr>
        <w:pStyle w:val="RISpara"/>
      </w:pPr>
      <w:r>
        <w:t>Should</w:t>
      </w:r>
      <w:r w:rsidR="00ED48BC">
        <w:t xml:space="preserve"> timing</w:t>
      </w:r>
      <w:r w:rsidR="004B3B68">
        <w:t>, valuation,</w:t>
      </w:r>
      <w:r w:rsidR="00ED48BC">
        <w:t xml:space="preserve"> and deduction rules relating to disposals of assets in the Income Tax Act 2007 apply to assets vested in the Official Assignee?</w:t>
      </w:r>
    </w:p>
    <w:p w:rsidR="00ED48BC" w:rsidRPr="002660B2" w:rsidRDefault="00ED48BC" w:rsidP="00103D35">
      <w:pPr>
        <w:pStyle w:val="RISpara"/>
        <w:numPr>
          <w:ilvl w:val="0"/>
          <w:numId w:val="0"/>
        </w:numPr>
        <w:ind w:left="927"/>
      </w:pPr>
    </w:p>
    <w:p w:rsidR="002660B2" w:rsidRDefault="002660B2" w:rsidP="00103D35">
      <w:pPr>
        <w:pStyle w:val="RISpara"/>
      </w:pPr>
      <w:r w:rsidRPr="002660B2">
        <w:t>Should there be clarification of the income tax treatment of the bankrupt and the Official Assignee during the period of bankruptcy?</w:t>
      </w:r>
    </w:p>
    <w:p w:rsidR="007E2D9D" w:rsidRDefault="007E2D9D" w:rsidP="00103D35">
      <w:pPr>
        <w:pStyle w:val="RISpara"/>
        <w:numPr>
          <w:ilvl w:val="0"/>
          <w:numId w:val="0"/>
        </w:numPr>
        <w:ind w:left="927"/>
      </w:pPr>
    </w:p>
    <w:p w:rsidR="00942FC8" w:rsidRDefault="002660B2" w:rsidP="00103D35">
      <w:pPr>
        <w:pStyle w:val="RISnumbering"/>
      </w:pPr>
      <w:r>
        <w:t>The consultation letter also set out an analysis of the economic impact of the status quo.  That analysis indicated that under current law, the tax system was not neutral in relation to investment decisions when considering the ability to carry forward tax losses on discharge from bankruptcy.</w:t>
      </w:r>
      <w:r w:rsidR="00942FC8">
        <w:t xml:space="preserve">  </w:t>
      </w:r>
    </w:p>
    <w:p w:rsidR="002660B2" w:rsidRDefault="002660B2" w:rsidP="00103D35">
      <w:pPr>
        <w:pStyle w:val="RISnumbering"/>
        <w:numPr>
          <w:ilvl w:val="0"/>
          <w:numId w:val="0"/>
        </w:numPr>
      </w:pPr>
    </w:p>
    <w:p w:rsidR="002660B2" w:rsidRDefault="002660B2" w:rsidP="00103D35">
      <w:pPr>
        <w:pStyle w:val="RISnumbering"/>
      </w:pPr>
      <w:r w:rsidRPr="002660B2">
        <w:t xml:space="preserve">The ACC submitted that </w:t>
      </w:r>
      <w:r w:rsidR="00C6387F">
        <w:t>it</w:t>
      </w:r>
      <w:r w:rsidRPr="002660B2">
        <w:t xml:space="preserve"> had no concerns with the policy proposals.  </w:t>
      </w:r>
    </w:p>
    <w:p w:rsidR="002660B2" w:rsidRDefault="002660B2" w:rsidP="00103D35">
      <w:pPr>
        <w:pStyle w:val="RISnumbering"/>
        <w:numPr>
          <w:ilvl w:val="0"/>
          <w:numId w:val="0"/>
        </w:numPr>
      </w:pPr>
    </w:p>
    <w:p w:rsidR="002660B2" w:rsidRPr="002660B2" w:rsidRDefault="002660B2" w:rsidP="00103D35">
      <w:pPr>
        <w:pStyle w:val="RISnumbering"/>
      </w:pPr>
      <w:r w:rsidRPr="002660B2">
        <w:t>CAANZ observed that</w:t>
      </w:r>
    </w:p>
    <w:p w:rsidR="002660B2" w:rsidRPr="002660B2" w:rsidRDefault="002660B2" w:rsidP="00103D35">
      <w:pPr>
        <w:pStyle w:val="RISnumbering"/>
        <w:numPr>
          <w:ilvl w:val="0"/>
          <w:numId w:val="0"/>
        </w:numPr>
      </w:pPr>
    </w:p>
    <w:p w:rsidR="002660B2" w:rsidRDefault="002660B2" w:rsidP="00103D35">
      <w:pPr>
        <w:pStyle w:val="RISbullet"/>
      </w:pPr>
      <w:r>
        <w:t>S</w:t>
      </w:r>
      <w:r w:rsidRPr="002660B2">
        <w:t xml:space="preserve">ome practitioners were not aware that bankrupts </w:t>
      </w:r>
      <w:r>
        <w:t>are technically</w:t>
      </w:r>
      <w:r w:rsidRPr="002660B2">
        <w:t xml:space="preserve"> able to carry forward tax losses that arose prior to being adjudicated bankrupt.  </w:t>
      </w:r>
    </w:p>
    <w:p w:rsidR="00ED48BC" w:rsidRDefault="00ED48BC" w:rsidP="004B3B68"/>
    <w:p w:rsidR="002660B2" w:rsidRDefault="002660B2" w:rsidP="00103D35">
      <w:pPr>
        <w:pStyle w:val="RISbullet"/>
      </w:pPr>
      <w:r w:rsidRPr="002660B2">
        <w:t xml:space="preserve">In this respect, CAANZ noted that a person </w:t>
      </w:r>
      <w:r w:rsidR="005F050F">
        <w:t>declared</w:t>
      </w:r>
      <w:r w:rsidR="005F050F" w:rsidRPr="002660B2">
        <w:t xml:space="preserve"> </w:t>
      </w:r>
      <w:r w:rsidRPr="002660B2">
        <w:t>bankrupt receive</w:t>
      </w:r>
      <w:r w:rsidR="005F050F">
        <w:t>s</w:t>
      </w:r>
      <w:r w:rsidRPr="002660B2">
        <w:t xml:space="preserve"> a new Inland Revenue number (tax number).  CAANZ acknowledged that the two tax numbers are to assist the Commissioner to distinguish between tax obligations of the bankrupt for the periods before and after bankruptcy.  </w:t>
      </w:r>
    </w:p>
    <w:p w:rsidR="007E2D9D" w:rsidRPr="002660B2" w:rsidRDefault="007E2D9D" w:rsidP="007E2D9D">
      <w:pPr>
        <w:pStyle w:val="RISparagraph"/>
        <w:numPr>
          <w:ilvl w:val="0"/>
          <w:numId w:val="0"/>
        </w:numPr>
        <w:ind w:left="927"/>
      </w:pPr>
    </w:p>
    <w:p w:rsidR="00810E7E" w:rsidRDefault="00810E7E" w:rsidP="00810E7E">
      <w:pPr>
        <w:pStyle w:val="RISnumbering"/>
        <w:numPr>
          <w:ilvl w:val="0"/>
          <w:numId w:val="0"/>
        </w:numPr>
      </w:pPr>
    </w:p>
    <w:p w:rsidR="000F1A56" w:rsidRPr="002660B2" w:rsidRDefault="008C62A2" w:rsidP="00103D35">
      <w:pPr>
        <w:pStyle w:val="RISnumbering"/>
      </w:pPr>
      <w:r>
        <w:t>Given that no submissions were received opposing or suggesting modifications to the policy proposals</w:t>
      </w:r>
      <w:r w:rsidR="000F1A56">
        <w:t>, it was concluded that the proposals to cancel all carried-forward tax losses</w:t>
      </w:r>
      <w:r>
        <w:t xml:space="preserve"> of a person released from all debts under insolvency law should be preferred</w:t>
      </w:r>
      <w:r w:rsidR="0004715D">
        <w:t xml:space="preserve"> (option 2)</w:t>
      </w:r>
      <w:r>
        <w:t>.</w:t>
      </w:r>
    </w:p>
    <w:p w:rsidR="00810E7E" w:rsidRDefault="00810E7E" w:rsidP="000D03D4">
      <w:pPr>
        <w:pStyle w:val="RISheading"/>
      </w:pPr>
    </w:p>
    <w:p w:rsidR="001F4B20" w:rsidRPr="004342F0" w:rsidRDefault="001F4B20" w:rsidP="000D03D4">
      <w:pPr>
        <w:pStyle w:val="RISheading"/>
      </w:pPr>
      <w:r>
        <w:t>CONCLUSIONS AND RECOMMENDATION</w:t>
      </w:r>
    </w:p>
    <w:p w:rsidR="002A6059" w:rsidRDefault="001F4B20" w:rsidP="00103D35">
      <w:pPr>
        <w:pStyle w:val="RISnumbering"/>
        <w:rPr>
          <w:lang w:val="en-AU"/>
        </w:rPr>
      </w:pPr>
      <w:r>
        <w:rPr>
          <w:lang w:val="en-AU"/>
        </w:rPr>
        <w:t xml:space="preserve">We recommend </w:t>
      </w:r>
      <w:r w:rsidR="008C62A2">
        <w:rPr>
          <w:lang w:val="en-AU"/>
        </w:rPr>
        <w:t>o</w:t>
      </w:r>
      <w:r>
        <w:rPr>
          <w:lang w:val="en-AU"/>
        </w:rPr>
        <w:t>ption 2, under which:</w:t>
      </w:r>
    </w:p>
    <w:p w:rsidR="001F4B20" w:rsidRDefault="001F4B20" w:rsidP="00103D35">
      <w:pPr>
        <w:pStyle w:val="RISnumbering"/>
        <w:numPr>
          <w:ilvl w:val="0"/>
          <w:numId w:val="0"/>
        </w:numPr>
        <w:rPr>
          <w:lang w:val="en-AU"/>
        </w:rPr>
      </w:pPr>
    </w:p>
    <w:p w:rsidR="001F4B20" w:rsidRDefault="001F4B20" w:rsidP="00103D35">
      <w:pPr>
        <w:pStyle w:val="RISbullet"/>
      </w:pPr>
      <w:r>
        <w:t>Carried-forward tax losses of a natural person are cancelled on discharge from bankruptcy;</w:t>
      </w:r>
    </w:p>
    <w:p w:rsidR="001F4B20" w:rsidRDefault="001F4B20" w:rsidP="00103D35">
      <w:pPr>
        <w:pStyle w:val="RISpara"/>
        <w:numPr>
          <w:ilvl w:val="0"/>
          <w:numId w:val="0"/>
        </w:numPr>
        <w:ind w:left="927"/>
      </w:pPr>
    </w:p>
    <w:p w:rsidR="001F4B20" w:rsidRDefault="001F4B20" w:rsidP="00103D35">
      <w:pPr>
        <w:pStyle w:val="RISbullet"/>
      </w:pPr>
      <w:r>
        <w:t>The vesting of tax base property in the Official Assignee on</w:t>
      </w:r>
      <w:r w:rsidR="006C0EB1">
        <w:t xml:space="preserve"> a person</w:t>
      </w:r>
      <w:r>
        <w:t xml:space="preserve"> being declared bankrupt would </w:t>
      </w:r>
      <w:r w:rsidR="006C0EB1">
        <w:t>have a tax-neutral effect for the bankrupt</w:t>
      </w:r>
      <w:r>
        <w:t>:</w:t>
      </w:r>
    </w:p>
    <w:p w:rsidR="001F4B20" w:rsidRDefault="001F4B20" w:rsidP="00103D35">
      <w:pPr>
        <w:pStyle w:val="RISpara"/>
        <w:numPr>
          <w:ilvl w:val="0"/>
          <w:numId w:val="0"/>
        </w:numPr>
        <w:ind w:left="927"/>
      </w:pPr>
    </w:p>
    <w:p w:rsidR="001F4B20" w:rsidRDefault="001F4B20" w:rsidP="00103D35">
      <w:pPr>
        <w:pStyle w:val="RISbullet"/>
      </w:pPr>
      <w:r w:rsidRPr="001F4B20">
        <w:t xml:space="preserve">Tax administration law would be clarified to ensure that the bankrupt is responsible for filing returns of income during his or her period of bankruptcy.  </w:t>
      </w:r>
    </w:p>
    <w:p w:rsidR="007E2D9D" w:rsidRDefault="007E2D9D" w:rsidP="00103D35">
      <w:pPr>
        <w:pStyle w:val="RISpara"/>
        <w:numPr>
          <w:ilvl w:val="0"/>
          <w:numId w:val="0"/>
        </w:numPr>
        <w:ind w:left="927"/>
      </w:pPr>
    </w:p>
    <w:p w:rsidR="001F4B20" w:rsidRDefault="001F4B20" w:rsidP="00103D35">
      <w:pPr>
        <w:pStyle w:val="RISnumbering"/>
        <w:rPr>
          <w:lang w:val="en-AU"/>
        </w:rPr>
      </w:pPr>
      <w:r>
        <w:rPr>
          <w:lang w:val="en-AU"/>
        </w:rPr>
        <w:t>The proposals would be consistent with:</w:t>
      </w:r>
    </w:p>
    <w:p w:rsidR="001F4B20" w:rsidRDefault="001F4B20" w:rsidP="00103D35">
      <w:pPr>
        <w:pStyle w:val="RISnumbering"/>
        <w:numPr>
          <w:ilvl w:val="0"/>
          <w:numId w:val="0"/>
        </w:numPr>
        <w:rPr>
          <w:lang w:val="en-AU"/>
        </w:rPr>
      </w:pPr>
    </w:p>
    <w:p w:rsidR="001F4B20" w:rsidRPr="007E2D9D" w:rsidRDefault="001F4B20" w:rsidP="00103D35">
      <w:pPr>
        <w:pStyle w:val="RISbullet"/>
      </w:pPr>
      <w:r w:rsidRPr="007E2D9D">
        <w:t>the objectives of insolvency law;</w:t>
      </w:r>
    </w:p>
    <w:p w:rsidR="001F4B20" w:rsidRPr="007E2D9D" w:rsidRDefault="001F4B20" w:rsidP="00103D35">
      <w:pPr>
        <w:pStyle w:val="RISpara"/>
        <w:numPr>
          <w:ilvl w:val="0"/>
          <w:numId w:val="0"/>
        </w:numPr>
        <w:ind w:left="927"/>
      </w:pPr>
    </w:p>
    <w:p w:rsidR="002A6059" w:rsidRPr="007E2D9D" w:rsidRDefault="001F4B20" w:rsidP="00103D35">
      <w:pPr>
        <w:pStyle w:val="RISbullet"/>
      </w:pPr>
      <w:r w:rsidRPr="007E2D9D">
        <w:t>the coherency and neutrality of the tax system; and</w:t>
      </w:r>
    </w:p>
    <w:p w:rsidR="001F4B20" w:rsidRPr="007E2D9D" w:rsidRDefault="001F4B20" w:rsidP="00103D35">
      <w:pPr>
        <w:pStyle w:val="RISpara"/>
        <w:numPr>
          <w:ilvl w:val="0"/>
          <w:numId w:val="0"/>
        </w:numPr>
        <w:ind w:left="927"/>
      </w:pPr>
    </w:p>
    <w:p w:rsidR="001F4B20" w:rsidRPr="007E2D9D" w:rsidRDefault="001F4B20" w:rsidP="00103D35">
      <w:pPr>
        <w:pStyle w:val="RISbullet"/>
      </w:pPr>
      <w:r w:rsidRPr="007E2D9D">
        <w:t>the long-standing policy for the carry-forward of tax losses.</w:t>
      </w:r>
    </w:p>
    <w:p w:rsidR="00810E7E" w:rsidRDefault="00810E7E" w:rsidP="000D03D4">
      <w:pPr>
        <w:pStyle w:val="RISheading"/>
      </w:pPr>
      <w:bookmarkStart w:id="27" w:name="_Toc244580369"/>
      <w:bookmarkStart w:id="28" w:name="_Toc244587045"/>
      <w:bookmarkStart w:id="29" w:name="_Toc244857279"/>
      <w:bookmarkStart w:id="30" w:name="_Toc244912544"/>
      <w:bookmarkStart w:id="31" w:name="_Toc244917001"/>
      <w:bookmarkEnd w:id="22"/>
      <w:bookmarkEnd w:id="23"/>
      <w:bookmarkEnd w:id="24"/>
      <w:bookmarkEnd w:id="25"/>
      <w:bookmarkEnd w:id="26"/>
    </w:p>
    <w:p w:rsidR="006126C8" w:rsidRDefault="006126C8" w:rsidP="000D03D4">
      <w:pPr>
        <w:pStyle w:val="RISheading"/>
      </w:pPr>
      <w:r>
        <w:t>IMPLEMENTATION</w:t>
      </w:r>
    </w:p>
    <w:p w:rsidR="006126C8" w:rsidRDefault="006126C8" w:rsidP="00103D35">
      <w:pPr>
        <w:pStyle w:val="RISnumbering"/>
      </w:pPr>
      <w:r>
        <w:t>The recommended option would be included in the first available tax bill scheduled for introduction in 2016.</w:t>
      </w:r>
    </w:p>
    <w:p w:rsidR="006126C8" w:rsidRDefault="006126C8" w:rsidP="00103D35">
      <w:pPr>
        <w:pStyle w:val="RISnumbering"/>
        <w:numPr>
          <w:ilvl w:val="0"/>
          <w:numId w:val="0"/>
        </w:numPr>
      </w:pPr>
    </w:p>
    <w:p w:rsidR="0004715D" w:rsidRDefault="006126C8" w:rsidP="00103D35">
      <w:pPr>
        <w:pStyle w:val="RISnumbering"/>
      </w:pPr>
      <w:r>
        <w:t>The proposal would apply to persons discharged from bankruptcy on or after the date of Royal Assent of the enabling legislation.  No transitional provisions are considered necessary as the impacts would be prospective</w:t>
      </w:r>
      <w:r w:rsidR="0004715D" w:rsidRPr="0004715D">
        <w:t xml:space="preserve"> </w:t>
      </w:r>
      <w:r w:rsidR="0004715D">
        <w:t>from the date the enabling legislation is first introduced into the House.  When introduced into Parliament, commentary will be released explaining the amendments.</w:t>
      </w:r>
      <w:r w:rsidR="0004715D" w:rsidRPr="0004715D">
        <w:t xml:space="preserve"> </w:t>
      </w:r>
      <w:r w:rsidR="0004715D">
        <w:t>Normal submission processes occur when the bill is referred to the Finance and Expenditure Committee.</w:t>
      </w:r>
    </w:p>
    <w:p w:rsidR="0004715D" w:rsidRDefault="0004715D" w:rsidP="00103D35">
      <w:pPr>
        <w:pStyle w:val="RISnumbering"/>
        <w:numPr>
          <w:ilvl w:val="0"/>
          <w:numId w:val="0"/>
        </w:numPr>
      </w:pPr>
    </w:p>
    <w:p w:rsidR="006126C8" w:rsidRDefault="0004715D" w:rsidP="00103D35">
      <w:pPr>
        <w:pStyle w:val="RISnumbering"/>
      </w:pPr>
      <w:r>
        <w:t>The</w:t>
      </w:r>
      <w:r w:rsidR="006126C8">
        <w:t xml:space="preserve"> effect of the law would be </w:t>
      </w:r>
      <w:r>
        <w:t>communicated to affected taxpayers in</w:t>
      </w:r>
      <w:r w:rsidR="006126C8">
        <w:t xml:space="preserve"> a Technical Information Bulletin to be released shortly after the bill receives Royal asset.  </w:t>
      </w:r>
    </w:p>
    <w:p w:rsidR="006126C8" w:rsidRDefault="006126C8" w:rsidP="005C6775">
      <w:pPr>
        <w:spacing w:line="240" w:lineRule="auto"/>
      </w:pPr>
    </w:p>
    <w:p w:rsidR="0004715D" w:rsidRDefault="0004715D" w:rsidP="00103D35">
      <w:pPr>
        <w:pStyle w:val="RISnumbering"/>
      </w:pPr>
      <w:r>
        <w:t>Inland Revenue will administer the law as part of its business as usual process.</w:t>
      </w:r>
    </w:p>
    <w:p w:rsidR="00810E7E" w:rsidRDefault="00810E7E">
      <w:pPr>
        <w:spacing w:line="240" w:lineRule="auto"/>
        <w:rPr>
          <w:b/>
          <w:spacing w:val="20"/>
          <w:szCs w:val="24"/>
        </w:rPr>
      </w:pPr>
      <w:r>
        <w:br w:type="page"/>
      </w:r>
    </w:p>
    <w:p w:rsidR="000545DC" w:rsidRPr="004342F0" w:rsidRDefault="00D943DD" w:rsidP="000D03D4">
      <w:pPr>
        <w:pStyle w:val="RISheading"/>
      </w:pPr>
      <w:r w:rsidRPr="004342F0">
        <w:t>MONITORING, EVALUATION AND REVIEW</w:t>
      </w:r>
      <w:bookmarkEnd w:id="27"/>
      <w:bookmarkEnd w:id="28"/>
      <w:bookmarkEnd w:id="29"/>
      <w:bookmarkEnd w:id="30"/>
      <w:bookmarkEnd w:id="31"/>
    </w:p>
    <w:p w:rsidR="006126C8" w:rsidRDefault="006126C8" w:rsidP="00103D35">
      <w:pPr>
        <w:pStyle w:val="RISnumbering"/>
      </w:pPr>
      <w:r>
        <w:t xml:space="preserve">In general, Inland Revenue’s monitoring, evaluation and review of new legislation takes place under the Generic Tax Policy Process (GTPP).  The GTPP is a multi-stage tax policy process that has been used to design and implement tax policy since 1995.  </w:t>
      </w:r>
    </w:p>
    <w:p w:rsidR="006126C8" w:rsidRDefault="006126C8" w:rsidP="00103D35">
      <w:pPr>
        <w:pStyle w:val="RISnumbering"/>
        <w:numPr>
          <w:ilvl w:val="0"/>
          <w:numId w:val="0"/>
        </w:numPr>
      </w:pPr>
    </w:p>
    <w:p w:rsidR="006126C8" w:rsidRDefault="006126C8" w:rsidP="00103D35">
      <w:pPr>
        <w:pStyle w:val="RISnumbering"/>
      </w:pPr>
      <w:r w:rsidRPr="006126C8">
        <w:t>The final stage in the GTPP contemplates the implementation and review stage, which can involve post-implementation review of the legislation and the identification of any remedial issues. Opportunities for external consultation are also built into this stage. In practice, any changes identified as necessary for the new legislation to have its intended effect would generally be added to the Tax Policy Work Programme and proposals would go through the GTPP.</w:t>
      </w:r>
    </w:p>
    <w:p w:rsidR="006126C8" w:rsidRPr="006126C8" w:rsidRDefault="006126C8" w:rsidP="00103D35">
      <w:pPr>
        <w:pStyle w:val="RISnumbering"/>
        <w:numPr>
          <w:ilvl w:val="0"/>
          <w:numId w:val="0"/>
        </w:numPr>
      </w:pPr>
    </w:p>
    <w:p w:rsidR="00C6387F" w:rsidRPr="00C6387F" w:rsidRDefault="006126C8" w:rsidP="004B3B68">
      <w:pPr>
        <w:pStyle w:val="RISnumbering"/>
        <w:rPr>
          <w:lang w:val="en-AU" w:eastAsia="en-US"/>
        </w:rPr>
      </w:pPr>
      <w:r w:rsidRPr="006126C8">
        <w:t xml:space="preserve">Inland Revenue's normal assurance activity will evaluate and review that the preferred option achieves its intended policy objectives, as set out in paragraph </w:t>
      </w:r>
      <w:r>
        <w:fldChar w:fldCharType="begin"/>
      </w:r>
      <w:r>
        <w:instrText xml:space="preserve"> REF _Ref433722490 \r \h </w:instrText>
      </w:r>
      <w:r>
        <w:fldChar w:fldCharType="separate"/>
      </w:r>
      <w:r w:rsidR="004635E7">
        <w:t>30</w:t>
      </w:r>
      <w:r>
        <w:fldChar w:fldCharType="end"/>
      </w:r>
      <w:r>
        <w:t xml:space="preserve"> </w:t>
      </w:r>
      <w:r w:rsidRPr="006126C8">
        <w:t xml:space="preserve">of this </w:t>
      </w:r>
      <w:proofErr w:type="spellStart"/>
      <w:r w:rsidRPr="006126C8">
        <w:t>RIS</w:t>
      </w:r>
      <w:proofErr w:type="spellEnd"/>
      <w:r w:rsidRPr="006126C8">
        <w:t>.</w:t>
      </w:r>
    </w:p>
    <w:sectPr w:rsidR="00C6387F" w:rsidRPr="00C6387F" w:rsidSect="00103D35">
      <w:pgSz w:w="11907" w:h="16840" w:code="9"/>
      <w:pgMar w:top="1134"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F5" w:rsidRDefault="006456F5" w:rsidP="004B3B68">
      <w:r>
        <w:separator/>
      </w:r>
    </w:p>
    <w:p w:rsidR="006456F5" w:rsidRDefault="006456F5" w:rsidP="004B3B68"/>
  </w:endnote>
  <w:endnote w:type="continuationSeparator" w:id="0">
    <w:p w:rsidR="006456F5" w:rsidRDefault="006456F5" w:rsidP="004B3B68">
      <w:r>
        <w:continuationSeparator/>
      </w:r>
    </w:p>
    <w:p w:rsidR="006456F5" w:rsidRDefault="006456F5" w:rsidP="004B3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F5" w:rsidRDefault="006456F5" w:rsidP="004B3B6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456F5" w:rsidRPr="00281580" w:rsidRDefault="006456F5" w:rsidP="004B3B68">
    <w:pPr>
      <w:pStyle w:val="EvenFooter"/>
      <w:rPr>
        <w:caps/>
      </w:rPr>
    </w:pPr>
    <w:r w:rsidRPr="00281580">
      <w:t xml:space="preserve">   |   </w:t>
    </w:r>
    <w:r>
      <w:t>Regulatory Impact Statement - Template</w:t>
    </w:r>
  </w:p>
  <w:p w:rsidR="006456F5" w:rsidRDefault="006456F5" w:rsidP="004B3B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F5" w:rsidRPr="00594805" w:rsidRDefault="006456F5" w:rsidP="004B3B68">
    <w:pPr>
      <w:pStyle w:val="Footer"/>
      <w:rPr>
        <w:rStyle w:val="PageNumber"/>
        <w:color w:val="auto"/>
        <w:sz w:val="20"/>
        <w:szCs w:val="20"/>
      </w:rPr>
    </w:pPr>
    <w:r w:rsidRPr="00594805">
      <w:rPr>
        <w:rStyle w:val="PageNumber"/>
        <w:color w:val="auto"/>
        <w:sz w:val="20"/>
        <w:szCs w:val="20"/>
      </w:rPr>
      <w:fldChar w:fldCharType="begin"/>
    </w:r>
    <w:r w:rsidRPr="00594805">
      <w:rPr>
        <w:rStyle w:val="PageNumber"/>
        <w:color w:val="auto"/>
        <w:sz w:val="20"/>
        <w:szCs w:val="20"/>
      </w:rPr>
      <w:instrText xml:space="preserve">PAGE  </w:instrText>
    </w:r>
    <w:r w:rsidRPr="00594805">
      <w:rPr>
        <w:rStyle w:val="PageNumber"/>
        <w:color w:val="auto"/>
        <w:sz w:val="20"/>
        <w:szCs w:val="20"/>
      </w:rPr>
      <w:fldChar w:fldCharType="separate"/>
    </w:r>
    <w:r w:rsidR="00336A11">
      <w:rPr>
        <w:rStyle w:val="PageNumber"/>
        <w:color w:val="auto"/>
        <w:sz w:val="20"/>
        <w:szCs w:val="20"/>
      </w:rPr>
      <w:t>14</w:t>
    </w:r>
    <w:r w:rsidRPr="00594805">
      <w:rPr>
        <w:rStyle w:val="PageNumber"/>
        <w:color w:val="auto"/>
        <w:sz w:val="20"/>
        <w:szCs w:val="20"/>
      </w:rPr>
      <w:fldChar w:fldCharType="end"/>
    </w:r>
  </w:p>
  <w:p w:rsidR="006456F5" w:rsidRDefault="006456F5" w:rsidP="004B3B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F5" w:rsidRDefault="006456F5" w:rsidP="004B3B68">
      <w:r>
        <w:separator/>
      </w:r>
    </w:p>
    <w:p w:rsidR="006456F5" w:rsidRDefault="006456F5" w:rsidP="004B3B68"/>
  </w:footnote>
  <w:footnote w:type="continuationSeparator" w:id="0">
    <w:p w:rsidR="006456F5" w:rsidRDefault="006456F5" w:rsidP="004B3B68">
      <w:r>
        <w:continuationSeparator/>
      </w:r>
    </w:p>
    <w:p w:rsidR="006456F5" w:rsidRDefault="006456F5" w:rsidP="004B3B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342B414"/>
    <w:lvl w:ilvl="0">
      <w:start w:val="1"/>
      <w:numFmt w:val="decimal"/>
      <w:pStyle w:val="ListNumber2"/>
      <w:lvlText w:val="%1."/>
      <w:lvlJc w:val="left"/>
      <w:pPr>
        <w:tabs>
          <w:tab w:val="num" w:pos="786"/>
        </w:tabs>
        <w:ind w:left="786" w:hanging="360"/>
      </w:pPr>
    </w:lvl>
  </w:abstractNum>
  <w:abstractNum w:abstractNumId="1">
    <w:nsid w:val="1952128A"/>
    <w:multiLevelType w:val="hybridMultilevel"/>
    <w:tmpl w:val="798C7BA4"/>
    <w:lvl w:ilvl="0" w:tplc="9FEA85F8">
      <w:start w:val="1"/>
      <w:numFmt w:val="lowerLetter"/>
      <w:pStyle w:val="RISpara"/>
      <w:lvlText w:val="%1."/>
      <w:lvlJc w:val="lef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
    <w:nsid w:val="20F75B7E"/>
    <w:multiLevelType w:val="hybridMultilevel"/>
    <w:tmpl w:val="7372710A"/>
    <w:lvl w:ilvl="0" w:tplc="14090001">
      <w:start w:val="1"/>
      <w:numFmt w:val="bullet"/>
      <w:lvlText w:val=""/>
      <w:lvlJc w:val="left"/>
      <w:pPr>
        <w:ind w:left="927" w:hanging="360"/>
      </w:pPr>
      <w:rPr>
        <w:rFonts w:ascii="Symbol" w:hAnsi="Symbol"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
    <w:nsid w:val="29851751"/>
    <w:multiLevelType w:val="hybridMultilevel"/>
    <w:tmpl w:val="27AC60E6"/>
    <w:lvl w:ilvl="0" w:tplc="B7909054">
      <w:start w:val="1"/>
      <w:numFmt w:val="decimal"/>
      <w:pStyle w:val="CABpapernumber"/>
      <w:lvlText w:val="%1."/>
      <w:lvlJc w:val="left"/>
      <w:pPr>
        <w:ind w:left="360" w:hanging="360"/>
      </w:pPr>
    </w:lvl>
    <w:lvl w:ilvl="1" w:tplc="CC902D12">
      <w:start w:val="1"/>
      <w:numFmt w:val="lowerLetter"/>
      <w:pStyle w:val="CABpaperpara"/>
      <w:lvlText w:val="%2."/>
      <w:lvlJc w:val="left"/>
      <w:pPr>
        <w:ind w:left="1290" w:hanging="57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2E8D0DB7"/>
    <w:multiLevelType w:val="hybridMultilevel"/>
    <w:tmpl w:val="5DEED752"/>
    <w:lvl w:ilvl="0" w:tplc="0DD4F70E">
      <w:start w:val="1"/>
      <w:numFmt w:val="bullet"/>
      <w:pStyle w:val="RISbullet"/>
      <w:lvlText w:val=""/>
      <w:lvlJc w:val="left"/>
      <w:pPr>
        <w:tabs>
          <w:tab w:val="num" w:pos="720"/>
        </w:tabs>
        <w:ind w:left="720" w:hanging="360"/>
      </w:pPr>
      <w:rPr>
        <w:rFonts w:ascii="Symbol" w:hAnsi="Symbol" w:hint="default"/>
        <w:b w:val="0"/>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6">
    <w:nsid w:val="35D3127B"/>
    <w:multiLevelType w:val="hybridMultilevel"/>
    <w:tmpl w:val="6CC41B28"/>
    <w:lvl w:ilvl="0" w:tplc="1CB488C2">
      <w:start w:val="1"/>
      <w:numFmt w:val="bullet"/>
      <w:pStyle w:val="CABpaper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F973F9A"/>
    <w:multiLevelType w:val="hybridMultilevel"/>
    <w:tmpl w:val="EA2C3B26"/>
    <w:lvl w:ilvl="0" w:tplc="1F905D24">
      <w:start w:val="1"/>
      <w:numFmt w:val="lowerLetter"/>
      <w:pStyle w:val="RISparagraph"/>
      <w:lvlText w:val="%1."/>
      <w:lvlJc w:val="left"/>
      <w:pPr>
        <w:ind w:left="927" w:hanging="360"/>
      </w:p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8">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2B21E4F"/>
    <w:multiLevelType w:val="hybridMultilevel"/>
    <w:tmpl w:val="E27E8E08"/>
    <w:lvl w:ilvl="0" w:tplc="992E03AA">
      <w:start w:val="1"/>
      <w:numFmt w:val="bullet"/>
      <w:lvlText w:val=""/>
      <w:lvlJc w:val="left"/>
      <w:pPr>
        <w:tabs>
          <w:tab w:val="num" w:pos="720"/>
        </w:tabs>
        <w:ind w:left="720" w:hanging="360"/>
      </w:pPr>
      <w:rPr>
        <w:rFonts w:ascii="Symbol" w:hAnsi="Symbol" w:hint="default"/>
        <w:b w:val="0"/>
      </w:rPr>
    </w:lvl>
    <w:lvl w:ilvl="1" w:tplc="14090001">
      <w:start w:val="1"/>
      <w:numFmt w:val="bullet"/>
      <w:lvlText w:val=""/>
      <w:lvlJc w:val="left"/>
      <w:pPr>
        <w:tabs>
          <w:tab w:val="num" w:pos="1440"/>
        </w:tabs>
        <w:ind w:left="1440" w:hanging="360"/>
      </w:pPr>
      <w:rPr>
        <w:rFonts w:ascii="Symbol" w:hAnsi="Symbol" w:hint="default"/>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74AD67D1"/>
    <w:multiLevelType w:val="hybridMultilevel"/>
    <w:tmpl w:val="147C5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F1524F8"/>
    <w:multiLevelType w:val="hybridMultilevel"/>
    <w:tmpl w:val="E8D60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3"/>
  </w:num>
  <w:num w:numId="6">
    <w:abstractNumId w:val="6"/>
  </w:num>
  <w:num w:numId="7">
    <w:abstractNumId w:val="7"/>
    <w:lvlOverride w:ilvl="0">
      <w:startOverride w:val="1"/>
    </w:lvlOverride>
  </w:num>
  <w:num w:numId="8">
    <w:abstractNumId w:val="7"/>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1"/>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7"/>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9"/>
  </w:num>
  <w:num w:numId="28">
    <w:abstractNumId w:val="10"/>
  </w:num>
  <w:num w:numId="29">
    <w:abstractNumId w:val="11"/>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2"/>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567"/>
  <w:displayHorizontalDrawingGridEvery w:val="0"/>
  <w:displayVerticalDrawingGridEvery w:val="0"/>
  <w:doNotUseMarginsForDrawingGridOrigin/>
  <w:noPunctuationKerning/>
  <w:characterSpacingControl w:val="doNotCompress"/>
  <w:hdrShapeDefaults>
    <o:shapedefaults v:ext="edit" spidmax="18433"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39"/>
    <w:rsid w:val="000002C3"/>
    <w:rsid w:val="00001539"/>
    <w:rsid w:val="00002433"/>
    <w:rsid w:val="000037F4"/>
    <w:rsid w:val="00004A8A"/>
    <w:rsid w:val="00005DC9"/>
    <w:rsid w:val="00010986"/>
    <w:rsid w:val="00010F7D"/>
    <w:rsid w:val="00012338"/>
    <w:rsid w:val="00013A18"/>
    <w:rsid w:val="00014196"/>
    <w:rsid w:val="000147DC"/>
    <w:rsid w:val="00015072"/>
    <w:rsid w:val="00016722"/>
    <w:rsid w:val="0002068B"/>
    <w:rsid w:val="000232EB"/>
    <w:rsid w:val="00023BAB"/>
    <w:rsid w:val="00023EA6"/>
    <w:rsid w:val="00024B22"/>
    <w:rsid w:val="0002568E"/>
    <w:rsid w:val="00025954"/>
    <w:rsid w:val="00030890"/>
    <w:rsid w:val="00030DEA"/>
    <w:rsid w:val="00033950"/>
    <w:rsid w:val="000343E7"/>
    <w:rsid w:val="00035185"/>
    <w:rsid w:val="00036A3D"/>
    <w:rsid w:val="00036EE4"/>
    <w:rsid w:val="00041469"/>
    <w:rsid w:val="00041CD1"/>
    <w:rsid w:val="0004221C"/>
    <w:rsid w:val="000431FE"/>
    <w:rsid w:val="000435AD"/>
    <w:rsid w:val="00045AFC"/>
    <w:rsid w:val="00046F46"/>
    <w:rsid w:val="0004715D"/>
    <w:rsid w:val="00047559"/>
    <w:rsid w:val="00051BA3"/>
    <w:rsid w:val="000523FC"/>
    <w:rsid w:val="000526E4"/>
    <w:rsid w:val="0005434D"/>
    <w:rsid w:val="000545DC"/>
    <w:rsid w:val="0005503E"/>
    <w:rsid w:val="00055373"/>
    <w:rsid w:val="00055D70"/>
    <w:rsid w:val="00056263"/>
    <w:rsid w:val="00056E3D"/>
    <w:rsid w:val="00056F77"/>
    <w:rsid w:val="0005761E"/>
    <w:rsid w:val="00057AC4"/>
    <w:rsid w:val="000606D4"/>
    <w:rsid w:val="00060712"/>
    <w:rsid w:val="00060970"/>
    <w:rsid w:val="00060AAB"/>
    <w:rsid w:val="00060CD3"/>
    <w:rsid w:val="000655B2"/>
    <w:rsid w:val="00070193"/>
    <w:rsid w:val="00073A19"/>
    <w:rsid w:val="00073F31"/>
    <w:rsid w:val="000745D3"/>
    <w:rsid w:val="00074B13"/>
    <w:rsid w:val="00074D02"/>
    <w:rsid w:val="0007562B"/>
    <w:rsid w:val="0007659B"/>
    <w:rsid w:val="00080CE0"/>
    <w:rsid w:val="00080DE3"/>
    <w:rsid w:val="00082653"/>
    <w:rsid w:val="00082ABC"/>
    <w:rsid w:val="00083ADB"/>
    <w:rsid w:val="00085660"/>
    <w:rsid w:val="00086007"/>
    <w:rsid w:val="000863E2"/>
    <w:rsid w:val="00086898"/>
    <w:rsid w:val="0008712F"/>
    <w:rsid w:val="00087C41"/>
    <w:rsid w:val="00095446"/>
    <w:rsid w:val="00096BFA"/>
    <w:rsid w:val="000A073E"/>
    <w:rsid w:val="000A20D1"/>
    <w:rsid w:val="000A39F4"/>
    <w:rsid w:val="000A43F8"/>
    <w:rsid w:val="000A4419"/>
    <w:rsid w:val="000B005C"/>
    <w:rsid w:val="000B01CC"/>
    <w:rsid w:val="000B0480"/>
    <w:rsid w:val="000B0615"/>
    <w:rsid w:val="000B0C12"/>
    <w:rsid w:val="000B0D42"/>
    <w:rsid w:val="000B16BF"/>
    <w:rsid w:val="000B2052"/>
    <w:rsid w:val="000B5B1E"/>
    <w:rsid w:val="000C0912"/>
    <w:rsid w:val="000C2669"/>
    <w:rsid w:val="000C26E9"/>
    <w:rsid w:val="000C3EB5"/>
    <w:rsid w:val="000C43B6"/>
    <w:rsid w:val="000C684B"/>
    <w:rsid w:val="000C6EED"/>
    <w:rsid w:val="000C79FD"/>
    <w:rsid w:val="000D012A"/>
    <w:rsid w:val="000D03D4"/>
    <w:rsid w:val="000D0FA0"/>
    <w:rsid w:val="000D2A6B"/>
    <w:rsid w:val="000D31FE"/>
    <w:rsid w:val="000D5E01"/>
    <w:rsid w:val="000D6393"/>
    <w:rsid w:val="000D670A"/>
    <w:rsid w:val="000D77C0"/>
    <w:rsid w:val="000D7B74"/>
    <w:rsid w:val="000D7C12"/>
    <w:rsid w:val="000E0036"/>
    <w:rsid w:val="000E310A"/>
    <w:rsid w:val="000E3979"/>
    <w:rsid w:val="000E3CE1"/>
    <w:rsid w:val="000E73FF"/>
    <w:rsid w:val="000E7C1C"/>
    <w:rsid w:val="000F03B0"/>
    <w:rsid w:val="000F162C"/>
    <w:rsid w:val="000F1A56"/>
    <w:rsid w:val="000F3333"/>
    <w:rsid w:val="000F6F99"/>
    <w:rsid w:val="000F7020"/>
    <w:rsid w:val="00101A24"/>
    <w:rsid w:val="00103D35"/>
    <w:rsid w:val="00113146"/>
    <w:rsid w:val="00114D38"/>
    <w:rsid w:val="00114F56"/>
    <w:rsid w:val="001158BA"/>
    <w:rsid w:val="00116006"/>
    <w:rsid w:val="00116830"/>
    <w:rsid w:val="00116B51"/>
    <w:rsid w:val="00120171"/>
    <w:rsid w:val="001212E5"/>
    <w:rsid w:val="0012410B"/>
    <w:rsid w:val="00125812"/>
    <w:rsid w:val="00125ADD"/>
    <w:rsid w:val="00126CD1"/>
    <w:rsid w:val="00127757"/>
    <w:rsid w:val="00130E8F"/>
    <w:rsid w:val="001336E3"/>
    <w:rsid w:val="001339BB"/>
    <w:rsid w:val="00136EED"/>
    <w:rsid w:val="00141B20"/>
    <w:rsid w:val="00141D39"/>
    <w:rsid w:val="00142051"/>
    <w:rsid w:val="00143437"/>
    <w:rsid w:val="00144369"/>
    <w:rsid w:val="00144ADC"/>
    <w:rsid w:val="00144BBB"/>
    <w:rsid w:val="00146FC1"/>
    <w:rsid w:val="00150932"/>
    <w:rsid w:val="00152D49"/>
    <w:rsid w:val="00157E18"/>
    <w:rsid w:val="00161022"/>
    <w:rsid w:val="00161358"/>
    <w:rsid w:val="001620EB"/>
    <w:rsid w:val="0016538E"/>
    <w:rsid w:val="00166A7A"/>
    <w:rsid w:val="00166C49"/>
    <w:rsid w:val="001674EB"/>
    <w:rsid w:val="00167EE1"/>
    <w:rsid w:val="001705C4"/>
    <w:rsid w:val="00171281"/>
    <w:rsid w:val="001712D6"/>
    <w:rsid w:val="00171D2A"/>
    <w:rsid w:val="001726B0"/>
    <w:rsid w:val="00175644"/>
    <w:rsid w:val="001767C7"/>
    <w:rsid w:val="001800AF"/>
    <w:rsid w:val="00180A3B"/>
    <w:rsid w:val="00180BD5"/>
    <w:rsid w:val="00180D17"/>
    <w:rsid w:val="00183D99"/>
    <w:rsid w:val="00183EB1"/>
    <w:rsid w:val="00184219"/>
    <w:rsid w:val="00184A7F"/>
    <w:rsid w:val="00185884"/>
    <w:rsid w:val="001901C1"/>
    <w:rsid w:val="00190331"/>
    <w:rsid w:val="0019141D"/>
    <w:rsid w:val="00191B67"/>
    <w:rsid w:val="00191EEC"/>
    <w:rsid w:val="00194873"/>
    <w:rsid w:val="00194B8A"/>
    <w:rsid w:val="00194CF9"/>
    <w:rsid w:val="0019619F"/>
    <w:rsid w:val="00197273"/>
    <w:rsid w:val="001A13C8"/>
    <w:rsid w:val="001A1C61"/>
    <w:rsid w:val="001A1DFB"/>
    <w:rsid w:val="001A5694"/>
    <w:rsid w:val="001A5BEE"/>
    <w:rsid w:val="001B0726"/>
    <w:rsid w:val="001B0A7A"/>
    <w:rsid w:val="001B0C66"/>
    <w:rsid w:val="001B0DF0"/>
    <w:rsid w:val="001B1A87"/>
    <w:rsid w:val="001B1BDF"/>
    <w:rsid w:val="001B24D5"/>
    <w:rsid w:val="001B2869"/>
    <w:rsid w:val="001B3F6D"/>
    <w:rsid w:val="001B3F81"/>
    <w:rsid w:val="001B4E6C"/>
    <w:rsid w:val="001B54FC"/>
    <w:rsid w:val="001B7122"/>
    <w:rsid w:val="001C0CF6"/>
    <w:rsid w:val="001C2214"/>
    <w:rsid w:val="001C2524"/>
    <w:rsid w:val="001C3991"/>
    <w:rsid w:val="001C3F25"/>
    <w:rsid w:val="001C41C2"/>
    <w:rsid w:val="001C6912"/>
    <w:rsid w:val="001C6980"/>
    <w:rsid w:val="001D0A46"/>
    <w:rsid w:val="001D22ED"/>
    <w:rsid w:val="001D3440"/>
    <w:rsid w:val="001D37FB"/>
    <w:rsid w:val="001D4D62"/>
    <w:rsid w:val="001D512F"/>
    <w:rsid w:val="001D53A8"/>
    <w:rsid w:val="001D7325"/>
    <w:rsid w:val="001E12C8"/>
    <w:rsid w:val="001E1A8F"/>
    <w:rsid w:val="001E6AFE"/>
    <w:rsid w:val="001F0773"/>
    <w:rsid w:val="001F0B6A"/>
    <w:rsid w:val="001F0DD3"/>
    <w:rsid w:val="001F1711"/>
    <w:rsid w:val="001F1A2D"/>
    <w:rsid w:val="001F21CB"/>
    <w:rsid w:val="001F4B20"/>
    <w:rsid w:val="001F6750"/>
    <w:rsid w:val="00200311"/>
    <w:rsid w:val="002008D1"/>
    <w:rsid w:val="00202E20"/>
    <w:rsid w:val="002036AA"/>
    <w:rsid w:val="00203789"/>
    <w:rsid w:val="00204A66"/>
    <w:rsid w:val="00205334"/>
    <w:rsid w:val="00213B41"/>
    <w:rsid w:val="00216DB5"/>
    <w:rsid w:val="00216F08"/>
    <w:rsid w:val="00217A19"/>
    <w:rsid w:val="00220E98"/>
    <w:rsid w:val="00222CA5"/>
    <w:rsid w:val="00223298"/>
    <w:rsid w:val="00224A1F"/>
    <w:rsid w:val="00224BD6"/>
    <w:rsid w:val="002253E9"/>
    <w:rsid w:val="002258FC"/>
    <w:rsid w:val="00226226"/>
    <w:rsid w:val="00227D78"/>
    <w:rsid w:val="00227FE4"/>
    <w:rsid w:val="002317B4"/>
    <w:rsid w:val="002331A0"/>
    <w:rsid w:val="00233DC9"/>
    <w:rsid w:val="0023447D"/>
    <w:rsid w:val="0023708B"/>
    <w:rsid w:val="00237318"/>
    <w:rsid w:val="00237FE9"/>
    <w:rsid w:val="0024128C"/>
    <w:rsid w:val="00245DA0"/>
    <w:rsid w:val="00247ADA"/>
    <w:rsid w:val="00251406"/>
    <w:rsid w:val="00257836"/>
    <w:rsid w:val="00264EEE"/>
    <w:rsid w:val="0026530E"/>
    <w:rsid w:val="00265DED"/>
    <w:rsid w:val="00265E6C"/>
    <w:rsid w:val="002660B2"/>
    <w:rsid w:val="00266A30"/>
    <w:rsid w:val="0026794D"/>
    <w:rsid w:val="00267FAB"/>
    <w:rsid w:val="00270CAF"/>
    <w:rsid w:val="002712C8"/>
    <w:rsid w:val="002719ED"/>
    <w:rsid w:val="00271EB7"/>
    <w:rsid w:val="0027239E"/>
    <w:rsid w:val="00272E82"/>
    <w:rsid w:val="00273D5C"/>
    <w:rsid w:val="00273ECF"/>
    <w:rsid w:val="00275209"/>
    <w:rsid w:val="0027527B"/>
    <w:rsid w:val="00275B26"/>
    <w:rsid w:val="0027706F"/>
    <w:rsid w:val="002810DA"/>
    <w:rsid w:val="00281580"/>
    <w:rsid w:val="00282DD1"/>
    <w:rsid w:val="00283259"/>
    <w:rsid w:val="00283AFA"/>
    <w:rsid w:val="00283D22"/>
    <w:rsid w:val="00287942"/>
    <w:rsid w:val="00292783"/>
    <w:rsid w:val="0029399F"/>
    <w:rsid w:val="00293E21"/>
    <w:rsid w:val="00295264"/>
    <w:rsid w:val="00295DFA"/>
    <w:rsid w:val="00296404"/>
    <w:rsid w:val="0029649F"/>
    <w:rsid w:val="002A05D3"/>
    <w:rsid w:val="002A06C6"/>
    <w:rsid w:val="002A107A"/>
    <w:rsid w:val="002A3B64"/>
    <w:rsid w:val="002A535E"/>
    <w:rsid w:val="002A5881"/>
    <w:rsid w:val="002A5E7A"/>
    <w:rsid w:val="002A6059"/>
    <w:rsid w:val="002B0025"/>
    <w:rsid w:val="002B0801"/>
    <w:rsid w:val="002B095F"/>
    <w:rsid w:val="002B0A3F"/>
    <w:rsid w:val="002B5324"/>
    <w:rsid w:val="002B56E7"/>
    <w:rsid w:val="002B5823"/>
    <w:rsid w:val="002B733A"/>
    <w:rsid w:val="002B7F4A"/>
    <w:rsid w:val="002C0074"/>
    <w:rsid w:val="002C097E"/>
    <w:rsid w:val="002C2315"/>
    <w:rsid w:val="002C301D"/>
    <w:rsid w:val="002C4A38"/>
    <w:rsid w:val="002C65B8"/>
    <w:rsid w:val="002C7024"/>
    <w:rsid w:val="002C734D"/>
    <w:rsid w:val="002C744C"/>
    <w:rsid w:val="002D01BF"/>
    <w:rsid w:val="002D0FAA"/>
    <w:rsid w:val="002D3E81"/>
    <w:rsid w:val="002D4AC3"/>
    <w:rsid w:val="002D52A0"/>
    <w:rsid w:val="002D6691"/>
    <w:rsid w:val="002E0169"/>
    <w:rsid w:val="002E062E"/>
    <w:rsid w:val="002E1226"/>
    <w:rsid w:val="002E1D30"/>
    <w:rsid w:val="002E2678"/>
    <w:rsid w:val="002E28C6"/>
    <w:rsid w:val="002E4DB3"/>
    <w:rsid w:val="002E6D37"/>
    <w:rsid w:val="002E79A6"/>
    <w:rsid w:val="002F10BF"/>
    <w:rsid w:val="002F110D"/>
    <w:rsid w:val="002F1826"/>
    <w:rsid w:val="002F32BD"/>
    <w:rsid w:val="002F34E3"/>
    <w:rsid w:val="002F4407"/>
    <w:rsid w:val="002F5A1A"/>
    <w:rsid w:val="002F6E67"/>
    <w:rsid w:val="002F71F1"/>
    <w:rsid w:val="002F7C03"/>
    <w:rsid w:val="0030111A"/>
    <w:rsid w:val="003020F3"/>
    <w:rsid w:val="003022D4"/>
    <w:rsid w:val="003038AC"/>
    <w:rsid w:val="00305726"/>
    <w:rsid w:val="00306E9B"/>
    <w:rsid w:val="003076FA"/>
    <w:rsid w:val="00310D70"/>
    <w:rsid w:val="0031214B"/>
    <w:rsid w:val="003129B2"/>
    <w:rsid w:val="00313F3E"/>
    <w:rsid w:val="00314A19"/>
    <w:rsid w:val="00315307"/>
    <w:rsid w:val="00315D17"/>
    <w:rsid w:val="00316B54"/>
    <w:rsid w:val="003176BB"/>
    <w:rsid w:val="00317E1A"/>
    <w:rsid w:val="00320A3C"/>
    <w:rsid w:val="003232C2"/>
    <w:rsid w:val="003237B0"/>
    <w:rsid w:val="0032433A"/>
    <w:rsid w:val="0032503F"/>
    <w:rsid w:val="003262CE"/>
    <w:rsid w:val="003264ED"/>
    <w:rsid w:val="003308B4"/>
    <w:rsid w:val="00333209"/>
    <w:rsid w:val="00334A4E"/>
    <w:rsid w:val="003352EF"/>
    <w:rsid w:val="00335DFC"/>
    <w:rsid w:val="00336A11"/>
    <w:rsid w:val="003418C0"/>
    <w:rsid w:val="003424A8"/>
    <w:rsid w:val="003425F7"/>
    <w:rsid w:val="00343012"/>
    <w:rsid w:val="00343233"/>
    <w:rsid w:val="00343B25"/>
    <w:rsid w:val="003441E3"/>
    <w:rsid w:val="003445EA"/>
    <w:rsid w:val="00350175"/>
    <w:rsid w:val="003501FB"/>
    <w:rsid w:val="00351EC0"/>
    <w:rsid w:val="00352990"/>
    <w:rsid w:val="00353113"/>
    <w:rsid w:val="00353518"/>
    <w:rsid w:val="00355DAA"/>
    <w:rsid w:val="003613F4"/>
    <w:rsid w:val="00361819"/>
    <w:rsid w:val="00361F3D"/>
    <w:rsid w:val="00362E2F"/>
    <w:rsid w:val="00362FE1"/>
    <w:rsid w:val="00363DCE"/>
    <w:rsid w:val="00365680"/>
    <w:rsid w:val="00365B22"/>
    <w:rsid w:val="00366A1A"/>
    <w:rsid w:val="00367B6E"/>
    <w:rsid w:val="00370B2E"/>
    <w:rsid w:val="00372D68"/>
    <w:rsid w:val="0037447C"/>
    <w:rsid w:val="0037458C"/>
    <w:rsid w:val="00374E9A"/>
    <w:rsid w:val="00375E7C"/>
    <w:rsid w:val="00375FFD"/>
    <w:rsid w:val="00381DB8"/>
    <w:rsid w:val="00382276"/>
    <w:rsid w:val="003826A0"/>
    <w:rsid w:val="00383462"/>
    <w:rsid w:val="00384B58"/>
    <w:rsid w:val="00385683"/>
    <w:rsid w:val="00385EC1"/>
    <w:rsid w:val="00386DD1"/>
    <w:rsid w:val="00387CA4"/>
    <w:rsid w:val="00391389"/>
    <w:rsid w:val="00391E64"/>
    <w:rsid w:val="00395750"/>
    <w:rsid w:val="0039581F"/>
    <w:rsid w:val="00396861"/>
    <w:rsid w:val="0039783E"/>
    <w:rsid w:val="003A0009"/>
    <w:rsid w:val="003A0E47"/>
    <w:rsid w:val="003A11B4"/>
    <w:rsid w:val="003A4360"/>
    <w:rsid w:val="003A4B79"/>
    <w:rsid w:val="003A68AA"/>
    <w:rsid w:val="003A7561"/>
    <w:rsid w:val="003A76E4"/>
    <w:rsid w:val="003B09F2"/>
    <w:rsid w:val="003B1384"/>
    <w:rsid w:val="003B35B8"/>
    <w:rsid w:val="003B4A9D"/>
    <w:rsid w:val="003B4B13"/>
    <w:rsid w:val="003B4D2C"/>
    <w:rsid w:val="003B53A6"/>
    <w:rsid w:val="003C0785"/>
    <w:rsid w:val="003C1764"/>
    <w:rsid w:val="003C3AD0"/>
    <w:rsid w:val="003C722C"/>
    <w:rsid w:val="003C7985"/>
    <w:rsid w:val="003C7CAC"/>
    <w:rsid w:val="003C7E67"/>
    <w:rsid w:val="003D20ED"/>
    <w:rsid w:val="003D4ED7"/>
    <w:rsid w:val="003D5CB6"/>
    <w:rsid w:val="003D6531"/>
    <w:rsid w:val="003D6C84"/>
    <w:rsid w:val="003E017A"/>
    <w:rsid w:val="003E0936"/>
    <w:rsid w:val="003E1FAF"/>
    <w:rsid w:val="003E20B9"/>
    <w:rsid w:val="003E3836"/>
    <w:rsid w:val="003E39B9"/>
    <w:rsid w:val="003E4AC8"/>
    <w:rsid w:val="003E4BB4"/>
    <w:rsid w:val="003E68B5"/>
    <w:rsid w:val="003F14AC"/>
    <w:rsid w:val="003F27A7"/>
    <w:rsid w:val="003F2D09"/>
    <w:rsid w:val="003F34BF"/>
    <w:rsid w:val="003F37EA"/>
    <w:rsid w:val="003F47F5"/>
    <w:rsid w:val="003F59CC"/>
    <w:rsid w:val="003F5E57"/>
    <w:rsid w:val="003F5F9D"/>
    <w:rsid w:val="003F7652"/>
    <w:rsid w:val="003F7EDA"/>
    <w:rsid w:val="00401D87"/>
    <w:rsid w:val="00402BF8"/>
    <w:rsid w:val="00403755"/>
    <w:rsid w:val="0040387F"/>
    <w:rsid w:val="00406227"/>
    <w:rsid w:val="00407D3B"/>
    <w:rsid w:val="0041363C"/>
    <w:rsid w:val="00414E9A"/>
    <w:rsid w:val="00415CC4"/>
    <w:rsid w:val="00415FD6"/>
    <w:rsid w:val="0041696F"/>
    <w:rsid w:val="00420D4C"/>
    <w:rsid w:val="00423B79"/>
    <w:rsid w:val="004240D2"/>
    <w:rsid w:val="00424ADF"/>
    <w:rsid w:val="004303B8"/>
    <w:rsid w:val="00431677"/>
    <w:rsid w:val="00433183"/>
    <w:rsid w:val="00433AED"/>
    <w:rsid w:val="004342F0"/>
    <w:rsid w:val="00434849"/>
    <w:rsid w:val="004353DD"/>
    <w:rsid w:val="00435F4A"/>
    <w:rsid w:val="00437C49"/>
    <w:rsid w:val="0044117C"/>
    <w:rsid w:val="004418F2"/>
    <w:rsid w:val="00443662"/>
    <w:rsid w:val="00443DF2"/>
    <w:rsid w:val="00444A8D"/>
    <w:rsid w:val="00444E78"/>
    <w:rsid w:val="004455A5"/>
    <w:rsid w:val="00445911"/>
    <w:rsid w:val="00445F4D"/>
    <w:rsid w:val="00446050"/>
    <w:rsid w:val="00446FC1"/>
    <w:rsid w:val="00447C26"/>
    <w:rsid w:val="00447F1A"/>
    <w:rsid w:val="0045085A"/>
    <w:rsid w:val="00450CBA"/>
    <w:rsid w:val="0045110A"/>
    <w:rsid w:val="00452DA2"/>
    <w:rsid w:val="004532A3"/>
    <w:rsid w:val="00455363"/>
    <w:rsid w:val="00456B8F"/>
    <w:rsid w:val="00457045"/>
    <w:rsid w:val="004574C4"/>
    <w:rsid w:val="0045787B"/>
    <w:rsid w:val="00457A91"/>
    <w:rsid w:val="004604E9"/>
    <w:rsid w:val="00460A55"/>
    <w:rsid w:val="004610FB"/>
    <w:rsid w:val="0046180A"/>
    <w:rsid w:val="00462BC6"/>
    <w:rsid w:val="004635E7"/>
    <w:rsid w:val="00463FEB"/>
    <w:rsid w:val="004660F2"/>
    <w:rsid w:val="00470C11"/>
    <w:rsid w:val="00471759"/>
    <w:rsid w:val="0047175C"/>
    <w:rsid w:val="004721E0"/>
    <w:rsid w:val="00472F9C"/>
    <w:rsid w:val="00473803"/>
    <w:rsid w:val="004755FE"/>
    <w:rsid w:val="004759BF"/>
    <w:rsid w:val="00476857"/>
    <w:rsid w:val="00476B4E"/>
    <w:rsid w:val="0047782F"/>
    <w:rsid w:val="004828C6"/>
    <w:rsid w:val="00484675"/>
    <w:rsid w:val="00484F33"/>
    <w:rsid w:val="00485CA7"/>
    <w:rsid w:val="004869CF"/>
    <w:rsid w:val="00487545"/>
    <w:rsid w:val="00490239"/>
    <w:rsid w:val="00490B1D"/>
    <w:rsid w:val="00491DC5"/>
    <w:rsid w:val="004929EC"/>
    <w:rsid w:val="004935F6"/>
    <w:rsid w:val="00493B10"/>
    <w:rsid w:val="00493F24"/>
    <w:rsid w:val="00495017"/>
    <w:rsid w:val="0049615F"/>
    <w:rsid w:val="004971EF"/>
    <w:rsid w:val="004A2043"/>
    <w:rsid w:val="004A2FD9"/>
    <w:rsid w:val="004A51CB"/>
    <w:rsid w:val="004A5D55"/>
    <w:rsid w:val="004A6D51"/>
    <w:rsid w:val="004B03BE"/>
    <w:rsid w:val="004B0A80"/>
    <w:rsid w:val="004B1950"/>
    <w:rsid w:val="004B2839"/>
    <w:rsid w:val="004B300A"/>
    <w:rsid w:val="004B3B68"/>
    <w:rsid w:val="004B4E7B"/>
    <w:rsid w:val="004B5FC7"/>
    <w:rsid w:val="004B7418"/>
    <w:rsid w:val="004B78FA"/>
    <w:rsid w:val="004C0FBA"/>
    <w:rsid w:val="004C1080"/>
    <w:rsid w:val="004C2B29"/>
    <w:rsid w:val="004C3F7B"/>
    <w:rsid w:val="004C3FD4"/>
    <w:rsid w:val="004C4916"/>
    <w:rsid w:val="004C5850"/>
    <w:rsid w:val="004C6A1A"/>
    <w:rsid w:val="004C78C4"/>
    <w:rsid w:val="004D2B88"/>
    <w:rsid w:val="004D2EB8"/>
    <w:rsid w:val="004D34C8"/>
    <w:rsid w:val="004D3A3F"/>
    <w:rsid w:val="004D512D"/>
    <w:rsid w:val="004D58A1"/>
    <w:rsid w:val="004D5D38"/>
    <w:rsid w:val="004D5F74"/>
    <w:rsid w:val="004D6ED4"/>
    <w:rsid w:val="004E10E0"/>
    <w:rsid w:val="004E198A"/>
    <w:rsid w:val="004E2A32"/>
    <w:rsid w:val="004E3061"/>
    <w:rsid w:val="004E3F7E"/>
    <w:rsid w:val="004E67E6"/>
    <w:rsid w:val="004F0E40"/>
    <w:rsid w:val="004F19CD"/>
    <w:rsid w:val="004F1F6E"/>
    <w:rsid w:val="004F245D"/>
    <w:rsid w:val="004F5E93"/>
    <w:rsid w:val="004F603D"/>
    <w:rsid w:val="004F6545"/>
    <w:rsid w:val="004F6D32"/>
    <w:rsid w:val="004F6FC8"/>
    <w:rsid w:val="0050046F"/>
    <w:rsid w:val="00500EEF"/>
    <w:rsid w:val="005015CE"/>
    <w:rsid w:val="00501BD9"/>
    <w:rsid w:val="005041A7"/>
    <w:rsid w:val="00504E3C"/>
    <w:rsid w:val="00506456"/>
    <w:rsid w:val="00506825"/>
    <w:rsid w:val="00506FA2"/>
    <w:rsid w:val="00507196"/>
    <w:rsid w:val="005103B1"/>
    <w:rsid w:val="00515680"/>
    <w:rsid w:val="005173F5"/>
    <w:rsid w:val="00517D7F"/>
    <w:rsid w:val="00517E17"/>
    <w:rsid w:val="00517E7D"/>
    <w:rsid w:val="00520779"/>
    <w:rsid w:val="00521E8C"/>
    <w:rsid w:val="00523AAC"/>
    <w:rsid w:val="00523CF5"/>
    <w:rsid w:val="005246FD"/>
    <w:rsid w:val="00525A4C"/>
    <w:rsid w:val="00525C51"/>
    <w:rsid w:val="00530417"/>
    <w:rsid w:val="00530B0F"/>
    <w:rsid w:val="00532095"/>
    <w:rsid w:val="005321B7"/>
    <w:rsid w:val="005328C3"/>
    <w:rsid w:val="0053379A"/>
    <w:rsid w:val="005337D5"/>
    <w:rsid w:val="0053679A"/>
    <w:rsid w:val="00536C66"/>
    <w:rsid w:val="0054067C"/>
    <w:rsid w:val="00541C62"/>
    <w:rsid w:val="005437B7"/>
    <w:rsid w:val="00543E03"/>
    <w:rsid w:val="00545F4F"/>
    <w:rsid w:val="00545F60"/>
    <w:rsid w:val="00547754"/>
    <w:rsid w:val="0054782B"/>
    <w:rsid w:val="0055051C"/>
    <w:rsid w:val="00550BD7"/>
    <w:rsid w:val="005520E3"/>
    <w:rsid w:val="005536BC"/>
    <w:rsid w:val="005544E5"/>
    <w:rsid w:val="00554B2A"/>
    <w:rsid w:val="00554B2F"/>
    <w:rsid w:val="00557118"/>
    <w:rsid w:val="005612C1"/>
    <w:rsid w:val="005629D3"/>
    <w:rsid w:val="00562BC9"/>
    <w:rsid w:val="0056357E"/>
    <w:rsid w:val="00563B07"/>
    <w:rsid w:val="00564874"/>
    <w:rsid w:val="00566666"/>
    <w:rsid w:val="00566834"/>
    <w:rsid w:val="005668F0"/>
    <w:rsid w:val="005677E2"/>
    <w:rsid w:val="0056783D"/>
    <w:rsid w:val="0057019F"/>
    <w:rsid w:val="005704E5"/>
    <w:rsid w:val="00570549"/>
    <w:rsid w:val="0057101F"/>
    <w:rsid w:val="00571A9D"/>
    <w:rsid w:val="00571BA5"/>
    <w:rsid w:val="00573B85"/>
    <w:rsid w:val="00574342"/>
    <w:rsid w:val="005754DE"/>
    <w:rsid w:val="00576798"/>
    <w:rsid w:val="00580450"/>
    <w:rsid w:val="00580CDE"/>
    <w:rsid w:val="00581009"/>
    <w:rsid w:val="005819B2"/>
    <w:rsid w:val="00582409"/>
    <w:rsid w:val="00582DC6"/>
    <w:rsid w:val="00583F9C"/>
    <w:rsid w:val="00585F5E"/>
    <w:rsid w:val="00586DC7"/>
    <w:rsid w:val="00590BD9"/>
    <w:rsid w:val="00590D92"/>
    <w:rsid w:val="00591D93"/>
    <w:rsid w:val="00593561"/>
    <w:rsid w:val="00594805"/>
    <w:rsid w:val="00596392"/>
    <w:rsid w:val="00596EAD"/>
    <w:rsid w:val="00597DFE"/>
    <w:rsid w:val="00597FAF"/>
    <w:rsid w:val="005A13E7"/>
    <w:rsid w:val="005A196E"/>
    <w:rsid w:val="005A3D06"/>
    <w:rsid w:val="005A3DA9"/>
    <w:rsid w:val="005A62E6"/>
    <w:rsid w:val="005A6CC1"/>
    <w:rsid w:val="005A6CCD"/>
    <w:rsid w:val="005A7107"/>
    <w:rsid w:val="005B174D"/>
    <w:rsid w:val="005B1762"/>
    <w:rsid w:val="005B29AF"/>
    <w:rsid w:val="005B39D2"/>
    <w:rsid w:val="005B3B36"/>
    <w:rsid w:val="005B545C"/>
    <w:rsid w:val="005B55F8"/>
    <w:rsid w:val="005B5924"/>
    <w:rsid w:val="005B6561"/>
    <w:rsid w:val="005C0312"/>
    <w:rsid w:val="005C0453"/>
    <w:rsid w:val="005C21D1"/>
    <w:rsid w:val="005C24B6"/>
    <w:rsid w:val="005C29FA"/>
    <w:rsid w:val="005C363D"/>
    <w:rsid w:val="005C3E40"/>
    <w:rsid w:val="005C5F92"/>
    <w:rsid w:val="005C6775"/>
    <w:rsid w:val="005C6EDB"/>
    <w:rsid w:val="005D0763"/>
    <w:rsid w:val="005D0FD8"/>
    <w:rsid w:val="005D3DE0"/>
    <w:rsid w:val="005D4C84"/>
    <w:rsid w:val="005D57F3"/>
    <w:rsid w:val="005D67EA"/>
    <w:rsid w:val="005E0B96"/>
    <w:rsid w:val="005E4156"/>
    <w:rsid w:val="005E6DB6"/>
    <w:rsid w:val="005E7559"/>
    <w:rsid w:val="005F050F"/>
    <w:rsid w:val="005F0E9C"/>
    <w:rsid w:val="005F2C40"/>
    <w:rsid w:val="005F4DCE"/>
    <w:rsid w:val="005F5FC9"/>
    <w:rsid w:val="0060184B"/>
    <w:rsid w:val="00601A52"/>
    <w:rsid w:val="00602E73"/>
    <w:rsid w:val="00603627"/>
    <w:rsid w:val="006036A6"/>
    <w:rsid w:val="00603E2B"/>
    <w:rsid w:val="00603FA8"/>
    <w:rsid w:val="006050DD"/>
    <w:rsid w:val="006062EF"/>
    <w:rsid w:val="0061025C"/>
    <w:rsid w:val="00610DB8"/>
    <w:rsid w:val="006121E5"/>
    <w:rsid w:val="006126C8"/>
    <w:rsid w:val="00612D19"/>
    <w:rsid w:val="0061317B"/>
    <w:rsid w:val="00613972"/>
    <w:rsid w:val="006159F2"/>
    <w:rsid w:val="00615E70"/>
    <w:rsid w:val="006170F2"/>
    <w:rsid w:val="00617398"/>
    <w:rsid w:val="0061761D"/>
    <w:rsid w:val="006207E9"/>
    <w:rsid w:val="00621E70"/>
    <w:rsid w:val="00626B7E"/>
    <w:rsid w:val="00632BA7"/>
    <w:rsid w:val="00632C89"/>
    <w:rsid w:val="00632E8C"/>
    <w:rsid w:val="00634F11"/>
    <w:rsid w:val="006359F5"/>
    <w:rsid w:val="00635A18"/>
    <w:rsid w:val="006371BF"/>
    <w:rsid w:val="006377D3"/>
    <w:rsid w:val="00637BB7"/>
    <w:rsid w:val="00637D90"/>
    <w:rsid w:val="00642ADD"/>
    <w:rsid w:val="00643396"/>
    <w:rsid w:val="00643788"/>
    <w:rsid w:val="0064402C"/>
    <w:rsid w:val="006445A2"/>
    <w:rsid w:val="006456F5"/>
    <w:rsid w:val="00645C45"/>
    <w:rsid w:val="00646179"/>
    <w:rsid w:val="006464FD"/>
    <w:rsid w:val="006474EE"/>
    <w:rsid w:val="0064763A"/>
    <w:rsid w:val="006544DB"/>
    <w:rsid w:val="00656647"/>
    <w:rsid w:val="0065713B"/>
    <w:rsid w:val="0065713C"/>
    <w:rsid w:val="0065773E"/>
    <w:rsid w:val="00660B1F"/>
    <w:rsid w:val="00662194"/>
    <w:rsid w:val="006637FA"/>
    <w:rsid w:val="00663B17"/>
    <w:rsid w:val="00666A40"/>
    <w:rsid w:val="00671424"/>
    <w:rsid w:val="006755C1"/>
    <w:rsid w:val="00675A28"/>
    <w:rsid w:val="00676159"/>
    <w:rsid w:val="006772A7"/>
    <w:rsid w:val="006772CA"/>
    <w:rsid w:val="00677EE9"/>
    <w:rsid w:val="006804CF"/>
    <w:rsid w:val="00681E8E"/>
    <w:rsid w:val="006822DA"/>
    <w:rsid w:val="00682473"/>
    <w:rsid w:val="006829A8"/>
    <w:rsid w:val="00682FBC"/>
    <w:rsid w:val="00683A57"/>
    <w:rsid w:val="0068449E"/>
    <w:rsid w:val="00684A4C"/>
    <w:rsid w:val="006873EA"/>
    <w:rsid w:val="00692162"/>
    <w:rsid w:val="006923D5"/>
    <w:rsid w:val="00693024"/>
    <w:rsid w:val="00694ABE"/>
    <w:rsid w:val="00694E49"/>
    <w:rsid w:val="006A0E74"/>
    <w:rsid w:val="006A0FE1"/>
    <w:rsid w:val="006A218F"/>
    <w:rsid w:val="006A3F76"/>
    <w:rsid w:val="006A4054"/>
    <w:rsid w:val="006A40A1"/>
    <w:rsid w:val="006A5C00"/>
    <w:rsid w:val="006A6165"/>
    <w:rsid w:val="006A6392"/>
    <w:rsid w:val="006A7E28"/>
    <w:rsid w:val="006B2116"/>
    <w:rsid w:val="006B22AD"/>
    <w:rsid w:val="006B2982"/>
    <w:rsid w:val="006B35BE"/>
    <w:rsid w:val="006B4164"/>
    <w:rsid w:val="006C0A4C"/>
    <w:rsid w:val="006C0EB1"/>
    <w:rsid w:val="006C1B43"/>
    <w:rsid w:val="006C1D7C"/>
    <w:rsid w:val="006C3765"/>
    <w:rsid w:val="006C39BF"/>
    <w:rsid w:val="006C4775"/>
    <w:rsid w:val="006C6FA2"/>
    <w:rsid w:val="006C7000"/>
    <w:rsid w:val="006C7763"/>
    <w:rsid w:val="006D012B"/>
    <w:rsid w:val="006D12A7"/>
    <w:rsid w:val="006D2BD5"/>
    <w:rsid w:val="006D3ECE"/>
    <w:rsid w:val="006D4E45"/>
    <w:rsid w:val="006D5350"/>
    <w:rsid w:val="006E0317"/>
    <w:rsid w:val="006E0511"/>
    <w:rsid w:val="006E1113"/>
    <w:rsid w:val="006E12C1"/>
    <w:rsid w:val="006E5580"/>
    <w:rsid w:val="006E607F"/>
    <w:rsid w:val="006E7DC2"/>
    <w:rsid w:val="006F0D73"/>
    <w:rsid w:val="006F1342"/>
    <w:rsid w:val="006F3D80"/>
    <w:rsid w:val="006F3EF5"/>
    <w:rsid w:val="006F49F0"/>
    <w:rsid w:val="0070184A"/>
    <w:rsid w:val="00702E8D"/>
    <w:rsid w:val="0070360B"/>
    <w:rsid w:val="00704726"/>
    <w:rsid w:val="007053E7"/>
    <w:rsid w:val="0070569D"/>
    <w:rsid w:val="00705884"/>
    <w:rsid w:val="00705BD1"/>
    <w:rsid w:val="007063F2"/>
    <w:rsid w:val="00706E77"/>
    <w:rsid w:val="007075B8"/>
    <w:rsid w:val="00707B2E"/>
    <w:rsid w:val="00710B00"/>
    <w:rsid w:val="00711471"/>
    <w:rsid w:val="00712398"/>
    <w:rsid w:val="00716DEA"/>
    <w:rsid w:val="0072105B"/>
    <w:rsid w:val="0072121C"/>
    <w:rsid w:val="0072284E"/>
    <w:rsid w:val="00723508"/>
    <w:rsid w:val="00726630"/>
    <w:rsid w:val="0073286C"/>
    <w:rsid w:val="007328CC"/>
    <w:rsid w:val="007330DF"/>
    <w:rsid w:val="00733260"/>
    <w:rsid w:val="00735070"/>
    <w:rsid w:val="00735AD3"/>
    <w:rsid w:val="007364DA"/>
    <w:rsid w:val="007409D2"/>
    <w:rsid w:val="00742222"/>
    <w:rsid w:val="00743EA9"/>
    <w:rsid w:val="0074529C"/>
    <w:rsid w:val="00747ECC"/>
    <w:rsid w:val="00750BF8"/>
    <w:rsid w:val="00750E2F"/>
    <w:rsid w:val="007515BC"/>
    <w:rsid w:val="00753328"/>
    <w:rsid w:val="00753433"/>
    <w:rsid w:val="00754E11"/>
    <w:rsid w:val="00756097"/>
    <w:rsid w:val="00764F3A"/>
    <w:rsid w:val="00765CC1"/>
    <w:rsid w:val="007669BA"/>
    <w:rsid w:val="00767EFA"/>
    <w:rsid w:val="00770261"/>
    <w:rsid w:val="007712EA"/>
    <w:rsid w:val="00772439"/>
    <w:rsid w:val="00773ACD"/>
    <w:rsid w:val="007768C5"/>
    <w:rsid w:val="0077715B"/>
    <w:rsid w:val="007773BD"/>
    <w:rsid w:val="00777B72"/>
    <w:rsid w:val="00777EEE"/>
    <w:rsid w:val="007811C0"/>
    <w:rsid w:val="007819CF"/>
    <w:rsid w:val="0078263F"/>
    <w:rsid w:val="00783657"/>
    <w:rsid w:val="00786840"/>
    <w:rsid w:val="00790852"/>
    <w:rsid w:val="00790EEE"/>
    <w:rsid w:val="00791304"/>
    <w:rsid w:val="00791677"/>
    <w:rsid w:val="00791E8E"/>
    <w:rsid w:val="007931A9"/>
    <w:rsid w:val="00794E52"/>
    <w:rsid w:val="00794E6C"/>
    <w:rsid w:val="007952A7"/>
    <w:rsid w:val="00796982"/>
    <w:rsid w:val="007A02C7"/>
    <w:rsid w:val="007A05C6"/>
    <w:rsid w:val="007A2C70"/>
    <w:rsid w:val="007A3491"/>
    <w:rsid w:val="007A375D"/>
    <w:rsid w:val="007A5826"/>
    <w:rsid w:val="007A6215"/>
    <w:rsid w:val="007A657A"/>
    <w:rsid w:val="007B249F"/>
    <w:rsid w:val="007B4330"/>
    <w:rsid w:val="007B435A"/>
    <w:rsid w:val="007B5D7E"/>
    <w:rsid w:val="007B788E"/>
    <w:rsid w:val="007C17B1"/>
    <w:rsid w:val="007C33EF"/>
    <w:rsid w:val="007C43BB"/>
    <w:rsid w:val="007C6ED9"/>
    <w:rsid w:val="007C737B"/>
    <w:rsid w:val="007D1C47"/>
    <w:rsid w:val="007D1D13"/>
    <w:rsid w:val="007D20FF"/>
    <w:rsid w:val="007D36F2"/>
    <w:rsid w:val="007D3B6C"/>
    <w:rsid w:val="007D57DC"/>
    <w:rsid w:val="007E00A1"/>
    <w:rsid w:val="007E2BB1"/>
    <w:rsid w:val="007E2D9D"/>
    <w:rsid w:val="007E2F2D"/>
    <w:rsid w:val="007E3A3A"/>
    <w:rsid w:val="007E3C1B"/>
    <w:rsid w:val="007E6D47"/>
    <w:rsid w:val="007E71C7"/>
    <w:rsid w:val="007F0096"/>
    <w:rsid w:val="007F2BB3"/>
    <w:rsid w:val="007F35FA"/>
    <w:rsid w:val="007F3724"/>
    <w:rsid w:val="007F4330"/>
    <w:rsid w:val="007F45A7"/>
    <w:rsid w:val="007F4C1B"/>
    <w:rsid w:val="007F62A9"/>
    <w:rsid w:val="008022F1"/>
    <w:rsid w:val="0080288A"/>
    <w:rsid w:val="00802E2A"/>
    <w:rsid w:val="00803569"/>
    <w:rsid w:val="008049CE"/>
    <w:rsid w:val="0080535F"/>
    <w:rsid w:val="00807058"/>
    <w:rsid w:val="0080739F"/>
    <w:rsid w:val="0080758E"/>
    <w:rsid w:val="008076F3"/>
    <w:rsid w:val="0081025E"/>
    <w:rsid w:val="00810E7E"/>
    <w:rsid w:val="00812261"/>
    <w:rsid w:val="008124E6"/>
    <w:rsid w:val="00812B72"/>
    <w:rsid w:val="00813360"/>
    <w:rsid w:val="00813620"/>
    <w:rsid w:val="008143E5"/>
    <w:rsid w:val="00816F3A"/>
    <w:rsid w:val="008171ED"/>
    <w:rsid w:val="00820A94"/>
    <w:rsid w:val="00822DB3"/>
    <w:rsid w:val="00823B52"/>
    <w:rsid w:val="00823B90"/>
    <w:rsid w:val="00826B99"/>
    <w:rsid w:val="008304E8"/>
    <w:rsid w:val="00831ACA"/>
    <w:rsid w:val="00831AD5"/>
    <w:rsid w:val="00831BAA"/>
    <w:rsid w:val="00831E32"/>
    <w:rsid w:val="00834C7B"/>
    <w:rsid w:val="00836367"/>
    <w:rsid w:val="008375CF"/>
    <w:rsid w:val="008425D5"/>
    <w:rsid w:val="00843D20"/>
    <w:rsid w:val="00844454"/>
    <w:rsid w:val="00846C24"/>
    <w:rsid w:val="00847192"/>
    <w:rsid w:val="0084731D"/>
    <w:rsid w:val="00850142"/>
    <w:rsid w:val="008511D0"/>
    <w:rsid w:val="00857420"/>
    <w:rsid w:val="0085773A"/>
    <w:rsid w:val="008603F1"/>
    <w:rsid w:val="00860CCE"/>
    <w:rsid w:val="00862540"/>
    <w:rsid w:val="00862551"/>
    <w:rsid w:val="0086294E"/>
    <w:rsid w:val="00863459"/>
    <w:rsid w:val="008637E1"/>
    <w:rsid w:val="008669BF"/>
    <w:rsid w:val="0086774C"/>
    <w:rsid w:val="00867E68"/>
    <w:rsid w:val="00872CDA"/>
    <w:rsid w:val="0087340F"/>
    <w:rsid w:val="00873D37"/>
    <w:rsid w:val="00874188"/>
    <w:rsid w:val="00876879"/>
    <w:rsid w:val="0088302D"/>
    <w:rsid w:val="008830FE"/>
    <w:rsid w:val="00883A51"/>
    <w:rsid w:val="008841C7"/>
    <w:rsid w:val="00885271"/>
    <w:rsid w:val="00885C28"/>
    <w:rsid w:val="00885F6B"/>
    <w:rsid w:val="008866E0"/>
    <w:rsid w:val="00887803"/>
    <w:rsid w:val="00887ABA"/>
    <w:rsid w:val="00891481"/>
    <w:rsid w:val="00893A34"/>
    <w:rsid w:val="00893F1F"/>
    <w:rsid w:val="00897964"/>
    <w:rsid w:val="008A2903"/>
    <w:rsid w:val="008A2ECB"/>
    <w:rsid w:val="008A33CB"/>
    <w:rsid w:val="008A41D1"/>
    <w:rsid w:val="008A6B32"/>
    <w:rsid w:val="008A6D57"/>
    <w:rsid w:val="008A7DEB"/>
    <w:rsid w:val="008B39F2"/>
    <w:rsid w:val="008B7CC7"/>
    <w:rsid w:val="008C0103"/>
    <w:rsid w:val="008C0BAD"/>
    <w:rsid w:val="008C1654"/>
    <w:rsid w:val="008C2E66"/>
    <w:rsid w:val="008C2E8C"/>
    <w:rsid w:val="008C3CF3"/>
    <w:rsid w:val="008C4059"/>
    <w:rsid w:val="008C5061"/>
    <w:rsid w:val="008C62A2"/>
    <w:rsid w:val="008D321E"/>
    <w:rsid w:val="008D4069"/>
    <w:rsid w:val="008D4C74"/>
    <w:rsid w:val="008D578D"/>
    <w:rsid w:val="008D6F8D"/>
    <w:rsid w:val="008D7F95"/>
    <w:rsid w:val="008E0799"/>
    <w:rsid w:val="008E144C"/>
    <w:rsid w:val="008E1524"/>
    <w:rsid w:val="008E1751"/>
    <w:rsid w:val="008E35D5"/>
    <w:rsid w:val="008E499D"/>
    <w:rsid w:val="008F1742"/>
    <w:rsid w:val="008F3401"/>
    <w:rsid w:val="008F45DD"/>
    <w:rsid w:val="008F524F"/>
    <w:rsid w:val="008F546B"/>
    <w:rsid w:val="008F7F16"/>
    <w:rsid w:val="009011FA"/>
    <w:rsid w:val="0090185E"/>
    <w:rsid w:val="00903A46"/>
    <w:rsid w:val="00907EF1"/>
    <w:rsid w:val="009112D6"/>
    <w:rsid w:val="00911779"/>
    <w:rsid w:val="00912583"/>
    <w:rsid w:val="00912FE6"/>
    <w:rsid w:val="0091537A"/>
    <w:rsid w:val="0091613C"/>
    <w:rsid w:val="00916AA9"/>
    <w:rsid w:val="00917703"/>
    <w:rsid w:val="00917F57"/>
    <w:rsid w:val="00921613"/>
    <w:rsid w:val="00921AD9"/>
    <w:rsid w:val="00922DFB"/>
    <w:rsid w:val="00924DAD"/>
    <w:rsid w:val="00924EF9"/>
    <w:rsid w:val="00926B17"/>
    <w:rsid w:val="00931139"/>
    <w:rsid w:val="00931186"/>
    <w:rsid w:val="00931C60"/>
    <w:rsid w:val="00932315"/>
    <w:rsid w:val="00932330"/>
    <w:rsid w:val="009366A0"/>
    <w:rsid w:val="009407EE"/>
    <w:rsid w:val="00942FC8"/>
    <w:rsid w:val="00943B26"/>
    <w:rsid w:val="00950357"/>
    <w:rsid w:val="0095200D"/>
    <w:rsid w:val="00952FCD"/>
    <w:rsid w:val="009542D3"/>
    <w:rsid w:val="00956DA6"/>
    <w:rsid w:val="009575E3"/>
    <w:rsid w:val="00957F52"/>
    <w:rsid w:val="00960387"/>
    <w:rsid w:val="00961C3D"/>
    <w:rsid w:val="00961DC0"/>
    <w:rsid w:val="00962484"/>
    <w:rsid w:val="0096278C"/>
    <w:rsid w:val="009643C4"/>
    <w:rsid w:val="00966424"/>
    <w:rsid w:val="00967BAA"/>
    <w:rsid w:val="00970DF3"/>
    <w:rsid w:val="00972C3E"/>
    <w:rsid w:val="009730C0"/>
    <w:rsid w:val="00975870"/>
    <w:rsid w:val="00975CDC"/>
    <w:rsid w:val="00975F46"/>
    <w:rsid w:val="009768F2"/>
    <w:rsid w:val="00981A56"/>
    <w:rsid w:val="00983242"/>
    <w:rsid w:val="00983700"/>
    <w:rsid w:val="00984467"/>
    <w:rsid w:val="0098563C"/>
    <w:rsid w:val="0098603E"/>
    <w:rsid w:val="00986F53"/>
    <w:rsid w:val="0099053A"/>
    <w:rsid w:val="00991307"/>
    <w:rsid w:val="009918E8"/>
    <w:rsid w:val="00991ACC"/>
    <w:rsid w:val="00992345"/>
    <w:rsid w:val="00993572"/>
    <w:rsid w:val="009938A6"/>
    <w:rsid w:val="00995D58"/>
    <w:rsid w:val="0099604A"/>
    <w:rsid w:val="009962FE"/>
    <w:rsid w:val="00997E46"/>
    <w:rsid w:val="009A0E5A"/>
    <w:rsid w:val="009A1F84"/>
    <w:rsid w:val="009A237B"/>
    <w:rsid w:val="009A23EE"/>
    <w:rsid w:val="009A2C24"/>
    <w:rsid w:val="009A4293"/>
    <w:rsid w:val="009A6068"/>
    <w:rsid w:val="009B0464"/>
    <w:rsid w:val="009B1209"/>
    <w:rsid w:val="009B3F9B"/>
    <w:rsid w:val="009B4464"/>
    <w:rsid w:val="009B5E94"/>
    <w:rsid w:val="009B5ED9"/>
    <w:rsid w:val="009B687E"/>
    <w:rsid w:val="009B78C5"/>
    <w:rsid w:val="009C130A"/>
    <w:rsid w:val="009C4DC5"/>
    <w:rsid w:val="009C4F2E"/>
    <w:rsid w:val="009C5262"/>
    <w:rsid w:val="009C6B0A"/>
    <w:rsid w:val="009D07A9"/>
    <w:rsid w:val="009D176F"/>
    <w:rsid w:val="009D5865"/>
    <w:rsid w:val="009D5E4C"/>
    <w:rsid w:val="009D6D25"/>
    <w:rsid w:val="009E03FB"/>
    <w:rsid w:val="009E17B9"/>
    <w:rsid w:val="009E39BD"/>
    <w:rsid w:val="009E56D2"/>
    <w:rsid w:val="009F06E5"/>
    <w:rsid w:val="009F09E6"/>
    <w:rsid w:val="009F39B2"/>
    <w:rsid w:val="009F630C"/>
    <w:rsid w:val="009F7B9A"/>
    <w:rsid w:val="009F7F75"/>
    <w:rsid w:val="00A0358C"/>
    <w:rsid w:val="00A03704"/>
    <w:rsid w:val="00A05AD3"/>
    <w:rsid w:val="00A067D6"/>
    <w:rsid w:val="00A06AC7"/>
    <w:rsid w:val="00A11347"/>
    <w:rsid w:val="00A11C67"/>
    <w:rsid w:val="00A12961"/>
    <w:rsid w:val="00A136AC"/>
    <w:rsid w:val="00A13885"/>
    <w:rsid w:val="00A144CF"/>
    <w:rsid w:val="00A169B4"/>
    <w:rsid w:val="00A16CD8"/>
    <w:rsid w:val="00A178DF"/>
    <w:rsid w:val="00A20C92"/>
    <w:rsid w:val="00A214BF"/>
    <w:rsid w:val="00A227F2"/>
    <w:rsid w:val="00A23B23"/>
    <w:rsid w:val="00A240B1"/>
    <w:rsid w:val="00A241BD"/>
    <w:rsid w:val="00A26015"/>
    <w:rsid w:val="00A260E7"/>
    <w:rsid w:val="00A2777E"/>
    <w:rsid w:val="00A309DF"/>
    <w:rsid w:val="00A3103A"/>
    <w:rsid w:val="00A31268"/>
    <w:rsid w:val="00A31E8F"/>
    <w:rsid w:val="00A321C2"/>
    <w:rsid w:val="00A34BD8"/>
    <w:rsid w:val="00A3580A"/>
    <w:rsid w:val="00A40AF3"/>
    <w:rsid w:val="00A41E37"/>
    <w:rsid w:val="00A41FC7"/>
    <w:rsid w:val="00A44EB9"/>
    <w:rsid w:val="00A458F0"/>
    <w:rsid w:val="00A46A67"/>
    <w:rsid w:val="00A474F8"/>
    <w:rsid w:val="00A51CC9"/>
    <w:rsid w:val="00A51EF6"/>
    <w:rsid w:val="00A52763"/>
    <w:rsid w:val="00A52964"/>
    <w:rsid w:val="00A541BB"/>
    <w:rsid w:val="00A637DD"/>
    <w:rsid w:val="00A65EA6"/>
    <w:rsid w:val="00A72A2B"/>
    <w:rsid w:val="00A72D91"/>
    <w:rsid w:val="00A73D4B"/>
    <w:rsid w:val="00A748A3"/>
    <w:rsid w:val="00A761FA"/>
    <w:rsid w:val="00A771C0"/>
    <w:rsid w:val="00A80CA4"/>
    <w:rsid w:val="00A81192"/>
    <w:rsid w:val="00A81297"/>
    <w:rsid w:val="00A82A72"/>
    <w:rsid w:val="00A85A08"/>
    <w:rsid w:val="00A86724"/>
    <w:rsid w:val="00A8672D"/>
    <w:rsid w:val="00A90B0E"/>
    <w:rsid w:val="00A90B93"/>
    <w:rsid w:val="00A92BBE"/>
    <w:rsid w:val="00A92E1D"/>
    <w:rsid w:val="00A94F1D"/>
    <w:rsid w:val="00A95810"/>
    <w:rsid w:val="00A95DA6"/>
    <w:rsid w:val="00A97006"/>
    <w:rsid w:val="00A97DC2"/>
    <w:rsid w:val="00AA0305"/>
    <w:rsid w:val="00AA1E55"/>
    <w:rsid w:val="00AA2A15"/>
    <w:rsid w:val="00AA2A96"/>
    <w:rsid w:val="00AA2B71"/>
    <w:rsid w:val="00AA42A7"/>
    <w:rsid w:val="00AA5075"/>
    <w:rsid w:val="00AA50D5"/>
    <w:rsid w:val="00AA714E"/>
    <w:rsid w:val="00AB1C8B"/>
    <w:rsid w:val="00AB4B80"/>
    <w:rsid w:val="00AB7678"/>
    <w:rsid w:val="00AC014E"/>
    <w:rsid w:val="00AC238D"/>
    <w:rsid w:val="00AC4B7F"/>
    <w:rsid w:val="00AC5A62"/>
    <w:rsid w:val="00AC7238"/>
    <w:rsid w:val="00AC7BEB"/>
    <w:rsid w:val="00AC7C05"/>
    <w:rsid w:val="00AD162D"/>
    <w:rsid w:val="00AD16E4"/>
    <w:rsid w:val="00AD2189"/>
    <w:rsid w:val="00AD2C02"/>
    <w:rsid w:val="00AD31A9"/>
    <w:rsid w:val="00AD5287"/>
    <w:rsid w:val="00AD6CF5"/>
    <w:rsid w:val="00AD7847"/>
    <w:rsid w:val="00AE097A"/>
    <w:rsid w:val="00AE1B5A"/>
    <w:rsid w:val="00AE2151"/>
    <w:rsid w:val="00AE249D"/>
    <w:rsid w:val="00AE31B0"/>
    <w:rsid w:val="00AE32DF"/>
    <w:rsid w:val="00AE3EC0"/>
    <w:rsid w:val="00AE6FC4"/>
    <w:rsid w:val="00AF0479"/>
    <w:rsid w:val="00AF26A2"/>
    <w:rsid w:val="00AF3DFB"/>
    <w:rsid w:val="00AF411C"/>
    <w:rsid w:val="00AF4B64"/>
    <w:rsid w:val="00AF7EC6"/>
    <w:rsid w:val="00B01B51"/>
    <w:rsid w:val="00B03333"/>
    <w:rsid w:val="00B033B6"/>
    <w:rsid w:val="00B0379D"/>
    <w:rsid w:val="00B038D4"/>
    <w:rsid w:val="00B0406A"/>
    <w:rsid w:val="00B06841"/>
    <w:rsid w:val="00B06B03"/>
    <w:rsid w:val="00B07839"/>
    <w:rsid w:val="00B07DB6"/>
    <w:rsid w:val="00B11363"/>
    <w:rsid w:val="00B113E5"/>
    <w:rsid w:val="00B1162D"/>
    <w:rsid w:val="00B14C06"/>
    <w:rsid w:val="00B153F0"/>
    <w:rsid w:val="00B162A3"/>
    <w:rsid w:val="00B17ECC"/>
    <w:rsid w:val="00B23398"/>
    <w:rsid w:val="00B245B0"/>
    <w:rsid w:val="00B26E56"/>
    <w:rsid w:val="00B31879"/>
    <w:rsid w:val="00B3311C"/>
    <w:rsid w:val="00B33125"/>
    <w:rsid w:val="00B34A3B"/>
    <w:rsid w:val="00B355C5"/>
    <w:rsid w:val="00B3673D"/>
    <w:rsid w:val="00B44C6C"/>
    <w:rsid w:val="00B4757F"/>
    <w:rsid w:val="00B5187A"/>
    <w:rsid w:val="00B5229A"/>
    <w:rsid w:val="00B52E33"/>
    <w:rsid w:val="00B55CD1"/>
    <w:rsid w:val="00B605F9"/>
    <w:rsid w:val="00B6107D"/>
    <w:rsid w:val="00B61C67"/>
    <w:rsid w:val="00B6314D"/>
    <w:rsid w:val="00B64BD8"/>
    <w:rsid w:val="00B66362"/>
    <w:rsid w:val="00B70EFF"/>
    <w:rsid w:val="00B713DA"/>
    <w:rsid w:val="00B71654"/>
    <w:rsid w:val="00B727C2"/>
    <w:rsid w:val="00B738C7"/>
    <w:rsid w:val="00B747AC"/>
    <w:rsid w:val="00B75E1D"/>
    <w:rsid w:val="00B77124"/>
    <w:rsid w:val="00B8023E"/>
    <w:rsid w:val="00B82106"/>
    <w:rsid w:val="00B82526"/>
    <w:rsid w:val="00B82809"/>
    <w:rsid w:val="00B87915"/>
    <w:rsid w:val="00B9084D"/>
    <w:rsid w:val="00B91224"/>
    <w:rsid w:val="00B91420"/>
    <w:rsid w:val="00B92DEC"/>
    <w:rsid w:val="00B9525A"/>
    <w:rsid w:val="00BA015D"/>
    <w:rsid w:val="00BA064C"/>
    <w:rsid w:val="00BA08F9"/>
    <w:rsid w:val="00BA0C85"/>
    <w:rsid w:val="00BA1B22"/>
    <w:rsid w:val="00BA4091"/>
    <w:rsid w:val="00BA4735"/>
    <w:rsid w:val="00BA54D5"/>
    <w:rsid w:val="00BB1E8F"/>
    <w:rsid w:val="00BB2DB8"/>
    <w:rsid w:val="00BB3A50"/>
    <w:rsid w:val="00BB4CC8"/>
    <w:rsid w:val="00BB4D9B"/>
    <w:rsid w:val="00BB647C"/>
    <w:rsid w:val="00BC0C83"/>
    <w:rsid w:val="00BC33E7"/>
    <w:rsid w:val="00BC5A0A"/>
    <w:rsid w:val="00BC61B1"/>
    <w:rsid w:val="00BC74B2"/>
    <w:rsid w:val="00BD1F16"/>
    <w:rsid w:val="00BD201F"/>
    <w:rsid w:val="00BD27A9"/>
    <w:rsid w:val="00BD55D3"/>
    <w:rsid w:val="00BD787F"/>
    <w:rsid w:val="00BD7E26"/>
    <w:rsid w:val="00BE00F2"/>
    <w:rsid w:val="00BE209A"/>
    <w:rsid w:val="00BE2293"/>
    <w:rsid w:val="00BE2455"/>
    <w:rsid w:val="00BE24AF"/>
    <w:rsid w:val="00BE37DF"/>
    <w:rsid w:val="00BE37E1"/>
    <w:rsid w:val="00BE390F"/>
    <w:rsid w:val="00BE4B28"/>
    <w:rsid w:val="00BE4ED0"/>
    <w:rsid w:val="00BE57F6"/>
    <w:rsid w:val="00BE6E5D"/>
    <w:rsid w:val="00BE7220"/>
    <w:rsid w:val="00BF021D"/>
    <w:rsid w:val="00BF26F2"/>
    <w:rsid w:val="00BF2CC2"/>
    <w:rsid w:val="00BF2D80"/>
    <w:rsid w:val="00BF2DF2"/>
    <w:rsid w:val="00BF32A0"/>
    <w:rsid w:val="00BF34A5"/>
    <w:rsid w:val="00BF3828"/>
    <w:rsid w:val="00BF4F4D"/>
    <w:rsid w:val="00BF5144"/>
    <w:rsid w:val="00BF5E9D"/>
    <w:rsid w:val="00C00747"/>
    <w:rsid w:val="00C01116"/>
    <w:rsid w:val="00C01B98"/>
    <w:rsid w:val="00C02336"/>
    <w:rsid w:val="00C04254"/>
    <w:rsid w:val="00C043A7"/>
    <w:rsid w:val="00C044F1"/>
    <w:rsid w:val="00C050D3"/>
    <w:rsid w:val="00C10374"/>
    <w:rsid w:val="00C12840"/>
    <w:rsid w:val="00C13480"/>
    <w:rsid w:val="00C1593D"/>
    <w:rsid w:val="00C165F5"/>
    <w:rsid w:val="00C172E3"/>
    <w:rsid w:val="00C217D7"/>
    <w:rsid w:val="00C21910"/>
    <w:rsid w:val="00C22372"/>
    <w:rsid w:val="00C22791"/>
    <w:rsid w:val="00C244FF"/>
    <w:rsid w:val="00C268EB"/>
    <w:rsid w:val="00C27FC3"/>
    <w:rsid w:val="00C33D51"/>
    <w:rsid w:val="00C34065"/>
    <w:rsid w:val="00C34542"/>
    <w:rsid w:val="00C35BF3"/>
    <w:rsid w:val="00C3670D"/>
    <w:rsid w:val="00C41370"/>
    <w:rsid w:val="00C41EED"/>
    <w:rsid w:val="00C442B6"/>
    <w:rsid w:val="00C459A1"/>
    <w:rsid w:val="00C47A2B"/>
    <w:rsid w:val="00C5096F"/>
    <w:rsid w:val="00C50CC6"/>
    <w:rsid w:val="00C515E2"/>
    <w:rsid w:val="00C5205C"/>
    <w:rsid w:val="00C5302D"/>
    <w:rsid w:val="00C5403F"/>
    <w:rsid w:val="00C55956"/>
    <w:rsid w:val="00C55CDD"/>
    <w:rsid w:val="00C55D2D"/>
    <w:rsid w:val="00C5787F"/>
    <w:rsid w:val="00C57E44"/>
    <w:rsid w:val="00C60E71"/>
    <w:rsid w:val="00C61A6F"/>
    <w:rsid w:val="00C62F4A"/>
    <w:rsid w:val="00C6318D"/>
    <w:rsid w:val="00C634DB"/>
    <w:rsid w:val="00C6387F"/>
    <w:rsid w:val="00C63883"/>
    <w:rsid w:val="00C66506"/>
    <w:rsid w:val="00C70641"/>
    <w:rsid w:val="00C72EF0"/>
    <w:rsid w:val="00C7318D"/>
    <w:rsid w:val="00C745FC"/>
    <w:rsid w:val="00C74CC2"/>
    <w:rsid w:val="00C76487"/>
    <w:rsid w:val="00C77322"/>
    <w:rsid w:val="00C77ACD"/>
    <w:rsid w:val="00C81584"/>
    <w:rsid w:val="00C82FC1"/>
    <w:rsid w:val="00C83726"/>
    <w:rsid w:val="00C85536"/>
    <w:rsid w:val="00C912DF"/>
    <w:rsid w:val="00C9240D"/>
    <w:rsid w:val="00C96565"/>
    <w:rsid w:val="00C975F3"/>
    <w:rsid w:val="00C9766A"/>
    <w:rsid w:val="00C9795B"/>
    <w:rsid w:val="00CA1310"/>
    <w:rsid w:val="00CA27D5"/>
    <w:rsid w:val="00CA3336"/>
    <w:rsid w:val="00CA3630"/>
    <w:rsid w:val="00CA49A2"/>
    <w:rsid w:val="00CA4D80"/>
    <w:rsid w:val="00CA552A"/>
    <w:rsid w:val="00CA55AC"/>
    <w:rsid w:val="00CA5DA4"/>
    <w:rsid w:val="00CA6831"/>
    <w:rsid w:val="00CA683E"/>
    <w:rsid w:val="00CB0179"/>
    <w:rsid w:val="00CB0C87"/>
    <w:rsid w:val="00CB2278"/>
    <w:rsid w:val="00CB354D"/>
    <w:rsid w:val="00CB6BD8"/>
    <w:rsid w:val="00CB74C1"/>
    <w:rsid w:val="00CC0031"/>
    <w:rsid w:val="00CC11DE"/>
    <w:rsid w:val="00CC1B2D"/>
    <w:rsid w:val="00CC2C4F"/>
    <w:rsid w:val="00CC3FDF"/>
    <w:rsid w:val="00CC60B9"/>
    <w:rsid w:val="00CD0CE0"/>
    <w:rsid w:val="00CD1628"/>
    <w:rsid w:val="00CD2712"/>
    <w:rsid w:val="00CD35A0"/>
    <w:rsid w:val="00CD41EE"/>
    <w:rsid w:val="00CD476F"/>
    <w:rsid w:val="00CD664F"/>
    <w:rsid w:val="00CD7C95"/>
    <w:rsid w:val="00CE3D5E"/>
    <w:rsid w:val="00CE49E7"/>
    <w:rsid w:val="00CE642E"/>
    <w:rsid w:val="00CF034B"/>
    <w:rsid w:val="00CF24C7"/>
    <w:rsid w:val="00CF32E9"/>
    <w:rsid w:val="00CF345C"/>
    <w:rsid w:val="00CF4950"/>
    <w:rsid w:val="00CF4E94"/>
    <w:rsid w:val="00CF56C1"/>
    <w:rsid w:val="00CF75BA"/>
    <w:rsid w:val="00D0100E"/>
    <w:rsid w:val="00D010E3"/>
    <w:rsid w:val="00D01A19"/>
    <w:rsid w:val="00D02E90"/>
    <w:rsid w:val="00D0482D"/>
    <w:rsid w:val="00D05810"/>
    <w:rsid w:val="00D10925"/>
    <w:rsid w:val="00D15ADE"/>
    <w:rsid w:val="00D20416"/>
    <w:rsid w:val="00D20CCF"/>
    <w:rsid w:val="00D21942"/>
    <w:rsid w:val="00D22B65"/>
    <w:rsid w:val="00D23682"/>
    <w:rsid w:val="00D30BD9"/>
    <w:rsid w:val="00D30C9F"/>
    <w:rsid w:val="00D31275"/>
    <w:rsid w:val="00D3196B"/>
    <w:rsid w:val="00D324FC"/>
    <w:rsid w:val="00D35F36"/>
    <w:rsid w:val="00D378DF"/>
    <w:rsid w:val="00D41322"/>
    <w:rsid w:val="00D42B0C"/>
    <w:rsid w:val="00D47AC5"/>
    <w:rsid w:val="00D5090D"/>
    <w:rsid w:val="00D5113F"/>
    <w:rsid w:val="00D52351"/>
    <w:rsid w:val="00D56336"/>
    <w:rsid w:val="00D56BA7"/>
    <w:rsid w:val="00D576E9"/>
    <w:rsid w:val="00D5781D"/>
    <w:rsid w:val="00D617EF"/>
    <w:rsid w:val="00D62ECD"/>
    <w:rsid w:val="00D65CF2"/>
    <w:rsid w:val="00D6682C"/>
    <w:rsid w:val="00D66CF8"/>
    <w:rsid w:val="00D66DB5"/>
    <w:rsid w:val="00D67F9B"/>
    <w:rsid w:val="00D7008D"/>
    <w:rsid w:val="00D7086E"/>
    <w:rsid w:val="00D70C49"/>
    <w:rsid w:val="00D70F3A"/>
    <w:rsid w:val="00D71EDD"/>
    <w:rsid w:val="00D72BEF"/>
    <w:rsid w:val="00D72C62"/>
    <w:rsid w:val="00D73886"/>
    <w:rsid w:val="00D76AB8"/>
    <w:rsid w:val="00D772B3"/>
    <w:rsid w:val="00D77A52"/>
    <w:rsid w:val="00D81B58"/>
    <w:rsid w:val="00D81C14"/>
    <w:rsid w:val="00D832D5"/>
    <w:rsid w:val="00D83376"/>
    <w:rsid w:val="00D84B5D"/>
    <w:rsid w:val="00D853FF"/>
    <w:rsid w:val="00D8705F"/>
    <w:rsid w:val="00D87A07"/>
    <w:rsid w:val="00D92A15"/>
    <w:rsid w:val="00D934FF"/>
    <w:rsid w:val="00D943DD"/>
    <w:rsid w:val="00D957C0"/>
    <w:rsid w:val="00D965FE"/>
    <w:rsid w:val="00DA0546"/>
    <w:rsid w:val="00DA1332"/>
    <w:rsid w:val="00DA377B"/>
    <w:rsid w:val="00DA48F6"/>
    <w:rsid w:val="00DA5238"/>
    <w:rsid w:val="00DA53C1"/>
    <w:rsid w:val="00DA5621"/>
    <w:rsid w:val="00DA5B67"/>
    <w:rsid w:val="00DA7ECD"/>
    <w:rsid w:val="00DB09E4"/>
    <w:rsid w:val="00DB2D17"/>
    <w:rsid w:val="00DB360D"/>
    <w:rsid w:val="00DB5E4D"/>
    <w:rsid w:val="00DB5F9F"/>
    <w:rsid w:val="00DB630D"/>
    <w:rsid w:val="00DB6D1F"/>
    <w:rsid w:val="00DB7C29"/>
    <w:rsid w:val="00DC11CB"/>
    <w:rsid w:val="00DC13EA"/>
    <w:rsid w:val="00DC1BB7"/>
    <w:rsid w:val="00DC3ADA"/>
    <w:rsid w:val="00DC4A0B"/>
    <w:rsid w:val="00DC4D66"/>
    <w:rsid w:val="00DC73B8"/>
    <w:rsid w:val="00DC78F4"/>
    <w:rsid w:val="00DD026E"/>
    <w:rsid w:val="00DD1715"/>
    <w:rsid w:val="00DD2C4D"/>
    <w:rsid w:val="00DD35FE"/>
    <w:rsid w:val="00DD37BF"/>
    <w:rsid w:val="00DD4340"/>
    <w:rsid w:val="00DD44AD"/>
    <w:rsid w:val="00DD45F6"/>
    <w:rsid w:val="00DD5596"/>
    <w:rsid w:val="00DD5A7F"/>
    <w:rsid w:val="00DD6B23"/>
    <w:rsid w:val="00DE1E06"/>
    <w:rsid w:val="00DE342A"/>
    <w:rsid w:val="00DE4832"/>
    <w:rsid w:val="00DE48C3"/>
    <w:rsid w:val="00DE493A"/>
    <w:rsid w:val="00DE5099"/>
    <w:rsid w:val="00DE58AE"/>
    <w:rsid w:val="00DE598B"/>
    <w:rsid w:val="00DE7190"/>
    <w:rsid w:val="00DF1157"/>
    <w:rsid w:val="00DF178D"/>
    <w:rsid w:val="00DF25F0"/>
    <w:rsid w:val="00DF2711"/>
    <w:rsid w:val="00DF2E2D"/>
    <w:rsid w:val="00DF38C7"/>
    <w:rsid w:val="00DF4392"/>
    <w:rsid w:val="00DF4E1F"/>
    <w:rsid w:val="00DF69A1"/>
    <w:rsid w:val="00DF6DE1"/>
    <w:rsid w:val="00DF752E"/>
    <w:rsid w:val="00E0035B"/>
    <w:rsid w:val="00E00956"/>
    <w:rsid w:val="00E011B3"/>
    <w:rsid w:val="00E01A14"/>
    <w:rsid w:val="00E01A51"/>
    <w:rsid w:val="00E02EE2"/>
    <w:rsid w:val="00E041D3"/>
    <w:rsid w:val="00E04B3B"/>
    <w:rsid w:val="00E04D61"/>
    <w:rsid w:val="00E05109"/>
    <w:rsid w:val="00E05894"/>
    <w:rsid w:val="00E0642C"/>
    <w:rsid w:val="00E06BD0"/>
    <w:rsid w:val="00E109E0"/>
    <w:rsid w:val="00E1364D"/>
    <w:rsid w:val="00E14FA3"/>
    <w:rsid w:val="00E151B6"/>
    <w:rsid w:val="00E153CF"/>
    <w:rsid w:val="00E1543D"/>
    <w:rsid w:val="00E15D9B"/>
    <w:rsid w:val="00E169B1"/>
    <w:rsid w:val="00E17572"/>
    <w:rsid w:val="00E176F6"/>
    <w:rsid w:val="00E177EE"/>
    <w:rsid w:val="00E204AA"/>
    <w:rsid w:val="00E245F0"/>
    <w:rsid w:val="00E2566D"/>
    <w:rsid w:val="00E27820"/>
    <w:rsid w:val="00E304B3"/>
    <w:rsid w:val="00E32827"/>
    <w:rsid w:val="00E329AF"/>
    <w:rsid w:val="00E342B0"/>
    <w:rsid w:val="00E350B7"/>
    <w:rsid w:val="00E3565F"/>
    <w:rsid w:val="00E356BA"/>
    <w:rsid w:val="00E37D1E"/>
    <w:rsid w:val="00E40979"/>
    <w:rsid w:val="00E435B7"/>
    <w:rsid w:val="00E43A26"/>
    <w:rsid w:val="00E466D8"/>
    <w:rsid w:val="00E46AF2"/>
    <w:rsid w:val="00E47557"/>
    <w:rsid w:val="00E503F7"/>
    <w:rsid w:val="00E53782"/>
    <w:rsid w:val="00E5543F"/>
    <w:rsid w:val="00E6140D"/>
    <w:rsid w:val="00E61F52"/>
    <w:rsid w:val="00E6414B"/>
    <w:rsid w:val="00E64851"/>
    <w:rsid w:val="00E64E5A"/>
    <w:rsid w:val="00E67C51"/>
    <w:rsid w:val="00E70BD3"/>
    <w:rsid w:val="00E71783"/>
    <w:rsid w:val="00E71967"/>
    <w:rsid w:val="00E7237E"/>
    <w:rsid w:val="00E72A5A"/>
    <w:rsid w:val="00E72D5C"/>
    <w:rsid w:val="00E735B1"/>
    <w:rsid w:val="00E73BE0"/>
    <w:rsid w:val="00E741ED"/>
    <w:rsid w:val="00E770AD"/>
    <w:rsid w:val="00E77FD2"/>
    <w:rsid w:val="00E81DCB"/>
    <w:rsid w:val="00E85206"/>
    <w:rsid w:val="00E90B31"/>
    <w:rsid w:val="00E90BDF"/>
    <w:rsid w:val="00E929ED"/>
    <w:rsid w:val="00E940AC"/>
    <w:rsid w:val="00E94F36"/>
    <w:rsid w:val="00E95883"/>
    <w:rsid w:val="00EA258A"/>
    <w:rsid w:val="00EA30E5"/>
    <w:rsid w:val="00EA447E"/>
    <w:rsid w:val="00EA4DBC"/>
    <w:rsid w:val="00EA50AB"/>
    <w:rsid w:val="00EB037F"/>
    <w:rsid w:val="00EB10EA"/>
    <w:rsid w:val="00EB1595"/>
    <w:rsid w:val="00EB31AB"/>
    <w:rsid w:val="00EB4EFE"/>
    <w:rsid w:val="00EB5751"/>
    <w:rsid w:val="00EC175E"/>
    <w:rsid w:val="00EC22D7"/>
    <w:rsid w:val="00EC245A"/>
    <w:rsid w:val="00EC4BAE"/>
    <w:rsid w:val="00EC5B7C"/>
    <w:rsid w:val="00EC5D37"/>
    <w:rsid w:val="00EC6A3F"/>
    <w:rsid w:val="00ED0AAC"/>
    <w:rsid w:val="00ED2391"/>
    <w:rsid w:val="00ED3DA3"/>
    <w:rsid w:val="00ED48BC"/>
    <w:rsid w:val="00EE6411"/>
    <w:rsid w:val="00EE66C7"/>
    <w:rsid w:val="00EE6B2F"/>
    <w:rsid w:val="00EE70C3"/>
    <w:rsid w:val="00EF02F8"/>
    <w:rsid w:val="00EF0400"/>
    <w:rsid w:val="00EF5730"/>
    <w:rsid w:val="00EF5C83"/>
    <w:rsid w:val="00EF7D7A"/>
    <w:rsid w:val="00F002B2"/>
    <w:rsid w:val="00F00AC2"/>
    <w:rsid w:val="00F01C27"/>
    <w:rsid w:val="00F0204B"/>
    <w:rsid w:val="00F03B3D"/>
    <w:rsid w:val="00F05177"/>
    <w:rsid w:val="00F05E3E"/>
    <w:rsid w:val="00F0601A"/>
    <w:rsid w:val="00F0724E"/>
    <w:rsid w:val="00F12FA2"/>
    <w:rsid w:val="00F14C67"/>
    <w:rsid w:val="00F15518"/>
    <w:rsid w:val="00F17616"/>
    <w:rsid w:val="00F22E5F"/>
    <w:rsid w:val="00F233B0"/>
    <w:rsid w:val="00F24E5E"/>
    <w:rsid w:val="00F25D76"/>
    <w:rsid w:val="00F26DA9"/>
    <w:rsid w:val="00F31D64"/>
    <w:rsid w:val="00F33537"/>
    <w:rsid w:val="00F33736"/>
    <w:rsid w:val="00F33B09"/>
    <w:rsid w:val="00F3434E"/>
    <w:rsid w:val="00F358FC"/>
    <w:rsid w:val="00F36D4A"/>
    <w:rsid w:val="00F376EB"/>
    <w:rsid w:val="00F37FE5"/>
    <w:rsid w:val="00F40EC2"/>
    <w:rsid w:val="00F40EFA"/>
    <w:rsid w:val="00F41545"/>
    <w:rsid w:val="00F41EEA"/>
    <w:rsid w:val="00F4341D"/>
    <w:rsid w:val="00F4545C"/>
    <w:rsid w:val="00F45E80"/>
    <w:rsid w:val="00F50177"/>
    <w:rsid w:val="00F51132"/>
    <w:rsid w:val="00F51CC5"/>
    <w:rsid w:val="00F51F90"/>
    <w:rsid w:val="00F567BF"/>
    <w:rsid w:val="00F56AC0"/>
    <w:rsid w:val="00F56F0E"/>
    <w:rsid w:val="00F56F47"/>
    <w:rsid w:val="00F57335"/>
    <w:rsid w:val="00F57A39"/>
    <w:rsid w:val="00F61F72"/>
    <w:rsid w:val="00F62680"/>
    <w:rsid w:val="00F63723"/>
    <w:rsid w:val="00F63BA4"/>
    <w:rsid w:val="00F65E9E"/>
    <w:rsid w:val="00F66FF6"/>
    <w:rsid w:val="00F7025D"/>
    <w:rsid w:val="00F72085"/>
    <w:rsid w:val="00F73FF5"/>
    <w:rsid w:val="00F74EFB"/>
    <w:rsid w:val="00F76F54"/>
    <w:rsid w:val="00F7712A"/>
    <w:rsid w:val="00F77955"/>
    <w:rsid w:val="00F803F8"/>
    <w:rsid w:val="00F8144D"/>
    <w:rsid w:val="00F82B0E"/>
    <w:rsid w:val="00F8415B"/>
    <w:rsid w:val="00F84424"/>
    <w:rsid w:val="00F869F8"/>
    <w:rsid w:val="00F86B46"/>
    <w:rsid w:val="00F86BE3"/>
    <w:rsid w:val="00F90EFD"/>
    <w:rsid w:val="00F926D8"/>
    <w:rsid w:val="00F93F4C"/>
    <w:rsid w:val="00F940FF"/>
    <w:rsid w:val="00F9535B"/>
    <w:rsid w:val="00F95DE8"/>
    <w:rsid w:val="00F962C7"/>
    <w:rsid w:val="00F96FD2"/>
    <w:rsid w:val="00F9780A"/>
    <w:rsid w:val="00FA04B4"/>
    <w:rsid w:val="00FA06AC"/>
    <w:rsid w:val="00FA0E40"/>
    <w:rsid w:val="00FA13F8"/>
    <w:rsid w:val="00FA1906"/>
    <w:rsid w:val="00FA2EC0"/>
    <w:rsid w:val="00FA31AD"/>
    <w:rsid w:val="00FA3F1F"/>
    <w:rsid w:val="00FA47E1"/>
    <w:rsid w:val="00FA4EA3"/>
    <w:rsid w:val="00FB0933"/>
    <w:rsid w:val="00FB13E0"/>
    <w:rsid w:val="00FB38D6"/>
    <w:rsid w:val="00FB4CA8"/>
    <w:rsid w:val="00FB5EBA"/>
    <w:rsid w:val="00FB6B34"/>
    <w:rsid w:val="00FC07C4"/>
    <w:rsid w:val="00FC1619"/>
    <w:rsid w:val="00FC19E8"/>
    <w:rsid w:val="00FC22CF"/>
    <w:rsid w:val="00FC3B31"/>
    <w:rsid w:val="00FC43D1"/>
    <w:rsid w:val="00FC4541"/>
    <w:rsid w:val="00FC5866"/>
    <w:rsid w:val="00FC5B63"/>
    <w:rsid w:val="00FC5E53"/>
    <w:rsid w:val="00FD0BDA"/>
    <w:rsid w:val="00FD1D5E"/>
    <w:rsid w:val="00FD3EB9"/>
    <w:rsid w:val="00FD4975"/>
    <w:rsid w:val="00FD4992"/>
    <w:rsid w:val="00FD7115"/>
    <w:rsid w:val="00FD7584"/>
    <w:rsid w:val="00FD79FF"/>
    <w:rsid w:val="00FE297B"/>
    <w:rsid w:val="00FE3880"/>
    <w:rsid w:val="00FE47DF"/>
    <w:rsid w:val="00FE7555"/>
    <w:rsid w:val="00FE75DD"/>
    <w:rsid w:val="00FF0C5F"/>
    <w:rsid w:val="00FF0CC1"/>
    <w:rsid w:val="00FF253E"/>
    <w:rsid w:val="00FF274C"/>
    <w:rsid w:val="00FF2B67"/>
    <w:rsid w:val="00FF354D"/>
    <w:rsid w:val="00FF5E8A"/>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B3B68"/>
    <w:pPr>
      <w:spacing w:line="280" w:lineRule="atLeast"/>
    </w:pPr>
    <w:rPr>
      <w:sz w:val="24"/>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ED0AAC"/>
    <w:pPr>
      <w:keepNext/>
      <w:tabs>
        <w:tab w:val="left" w:pos="567"/>
      </w:tabs>
      <w:spacing w:before="120" w:after="180" w:line="300" w:lineRule="atLeast"/>
      <w:ind w:right="170"/>
      <w:outlineLvl w:val="1"/>
    </w:pPr>
    <w:rPr>
      <w:b/>
      <w:spacing w:val="20"/>
      <w:w w:val="90"/>
      <w:szCs w:val="32"/>
    </w:rPr>
  </w:style>
  <w:style w:type="paragraph" w:styleId="Heading3">
    <w:name w:val="heading 3"/>
    <w:basedOn w:val="Heading2"/>
    <w:next w:val="Normal"/>
    <w:link w:val="Heading3Char"/>
    <w:autoRedefine/>
    <w:qFormat/>
    <w:rsid w:val="000D03D4"/>
    <w:pPr>
      <w:tabs>
        <w:tab w:val="clear" w:pos="567"/>
      </w:tabs>
      <w:spacing w:before="200"/>
      <w:ind w:right="0"/>
      <w:outlineLvl w:val="2"/>
    </w:pPr>
    <w:rPr>
      <w:w w:val="100"/>
      <w:szCs w:val="22"/>
    </w:rPr>
  </w:style>
  <w:style w:type="paragraph" w:styleId="Heading4">
    <w:name w:val="heading 4"/>
    <w:basedOn w:val="Heading9"/>
    <w:next w:val="Normal"/>
    <w:link w:val="Heading4Char"/>
    <w:qFormat/>
    <w:rsid w:val="002F34E3"/>
    <w:pPr>
      <w:outlineLvl w:val="3"/>
    </w:pPr>
    <w:rPr>
      <w:rFonts w:ascii="Times New Roman" w:hAnsi="Times New Roman"/>
      <w:sz w:val="24"/>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6E1113"/>
    <w:pPr>
      <w:spacing w:before="240"/>
      <w:outlineLvl w:val="5"/>
    </w:pPr>
    <w:rPr>
      <w:i/>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ED0AAC"/>
    <w:rPr>
      <w:b/>
      <w:spacing w:val="20"/>
      <w:w w:val="90"/>
      <w:sz w:val="24"/>
      <w:szCs w:val="32"/>
      <w:lang w:val="en-GB" w:eastAsia="en-GB"/>
    </w:rPr>
  </w:style>
  <w:style w:type="character" w:customStyle="1" w:styleId="Heading3Char">
    <w:name w:val="Heading 3 Char"/>
    <w:basedOn w:val="DefaultParagraphFont"/>
    <w:link w:val="Heading3"/>
    <w:rsid w:val="000D03D4"/>
    <w:rPr>
      <w:b/>
      <w:spacing w:val="20"/>
      <w:sz w:val="24"/>
      <w:szCs w:val="22"/>
      <w:lang w:val="en-GB" w:eastAsia="en-GB"/>
    </w:rPr>
  </w:style>
  <w:style w:type="character" w:customStyle="1" w:styleId="Heading4Char">
    <w:name w:val="Heading 4 Char"/>
    <w:basedOn w:val="DefaultParagraphFont"/>
    <w:link w:val="Heading4"/>
    <w:rsid w:val="002F34E3"/>
    <w:rPr>
      <w:b/>
      <w:i/>
      <w:sz w:val="24"/>
      <w:lang w:val="en-AU" w:eastAsia="en-US"/>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Cs w:val="44"/>
    </w:rPr>
  </w:style>
  <w:style w:type="paragraph" w:styleId="TOC2">
    <w:name w:val="toc 2"/>
    <w:basedOn w:val="Normal"/>
    <w:next w:val="Normal"/>
    <w:uiPriority w:val="39"/>
    <w:rsid w:val="00D56336"/>
    <w:pPr>
      <w:tabs>
        <w:tab w:val="right" w:leader="dot" w:pos="9214"/>
      </w:tabs>
      <w:spacing w:before="100" w:after="100"/>
      <w:ind w:left="709" w:right="284"/>
    </w:pPr>
    <w:rPr>
      <w:noProof/>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link w:val="Bullet-listChar"/>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Snumbering">
    <w:name w:val="RIS numbering"/>
    <w:basedOn w:val="ListNumber2"/>
    <w:link w:val="RISnumberingChar"/>
    <w:qFormat/>
    <w:rsid w:val="00434849"/>
    <w:pPr>
      <w:tabs>
        <w:tab w:val="clear" w:pos="643"/>
      </w:tabs>
      <w:spacing w:line="240" w:lineRule="auto"/>
      <w:ind w:left="0" w:firstLine="0"/>
    </w:pPr>
    <w:rPr>
      <w:szCs w:val="24"/>
    </w:rPr>
  </w:style>
  <w:style w:type="paragraph" w:customStyle="1" w:styleId="RISparagraph">
    <w:name w:val="RIS paragraph"/>
    <w:basedOn w:val="ListNumber2"/>
    <w:link w:val="RISparagraphChar"/>
    <w:rsid w:val="00DF25F0"/>
    <w:pPr>
      <w:numPr>
        <w:numId w:val="8"/>
      </w:numPr>
      <w:tabs>
        <w:tab w:val="left" w:pos="1134"/>
      </w:tabs>
    </w:pPr>
    <w:rPr>
      <w:lang w:val="en-AU"/>
    </w:rPr>
  </w:style>
  <w:style w:type="character" w:customStyle="1" w:styleId="Bullet-listChar">
    <w:name w:val="Bullet-list Char"/>
    <w:basedOn w:val="DefaultParagraphFont"/>
    <w:link w:val="Bullet-list"/>
    <w:rsid w:val="00FF5E8A"/>
    <w:rPr>
      <w:rFonts w:ascii="Arial" w:hAnsi="Arial"/>
      <w:sz w:val="22"/>
      <w:lang w:val="en-AU" w:eastAsia="en-US"/>
    </w:rPr>
  </w:style>
  <w:style w:type="character" w:customStyle="1" w:styleId="RISnumberingChar">
    <w:name w:val="RIS numbering Char"/>
    <w:basedOn w:val="Bullet-listChar"/>
    <w:link w:val="RISnumbering"/>
    <w:rsid w:val="00434849"/>
    <w:rPr>
      <w:rFonts w:ascii="Arial" w:hAnsi="Arial"/>
      <w:sz w:val="24"/>
      <w:szCs w:val="24"/>
      <w:lang w:val="en-GB" w:eastAsia="en-GB"/>
    </w:rPr>
  </w:style>
  <w:style w:type="paragraph" w:styleId="ListNumber2">
    <w:name w:val="List Number 2"/>
    <w:basedOn w:val="Normal"/>
    <w:uiPriority w:val="99"/>
    <w:unhideWhenUsed/>
    <w:rsid w:val="00BB4CC8"/>
    <w:pPr>
      <w:numPr>
        <w:numId w:val="4"/>
      </w:numPr>
      <w:tabs>
        <w:tab w:val="clear" w:pos="786"/>
        <w:tab w:val="num" w:pos="643"/>
      </w:tabs>
      <w:ind w:left="643"/>
      <w:contextualSpacing/>
    </w:pPr>
  </w:style>
  <w:style w:type="character" w:customStyle="1" w:styleId="RISparagraphChar">
    <w:name w:val="RIS paragraph Char"/>
    <w:basedOn w:val="RISnumberingChar"/>
    <w:link w:val="RISparagraph"/>
    <w:rsid w:val="00DF25F0"/>
    <w:rPr>
      <w:rFonts w:ascii="Arial" w:hAnsi="Arial"/>
      <w:sz w:val="24"/>
      <w:szCs w:val="24"/>
      <w:lang w:val="en-AU" w:eastAsia="en-GB"/>
    </w:rPr>
  </w:style>
  <w:style w:type="paragraph" w:customStyle="1" w:styleId="RISbullet">
    <w:name w:val="RIS bullet"/>
    <w:basedOn w:val="RISnumbering"/>
    <w:link w:val="RISbulletChar"/>
    <w:qFormat/>
    <w:rsid w:val="00C745FC"/>
    <w:pPr>
      <w:numPr>
        <w:numId w:val="3"/>
      </w:numPr>
      <w:tabs>
        <w:tab w:val="clear" w:pos="720"/>
        <w:tab w:val="num" w:pos="993"/>
      </w:tabs>
      <w:ind w:left="993" w:hanging="426"/>
    </w:pPr>
    <w:rPr>
      <w:lang w:val="en-AU"/>
    </w:rPr>
  </w:style>
  <w:style w:type="character" w:customStyle="1" w:styleId="RISbulletChar">
    <w:name w:val="RIS bullet Char"/>
    <w:basedOn w:val="RISnumberingChar"/>
    <w:link w:val="RISbullet"/>
    <w:rsid w:val="00C745FC"/>
    <w:rPr>
      <w:rFonts w:ascii="Arial" w:hAnsi="Arial"/>
      <w:sz w:val="24"/>
      <w:szCs w:val="24"/>
      <w:lang w:val="en-AU" w:eastAsia="en-GB"/>
    </w:rPr>
  </w:style>
  <w:style w:type="paragraph" w:customStyle="1" w:styleId="CABpapernumber">
    <w:name w:val="CAB paper number"/>
    <w:basedOn w:val="Normal"/>
    <w:link w:val="CABpapernumberChar"/>
    <w:qFormat/>
    <w:rsid w:val="007C33EF"/>
    <w:pPr>
      <w:numPr>
        <w:numId w:val="5"/>
      </w:numPr>
      <w:tabs>
        <w:tab w:val="left" w:pos="567"/>
      </w:tabs>
      <w:spacing w:line="240" w:lineRule="auto"/>
      <w:ind w:left="0" w:firstLine="0"/>
      <w:jc w:val="both"/>
    </w:pPr>
    <w:rPr>
      <w:bCs/>
      <w:szCs w:val="24"/>
      <w:lang w:val="en-NZ" w:eastAsia="en-AU"/>
    </w:rPr>
  </w:style>
  <w:style w:type="paragraph" w:customStyle="1" w:styleId="CABpaperpara">
    <w:name w:val="CAB paper para"/>
    <w:basedOn w:val="Normal"/>
    <w:qFormat/>
    <w:rsid w:val="007C33EF"/>
    <w:pPr>
      <w:numPr>
        <w:ilvl w:val="1"/>
        <w:numId w:val="5"/>
      </w:numPr>
      <w:tabs>
        <w:tab w:val="left" w:pos="1134"/>
      </w:tabs>
      <w:spacing w:line="240" w:lineRule="auto"/>
      <w:ind w:left="567" w:firstLine="0"/>
      <w:jc w:val="both"/>
    </w:pPr>
    <w:rPr>
      <w:bCs/>
      <w:szCs w:val="24"/>
      <w:lang w:val="en-NZ" w:eastAsia="en-AU"/>
    </w:rPr>
  </w:style>
  <w:style w:type="character" w:customStyle="1" w:styleId="CABpapernumberChar">
    <w:name w:val="CAB paper number Char"/>
    <w:basedOn w:val="DefaultParagraphFont"/>
    <w:link w:val="CABpapernumber"/>
    <w:rsid w:val="007C33EF"/>
    <w:rPr>
      <w:bCs/>
      <w:sz w:val="24"/>
      <w:szCs w:val="24"/>
      <w:lang w:eastAsia="en-AU"/>
    </w:rPr>
  </w:style>
  <w:style w:type="paragraph" w:customStyle="1" w:styleId="CABpaperbullet">
    <w:name w:val="CAB paper bullet"/>
    <w:basedOn w:val="CABpaperpara"/>
    <w:link w:val="CABpaperbulletChar"/>
    <w:qFormat/>
    <w:rsid w:val="007C33EF"/>
    <w:pPr>
      <w:numPr>
        <w:ilvl w:val="0"/>
        <w:numId w:val="6"/>
      </w:numPr>
      <w:ind w:left="567" w:firstLine="0"/>
    </w:pPr>
  </w:style>
  <w:style w:type="character" w:customStyle="1" w:styleId="CABpaperbulletChar">
    <w:name w:val="CAB paper bullet Char"/>
    <w:basedOn w:val="DefaultParagraphFont"/>
    <w:link w:val="CABpaperbullet"/>
    <w:rsid w:val="007C33EF"/>
    <w:rPr>
      <w:bCs/>
      <w:sz w:val="24"/>
      <w:szCs w:val="24"/>
      <w:lang w:eastAsia="en-AU"/>
    </w:rPr>
  </w:style>
  <w:style w:type="table" w:customStyle="1" w:styleId="TableGrid2">
    <w:name w:val="Table Grid2"/>
    <w:basedOn w:val="TableNormal"/>
    <w:next w:val="TableGrid"/>
    <w:uiPriority w:val="59"/>
    <w:rsid w:val="00F66FF6"/>
    <w:pPr>
      <w:spacing w:line="28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SPara0">
    <w:name w:val="RIS Para"/>
    <w:basedOn w:val="RISparagraph"/>
    <w:link w:val="RISParaChar"/>
    <w:rsid w:val="00DF25F0"/>
  </w:style>
  <w:style w:type="paragraph" w:customStyle="1" w:styleId="RISparaa">
    <w:name w:val="RIS para a"/>
    <w:basedOn w:val="RISparagraph"/>
    <w:link w:val="RISparaaChar"/>
    <w:rsid w:val="001212E5"/>
    <w:pPr>
      <w:spacing w:line="240" w:lineRule="auto"/>
    </w:pPr>
  </w:style>
  <w:style w:type="character" w:customStyle="1" w:styleId="RISParaChar">
    <w:name w:val="RIS Para Char"/>
    <w:basedOn w:val="RISparagraphChar"/>
    <w:link w:val="RISPara0"/>
    <w:rsid w:val="00DF25F0"/>
    <w:rPr>
      <w:rFonts w:ascii="Arial" w:hAnsi="Arial"/>
      <w:sz w:val="24"/>
      <w:szCs w:val="24"/>
      <w:lang w:val="en-AU" w:eastAsia="en-GB"/>
    </w:rPr>
  </w:style>
  <w:style w:type="paragraph" w:customStyle="1" w:styleId="RISpara">
    <w:name w:val="RIS para"/>
    <w:basedOn w:val="Normal"/>
    <w:link w:val="RISparaChar0"/>
    <w:qFormat/>
    <w:rsid w:val="00C745FC"/>
    <w:pPr>
      <w:numPr>
        <w:numId w:val="12"/>
      </w:numPr>
      <w:ind w:left="709" w:hanging="283"/>
    </w:pPr>
  </w:style>
  <w:style w:type="character" w:customStyle="1" w:styleId="RISparaaChar">
    <w:name w:val="RIS para a Char"/>
    <w:basedOn w:val="RISparagraphChar"/>
    <w:link w:val="RISparaa"/>
    <w:rsid w:val="001212E5"/>
    <w:rPr>
      <w:rFonts w:ascii="Arial" w:hAnsi="Arial"/>
      <w:sz w:val="24"/>
      <w:szCs w:val="24"/>
      <w:lang w:val="en-AU" w:eastAsia="en-GB"/>
    </w:rPr>
  </w:style>
  <w:style w:type="character" w:customStyle="1" w:styleId="RISPARAChar1">
    <w:name w:val="RIS PARA Char"/>
    <w:basedOn w:val="RISparagraphChar"/>
    <w:rsid w:val="00AC5A62"/>
    <w:rPr>
      <w:rFonts w:ascii="Arial" w:hAnsi="Arial"/>
      <w:sz w:val="24"/>
      <w:szCs w:val="24"/>
      <w:lang w:val="en-AU" w:eastAsia="en-GB"/>
    </w:rPr>
  </w:style>
  <w:style w:type="paragraph" w:customStyle="1" w:styleId="RISHeading2">
    <w:name w:val="RIS Heading 2"/>
    <w:basedOn w:val="Heading3"/>
    <w:link w:val="RISHeading2Char"/>
    <w:qFormat/>
    <w:rsid w:val="000D03D4"/>
  </w:style>
  <w:style w:type="character" w:customStyle="1" w:styleId="RISHeading2Char">
    <w:name w:val="RIS Heading 2 Char"/>
    <w:basedOn w:val="Heading3Char"/>
    <w:link w:val="RISHeading2"/>
    <w:rsid w:val="000D03D4"/>
    <w:rPr>
      <w:b/>
      <w:spacing w:val="20"/>
      <w:sz w:val="24"/>
      <w:szCs w:val="22"/>
      <w:lang w:val="en-GB" w:eastAsia="en-GB"/>
    </w:rPr>
  </w:style>
  <w:style w:type="character" w:customStyle="1" w:styleId="RISparaChar0">
    <w:name w:val="RIS para Char"/>
    <w:basedOn w:val="DefaultParagraphFont"/>
    <w:link w:val="RISpara"/>
    <w:rsid w:val="00C745FC"/>
    <w:rPr>
      <w:sz w:val="24"/>
      <w:lang w:val="en-GB" w:eastAsia="en-GB"/>
    </w:rPr>
  </w:style>
  <w:style w:type="paragraph" w:styleId="Revision">
    <w:name w:val="Revision"/>
    <w:hidden/>
    <w:uiPriority w:val="99"/>
    <w:semiHidden/>
    <w:rsid w:val="008143E5"/>
    <w:rPr>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B3B68"/>
    <w:pPr>
      <w:spacing w:line="280" w:lineRule="atLeast"/>
    </w:pPr>
    <w:rPr>
      <w:sz w:val="24"/>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ED0AAC"/>
    <w:pPr>
      <w:keepNext/>
      <w:tabs>
        <w:tab w:val="left" w:pos="567"/>
      </w:tabs>
      <w:spacing w:before="120" w:after="180" w:line="300" w:lineRule="atLeast"/>
      <w:ind w:right="170"/>
      <w:outlineLvl w:val="1"/>
    </w:pPr>
    <w:rPr>
      <w:b/>
      <w:spacing w:val="20"/>
      <w:w w:val="90"/>
      <w:szCs w:val="32"/>
    </w:rPr>
  </w:style>
  <w:style w:type="paragraph" w:styleId="Heading3">
    <w:name w:val="heading 3"/>
    <w:basedOn w:val="Heading2"/>
    <w:next w:val="Normal"/>
    <w:link w:val="Heading3Char"/>
    <w:autoRedefine/>
    <w:qFormat/>
    <w:rsid w:val="000D03D4"/>
    <w:pPr>
      <w:tabs>
        <w:tab w:val="clear" w:pos="567"/>
      </w:tabs>
      <w:spacing w:before="200"/>
      <w:ind w:right="0"/>
      <w:outlineLvl w:val="2"/>
    </w:pPr>
    <w:rPr>
      <w:w w:val="100"/>
      <w:szCs w:val="22"/>
    </w:rPr>
  </w:style>
  <w:style w:type="paragraph" w:styleId="Heading4">
    <w:name w:val="heading 4"/>
    <w:basedOn w:val="Heading9"/>
    <w:next w:val="Normal"/>
    <w:link w:val="Heading4Char"/>
    <w:qFormat/>
    <w:rsid w:val="002F34E3"/>
    <w:pPr>
      <w:outlineLvl w:val="3"/>
    </w:pPr>
    <w:rPr>
      <w:rFonts w:ascii="Times New Roman" w:hAnsi="Times New Roman"/>
      <w:sz w:val="24"/>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6E1113"/>
    <w:pPr>
      <w:spacing w:before="240"/>
      <w:outlineLvl w:val="5"/>
    </w:pPr>
    <w:rPr>
      <w:i/>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ED0AAC"/>
    <w:rPr>
      <w:b/>
      <w:spacing w:val="20"/>
      <w:w w:val="90"/>
      <w:sz w:val="24"/>
      <w:szCs w:val="32"/>
      <w:lang w:val="en-GB" w:eastAsia="en-GB"/>
    </w:rPr>
  </w:style>
  <w:style w:type="character" w:customStyle="1" w:styleId="Heading3Char">
    <w:name w:val="Heading 3 Char"/>
    <w:basedOn w:val="DefaultParagraphFont"/>
    <w:link w:val="Heading3"/>
    <w:rsid w:val="000D03D4"/>
    <w:rPr>
      <w:b/>
      <w:spacing w:val="20"/>
      <w:sz w:val="24"/>
      <w:szCs w:val="22"/>
      <w:lang w:val="en-GB" w:eastAsia="en-GB"/>
    </w:rPr>
  </w:style>
  <w:style w:type="character" w:customStyle="1" w:styleId="Heading4Char">
    <w:name w:val="Heading 4 Char"/>
    <w:basedOn w:val="DefaultParagraphFont"/>
    <w:link w:val="Heading4"/>
    <w:rsid w:val="002F34E3"/>
    <w:rPr>
      <w:b/>
      <w:i/>
      <w:sz w:val="24"/>
      <w:lang w:val="en-AU" w:eastAsia="en-US"/>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Cs w:val="44"/>
    </w:rPr>
  </w:style>
  <w:style w:type="paragraph" w:styleId="TOC2">
    <w:name w:val="toc 2"/>
    <w:basedOn w:val="Normal"/>
    <w:next w:val="Normal"/>
    <w:uiPriority w:val="39"/>
    <w:rsid w:val="00D56336"/>
    <w:pPr>
      <w:tabs>
        <w:tab w:val="right" w:leader="dot" w:pos="9214"/>
      </w:tabs>
      <w:spacing w:before="100" w:after="100"/>
      <w:ind w:left="709" w:right="284"/>
    </w:pPr>
    <w:rPr>
      <w:noProof/>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link w:val="Bullet-listChar"/>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Snumbering">
    <w:name w:val="RIS numbering"/>
    <w:basedOn w:val="ListNumber2"/>
    <w:link w:val="RISnumberingChar"/>
    <w:qFormat/>
    <w:rsid w:val="00434849"/>
    <w:pPr>
      <w:tabs>
        <w:tab w:val="clear" w:pos="643"/>
      </w:tabs>
      <w:spacing w:line="240" w:lineRule="auto"/>
      <w:ind w:left="0" w:firstLine="0"/>
    </w:pPr>
    <w:rPr>
      <w:szCs w:val="24"/>
    </w:rPr>
  </w:style>
  <w:style w:type="paragraph" w:customStyle="1" w:styleId="RISparagraph">
    <w:name w:val="RIS paragraph"/>
    <w:basedOn w:val="ListNumber2"/>
    <w:link w:val="RISparagraphChar"/>
    <w:rsid w:val="00DF25F0"/>
    <w:pPr>
      <w:numPr>
        <w:numId w:val="8"/>
      </w:numPr>
      <w:tabs>
        <w:tab w:val="left" w:pos="1134"/>
      </w:tabs>
    </w:pPr>
    <w:rPr>
      <w:lang w:val="en-AU"/>
    </w:rPr>
  </w:style>
  <w:style w:type="character" w:customStyle="1" w:styleId="Bullet-listChar">
    <w:name w:val="Bullet-list Char"/>
    <w:basedOn w:val="DefaultParagraphFont"/>
    <w:link w:val="Bullet-list"/>
    <w:rsid w:val="00FF5E8A"/>
    <w:rPr>
      <w:rFonts w:ascii="Arial" w:hAnsi="Arial"/>
      <w:sz w:val="22"/>
      <w:lang w:val="en-AU" w:eastAsia="en-US"/>
    </w:rPr>
  </w:style>
  <w:style w:type="character" w:customStyle="1" w:styleId="RISnumberingChar">
    <w:name w:val="RIS numbering Char"/>
    <w:basedOn w:val="Bullet-listChar"/>
    <w:link w:val="RISnumbering"/>
    <w:rsid w:val="00434849"/>
    <w:rPr>
      <w:rFonts w:ascii="Arial" w:hAnsi="Arial"/>
      <w:sz w:val="24"/>
      <w:szCs w:val="24"/>
      <w:lang w:val="en-GB" w:eastAsia="en-GB"/>
    </w:rPr>
  </w:style>
  <w:style w:type="paragraph" w:styleId="ListNumber2">
    <w:name w:val="List Number 2"/>
    <w:basedOn w:val="Normal"/>
    <w:uiPriority w:val="99"/>
    <w:unhideWhenUsed/>
    <w:rsid w:val="00BB4CC8"/>
    <w:pPr>
      <w:numPr>
        <w:numId w:val="4"/>
      </w:numPr>
      <w:tabs>
        <w:tab w:val="clear" w:pos="786"/>
        <w:tab w:val="num" w:pos="643"/>
      </w:tabs>
      <w:ind w:left="643"/>
      <w:contextualSpacing/>
    </w:pPr>
  </w:style>
  <w:style w:type="character" w:customStyle="1" w:styleId="RISparagraphChar">
    <w:name w:val="RIS paragraph Char"/>
    <w:basedOn w:val="RISnumberingChar"/>
    <w:link w:val="RISparagraph"/>
    <w:rsid w:val="00DF25F0"/>
    <w:rPr>
      <w:rFonts w:ascii="Arial" w:hAnsi="Arial"/>
      <w:sz w:val="24"/>
      <w:szCs w:val="24"/>
      <w:lang w:val="en-AU" w:eastAsia="en-GB"/>
    </w:rPr>
  </w:style>
  <w:style w:type="paragraph" w:customStyle="1" w:styleId="RISbullet">
    <w:name w:val="RIS bullet"/>
    <w:basedOn w:val="RISnumbering"/>
    <w:link w:val="RISbulletChar"/>
    <w:qFormat/>
    <w:rsid w:val="00C745FC"/>
    <w:pPr>
      <w:numPr>
        <w:numId w:val="3"/>
      </w:numPr>
      <w:tabs>
        <w:tab w:val="clear" w:pos="720"/>
        <w:tab w:val="num" w:pos="993"/>
      </w:tabs>
      <w:ind w:left="993" w:hanging="426"/>
    </w:pPr>
    <w:rPr>
      <w:lang w:val="en-AU"/>
    </w:rPr>
  </w:style>
  <w:style w:type="character" w:customStyle="1" w:styleId="RISbulletChar">
    <w:name w:val="RIS bullet Char"/>
    <w:basedOn w:val="RISnumberingChar"/>
    <w:link w:val="RISbullet"/>
    <w:rsid w:val="00C745FC"/>
    <w:rPr>
      <w:rFonts w:ascii="Arial" w:hAnsi="Arial"/>
      <w:sz w:val="24"/>
      <w:szCs w:val="24"/>
      <w:lang w:val="en-AU" w:eastAsia="en-GB"/>
    </w:rPr>
  </w:style>
  <w:style w:type="paragraph" w:customStyle="1" w:styleId="CABpapernumber">
    <w:name w:val="CAB paper number"/>
    <w:basedOn w:val="Normal"/>
    <w:link w:val="CABpapernumberChar"/>
    <w:qFormat/>
    <w:rsid w:val="007C33EF"/>
    <w:pPr>
      <w:numPr>
        <w:numId w:val="5"/>
      </w:numPr>
      <w:tabs>
        <w:tab w:val="left" w:pos="567"/>
      </w:tabs>
      <w:spacing w:line="240" w:lineRule="auto"/>
      <w:ind w:left="0" w:firstLine="0"/>
      <w:jc w:val="both"/>
    </w:pPr>
    <w:rPr>
      <w:bCs/>
      <w:szCs w:val="24"/>
      <w:lang w:val="en-NZ" w:eastAsia="en-AU"/>
    </w:rPr>
  </w:style>
  <w:style w:type="paragraph" w:customStyle="1" w:styleId="CABpaperpara">
    <w:name w:val="CAB paper para"/>
    <w:basedOn w:val="Normal"/>
    <w:qFormat/>
    <w:rsid w:val="007C33EF"/>
    <w:pPr>
      <w:numPr>
        <w:ilvl w:val="1"/>
        <w:numId w:val="5"/>
      </w:numPr>
      <w:tabs>
        <w:tab w:val="left" w:pos="1134"/>
      </w:tabs>
      <w:spacing w:line="240" w:lineRule="auto"/>
      <w:ind w:left="567" w:firstLine="0"/>
      <w:jc w:val="both"/>
    </w:pPr>
    <w:rPr>
      <w:bCs/>
      <w:szCs w:val="24"/>
      <w:lang w:val="en-NZ" w:eastAsia="en-AU"/>
    </w:rPr>
  </w:style>
  <w:style w:type="character" w:customStyle="1" w:styleId="CABpapernumberChar">
    <w:name w:val="CAB paper number Char"/>
    <w:basedOn w:val="DefaultParagraphFont"/>
    <w:link w:val="CABpapernumber"/>
    <w:rsid w:val="007C33EF"/>
    <w:rPr>
      <w:bCs/>
      <w:sz w:val="24"/>
      <w:szCs w:val="24"/>
      <w:lang w:eastAsia="en-AU"/>
    </w:rPr>
  </w:style>
  <w:style w:type="paragraph" w:customStyle="1" w:styleId="CABpaperbullet">
    <w:name w:val="CAB paper bullet"/>
    <w:basedOn w:val="CABpaperpara"/>
    <w:link w:val="CABpaperbulletChar"/>
    <w:qFormat/>
    <w:rsid w:val="007C33EF"/>
    <w:pPr>
      <w:numPr>
        <w:ilvl w:val="0"/>
        <w:numId w:val="6"/>
      </w:numPr>
      <w:ind w:left="567" w:firstLine="0"/>
    </w:pPr>
  </w:style>
  <w:style w:type="character" w:customStyle="1" w:styleId="CABpaperbulletChar">
    <w:name w:val="CAB paper bullet Char"/>
    <w:basedOn w:val="DefaultParagraphFont"/>
    <w:link w:val="CABpaperbullet"/>
    <w:rsid w:val="007C33EF"/>
    <w:rPr>
      <w:bCs/>
      <w:sz w:val="24"/>
      <w:szCs w:val="24"/>
      <w:lang w:eastAsia="en-AU"/>
    </w:rPr>
  </w:style>
  <w:style w:type="table" w:customStyle="1" w:styleId="TableGrid2">
    <w:name w:val="Table Grid2"/>
    <w:basedOn w:val="TableNormal"/>
    <w:next w:val="TableGrid"/>
    <w:uiPriority w:val="59"/>
    <w:rsid w:val="00F66FF6"/>
    <w:pPr>
      <w:spacing w:line="28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SPara0">
    <w:name w:val="RIS Para"/>
    <w:basedOn w:val="RISparagraph"/>
    <w:link w:val="RISParaChar"/>
    <w:rsid w:val="00DF25F0"/>
  </w:style>
  <w:style w:type="paragraph" w:customStyle="1" w:styleId="RISparaa">
    <w:name w:val="RIS para a"/>
    <w:basedOn w:val="RISparagraph"/>
    <w:link w:val="RISparaaChar"/>
    <w:rsid w:val="001212E5"/>
    <w:pPr>
      <w:spacing w:line="240" w:lineRule="auto"/>
    </w:pPr>
  </w:style>
  <w:style w:type="character" w:customStyle="1" w:styleId="RISParaChar">
    <w:name w:val="RIS Para Char"/>
    <w:basedOn w:val="RISparagraphChar"/>
    <w:link w:val="RISPara0"/>
    <w:rsid w:val="00DF25F0"/>
    <w:rPr>
      <w:rFonts w:ascii="Arial" w:hAnsi="Arial"/>
      <w:sz w:val="24"/>
      <w:szCs w:val="24"/>
      <w:lang w:val="en-AU" w:eastAsia="en-GB"/>
    </w:rPr>
  </w:style>
  <w:style w:type="paragraph" w:customStyle="1" w:styleId="RISpara">
    <w:name w:val="RIS para"/>
    <w:basedOn w:val="Normal"/>
    <w:link w:val="RISparaChar0"/>
    <w:qFormat/>
    <w:rsid w:val="00C745FC"/>
    <w:pPr>
      <w:numPr>
        <w:numId w:val="12"/>
      </w:numPr>
      <w:ind w:left="709" w:hanging="283"/>
    </w:pPr>
  </w:style>
  <w:style w:type="character" w:customStyle="1" w:styleId="RISparaaChar">
    <w:name w:val="RIS para a Char"/>
    <w:basedOn w:val="RISparagraphChar"/>
    <w:link w:val="RISparaa"/>
    <w:rsid w:val="001212E5"/>
    <w:rPr>
      <w:rFonts w:ascii="Arial" w:hAnsi="Arial"/>
      <w:sz w:val="24"/>
      <w:szCs w:val="24"/>
      <w:lang w:val="en-AU" w:eastAsia="en-GB"/>
    </w:rPr>
  </w:style>
  <w:style w:type="character" w:customStyle="1" w:styleId="RISPARAChar1">
    <w:name w:val="RIS PARA Char"/>
    <w:basedOn w:val="RISparagraphChar"/>
    <w:rsid w:val="00AC5A62"/>
    <w:rPr>
      <w:rFonts w:ascii="Arial" w:hAnsi="Arial"/>
      <w:sz w:val="24"/>
      <w:szCs w:val="24"/>
      <w:lang w:val="en-AU" w:eastAsia="en-GB"/>
    </w:rPr>
  </w:style>
  <w:style w:type="paragraph" w:customStyle="1" w:styleId="RISHeading2">
    <w:name w:val="RIS Heading 2"/>
    <w:basedOn w:val="Heading3"/>
    <w:link w:val="RISHeading2Char"/>
    <w:qFormat/>
    <w:rsid w:val="000D03D4"/>
  </w:style>
  <w:style w:type="character" w:customStyle="1" w:styleId="RISHeading2Char">
    <w:name w:val="RIS Heading 2 Char"/>
    <w:basedOn w:val="Heading3Char"/>
    <w:link w:val="RISHeading2"/>
    <w:rsid w:val="000D03D4"/>
    <w:rPr>
      <w:b/>
      <w:spacing w:val="20"/>
      <w:sz w:val="24"/>
      <w:szCs w:val="22"/>
      <w:lang w:val="en-GB" w:eastAsia="en-GB"/>
    </w:rPr>
  </w:style>
  <w:style w:type="character" w:customStyle="1" w:styleId="RISparaChar0">
    <w:name w:val="RIS para Char"/>
    <w:basedOn w:val="DefaultParagraphFont"/>
    <w:link w:val="RISpara"/>
    <w:rsid w:val="00C745FC"/>
    <w:rPr>
      <w:sz w:val="24"/>
      <w:lang w:val="en-GB" w:eastAsia="en-GB"/>
    </w:rPr>
  </w:style>
  <w:style w:type="paragraph" w:styleId="Revision">
    <w:name w:val="Revision"/>
    <w:hidden/>
    <w:uiPriority w:val="99"/>
    <w:semiHidden/>
    <w:rsid w:val="008143E5"/>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34383">
      <w:bodyDiv w:val="1"/>
      <w:marLeft w:val="0"/>
      <w:marRight w:val="0"/>
      <w:marTop w:val="0"/>
      <w:marBottom w:val="0"/>
      <w:divBdr>
        <w:top w:val="none" w:sz="0" w:space="0" w:color="auto"/>
        <w:left w:val="none" w:sz="0" w:space="0" w:color="auto"/>
        <w:bottom w:val="none" w:sz="0" w:space="0" w:color="auto"/>
        <w:right w:val="none" w:sz="0" w:space="0" w:color="auto"/>
      </w:divBdr>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7D05C-C8F3-4D25-BD25-E4846843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6941</Words>
  <Characters>37200</Characters>
  <Application>Microsoft Office Word</Application>
  <DocSecurity>0</DocSecurity>
  <Lines>930</Lines>
  <Paragraphs>344</Paragraphs>
  <ScaleCrop>false</ScaleCrop>
  <HeadingPairs>
    <vt:vector size="2" baseType="variant">
      <vt:variant>
        <vt:lpstr>Title</vt:lpstr>
      </vt:variant>
      <vt:variant>
        <vt:i4>1</vt:i4>
      </vt:variant>
    </vt:vector>
  </HeadingPairs>
  <TitlesOfParts>
    <vt:vector size="1" baseType="lpstr">
      <vt:lpstr>Regulatory impact statement - Remission income, tax losses and insolvent individuals (November 2015)</vt:lpstr>
    </vt:vector>
  </TitlesOfParts>
  <Company>Inland Revenue</Company>
  <LinksUpToDate>false</LinksUpToDate>
  <CharactersWithSpaces>43797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Remission income, tax losses and insolvent individuals (November 2015)</dc:title>
  <dc:creator>Policy and Strategy</dc:creator>
  <dc:description>Published May 2016.</dc:description>
  <cp:lastModifiedBy>David Nind</cp:lastModifiedBy>
  <cp:revision>2</cp:revision>
  <dcterms:created xsi:type="dcterms:W3CDTF">2016-05-02T21:41:00Z</dcterms:created>
  <dcterms:modified xsi:type="dcterms:W3CDTF">2016-05-02T21:42:00Z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