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DD23B8" w:rsidRDefault="004F6ED4" w:rsidP="004464DB">
      <w:pPr>
        <w:tabs>
          <w:tab w:val="left" w:pos="567"/>
        </w:tabs>
        <w:jc w:val="right"/>
        <w:rPr>
          <w:szCs w:val="24"/>
          <w:lang w:eastAsia="en-AU"/>
        </w:rPr>
      </w:pPr>
      <w:r w:rsidRPr="00DD23B8">
        <w:rPr>
          <w:szCs w:val="24"/>
          <w:lang w:eastAsia="en-AU"/>
        </w:rPr>
        <w:t xml:space="preserve">Office of the Minister of </w:t>
      </w:r>
      <w:r w:rsidR="00D95590">
        <w:rPr>
          <w:szCs w:val="24"/>
          <w:lang w:eastAsia="en-AU"/>
        </w:rPr>
        <w:t>Revenue</w:t>
      </w:r>
    </w:p>
    <w:p w:rsidR="007E2640" w:rsidRPr="00DD23B8" w:rsidRDefault="007E2640" w:rsidP="007E2640">
      <w:pPr>
        <w:tabs>
          <w:tab w:val="left" w:pos="567"/>
        </w:tabs>
        <w:rPr>
          <w:szCs w:val="24"/>
          <w:lang w:eastAsia="en-AU"/>
        </w:rPr>
      </w:pPr>
    </w:p>
    <w:p w:rsidR="007E2640" w:rsidRPr="00DD23B8" w:rsidRDefault="004464DB" w:rsidP="00550856">
      <w:pPr>
        <w:tabs>
          <w:tab w:val="left" w:pos="567"/>
        </w:tabs>
        <w:jc w:val="right"/>
        <w:rPr>
          <w:szCs w:val="24"/>
          <w:lang w:eastAsia="en-AU"/>
        </w:rPr>
      </w:pPr>
      <w:r>
        <w:rPr>
          <w:szCs w:val="24"/>
          <w:lang w:eastAsia="en-AU"/>
        </w:rPr>
        <w:t>Cabinet</w:t>
      </w:r>
    </w:p>
    <w:p w:rsidR="007E2640" w:rsidRPr="00DD23B8" w:rsidRDefault="007E2640" w:rsidP="007E2640">
      <w:pPr>
        <w:tabs>
          <w:tab w:val="left" w:pos="567"/>
        </w:tabs>
        <w:rPr>
          <w:szCs w:val="24"/>
          <w:lang w:eastAsia="en-AU"/>
        </w:rPr>
      </w:pPr>
    </w:p>
    <w:p w:rsidR="00094E89" w:rsidRPr="00DD23B8" w:rsidRDefault="00094E89" w:rsidP="007E2640">
      <w:pPr>
        <w:tabs>
          <w:tab w:val="left" w:pos="567"/>
        </w:tabs>
        <w:rPr>
          <w:szCs w:val="24"/>
          <w:lang w:eastAsia="en-AU"/>
        </w:rPr>
      </w:pPr>
    </w:p>
    <w:p w:rsidR="00D95590" w:rsidRPr="00C07A54" w:rsidRDefault="00087BEF" w:rsidP="00D95590">
      <w:pPr>
        <w:tabs>
          <w:tab w:val="left" w:pos="567"/>
        </w:tabs>
        <w:jc w:val="center"/>
        <w:rPr>
          <w:b/>
          <w:bCs/>
          <w:noProof/>
          <w:sz w:val="26"/>
          <w:szCs w:val="26"/>
          <w:lang w:eastAsia="en-AU"/>
        </w:rPr>
      </w:pPr>
      <w:r>
        <w:rPr>
          <w:b/>
          <w:bCs/>
          <w:noProof/>
          <w:sz w:val="26"/>
          <w:szCs w:val="26"/>
          <w:lang w:eastAsia="en-AU"/>
        </w:rPr>
        <w:t xml:space="preserve">BASE EROSION AND PROFIT SHIFTING (BEPS) – UPDATE ON THE NEW ZEALAND WORK PROGRAMME </w:t>
      </w:r>
    </w:p>
    <w:p w:rsidR="007E2640" w:rsidRPr="00DD23B8" w:rsidRDefault="007E2640" w:rsidP="00550856">
      <w:pPr>
        <w:tabs>
          <w:tab w:val="left" w:pos="567"/>
        </w:tabs>
        <w:rPr>
          <w:b/>
          <w:szCs w:val="24"/>
          <w:lang w:eastAsia="en-AU"/>
        </w:rPr>
      </w:pPr>
    </w:p>
    <w:p w:rsidR="00763BDD" w:rsidRPr="00DD23B8" w:rsidRDefault="00763BDD" w:rsidP="00094E89">
      <w:pPr>
        <w:tabs>
          <w:tab w:val="left" w:pos="567"/>
        </w:tabs>
        <w:jc w:val="both"/>
        <w:rPr>
          <w:szCs w:val="24"/>
          <w:lang w:eastAsia="en-AU"/>
        </w:rPr>
      </w:pPr>
    </w:p>
    <w:p w:rsidR="00344858" w:rsidRPr="00DD23B8" w:rsidRDefault="004464DB" w:rsidP="00344858">
      <w:pPr>
        <w:tabs>
          <w:tab w:val="left" w:pos="567"/>
        </w:tabs>
        <w:jc w:val="both"/>
        <w:rPr>
          <w:szCs w:val="24"/>
          <w:lang w:eastAsia="en-AU"/>
        </w:rPr>
      </w:pPr>
      <w:r>
        <w:rPr>
          <w:b/>
          <w:bCs/>
          <w:szCs w:val="24"/>
          <w:lang w:eastAsia="en-AU"/>
        </w:rPr>
        <w:t>EXECUTIVE SUMMARY</w:t>
      </w:r>
    </w:p>
    <w:p w:rsidR="007E2640" w:rsidRPr="00DD23B8" w:rsidRDefault="007E2640" w:rsidP="007E2640">
      <w:pPr>
        <w:tabs>
          <w:tab w:val="left" w:pos="567"/>
        </w:tabs>
        <w:jc w:val="both"/>
        <w:rPr>
          <w:szCs w:val="24"/>
          <w:lang w:eastAsia="en-AU"/>
        </w:rPr>
      </w:pPr>
    </w:p>
    <w:p w:rsidR="00B35CA5" w:rsidRDefault="00B35CA5" w:rsidP="000C331E">
      <w:pPr>
        <w:pStyle w:val="TRNormal"/>
        <w:numPr>
          <w:ilvl w:val="0"/>
          <w:numId w:val="11"/>
        </w:numPr>
        <w:tabs>
          <w:tab w:val="num" w:pos="567"/>
        </w:tabs>
        <w:ind w:left="567" w:hanging="567"/>
      </w:pPr>
      <w:r w:rsidRPr="004B689D">
        <w:t>Since late 2012</w:t>
      </w:r>
      <w:r>
        <w:t>, there has been significant</w:t>
      </w:r>
      <w:r w:rsidRPr="004B689D">
        <w:t xml:space="preserve"> global media and political </w:t>
      </w:r>
      <w:r>
        <w:t>concern about</w:t>
      </w:r>
      <w:r w:rsidRPr="004B689D">
        <w:t xml:space="preserve"> evidence suggesting that some multinationals pay little or no tax anywhere in the world</w:t>
      </w:r>
      <w:r>
        <w:t>.</w:t>
      </w:r>
      <w:r w:rsidR="000C331E">
        <w:t xml:space="preserve">  This problem is referred to as base erosion and profit shifting or “BEPS”.</w:t>
      </w:r>
      <w:r w:rsidR="00F12DAA">
        <w:t xml:space="preserve"> </w:t>
      </w:r>
    </w:p>
    <w:p w:rsidR="00B35CA5" w:rsidRDefault="00B35CA5" w:rsidP="004B689D">
      <w:pPr>
        <w:pStyle w:val="ListParagraph"/>
      </w:pPr>
    </w:p>
    <w:p w:rsidR="000C331E" w:rsidRDefault="00612628" w:rsidP="00344858">
      <w:pPr>
        <w:pStyle w:val="TRNormal"/>
        <w:numPr>
          <w:ilvl w:val="0"/>
          <w:numId w:val="11"/>
        </w:numPr>
        <w:tabs>
          <w:tab w:val="num" w:pos="567"/>
        </w:tabs>
        <w:ind w:left="567" w:hanging="567"/>
      </w:pPr>
      <w:r>
        <w:t>This paper sets out for your information background to the OECD</w:t>
      </w:r>
      <w:r w:rsidR="00876656">
        <w:t>/G20</w:t>
      </w:r>
      <w:r>
        <w:t xml:space="preserve"> BEPS project</w:t>
      </w:r>
      <w:r w:rsidR="00876656">
        <w:t xml:space="preserve">, </w:t>
      </w:r>
      <w:r w:rsidR="00F12DAA">
        <w:t xml:space="preserve">the </w:t>
      </w:r>
      <w:r w:rsidR="00355A39">
        <w:t xml:space="preserve">related </w:t>
      </w:r>
      <w:r w:rsidR="00876656">
        <w:t xml:space="preserve">OECD/G20 initiative regarding a global </w:t>
      </w:r>
      <w:r w:rsidR="00876656" w:rsidRPr="00865395">
        <w:rPr>
          <w:i/>
        </w:rPr>
        <w:t xml:space="preserve">Standard for </w:t>
      </w:r>
      <w:r w:rsidR="00876656" w:rsidRPr="003B4956">
        <w:rPr>
          <w:i/>
        </w:rPr>
        <w:t xml:space="preserve">Automatic Exchange of Financial </w:t>
      </w:r>
      <w:r w:rsidR="00876656">
        <w:rPr>
          <w:i/>
        </w:rPr>
        <w:t xml:space="preserve">Account </w:t>
      </w:r>
      <w:r w:rsidR="00876656" w:rsidRPr="003B4956">
        <w:rPr>
          <w:i/>
        </w:rPr>
        <w:t>Information in Tax Matters</w:t>
      </w:r>
      <w:r w:rsidR="00876656" w:rsidRPr="00B45D18">
        <w:t xml:space="preserve"> (</w:t>
      </w:r>
      <w:r w:rsidR="00876656">
        <w:t xml:space="preserve">in short, Automatic Exchange of Information, or </w:t>
      </w:r>
      <w:r w:rsidR="00876656" w:rsidRPr="00B45D18">
        <w:t>AEOI)</w:t>
      </w:r>
      <w:r>
        <w:t xml:space="preserve"> and New Zealand’s response to the OECD</w:t>
      </w:r>
      <w:r w:rsidR="00876656">
        <w:t>/G20</w:t>
      </w:r>
      <w:r>
        <w:t xml:space="preserve"> </w:t>
      </w:r>
      <w:r w:rsidR="00876656">
        <w:t>recommendations</w:t>
      </w:r>
      <w:r>
        <w:t>. In particular the paper covers:</w:t>
      </w:r>
    </w:p>
    <w:p w:rsidR="000C331E" w:rsidRDefault="000C331E" w:rsidP="004B689D">
      <w:pPr>
        <w:pStyle w:val="ListParagraph"/>
      </w:pPr>
    </w:p>
    <w:p w:rsidR="00E237A7" w:rsidRDefault="00E237A7" w:rsidP="004B689D">
      <w:pPr>
        <w:pStyle w:val="TRNormal"/>
        <w:numPr>
          <w:ilvl w:val="1"/>
          <w:numId w:val="11"/>
        </w:numPr>
        <w:tabs>
          <w:tab w:val="num" w:pos="8015"/>
        </w:tabs>
      </w:pPr>
      <w:r>
        <w:t>the broad principle underpinning New Zealand’s taxation of multinationals;</w:t>
      </w:r>
    </w:p>
    <w:p w:rsidR="000C331E" w:rsidRDefault="000C331E" w:rsidP="004B689D">
      <w:pPr>
        <w:pStyle w:val="TRNormal"/>
        <w:numPr>
          <w:ilvl w:val="1"/>
          <w:numId w:val="11"/>
        </w:numPr>
        <w:tabs>
          <w:tab w:val="num" w:pos="8015"/>
        </w:tabs>
      </w:pPr>
      <w:r>
        <w:t xml:space="preserve">what BEPS </w:t>
      </w:r>
      <w:r w:rsidR="00876656">
        <w:t>and AEOI are</w:t>
      </w:r>
      <w:r>
        <w:t>;</w:t>
      </w:r>
    </w:p>
    <w:p w:rsidR="000C331E" w:rsidRDefault="000C331E" w:rsidP="004B689D">
      <w:pPr>
        <w:pStyle w:val="TRNormal"/>
        <w:numPr>
          <w:ilvl w:val="1"/>
          <w:numId w:val="11"/>
        </w:numPr>
        <w:tabs>
          <w:tab w:val="num" w:pos="8015"/>
        </w:tabs>
      </w:pPr>
      <w:r>
        <w:t>what the G20 and OECD propose we should do a</w:t>
      </w:r>
      <w:r w:rsidR="001D51B4">
        <w:t>bout BEPS</w:t>
      </w:r>
      <w:r w:rsidR="00876656">
        <w:t xml:space="preserve"> and AEOI</w:t>
      </w:r>
      <w:r w:rsidR="001D51B4">
        <w:t xml:space="preserve">; </w:t>
      </w:r>
    </w:p>
    <w:p w:rsidR="00344858" w:rsidRDefault="00344858" w:rsidP="004B689D">
      <w:pPr>
        <w:pStyle w:val="TRNormal"/>
        <w:numPr>
          <w:ilvl w:val="1"/>
          <w:numId w:val="11"/>
        </w:numPr>
        <w:tabs>
          <w:tab w:val="num" w:pos="8015"/>
        </w:tabs>
      </w:pPr>
      <w:r>
        <w:t xml:space="preserve">what New Zealand </w:t>
      </w:r>
      <w:r w:rsidR="000C331E">
        <w:t>has done</w:t>
      </w:r>
      <w:r w:rsidR="004B689D">
        <w:t>,</w:t>
      </w:r>
      <w:r w:rsidR="000C331E">
        <w:t xml:space="preserve"> and </w:t>
      </w:r>
      <w:r w:rsidR="004B689D">
        <w:t>plans to do,</w:t>
      </w:r>
      <w:r>
        <w:t xml:space="preserve"> to address BEPS issues</w:t>
      </w:r>
      <w:r w:rsidR="00876656" w:rsidRPr="00876656">
        <w:t xml:space="preserve"> </w:t>
      </w:r>
      <w:r w:rsidR="00876656">
        <w:t>and AEOI</w:t>
      </w:r>
      <w:r w:rsidR="001D51B4">
        <w:t>;</w:t>
      </w:r>
      <w:r w:rsidR="00DF220A">
        <w:t xml:space="preserve"> and</w:t>
      </w:r>
    </w:p>
    <w:p w:rsidR="001D51B4" w:rsidRDefault="00CE6EFA" w:rsidP="004B689D">
      <w:pPr>
        <w:pStyle w:val="TRNormal"/>
        <w:numPr>
          <w:ilvl w:val="1"/>
          <w:numId w:val="11"/>
        </w:numPr>
        <w:tabs>
          <w:tab w:val="num" w:pos="8015"/>
        </w:tabs>
      </w:pPr>
      <w:proofErr w:type="gramStart"/>
      <w:r>
        <w:t>whether</w:t>
      </w:r>
      <w:proofErr w:type="gramEnd"/>
      <w:r w:rsidRPr="00F67C42">
        <w:t xml:space="preserve"> implementing the initiatives in the BEPS Action Plan mean New Zealand can </w:t>
      </w:r>
      <w:r w:rsidR="00BF5144">
        <w:t>better</w:t>
      </w:r>
      <w:r w:rsidRPr="00F67C42">
        <w:t xml:space="preserve"> tax multinationals</w:t>
      </w:r>
      <w:r>
        <w:t>.</w:t>
      </w:r>
    </w:p>
    <w:p w:rsidR="003D7199" w:rsidRPr="00DD23B8" w:rsidRDefault="003D7199" w:rsidP="003D7199">
      <w:pPr>
        <w:pStyle w:val="TRNormal"/>
        <w:ind w:left="567"/>
        <w:rPr>
          <w:b/>
          <w:bCs/>
          <w:szCs w:val="24"/>
        </w:rPr>
      </w:pPr>
    </w:p>
    <w:p w:rsidR="004464DB" w:rsidRDefault="004464DB" w:rsidP="004464DB">
      <w:pPr>
        <w:pStyle w:val="TRNormal"/>
      </w:pPr>
    </w:p>
    <w:p w:rsidR="004464DB" w:rsidRPr="004464DB" w:rsidRDefault="004464DB" w:rsidP="004464DB">
      <w:pPr>
        <w:pStyle w:val="TRNormal"/>
        <w:rPr>
          <w:b/>
        </w:rPr>
      </w:pPr>
      <w:r>
        <w:rPr>
          <w:b/>
        </w:rPr>
        <w:t xml:space="preserve">PRINCIPLE UNDERPINNING </w:t>
      </w:r>
      <w:r w:rsidR="00E237A7" w:rsidRPr="004464DB">
        <w:rPr>
          <w:b/>
        </w:rPr>
        <w:t>N</w:t>
      </w:r>
      <w:r>
        <w:rPr>
          <w:b/>
        </w:rPr>
        <w:t xml:space="preserve">EW </w:t>
      </w:r>
      <w:r w:rsidR="00E237A7" w:rsidRPr="004464DB">
        <w:rPr>
          <w:b/>
        </w:rPr>
        <w:t>Z</w:t>
      </w:r>
      <w:r>
        <w:rPr>
          <w:b/>
        </w:rPr>
        <w:t>EALAND’S TAXATION OF MULTINATIONALS</w:t>
      </w:r>
    </w:p>
    <w:p w:rsidR="00E237A7" w:rsidRDefault="00E237A7" w:rsidP="00344858">
      <w:pPr>
        <w:pStyle w:val="TRNormal"/>
        <w:ind w:left="567"/>
      </w:pPr>
    </w:p>
    <w:p w:rsidR="00E237A7" w:rsidRDefault="00E237A7" w:rsidP="00FB33C8">
      <w:pPr>
        <w:pStyle w:val="TRNormal"/>
        <w:numPr>
          <w:ilvl w:val="0"/>
          <w:numId w:val="11"/>
        </w:numPr>
        <w:tabs>
          <w:tab w:val="num" w:pos="567"/>
        </w:tabs>
        <w:ind w:left="567" w:hanging="567"/>
      </w:pPr>
      <w:r w:rsidRPr="00FB33C8">
        <w:t>All taxable income earned in New Zealand should have tax paid in New Zealand.</w:t>
      </w:r>
    </w:p>
    <w:p w:rsidR="00E237A7" w:rsidRPr="00FB33C8" w:rsidRDefault="00E237A7" w:rsidP="00FB33C8">
      <w:pPr>
        <w:pStyle w:val="TRNormal"/>
        <w:ind w:left="567"/>
      </w:pPr>
    </w:p>
    <w:p w:rsidR="00E237A7" w:rsidRDefault="00E237A7" w:rsidP="00FB33C8">
      <w:pPr>
        <w:pStyle w:val="TRNormal"/>
        <w:numPr>
          <w:ilvl w:val="0"/>
          <w:numId w:val="11"/>
        </w:numPr>
        <w:tabs>
          <w:tab w:val="num" w:pos="567"/>
        </w:tabs>
        <w:ind w:left="567" w:hanging="567"/>
      </w:pPr>
      <w:r w:rsidRPr="00FB33C8">
        <w:t>In determining taxable income:</w:t>
      </w:r>
    </w:p>
    <w:p w:rsidR="00E237A7" w:rsidRDefault="00E237A7" w:rsidP="00FB33C8">
      <w:pPr>
        <w:pStyle w:val="ListParagraph"/>
      </w:pPr>
    </w:p>
    <w:p w:rsidR="00E237A7" w:rsidRDefault="00E237A7" w:rsidP="00FB33C8">
      <w:pPr>
        <w:pStyle w:val="TRNormal"/>
        <w:numPr>
          <w:ilvl w:val="1"/>
          <w:numId w:val="11"/>
        </w:numPr>
        <w:tabs>
          <w:tab w:val="num" w:pos="8015"/>
        </w:tabs>
      </w:pPr>
      <w:r w:rsidRPr="00FB33C8">
        <w:t>all gross revenue earned in New Zealand should be identified and reported; and</w:t>
      </w:r>
    </w:p>
    <w:p w:rsidR="00E237A7" w:rsidRDefault="00E237A7" w:rsidP="00FB33C8">
      <w:pPr>
        <w:pStyle w:val="TRNormal"/>
        <w:numPr>
          <w:ilvl w:val="1"/>
          <w:numId w:val="11"/>
        </w:numPr>
        <w:tabs>
          <w:tab w:val="num" w:pos="8015"/>
        </w:tabs>
      </w:pPr>
      <w:proofErr w:type="gramStart"/>
      <w:r w:rsidRPr="00FB33C8">
        <w:t>deductions</w:t>
      </w:r>
      <w:proofErr w:type="gramEnd"/>
      <w:r w:rsidRPr="00FB33C8">
        <w:t xml:space="preserve"> from gross revenue should reflect the real economic costs of production, free of measures deliberately designed to reduce tax liability.</w:t>
      </w:r>
    </w:p>
    <w:p w:rsidR="00E237A7" w:rsidRDefault="00E237A7" w:rsidP="00344858">
      <w:pPr>
        <w:pStyle w:val="TRNormal"/>
        <w:ind w:left="567"/>
      </w:pPr>
    </w:p>
    <w:p w:rsidR="00E237A7" w:rsidRDefault="00E237A7" w:rsidP="00FB33C8">
      <w:pPr>
        <w:pStyle w:val="TRNormal"/>
        <w:numPr>
          <w:ilvl w:val="0"/>
          <w:numId w:val="11"/>
        </w:numPr>
        <w:tabs>
          <w:tab w:val="num" w:pos="567"/>
        </w:tabs>
        <w:ind w:left="567" w:hanging="567"/>
      </w:pPr>
      <w:r>
        <w:t>BEPS tax planning strategies can undermine this principle</w:t>
      </w:r>
      <w:r w:rsidRPr="00A8587E">
        <w:t>.</w:t>
      </w:r>
    </w:p>
    <w:p w:rsidR="004464DB" w:rsidRDefault="004464DB" w:rsidP="004464DB">
      <w:pPr>
        <w:pStyle w:val="TRNormal"/>
        <w:rPr>
          <w:b/>
          <w:i/>
        </w:rPr>
      </w:pPr>
    </w:p>
    <w:p w:rsidR="00344858" w:rsidRPr="004464DB" w:rsidRDefault="00FA268C" w:rsidP="004464DB">
      <w:pPr>
        <w:pStyle w:val="TRNormal"/>
        <w:rPr>
          <w:b/>
        </w:rPr>
      </w:pPr>
      <w:r w:rsidRPr="004464DB">
        <w:rPr>
          <w:b/>
        </w:rPr>
        <w:t xml:space="preserve">What is </w:t>
      </w:r>
      <w:r w:rsidR="000C331E" w:rsidRPr="004464DB">
        <w:rPr>
          <w:b/>
        </w:rPr>
        <w:t>BEPS</w:t>
      </w:r>
      <w:r w:rsidRPr="004464DB">
        <w:rPr>
          <w:b/>
        </w:rPr>
        <w:t>?</w:t>
      </w:r>
    </w:p>
    <w:p w:rsidR="004B689D" w:rsidRPr="004B689D" w:rsidRDefault="004B689D" w:rsidP="004B689D">
      <w:pPr>
        <w:pStyle w:val="TRNormal"/>
        <w:ind w:left="567"/>
        <w:rPr>
          <w:b/>
          <w:i/>
        </w:rPr>
      </w:pPr>
    </w:p>
    <w:p w:rsidR="000C331E" w:rsidRDefault="004B689D" w:rsidP="000C331E">
      <w:pPr>
        <w:pStyle w:val="TRNormal"/>
        <w:numPr>
          <w:ilvl w:val="0"/>
          <w:numId w:val="11"/>
        </w:numPr>
        <w:tabs>
          <w:tab w:val="num" w:pos="567"/>
        </w:tabs>
        <w:ind w:left="567" w:hanging="567"/>
      </w:pPr>
      <w:r>
        <w:t>M</w:t>
      </w:r>
      <w:r w:rsidR="000C331E">
        <w:t xml:space="preserve">edia attention around multinational tax avoidance has focussed particularly on technology companies, such as Apple, Google and Amazon, whose digital business model has made possible to structure their business to pay very little tax anywhere in the world.  However, other </w:t>
      </w:r>
      <w:r w:rsidR="009F63E3">
        <w:t>multinationals</w:t>
      </w:r>
      <w:r w:rsidR="000C331E">
        <w:t xml:space="preserve"> with more traditional business models have also faced criticism for</w:t>
      </w:r>
      <w:r w:rsidR="009F63E3">
        <w:t xml:space="preserve"> avoiding tax</w:t>
      </w:r>
      <w:r w:rsidR="000C331E">
        <w:t>.</w:t>
      </w:r>
    </w:p>
    <w:p w:rsidR="000C331E" w:rsidRDefault="000C331E" w:rsidP="004B689D">
      <w:pPr>
        <w:pStyle w:val="ListParagraph"/>
      </w:pPr>
    </w:p>
    <w:p w:rsidR="000C331E" w:rsidRDefault="000C331E" w:rsidP="000C331E">
      <w:pPr>
        <w:pStyle w:val="TRNormal"/>
        <w:numPr>
          <w:ilvl w:val="0"/>
          <w:numId w:val="11"/>
        </w:numPr>
        <w:tabs>
          <w:tab w:val="num" w:pos="567"/>
        </w:tabs>
        <w:ind w:left="567" w:hanging="567"/>
      </w:pPr>
      <w:r w:rsidRPr="0071276D">
        <w:t xml:space="preserve">The wide </w:t>
      </w:r>
      <w:proofErr w:type="gramStart"/>
      <w:r w:rsidRPr="0071276D">
        <w:t>range</w:t>
      </w:r>
      <w:proofErr w:type="gramEnd"/>
      <w:r w:rsidRPr="0071276D">
        <w:t xml:space="preserve"> of international tax planning techniques that are used to achieve such results are collectively referred to BEPS</w:t>
      </w:r>
      <w:r w:rsidR="009F63E3">
        <w:t xml:space="preserve"> </w:t>
      </w:r>
      <w:r w:rsidR="004B689D">
        <w:t xml:space="preserve">tax planning </w:t>
      </w:r>
      <w:r>
        <w:t xml:space="preserve">strategies.  </w:t>
      </w:r>
    </w:p>
    <w:p w:rsidR="000C331E" w:rsidRDefault="000C331E" w:rsidP="000C331E">
      <w:pPr>
        <w:pStyle w:val="ListParagraph"/>
      </w:pPr>
    </w:p>
    <w:p w:rsidR="000C331E" w:rsidRDefault="000C331E" w:rsidP="000C331E">
      <w:pPr>
        <w:pStyle w:val="TRNormal"/>
        <w:numPr>
          <w:ilvl w:val="0"/>
          <w:numId w:val="11"/>
        </w:numPr>
        <w:tabs>
          <w:tab w:val="num" w:pos="567"/>
        </w:tabs>
        <w:ind w:left="567" w:hanging="567"/>
      </w:pPr>
      <w:r w:rsidRPr="0071276D">
        <w:t xml:space="preserve">BEPS tax planning strategies exploit gaps and mismatches in </w:t>
      </w:r>
      <w:r>
        <w:t xml:space="preserve">countries’ domestic </w:t>
      </w:r>
      <w:r w:rsidRPr="0071276D">
        <w:t>tax rules to make profits disappear for tax purposes or to shift profits to locations where there is little or no real activity but the taxes are low, resulting in little or no overall corporate tax being paid</w:t>
      </w:r>
      <w:r>
        <w:t>.</w:t>
      </w:r>
      <w:r w:rsidRPr="0071276D">
        <w:t xml:space="preserve"> </w:t>
      </w:r>
    </w:p>
    <w:p w:rsidR="000C331E" w:rsidRDefault="000C331E" w:rsidP="000C331E">
      <w:pPr>
        <w:pStyle w:val="ListParagraph"/>
      </w:pPr>
    </w:p>
    <w:p w:rsidR="000C331E" w:rsidRPr="0071276D" w:rsidRDefault="000C331E" w:rsidP="000C331E">
      <w:pPr>
        <w:pStyle w:val="TRNormal"/>
        <w:numPr>
          <w:ilvl w:val="0"/>
          <w:numId w:val="11"/>
        </w:numPr>
        <w:tabs>
          <w:tab w:val="num" w:pos="567"/>
        </w:tabs>
        <w:ind w:left="567" w:hanging="567"/>
      </w:pPr>
      <w:r>
        <w:rPr>
          <w:lang w:val="en"/>
        </w:rPr>
        <w:t xml:space="preserve">Other BEPS tax planning strategies take advantage of current international tax rules that are still grounded in a bricks and mortar economic environment rather than today’s environment of global players which is </w:t>
      </w:r>
      <w:proofErr w:type="spellStart"/>
      <w:r>
        <w:rPr>
          <w:lang w:val="en"/>
        </w:rPr>
        <w:t>characterised</w:t>
      </w:r>
      <w:proofErr w:type="spellEnd"/>
      <w:r>
        <w:rPr>
          <w:lang w:val="en"/>
        </w:rPr>
        <w:t xml:space="preserve"> by the increasing importance of </w:t>
      </w:r>
      <w:r w:rsidR="00876656">
        <w:rPr>
          <w:lang w:val="en"/>
        </w:rPr>
        <w:t xml:space="preserve">intellectual property and </w:t>
      </w:r>
      <w:r>
        <w:rPr>
          <w:lang w:val="en"/>
        </w:rPr>
        <w:t>the digital environment.</w:t>
      </w:r>
    </w:p>
    <w:p w:rsidR="000C331E" w:rsidRDefault="000C331E" w:rsidP="000C331E">
      <w:pPr>
        <w:pStyle w:val="TRNormal"/>
        <w:ind w:left="567"/>
      </w:pPr>
    </w:p>
    <w:p w:rsidR="0024465A" w:rsidRDefault="000C331E" w:rsidP="000C331E">
      <w:pPr>
        <w:pStyle w:val="TRNormal"/>
        <w:numPr>
          <w:ilvl w:val="0"/>
          <w:numId w:val="11"/>
        </w:numPr>
        <w:tabs>
          <w:tab w:val="num" w:pos="567"/>
        </w:tabs>
        <w:ind w:left="567" w:hanging="567"/>
      </w:pPr>
      <w:r w:rsidRPr="0071276D">
        <w:t xml:space="preserve">For these reasons </w:t>
      </w:r>
      <w:r>
        <w:t xml:space="preserve">it is </w:t>
      </w:r>
      <w:r w:rsidRPr="0071276D">
        <w:t>difficult for any single country acting alone to fully address the issue</w:t>
      </w:r>
      <w:r>
        <w:t>.  BEPS is a g</w:t>
      </w:r>
      <w:r w:rsidRPr="0071276D">
        <w:t>lobal problem which requires a global solution</w:t>
      </w:r>
      <w:r>
        <w:t xml:space="preserve">. </w:t>
      </w:r>
      <w:r w:rsidRPr="0071276D">
        <w:t xml:space="preserve">Co-ordination is </w:t>
      </w:r>
      <w:proofErr w:type="gramStart"/>
      <w:r w:rsidRPr="0071276D">
        <w:t>ke</w:t>
      </w:r>
      <w:r>
        <w:t>y</w:t>
      </w:r>
      <w:proofErr w:type="gramEnd"/>
      <w:r>
        <w:t>.</w:t>
      </w:r>
    </w:p>
    <w:p w:rsidR="00DF220A" w:rsidRDefault="00DF220A" w:rsidP="00DF220A">
      <w:pPr>
        <w:pStyle w:val="TRNormal"/>
      </w:pPr>
    </w:p>
    <w:p w:rsidR="00FC5306" w:rsidRPr="004464DB" w:rsidRDefault="00FC5306" w:rsidP="004464DB">
      <w:pPr>
        <w:rPr>
          <w:b/>
        </w:rPr>
      </w:pPr>
      <w:r w:rsidRPr="004464DB">
        <w:rPr>
          <w:b/>
        </w:rPr>
        <w:t>What is AEOI?</w:t>
      </w:r>
    </w:p>
    <w:p w:rsidR="00FC5306" w:rsidRDefault="00FC5306" w:rsidP="0032614A">
      <w:pPr>
        <w:pStyle w:val="ListParagraph"/>
        <w:ind w:left="567"/>
        <w:rPr>
          <w:b/>
          <w:i/>
        </w:rPr>
      </w:pPr>
    </w:p>
    <w:p w:rsidR="00FC5306" w:rsidRDefault="00FC5306" w:rsidP="00FB33C8">
      <w:pPr>
        <w:pStyle w:val="TRNormal"/>
        <w:numPr>
          <w:ilvl w:val="0"/>
          <w:numId w:val="11"/>
        </w:numPr>
        <w:tabs>
          <w:tab w:val="clear" w:pos="8015"/>
          <w:tab w:val="num" w:pos="567"/>
        </w:tabs>
        <w:ind w:left="567" w:hanging="567"/>
      </w:pPr>
      <w:r>
        <w:t xml:space="preserve">A related, but different, issue is the ability of taxpayers to hide assets offshore </w:t>
      </w:r>
      <w:r w:rsidR="00355A39">
        <w:t>to</w:t>
      </w:r>
      <w:r>
        <w:t xml:space="preserve"> evade tax obligations in their home jurisdictions.  This is facilitated by the current lack of transparency and exchange of information in the global tax system. </w:t>
      </w:r>
    </w:p>
    <w:p w:rsidR="00FC5306" w:rsidRDefault="00FC5306" w:rsidP="007042BE">
      <w:pPr>
        <w:pStyle w:val="TRNormal"/>
        <w:ind w:left="567"/>
      </w:pPr>
    </w:p>
    <w:p w:rsidR="00FC5306" w:rsidRDefault="00FC5306" w:rsidP="00FC5306">
      <w:pPr>
        <w:pStyle w:val="TRNormal"/>
        <w:numPr>
          <w:ilvl w:val="0"/>
          <w:numId w:val="11"/>
        </w:numPr>
        <w:tabs>
          <w:tab w:val="num" w:pos="567"/>
        </w:tabs>
        <w:ind w:left="567" w:hanging="567"/>
      </w:pPr>
      <w:r w:rsidRPr="00C67217">
        <w:t xml:space="preserve">AEOI is </w:t>
      </w:r>
      <w:r>
        <w:t xml:space="preserve">a multilateral initiative </w:t>
      </w:r>
      <w:r w:rsidRPr="00C67217">
        <w:t xml:space="preserve">aimed at countering </w:t>
      </w:r>
      <w:r w:rsidR="00355A39">
        <w:t>this problem</w:t>
      </w:r>
      <w:r w:rsidRPr="00C67217">
        <w:t>, recovering tax revenue lost to non-compliant taxpayers, and further strengthening transparency in tax matters.</w:t>
      </w:r>
    </w:p>
    <w:p w:rsidR="00FC5306" w:rsidRDefault="00FC5306" w:rsidP="007042BE">
      <w:pPr>
        <w:pStyle w:val="ListParagraph"/>
      </w:pPr>
    </w:p>
    <w:p w:rsidR="00FC5306" w:rsidRDefault="00FC5306" w:rsidP="00FB33C8">
      <w:pPr>
        <w:pStyle w:val="TRNormal"/>
        <w:numPr>
          <w:ilvl w:val="0"/>
          <w:numId w:val="11"/>
        </w:numPr>
        <w:tabs>
          <w:tab w:val="clear" w:pos="8015"/>
          <w:tab w:val="num" w:pos="567"/>
        </w:tabs>
        <w:ind w:left="567" w:hanging="567"/>
      </w:pPr>
      <w:r>
        <w:t xml:space="preserve">The initiative would see financial institutions in participating jurisdictions gather financial information on foreign taxpayers within that jurisdiction under a </w:t>
      </w:r>
      <w:r w:rsidR="00355A39">
        <w:t>“</w:t>
      </w:r>
      <w:r>
        <w:t>common reporting standard</w:t>
      </w:r>
      <w:r w:rsidR="00355A39">
        <w:t>” (CRS)</w:t>
      </w:r>
      <w:r>
        <w:t xml:space="preserve">. This information would be passed to the tax authority in that jurisdiction, who would exchange that information with the tax authority in the taxpayer’s ‘home’ jurisdiction.  </w:t>
      </w:r>
    </w:p>
    <w:p w:rsidR="00FC5306" w:rsidRDefault="00FC5306" w:rsidP="007042BE">
      <w:pPr>
        <w:pStyle w:val="ListParagraph"/>
      </w:pPr>
    </w:p>
    <w:p w:rsidR="00FC5306" w:rsidRPr="0085063A" w:rsidRDefault="00FC5306" w:rsidP="00FB33C8">
      <w:pPr>
        <w:pStyle w:val="TRNormal"/>
        <w:numPr>
          <w:ilvl w:val="0"/>
          <w:numId w:val="11"/>
        </w:numPr>
        <w:tabs>
          <w:tab w:val="clear" w:pos="8015"/>
          <w:tab w:val="num" w:pos="567"/>
        </w:tabs>
        <w:ind w:left="567" w:hanging="567"/>
      </w:pPr>
      <w:r>
        <w:t>International expectations are that participating jurisdictions complete first exchanges of information by 30 September 2018 at the latest.  New Zealand is aiming to meet this timeframe (CAB-16-MIN-0034 refers).</w:t>
      </w:r>
      <w:r w:rsidRPr="00C67217">
        <w:t xml:space="preserve">  </w:t>
      </w:r>
    </w:p>
    <w:p w:rsidR="00FC5306" w:rsidRDefault="00FC5306" w:rsidP="0032614A">
      <w:pPr>
        <w:pStyle w:val="ListParagraph"/>
        <w:ind w:left="567"/>
        <w:rPr>
          <w:b/>
          <w:i/>
        </w:rPr>
      </w:pPr>
    </w:p>
    <w:p w:rsidR="0032614A" w:rsidRPr="004464DB" w:rsidRDefault="0032614A" w:rsidP="004464DB">
      <w:pPr>
        <w:rPr>
          <w:b/>
        </w:rPr>
      </w:pPr>
      <w:r w:rsidRPr="004464DB">
        <w:rPr>
          <w:b/>
        </w:rPr>
        <w:t xml:space="preserve">What </w:t>
      </w:r>
      <w:r w:rsidR="009F63E3" w:rsidRPr="004464DB">
        <w:rPr>
          <w:b/>
        </w:rPr>
        <w:t>do the G20 and OECD propose we do about BEPS</w:t>
      </w:r>
      <w:r w:rsidR="00632FFB" w:rsidRPr="004464DB">
        <w:rPr>
          <w:b/>
        </w:rPr>
        <w:t xml:space="preserve"> and AEOI</w:t>
      </w:r>
      <w:r w:rsidRPr="004464DB">
        <w:rPr>
          <w:b/>
        </w:rPr>
        <w:t>?</w:t>
      </w:r>
    </w:p>
    <w:p w:rsidR="00957242" w:rsidRDefault="00957242" w:rsidP="00957242">
      <w:pPr>
        <w:pStyle w:val="ListParagraph"/>
      </w:pPr>
    </w:p>
    <w:p w:rsidR="001605AF" w:rsidRDefault="001F5A40" w:rsidP="00FB33C8">
      <w:pPr>
        <w:pStyle w:val="TRNormal"/>
        <w:numPr>
          <w:ilvl w:val="0"/>
          <w:numId w:val="11"/>
        </w:numPr>
        <w:tabs>
          <w:tab w:val="clear" w:pos="8015"/>
          <w:tab w:val="num" w:pos="567"/>
        </w:tabs>
        <w:ind w:left="567" w:hanging="567"/>
      </w:pPr>
      <w:r>
        <w:t>There is a strong political impetus to address</w:t>
      </w:r>
      <w:r w:rsidR="001605AF">
        <w:t xml:space="preserve"> </w:t>
      </w:r>
      <w:r w:rsidR="009F63E3">
        <w:t>BEPS</w:t>
      </w:r>
      <w:r w:rsidR="00FC5306">
        <w:t xml:space="preserve"> and improve transparency of tax information</w:t>
      </w:r>
      <w:r w:rsidR="001605AF">
        <w:t xml:space="preserve">.  However, </w:t>
      </w:r>
      <w:r w:rsidR="009F63E3">
        <w:t>the G20 and OECD emphasis</w:t>
      </w:r>
      <w:r w:rsidR="00355A39">
        <w:t>e</w:t>
      </w:r>
      <w:r w:rsidR="009F63E3">
        <w:t xml:space="preserve"> </w:t>
      </w:r>
      <w:r w:rsidR="001605AF">
        <w:t>that this is a global problem that requires a co-ordinated global solution.</w:t>
      </w:r>
    </w:p>
    <w:p w:rsidR="00FA268C" w:rsidRDefault="00FA268C" w:rsidP="00FA268C">
      <w:pPr>
        <w:pStyle w:val="ListParagraph"/>
      </w:pPr>
    </w:p>
    <w:p w:rsidR="001605AF" w:rsidRDefault="00632FFB" w:rsidP="00FB33C8">
      <w:pPr>
        <w:pStyle w:val="TRNormal"/>
        <w:numPr>
          <w:ilvl w:val="0"/>
          <w:numId w:val="11"/>
        </w:numPr>
        <w:tabs>
          <w:tab w:val="clear" w:pos="8015"/>
          <w:tab w:val="num" w:pos="567"/>
        </w:tabs>
        <w:ind w:left="567" w:hanging="567"/>
      </w:pPr>
      <w:r>
        <w:t>The concern</w:t>
      </w:r>
      <w:r w:rsidR="00355A39">
        <w:t xml:space="preserve"> a global approach addresses</w:t>
      </w:r>
      <w:r>
        <w:t xml:space="preserve"> is that if it is left for individual countries to implement</w:t>
      </w:r>
      <w:r w:rsidR="001605AF">
        <w:t xml:space="preserve"> ad-hoc domestic legislation it could actually make the problem worse (as asymmetry between </w:t>
      </w:r>
      <w:r w:rsidR="008472C5">
        <w:t xml:space="preserve">different </w:t>
      </w:r>
      <w:r w:rsidR="001605AF">
        <w:t xml:space="preserve">countries’ tax laws are part of the existing problem) or potentially cripple businesses who would face double or triple taxation as governments scramble to protect </w:t>
      </w:r>
      <w:r w:rsidR="00232004">
        <w:t>their</w:t>
      </w:r>
      <w:r w:rsidR="001605AF">
        <w:t xml:space="preserve"> own tax base</w:t>
      </w:r>
      <w:r w:rsidR="00232004">
        <w:t>s</w:t>
      </w:r>
      <w:r w:rsidR="001605AF">
        <w:t xml:space="preserve">. </w:t>
      </w:r>
    </w:p>
    <w:p w:rsidR="001605AF" w:rsidRDefault="001605AF" w:rsidP="001605AF">
      <w:pPr>
        <w:pStyle w:val="ListParagraph"/>
      </w:pPr>
    </w:p>
    <w:p w:rsidR="009F63E3" w:rsidRDefault="009F63E3" w:rsidP="007042BE">
      <w:pPr>
        <w:pStyle w:val="TRNormal"/>
        <w:numPr>
          <w:ilvl w:val="0"/>
          <w:numId w:val="11"/>
        </w:numPr>
        <w:tabs>
          <w:tab w:val="clear" w:pos="8015"/>
          <w:tab w:val="num" w:pos="567"/>
        </w:tabs>
        <w:ind w:left="567" w:hanging="567"/>
      </w:pPr>
      <w:r>
        <w:lastRenderedPageBreak/>
        <w:t>T</w:t>
      </w:r>
      <w:r w:rsidR="008472C5">
        <w:t>he G20</w:t>
      </w:r>
      <w:r>
        <w:t xml:space="preserve"> and </w:t>
      </w:r>
      <w:r w:rsidR="001605AF">
        <w:t xml:space="preserve">OECD </w:t>
      </w:r>
      <w:r w:rsidR="00632FFB">
        <w:t>released</w:t>
      </w:r>
      <w:r w:rsidR="008472C5">
        <w:t xml:space="preserve"> </w:t>
      </w:r>
      <w:r w:rsidR="002D79EB">
        <w:t xml:space="preserve">the final reports on </w:t>
      </w:r>
      <w:r w:rsidR="008472C5">
        <w:t xml:space="preserve">a </w:t>
      </w:r>
      <w:r>
        <w:t xml:space="preserve">15 point </w:t>
      </w:r>
      <w:r w:rsidR="008472C5">
        <w:t>Action Plan to address BEPS concerns</w:t>
      </w:r>
      <w:r w:rsidR="002E2E06">
        <w:t xml:space="preserve"> last October</w:t>
      </w:r>
      <w:r w:rsidR="00632FFB">
        <w:t xml:space="preserve"> and a </w:t>
      </w:r>
      <w:r w:rsidR="002E2E06">
        <w:t xml:space="preserve">global </w:t>
      </w:r>
      <w:r w:rsidR="00632FFB">
        <w:t>standard to facilitate AEOI</w:t>
      </w:r>
      <w:r w:rsidR="002E2E06">
        <w:t xml:space="preserve"> in 2013</w:t>
      </w:r>
      <w:r w:rsidR="008472C5">
        <w:t xml:space="preserve">.  </w:t>
      </w:r>
      <w:r>
        <w:t>The</w:t>
      </w:r>
      <w:r w:rsidR="00632FFB">
        <w:t xml:space="preserve">se </w:t>
      </w:r>
      <w:r w:rsidR="002E2E06">
        <w:t>initiatives</w:t>
      </w:r>
      <w:r w:rsidR="00632FFB">
        <w:t xml:space="preserve"> can </w:t>
      </w:r>
      <w:r w:rsidR="00612628">
        <w:t xml:space="preserve">be grouped under </w:t>
      </w:r>
      <w:r>
        <w:t>three</w:t>
      </w:r>
      <w:r w:rsidR="00612628">
        <w:t xml:space="preserve"> broad</w:t>
      </w:r>
      <w:r>
        <w:t xml:space="preserve"> themes:</w:t>
      </w:r>
    </w:p>
    <w:p w:rsidR="009F63E3" w:rsidRDefault="009F63E3" w:rsidP="004B689D">
      <w:pPr>
        <w:pStyle w:val="ListParagraph"/>
      </w:pPr>
    </w:p>
    <w:p w:rsidR="009F63E3" w:rsidRDefault="009F63E3" w:rsidP="004B689D">
      <w:pPr>
        <w:pStyle w:val="TRNormal"/>
        <w:numPr>
          <w:ilvl w:val="1"/>
          <w:numId w:val="11"/>
        </w:numPr>
        <w:tabs>
          <w:tab w:val="num" w:pos="8015"/>
        </w:tabs>
      </w:pPr>
      <w:r>
        <w:t xml:space="preserve">more robust tax laws; </w:t>
      </w:r>
    </w:p>
    <w:p w:rsidR="00957242" w:rsidRDefault="009F63E3" w:rsidP="004B689D">
      <w:pPr>
        <w:pStyle w:val="TRNormal"/>
        <w:numPr>
          <w:ilvl w:val="1"/>
          <w:numId w:val="11"/>
        </w:numPr>
        <w:tabs>
          <w:tab w:val="num" w:pos="8015"/>
        </w:tabs>
      </w:pPr>
      <w:r>
        <w:t>international agreements</w:t>
      </w:r>
      <w:r w:rsidR="00DD330C">
        <w:t xml:space="preserve"> and co-operation</w:t>
      </w:r>
      <w:r w:rsidR="002E2E06">
        <w:t>; and</w:t>
      </w:r>
    </w:p>
    <w:p w:rsidR="002E2E06" w:rsidRDefault="002E2E06" w:rsidP="002E2E06">
      <w:pPr>
        <w:pStyle w:val="TRNormal"/>
        <w:numPr>
          <w:ilvl w:val="1"/>
          <w:numId w:val="11"/>
        </w:numPr>
        <w:tabs>
          <w:tab w:val="num" w:pos="8015"/>
        </w:tabs>
      </w:pPr>
      <w:proofErr w:type="gramStart"/>
      <w:r>
        <w:t>greater</w:t>
      </w:r>
      <w:proofErr w:type="gramEnd"/>
      <w:r>
        <w:t xml:space="preserve"> transparency</w:t>
      </w:r>
      <w:r w:rsidR="00DD330C">
        <w:t xml:space="preserve"> of tax information</w:t>
      </w:r>
      <w:r>
        <w:t>.</w:t>
      </w:r>
    </w:p>
    <w:p w:rsidR="008472C5" w:rsidRDefault="008472C5" w:rsidP="008472C5">
      <w:pPr>
        <w:pStyle w:val="ListParagraph"/>
      </w:pPr>
    </w:p>
    <w:p w:rsidR="009F63E3" w:rsidRDefault="009F63E3" w:rsidP="007042BE">
      <w:pPr>
        <w:pStyle w:val="TRNormal"/>
        <w:numPr>
          <w:ilvl w:val="0"/>
          <w:numId w:val="11"/>
        </w:numPr>
        <w:tabs>
          <w:tab w:val="clear" w:pos="8015"/>
          <w:tab w:val="num" w:pos="567"/>
        </w:tabs>
        <w:ind w:left="567" w:hanging="567"/>
      </w:pPr>
      <w:r>
        <w:t xml:space="preserve">This is illustrated in </w:t>
      </w:r>
      <w:r w:rsidRPr="007042BE">
        <w:rPr>
          <w:b/>
        </w:rPr>
        <w:t>slide 1</w:t>
      </w:r>
      <w:r>
        <w:t xml:space="preserve"> in the attachment to this paper. </w:t>
      </w:r>
    </w:p>
    <w:p w:rsidR="004B689D" w:rsidRDefault="004B689D" w:rsidP="004B689D">
      <w:pPr>
        <w:pStyle w:val="TRNormal"/>
        <w:ind w:left="567"/>
      </w:pPr>
    </w:p>
    <w:p w:rsidR="004B689D" w:rsidRDefault="004B689D" w:rsidP="00FB33C8">
      <w:pPr>
        <w:pStyle w:val="TRNormal"/>
        <w:numPr>
          <w:ilvl w:val="0"/>
          <w:numId w:val="11"/>
        </w:numPr>
        <w:tabs>
          <w:tab w:val="clear" w:pos="8015"/>
          <w:tab w:val="num" w:pos="567"/>
        </w:tabs>
        <w:ind w:left="567" w:hanging="567"/>
      </w:pPr>
      <w:r>
        <w:t xml:space="preserve">Each country needs to focus on </w:t>
      </w:r>
      <w:r w:rsidR="00DD330C">
        <w:t>these areas</w:t>
      </w:r>
      <w:r>
        <w:t xml:space="preserve"> to ensure the international tax system as a whole is robust and fit for purpose.  The New Zealand initiatives are described below and illustrated in </w:t>
      </w:r>
      <w:r w:rsidRPr="007042BE">
        <w:rPr>
          <w:b/>
        </w:rPr>
        <w:t>slide 2</w:t>
      </w:r>
      <w:r>
        <w:t xml:space="preserve"> in the attachment to this paper.</w:t>
      </w:r>
    </w:p>
    <w:p w:rsidR="00DD330C" w:rsidRDefault="00DD330C" w:rsidP="00FB33C8">
      <w:pPr>
        <w:pStyle w:val="TRNormal"/>
        <w:tabs>
          <w:tab w:val="num" w:pos="567"/>
        </w:tabs>
      </w:pPr>
    </w:p>
    <w:p w:rsidR="00DD330C" w:rsidRDefault="00DD330C" w:rsidP="00FB33C8">
      <w:pPr>
        <w:pStyle w:val="TRNormal"/>
        <w:numPr>
          <w:ilvl w:val="0"/>
          <w:numId w:val="11"/>
        </w:numPr>
        <w:tabs>
          <w:tab w:val="clear" w:pos="8015"/>
          <w:tab w:val="num" w:pos="567"/>
        </w:tabs>
        <w:ind w:left="567" w:hanging="567"/>
      </w:pPr>
      <w:r>
        <w:t xml:space="preserve">The timeline on </w:t>
      </w:r>
      <w:r w:rsidRPr="007042BE">
        <w:rPr>
          <w:b/>
        </w:rPr>
        <w:t>slide</w:t>
      </w:r>
      <w:r w:rsidR="009004C9">
        <w:rPr>
          <w:b/>
        </w:rPr>
        <w:t>s</w:t>
      </w:r>
      <w:r w:rsidRPr="007042BE">
        <w:rPr>
          <w:b/>
        </w:rPr>
        <w:t xml:space="preserve"> 3</w:t>
      </w:r>
      <w:r w:rsidR="009004C9">
        <w:rPr>
          <w:b/>
        </w:rPr>
        <w:t xml:space="preserve"> and 4</w:t>
      </w:r>
      <w:r>
        <w:t xml:space="preserve"> in the attachment to his paper shows the proposed dates for delivery of </w:t>
      </w:r>
      <w:r w:rsidR="00355A39">
        <w:t xml:space="preserve">the New Zealand </w:t>
      </w:r>
      <w:r>
        <w:t>BEPS</w:t>
      </w:r>
      <w:r w:rsidR="00EB22DB">
        <w:t>, AEOI</w:t>
      </w:r>
      <w:r>
        <w:t xml:space="preserve"> and related measures.</w:t>
      </w:r>
    </w:p>
    <w:p w:rsidR="004464DB" w:rsidRDefault="004464DB" w:rsidP="004464DB">
      <w:pPr>
        <w:pStyle w:val="TRNormal"/>
      </w:pPr>
    </w:p>
    <w:p w:rsidR="009F63E3" w:rsidRPr="004464DB" w:rsidRDefault="009F63E3" w:rsidP="004464DB">
      <w:pPr>
        <w:pStyle w:val="TRNormal"/>
        <w:rPr>
          <w:b/>
        </w:rPr>
      </w:pPr>
      <w:r w:rsidRPr="004464DB">
        <w:rPr>
          <w:b/>
        </w:rPr>
        <w:t>What is New Zealand doing to address BEPS</w:t>
      </w:r>
      <w:r w:rsidR="00DD330C" w:rsidRPr="004464DB">
        <w:rPr>
          <w:b/>
        </w:rPr>
        <w:t xml:space="preserve"> and AEOI</w:t>
      </w:r>
      <w:r w:rsidRPr="004464DB">
        <w:rPr>
          <w:b/>
        </w:rPr>
        <w:t>?</w:t>
      </w:r>
    </w:p>
    <w:p w:rsidR="009F63E3" w:rsidRPr="004B689D" w:rsidRDefault="009F63E3" w:rsidP="004B689D">
      <w:pPr>
        <w:pStyle w:val="TRNormal"/>
        <w:rPr>
          <w:b/>
          <w:i/>
        </w:rPr>
      </w:pPr>
    </w:p>
    <w:p w:rsidR="0032614A" w:rsidRDefault="00156825" w:rsidP="007042BE">
      <w:pPr>
        <w:pStyle w:val="TRNormal"/>
        <w:numPr>
          <w:ilvl w:val="0"/>
          <w:numId w:val="11"/>
        </w:numPr>
        <w:tabs>
          <w:tab w:val="clear" w:pos="8015"/>
          <w:tab w:val="num" w:pos="567"/>
        </w:tabs>
        <w:ind w:left="567" w:hanging="567"/>
      </w:pPr>
      <w:r>
        <w:t xml:space="preserve">The New Zealand tax system is already quite robust by international standards, so </w:t>
      </w:r>
      <w:r w:rsidR="00DD330C">
        <w:t xml:space="preserve">a few </w:t>
      </w:r>
      <w:r>
        <w:t xml:space="preserve">of the recommendations in the Action Plan do not require New Zealand to make any changes.  </w:t>
      </w:r>
    </w:p>
    <w:p w:rsidR="0032614A" w:rsidRDefault="0032614A" w:rsidP="0032614A">
      <w:pPr>
        <w:pStyle w:val="ListParagraph"/>
      </w:pPr>
    </w:p>
    <w:p w:rsidR="003D50D9" w:rsidRDefault="00156825" w:rsidP="007042BE">
      <w:pPr>
        <w:pStyle w:val="TRNormal"/>
        <w:numPr>
          <w:ilvl w:val="0"/>
          <w:numId w:val="11"/>
        </w:numPr>
        <w:tabs>
          <w:tab w:val="clear" w:pos="8015"/>
          <w:tab w:val="num" w:pos="567"/>
        </w:tabs>
        <w:ind w:left="567" w:hanging="567"/>
      </w:pPr>
      <w:r>
        <w:t xml:space="preserve">For example, New Zealand already has controlled foreign company (CFC) rules that </w:t>
      </w:r>
      <w:r w:rsidR="00DD330C">
        <w:t xml:space="preserve">meet the standards recommended by the OECD in the </w:t>
      </w:r>
      <w:r w:rsidR="007D0A34">
        <w:t xml:space="preserve">final report on Action 3 - </w:t>
      </w:r>
      <w:r w:rsidR="007D0A34" w:rsidRPr="007042BE">
        <w:rPr>
          <w:i/>
        </w:rPr>
        <w:t xml:space="preserve">Designing Effective </w:t>
      </w:r>
      <w:r w:rsidR="007D0A34" w:rsidRPr="007042BE">
        <w:rPr>
          <w:rStyle w:val="Strong"/>
          <w:b w:val="0"/>
          <w:i/>
        </w:rPr>
        <w:t>Controlled Foreign Company Rules</w:t>
      </w:r>
      <w:r w:rsidR="00355A39">
        <w:rPr>
          <w:rStyle w:val="Strong"/>
          <w:b w:val="0"/>
          <w:i/>
        </w:rPr>
        <w:t>.</w:t>
      </w:r>
      <w:r w:rsidR="00DD330C" w:rsidRPr="0085063A">
        <w:t xml:space="preserve"> </w:t>
      </w:r>
      <w:r w:rsidR="00355A39">
        <w:t>T</w:t>
      </w:r>
      <w:r w:rsidR="007D0A34" w:rsidRPr="0085063A">
        <w:t xml:space="preserve">hese </w:t>
      </w:r>
      <w:r w:rsidR="00355A39">
        <w:t xml:space="preserve">are </w:t>
      </w:r>
      <w:r w:rsidR="007D0A34" w:rsidRPr="0085063A">
        <w:t xml:space="preserve">rules </w:t>
      </w:r>
      <w:r w:rsidR="00355A39">
        <w:t xml:space="preserve">which </w:t>
      </w:r>
      <w:r w:rsidRPr="0085063A">
        <w:t xml:space="preserve">prevent New Zealand residents avoiding tax on </w:t>
      </w:r>
      <w:r w:rsidR="00FA268C" w:rsidRPr="007042BE">
        <w:t xml:space="preserve">the profits of their offshore </w:t>
      </w:r>
      <w:r w:rsidRPr="007042BE">
        <w:t>companies</w:t>
      </w:r>
      <w:r>
        <w:t xml:space="preserve">.  </w:t>
      </w:r>
      <w:r w:rsidR="00FA268C">
        <w:t>Simila</w:t>
      </w:r>
      <w:r w:rsidR="0049688B">
        <w:t>rly, New Zealand does not have any changes</w:t>
      </w:r>
      <w:r w:rsidR="00FA268C">
        <w:t xml:space="preserve"> it needs </w:t>
      </w:r>
      <w:r w:rsidR="0049688B">
        <w:t>make to domestic tax law to</w:t>
      </w:r>
      <w:r w:rsidR="00FA268C">
        <w:t xml:space="preserve"> address Action 5 – </w:t>
      </w:r>
      <w:r w:rsidR="00FA268C" w:rsidRPr="007042BE">
        <w:rPr>
          <w:i/>
        </w:rPr>
        <w:t>Harmful Tax Practices</w:t>
      </w:r>
      <w:r w:rsidR="00FA268C">
        <w:t>.</w:t>
      </w:r>
      <w:r>
        <w:t xml:space="preserve"> </w:t>
      </w:r>
      <w:r w:rsidR="00612628">
        <w:t xml:space="preserve"> This was confirmed by the OECD in </w:t>
      </w:r>
      <w:r w:rsidR="00EB22DB">
        <w:t xml:space="preserve">2012 </w:t>
      </w:r>
      <w:r w:rsidR="007D0A34">
        <w:t>(</w:t>
      </w:r>
      <w:r w:rsidR="00341E83">
        <w:t>[C</w:t>
      </w:r>
      <w:bookmarkStart w:id="0" w:name="_GoBack"/>
      <w:bookmarkEnd w:id="0"/>
      <w:r w:rsidR="00341E83">
        <w:t>onfidential OECD report number withheld])</w:t>
      </w:r>
      <w:r w:rsidR="00612628">
        <w:t>.</w:t>
      </w:r>
    </w:p>
    <w:p w:rsidR="004B689D" w:rsidRDefault="004B689D" w:rsidP="004B689D">
      <w:pPr>
        <w:pStyle w:val="ListParagraph"/>
      </w:pPr>
    </w:p>
    <w:p w:rsidR="0032614A" w:rsidRPr="004B689D" w:rsidRDefault="0028617A" w:rsidP="007042BE">
      <w:pPr>
        <w:pStyle w:val="TRNormal"/>
        <w:numPr>
          <w:ilvl w:val="0"/>
          <w:numId w:val="11"/>
        </w:numPr>
        <w:tabs>
          <w:tab w:val="clear" w:pos="8015"/>
          <w:tab w:val="num" w:pos="567"/>
        </w:tabs>
        <w:ind w:left="567" w:hanging="567"/>
      </w:pPr>
      <w:r>
        <w:t>T</w:t>
      </w:r>
      <w:r w:rsidR="004B689D">
        <w:t xml:space="preserve">here are a number of initiatives New Zealand has </w:t>
      </w:r>
      <w:r>
        <w:t xml:space="preserve">either </w:t>
      </w:r>
      <w:r w:rsidR="004B689D">
        <w:t>already implemented or will implement to address the three key BEPS themes.</w:t>
      </w:r>
    </w:p>
    <w:p w:rsidR="0032614A" w:rsidRDefault="0032614A" w:rsidP="004B689D">
      <w:pPr>
        <w:pStyle w:val="TRNormal"/>
        <w:rPr>
          <w:b/>
          <w:i/>
        </w:rPr>
      </w:pPr>
    </w:p>
    <w:p w:rsidR="0032614A" w:rsidRPr="0032614A" w:rsidRDefault="004B689D" w:rsidP="003D50D9">
      <w:pPr>
        <w:pStyle w:val="TRNormal"/>
        <w:ind w:left="567"/>
        <w:rPr>
          <w:b/>
          <w:i/>
        </w:rPr>
      </w:pPr>
      <w:r>
        <w:rPr>
          <w:b/>
          <w:i/>
        </w:rPr>
        <w:t xml:space="preserve">More robust tax </w:t>
      </w:r>
      <w:r w:rsidR="0032614A" w:rsidRPr="0032614A">
        <w:rPr>
          <w:b/>
          <w:i/>
        </w:rPr>
        <w:t>law</w:t>
      </w:r>
      <w:r>
        <w:rPr>
          <w:b/>
          <w:i/>
        </w:rPr>
        <w:t>s</w:t>
      </w:r>
    </w:p>
    <w:p w:rsidR="0032614A" w:rsidRDefault="0032614A" w:rsidP="003D50D9">
      <w:pPr>
        <w:pStyle w:val="TRNormal"/>
        <w:ind w:left="567"/>
      </w:pPr>
    </w:p>
    <w:p w:rsidR="00FA268C" w:rsidRPr="00025D4E" w:rsidRDefault="00DF5413" w:rsidP="007042BE">
      <w:pPr>
        <w:pStyle w:val="TRNormal"/>
        <w:numPr>
          <w:ilvl w:val="0"/>
          <w:numId w:val="11"/>
        </w:numPr>
        <w:tabs>
          <w:tab w:val="clear" w:pos="8015"/>
          <w:tab w:val="num" w:pos="567"/>
        </w:tabs>
        <w:ind w:left="567" w:hanging="567"/>
      </w:pPr>
      <w:r>
        <w:t>First</w:t>
      </w:r>
      <w:r w:rsidR="00E770F8">
        <w:t xml:space="preserve">, we need to ensure our own </w:t>
      </w:r>
      <w:r w:rsidR="00E770F8" w:rsidRPr="00E770F8">
        <w:rPr>
          <w:b/>
        </w:rPr>
        <w:t xml:space="preserve">domestic tax laws </w:t>
      </w:r>
      <w:r w:rsidR="00E770F8" w:rsidRPr="004B689D">
        <w:t xml:space="preserve">are </w:t>
      </w:r>
      <w:r w:rsidR="004B689D" w:rsidRPr="004B689D">
        <w:t xml:space="preserve">robust and </w:t>
      </w:r>
      <w:r w:rsidR="00E770F8" w:rsidRPr="004B689D">
        <w:t>consistent with international best practice</w:t>
      </w:r>
      <w:r w:rsidR="00E770F8">
        <w:t xml:space="preserve">.  This is to ensure that our domestic tax settings </w:t>
      </w:r>
      <w:r w:rsidR="0032614A">
        <w:t xml:space="preserve">protect our tax </w:t>
      </w:r>
      <w:r w:rsidR="0032614A" w:rsidRPr="00025D4E">
        <w:t xml:space="preserve">base and </w:t>
      </w:r>
      <w:r w:rsidR="00E770F8" w:rsidRPr="00025D4E">
        <w:t>do not facilitate double non-taxation, tax avoidance or evasion.  In this area, New Zealand:</w:t>
      </w:r>
    </w:p>
    <w:p w:rsidR="005F7228" w:rsidRPr="00025D4E" w:rsidRDefault="005F7228" w:rsidP="00025D4E">
      <w:pPr>
        <w:pStyle w:val="TRNormal"/>
        <w:ind w:left="1440"/>
      </w:pPr>
    </w:p>
    <w:p w:rsidR="00D57F60" w:rsidRDefault="005F7228" w:rsidP="002210FA">
      <w:pPr>
        <w:pStyle w:val="TRNormal"/>
        <w:numPr>
          <w:ilvl w:val="1"/>
          <w:numId w:val="11"/>
        </w:numPr>
        <w:tabs>
          <w:tab w:val="num" w:pos="8015"/>
        </w:tabs>
      </w:pPr>
      <w:r w:rsidRPr="00025D4E">
        <w:t xml:space="preserve">has already strengthened its </w:t>
      </w:r>
      <w:r w:rsidR="00FF16C0">
        <w:t>CFC</w:t>
      </w:r>
      <w:r w:rsidRPr="00025D4E">
        <w:t xml:space="preserve"> rules and thin capitalisation rules (</w:t>
      </w:r>
      <w:r w:rsidR="002210FA" w:rsidRPr="002210FA">
        <w:t>by reducing the level of debt a New Zealand entity controlled by non-residents can have before interest deductions will be disallowed and widening the application of the rules to include mor</w:t>
      </w:r>
      <w:r w:rsidR="00D57F60">
        <w:t>e foreign ownership structures);</w:t>
      </w:r>
    </w:p>
    <w:p w:rsidR="005F7228" w:rsidRDefault="005F7228" w:rsidP="002210FA">
      <w:pPr>
        <w:pStyle w:val="TRNormal"/>
        <w:numPr>
          <w:ilvl w:val="1"/>
          <w:numId w:val="11"/>
        </w:numPr>
        <w:tabs>
          <w:tab w:val="num" w:pos="8015"/>
        </w:tabs>
      </w:pPr>
      <w:r w:rsidRPr="00025D4E">
        <w:t xml:space="preserve">has </w:t>
      </w:r>
      <w:r w:rsidR="00FF16C0">
        <w:t xml:space="preserve">also </w:t>
      </w:r>
      <w:r w:rsidRPr="00025D4E">
        <w:t>introduced the bank minimum equity rules, the re-characterisation of stapled stock provision</w:t>
      </w:r>
      <w:r w:rsidR="00FF16C0">
        <w:t>, removed the foreign dividend exemption for deductible foreign equity</w:t>
      </w:r>
      <w:r w:rsidRPr="00025D4E">
        <w:t xml:space="preserve"> and eliminated the conduit regime;</w:t>
      </w:r>
    </w:p>
    <w:p w:rsidR="00E770F8" w:rsidRPr="00025D4E" w:rsidRDefault="00E770F8" w:rsidP="00E770F8">
      <w:pPr>
        <w:pStyle w:val="TRNormal"/>
        <w:numPr>
          <w:ilvl w:val="1"/>
          <w:numId w:val="11"/>
        </w:numPr>
        <w:tabs>
          <w:tab w:val="num" w:pos="8015"/>
        </w:tabs>
      </w:pPr>
      <w:r w:rsidRPr="00025D4E">
        <w:t>introduce</w:t>
      </w:r>
      <w:r w:rsidR="00612628" w:rsidRPr="00025D4E">
        <w:t>d</w:t>
      </w:r>
      <w:r w:rsidRPr="00025D4E">
        <w:t xml:space="preserve"> a Bill </w:t>
      </w:r>
      <w:r w:rsidR="00612628" w:rsidRPr="00025D4E">
        <w:t xml:space="preserve">in November 2015 </w:t>
      </w:r>
      <w:r w:rsidRPr="00025D4E">
        <w:t>that imposes GST on online services consumed in New Zealand</w:t>
      </w:r>
      <w:r w:rsidR="00612628" w:rsidRPr="00025D4E">
        <w:t xml:space="preserve"> – this legislation will apply to transactions from 1 October 2016</w:t>
      </w:r>
      <w:r w:rsidRPr="00025D4E">
        <w:t>;</w:t>
      </w:r>
    </w:p>
    <w:p w:rsidR="00FF16C0" w:rsidRDefault="00F73C2A" w:rsidP="002E2E06">
      <w:pPr>
        <w:pStyle w:val="TRNormal"/>
        <w:numPr>
          <w:ilvl w:val="1"/>
          <w:numId w:val="11"/>
        </w:numPr>
        <w:tabs>
          <w:tab w:val="num" w:pos="8015"/>
        </w:tabs>
      </w:pPr>
      <w:r>
        <w:t>has</w:t>
      </w:r>
      <w:r w:rsidR="002E2E06" w:rsidRPr="00025D4E">
        <w:t xml:space="preserve"> </w:t>
      </w:r>
      <w:r>
        <w:t xml:space="preserve">recently </w:t>
      </w:r>
      <w:r w:rsidR="002E2E06" w:rsidRPr="00025D4E">
        <w:t>introduce</w:t>
      </w:r>
      <w:r>
        <w:t>d</w:t>
      </w:r>
      <w:r w:rsidR="002E2E06" w:rsidRPr="00025D4E">
        <w:t xml:space="preserve"> </w:t>
      </w:r>
      <w:r w:rsidR="00612628" w:rsidRPr="00025D4E">
        <w:t xml:space="preserve">a </w:t>
      </w:r>
      <w:r w:rsidR="00E770F8" w:rsidRPr="00025D4E">
        <w:t xml:space="preserve">Bill </w:t>
      </w:r>
      <w:r w:rsidR="002E2E06" w:rsidRPr="00025D4E">
        <w:t>that</w:t>
      </w:r>
      <w:r w:rsidR="00FF16C0">
        <w:t>:</w:t>
      </w:r>
    </w:p>
    <w:p w:rsidR="00D57F60" w:rsidRDefault="00D57F60" w:rsidP="00D57F60">
      <w:pPr>
        <w:pStyle w:val="TRNormal"/>
        <w:ind w:left="1440"/>
      </w:pPr>
    </w:p>
    <w:p w:rsidR="00E770F8" w:rsidRDefault="002E2E06" w:rsidP="00FF16C0">
      <w:pPr>
        <w:pStyle w:val="TRNormal"/>
        <w:numPr>
          <w:ilvl w:val="2"/>
          <w:numId w:val="11"/>
        </w:numPr>
        <w:tabs>
          <w:tab w:val="num" w:pos="8015"/>
        </w:tabs>
      </w:pPr>
      <w:r w:rsidRPr="00025D4E">
        <w:t>strengthens the non-resident withholding tax and approved issuer levy rules to ensure these taxes apply consistently across economically</w:t>
      </w:r>
      <w:r w:rsidRPr="002E2E06">
        <w:t xml:space="preserve"> equivalent transactions consistent with the existing policy intent</w:t>
      </w:r>
      <w:r w:rsidR="00E770F8">
        <w:t>;</w:t>
      </w:r>
    </w:p>
    <w:p w:rsidR="00FF16C0" w:rsidRDefault="00FF16C0" w:rsidP="00FF16C0">
      <w:pPr>
        <w:pStyle w:val="TRNormal"/>
        <w:numPr>
          <w:ilvl w:val="2"/>
          <w:numId w:val="11"/>
        </w:numPr>
        <w:tabs>
          <w:tab w:val="num" w:pos="8015"/>
        </w:tabs>
      </w:pPr>
      <w:r>
        <w:t>confirms that the general anti-avoidance rule overrides double tax agreements; and</w:t>
      </w:r>
    </w:p>
    <w:p w:rsidR="00FF16C0" w:rsidRDefault="00FF16C0" w:rsidP="00FF16C0">
      <w:pPr>
        <w:pStyle w:val="TRNormal"/>
        <w:numPr>
          <w:ilvl w:val="2"/>
          <w:numId w:val="11"/>
        </w:numPr>
        <w:tabs>
          <w:tab w:val="num" w:pos="8015"/>
        </w:tabs>
      </w:pPr>
      <w:r>
        <w:t xml:space="preserve">limits the use of look-through companies </w:t>
      </w:r>
      <w:r w:rsidR="0079328C" w:rsidRPr="0079328C">
        <w:t>as conduit vehicles</w:t>
      </w:r>
      <w:r w:rsidR="0079328C">
        <w:rPr>
          <w:rFonts w:ascii="Verdana" w:hAnsi="Verdana"/>
          <w:color w:val="1F497D"/>
          <w:sz w:val="20"/>
        </w:rPr>
        <w:t xml:space="preserve"> </w:t>
      </w:r>
      <w:r>
        <w:t xml:space="preserve">by non-residents (especially to earn foreign income); </w:t>
      </w:r>
    </w:p>
    <w:p w:rsidR="00D57F60" w:rsidRDefault="00D57F60" w:rsidP="00D57F60">
      <w:pPr>
        <w:pStyle w:val="TRNormal"/>
        <w:ind w:left="2160"/>
      </w:pPr>
    </w:p>
    <w:p w:rsidR="009F63E3" w:rsidRDefault="009F63E3" w:rsidP="00E770F8">
      <w:pPr>
        <w:pStyle w:val="TRNormal"/>
        <w:numPr>
          <w:ilvl w:val="1"/>
          <w:numId w:val="11"/>
        </w:numPr>
        <w:tabs>
          <w:tab w:val="num" w:pos="8015"/>
        </w:tabs>
      </w:pPr>
      <w:r>
        <w:t xml:space="preserve">aims to consult on hybrid mismatch rules </w:t>
      </w:r>
      <w:r w:rsidR="006F2A7D">
        <w:t xml:space="preserve">in the second half of this year </w:t>
      </w:r>
      <w:r>
        <w:t xml:space="preserve">which would prevent companies </w:t>
      </w:r>
      <w:r w:rsidR="004E69F8">
        <w:t>structuring their business entities or financing arrangements to take advantage of differences in</w:t>
      </w:r>
      <w:r>
        <w:t xml:space="preserve"> </w:t>
      </w:r>
      <w:r w:rsidR="004E69F8">
        <w:t xml:space="preserve">how </w:t>
      </w:r>
      <w:r>
        <w:t xml:space="preserve">countries’ </w:t>
      </w:r>
      <w:r w:rsidR="004E69F8">
        <w:t>tax these arrangement</w:t>
      </w:r>
      <w:r>
        <w:t>.</w:t>
      </w:r>
      <w:r w:rsidRPr="009F63E3">
        <w:t xml:space="preserve"> </w:t>
      </w:r>
      <w:r>
        <w:t xml:space="preserve">Legislation could then be introduced in </w:t>
      </w:r>
      <w:r w:rsidR="0051572A">
        <w:t xml:space="preserve">March </w:t>
      </w:r>
      <w:r>
        <w:t xml:space="preserve">2017; </w:t>
      </w:r>
    </w:p>
    <w:p w:rsidR="00E770F8" w:rsidRDefault="00E770F8" w:rsidP="00E770F8">
      <w:pPr>
        <w:pStyle w:val="TRNormal"/>
        <w:numPr>
          <w:ilvl w:val="1"/>
          <w:numId w:val="11"/>
        </w:numPr>
        <w:tabs>
          <w:tab w:val="num" w:pos="8015"/>
        </w:tabs>
      </w:pPr>
      <w:proofErr w:type="gramStart"/>
      <w:r>
        <w:t>aim</w:t>
      </w:r>
      <w:r w:rsidR="009F63E3">
        <w:t>s</w:t>
      </w:r>
      <w:proofErr w:type="gramEnd"/>
      <w:r>
        <w:t xml:space="preserve"> to consult later this year on interest limitation rules which would prevent companies stripping </w:t>
      </w:r>
      <w:r w:rsidR="006F2A7D">
        <w:t xml:space="preserve">excessive </w:t>
      </w:r>
      <w:r>
        <w:t xml:space="preserve">profits out of New Zealand </w:t>
      </w:r>
      <w:r w:rsidR="006F2A7D">
        <w:t xml:space="preserve">by way of  </w:t>
      </w:r>
      <w:r>
        <w:t>deductible interest payments.  Legislation could then be introduced in</w:t>
      </w:r>
      <w:r w:rsidR="0051572A">
        <w:t xml:space="preserve"> March </w:t>
      </w:r>
      <w:r>
        <w:t>2017;</w:t>
      </w:r>
    </w:p>
    <w:p w:rsidR="003D50D9" w:rsidRDefault="00E770F8" w:rsidP="003D50D9">
      <w:pPr>
        <w:pStyle w:val="TRNormal"/>
        <w:numPr>
          <w:ilvl w:val="1"/>
          <w:numId w:val="11"/>
        </w:numPr>
        <w:tabs>
          <w:tab w:val="num" w:pos="8015"/>
        </w:tabs>
      </w:pPr>
      <w:r>
        <w:t xml:space="preserve">is undertaking </w:t>
      </w:r>
      <w:r w:rsidR="006F2A7D">
        <w:t>an inquiry into</w:t>
      </w:r>
      <w:r>
        <w:t xml:space="preserve"> foreign trust disclosure rules to ensure they are fit for purpose;</w:t>
      </w:r>
      <w:r w:rsidR="00DB3611">
        <w:t xml:space="preserve"> </w:t>
      </w:r>
    </w:p>
    <w:p w:rsidR="00DB3611" w:rsidRDefault="00DB3611" w:rsidP="00DB3611">
      <w:pPr>
        <w:pStyle w:val="TRNormal"/>
        <w:numPr>
          <w:ilvl w:val="1"/>
          <w:numId w:val="11"/>
        </w:numPr>
        <w:tabs>
          <w:tab w:val="num" w:pos="8015"/>
        </w:tabs>
      </w:pPr>
      <w:r>
        <w:t>may consider</w:t>
      </w:r>
      <w:r w:rsidR="006F2A7D">
        <w:t xml:space="preserve"> whether </w:t>
      </w:r>
      <w:r>
        <w:t>other measures to help address BEPS concerns (for example, officials will shortly report on the diverted profits tax adopted by the United Kingdom and Australia</w:t>
      </w:r>
      <w:r w:rsidR="006F2A7D">
        <w:t xml:space="preserve"> and possibly proposals on increased public transparency of information about the tax paid by multinationals in N</w:t>
      </w:r>
      <w:r w:rsidR="00EF753D">
        <w:t xml:space="preserve">ew </w:t>
      </w:r>
      <w:r w:rsidR="006F2A7D">
        <w:t>Z</w:t>
      </w:r>
      <w:r w:rsidR="00EF753D">
        <w:t>ealand</w:t>
      </w:r>
      <w:r>
        <w:t>);</w:t>
      </w:r>
    </w:p>
    <w:p w:rsidR="004B4AA3" w:rsidRDefault="004B4AA3" w:rsidP="003D50D9">
      <w:pPr>
        <w:pStyle w:val="TRNormal"/>
        <w:numPr>
          <w:ilvl w:val="1"/>
          <w:numId w:val="11"/>
        </w:numPr>
        <w:tabs>
          <w:tab w:val="num" w:pos="8015"/>
        </w:tabs>
      </w:pPr>
      <w:r>
        <w:t>already has robust CFC rules; and</w:t>
      </w:r>
    </w:p>
    <w:p w:rsidR="004B4AA3" w:rsidRDefault="004B4AA3" w:rsidP="003D50D9">
      <w:pPr>
        <w:pStyle w:val="TRNormal"/>
        <w:numPr>
          <w:ilvl w:val="1"/>
          <w:numId w:val="11"/>
        </w:numPr>
        <w:tabs>
          <w:tab w:val="num" w:pos="8015"/>
        </w:tabs>
      </w:pPr>
      <w:proofErr w:type="gramStart"/>
      <w:r>
        <w:t>does</w:t>
      </w:r>
      <w:proofErr w:type="gramEnd"/>
      <w:r>
        <w:t xml:space="preserve"> not have harmful tax practices</w:t>
      </w:r>
      <w:r w:rsidR="004B689D">
        <w:t xml:space="preserve"> as identified by the OECD</w:t>
      </w:r>
      <w:r w:rsidR="006F2A7D">
        <w:t xml:space="preserve"> in their last review in </w:t>
      </w:r>
      <w:r w:rsidR="00811D3D">
        <w:t>2012</w:t>
      </w:r>
      <w:r>
        <w:t>.</w:t>
      </w:r>
    </w:p>
    <w:p w:rsidR="003D50D9" w:rsidRDefault="003D50D9" w:rsidP="003D50D9">
      <w:pPr>
        <w:pStyle w:val="TRNormal"/>
      </w:pPr>
    </w:p>
    <w:p w:rsidR="0032614A" w:rsidRDefault="0032614A" w:rsidP="0032614A">
      <w:pPr>
        <w:pStyle w:val="TRNormal"/>
        <w:ind w:left="567"/>
        <w:rPr>
          <w:b/>
          <w:i/>
        </w:rPr>
      </w:pPr>
      <w:r w:rsidRPr="0032614A">
        <w:rPr>
          <w:b/>
          <w:i/>
        </w:rPr>
        <w:t>International agreements</w:t>
      </w:r>
      <w:r w:rsidR="00DF5413">
        <w:rPr>
          <w:b/>
          <w:i/>
        </w:rPr>
        <w:t xml:space="preserve"> and co-operation</w:t>
      </w:r>
    </w:p>
    <w:p w:rsidR="0032614A" w:rsidRPr="0032614A" w:rsidRDefault="0032614A" w:rsidP="003D50D9">
      <w:pPr>
        <w:pStyle w:val="TRNormal"/>
        <w:rPr>
          <w:b/>
          <w:i/>
        </w:rPr>
      </w:pPr>
    </w:p>
    <w:p w:rsidR="004B4AA3" w:rsidRDefault="00DF5413" w:rsidP="007042BE">
      <w:pPr>
        <w:pStyle w:val="TRNormal"/>
        <w:numPr>
          <w:ilvl w:val="0"/>
          <w:numId w:val="11"/>
        </w:numPr>
        <w:tabs>
          <w:tab w:val="clear" w:pos="8015"/>
          <w:tab w:val="num" w:pos="567"/>
        </w:tabs>
        <w:ind w:left="567" w:hanging="567"/>
      </w:pPr>
      <w:r>
        <w:t>Second</w:t>
      </w:r>
      <w:r w:rsidR="004B4AA3">
        <w:t xml:space="preserve">, we need to work with the OECD and treaty partners to ensure </w:t>
      </w:r>
      <w:r w:rsidR="004B4AA3" w:rsidRPr="004B4AA3">
        <w:rPr>
          <w:b/>
        </w:rPr>
        <w:t xml:space="preserve">international </w:t>
      </w:r>
      <w:r w:rsidR="004B4AA3">
        <w:rPr>
          <w:b/>
        </w:rPr>
        <w:t xml:space="preserve">agreements </w:t>
      </w:r>
      <w:r w:rsidR="004B4AA3" w:rsidRPr="004B4AA3">
        <w:t>are fit for purpose.</w:t>
      </w:r>
      <w:r w:rsidR="004B4AA3">
        <w:t xml:space="preserve"> New Zealand: </w:t>
      </w:r>
    </w:p>
    <w:p w:rsidR="004B4AA3" w:rsidRDefault="004B4AA3" w:rsidP="004B689D">
      <w:pPr>
        <w:pStyle w:val="TRNormal"/>
        <w:ind w:left="1440"/>
      </w:pPr>
    </w:p>
    <w:p w:rsidR="00FB7B67" w:rsidRDefault="00FB7B67" w:rsidP="004B4AA3">
      <w:pPr>
        <w:pStyle w:val="TRNormal"/>
        <w:numPr>
          <w:ilvl w:val="1"/>
          <w:numId w:val="11"/>
        </w:numPr>
        <w:tabs>
          <w:tab w:val="num" w:pos="8015"/>
        </w:tabs>
      </w:pPr>
      <w:proofErr w:type="gramStart"/>
      <w:r>
        <w:t>signed</w:t>
      </w:r>
      <w:proofErr w:type="gramEnd"/>
      <w:r w:rsidR="00730E8D">
        <w:t xml:space="preserve"> the</w:t>
      </w:r>
      <w:r>
        <w:t xml:space="preserve"> </w:t>
      </w:r>
      <w:hyperlink r:id="rId9" w:history="1">
        <w:r w:rsidRPr="00FB7B67">
          <w:rPr>
            <w:i/>
            <w:iCs/>
          </w:rPr>
          <w:t>Convention on Mutual Administrative Assistance in Tax Matters</w:t>
        </w:r>
      </w:hyperlink>
      <w:r>
        <w:t xml:space="preserve"> in 2012</w:t>
      </w:r>
      <w:r w:rsidR="00730E8D">
        <w:t>.  This became</w:t>
      </w:r>
      <w:r>
        <w:t xml:space="preserve"> operative for New Zealand on 1 January 2015 </w:t>
      </w:r>
      <w:r w:rsidR="00730E8D">
        <w:t>and is</w:t>
      </w:r>
      <w:r>
        <w:t xml:space="preserve"> also an essential elem</w:t>
      </w:r>
      <w:r w:rsidR="00730E8D">
        <w:t>en</w:t>
      </w:r>
      <w:r>
        <w:t>t of New Zealand</w:t>
      </w:r>
      <w:r w:rsidR="00730E8D">
        <w:t>’s</w:t>
      </w:r>
      <w:r>
        <w:t xml:space="preserve"> overall transparency framework;</w:t>
      </w:r>
    </w:p>
    <w:p w:rsidR="004E69F8" w:rsidRDefault="00730E8D" w:rsidP="004B4AA3">
      <w:pPr>
        <w:pStyle w:val="TRNormal"/>
        <w:numPr>
          <w:ilvl w:val="1"/>
          <w:numId w:val="11"/>
        </w:numPr>
        <w:tabs>
          <w:tab w:val="num" w:pos="8015"/>
        </w:tabs>
      </w:pPr>
      <w:proofErr w:type="gramStart"/>
      <w:r>
        <w:t>will</w:t>
      </w:r>
      <w:proofErr w:type="gramEnd"/>
      <w:r>
        <w:t xml:space="preserve"> </w:t>
      </w:r>
      <w:r w:rsidR="004E69F8">
        <w:t xml:space="preserve">sign up to the OECD’s multilateral instrument </w:t>
      </w:r>
      <w:r w:rsidR="0028617A">
        <w:t xml:space="preserve">which will be open for signatures </w:t>
      </w:r>
      <w:r w:rsidR="004E69F8">
        <w:t>by 31 December</w:t>
      </w:r>
      <w:r w:rsidR="0028617A">
        <w:t>.  This instrument</w:t>
      </w:r>
      <w:r w:rsidR="004E69F8">
        <w:t xml:space="preserve"> will amend </w:t>
      </w:r>
      <w:r w:rsidR="0028617A">
        <w:t xml:space="preserve">countries’  </w:t>
      </w:r>
      <w:r w:rsidR="004E69F8">
        <w:t>network of tax treaties to insert a new anti-treaty abuse article, a new permanent establishment definition, anti-hybrid entity rules and dispute resolution articles; and</w:t>
      </w:r>
    </w:p>
    <w:p w:rsidR="00900B18" w:rsidRDefault="00730E8D" w:rsidP="004B689D">
      <w:pPr>
        <w:pStyle w:val="TRNormal"/>
        <w:numPr>
          <w:ilvl w:val="1"/>
          <w:numId w:val="11"/>
        </w:numPr>
        <w:tabs>
          <w:tab w:val="num" w:pos="8015"/>
        </w:tabs>
      </w:pPr>
      <w:proofErr w:type="gramStart"/>
      <w:r>
        <w:t>will</w:t>
      </w:r>
      <w:proofErr w:type="gramEnd"/>
      <w:r>
        <w:t xml:space="preserve"> </w:t>
      </w:r>
      <w:r w:rsidR="004B4AA3">
        <w:t>apply revised OECD Transfer Pricing Guidelines to address misallocation of profits to low tax jurisdictions</w:t>
      </w:r>
      <w:r w:rsidR="00900B18">
        <w:t xml:space="preserve">. </w:t>
      </w:r>
      <w:r w:rsidR="00900B18" w:rsidRPr="004B4AA3">
        <w:t xml:space="preserve"> </w:t>
      </w:r>
      <w:r w:rsidR="00900B18">
        <w:t xml:space="preserve">Legislation could be introduced to facilitate this (if needed) in </w:t>
      </w:r>
      <w:r w:rsidR="0051572A">
        <w:t xml:space="preserve">March </w:t>
      </w:r>
      <w:r w:rsidR="00900B18">
        <w:t>2017</w:t>
      </w:r>
      <w:r w:rsidR="004E69F8">
        <w:t>.</w:t>
      </w:r>
    </w:p>
    <w:p w:rsidR="004B4AA3" w:rsidRDefault="004B4AA3" w:rsidP="003D50D9">
      <w:pPr>
        <w:pStyle w:val="TRNormal"/>
      </w:pPr>
    </w:p>
    <w:p w:rsidR="004464DB" w:rsidRDefault="004464DB" w:rsidP="00DF5413">
      <w:pPr>
        <w:pStyle w:val="TRNormal"/>
        <w:ind w:left="567"/>
        <w:rPr>
          <w:b/>
          <w:i/>
        </w:rPr>
      </w:pPr>
    </w:p>
    <w:p w:rsidR="004464DB" w:rsidRDefault="004464DB" w:rsidP="00DF5413">
      <w:pPr>
        <w:pStyle w:val="TRNormal"/>
        <w:ind w:left="567"/>
        <w:rPr>
          <w:b/>
          <w:i/>
        </w:rPr>
      </w:pPr>
    </w:p>
    <w:p w:rsidR="00DF5413" w:rsidRPr="0032614A" w:rsidRDefault="00DF5413" w:rsidP="00DF5413">
      <w:pPr>
        <w:pStyle w:val="TRNormal"/>
        <w:ind w:left="567"/>
        <w:rPr>
          <w:b/>
          <w:i/>
        </w:rPr>
      </w:pPr>
      <w:r>
        <w:rPr>
          <w:b/>
          <w:i/>
        </w:rPr>
        <w:t>Greater t</w:t>
      </w:r>
      <w:r w:rsidRPr="0032614A">
        <w:rPr>
          <w:b/>
          <w:i/>
        </w:rPr>
        <w:t>ransparency</w:t>
      </w:r>
      <w:r>
        <w:rPr>
          <w:b/>
          <w:i/>
        </w:rPr>
        <w:t xml:space="preserve"> of tax information</w:t>
      </w:r>
      <w:r w:rsidRPr="0032614A">
        <w:rPr>
          <w:b/>
          <w:i/>
        </w:rPr>
        <w:t xml:space="preserve"> </w:t>
      </w:r>
    </w:p>
    <w:p w:rsidR="00DF5413" w:rsidRDefault="00DF5413" w:rsidP="00DF5413">
      <w:pPr>
        <w:pStyle w:val="TRNormal"/>
        <w:ind w:left="567"/>
      </w:pPr>
    </w:p>
    <w:p w:rsidR="00DF5413" w:rsidRDefault="00DF5413" w:rsidP="00FB33C8">
      <w:pPr>
        <w:pStyle w:val="TRNormal"/>
        <w:numPr>
          <w:ilvl w:val="0"/>
          <w:numId w:val="11"/>
        </w:numPr>
        <w:tabs>
          <w:tab w:val="clear" w:pos="8015"/>
          <w:tab w:val="num" w:pos="567"/>
        </w:tabs>
        <w:ind w:left="567" w:hanging="567"/>
      </w:pPr>
      <w:r>
        <w:t xml:space="preserve">Third, we need to improve the </w:t>
      </w:r>
      <w:r w:rsidRPr="00ED6CB8">
        <w:rPr>
          <w:b/>
        </w:rPr>
        <w:t>transparency</w:t>
      </w:r>
      <w:r>
        <w:t xml:space="preserve"> of tax information so that people cannot hide wealth and avoid their tax obligations.  This requires </w:t>
      </w:r>
      <w:r w:rsidR="00355A39">
        <w:t>Inland Revenue</w:t>
      </w:r>
      <w:r>
        <w:t xml:space="preserve"> to collect relevant information about companies and individuals operating in </w:t>
      </w:r>
      <w:r w:rsidR="00355A39">
        <w:t>New Zealand</w:t>
      </w:r>
      <w:r>
        <w:t xml:space="preserve"> and exchange that information with other jurisdictions’ tax administrations.  To this end, New Zealand:</w:t>
      </w:r>
    </w:p>
    <w:p w:rsidR="00DF5413" w:rsidRDefault="00DF5413" w:rsidP="00DF5413">
      <w:pPr>
        <w:pStyle w:val="ListParagraph"/>
      </w:pPr>
    </w:p>
    <w:p w:rsidR="00FB7B67" w:rsidRDefault="00537AE4" w:rsidP="00730E8D">
      <w:pPr>
        <w:pStyle w:val="TRNormal"/>
        <w:numPr>
          <w:ilvl w:val="1"/>
          <w:numId w:val="11"/>
        </w:numPr>
        <w:tabs>
          <w:tab w:val="num" w:pos="8015"/>
        </w:tabs>
      </w:pPr>
      <w:r w:rsidRPr="00537AE4">
        <w:t>has introduced an International Questionnaire to monitor profit shifting activities of major for</w:t>
      </w:r>
      <w:r>
        <w:t>eign-owned groups of companies;</w:t>
      </w:r>
    </w:p>
    <w:p w:rsidR="00DF5413" w:rsidRDefault="00DF5413" w:rsidP="00DF5413">
      <w:pPr>
        <w:pStyle w:val="TRNormal"/>
        <w:numPr>
          <w:ilvl w:val="1"/>
          <w:numId w:val="11"/>
        </w:numPr>
        <w:tabs>
          <w:tab w:val="num" w:pos="8015"/>
        </w:tabs>
      </w:pPr>
      <w:r>
        <w:t>implemented measures to comply with the United States (US) foreign account tax compliance act (FATCA) which requires the collection and exchange of information from financial institutions about investments by US citizens (from 1 April 2015);</w:t>
      </w:r>
    </w:p>
    <w:p w:rsidR="00DF5413" w:rsidRDefault="00DF5413" w:rsidP="00DF5413">
      <w:pPr>
        <w:pStyle w:val="TRNormal"/>
        <w:numPr>
          <w:ilvl w:val="1"/>
          <w:numId w:val="11"/>
        </w:numPr>
        <w:tabs>
          <w:tab w:val="num" w:pos="8015"/>
        </w:tabs>
      </w:pPr>
      <w:r>
        <w:t>will introduce legislation in mid-2016 to enable automatic exchange of information (AEOI) with a wide range of countries’ tax administrations about the financial affairs of their residents (from September 2018);</w:t>
      </w:r>
    </w:p>
    <w:p w:rsidR="00DF5413" w:rsidRDefault="00DF5413" w:rsidP="00DF5413">
      <w:pPr>
        <w:pStyle w:val="TRNormal"/>
        <w:numPr>
          <w:ilvl w:val="1"/>
          <w:numId w:val="11"/>
        </w:numPr>
        <w:tabs>
          <w:tab w:val="num" w:pos="8015"/>
        </w:tabs>
      </w:pPr>
      <w:r>
        <w:t xml:space="preserve">is already starting to exchange Inland Revenue’s taxpayer binding ruling information with foreign tax administrators; </w:t>
      </w:r>
    </w:p>
    <w:p w:rsidR="00DF5413" w:rsidRDefault="00DF5413" w:rsidP="007042BE">
      <w:pPr>
        <w:pStyle w:val="TRNormal"/>
        <w:numPr>
          <w:ilvl w:val="1"/>
          <w:numId w:val="11"/>
        </w:numPr>
        <w:tabs>
          <w:tab w:val="num" w:pos="8015"/>
        </w:tabs>
      </w:pPr>
      <w:proofErr w:type="gramStart"/>
      <w:r>
        <w:t>is</w:t>
      </w:r>
      <w:proofErr w:type="gramEnd"/>
      <w:r>
        <w:t xml:space="preserve"> introducing legislation to require our multinational companies to prepare country-by-country (CBC) reports (these reports basically provide a breakdown of business activities of the multinational group across the world  and financial information for each country in which they operate) in line with the OECD proposal.</w:t>
      </w:r>
    </w:p>
    <w:p w:rsidR="00DF5413" w:rsidRDefault="00DF5413" w:rsidP="00DF5413">
      <w:pPr>
        <w:pStyle w:val="TRNormal"/>
        <w:rPr>
          <w:b/>
        </w:rPr>
      </w:pPr>
    </w:p>
    <w:p w:rsidR="003D3C98" w:rsidRPr="00F67C42" w:rsidRDefault="003D3C98" w:rsidP="00F67C42">
      <w:pPr>
        <w:pStyle w:val="TRNormal"/>
        <w:ind w:left="567"/>
        <w:rPr>
          <w:b/>
          <w:i/>
        </w:rPr>
      </w:pPr>
      <w:r w:rsidRPr="00F67C42">
        <w:rPr>
          <w:b/>
          <w:i/>
        </w:rPr>
        <w:t>New Zealand’s current administrative measures to address BEPS</w:t>
      </w:r>
    </w:p>
    <w:p w:rsidR="003D3C98" w:rsidRDefault="003D3C98" w:rsidP="00DF5413">
      <w:pPr>
        <w:pStyle w:val="TRNormal"/>
        <w:rPr>
          <w:b/>
        </w:rPr>
      </w:pPr>
    </w:p>
    <w:p w:rsidR="003D3C98" w:rsidRDefault="003D3C98" w:rsidP="003D3C98">
      <w:pPr>
        <w:pStyle w:val="TRNormal"/>
        <w:numPr>
          <w:ilvl w:val="0"/>
          <w:numId w:val="11"/>
        </w:numPr>
        <w:tabs>
          <w:tab w:val="clear" w:pos="8015"/>
          <w:tab w:val="num" w:pos="567"/>
        </w:tabs>
        <w:ind w:left="567" w:hanging="567"/>
      </w:pPr>
      <w:r>
        <w:t xml:space="preserve">While there are a number of measures New Zealand </w:t>
      </w:r>
      <w:proofErr w:type="gramStart"/>
      <w:r>
        <w:t>is</w:t>
      </w:r>
      <w:proofErr w:type="gramEnd"/>
      <w:r>
        <w:t xml:space="preserve"> working on in conjunction with the OECD, it is important to note that New Zealand already has strong administrative practices in terms of scrutinising the activities of multinationals operating here. </w:t>
      </w:r>
    </w:p>
    <w:p w:rsidR="003D3C98" w:rsidRDefault="003D3C98" w:rsidP="00F67C42">
      <w:pPr>
        <w:pStyle w:val="TRNormal"/>
        <w:ind w:left="567"/>
      </w:pPr>
    </w:p>
    <w:p w:rsidR="003D3C98" w:rsidRPr="00143311" w:rsidRDefault="003D3C98" w:rsidP="003D3C98">
      <w:pPr>
        <w:pStyle w:val="TRNormal"/>
        <w:numPr>
          <w:ilvl w:val="0"/>
          <w:numId w:val="11"/>
        </w:numPr>
        <w:tabs>
          <w:tab w:val="clear" w:pos="8015"/>
          <w:tab w:val="num" w:pos="567"/>
        </w:tabs>
        <w:ind w:left="567" w:hanging="567"/>
      </w:pPr>
      <w:r w:rsidRPr="00143311">
        <w:t>Inland Revenue has an extensive international compliance programme addressing profit shifting, in particular transfer pricing of goods and services and international financing arrangements. The main focus is the Significant Enterprises segment of the population, comprising 558 taxpayer groups with turnover in excess of $80m per annum and representing almost 60% of the corporate tax base. Key performance data (including tax payments, operating margins and interest expenditure) are monitored closely with expert assistance from fulltime in-house specialists on transfer pricing and financial arrangements (known as Principal Advisors).</w:t>
      </w:r>
    </w:p>
    <w:p w:rsidR="003D3C98" w:rsidRPr="00143311" w:rsidRDefault="003D3C98" w:rsidP="003D3C98">
      <w:pPr>
        <w:pStyle w:val="TRNormal"/>
        <w:ind w:left="567"/>
      </w:pPr>
    </w:p>
    <w:p w:rsidR="003D3C98" w:rsidRPr="00143311" w:rsidRDefault="003D3C98" w:rsidP="003D3C98">
      <w:pPr>
        <w:pStyle w:val="TRNormal"/>
        <w:numPr>
          <w:ilvl w:val="0"/>
          <w:numId w:val="11"/>
        </w:numPr>
        <w:tabs>
          <w:tab w:val="clear" w:pos="8015"/>
          <w:tab w:val="num" w:pos="567"/>
        </w:tabs>
        <w:ind w:left="567" w:hanging="567"/>
      </w:pPr>
      <w:r w:rsidRPr="00143311">
        <w:t>The Top 50 taxpayer groups receive comprehensive coverage, being account managed on a one-to-one basis. All other Significant Enterprises are required to submit annually a basic compliance package (BCP) comprising a group structure, financial statements and tax reconciliations which are then examined closely. Depending on the risk rating from the review of the BCP, past history and other intelligence, further review or an in-depth audit may follow. Inland Revenue supplemented the BCP with International Questionnaires in 2015 and 2016 to specifically cover BEPS issues for 292 foreign-owned groups.</w:t>
      </w:r>
    </w:p>
    <w:p w:rsidR="003D3C98" w:rsidRPr="00143311" w:rsidRDefault="003D3C98" w:rsidP="003D3C98">
      <w:pPr>
        <w:pStyle w:val="TRNormal"/>
        <w:ind w:left="567"/>
      </w:pPr>
    </w:p>
    <w:p w:rsidR="003D3C98" w:rsidRDefault="003D3C98" w:rsidP="00F67C42">
      <w:pPr>
        <w:pStyle w:val="TRNormal"/>
        <w:numPr>
          <w:ilvl w:val="0"/>
          <w:numId w:val="11"/>
        </w:numPr>
        <w:tabs>
          <w:tab w:val="clear" w:pos="8015"/>
          <w:tab w:val="num" w:pos="567"/>
        </w:tabs>
        <w:ind w:left="567" w:hanging="567"/>
        <w:rPr>
          <w:b/>
        </w:rPr>
      </w:pPr>
      <w:r w:rsidRPr="00143311">
        <w:t>Advance pricing agreements (APAs) have proven extremely useful as a robust up-front means of dealing with profit shifting risk, especially the more complex issues that arise. APAs represent a more co-operative approach to tax compliance as opposed to adversarial audits. Multinationals that complete an APA are required to submit annual reports and supporting evidence to confirm adherence to the agreed terms and conditions. As at 31 December 2015, 139 APAs had been completed successfully by Inland Revenue.</w:t>
      </w:r>
    </w:p>
    <w:p w:rsidR="00F67C42" w:rsidRDefault="00F67C42" w:rsidP="00030DF1">
      <w:pPr>
        <w:pStyle w:val="TRNormal"/>
        <w:rPr>
          <w:b/>
        </w:rPr>
      </w:pPr>
    </w:p>
    <w:p w:rsidR="00030DF1" w:rsidRPr="0032614A" w:rsidRDefault="00E72E4A" w:rsidP="00030DF1">
      <w:pPr>
        <w:pStyle w:val="TRNormal"/>
        <w:rPr>
          <w:b/>
        </w:rPr>
      </w:pPr>
      <w:r>
        <w:rPr>
          <w:b/>
        </w:rPr>
        <w:t xml:space="preserve">Will </w:t>
      </w:r>
      <w:r w:rsidR="00743416">
        <w:rPr>
          <w:b/>
        </w:rPr>
        <w:t xml:space="preserve">implementing the initiatives in the </w:t>
      </w:r>
      <w:r>
        <w:rPr>
          <w:b/>
        </w:rPr>
        <w:t xml:space="preserve">BEPS Action Plan mean New Zealand can </w:t>
      </w:r>
      <w:r w:rsidR="002635AD">
        <w:rPr>
          <w:b/>
        </w:rPr>
        <w:t>better</w:t>
      </w:r>
      <w:r w:rsidR="002E06E6">
        <w:rPr>
          <w:b/>
        </w:rPr>
        <w:t xml:space="preserve"> </w:t>
      </w:r>
      <w:r>
        <w:rPr>
          <w:b/>
        </w:rPr>
        <w:t>tax multinationals?</w:t>
      </w:r>
      <w:r w:rsidR="00030DF1">
        <w:rPr>
          <w:b/>
        </w:rPr>
        <w:t xml:space="preserve"> </w:t>
      </w:r>
    </w:p>
    <w:p w:rsidR="00030DF1" w:rsidRDefault="00030DF1" w:rsidP="00030DF1">
      <w:pPr>
        <w:pStyle w:val="TRNormal"/>
        <w:rPr>
          <w:b/>
          <w:i/>
        </w:rPr>
      </w:pPr>
    </w:p>
    <w:p w:rsidR="00EB0F25" w:rsidRDefault="002E06E6" w:rsidP="0019541B">
      <w:pPr>
        <w:pStyle w:val="TRNormal"/>
        <w:numPr>
          <w:ilvl w:val="0"/>
          <w:numId w:val="11"/>
        </w:numPr>
        <w:tabs>
          <w:tab w:val="clear" w:pos="8015"/>
          <w:tab w:val="num" w:pos="567"/>
        </w:tabs>
        <w:ind w:left="567" w:hanging="567"/>
      </w:pPr>
      <w:r>
        <w:t xml:space="preserve">Yes – to the extent the multinationals </w:t>
      </w:r>
      <w:r w:rsidR="00EB0F25">
        <w:t xml:space="preserve">have a </w:t>
      </w:r>
      <w:r w:rsidR="00743416">
        <w:t>“permanent establishment”</w:t>
      </w:r>
      <w:r w:rsidR="00EB0F25">
        <w:t xml:space="preserve"> (</w:t>
      </w:r>
      <w:r w:rsidR="00743416">
        <w:t xml:space="preserve">generally </w:t>
      </w:r>
      <w:r w:rsidR="00EB0F25">
        <w:t>a</w:t>
      </w:r>
      <w:r w:rsidR="00743416" w:rsidRPr="00743416">
        <w:t xml:space="preserve"> </w:t>
      </w:r>
      <w:r w:rsidR="00743416">
        <w:t>physical presence in New Zealand through which they carry on business</w:t>
      </w:r>
      <w:r w:rsidR="00EB0F25">
        <w:t xml:space="preserve">) and they </w:t>
      </w:r>
      <w:r>
        <w:t>are currently using profit</w:t>
      </w:r>
      <w:r w:rsidR="00EB0F25">
        <w:t xml:space="preserve"> shifting techniques to move profits out of New Zealand, such as:</w:t>
      </w:r>
    </w:p>
    <w:p w:rsidR="00EB0F25" w:rsidRDefault="00EB0F25" w:rsidP="00F67C42">
      <w:pPr>
        <w:pStyle w:val="TRNormal"/>
        <w:ind w:left="567"/>
      </w:pPr>
    </w:p>
    <w:p w:rsidR="0019541B" w:rsidRDefault="00EB0F25" w:rsidP="00F67C42">
      <w:pPr>
        <w:pStyle w:val="TRNormal"/>
        <w:numPr>
          <w:ilvl w:val="1"/>
          <w:numId w:val="11"/>
        </w:numPr>
      </w:pPr>
      <w:r>
        <w:t>excessive interest payments to related parties;</w:t>
      </w:r>
    </w:p>
    <w:p w:rsidR="00EB0F25" w:rsidRDefault="00EB0F25" w:rsidP="00F67C42">
      <w:pPr>
        <w:pStyle w:val="TRNormal"/>
        <w:numPr>
          <w:ilvl w:val="1"/>
          <w:numId w:val="11"/>
        </w:numPr>
      </w:pPr>
      <w:r>
        <w:t>inflated royalty payments (or other such fees); or</w:t>
      </w:r>
    </w:p>
    <w:p w:rsidR="00EB0F25" w:rsidRDefault="00EB0F25" w:rsidP="00F67C42">
      <w:pPr>
        <w:pStyle w:val="TRNormal"/>
        <w:numPr>
          <w:ilvl w:val="1"/>
          <w:numId w:val="11"/>
        </w:numPr>
      </w:pPr>
      <w:proofErr w:type="gramStart"/>
      <w:r>
        <w:t>financial</w:t>
      </w:r>
      <w:proofErr w:type="gramEnd"/>
      <w:r>
        <w:t xml:space="preserve"> instruments or entities that exploit arbitrage opportunities between the New Zealand tax rules and those of other countries.  </w:t>
      </w:r>
    </w:p>
    <w:p w:rsidR="00EB0F25" w:rsidRDefault="00EB0F25" w:rsidP="00F67C42">
      <w:pPr>
        <w:pStyle w:val="TRNormal"/>
        <w:ind w:left="1440"/>
      </w:pPr>
    </w:p>
    <w:p w:rsidR="00041C8D" w:rsidRDefault="00041C8D" w:rsidP="00EB0F25">
      <w:pPr>
        <w:pStyle w:val="TRNormal"/>
        <w:numPr>
          <w:ilvl w:val="0"/>
          <w:numId w:val="11"/>
        </w:numPr>
        <w:tabs>
          <w:tab w:val="clear" w:pos="8015"/>
          <w:tab w:val="num" w:pos="567"/>
        </w:tabs>
        <w:ind w:left="567" w:hanging="567"/>
      </w:pPr>
      <w:r>
        <w:t xml:space="preserve">The BEPS Action Plan will also crack down on the use of tax treaties to facilitate tax avoidance.  For example, changes to strengthen tax treaties will prevent companies artificially </w:t>
      </w:r>
      <w:r w:rsidR="008053D9">
        <w:t>avoiding</w:t>
      </w:r>
      <w:r>
        <w:t xml:space="preserve"> a permanent establishment in </w:t>
      </w:r>
      <w:r w:rsidR="008053D9">
        <w:t>New Zealand</w:t>
      </w:r>
      <w:r>
        <w:t xml:space="preserve"> </w:t>
      </w:r>
      <w:r w:rsidR="008053D9">
        <w:t>(thus avoiding tax in New Zealand</w:t>
      </w:r>
      <w:r>
        <w:t xml:space="preserve">).  Treaty changes will also crack down on treaty shopping by multinationals and allow </w:t>
      </w:r>
      <w:r w:rsidR="008053D9">
        <w:t>New Zealand</w:t>
      </w:r>
      <w:r>
        <w:t xml:space="preserve"> to deny treaty benefits to companies that are using treaties to avoid tax.</w:t>
      </w:r>
    </w:p>
    <w:p w:rsidR="00EB0F25" w:rsidRDefault="00EB0F25" w:rsidP="00F67C42">
      <w:pPr>
        <w:pStyle w:val="TRNormal"/>
        <w:ind w:left="567"/>
      </w:pPr>
    </w:p>
    <w:p w:rsidR="00B823CB" w:rsidRDefault="00B823CB" w:rsidP="00EB0F25">
      <w:pPr>
        <w:pStyle w:val="TRNormal"/>
        <w:numPr>
          <w:ilvl w:val="0"/>
          <w:numId w:val="11"/>
        </w:numPr>
        <w:tabs>
          <w:tab w:val="clear" w:pos="8015"/>
          <w:tab w:val="num" w:pos="567"/>
        </w:tabs>
        <w:ind w:left="567" w:hanging="567"/>
      </w:pPr>
      <w:r>
        <w:t>The initiatives in the BEPS Action Plan will also allow New Zealand to impose more tax in cases where the current lack of transparency and information exchange between countries has meant the Inland Revenue does not have any visibility of profit shifting activities by multinational companies.</w:t>
      </w:r>
    </w:p>
    <w:p w:rsidR="00B823CB" w:rsidRDefault="00B823CB" w:rsidP="00F67C42">
      <w:pPr>
        <w:pStyle w:val="ListParagraph"/>
      </w:pPr>
    </w:p>
    <w:p w:rsidR="00E01CD6" w:rsidRDefault="00EB0F25" w:rsidP="00EB0F25">
      <w:pPr>
        <w:pStyle w:val="TRNormal"/>
        <w:numPr>
          <w:ilvl w:val="0"/>
          <w:numId w:val="11"/>
        </w:numPr>
        <w:tabs>
          <w:tab w:val="clear" w:pos="8015"/>
          <w:tab w:val="num" w:pos="567"/>
        </w:tabs>
        <w:ind w:left="567" w:hanging="567"/>
      </w:pPr>
      <w:r>
        <w:t>So, to the extent a multinational</w:t>
      </w:r>
      <w:r w:rsidR="00E01CD6">
        <w:t xml:space="preserve"> with a taxable presence in New Zealand</w:t>
      </w:r>
      <w:r>
        <w:t xml:space="preserve"> is stripping profits out of its New Zealand operations through inflated deductions the OECD’s transfer pricing, interest limitation and hybrid mismatch rules will tackle this.  </w:t>
      </w:r>
      <w:r w:rsidR="00A95E1E">
        <w:t>T</w:t>
      </w:r>
      <w:r>
        <w:t>o the extent a multinational has been relying on its tax information being outside the reach of the New Zealand Inland Revenue, country-by-country reporting will address this.</w:t>
      </w:r>
    </w:p>
    <w:p w:rsidR="00E01CD6" w:rsidRDefault="00E01CD6" w:rsidP="00E01CD6">
      <w:pPr>
        <w:pStyle w:val="ListParagraph"/>
      </w:pPr>
    </w:p>
    <w:p w:rsidR="00EB0F25" w:rsidRDefault="00E01CD6" w:rsidP="00EB0F25">
      <w:pPr>
        <w:pStyle w:val="TRNormal"/>
        <w:numPr>
          <w:ilvl w:val="0"/>
          <w:numId w:val="11"/>
        </w:numPr>
        <w:tabs>
          <w:tab w:val="clear" w:pos="8015"/>
          <w:tab w:val="num" w:pos="567"/>
        </w:tabs>
        <w:ind w:left="567" w:hanging="567"/>
      </w:pPr>
      <w:r>
        <w:t>The OECD work is also focusing on the threshold for determining when there is a taxable presence in a country and particularly the concept of permanent establishment.</w:t>
      </w:r>
      <w:r w:rsidR="00EB0F25">
        <w:t xml:space="preserve">  </w:t>
      </w:r>
    </w:p>
    <w:p w:rsidR="00041C8D" w:rsidRDefault="00041C8D" w:rsidP="00F67C42">
      <w:pPr>
        <w:pStyle w:val="ListParagraph"/>
      </w:pPr>
    </w:p>
    <w:p w:rsidR="00EB0F25" w:rsidRDefault="00041C8D" w:rsidP="00B823CB">
      <w:pPr>
        <w:pStyle w:val="TRNormal"/>
        <w:numPr>
          <w:ilvl w:val="0"/>
          <w:numId w:val="11"/>
        </w:numPr>
        <w:tabs>
          <w:tab w:val="clear" w:pos="8015"/>
          <w:tab w:val="num" w:pos="567"/>
        </w:tabs>
        <w:ind w:left="567" w:hanging="567"/>
      </w:pPr>
      <w:r>
        <w:t xml:space="preserve">Changes to GST (for example, imposing GST on </w:t>
      </w:r>
      <w:r w:rsidRPr="00041C8D">
        <w:t>cross-border services and intangibles</w:t>
      </w:r>
      <w:r>
        <w:t xml:space="preserve"> – such as digital downloads) also means New Zealand will be able to </w:t>
      </w:r>
      <w:r w:rsidR="008053D9">
        <w:t xml:space="preserve">better </w:t>
      </w:r>
      <w:r>
        <w:t>impose tax on the consumption of the products of multinationals by New Zealand consumers.</w:t>
      </w:r>
    </w:p>
    <w:p w:rsidR="00B823CB" w:rsidRDefault="00B823CB" w:rsidP="00F67C42">
      <w:pPr>
        <w:pStyle w:val="ListParagraph"/>
      </w:pPr>
    </w:p>
    <w:p w:rsidR="00CE6EFA" w:rsidRDefault="00EB0F25" w:rsidP="00CE6EFA">
      <w:pPr>
        <w:pStyle w:val="TRNormal"/>
        <w:numPr>
          <w:ilvl w:val="0"/>
          <w:numId w:val="11"/>
        </w:numPr>
        <w:tabs>
          <w:tab w:val="clear" w:pos="8015"/>
          <w:tab w:val="num" w:pos="567"/>
        </w:tabs>
        <w:ind w:left="567" w:hanging="567"/>
      </w:pPr>
      <w:r>
        <w:t xml:space="preserve">However, the BEPS Action Plan does not go so far as to abandon the current international </w:t>
      </w:r>
      <w:r w:rsidR="008053D9">
        <w:t xml:space="preserve">income </w:t>
      </w:r>
      <w:r>
        <w:t>tax framework</w:t>
      </w:r>
      <w:r w:rsidR="00B823CB">
        <w:t xml:space="preserve"> based around the principles of “source” and “residence”. </w:t>
      </w:r>
      <w:r w:rsidR="00CE6EFA">
        <w:t xml:space="preserve"> This means that the BEPS Action Plan does not yet tackle the thorny issue of companies (such as Google or Apple) who reach their markets via the internet, while basing their physical operations in a tax haven or low tax jurisdiction.</w:t>
      </w:r>
    </w:p>
    <w:p w:rsidR="00CE6EFA" w:rsidRDefault="00CE6EFA" w:rsidP="00F67C42">
      <w:pPr>
        <w:pStyle w:val="ListParagraph"/>
      </w:pPr>
    </w:p>
    <w:p w:rsidR="00B823CB" w:rsidRDefault="00B823CB" w:rsidP="00B823CB">
      <w:pPr>
        <w:pStyle w:val="TRNormal"/>
        <w:numPr>
          <w:ilvl w:val="0"/>
          <w:numId w:val="11"/>
        </w:numPr>
        <w:tabs>
          <w:tab w:val="clear" w:pos="8015"/>
          <w:tab w:val="num" w:pos="567"/>
        </w:tabs>
        <w:ind w:left="567" w:hanging="567"/>
      </w:pPr>
      <w:r>
        <w:t>Th</w:t>
      </w:r>
      <w:r w:rsidR="00CE6EFA">
        <w:t>e current</w:t>
      </w:r>
      <w:r>
        <w:t xml:space="preserve"> framework has been in place since the early 20</w:t>
      </w:r>
      <w:r w:rsidRPr="00B823CB">
        <w:rPr>
          <w:vertAlign w:val="superscript"/>
        </w:rPr>
        <w:t>th</w:t>
      </w:r>
      <w:r>
        <w:t xml:space="preserve"> century.  </w:t>
      </w:r>
      <w:r w:rsidR="00CE6EFA">
        <w:t>Under this framework, countries generally:</w:t>
      </w:r>
    </w:p>
    <w:p w:rsidR="00B823CB" w:rsidRDefault="00B823CB" w:rsidP="00B823CB">
      <w:pPr>
        <w:pStyle w:val="ListParagraph"/>
      </w:pPr>
    </w:p>
    <w:p w:rsidR="00B823CB" w:rsidRDefault="00B823CB" w:rsidP="00B823CB">
      <w:pPr>
        <w:pStyle w:val="TRNormal"/>
        <w:numPr>
          <w:ilvl w:val="1"/>
          <w:numId w:val="11"/>
        </w:numPr>
      </w:pPr>
      <w:r>
        <w:t>tax their residents on their income earned all around the world (the “residence” principle); and</w:t>
      </w:r>
    </w:p>
    <w:p w:rsidR="00B823CB" w:rsidRDefault="00B823CB" w:rsidP="00B823CB">
      <w:pPr>
        <w:pStyle w:val="TRNormal"/>
        <w:numPr>
          <w:ilvl w:val="1"/>
          <w:numId w:val="11"/>
        </w:numPr>
      </w:pPr>
      <w:proofErr w:type="gramStart"/>
      <w:r>
        <w:t>tax</w:t>
      </w:r>
      <w:proofErr w:type="gramEnd"/>
      <w:r>
        <w:t xml:space="preserve"> non-residents on the income earned (or “sourced”) in their country – that is, income generated from assets located in, or activity performed in, their country.  The result is that the ability of a country to tax non-residents on business income depends largely on the extent of their presence in that country.</w:t>
      </w:r>
    </w:p>
    <w:p w:rsidR="00B823CB" w:rsidRDefault="00B823CB" w:rsidP="00B823CB">
      <w:pPr>
        <w:pStyle w:val="TRNormal"/>
        <w:ind w:left="1440"/>
      </w:pPr>
    </w:p>
    <w:p w:rsidR="00B823CB" w:rsidRDefault="00B823CB" w:rsidP="00B823CB">
      <w:pPr>
        <w:pStyle w:val="TRNormal"/>
        <w:numPr>
          <w:ilvl w:val="0"/>
          <w:numId w:val="11"/>
        </w:numPr>
        <w:tabs>
          <w:tab w:val="clear" w:pos="8015"/>
          <w:tab w:val="num" w:pos="567"/>
        </w:tabs>
        <w:ind w:left="567" w:hanging="567"/>
      </w:pPr>
      <w:r>
        <w:t>A taxable presence generally requires either:</w:t>
      </w:r>
    </w:p>
    <w:p w:rsidR="00B823CB" w:rsidRDefault="00B823CB" w:rsidP="00B823CB">
      <w:pPr>
        <w:pStyle w:val="TRNormal"/>
        <w:ind w:left="567"/>
      </w:pPr>
    </w:p>
    <w:p w:rsidR="00B823CB" w:rsidRDefault="00B823CB" w:rsidP="00B823CB">
      <w:pPr>
        <w:pStyle w:val="TRNormal"/>
        <w:numPr>
          <w:ilvl w:val="1"/>
          <w:numId w:val="11"/>
        </w:numPr>
      </w:pPr>
      <w:r>
        <w:t>operation through a subsidiary resident in the country; or</w:t>
      </w:r>
    </w:p>
    <w:p w:rsidR="00B823CB" w:rsidRDefault="00B823CB" w:rsidP="00B823CB">
      <w:pPr>
        <w:pStyle w:val="TRNormal"/>
        <w:numPr>
          <w:ilvl w:val="1"/>
          <w:numId w:val="11"/>
        </w:numPr>
      </w:pPr>
      <w:proofErr w:type="gramStart"/>
      <w:r>
        <w:t>operation</w:t>
      </w:r>
      <w:proofErr w:type="gramEnd"/>
      <w:r>
        <w:t xml:space="preserve"> through a physical “permanent establishment” in the country.</w:t>
      </w:r>
    </w:p>
    <w:p w:rsidR="00B823CB" w:rsidRDefault="00B823CB" w:rsidP="00B823CB">
      <w:pPr>
        <w:pStyle w:val="TRNormal"/>
      </w:pPr>
    </w:p>
    <w:p w:rsidR="005C6B61" w:rsidRDefault="00B823CB" w:rsidP="00B823CB">
      <w:pPr>
        <w:pStyle w:val="TRNormal"/>
        <w:numPr>
          <w:ilvl w:val="0"/>
          <w:numId w:val="11"/>
        </w:numPr>
        <w:tabs>
          <w:tab w:val="clear" w:pos="8015"/>
          <w:tab w:val="num" w:pos="567"/>
        </w:tabs>
        <w:ind w:left="567" w:hanging="567"/>
      </w:pPr>
      <w:r>
        <w:t xml:space="preserve">While </w:t>
      </w:r>
      <w:r w:rsidR="008053D9" w:rsidRPr="00F67C42">
        <w:t>this inability to tax business income in the absence of a taxable presence</w:t>
      </w:r>
      <w:r w:rsidR="008053D9">
        <w:t xml:space="preserve"> </w:t>
      </w:r>
      <w:r>
        <w:t xml:space="preserve">may appear to be a loophole, this rule is meant to be a pragmatic rule to keep businesses from being caught up in having to comply with local tax rules because of very limited interaction with a given country.  For example, someone selling goods on Trade Me should not have to file a tax return for a country where they make one sale.  </w:t>
      </w:r>
    </w:p>
    <w:p w:rsidR="005C6B61" w:rsidRDefault="005C6B61" w:rsidP="005C6B61">
      <w:pPr>
        <w:pStyle w:val="TRNormal"/>
        <w:ind w:left="567"/>
      </w:pPr>
    </w:p>
    <w:p w:rsidR="00B823CB" w:rsidRDefault="00B823CB" w:rsidP="00B823CB">
      <w:pPr>
        <w:pStyle w:val="TRNormal"/>
        <w:numPr>
          <w:ilvl w:val="0"/>
          <w:numId w:val="11"/>
        </w:numPr>
        <w:tabs>
          <w:tab w:val="clear" w:pos="8015"/>
          <w:tab w:val="num" w:pos="567"/>
        </w:tabs>
        <w:ind w:left="567" w:hanging="567"/>
      </w:pPr>
      <w:r>
        <w:t>It could be argued that with the internet facilitating large volumes of sales without a taxable presence that this framework should be changed</w:t>
      </w:r>
      <w:r w:rsidR="00CE6EFA">
        <w:t>. However,</w:t>
      </w:r>
      <w:r>
        <w:t xml:space="preserve"> making </w:t>
      </w:r>
      <w:r w:rsidR="00CE6EFA">
        <w:t xml:space="preserve">such </w:t>
      </w:r>
      <w:r>
        <w:t xml:space="preserve">a fundamental change </w:t>
      </w:r>
      <w:r w:rsidR="00CE6EFA">
        <w:t xml:space="preserve">to a century-old international tax framework </w:t>
      </w:r>
      <w:r>
        <w:t>would require a lot of thought and international agreement</w:t>
      </w:r>
      <w:r w:rsidR="00CE6EFA">
        <w:t>.  It</w:t>
      </w:r>
      <w:r>
        <w:t xml:space="preserve"> </w:t>
      </w:r>
      <w:r w:rsidR="00CE6EFA">
        <w:t xml:space="preserve">would fundamentally redistribute taxing rights to multinational profits </w:t>
      </w:r>
      <w:r>
        <w:t>and is beyond the scope of the BEPS project.</w:t>
      </w:r>
    </w:p>
    <w:p w:rsidR="00A95E1E" w:rsidRDefault="00A95E1E" w:rsidP="00F67C42">
      <w:pPr>
        <w:pStyle w:val="ListParagraph"/>
      </w:pPr>
    </w:p>
    <w:p w:rsidR="00A95E1E" w:rsidRDefault="00A95E1E" w:rsidP="00A95E1E">
      <w:pPr>
        <w:pStyle w:val="TRNormal"/>
        <w:numPr>
          <w:ilvl w:val="0"/>
          <w:numId w:val="11"/>
        </w:numPr>
        <w:tabs>
          <w:tab w:val="clear" w:pos="8015"/>
          <w:tab w:val="num" w:pos="567"/>
        </w:tabs>
        <w:ind w:left="567" w:hanging="567"/>
      </w:pPr>
      <w:r>
        <w:t>A few countries (particularly the BRIC</w:t>
      </w:r>
      <w:r>
        <w:rPr>
          <w:rStyle w:val="FootnoteReference"/>
        </w:rPr>
        <w:footnoteReference w:id="1"/>
      </w:r>
      <w:r>
        <w:t xml:space="preserve"> countries) are especially critical of the existing framework.  They suggest that providing the market for sales should in and of itself be sufficient to attract a taxing right of some sort.  </w:t>
      </w:r>
    </w:p>
    <w:p w:rsidR="00A95E1E" w:rsidRDefault="00A95E1E" w:rsidP="00A95E1E">
      <w:pPr>
        <w:pStyle w:val="TRNormal"/>
        <w:ind w:left="567"/>
      </w:pPr>
    </w:p>
    <w:p w:rsidR="00041C8D" w:rsidRDefault="00A95E1E" w:rsidP="00F67C42">
      <w:pPr>
        <w:pStyle w:val="TRNormal"/>
        <w:numPr>
          <w:ilvl w:val="0"/>
          <w:numId w:val="11"/>
        </w:numPr>
        <w:tabs>
          <w:tab w:val="clear" w:pos="8015"/>
          <w:tab w:val="num" w:pos="567"/>
        </w:tabs>
        <w:ind w:left="567" w:hanging="567"/>
      </w:pPr>
      <w:r>
        <w:t xml:space="preserve">They argue that the established framework should be abandoned in favour of another framework such as the “global formulary apportionment” method, which would divide up taxing rights over a multinational’s total profit based on where the multinational makes sales or has property or activities.  Under this type of approach, New Zealand may have more taxing rights over the profits of, say, Google, Apple or Facebook because they make significant sales in New Zealand, </w:t>
      </w:r>
      <w:r w:rsidRPr="009D0C71">
        <w:t>but less taxing rights over the profits of our major exporters</w:t>
      </w:r>
      <w:r>
        <w:t>.  So it is important to keep in mind that a fundamental change to the international tax framework can cut both ways for New Zealand.</w:t>
      </w:r>
    </w:p>
    <w:p w:rsidR="00041C8D" w:rsidRDefault="00041C8D" w:rsidP="00F67C42">
      <w:pPr>
        <w:pStyle w:val="ListParagraph"/>
      </w:pPr>
    </w:p>
    <w:p w:rsidR="0019541B" w:rsidRPr="00F67C42" w:rsidRDefault="00041C8D" w:rsidP="00F67C42">
      <w:pPr>
        <w:pStyle w:val="TRNormal"/>
        <w:numPr>
          <w:ilvl w:val="0"/>
          <w:numId w:val="11"/>
        </w:numPr>
        <w:tabs>
          <w:tab w:val="clear" w:pos="8015"/>
          <w:tab w:val="num" w:pos="567"/>
        </w:tabs>
        <w:ind w:left="567" w:hanging="567"/>
      </w:pPr>
      <w:r>
        <w:t>There is likely to be</w:t>
      </w:r>
      <w:r w:rsidRPr="00FE1920">
        <w:t xml:space="preserve"> future pressure from </w:t>
      </w:r>
      <w:r>
        <w:t xml:space="preserve">some </w:t>
      </w:r>
      <w:r w:rsidRPr="00FE1920">
        <w:t xml:space="preserve">countries to move away from these </w:t>
      </w:r>
      <w:r w:rsidR="00BF5144">
        <w:t xml:space="preserve">existing </w:t>
      </w:r>
      <w:r w:rsidRPr="00FE1920">
        <w:t>principles to</w:t>
      </w:r>
      <w:r w:rsidR="00BF5144">
        <w:t>wards</w:t>
      </w:r>
      <w:r>
        <w:t>, for example,</w:t>
      </w:r>
      <w:r w:rsidRPr="00FE1920">
        <w:t xml:space="preserve"> global formulary apportionment</w:t>
      </w:r>
      <w:r>
        <w:t>,</w:t>
      </w:r>
      <w:r w:rsidRPr="00FE1920">
        <w:t xml:space="preserve"> or more reliance on consumption taxes</w:t>
      </w:r>
      <w:r>
        <w:t>.  New Zealand will continue to work with the OECD if and when these issues arise.</w:t>
      </w:r>
    </w:p>
    <w:p w:rsidR="00041C8D" w:rsidRDefault="00041C8D" w:rsidP="006D1987">
      <w:pPr>
        <w:pStyle w:val="TRNormal"/>
        <w:ind w:left="567"/>
        <w:rPr>
          <w:b/>
          <w:i/>
        </w:rPr>
      </w:pPr>
    </w:p>
    <w:p w:rsidR="004464DB" w:rsidRDefault="004464DB"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Consultation</w:t>
      </w:r>
    </w:p>
    <w:p w:rsidR="00763BDD" w:rsidRDefault="00763BDD" w:rsidP="007E2640">
      <w:pPr>
        <w:tabs>
          <w:tab w:val="left" w:pos="567"/>
        </w:tabs>
        <w:jc w:val="both"/>
        <w:rPr>
          <w:szCs w:val="24"/>
          <w:lang w:eastAsia="en-AU"/>
        </w:rPr>
      </w:pPr>
    </w:p>
    <w:p w:rsidR="00484DBD" w:rsidRDefault="003E3376" w:rsidP="003E3376">
      <w:pPr>
        <w:pStyle w:val="BalloonText"/>
        <w:numPr>
          <w:ilvl w:val="0"/>
          <w:numId w:val="11"/>
        </w:numPr>
        <w:tabs>
          <w:tab w:val="clear" w:pos="8015"/>
          <w:tab w:val="num" w:pos="567"/>
        </w:tabs>
        <w:ind w:left="567" w:hanging="567"/>
        <w:jc w:val="both"/>
        <w:rPr>
          <w:rFonts w:ascii="Times New Roman" w:hAnsi="Times New Roman" w:cs="Times New Roman"/>
          <w:sz w:val="24"/>
          <w:szCs w:val="24"/>
        </w:rPr>
      </w:pPr>
      <w:r>
        <w:rPr>
          <w:rFonts w:ascii="Times New Roman" w:hAnsi="Times New Roman" w:cs="Times New Roman"/>
          <w:sz w:val="24"/>
          <w:szCs w:val="24"/>
        </w:rPr>
        <w:t>Treasury was consulted in the preparation of this Cabinet paper.</w:t>
      </w:r>
    </w:p>
    <w:p w:rsidR="003E3376" w:rsidRDefault="003E3376" w:rsidP="003E3376">
      <w:pPr>
        <w:pStyle w:val="BalloonText"/>
        <w:ind w:left="567"/>
        <w:jc w:val="both"/>
        <w:rPr>
          <w:rFonts w:ascii="Times New Roman" w:hAnsi="Times New Roman" w:cs="Times New Roman"/>
          <w:sz w:val="24"/>
          <w:szCs w:val="24"/>
        </w:rPr>
      </w:pPr>
    </w:p>
    <w:p w:rsidR="001F7C06" w:rsidRDefault="001F7C06" w:rsidP="0005060D">
      <w:pPr>
        <w:tabs>
          <w:tab w:val="left" w:pos="0"/>
          <w:tab w:val="left" w:pos="567"/>
        </w:tabs>
        <w:jc w:val="both"/>
        <w:rPr>
          <w:b/>
          <w:bCs/>
          <w:szCs w:val="24"/>
          <w:lang w:eastAsia="en-AU"/>
        </w:rPr>
      </w:pPr>
    </w:p>
    <w:p w:rsidR="0070093D" w:rsidRDefault="0070093D" w:rsidP="0005060D">
      <w:pPr>
        <w:tabs>
          <w:tab w:val="left" w:pos="0"/>
          <w:tab w:val="left" w:pos="567"/>
        </w:tabs>
        <w:jc w:val="both"/>
        <w:rPr>
          <w:b/>
          <w:bCs/>
          <w:szCs w:val="24"/>
          <w:lang w:eastAsia="en-AU"/>
        </w:rPr>
      </w:pPr>
      <w:r w:rsidRPr="00DD23B8">
        <w:rPr>
          <w:b/>
          <w:bCs/>
          <w:szCs w:val="24"/>
          <w:lang w:eastAsia="en-AU"/>
        </w:rPr>
        <w:t>Recommendations</w:t>
      </w:r>
    </w:p>
    <w:p w:rsidR="0070093D" w:rsidRPr="002C6432" w:rsidRDefault="0070093D" w:rsidP="002C6432">
      <w:pPr>
        <w:pStyle w:val="TRNormal"/>
        <w:tabs>
          <w:tab w:val="num" w:pos="567"/>
        </w:tabs>
        <w:ind w:left="567"/>
      </w:pPr>
    </w:p>
    <w:p w:rsidR="0070093D" w:rsidRPr="008F3944" w:rsidRDefault="0070093D" w:rsidP="007042BE">
      <w:pPr>
        <w:pStyle w:val="TRNormal"/>
        <w:numPr>
          <w:ilvl w:val="0"/>
          <w:numId w:val="11"/>
        </w:numPr>
        <w:tabs>
          <w:tab w:val="clear" w:pos="8015"/>
          <w:tab w:val="num" w:pos="0"/>
          <w:tab w:val="num" w:pos="567"/>
        </w:tabs>
        <w:ind w:left="567" w:hanging="567"/>
        <w:rPr>
          <w:lang w:val="en-AU"/>
        </w:rPr>
      </w:pPr>
      <w:r>
        <w:t xml:space="preserve">I recommend that Cabinet </w:t>
      </w:r>
      <w:r w:rsidR="0028617A">
        <w:rPr>
          <w:b/>
          <w:lang w:val="en-AU"/>
        </w:rPr>
        <w:t>n</w:t>
      </w:r>
      <w:r w:rsidR="0028617A" w:rsidRPr="008F3944">
        <w:rPr>
          <w:b/>
          <w:lang w:val="en-AU"/>
        </w:rPr>
        <w:t>ote</w:t>
      </w:r>
      <w:r w:rsidR="0028617A" w:rsidRPr="008F3944">
        <w:rPr>
          <w:lang w:val="en-AU"/>
        </w:rPr>
        <w:t xml:space="preserve"> </w:t>
      </w:r>
      <w:r w:rsidRPr="008F3944">
        <w:rPr>
          <w:lang w:val="en-AU"/>
        </w:rPr>
        <w:t xml:space="preserve">the contents of </w:t>
      </w:r>
      <w:r w:rsidR="003E3376">
        <w:rPr>
          <w:lang w:val="en-AU"/>
        </w:rPr>
        <w:t>this paper and the attachments</w:t>
      </w:r>
      <w:r w:rsidRPr="008F3944">
        <w:rPr>
          <w:lang w:val="en-AU"/>
        </w:rPr>
        <w:t>.</w:t>
      </w:r>
    </w:p>
    <w:p w:rsidR="0070093D" w:rsidRPr="008F3944" w:rsidRDefault="0070093D" w:rsidP="0070093D">
      <w:pPr>
        <w:tabs>
          <w:tab w:val="left" w:pos="567"/>
        </w:tabs>
        <w:ind w:left="1125" w:hanging="1125"/>
        <w:rPr>
          <w:szCs w:val="24"/>
          <w:lang w:val="en-AU"/>
        </w:rPr>
      </w:pPr>
    </w:p>
    <w:p w:rsidR="0070093D" w:rsidRDefault="0070093D" w:rsidP="007042BE">
      <w:pPr>
        <w:tabs>
          <w:tab w:val="left" w:pos="567"/>
        </w:tabs>
        <w:ind w:left="1125"/>
        <w:jc w:val="both"/>
        <w:rPr>
          <w:szCs w:val="24"/>
          <w:lang w:val="en-AU"/>
        </w:rPr>
      </w:pPr>
    </w:p>
    <w:p w:rsidR="0070093D" w:rsidRDefault="0070093D" w:rsidP="0070093D">
      <w:pPr>
        <w:rPr>
          <w:szCs w:val="24"/>
        </w:rPr>
      </w:pPr>
    </w:p>
    <w:p w:rsidR="00017290" w:rsidRPr="00203ADE" w:rsidRDefault="00AE00CD" w:rsidP="00203ADE">
      <w:pPr>
        <w:rPr>
          <w:lang w:eastAsia="en-AU"/>
        </w:rPr>
      </w:pPr>
      <w:r>
        <w:rPr>
          <w:lang w:eastAsia="en-AU"/>
        </w:rPr>
        <w:t xml:space="preserve">   </w:t>
      </w:r>
    </w:p>
    <w:p w:rsidR="00E4232F" w:rsidRDefault="00E4232F" w:rsidP="00E4232F">
      <w:pPr>
        <w:tabs>
          <w:tab w:val="left" w:pos="567"/>
          <w:tab w:val="left" w:pos="1125"/>
        </w:tabs>
        <w:jc w:val="both"/>
        <w:rPr>
          <w:szCs w:val="24"/>
          <w:lang w:eastAsia="en-AU"/>
        </w:rPr>
      </w:pPr>
    </w:p>
    <w:p w:rsidR="00E4232F" w:rsidRPr="00DD23B8" w:rsidRDefault="00E4232F" w:rsidP="00E4232F">
      <w:pPr>
        <w:tabs>
          <w:tab w:val="left" w:pos="567"/>
          <w:tab w:val="left" w:pos="1125"/>
        </w:tabs>
        <w:jc w:val="both"/>
        <w:rPr>
          <w:szCs w:val="24"/>
          <w:lang w:eastAsia="en-AU"/>
        </w:rPr>
      </w:pPr>
    </w:p>
    <w:p w:rsidR="006808E1" w:rsidRPr="00DD23B8" w:rsidRDefault="006808E1" w:rsidP="007E2640">
      <w:pPr>
        <w:tabs>
          <w:tab w:val="left" w:pos="567"/>
        </w:tabs>
        <w:jc w:val="both"/>
        <w:rPr>
          <w:szCs w:val="24"/>
          <w:lang w:eastAsia="en-AU"/>
        </w:rPr>
      </w:pPr>
    </w:p>
    <w:p w:rsidR="008F1C75" w:rsidRPr="00DD23B8" w:rsidRDefault="002B2153" w:rsidP="00521B79">
      <w:pPr>
        <w:tabs>
          <w:tab w:val="left" w:pos="567"/>
          <w:tab w:val="left" w:pos="5100"/>
        </w:tabs>
        <w:jc w:val="both"/>
        <w:rPr>
          <w:b/>
          <w:szCs w:val="24"/>
          <w:lang w:eastAsia="en-AU"/>
        </w:rPr>
      </w:pPr>
      <w:r>
        <w:rPr>
          <w:b/>
          <w:szCs w:val="24"/>
          <w:lang w:eastAsia="en-AU"/>
        </w:rPr>
        <w:t>Hon Michael Woodhouse</w:t>
      </w:r>
    </w:p>
    <w:p w:rsidR="00521B79" w:rsidRPr="00DD23B8" w:rsidRDefault="003130F0" w:rsidP="00521B79">
      <w:pPr>
        <w:tabs>
          <w:tab w:val="left" w:pos="567"/>
          <w:tab w:val="left" w:pos="5100"/>
        </w:tabs>
        <w:jc w:val="both"/>
        <w:rPr>
          <w:szCs w:val="24"/>
          <w:lang w:eastAsia="en-AU"/>
        </w:rPr>
      </w:pPr>
      <w:r>
        <w:rPr>
          <w:szCs w:val="24"/>
          <w:lang w:eastAsia="en-AU"/>
        </w:rPr>
        <w:t>Minister of Revenue</w:t>
      </w:r>
    </w:p>
    <w:p w:rsidR="006808E1" w:rsidRPr="00DD23B8" w:rsidRDefault="006808E1" w:rsidP="006808E1"/>
    <w:p w:rsidR="006808E1" w:rsidRPr="00DD23B8" w:rsidRDefault="006808E1" w:rsidP="006808E1"/>
    <w:p w:rsidR="00521B79" w:rsidRPr="00DD23B8" w:rsidRDefault="004F6ED4" w:rsidP="00801E57">
      <w:pPr>
        <w:tabs>
          <w:tab w:val="left" w:leader="underscore" w:pos="567"/>
          <w:tab w:val="left" w:leader="underscore" w:pos="1134"/>
          <w:tab w:val="left" w:leader="underscore" w:pos="1701"/>
          <w:tab w:val="left" w:pos="5103"/>
          <w:tab w:val="left" w:leader="underscore" w:pos="5670"/>
          <w:tab w:val="left" w:leader="underscore" w:pos="6237"/>
          <w:tab w:val="left" w:leader="underscore" w:pos="6804"/>
        </w:tabs>
        <w:rPr>
          <w:sz w:val="22"/>
          <w:szCs w:val="22"/>
        </w:rPr>
      </w:pPr>
      <w:r w:rsidRPr="00DD23B8">
        <w:rPr>
          <w:sz w:val="22"/>
          <w:szCs w:val="22"/>
        </w:rPr>
        <w:tab/>
        <w:t>/</w:t>
      </w:r>
      <w:r w:rsidRPr="00DD23B8">
        <w:rPr>
          <w:sz w:val="22"/>
          <w:szCs w:val="22"/>
        </w:rPr>
        <w:tab/>
        <w:t>/</w:t>
      </w:r>
      <w:r w:rsidR="006808E1" w:rsidRPr="00DD23B8">
        <w:rPr>
          <w:sz w:val="22"/>
          <w:szCs w:val="22"/>
        </w:rPr>
        <w:tab/>
      </w:r>
      <w:r w:rsidR="00521B79" w:rsidRPr="00DD23B8">
        <w:rPr>
          <w:sz w:val="22"/>
          <w:szCs w:val="22"/>
        </w:rPr>
        <w:tab/>
      </w:r>
    </w:p>
    <w:p w:rsidR="006808E1" w:rsidRPr="00DD23B8" w:rsidRDefault="00521B79" w:rsidP="00921189">
      <w:pPr>
        <w:tabs>
          <w:tab w:val="center" w:pos="924"/>
          <w:tab w:val="center" w:pos="6005"/>
        </w:tabs>
        <w:rPr>
          <w:sz w:val="22"/>
          <w:szCs w:val="22"/>
        </w:rPr>
      </w:pPr>
      <w:r w:rsidRPr="00DD23B8">
        <w:rPr>
          <w:szCs w:val="24"/>
        </w:rPr>
        <w:t xml:space="preserve">           </w:t>
      </w:r>
      <w:r w:rsidR="006808E1" w:rsidRPr="00DD23B8">
        <w:rPr>
          <w:sz w:val="22"/>
          <w:szCs w:val="22"/>
        </w:rPr>
        <w:t>Date</w:t>
      </w:r>
      <w:r w:rsidR="00921189" w:rsidRPr="00DD23B8">
        <w:rPr>
          <w:sz w:val="22"/>
          <w:szCs w:val="22"/>
        </w:rPr>
        <w:tab/>
      </w:r>
    </w:p>
    <w:p w:rsidR="00B84837" w:rsidRPr="00FE1920" w:rsidRDefault="00B84837" w:rsidP="00FE1920">
      <w:pPr>
        <w:rPr>
          <w:b/>
        </w:rPr>
      </w:pPr>
    </w:p>
    <w:sectPr w:rsidR="00B84837" w:rsidRPr="00FE1920" w:rsidSect="001D51B4">
      <w:headerReference w:type="default" r:id="rId10"/>
      <w:headerReference w:type="first" r:id="rId11"/>
      <w:pgSz w:w="11907" w:h="16840" w:code="9"/>
      <w:pgMar w:top="1134" w:right="993"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26" w:rsidRDefault="003E2126">
      <w:r>
        <w:separator/>
      </w:r>
    </w:p>
  </w:endnote>
  <w:endnote w:type="continuationSeparator" w:id="0">
    <w:p w:rsidR="003E2126" w:rsidRDefault="003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26" w:rsidRDefault="003E2126">
      <w:r>
        <w:separator/>
      </w:r>
    </w:p>
  </w:footnote>
  <w:footnote w:type="continuationSeparator" w:id="0">
    <w:p w:rsidR="003E2126" w:rsidRDefault="003E2126">
      <w:r>
        <w:continuationSeparator/>
      </w:r>
    </w:p>
  </w:footnote>
  <w:footnote w:id="1">
    <w:p w:rsidR="003E2126" w:rsidRDefault="003E2126" w:rsidP="00A95E1E">
      <w:pPr>
        <w:pStyle w:val="FootnoteText"/>
      </w:pPr>
      <w:r>
        <w:rPr>
          <w:rStyle w:val="FootnoteReference"/>
        </w:rPr>
        <w:footnoteRef/>
      </w:r>
      <w:r>
        <w:t xml:space="preserve"> </w:t>
      </w:r>
      <w:proofErr w:type="gramStart"/>
      <w:r>
        <w:t>Brazil, Russia, India and China.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26" w:rsidRDefault="003E2126">
    <w:pPr>
      <w:pStyle w:val="Header"/>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26" w:rsidRPr="00D8134D" w:rsidRDefault="003E2126" w:rsidP="00D8134D">
    <w:pPr>
      <w:pStyle w:val="Header"/>
      <w:jc w:val="right"/>
      <w:rPr>
        <w:rFonts w:ascii="Arial" w:hAnsi="Arial"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5C3"/>
    <w:multiLevelType w:val="hybridMultilevel"/>
    <w:tmpl w:val="31FA901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nsid w:val="072D6807"/>
    <w:multiLevelType w:val="multilevel"/>
    <w:tmpl w:val="D98677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bullet"/>
      <w:lvlText w:val=""/>
      <w:lvlJc w:val="left"/>
      <w:pPr>
        <w:ind w:left="1648" w:hanging="1080"/>
      </w:pPr>
      <w:rPr>
        <w:rFonts w:ascii="Symbol" w:hAnsi="Symbol"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AC01E08"/>
    <w:multiLevelType w:val="multilevel"/>
    <w:tmpl w:val="B81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B242C"/>
    <w:multiLevelType w:val="hybridMultilevel"/>
    <w:tmpl w:val="E0B08394"/>
    <w:lvl w:ilvl="0" w:tplc="4178151A">
      <w:start w:val="1"/>
      <w:numFmt w:val="decimal"/>
      <w:lvlText w:val="%1."/>
      <w:lvlJc w:val="left"/>
      <w:pPr>
        <w:tabs>
          <w:tab w:val="num" w:pos="8015"/>
        </w:tabs>
        <w:ind w:left="8015"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5E6E1D"/>
    <w:multiLevelType w:val="hybridMultilevel"/>
    <w:tmpl w:val="3AA07F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1C9124C2"/>
    <w:multiLevelType w:val="multilevel"/>
    <w:tmpl w:val="D0EEF4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7">
    <w:nsid w:val="2110110A"/>
    <w:multiLevelType w:val="hybridMultilevel"/>
    <w:tmpl w:val="5F28F9A2"/>
    <w:lvl w:ilvl="0" w:tplc="DE447E9A">
      <w:start w:val="1"/>
      <w:numFmt w:val="bullet"/>
      <w:lvlText w:val=""/>
      <w:lvlJc w:val="left"/>
      <w:pPr>
        <w:ind w:left="928" w:hanging="360"/>
      </w:pPr>
      <w:rPr>
        <w:rFonts w:ascii="Symbol" w:hAnsi="Symbol" w:hint="default"/>
      </w:rPr>
    </w:lvl>
    <w:lvl w:ilvl="1" w:tplc="4A366BBC">
      <w:numFmt w:val="bullet"/>
      <w:lvlText w:val="•"/>
      <w:lvlJc w:val="left"/>
      <w:pPr>
        <w:ind w:left="1800" w:hanging="360"/>
      </w:pPr>
      <w:rPr>
        <w:rFonts w:ascii="Times New Roman" w:eastAsia="Times New Roman" w:hAnsi="Times New Roman"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5544416"/>
    <w:multiLevelType w:val="hybridMultilevel"/>
    <w:tmpl w:val="C2908220"/>
    <w:lvl w:ilvl="0" w:tplc="D61A55D2">
      <w:start w:val="1"/>
      <w:numFmt w:val="lowerLetter"/>
      <w:lvlText w:val="(%1)"/>
      <w:lvlJc w:val="left"/>
      <w:pPr>
        <w:ind w:left="2625" w:hanging="360"/>
      </w:pPr>
      <w:rPr>
        <w:rFonts w:hint="default"/>
      </w:rPr>
    </w:lvl>
    <w:lvl w:ilvl="1" w:tplc="14090019" w:tentative="1">
      <w:start w:val="1"/>
      <w:numFmt w:val="lowerLetter"/>
      <w:lvlText w:val="%2."/>
      <w:lvlJc w:val="left"/>
      <w:pPr>
        <w:ind w:left="3345" w:hanging="360"/>
      </w:pPr>
    </w:lvl>
    <w:lvl w:ilvl="2" w:tplc="1409001B" w:tentative="1">
      <w:start w:val="1"/>
      <w:numFmt w:val="lowerRoman"/>
      <w:lvlText w:val="%3."/>
      <w:lvlJc w:val="right"/>
      <w:pPr>
        <w:ind w:left="4065" w:hanging="180"/>
      </w:pPr>
    </w:lvl>
    <w:lvl w:ilvl="3" w:tplc="1409000F" w:tentative="1">
      <w:start w:val="1"/>
      <w:numFmt w:val="decimal"/>
      <w:lvlText w:val="%4."/>
      <w:lvlJc w:val="left"/>
      <w:pPr>
        <w:ind w:left="4785" w:hanging="360"/>
      </w:pPr>
    </w:lvl>
    <w:lvl w:ilvl="4" w:tplc="14090019" w:tentative="1">
      <w:start w:val="1"/>
      <w:numFmt w:val="lowerLetter"/>
      <w:lvlText w:val="%5."/>
      <w:lvlJc w:val="left"/>
      <w:pPr>
        <w:ind w:left="5505" w:hanging="360"/>
      </w:pPr>
    </w:lvl>
    <w:lvl w:ilvl="5" w:tplc="1409001B" w:tentative="1">
      <w:start w:val="1"/>
      <w:numFmt w:val="lowerRoman"/>
      <w:lvlText w:val="%6."/>
      <w:lvlJc w:val="right"/>
      <w:pPr>
        <w:ind w:left="6225" w:hanging="180"/>
      </w:pPr>
    </w:lvl>
    <w:lvl w:ilvl="6" w:tplc="1409000F" w:tentative="1">
      <w:start w:val="1"/>
      <w:numFmt w:val="decimal"/>
      <w:lvlText w:val="%7."/>
      <w:lvlJc w:val="left"/>
      <w:pPr>
        <w:ind w:left="6945" w:hanging="360"/>
      </w:pPr>
    </w:lvl>
    <w:lvl w:ilvl="7" w:tplc="14090019" w:tentative="1">
      <w:start w:val="1"/>
      <w:numFmt w:val="lowerLetter"/>
      <w:lvlText w:val="%8."/>
      <w:lvlJc w:val="left"/>
      <w:pPr>
        <w:ind w:left="7665" w:hanging="360"/>
      </w:pPr>
    </w:lvl>
    <w:lvl w:ilvl="8" w:tplc="1409001B" w:tentative="1">
      <w:start w:val="1"/>
      <w:numFmt w:val="lowerRoman"/>
      <w:lvlText w:val="%9."/>
      <w:lvlJc w:val="right"/>
      <w:pPr>
        <w:ind w:left="8385" w:hanging="180"/>
      </w:pPr>
    </w:lvl>
  </w:abstractNum>
  <w:abstractNum w:abstractNumId="9">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11">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2">
    <w:nsid w:val="360938EC"/>
    <w:multiLevelType w:val="hybridMultilevel"/>
    <w:tmpl w:val="BD3A05A4"/>
    <w:lvl w:ilvl="0" w:tplc="CF6017AE">
      <w:start w:val="1"/>
      <w:numFmt w:val="decimal"/>
      <w:pStyle w:val="Chapter4"/>
      <w:lvlText w:val="4.%1"/>
      <w:lvlJc w:val="left"/>
      <w:pPr>
        <w:tabs>
          <w:tab w:val="num" w:pos="851"/>
        </w:tabs>
        <w:ind w:left="851" w:hanging="851"/>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9B33692"/>
    <w:multiLevelType w:val="hybridMultilevel"/>
    <w:tmpl w:val="07A46CF8"/>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A545EB1"/>
    <w:multiLevelType w:val="hybridMultilevel"/>
    <w:tmpl w:val="0D2CBD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6">
    <w:nsid w:val="4DA2087D"/>
    <w:multiLevelType w:val="multilevel"/>
    <w:tmpl w:val="8DA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52664F25"/>
    <w:multiLevelType w:val="hybridMultilevel"/>
    <w:tmpl w:val="6332D67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nsid w:val="56D3218B"/>
    <w:multiLevelType w:val="hybridMultilevel"/>
    <w:tmpl w:val="1C843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8E47136"/>
    <w:multiLevelType w:val="multilevel"/>
    <w:tmpl w:val="E89E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CD4A55"/>
    <w:multiLevelType w:val="multilevel"/>
    <w:tmpl w:val="2D5A21A8"/>
    <w:lvl w:ilvl="0">
      <w:start w:val="2"/>
      <w:numFmt w:val="decimal"/>
      <w:lvlText w:val="%1."/>
      <w:lvlJc w:val="left"/>
      <w:pPr>
        <w:tabs>
          <w:tab w:val="num" w:pos="1125"/>
        </w:tabs>
        <w:ind w:left="1125" w:hanging="555"/>
      </w:pPr>
      <w:rPr>
        <w:rFonts w:hint="default"/>
      </w:rPr>
    </w:lvl>
    <w:lvl w:ilvl="1">
      <w:start w:val="2"/>
      <w:numFmt w:val="decimal"/>
      <w:isLgl/>
      <w:lvlText w:val="%1.%2"/>
      <w:lvlJc w:val="left"/>
      <w:pPr>
        <w:ind w:left="1975" w:hanging="840"/>
      </w:pPr>
      <w:rPr>
        <w:rFonts w:hint="default"/>
      </w:rPr>
    </w:lvl>
    <w:lvl w:ilvl="2">
      <w:start w:val="1"/>
      <w:numFmt w:val="decimal"/>
      <w:isLgl/>
      <w:lvlText w:val="%1.%2.%3"/>
      <w:lvlJc w:val="left"/>
      <w:pPr>
        <w:ind w:left="2540" w:hanging="840"/>
      </w:pPr>
      <w:rPr>
        <w:rFonts w:hint="default"/>
      </w:rPr>
    </w:lvl>
    <w:lvl w:ilvl="3">
      <w:start w:val="1"/>
      <w:numFmt w:val="decimal"/>
      <w:isLgl/>
      <w:lvlText w:val="%1.%2.%3.%4"/>
      <w:lvlJc w:val="left"/>
      <w:pPr>
        <w:ind w:left="3105" w:hanging="840"/>
      </w:pPr>
      <w:rPr>
        <w:rFonts w:hint="default"/>
      </w:rPr>
    </w:lvl>
    <w:lvl w:ilvl="4">
      <w:start w:val="1"/>
      <w:numFmt w:val="decimal"/>
      <w:isLgl/>
      <w:lvlText w:val="%1.%2.%3.%4.%5"/>
      <w:lvlJc w:val="left"/>
      <w:pPr>
        <w:ind w:left="3910" w:hanging="1080"/>
      </w:pPr>
      <w:rPr>
        <w:rFonts w:hint="default"/>
      </w:rPr>
    </w:lvl>
    <w:lvl w:ilvl="5">
      <w:start w:val="1"/>
      <w:numFmt w:val="decimal"/>
      <w:isLgl/>
      <w:lvlText w:val="%1.%2.%3.%4.%5.%6"/>
      <w:lvlJc w:val="left"/>
      <w:pPr>
        <w:ind w:left="4475"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65" w:hanging="1440"/>
      </w:pPr>
      <w:rPr>
        <w:rFonts w:hint="default"/>
      </w:rPr>
    </w:lvl>
    <w:lvl w:ilvl="8">
      <w:start w:val="1"/>
      <w:numFmt w:val="decimal"/>
      <w:isLgl/>
      <w:lvlText w:val="%1.%2.%3.%4.%5.%6.%7.%8.%9"/>
      <w:lvlJc w:val="left"/>
      <w:pPr>
        <w:ind w:left="6890" w:hanging="1800"/>
      </w:pPr>
      <w:rPr>
        <w:rFonts w:hint="default"/>
      </w:rPr>
    </w:lvl>
  </w:abstractNum>
  <w:abstractNum w:abstractNumId="22">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497053"/>
    <w:multiLevelType w:val="multilevel"/>
    <w:tmpl w:val="BC02187C"/>
    <w:lvl w:ilvl="0">
      <w:start w:val="8"/>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4">
    <w:nsid w:val="664A7B58"/>
    <w:multiLevelType w:val="multilevel"/>
    <w:tmpl w:val="D98677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bullet"/>
      <w:lvlText w:val=""/>
      <w:lvlJc w:val="left"/>
      <w:pPr>
        <w:ind w:left="1648" w:hanging="1080"/>
      </w:pPr>
      <w:rPr>
        <w:rFonts w:ascii="Symbol" w:hAnsi="Symbol"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75C548D"/>
    <w:multiLevelType w:val="hybridMultilevel"/>
    <w:tmpl w:val="CACEDFE6"/>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79BD2776"/>
    <w:multiLevelType w:val="hybridMultilevel"/>
    <w:tmpl w:val="A732A456"/>
    <w:lvl w:ilvl="0" w:tplc="D12E619A">
      <w:start w:val="12"/>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0"/>
  </w:num>
  <w:num w:numId="4">
    <w:abstractNumId w:val="14"/>
  </w:num>
  <w:num w:numId="5">
    <w:abstractNumId w:val="13"/>
  </w:num>
  <w:num w:numId="6">
    <w:abstractNumId w:val="9"/>
  </w:num>
  <w:num w:numId="7">
    <w:abstractNumId w:val="22"/>
  </w:num>
  <w:num w:numId="8">
    <w:abstractNumId w:val="10"/>
  </w:num>
  <w:num w:numId="9">
    <w:abstractNumId w:val="15"/>
  </w:num>
  <w:num w:numId="10">
    <w:abstractNumId w:val="11"/>
  </w:num>
  <w:num w:numId="11">
    <w:abstractNumId w:val="3"/>
  </w:num>
  <w:num w:numId="12">
    <w:abstractNumId w:val="17"/>
  </w:num>
  <w:num w:numId="13">
    <w:abstractNumId w:val="19"/>
  </w:num>
  <w:num w:numId="14">
    <w:abstractNumId w:val="21"/>
  </w:num>
  <w:num w:numId="15">
    <w:abstractNumId w:val="6"/>
  </w:num>
  <w:num w:numId="16">
    <w:abstractNumId w:val="7"/>
  </w:num>
  <w:num w:numId="17">
    <w:abstractNumId w:val="12"/>
  </w:num>
  <w:num w:numId="18">
    <w:abstractNumId w:val="25"/>
  </w:num>
  <w:num w:numId="19">
    <w:abstractNumId w:val="1"/>
  </w:num>
  <w:num w:numId="20">
    <w:abstractNumId w:val="23"/>
  </w:num>
  <w:num w:numId="21">
    <w:abstractNumId w:val="5"/>
  </w:num>
  <w:num w:numId="22">
    <w:abstractNumId w:val="24"/>
  </w:num>
  <w:num w:numId="23">
    <w:abstractNumId w:val="0"/>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90"/>
    <w:rsid w:val="000045F4"/>
    <w:rsid w:val="00005494"/>
    <w:rsid w:val="00007B28"/>
    <w:rsid w:val="000124BD"/>
    <w:rsid w:val="000126A2"/>
    <w:rsid w:val="00017290"/>
    <w:rsid w:val="00024DBB"/>
    <w:rsid w:val="00025D4E"/>
    <w:rsid w:val="00030DF1"/>
    <w:rsid w:val="00041C8D"/>
    <w:rsid w:val="000421D3"/>
    <w:rsid w:val="00044535"/>
    <w:rsid w:val="00046517"/>
    <w:rsid w:val="0005060D"/>
    <w:rsid w:val="00051A31"/>
    <w:rsid w:val="000534DC"/>
    <w:rsid w:val="00055E3B"/>
    <w:rsid w:val="0005688A"/>
    <w:rsid w:val="000671F7"/>
    <w:rsid w:val="000679EF"/>
    <w:rsid w:val="0007086E"/>
    <w:rsid w:val="00082A37"/>
    <w:rsid w:val="00087BEF"/>
    <w:rsid w:val="00094E89"/>
    <w:rsid w:val="000A27D8"/>
    <w:rsid w:val="000C331E"/>
    <w:rsid w:val="000C6DD8"/>
    <w:rsid w:val="000E08DC"/>
    <w:rsid w:val="000E246B"/>
    <w:rsid w:val="000E3622"/>
    <w:rsid w:val="000E3A99"/>
    <w:rsid w:val="000F04E8"/>
    <w:rsid w:val="000F55B9"/>
    <w:rsid w:val="00101FC1"/>
    <w:rsid w:val="00106574"/>
    <w:rsid w:val="00110EEB"/>
    <w:rsid w:val="00114CA4"/>
    <w:rsid w:val="00126600"/>
    <w:rsid w:val="001313AF"/>
    <w:rsid w:val="001478D8"/>
    <w:rsid w:val="00151805"/>
    <w:rsid w:val="00156825"/>
    <w:rsid w:val="001605AF"/>
    <w:rsid w:val="00160616"/>
    <w:rsid w:val="0016102F"/>
    <w:rsid w:val="00163753"/>
    <w:rsid w:val="0016557E"/>
    <w:rsid w:val="001664F2"/>
    <w:rsid w:val="00173CFC"/>
    <w:rsid w:val="00191E6E"/>
    <w:rsid w:val="0019541B"/>
    <w:rsid w:val="001B18B2"/>
    <w:rsid w:val="001D1DA1"/>
    <w:rsid w:val="001D307B"/>
    <w:rsid w:val="001D51B4"/>
    <w:rsid w:val="001E20E8"/>
    <w:rsid w:val="001E6540"/>
    <w:rsid w:val="001F0F1F"/>
    <w:rsid w:val="001F5A2C"/>
    <w:rsid w:val="001F5A40"/>
    <w:rsid w:val="001F7C06"/>
    <w:rsid w:val="00203ADE"/>
    <w:rsid w:val="002057DE"/>
    <w:rsid w:val="00205B90"/>
    <w:rsid w:val="00207E44"/>
    <w:rsid w:val="00210416"/>
    <w:rsid w:val="0021092D"/>
    <w:rsid w:val="002210FA"/>
    <w:rsid w:val="00231A8B"/>
    <w:rsid w:val="00232004"/>
    <w:rsid w:val="0024465A"/>
    <w:rsid w:val="00254CD4"/>
    <w:rsid w:val="002635AD"/>
    <w:rsid w:val="00263719"/>
    <w:rsid w:val="00271177"/>
    <w:rsid w:val="00273345"/>
    <w:rsid w:val="0027660F"/>
    <w:rsid w:val="00277CDB"/>
    <w:rsid w:val="0028617A"/>
    <w:rsid w:val="002A210D"/>
    <w:rsid w:val="002A699B"/>
    <w:rsid w:val="002B20CE"/>
    <w:rsid w:val="002B2153"/>
    <w:rsid w:val="002C1274"/>
    <w:rsid w:val="002C6432"/>
    <w:rsid w:val="002D3691"/>
    <w:rsid w:val="002D79EB"/>
    <w:rsid w:val="002E06E6"/>
    <w:rsid w:val="002E2E06"/>
    <w:rsid w:val="002E7E0C"/>
    <w:rsid w:val="002F04F3"/>
    <w:rsid w:val="002F1059"/>
    <w:rsid w:val="002F65BB"/>
    <w:rsid w:val="003058B9"/>
    <w:rsid w:val="003126C2"/>
    <w:rsid w:val="0031285E"/>
    <w:rsid w:val="003130F0"/>
    <w:rsid w:val="00317236"/>
    <w:rsid w:val="00323148"/>
    <w:rsid w:val="0032614A"/>
    <w:rsid w:val="00327006"/>
    <w:rsid w:val="0033169D"/>
    <w:rsid w:val="0033580B"/>
    <w:rsid w:val="003358A8"/>
    <w:rsid w:val="00341E83"/>
    <w:rsid w:val="0034276B"/>
    <w:rsid w:val="00344858"/>
    <w:rsid w:val="00354A9C"/>
    <w:rsid w:val="003552C2"/>
    <w:rsid w:val="00355A39"/>
    <w:rsid w:val="00361E3B"/>
    <w:rsid w:val="003625A3"/>
    <w:rsid w:val="00364DA2"/>
    <w:rsid w:val="00373368"/>
    <w:rsid w:val="0037722D"/>
    <w:rsid w:val="00380443"/>
    <w:rsid w:val="00386663"/>
    <w:rsid w:val="003A7551"/>
    <w:rsid w:val="003B3687"/>
    <w:rsid w:val="003B59D5"/>
    <w:rsid w:val="003C5117"/>
    <w:rsid w:val="003C7111"/>
    <w:rsid w:val="003D0728"/>
    <w:rsid w:val="003D3C98"/>
    <w:rsid w:val="003D50D9"/>
    <w:rsid w:val="003D5F22"/>
    <w:rsid w:val="003D7199"/>
    <w:rsid w:val="003E2126"/>
    <w:rsid w:val="003E3376"/>
    <w:rsid w:val="003F19D1"/>
    <w:rsid w:val="003F3B34"/>
    <w:rsid w:val="003F4D29"/>
    <w:rsid w:val="003F6645"/>
    <w:rsid w:val="00400713"/>
    <w:rsid w:val="00400FC5"/>
    <w:rsid w:val="0040146E"/>
    <w:rsid w:val="00404833"/>
    <w:rsid w:val="00412A0A"/>
    <w:rsid w:val="00415C5B"/>
    <w:rsid w:val="00415E35"/>
    <w:rsid w:val="00421BA6"/>
    <w:rsid w:val="0043008E"/>
    <w:rsid w:val="00437369"/>
    <w:rsid w:val="004464DB"/>
    <w:rsid w:val="00455D40"/>
    <w:rsid w:val="00457443"/>
    <w:rsid w:val="00462B7A"/>
    <w:rsid w:val="00464633"/>
    <w:rsid w:val="00473A17"/>
    <w:rsid w:val="0047697B"/>
    <w:rsid w:val="00481B17"/>
    <w:rsid w:val="00484DBD"/>
    <w:rsid w:val="00486134"/>
    <w:rsid w:val="00486E9F"/>
    <w:rsid w:val="0049067B"/>
    <w:rsid w:val="00490E7A"/>
    <w:rsid w:val="0049688B"/>
    <w:rsid w:val="004A68DA"/>
    <w:rsid w:val="004B1DB5"/>
    <w:rsid w:val="004B4AA3"/>
    <w:rsid w:val="004B689D"/>
    <w:rsid w:val="004C19B7"/>
    <w:rsid w:val="004C42D5"/>
    <w:rsid w:val="004D00B1"/>
    <w:rsid w:val="004E2BAB"/>
    <w:rsid w:val="004E4136"/>
    <w:rsid w:val="004E69F8"/>
    <w:rsid w:val="004F19B3"/>
    <w:rsid w:val="004F6ED4"/>
    <w:rsid w:val="00504E34"/>
    <w:rsid w:val="00507E32"/>
    <w:rsid w:val="00512BD8"/>
    <w:rsid w:val="00514492"/>
    <w:rsid w:val="0051572A"/>
    <w:rsid w:val="005164FA"/>
    <w:rsid w:val="00521B79"/>
    <w:rsid w:val="00537AE4"/>
    <w:rsid w:val="0054616C"/>
    <w:rsid w:val="005461E1"/>
    <w:rsid w:val="00547522"/>
    <w:rsid w:val="00550856"/>
    <w:rsid w:val="005530BD"/>
    <w:rsid w:val="0055457F"/>
    <w:rsid w:val="0055755C"/>
    <w:rsid w:val="005608B3"/>
    <w:rsid w:val="0056342F"/>
    <w:rsid w:val="005643C7"/>
    <w:rsid w:val="005658BD"/>
    <w:rsid w:val="00585502"/>
    <w:rsid w:val="00594F7C"/>
    <w:rsid w:val="0059507A"/>
    <w:rsid w:val="005960FD"/>
    <w:rsid w:val="005A2A86"/>
    <w:rsid w:val="005A38C8"/>
    <w:rsid w:val="005A4809"/>
    <w:rsid w:val="005A5973"/>
    <w:rsid w:val="005C08A7"/>
    <w:rsid w:val="005C12F0"/>
    <w:rsid w:val="005C318C"/>
    <w:rsid w:val="005C6B61"/>
    <w:rsid w:val="005D5722"/>
    <w:rsid w:val="005D7794"/>
    <w:rsid w:val="005E78FA"/>
    <w:rsid w:val="005F2E81"/>
    <w:rsid w:val="005F4935"/>
    <w:rsid w:val="005F7228"/>
    <w:rsid w:val="006002B5"/>
    <w:rsid w:val="00606973"/>
    <w:rsid w:val="00612628"/>
    <w:rsid w:val="00613255"/>
    <w:rsid w:val="00615EA3"/>
    <w:rsid w:val="00622B40"/>
    <w:rsid w:val="00622D29"/>
    <w:rsid w:val="00624563"/>
    <w:rsid w:val="00632FFB"/>
    <w:rsid w:val="0063458F"/>
    <w:rsid w:val="006351B7"/>
    <w:rsid w:val="00643629"/>
    <w:rsid w:val="00644B60"/>
    <w:rsid w:val="00645F1C"/>
    <w:rsid w:val="0066134D"/>
    <w:rsid w:val="006808E1"/>
    <w:rsid w:val="00680D34"/>
    <w:rsid w:val="00684EB9"/>
    <w:rsid w:val="00693D26"/>
    <w:rsid w:val="00693EA1"/>
    <w:rsid w:val="00694060"/>
    <w:rsid w:val="00694828"/>
    <w:rsid w:val="006951E7"/>
    <w:rsid w:val="006A14EB"/>
    <w:rsid w:val="006A39FB"/>
    <w:rsid w:val="006A5A77"/>
    <w:rsid w:val="006B1835"/>
    <w:rsid w:val="006B301C"/>
    <w:rsid w:val="006B5490"/>
    <w:rsid w:val="006C1552"/>
    <w:rsid w:val="006D1987"/>
    <w:rsid w:val="006D486E"/>
    <w:rsid w:val="006E11C1"/>
    <w:rsid w:val="006E29A6"/>
    <w:rsid w:val="006E399D"/>
    <w:rsid w:val="006E4AAE"/>
    <w:rsid w:val="006E519F"/>
    <w:rsid w:val="006F2A7D"/>
    <w:rsid w:val="006F2E02"/>
    <w:rsid w:val="006F574E"/>
    <w:rsid w:val="0070093D"/>
    <w:rsid w:val="00700EAA"/>
    <w:rsid w:val="007042BE"/>
    <w:rsid w:val="00707F47"/>
    <w:rsid w:val="007233BF"/>
    <w:rsid w:val="00726754"/>
    <w:rsid w:val="00730E8D"/>
    <w:rsid w:val="0073150D"/>
    <w:rsid w:val="007326D1"/>
    <w:rsid w:val="00733945"/>
    <w:rsid w:val="00734E2C"/>
    <w:rsid w:val="00743416"/>
    <w:rsid w:val="00744423"/>
    <w:rsid w:val="00753022"/>
    <w:rsid w:val="0075704C"/>
    <w:rsid w:val="00760BB3"/>
    <w:rsid w:val="00763BDD"/>
    <w:rsid w:val="0076554C"/>
    <w:rsid w:val="00780192"/>
    <w:rsid w:val="007852BA"/>
    <w:rsid w:val="0079328C"/>
    <w:rsid w:val="007A0484"/>
    <w:rsid w:val="007A37A0"/>
    <w:rsid w:val="007A3C22"/>
    <w:rsid w:val="007A58EB"/>
    <w:rsid w:val="007B0C15"/>
    <w:rsid w:val="007C06E8"/>
    <w:rsid w:val="007C236D"/>
    <w:rsid w:val="007D0A34"/>
    <w:rsid w:val="007D3FF1"/>
    <w:rsid w:val="007D51E2"/>
    <w:rsid w:val="007D602A"/>
    <w:rsid w:val="007E184A"/>
    <w:rsid w:val="007E2640"/>
    <w:rsid w:val="007E5461"/>
    <w:rsid w:val="007E5DDE"/>
    <w:rsid w:val="007E787A"/>
    <w:rsid w:val="007F0705"/>
    <w:rsid w:val="007F7CCE"/>
    <w:rsid w:val="00801E57"/>
    <w:rsid w:val="008053D9"/>
    <w:rsid w:val="00811D3D"/>
    <w:rsid w:val="00813502"/>
    <w:rsid w:val="008272F1"/>
    <w:rsid w:val="00833EB0"/>
    <w:rsid w:val="008352D5"/>
    <w:rsid w:val="008440CC"/>
    <w:rsid w:val="008472C5"/>
    <w:rsid w:val="0085063A"/>
    <w:rsid w:val="00851C07"/>
    <w:rsid w:val="00856F8E"/>
    <w:rsid w:val="008571D2"/>
    <w:rsid w:val="00857B49"/>
    <w:rsid w:val="00866B0E"/>
    <w:rsid w:val="00866C56"/>
    <w:rsid w:val="00875734"/>
    <w:rsid w:val="00875762"/>
    <w:rsid w:val="00876656"/>
    <w:rsid w:val="00890007"/>
    <w:rsid w:val="0089138F"/>
    <w:rsid w:val="00896E27"/>
    <w:rsid w:val="008B501E"/>
    <w:rsid w:val="008B5D54"/>
    <w:rsid w:val="008B73E7"/>
    <w:rsid w:val="008B7B68"/>
    <w:rsid w:val="008C1A1B"/>
    <w:rsid w:val="008C3EE0"/>
    <w:rsid w:val="008D1C90"/>
    <w:rsid w:val="008E0F80"/>
    <w:rsid w:val="008E7B8D"/>
    <w:rsid w:val="008F1C75"/>
    <w:rsid w:val="009004C9"/>
    <w:rsid w:val="00900B18"/>
    <w:rsid w:val="00902751"/>
    <w:rsid w:val="00904912"/>
    <w:rsid w:val="0091000A"/>
    <w:rsid w:val="00912046"/>
    <w:rsid w:val="00917C58"/>
    <w:rsid w:val="00921189"/>
    <w:rsid w:val="00934265"/>
    <w:rsid w:val="009423E6"/>
    <w:rsid w:val="00947E24"/>
    <w:rsid w:val="0095602F"/>
    <w:rsid w:val="00957242"/>
    <w:rsid w:val="00963FB4"/>
    <w:rsid w:val="00967859"/>
    <w:rsid w:val="009701CD"/>
    <w:rsid w:val="009724D7"/>
    <w:rsid w:val="00983939"/>
    <w:rsid w:val="00995E39"/>
    <w:rsid w:val="009A205F"/>
    <w:rsid w:val="009B1E5C"/>
    <w:rsid w:val="009B2C2C"/>
    <w:rsid w:val="009B2C6C"/>
    <w:rsid w:val="009B310D"/>
    <w:rsid w:val="009C73F9"/>
    <w:rsid w:val="009D0C71"/>
    <w:rsid w:val="009D2758"/>
    <w:rsid w:val="009D3B83"/>
    <w:rsid w:val="009D5FCD"/>
    <w:rsid w:val="009D6598"/>
    <w:rsid w:val="009E0CC8"/>
    <w:rsid w:val="009F4AC3"/>
    <w:rsid w:val="009F63E3"/>
    <w:rsid w:val="00A008DD"/>
    <w:rsid w:val="00A01AED"/>
    <w:rsid w:val="00A0224A"/>
    <w:rsid w:val="00A05792"/>
    <w:rsid w:val="00A15BB1"/>
    <w:rsid w:val="00A268BF"/>
    <w:rsid w:val="00A30795"/>
    <w:rsid w:val="00A51793"/>
    <w:rsid w:val="00A51836"/>
    <w:rsid w:val="00A520B5"/>
    <w:rsid w:val="00A527F3"/>
    <w:rsid w:val="00A64634"/>
    <w:rsid w:val="00A67818"/>
    <w:rsid w:val="00A95E1E"/>
    <w:rsid w:val="00AA69B2"/>
    <w:rsid w:val="00AB1974"/>
    <w:rsid w:val="00AB4B68"/>
    <w:rsid w:val="00AC1298"/>
    <w:rsid w:val="00AC2310"/>
    <w:rsid w:val="00AC65A7"/>
    <w:rsid w:val="00AE00CD"/>
    <w:rsid w:val="00AE2251"/>
    <w:rsid w:val="00AE42BA"/>
    <w:rsid w:val="00AE6AB9"/>
    <w:rsid w:val="00B00B76"/>
    <w:rsid w:val="00B17CD5"/>
    <w:rsid w:val="00B27F12"/>
    <w:rsid w:val="00B317F9"/>
    <w:rsid w:val="00B330F5"/>
    <w:rsid w:val="00B35CA5"/>
    <w:rsid w:val="00B54748"/>
    <w:rsid w:val="00B57DE8"/>
    <w:rsid w:val="00B64FA7"/>
    <w:rsid w:val="00B664A5"/>
    <w:rsid w:val="00B718D9"/>
    <w:rsid w:val="00B71EE3"/>
    <w:rsid w:val="00B73D66"/>
    <w:rsid w:val="00B74AC8"/>
    <w:rsid w:val="00B823CB"/>
    <w:rsid w:val="00B84561"/>
    <w:rsid w:val="00B84837"/>
    <w:rsid w:val="00B916EB"/>
    <w:rsid w:val="00B94810"/>
    <w:rsid w:val="00BA5A9A"/>
    <w:rsid w:val="00BB1CEF"/>
    <w:rsid w:val="00BB1DB5"/>
    <w:rsid w:val="00BB67E5"/>
    <w:rsid w:val="00BD1737"/>
    <w:rsid w:val="00BE0872"/>
    <w:rsid w:val="00BE3D49"/>
    <w:rsid w:val="00BF5144"/>
    <w:rsid w:val="00BF69F0"/>
    <w:rsid w:val="00C05D01"/>
    <w:rsid w:val="00C10271"/>
    <w:rsid w:val="00C15C3B"/>
    <w:rsid w:val="00C16F3D"/>
    <w:rsid w:val="00C303CC"/>
    <w:rsid w:val="00C31281"/>
    <w:rsid w:val="00C50221"/>
    <w:rsid w:val="00C60D32"/>
    <w:rsid w:val="00C66750"/>
    <w:rsid w:val="00C67CBF"/>
    <w:rsid w:val="00C71015"/>
    <w:rsid w:val="00CA4840"/>
    <w:rsid w:val="00CC258F"/>
    <w:rsid w:val="00CC394D"/>
    <w:rsid w:val="00CD5A5B"/>
    <w:rsid w:val="00CE4177"/>
    <w:rsid w:val="00CE6629"/>
    <w:rsid w:val="00CE6EFA"/>
    <w:rsid w:val="00CF288C"/>
    <w:rsid w:val="00CF36D0"/>
    <w:rsid w:val="00CF6414"/>
    <w:rsid w:val="00D0737A"/>
    <w:rsid w:val="00D14C77"/>
    <w:rsid w:val="00D15038"/>
    <w:rsid w:val="00D16223"/>
    <w:rsid w:val="00D23100"/>
    <w:rsid w:val="00D25C3A"/>
    <w:rsid w:val="00D3403A"/>
    <w:rsid w:val="00D370FC"/>
    <w:rsid w:val="00D42E5D"/>
    <w:rsid w:val="00D57F60"/>
    <w:rsid w:val="00D8134D"/>
    <w:rsid w:val="00D84A92"/>
    <w:rsid w:val="00D86161"/>
    <w:rsid w:val="00D87318"/>
    <w:rsid w:val="00D9206E"/>
    <w:rsid w:val="00D95590"/>
    <w:rsid w:val="00DA2D0A"/>
    <w:rsid w:val="00DB3611"/>
    <w:rsid w:val="00DB5B46"/>
    <w:rsid w:val="00DB65D7"/>
    <w:rsid w:val="00DC122E"/>
    <w:rsid w:val="00DC26C8"/>
    <w:rsid w:val="00DC6892"/>
    <w:rsid w:val="00DD23B8"/>
    <w:rsid w:val="00DD2F06"/>
    <w:rsid w:val="00DD330C"/>
    <w:rsid w:val="00DE1099"/>
    <w:rsid w:val="00DE111B"/>
    <w:rsid w:val="00DE4FCB"/>
    <w:rsid w:val="00DE5DDE"/>
    <w:rsid w:val="00DF159B"/>
    <w:rsid w:val="00DF220A"/>
    <w:rsid w:val="00DF5413"/>
    <w:rsid w:val="00E01CD6"/>
    <w:rsid w:val="00E0270D"/>
    <w:rsid w:val="00E05FD6"/>
    <w:rsid w:val="00E07074"/>
    <w:rsid w:val="00E12DB3"/>
    <w:rsid w:val="00E16EEB"/>
    <w:rsid w:val="00E17F46"/>
    <w:rsid w:val="00E207D7"/>
    <w:rsid w:val="00E21EA8"/>
    <w:rsid w:val="00E22E45"/>
    <w:rsid w:val="00E237A7"/>
    <w:rsid w:val="00E23B55"/>
    <w:rsid w:val="00E25BFD"/>
    <w:rsid w:val="00E2621E"/>
    <w:rsid w:val="00E26E65"/>
    <w:rsid w:val="00E3238E"/>
    <w:rsid w:val="00E332BE"/>
    <w:rsid w:val="00E4232F"/>
    <w:rsid w:val="00E43853"/>
    <w:rsid w:val="00E439B9"/>
    <w:rsid w:val="00E510E3"/>
    <w:rsid w:val="00E51244"/>
    <w:rsid w:val="00E54E8F"/>
    <w:rsid w:val="00E6359F"/>
    <w:rsid w:val="00E6386A"/>
    <w:rsid w:val="00E72E4A"/>
    <w:rsid w:val="00E770F8"/>
    <w:rsid w:val="00E77563"/>
    <w:rsid w:val="00E82392"/>
    <w:rsid w:val="00E869FF"/>
    <w:rsid w:val="00E87AF8"/>
    <w:rsid w:val="00E92C07"/>
    <w:rsid w:val="00EA1634"/>
    <w:rsid w:val="00EA1ADF"/>
    <w:rsid w:val="00EA5271"/>
    <w:rsid w:val="00EB0DDB"/>
    <w:rsid w:val="00EB0F25"/>
    <w:rsid w:val="00EB1666"/>
    <w:rsid w:val="00EB22DB"/>
    <w:rsid w:val="00EB4878"/>
    <w:rsid w:val="00EB52AD"/>
    <w:rsid w:val="00EB695F"/>
    <w:rsid w:val="00EC17B2"/>
    <w:rsid w:val="00EC2EAC"/>
    <w:rsid w:val="00ED1D59"/>
    <w:rsid w:val="00ED231F"/>
    <w:rsid w:val="00ED4E1B"/>
    <w:rsid w:val="00ED6CB8"/>
    <w:rsid w:val="00ED6CE3"/>
    <w:rsid w:val="00EE109F"/>
    <w:rsid w:val="00EF0530"/>
    <w:rsid w:val="00EF7493"/>
    <w:rsid w:val="00EF753D"/>
    <w:rsid w:val="00F079E2"/>
    <w:rsid w:val="00F10A14"/>
    <w:rsid w:val="00F12A43"/>
    <w:rsid w:val="00F12DAA"/>
    <w:rsid w:val="00F13D33"/>
    <w:rsid w:val="00F16081"/>
    <w:rsid w:val="00F22E3E"/>
    <w:rsid w:val="00F2676E"/>
    <w:rsid w:val="00F541AB"/>
    <w:rsid w:val="00F633B6"/>
    <w:rsid w:val="00F67C42"/>
    <w:rsid w:val="00F73C2A"/>
    <w:rsid w:val="00F87D5A"/>
    <w:rsid w:val="00F90259"/>
    <w:rsid w:val="00F90D70"/>
    <w:rsid w:val="00F91468"/>
    <w:rsid w:val="00FA0253"/>
    <w:rsid w:val="00FA1E52"/>
    <w:rsid w:val="00FA268C"/>
    <w:rsid w:val="00FB0AEE"/>
    <w:rsid w:val="00FB1AD2"/>
    <w:rsid w:val="00FB33C8"/>
    <w:rsid w:val="00FB57EA"/>
    <w:rsid w:val="00FB7B67"/>
    <w:rsid w:val="00FC42E8"/>
    <w:rsid w:val="00FC5306"/>
    <w:rsid w:val="00FD3D6B"/>
    <w:rsid w:val="00FE1920"/>
    <w:rsid w:val="00FE5203"/>
    <w:rsid w:val="00FF16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uiPriority w:val="20"/>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uiPriority w:val="59"/>
    <w:rsid w:val="00263719"/>
    <w:pPr>
      <w:spacing w:after="120" w:line="3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ind w:left="0" w:firstLine="0"/>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customStyle="1" w:styleId="TRNormal">
    <w:name w:val="_TRNormal"/>
    <w:link w:val="TRNormalChar"/>
    <w:rsid w:val="006E4AAE"/>
    <w:pPr>
      <w:spacing w:line="300" w:lineRule="atLeast"/>
      <w:jc w:val="both"/>
    </w:pPr>
    <w:rPr>
      <w:sz w:val="24"/>
      <w:lang w:eastAsia="en-AU"/>
    </w:rPr>
  </w:style>
  <w:style w:type="character" w:customStyle="1" w:styleId="TRNormalChar">
    <w:name w:val="_TRNormal Char"/>
    <w:basedOn w:val="DefaultParagraphFont"/>
    <w:link w:val="TRNormal"/>
    <w:rsid w:val="006E4AAE"/>
    <w:rPr>
      <w:sz w:val="24"/>
      <w:lang w:eastAsia="en-AU"/>
    </w:rPr>
  </w:style>
  <w:style w:type="paragraph" w:styleId="FootnoteText">
    <w:name w:val="footnote text"/>
    <w:basedOn w:val="Normal"/>
    <w:link w:val="FootnoteTextChar"/>
    <w:uiPriority w:val="99"/>
    <w:semiHidden/>
    <w:rsid w:val="00866C56"/>
    <w:rPr>
      <w:rFonts w:eastAsia="MS Mincho"/>
      <w:sz w:val="18"/>
      <w:szCs w:val="18"/>
      <w:lang w:eastAsia="ja-JP"/>
    </w:rPr>
  </w:style>
  <w:style w:type="character" w:customStyle="1" w:styleId="FootnoteTextChar">
    <w:name w:val="Footnote Text Char"/>
    <w:basedOn w:val="DefaultParagraphFont"/>
    <w:link w:val="FootnoteText"/>
    <w:uiPriority w:val="99"/>
    <w:semiHidden/>
    <w:rsid w:val="00866C56"/>
    <w:rPr>
      <w:rFonts w:eastAsia="MS Mincho"/>
      <w:sz w:val="18"/>
      <w:szCs w:val="18"/>
      <w:lang w:eastAsia="ja-JP"/>
    </w:rPr>
  </w:style>
  <w:style w:type="character" w:styleId="FootnoteReference">
    <w:name w:val="footnote reference"/>
    <w:basedOn w:val="DefaultParagraphFont"/>
    <w:uiPriority w:val="99"/>
    <w:semiHidden/>
    <w:rsid w:val="00866C56"/>
    <w:rPr>
      <w:rFonts w:ascii="Times New Roman" w:hAnsi="Times New Roman"/>
      <w:sz w:val="18"/>
      <w:szCs w:val="18"/>
      <w:vertAlign w:val="superscript"/>
    </w:rPr>
  </w:style>
  <w:style w:type="paragraph" w:customStyle="1" w:styleId="Chapter1">
    <w:name w:val="Chapter 1"/>
    <w:link w:val="Chapter1Char1"/>
    <w:rsid w:val="00866C56"/>
    <w:pPr>
      <w:numPr>
        <w:numId w:val="12"/>
      </w:numPr>
      <w:jc w:val="both"/>
    </w:pPr>
    <w:rPr>
      <w:sz w:val="24"/>
      <w:lang w:eastAsia="en-AU"/>
    </w:rPr>
  </w:style>
  <w:style w:type="character" w:customStyle="1" w:styleId="Chapter1Char1">
    <w:name w:val="Chapter 1 Char1"/>
    <w:basedOn w:val="DefaultParagraphFont"/>
    <w:link w:val="Chapter1"/>
    <w:rsid w:val="00866C56"/>
    <w:rPr>
      <w:sz w:val="24"/>
      <w:lang w:eastAsia="en-AU"/>
    </w:rPr>
  </w:style>
  <w:style w:type="paragraph" w:styleId="CommentText">
    <w:name w:val="annotation text"/>
    <w:basedOn w:val="Normal"/>
    <w:link w:val="CommentTextChar"/>
    <w:uiPriority w:val="99"/>
    <w:semiHidden/>
    <w:unhideWhenUsed/>
    <w:rsid w:val="0090275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02751"/>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02751"/>
    <w:rPr>
      <w:sz w:val="16"/>
      <w:szCs w:val="16"/>
    </w:rPr>
  </w:style>
  <w:style w:type="paragraph" w:styleId="CommentSubject">
    <w:name w:val="annotation subject"/>
    <w:basedOn w:val="CommentText"/>
    <w:next w:val="CommentText"/>
    <w:link w:val="CommentSubjectChar"/>
    <w:uiPriority w:val="99"/>
    <w:semiHidden/>
    <w:unhideWhenUsed/>
    <w:rsid w:val="009027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2751"/>
    <w:rPr>
      <w:rFonts w:asciiTheme="minorHAnsi" w:eastAsiaTheme="minorHAnsi" w:hAnsiTheme="minorHAnsi" w:cstheme="minorBidi"/>
      <w:b/>
      <w:bCs/>
      <w:lang w:eastAsia="en-US"/>
    </w:rPr>
  </w:style>
  <w:style w:type="paragraph" w:styleId="BalloonText">
    <w:name w:val="Balloon Text"/>
    <w:basedOn w:val="Normal"/>
    <w:link w:val="BalloonTextChar"/>
    <w:unhideWhenUsed/>
    <w:rsid w:val="00902751"/>
    <w:rPr>
      <w:rFonts w:ascii="Tahoma" w:hAnsi="Tahoma" w:cs="Tahoma"/>
      <w:sz w:val="16"/>
      <w:szCs w:val="16"/>
    </w:rPr>
  </w:style>
  <w:style w:type="character" w:customStyle="1" w:styleId="BalloonTextChar">
    <w:name w:val="Balloon Text Char"/>
    <w:basedOn w:val="DefaultParagraphFont"/>
    <w:link w:val="BalloonText"/>
    <w:uiPriority w:val="99"/>
    <w:rsid w:val="00902751"/>
    <w:rPr>
      <w:rFonts w:ascii="Tahoma" w:hAnsi="Tahoma" w:cs="Tahoma"/>
      <w:sz w:val="16"/>
      <w:szCs w:val="16"/>
      <w:lang w:eastAsia="en-US"/>
    </w:rPr>
  </w:style>
  <w:style w:type="paragraph" w:customStyle="1" w:styleId="Default">
    <w:name w:val="Default"/>
    <w:rsid w:val="00464633"/>
    <w:pPr>
      <w:autoSpaceDE w:val="0"/>
      <w:autoSpaceDN w:val="0"/>
      <w:adjustRightInd w:val="0"/>
    </w:pPr>
    <w:rPr>
      <w:color w:val="000000"/>
      <w:sz w:val="24"/>
      <w:szCs w:val="24"/>
    </w:rPr>
  </w:style>
  <w:style w:type="paragraph" w:customStyle="1" w:styleId="Chapter2">
    <w:name w:val="Chapter 2"/>
    <w:basedOn w:val="Chapter1"/>
    <w:link w:val="Chapter2Char"/>
    <w:rsid w:val="00E25BFD"/>
    <w:pPr>
      <w:numPr>
        <w:numId w:val="15"/>
      </w:numPr>
    </w:pPr>
    <w:rPr>
      <w:snapToGrid w:val="0"/>
      <w:lang w:eastAsia="en-US"/>
    </w:rPr>
  </w:style>
  <w:style w:type="character" w:customStyle="1" w:styleId="Chapter2Char">
    <w:name w:val="Chapter 2 Char"/>
    <w:basedOn w:val="Chapter1Char1"/>
    <w:link w:val="Chapter2"/>
    <w:rsid w:val="00E25BFD"/>
    <w:rPr>
      <w:snapToGrid w:val="0"/>
      <w:sz w:val="24"/>
      <w:lang w:eastAsia="en-US"/>
    </w:rPr>
  </w:style>
  <w:style w:type="paragraph" w:customStyle="1" w:styleId="Chapter4">
    <w:name w:val="Chapter 4"/>
    <w:basedOn w:val="Chapter1"/>
    <w:rsid w:val="0033169D"/>
    <w:pPr>
      <w:numPr>
        <w:numId w:val="17"/>
      </w:numPr>
    </w:pPr>
  </w:style>
  <w:style w:type="paragraph" w:styleId="Revision">
    <w:name w:val="Revision"/>
    <w:hidden/>
    <w:uiPriority w:val="99"/>
    <w:semiHidden/>
    <w:rsid w:val="00F079E2"/>
    <w:rPr>
      <w:sz w:val="24"/>
      <w:lang w:eastAsia="en-US"/>
    </w:rPr>
  </w:style>
  <w:style w:type="character" w:styleId="Strong">
    <w:name w:val="Strong"/>
    <w:basedOn w:val="DefaultParagraphFont"/>
    <w:uiPriority w:val="22"/>
    <w:qFormat/>
    <w:rsid w:val="007D0A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uiPriority w:val="20"/>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uiPriority w:val="59"/>
    <w:rsid w:val="00263719"/>
    <w:pPr>
      <w:spacing w:after="120" w:line="3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ind w:left="0" w:firstLine="0"/>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customStyle="1" w:styleId="TRNormal">
    <w:name w:val="_TRNormal"/>
    <w:link w:val="TRNormalChar"/>
    <w:rsid w:val="006E4AAE"/>
    <w:pPr>
      <w:spacing w:line="300" w:lineRule="atLeast"/>
      <w:jc w:val="both"/>
    </w:pPr>
    <w:rPr>
      <w:sz w:val="24"/>
      <w:lang w:eastAsia="en-AU"/>
    </w:rPr>
  </w:style>
  <w:style w:type="character" w:customStyle="1" w:styleId="TRNormalChar">
    <w:name w:val="_TRNormal Char"/>
    <w:basedOn w:val="DefaultParagraphFont"/>
    <w:link w:val="TRNormal"/>
    <w:rsid w:val="006E4AAE"/>
    <w:rPr>
      <w:sz w:val="24"/>
      <w:lang w:eastAsia="en-AU"/>
    </w:rPr>
  </w:style>
  <w:style w:type="paragraph" w:styleId="FootnoteText">
    <w:name w:val="footnote text"/>
    <w:basedOn w:val="Normal"/>
    <w:link w:val="FootnoteTextChar"/>
    <w:uiPriority w:val="99"/>
    <w:semiHidden/>
    <w:rsid w:val="00866C56"/>
    <w:rPr>
      <w:rFonts w:eastAsia="MS Mincho"/>
      <w:sz w:val="18"/>
      <w:szCs w:val="18"/>
      <w:lang w:eastAsia="ja-JP"/>
    </w:rPr>
  </w:style>
  <w:style w:type="character" w:customStyle="1" w:styleId="FootnoteTextChar">
    <w:name w:val="Footnote Text Char"/>
    <w:basedOn w:val="DefaultParagraphFont"/>
    <w:link w:val="FootnoteText"/>
    <w:uiPriority w:val="99"/>
    <w:semiHidden/>
    <w:rsid w:val="00866C56"/>
    <w:rPr>
      <w:rFonts w:eastAsia="MS Mincho"/>
      <w:sz w:val="18"/>
      <w:szCs w:val="18"/>
      <w:lang w:eastAsia="ja-JP"/>
    </w:rPr>
  </w:style>
  <w:style w:type="character" w:styleId="FootnoteReference">
    <w:name w:val="footnote reference"/>
    <w:basedOn w:val="DefaultParagraphFont"/>
    <w:uiPriority w:val="99"/>
    <w:semiHidden/>
    <w:rsid w:val="00866C56"/>
    <w:rPr>
      <w:rFonts w:ascii="Times New Roman" w:hAnsi="Times New Roman"/>
      <w:sz w:val="18"/>
      <w:szCs w:val="18"/>
      <w:vertAlign w:val="superscript"/>
    </w:rPr>
  </w:style>
  <w:style w:type="paragraph" w:customStyle="1" w:styleId="Chapter1">
    <w:name w:val="Chapter 1"/>
    <w:link w:val="Chapter1Char1"/>
    <w:rsid w:val="00866C56"/>
    <w:pPr>
      <w:numPr>
        <w:numId w:val="12"/>
      </w:numPr>
      <w:jc w:val="both"/>
    </w:pPr>
    <w:rPr>
      <w:sz w:val="24"/>
      <w:lang w:eastAsia="en-AU"/>
    </w:rPr>
  </w:style>
  <w:style w:type="character" w:customStyle="1" w:styleId="Chapter1Char1">
    <w:name w:val="Chapter 1 Char1"/>
    <w:basedOn w:val="DefaultParagraphFont"/>
    <w:link w:val="Chapter1"/>
    <w:rsid w:val="00866C56"/>
    <w:rPr>
      <w:sz w:val="24"/>
      <w:lang w:eastAsia="en-AU"/>
    </w:rPr>
  </w:style>
  <w:style w:type="paragraph" w:styleId="CommentText">
    <w:name w:val="annotation text"/>
    <w:basedOn w:val="Normal"/>
    <w:link w:val="CommentTextChar"/>
    <w:uiPriority w:val="99"/>
    <w:semiHidden/>
    <w:unhideWhenUsed/>
    <w:rsid w:val="0090275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02751"/>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02751"/>
    <w:rPr>
      <w:sz w:val="16"/>
      <w:szCs w:val="16"/>
    </w:rPr>
  </w:style>
  <w:style w:type="paragraph" w:styleId="CommentSubject">
    <w:name w:val="annotation subject"/>
    <w:basedOn w:val="CommentText"/>
    <w:next w:val="CommentText"/>
    <w:link w:val="CommentSubjectChar"/>
    <w:uiPriority w:val="99"/>
    <w:semiHidden/>
    <w:unhideWhenUsed/>
    <w:rsid w:val="009027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2751"/>
    <w:rPr>
      <w:rFonts w:asciiTheme="minorHAnsi" w:eastAsiaTheme="minorHAnsi" w:hAnsiTheme="minorHAnsi" w:cstheme="minorBidi"/>
      <w:b/>
      <w:bCs/>
      <w:lang w:eastAsia="en-US"/>
    </w:rPr>
  </w:style>
  <w:style w:type="paragraph" w:styleId="BalloonText">
    <w:name w:val="Balloon Text"/>
    <w:basedOn w:val="Normal"/>
    <w:link w:val="BalloonTextChar"/>
    <w:unhideWhenUsed/>
    <w:rsid w:val="00902751"/>
    <w:rPr>
      <w:rFonts w:ascii="Tahoma" w:hAnsi="Tahoma" w:cs="Tahoma"/>
      <w:sz w:val="16"/>
      <w:szCs w:val="16"/>
    </w:rPr>
  </w:style>
  <w:style w:type="character" w:customStyle="1" w:styleId="BalloonTextChar">
    <w:name w:val="Balloon Text Char"/>
    <w:basedOn w:val="DefaultParagraphFont"/>
    <w:link w:val="BalloonText"/>
    <w:uiPriority w:val="99"/>
    <w:rsid w:val="00902751"/>
    <w:rPr>
      <w:rFonts w:ascii="Tahoma" w:hAnsi="Tahoma" w:cs="Tahoma"/>
      <w:sz w:val="16"/>
      <w:szCs w:val="16"/>
      <w:lang w:eastAsia="en-US"/>
    </w:rPr>
  </w:style>
  <w:style w:type="paragraph" w:customStyle="1" w:styleId="Default">
    <w:name w:val="Default"/>
    <w:rsid w:val="00464633"/>
    <w:pPr>
      <w:autoSpaceDE w:val="0"/>
      <w:autoSpaceDN w:val="0"/>
      <w:adjustRightInd w:val="0"/>
    </w:pPr>
    <w:rPr>
      <w:color w:val="000000"/>
      <w:sz w:val="24"/>
      <w:szCs w:val="24"/>
    </w:rPr>
  </w:style>
  <w:style w:type="paragraph" w:customStyle="1" w:styleId="Chapter2">
    <w:name w:val="Chapter 2"/>
    <w:basedOn w:val="Chapter1"/>
    <w:link w:val="Chapter2Char"/>
    <w:rsid w:val="00E25BFD"/>
    <w:pPr>
      <w:numPr>
        <w:numId w:val="15"/>
      </w:numPr>
    </w:pPr>
    <w:rPr>
      <w:snapToGrid w:val="0"/>
      <w:lang w:eastAsia="en-US"/>
    </w:rPr>
  </w:style>
  <w:style w:type="character" w:customStyle="1" w:styleId="Chapter2Char">
    <w:name w:val="Chapter 2 Char"/>
    <w:basedOn w:val="Chapter1Char1"/>
    <w:link w:val="Chapter2"/>
    <w:rsid w:val="00E25BFD"/>
    <w:rPr>
      <w:snapToGrid w:val="0"/>
      <w:sz w:val="24"/>
      <w:lang w:eastAsia="en-US"/>
    </w:rPr>
  </w:style>
  <w:style w:type="paragraph" w:customStyle="1" w:styleId="Chapter4">
    <w:name w:val="Chapter 4"/>
    <w:basedOn w:val="Chapter1"/>
    <w:rsid w:val="0033169D"/>
    <w:pPr>
      <w:numPr>
        <w:numId w:val="17"/>
      </w:numPr>
    </w:pPr>
  </w:style>
  <w:style w:type="paragraph" w:styleId="Revision">
    <w:name w:val="Revision"/>
    <w:hidden/>
    <w:uiPriority w:val="99"/>
    <w:semiHidden/>
    <w:rsid w:val="00F079E2"/>
    <w:rPr>
      <w:sz w:val="24"/>
      <w:lang w:eastAsia="en-US"/>
    </w:rPr>
  </w:style>
  <w:style w:type="character" w:styleId="Strong">
    <w:name w:val="Strong"/>
    <w:basedOn w:val="DefaultParagraphFont"/>
    <w:uiPriority w:val="22"/>
    <w:qFormat/>
    <w:rsid w:val="007D0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1200">
      <w:bodyDiv w:val="1"/>
      <w:marLeft w:val="0"/>
      <w:marRight w:val="0"/>
      <w:marTop w:val="0"/>
      <w:marBottom w:val="0"/>
      <w:divBdr>
        <w:top w:val="none" w:sz="0" w:space="0" w:color="auto"/>
        <w:left w:val="none" w:sz="0" w:space="0" w:color="auto"/>
        <w:bottom w:val="none" w:sz="0" w:space="0" w:color="auto"/>
        <w:right w:val="none" w:sz="0" w:space="0" w:color="auto"/>
      </w:divBdr>
    </w:div>
    <w:div w:id="528223404">
      <w:bodyDiv w:val="1"/>
      <w:marLeft w:val="0"/>
      <w:marRight w:val="0"/>
      <w:marTop w:val="0"/>
      <w:marBottom w:val="0"/>
      <w:divBdr>
        <w:top w:val="none" w:sz="0" w:space="0" w:color="auto"/>
        <w:left w:val="none" w:sz="0" w:space="0" w:color="auto"/>
        <w:bottom w:val="none" w:sz="0" w:space="0" w:color="auto"/>
        <w:right w:val="none" w:sz="0" w:space="0" w:color="auto"/>
      </w:divBdr>
    </w:div>
    <w:div w:id="567616581">
      <w:bodyDiv w:val="1"/>
      <w:marLeft w:val="0"/>
      <w:marRight w:val="0"/>
      <w:marTop w:val="0"/>
      <w:marBottom w:val="0"/>
      <w:divBdr>
        <w:top w:val="none" w:sz="0" w:space="0" w:color="auto"/>
        <w:left w:val="none" w:sz="0" w:space="0" w:color="auto"/>
        <w:bottom w:val="none" w:sz="0" w:space="0" w:color="auto"/>
        <w:right w:val="none" w:sz="0" w:space="0" w:color="auto"/>
      </w:divBdr>
    </w:div>
    <w:div w:id="575475154">
      <w:bodyDiv w:val="1"/>
      <w:marLeft w:val="0"/>
      <w:marRight w:val="0"/>
      <w:marTop w:val="0"/>
      <w:marBottom w:val="0"/>
      <w:divBdr>
        <w:top w:val="none" w:sz="0" w:space="0" w:color="auto"/>
        <w:left w:val="none" w:sz="0" w:space="0" w:color="auto"/>
        <w:bottom w:val="none" w:sz="0" w:space="0" w:color="auto"/>
        <w:right w:val="none" w:sz="0" w:space="0" w:color="auto"/>
      </w:divBdr>
    </w:div>
    <w:div w:id="665286206">
      <w:bodyDiv w:val="1"/>
      <w:marLeft w:val="0"/>
      <w:marRight w:val="0"/>
      <w:marTop w:val="0"/>
      <w:marBottom w:val="0"/>
      <w:divBdr>
        <w:top w:val="none" w:sz="0" w:space="0" w:color="auto"/>
        <w:left w:val="none" w:sz="0" w:space="0" w:color="auto"/>
        <w:bottom w:val="none" w:sz="0" w:space="0" w:color="auto"/>
        <w:right w:val="none" w:sz="0" w:space="0" w:color="auto"/>
      </w:divBdr>
    </w:div>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2306">
      <w:bodyDiv w:val="1"/>
      <w:marLeft w:val="0"/>
      <w:marRight w:val="0"/>
      <w:marTop w:val="0"/>
      <w:marBottom w:val="0"/>
      <w:divBdr>
        <w:top w:val="none" w:sz="0" w:space="0" w:color="auto"/>
        <w:left w:val="none" w:sz="0" w:space="0" w:color="auto"/>
        <w:bottom w:val="none" w:sz="0" w:space="0" w:color="auto"/>
        <w:right w:val="none" w:sz="0" w:space="0" w:color="auto"/>
      </w:divBdr>
    </w:div>
    <w:div w:id="946892172">
      <w:bodyDiv w:val="1"/>
      <w:marLeft w:val="0"/>
      <w:marRight w:val="0"/>
      <w:marTop w:val="0"/>
      <w:marBottom w:val="0"/>
      <w:divBdr>
        <w:top w:val="none" w:sz="0" w:space="0" w:color="auto"/>
        <w:left w:val="none" w:sz="0" w:space="0" w:color="auto"/>
        <w:bottom w:val="none" w:sz="0" w:space="0" w:color="auto"/>
        <w:right w:val="none" w:sz="0" w:space="0" w:color="auto"/>
      </w:divBdr>
      <w:divsChild>
        <w:div w:id="931623885">
          <w:marLeft w:val="0"/>
          <w:marRight w:val="0"/>
          <w:marTop w:val="0"/>
          <w:marBottom w:val="0"/>
          <w:divBdr>
            <w:top w:val="none" w:sz="0" w:space="0" w:color="auto"/>
            <w:left w:val="none" w:sz="0" w:space="0" w:color="auto"/>
            <w:bottom w:val="none" w:sz="0" w:space="0" w:color="auto"/>
            <w:right w:val="none" w:sz="0" w:space="0" w:color="auto"/>
          </w:divBdr>
        </w:div>
      </w:divsChild>
    </w:div>
    <w:div w:id="951130016">
      <w:bodyDiv w:val="1"/>
      <w:marLeft w:val="0"/>
      <w:marRight w:val="0"/>
      <w:marTop w:val="0"/>
      <w:marBottom w:val="0"/>
      <w:divBdr>
        <w:top w:val="none" w:sz="0" w:space="0" w:color="auto"/>
        <w:left w:val="none" w:sz="0" w:space="0" w:color="auto"/>
        <w:bottom w:val="none" w:sz="0" w:space="0" w:color="auto"/>
        <w:right w:val="none" w:sz="0" w:space="0" w:color="auto"/>
      </w:divBdr>
      <w:divsChild>
        <w:div w:id="1661694468">
          <w:marLeft w:val="0"/>
          <w:marRight w:val="0"/>
          <w:marTop w:val="0"/>
          <w:marBottom w:val="0"/>
          <w:divBdr>
            <w:top w:val="none" w:sz="0" w:space="0" w:color="auto"/>
            <w:left w:val="none" w:sz="0" w:space="0" w:color="auto"/>
            <w:bottom w:val="none" w:sz="0" w:space="0" w:color="auto"/>
            <w:right w:val="none" w:sz="0" w:space="0" w:color="auto"/>
          </w:divBdr>
        </w:div>
      </w:divsChild>
    </w:div>
    <w:div w:id="1043139514">
      <w:bodyDiv w:val="1"/>
      <w:marLeft w:val="0"/>
      <w:marRight w:val="0"/>
      <w:marTop w:val="0"/>
      <w:marBottom w:val="0"/>
      <w:divBdr>
        <w:top w:val="none" w:sz="0" w:space="0" w:color="auto"/>
        <w:left w:val="none" w:sz="0" w:space="0" w:color="auto"/>
        <w:bottom w:val="none" w:sz="0" w:space="0" w:color="auto"/>
        <w:right w:val="none" w:sz="0" w:space="0" w:color="auto"/>
      </w:divBdr>
    </w:div>
    <w:div w:id="1053623260">
      <w:bodyDiv w:val="1"/>
      <w:marLeft w:val="0"/>
      <w:marRight w:val="0"/>
      <w:marTop w:val="0"/>
      <w:marBottom w:val="0"/>
      <w:divBdr>
        <w:top w:val="none" w:sz="0" w:space="0" w:color="auto"/>
        <w:left w:val="none" w:sz="0" w:space="0" w:color="auto"/>
        <w:bottom w:val="none" w:sz="0" w:space="0" w:color="auto"/>
        <w:right w:val="none" w:sz="0" w:space="0" w:color="auto"/>
      </w:divBdr>
    </w:div>
    <w:div w:id="1115178671">
      <w:bodyDiv w:val="1"/>
      <w:marLeft w:val="0"/>
      <w:marRight w:val="0"/>
      <w:marTop w:val="0"/>
      <w:marBottom w:val="0"/>
      <w:divBdr>
        <w:top w:val="none" w:sz="0" w:space="0" w:color="auto"/>
        <w:left w:val="none" w:sz="0" w:space="0" w:color="auto"/>
        <w:bottom w:val="none" w:sz="0" w:space="0" w:color="auto"/>
        <w:right w:val="none" w:sz="0" w:space="0" w:color="auto"/>
      </w:divBdr>
    </w:div>
    <w:div w:id="1176725894">
      <w:bodyDiv w:val="1"/>
      <w:marLeft w:val="0"/>
      <w:marRight w:val="0"/>
      <w:marTop w:val="0"/>
      <w:marBottom w:val="0"/>
      <w:divBdr>
        <w:top w:val="none" w:sz="0" w:space="0" w:color="auto"/>
        <w:left w:val="none" w:sz="0" w:space="0" w:color="auto"/>
        <w:bottom w:val="none" w:sz="0" w:space="0" w:color="auto"/>
        <w:right w:val="none" w:sz="0" w:space="0" w:color="auto"/>
      </w:divBdr>
    </w:div>
    <w:div w:id="1228302572">
      <w:bodyDiv w:val="1"/>
      <w:marLeft w:val="0"/>
      <w:marRight w:val="0"/>
      <w:marTop w:val="0"/>
      <w:marBottom w:val="0"/>
      <w:divBdr>
        <w:top w:val="none" w:sz="0" w:space="0" w:color="auto"/>
        <w:left w:val="none" w:sz="0" w:space="0" w:color="auto"/>
        <w:bottom w:val="none" w:sz="0" w:space="0" w:color="auto"/>
        <w:right w:val="none" w:sz="0" w:space="0" w:color="auto"/>
      </w:divBdr>
    </w:div>
    <w:div w:id="1402826581">
      <w:bodyDiv w:val="1"/>
      <w:marLeft w:val="0"/>
      <w:marRight w:val="0"/>
      <w:marTop w:val="0"/>
      <w:marBottom w:val="0"/>
      <w:divBdr>
        <w:top w:val="none" w:sz="0" w:space="0" w:color="auto"/>
        <w:left w:val="none" w:sz="0" w:space="0" w:color="auto"/>
        <w:bottom w:val="none" w:sz="0" w:space="0" w:color="auto"/>
        <w:right w:val="none" w:sz="0" w:space="0" w:color="auto"/>
      </w:divBdr>
    </w:div>
    <w:div w:id="1433014119">
      <w:bodyDiv w:val="1"/>
      <w:marLeft w:val="0"/>
      <w:marRight w:val="0"/>
      <w:marTop w:val="0"/>
      <w:marBottom w:val="0"/>
      <w:divBdr>
        <w:top w:val="none" w:sz="0" w:space="0" w:color="auto"/>
        <w:left w:val="none" w:sz="0" w:space="0" w:color="auto"/>
        <w:bottom w:val="none" w:sz="0" w:space="0" w:color="auto"/>
        <w:right w:val="none" w:sz="0" w:space="0" w:color="auto"/>
      </w:divBdr>
    </w:div>
    <w:div w:id="1499224759">
      <w:bodyDiv w:val="1"/>
      <w:marLeft w:val="0"/>
      <w:marRight w:val="0"/>
      <w:marTop w:val="0"/>
      <w:marBottom w:val="0"/>
      <w:divBdr>
        <w:top w:val="none" w:sz="0" w:space="0" w:color="auto"/>
        <w:left w:val="none" w:sz="0" w:space="0" w:color="auto"/>
        <w:bottom w:val="none" w:sz="0" w:space="0" w:color="auto"/>
        <w:right w:val="none" w:sz="0" w:space="0" w:color="auto"/>
      </w:divBdr>
    </w:div>
    <w:div w:id="1570530024">
      <w:bodyDiv w:val="1"/>
      <w:marLeft w:val="0"/>
      <w:marRight w:val="0"/>
      <w:marTop w:val="0"/>
      <w:marBottom w:val="0"/>
      <w:divBdr>
        <w:top w:val="none" w:sz="0" w:space="0" w:color="auto"/>
        <w:left w:val="none" w:sz="0" w:space="0" w:color="auto"/>
        <w:bottom w:val="none" w:sz="0" w:space="0" w:color="auto"/>
        <w:right w:val="none" w:sz="0" w:space="0" w:color="auto"/>
      </w:divBdr>
    </w:div>
    <w:div w:id="1812360321">
      <w:bodyDiv w:val="1"/>
      <w:marLeft w:val="0"/>
      <w:marRight w:val="0"/>
      <w:marTop w:val="0"/>
      <w:marBottom w:val="0"/>
      <w:divBdr>
        <w:top w:val="none" w:sz="0" w:space="0" w:color="auto"/>
        <w:left w:val="none" w:sz="0" w:space="0" w:color="auto"/>
        <w:bottom w:val="none" w:sz="0" w:space="0" w:color="auto"/>
        <w:right w:val="none" w:sz="0" w:space="0" w:color="auto"/>
      </w:divBdr>
    </w:div>
    <w:div w:id="1869640981">
      <w:bodyDiv w:val="1"/>
      <w:marLeft w:val="0"/>
      <w:marRight w:val="0"/>
      <w:marTop w:val="0"/>
      <w:marBottom w:val="0"/>
      <w:divBdr>
        <w:top w:val="none" w:sz="0" w:space="0" w:color="auto"/>
        <w:left w:val="none" w:sz="0" w:space="0" w:color="auto"/>
        <w:bottom w:val="none" w:sz="0" w:space="0" w:color="auto"/>
        <w:right w:val="none" w:sz="0" w:space="0" w:color="auto"/>
      </w:divBdr>
    </w:div>
    <w:div w:id="1910965907">
      <w:bodyDiv w:val="1"/>
      <w:marLeft w:val="0"/>
      <w:marRight w:val="0"/>
      <w:marTop w:val="0"/>
      <w:marBottom w:val="0"/>
      <w:divBdr>
        <w:top w:val="none" w:sz="0" w:space="0" w:color="auto"/>
        <w:left w:val="none" w:sz="0" w:space="0" w:color="auto"/>
        <w:bottom w:val="none" w:sz="0" w:space="0" w:color="auto"/>
        <w:right w:val="none" w:sz="0" w:space="0" w:color="auto"/>
      </w:divBdr>
    </w:div>
    <w:div w:id="20075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xpolicy.ird.govt.nz/tax-treaties/convention-mutual-administrative-assistance-tax-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F91E-B3C9-455C-8820-048249AD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15890</Characters>
  <Application>Microsoft Office Word</Application>
  <DocSecurity>0</DocSecurity>
  <Lines>361</Lines>
  <Paragraphs>123</Paragraphs>
  <ScaleCrop>false</ScaleCrop>
  <HeadingPairs>
    <vt:vector size="2" baseType="variant">
      <vt:variant>
        <vt:lpstr>Title</vt:lpstr>
      </vt:variant>
      <vt:variant>
        <vt:i4>1</vt:i4>
      </vt:variant>
    </vt:vector>
  </HeadingPairs>
  <TitlesOfParts>
    <vt:vector size="1" baseType="lpstr">
      <vt:lpstr>Cabinet paper - Base erosion and profit shifting (BEPS) – update on the New Zealand work programme (May 2016)</vt:lpstr>
    </vt:vector>
  </TitlesOfParts>
  <Company>Inland Revenue</Company>
  <LinksUpToDate>false</LinksUpToDate>
  <CharactersWithSpaces>18698</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Base erosion and profit shifting (BEPS) – update on the New Zealand work programme (May 2016)</dc:title>
  <dc:creator>Policy and Strategy</dc:creator>
  <dc:description>Published June 2016</dc:description>
  <cp:lastModifiedBy>David Nind</cp:lastModifiedBy>
  <cp:revision>2</cp:revision>
  <dcterms:created xsi:type="dcterms:W3CDTF">2016-06-06T23:17:00Z</dcterms:created>
  <dcterms:modified xsi:type="dcterms:W3CDTF">2016-06-06T23:18:00Z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