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8" w:rsidRDefault="00CF4A6F" w:rsidP="003B3058">
      <w:pPr>
        <w:jc w:val="right"/>
      </w:pPr>
      <w:bookmarkStart w:id="0" w:name="_GoBack"/>
      <w:bookmarkEnd w:id="0"/>
      <w:r w:rsidRPr="002D4514">
        <w:rPr>
          <w:rFonts w:ascii="Verdana" w:hAnsi="Verdana" w:cs="Times New Roman"/>
          <w:b/>
          <w:noProof/>
          <w:sz w:val="32"/>
          <w:szCs w:val="20"/>
          <w:lang w:eastAsia="en-NZ"/>
        </w:rPr>
        <w:drawing>
          <wp:anchor distT="0" distB="0" distL="114300" distR="114300" simplePos="0" relativeHeight="251659264" behindDoc="0" locked="0" layoutInCell="1" allowOverlap="1" wp14:anchorId="491F3BF5" wp14:editId="4E4C1007">
            <wp:simplePos x="0" y="0"/>
            <wp:positionH relativeFrom="column">
              <wp:posOffset>-4445</wp:posOffset>
            </wp:positionH>
            <wp:positionV relativeFrom="paragraph">
              <wp:posOffset>-423545</wp:posOffset>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Pr="00CF4A6F">
        <w:t>July 2016</w:t>
      </w:r>
    </w:p>
    <w:p w:rsidR="00CF4A6F" w:rsidRDefault="00CF4A6F" w:rsidP="00CF4A6F"/>
    <w:p w:rsidR="005313CC" w:rsidRDefault="00AC005F" w:rsidP="00CE5DA5">
      <w:pPr>
        <w:jc w:val="center"/>
        <w:rPr>
          <w:b/>
          <w:sz w:val="36"/>
          <w:szCs w:val="36"/>
        </w:rPr>
      </w:pPr>
      <w:r w:rsidRPr="00CE5DA5">
        <w:rPr>
          <w:b/>
          <w:sz w:val="36"/>
          <w:szCs w:val="36"/>
        </w:rPr>
        <w:t xml:space="preserve">Automatic Exchange of </w:t>
      </w:r>
      <w:r w:rsidR="00F436AE" w:rsidRPr="00CE5DA5">
        <w:rPr>
          <w:b/>
          <w:sz w:val="36"/>
          <w:szCs w:val="36"/>
        </w:rPr>
        <w:t xml:space="preserve">Financial Account </w:t>
      </w:r>
      <w:r w:rsidRPr="00CE5DA5">
        <w:rPr>
          <w:b/>
          <w:sz w:val="36"/>
          <w:szCs w:val="36"/>
        </w:rPr>
        <w:t>Information</w:t>
      </w:r>
    </w:p>
    <w:p w:rsidR="00CC64BF" w:rsidRPr="005313CC" w:rsidRDefault="00AC005F" w:rsidP="00CE5DA5">
      <w:pPr>
        <w:jc w:val="center"/>
        <w:rPr>
          <w:b/>
          <w:sz w:val="36"/>
          <w:szCs w:val="36"/>
        </w:rPr>
      </w:pPr>
      <w:r w:rsidRPr="005313CC">
        <w:rPr>
          <w:b/>
          <w:sz w:val="36"/>
          <w:szCs w:val="36"/>
        </w:rPr>
        <w:t>I</w:t>
      </w:r>
      <w:r w:rsidR="00525A43" w:rsidRPr="005313CC">
        <w:rPr>
          <w:b/>
          <w:sz w:val="36"/>
          <w:szCs w:val="36"/>
        </w:rPr>
        <w:t>nformation for financial institutions</w:t>
      </w:r>
    </w:p>
    <w:p w:rsidR="00536C26" w:rsidRDefault="00536C26" w:rsidP="00536C26"/>
    <w:p w:rsidR="00CE5DA5" w:rsidRPr="00536C26" w:rsidRDefault="00CE5DA5" w:rsidP="00536C26"/>
    <w:p w:rsidR="007F7301" w:rsidRDefault="007F7301" w:rsidP="00536C26">
      <w:r w:rsidRPr="00536C26">
        <w:t>From 1 July 2017, New Zealand financial institutions will (unless exempted) need to review their accounts and collect and report information to Inland Revenue on accounts held or (in certain circumstances) controlled by non-residents.</w:t>
      </w:r>
      <w:r w:rsidR="005313CC">
        <w:t xml:space="preserve">  </w:t>
      </w:r>
      <w:r w:rsidRPr="00536C26">
        <w:t>Where necessary</w:t>
      </w:r>
      <w:r w:rsidR="00996606" w:rsidRPr="00536C26">
        <w:t>,</w:t>
      </w:r>
      <w:r w:rsidRPr="00536C26">
        <w:t xml:space="preserve"> Inland Revenue will then share that information with other tax jurisdictions in specific countries. </w:t>
      </w:r>
      <w:r w:rsidR="005313CC">
        <w:t xml:space="preserve"> </w:t>
      </w:r>
      <w:r w:rsidRPr="00536C26">
        <w:t>The objective is to help eradicate tax evasion.</w:t>
      </w:r>
    </w:p>
    <w:p w:rsidR="00536C26" w:rsidRPr="00536C26" w:rsidRDefault="00536C26" w:rsidP="00536C26"/>
    <w:p w:rsidR="007F7301" w:rsidRPr="00536C26" w:rsidRDefault="007F7301" w:rsidP="00536C26">
      <w:r w:rsidRPr="00536C26">
        <w:t xml:space="preserve">A key consideration in implementing the initiative will </w:t>
      </w:r>
      <w:r w:rsidR="00FA026E" w:rsidRPr="00536C26">
        <w:t>be in achieving a consistent standard</w:t>
      </w:r>
      <w:r w:rsidRPr="00536C26">
        <w:t xml:space="preserve"> </w:t>
      </w:r>
      <w:r w:rsidR="00FA026E" w:rsidRPr="00536C26">
        <w:t xml:space="preserve">for how </w:t>
      </w:r>
      <w:r w:rsidR="009E2F8F" w:rsidRPr="00536C26">
        <w:t xml:space="preserve">the </w:t>
      </w:r>
      <w:r w:rsidRPr="00536C26">
        <w:t xml:space="preserve">information exchange is conducted between jurisdictions. </w:t>
      </w:r>
      <w:r w:rsidR="005313CC">
        <w:t xml:space="preserve"> </w:t>
      </w:r>
      <w:r w:rsidRPr="00536C26">
        <w:t>To address this, the OECD has published its Standard for Automatic Exchange of</w:t>
      </w:r>
      <w:r w:rsidR="00F436AE" w:rsidRPr="00536C26">
        <w:t xml:space="preserve"> Financial Account </w:t>
      </w:r>
      <w:r w:rsidRPr="00536C26">
        <w:t>Information in Tax Matters.</w:t>
      </w:r>
    </w:p>
    <w:p w:rsidR="00536C26" w:rsidRDefault="00536C26" w:rsidP="00536C26"/>
    <w:p w:rsidR="00FA026E" w:rsidRPr="00536C26" w:rsidRDefault="007F7301" w:rsidP="00536C26">
      <w:r w:rsidRPr="00536C26">
        <w:t xml:space="preserve">The Common Reporting Standard </w:t>
      </w:r>
      <w:r w:rsidR="00984A50">
        <w:t xml:space="preserve">(CRS) </w:t>
      </w:r>
      <w:r w:rsidRPr="00536C26">
        <w:t xml:space="preserve">which forms part of the Standard outlines the reporting and due diligence </w:t>
      </w:r>
      <w:r w:rsidR="00312578" w:rsidRPr="00536C26">
        <w:t>requirements</w:t>
      </w:r>
      <w:r w:rsidRPr="00536C26">
        <w:t xml:space="preserve"> </w:t>
      </w:r>
      <w:r w:rsidR="00035741" w:rsidRPr="00536C26">
        <w:t>for conducting</w:t>
      </w:r>
      <w:r w:rsidRPr="00536C26">
        <w:t xml:space="preserve"> the aut</w:t>
      </w:r>
      <w:r w:rsidR="005313CC">
        <w:t>omatic exchange of information.</w:t>
      </w:r>
    </w:p>
    <w:p w:rsidR="00536C26" w:rsidRDefault="00536C26" w:rsidP="00536C26"/>
    <w:p w:rsidR="007F7301" w:rsidRPr="00536C26" w:rsidRDefault="007F7301" w:rsidP="00536C26">
      <w:r w:rsidRPr="00536C26">
        <w:t>The CRS is of particular importance to financial institutions and this fact sheet provides information on proposed measures to be included in draft legislation based on public feedback</w:t>
      </w:r>
      <w:r w:rsidR="00FA026E" w:rsidRPr="00536C26">
        <w:t xml:space="preserve"> to its public consultation document, </w:t>
      </w:r>
      <w:proofErr w:type="gramStart"/>
      <w:r w:rsidR="00FA026E" w:rsidRPr="00096503">
        <w:rPr>
          <w:i/>
        </w:rPr>
        <w:t>Implementing</w:t>
      </w:r>
      <w:proofErr w:type="gramEnd"/>
      <w:r w:rsidR="00FA026E" w:rsidRPr="00096503">
        <w:rPr>
          <w:i/>
        </w:rPr>
        <w:t xml:space="preserve"> the global standard on automatic exchange of information</w:t>
      </w:r>
      <w:r w:rsidR="00096503">
        <w:t>,</w:t>
      </w:r>
      <w:r w:rsidR="00EF1367" w:rsidRPr="00536C26">
        <w:t xml:space="preserve"> released in February 2016</w:t>
      </w:r>
      <w:r w:rsidR="005313CC">
        <w:t>.</w:t>
      </w:r>
    </w:p>
    <w:p w:rsidR="00536C26" w:rsidRDefault="00536C26" w:rsidP="00536C26"/>
    <w:p w:rsidR="00CE5DA5" w:rsidRDefault="00CE5DA5" w:rsidP="00536C26"/>
    <w:p w:rsidR="00A16E25" w:rsidRPr="00CF4A6F" w:rsidRDefault="00896BD0" w:rsidP="00CF4A6F">
      <w:pPr>
        <w:pStyle w:val="Heading1"/>
      </w:pPr>
      <w:r w:rsidRPr="00CF4A6F">
        <w:t>Draft legislation</w:t>
      </w:r>
    </w:p>
    <w:p w:rsidR="00536C26" w:rsidRDefault="00536C26" w:rsidP="00536C26"/>
    <w:p w:rsidR="00A16E25" w:rsidRDefault="00896BD0" w:rsidP="00536C26">
      <w:r w:rsidRPr="00536C26">
        <w:t xml:space="preserve">The draft legislation is based on the options released for public consultation and the feedback received. </w:t>
      </w:r>
      <w:r w:rsidR="00984A50">
        <w:t xml:space="preserve"> </w:t>
      </w:r>
      <w:r w:rsidR="003D3FB2" w:rsidRPr="00536C26">
        <w:t xml:space="preserve">Generally the </w:t>
      </w:r>
      <w:r w:rsidRPr="00536C26">
        <w:t xml:space="preserve">legislation </w:t>
      </w:r>
      <w:r w:rsidR="003D3FB2" w:rsidRPr="00536C26">
        <w:t>a</w:t>
      </w:r>
      <w:r w:rsidR="00A16E25" w:rsidRPr="00536C26">
        <w:t>i</w:t>
      </w:r>
      <w:r w:rsidR="003D3FB2" w:rsidRPr="00536C26">
        <w:t>m</w:t>
      </w:r>
      <w:r w:rsidR="00A16E25" w:rsidRPr="00536C26">
        <w:t>s to:</w:t>
      </w:r>
    </w:p>
    <w:p w:rsidR="00096503" w:rsidRPr="00536C26" w:rsidRDefault="00096503" w:rsidP="00536C26"/>
    <w:p w:rsidR="00A16E25" w:rsidRPr="00CE5DA5" w:rsidRDefault="00A16E25" w:rsidP="00CE5DA5">
      <w:pPr>
        <w:pStyle w:val="List-Bullet"/>
      </w:pPr>
      <w:r w:rsidRPr="00CE5DA5">
        <w:t>allow reporting financial institutions to take advantage of options set out in the CRS and commentary; and</w:t>
      </w:r>
    </w:p>
    <w:p w:rsidR="00A16E25" w:rsidRPr="00CE5DA5" w:rsidRDefault="00A16E25" w:rsidP="00CE5DA5">
      <w:pPr>
        <w:pStyle w:val="List-Bullet"/>
      </w:pPr>
      <w:proofErr w:type="gramStart"/>
      <w:r w:rsidRPr="00CE5DA5">
        <w:t>not</w:t>
      </w:r>
      <w:proofErr w:type="gramEnd"/>
      <w:r w:rsidRPr="00CE5DA5">
        <w:t xml:space="preserve"> require reporting financial institutions to collect further information than is required under the CRS (with the exception of the ‘wider approach’ to due diligence, which will be mandatory).</w:t>
      </w:r>
    </w:p>
    <w:p w:rsidR="00096503" w:rsidRDefault="00096503" w:rsidP="00536C26"/>
    <w:p w:rsidR="00A16E25" w:rsidRPr="00536C26" w:rsidRDefault="00896BD0" w:rsidP="00536C26">
      <w:r w:rsidRPr="00536C26">
        <w:t>This approach</w:t>
      </w:r>
      <w:r w:rsidR="00A16E25" w:rsidRPr="00536C26">
        <w:t xml:space="preserve"> should help to minimise the compliance costs for reporting financial institutions in implementing </w:t>
      </w:r>
      <w:r w:rsidR="00984A50">
        <w:t>the CRS</w:t>
      </w:r>
      <w:r w:rsidR="00A16E25" w:rsidRPr="00536C26">
        <w:t>.</w:t>
      </w:r>
    </w:p>
    <w:p w:rsidR="00536C26" w:rsidRDefault="00536C26" w:rsidP="00536C26"/>
    <w:p w:rsidR="00CE5DA5" w:rsidRDefault="00CE5DA5" w:rsidP="00536C26"/>
    <w:p w:rsidR="00DE39E0" w:rsidRPr="00536C26" w:rsidRDefault="005313CC" w:rsidP="00CF4A6F">
      <w:pPr>
        <w:pStyle w:val="Heading1"/>
      </w:pPr>
      <w:r>
        <w:t>Policy recommendations</w:t>
      </w:r>
    </w:p>
    <w:p w:rsidR="00536C26" w:rsidRDefault="00536C26" w:rsidP="00536C26"/>
    <w:p w:rsidR="00DE39E0" w:rsidRPr="00536C26" w:rsidRDefault="00DE39E0" w:rsidP="00536C26">
      <w:r w:rsidRPr="00536C26">
        <w:t>This document summarises the key policy recommendations for draft legi</w:t>
      </w:r>
      <w:r w:rsidR="00536C26">
        <w:t>slation in the following areas:</w:t>
      </w:r>
    </w:p>
    <w:p w:rsidR="00536C26" w:rsidRDefault="00536C26" w:rsidP="00536C26"/>
    <w:p w:rsidR="00DE39E0" w:rsidRPr="00536C26" w:rsidRDefault="005313CC" w:rsidP="00CE5DA5">
      <w:pPr>
        <w:pStyle w:val="List-Numbered"/>
      </w:pPr>
      <w:r>
        <w:t>The reporting period</w:t>
      </w:r>
    </w:p>
    <w:p w:rsidR="00DE39E0" w:rsidRPr="00536C26" w:rsidRDefault="00DE39E0" w:rsidP="00CE5DA5">
      <w:pPr>
        <w:pStyle w:val="List-Numbered"/>
      </w:pPr>
      <w:r w:rsidRPr="00536C26">
        <w:t xml:space="preserve">The </w:t>
      </w:r>
      <w:r w:rsidR="00CC735A">
        <w:t>“wider approach”</w:t>
      </w:r>
    </w:p>
    <w:p w:rsidR="00DE39E0" w:rsidRPr="00536C26" w:rsidRDefault="00CC735A" w:rsidP="00CE5DA5">
      <w:pPr>
        <w:pStyle w:val="List-Numbered"/>
      </w:pPr>
      <w:r>
        <w:lastRenderedPageBreak/>
        <w:t>Time</w:t>
      </w:r>
      <w:r w:rsidR="00DE39E0" w:rsidRPr="00536C26">
        <w:t>frame for review of pre-existing individual and entity accounts</w:t>
      </w:r>
    </w:p>
    <w:p w:rsidR="00DE39E0" w:rsidRPr="00536C26" w:rsidRDefault="00DE39E0" w:rsidP="00CE5DA5">
      <w:pPr>
        <w:pStyle w:val="List-Numbered"/>
      </w:pPr>
      <w:r w:rsidRPr="00536C26">
        <w:t xml:space="preserve">Excluded </w:t>
      </w:r>
      <w:r w:rsidR="00CC735A">
        <w:t xml:space="preserve">reporting </w:t>
      </w:r>
      <w:r w:rsidRPr="00536C26">
        <w:t>entities and accounts</w:t>
      </w:r>
    </w:p>
    <w:p w:rsidR="00DE39E0" w:rsidRPr="00536C26" w:rsidRDefault="00DE39E0" w:rsidP="00CE5DA5">
      <w:pPr>
        <w:pStyle w:val="List-Numbered"/>
      </w:pPr>
      <w:r w:rsidRPr="00536C26">
        <w:t>Reportable jurisdictions</w:t>
      </w:r>
    </w:p>
    <w:p w:rsidR="00DE39E0" w:rsidRPr="00536C26" w:rsidRDefault="00DE39E0" w:rsidP="00CE5DA5">
      <w:pPr>
        <w:pStyle w:val="List-Numbered"/>
      </w:pPr>
      <w:r w:rsidRPr="00536C26">
        <w:t>Enforcement and compliance</w:t>
      </w:r>
    </w:p>
    <w:p w:rsidR="00DE39E0" w:rsidRPr="00536C26" w:rsidRDefault="00DE39E0" w:rsidP="00CE5DA5">
      <w:pPr>
        <w:pStyle w:val="List-Numbered"/>
      </w:pPr>
      <w:r w:rsidRPr="00536C26">
        <w:t>Alignment with anti-money laundering legislation and FATCA</w:t>
      </w:r>
    </w:p>
    <w:p w:rsidR="00DE39E0" w:rsidRPr="00536C26" w:rsidRDefault="00DE39E0" w:rsidP="00CE5DA5">
      <w:pPr>
        <w:pStyle w:val="List-Numbered"/>
      </w:pPr>
      <w:r w:rsidRPr="00536C26">
        <w:t xml:space="preserve">Key dates for </w:t>
      </w:r>
      <w:r w:rsidR="00CC735A">
        <w:t xml:space="preserve">financial institutions AEOI </w:t>
      </w:r>
      <w:r w:rsidRPr="00536C26">
        <w:t>reporting</w:t>
      </w:r>
    </w:p>
    <w:p w:rsidR="00536C26" w:rsidRDefault="00536C26" w:rsidP="00536C26"/>
    <w:p w:rsidR="00DE39E0" w:rsidRPr="00536C26" w:rsidRDefault="00DE39E0" w:rsidP="00536C26">
      <w:r w:rsidRPr="00536C26">
        <w:t>These proposals will be set out in a B</w:t>
      </w:r>
      <w:r w:rsidR="005313CC">
        <w:t>ill to be introduced in August.</w:t>
      </w:r>
    </w:p>
    <w:p w:rsidR="00536C26" w:rsidRDefault="00536C26" w:rsidP="00536C26"/>
    <w:p w:rsidR="00CE5DA5" w:rsidRPr="00CE5DA5" w:rsidRDefault="00DE39E0" w:rsidP="00CE5DA5">
      <w:pPr>
        <w:pBdr>
          <w:top w:val="single" w:sz="4" w:space="4" w:color="auto"/>
          <w:left w:val="single" w:sz="4" w:space="4" w:color="auto"/>
          <w:bottom w:val="single" w:sz="4" w:space="4" w:color="auto"/>
          <w:right w:val="single" w:sz="4" w:space="4" w:color="auto"/>
        </w:pBdr>
        <w:rPr>
          <w:b/>
        </w:rPr>
      </w:pPr>
      <w:r w:rsidRPr="00CE5DA5">
        <w:rPr>
          <w:b/>
        </w:rPr>
        <w:t>Important</w:t>
      </w:r>
    </w:p>
    <w:p w:rsidR="00CE5DA5" w:rsidRDefault="00CE5DA5" w:rsidP="00CE5DA5">
      <w:pPr>
        <w:pBdr>
          <w:top w:val="single" w:sz="4" w:space="4" w:color="auto"/>
          <w:left w:val="single" w:sz="4" w:space="4" w:color="auto"/>
          <w:bottom w:val="single" w:sz="4" w:space="4" w:color="auto"/>
          <w:right w:val="single" w:sz="4" w:space="4" w:color="auto"/>
        </w:pBdr>
      </w:pPr>
    </w:p>
    <w:p w:rsidR="00DE39E0" w:rsidRPr="00536C26" w:rsidRDefault="00DE39E0" w:rsidP="00CE5DA5">
      <w:pPr>
        <w:pBdr>
          <w:top w:val="single" w:sz="4" w:space="4" w:color="auto"/>
          <w:left w:val="single" w:sz="4" w:space="4" w:color="auto"/>
          <w:bottom w:val="single" w:sz="4" w:space="4" w:color="auto"/>
          <w:right w:val="single" w:sz="4" w:space="4" w:color="auto"/>
        </w:pBdr>
      </w:pPr>
      <w:r w:rsidRPr="00536C26">
        <w:t>As the Common Reporting Standard is still to become New Zealand law, the details</w:t>
      </w:r>
      <w:r w:rsidR="000763E4">
        <w:t xml:space="preserve"> in this fact sheet</w:t>
      </w:r>
      <w:r w:rsidRPr="00536C26">
        <w:t xml:space="preserve"> are subject to change through the parliamentary process and should be read in that context.</w:t>
      </w:r>
    </w:p>
    <w:p w:rsidR="00536C26" w:rsidRDefault="00536C26" w:rsidP="00536C26"/>
    <w:p w:rsidR="00CE5DA5" w:rsidRDefault="00CE5DA5" w:rsidP="00536C26"/>
    <w:p w:rsidR="00181CF4" w:rsidRPr="00536C26" w:rsidRDefault="005313CC" w:rsidP="00CF4A6F">
      <w:pPr>
        <w:pStyle w:val="Heading1"/>
      </w:pPr>
      <w:r>
        <w:t xml:space="preserve">1.  </w:t>
      </w:r>
      <w:r w:rsidR="00643756" w:rsidRPr="00536C26">
        <w:t>The reporting</w:t>
      </w:r>
      <w:r w:rsidR="00181CF4" w:rsidRPr="00536C26">
        <w:t xml:space="preserve"> </w:t>
      </w:r>
      <w:r w:rsidR="00EA1BCC" w:rsidRPr="00536C26">
        <w:t>p</w:t>
      </w:r>
      <w:r w:rsidR="00181CF4" w:rsidRPr="00536C26">
        <w:t>eriod</w:t>
      </w:r>
    </w:p>
    <w:p w:rsidR="00536C26" w:rsidRDefault="00536C26" w:rsidP="00536C26"/>
    <w:p w:rsidR="00AC005F" w:rsidRDefault="00AC005F" w:rsidP="00536C26">
      <w:r w:rsidRPr="00536C26">
        <w:t xml:space="preserve">It is </w:t>
      </w:r>
      <w:r w:rsidR="00525A43" w:rsidRPr="00536C26">
        <w:t>proposed that financial institutions will report financial information for eligible accounts to Inland Revenue on a tax year basis</w:t>
      </w:r>
      <w:r w:rsidRPr="00536C26">
        <w:t xml:space="preserve"> as follows:</w:t>
      </w:r>
    </w:p>
    <w:p w:rsidR="00CE5DA5" w:rsidRPr="00536C26" w:rsidRDefault="00CE5DA5" w:rsidP="00536C26"/>
    <w:p w:rsidR="00AC005F" w:rsidRPr="00536C26" w:rsidRDefault="00525A43" w:rsidP="00CE5DA5">
      <w:pPr>
        <w:pStyle w:val="List-Bullet"/>
      </w:pPr>
      <w:r w:rsidRPr="00536C26">
        <w:t>The first reporting period in N</w:t>
      </w:r>
      <w:r w:rsidR="00AC005F" w:rsidRPr="00536C26">
        <w:t xml:space="preserve">ew </w:t>
      </w:r>
      <w:r w:rsidRPr="00536C26">
        <w:t>Z</w:t>
      </w:r>
      <w:r w:rsidR="00AC005F" w:rsidRPr="00536C26">
        <w:t>ealand</w:t>
      </w:r>
      <w:r w:rsidRPr="00536C26">
        <w:t xml:space="preserve"> is the part year 1 July 2017 </w:t>
      </w:r>
      <w:r w:rsidR="00AC005F" w:rsidRPr="00536C26">
        <w:t>to</w:t>
      </w:r>
      <w:r w:rsidR="00CE5DA5">
        <w:t xml:space="preserve"> 31 March 2018.</w:t>
      </w:r>
    </w:p>
    <w:p w:rsidR="00AC005F" w:rsidRPr="00536C26" w:rsidRDefault="00525A43" w:rsidP="00CE5DA5">
      <w:pPr>
        <w:pStyle w:val="List-Bullet"/>
      </w:pPr>
      <w:r w:rsidRPr="00536C26">
        <w:t>Subsequent AEOI reporting periods will cover full tax years from 1 April to 31 March</w:t>
      </w:r>
      <w:r w:rsidR="00CE5DA5">
        <w:t>.</w:t>
      </w:r>
    </w:p>
    <w:p w:rsidR="00536C26" w:rsidRDefault="00AC005F" w:rsidP="00CE5DA5">
      <w:pPr>
        <w:pStyle w:val="List-Bullet"/>
      </w:pPr>
      <w:r w:rsidRPr="00536C26">
        <w:t>R</w:t>
      </w:r>
      <w:r w:rsidR="00525A43" w:rsidRPr="00536C26">
        <w:t>eporting</w:t>
      </w:r>
      <w:r w:rsidRPr="00536C26">
        <w:t xml:space="preserve"> </w:t>
      </w:r>
      <w:r w:rsidR="00525A43" w:rsidRPr="00536C26">
        <w:t>N</w:t>
      </w:r>
      <w:r w:rsidRPr="00536C26">
        <w:t xml:space="preserve">ew </w:t>
      </w:r>
      <w:r w:rsidR="00525A43" w:rsidRPr="00536C26">
        <w:t>Z</w:t>
      </w:r>
      <w:r w:rsidRPr="00536C26">
        <w:t>ealand</w:t>
      </w:r>
      <w:r w:rsidR="00525A43" w:rsidRPr="00536C26">
        <w:t xml:space="preserve"> financial institutions </w:t>
      </w:r>
      <w:r w:rsidRPr="00536C26">
        <w:t>will be required to report</w:t>
      </w:r>
      <w:r w:rsidR="00525A43" w:rsidRPr="00536C26">
        <w:t xml:space="preserve"> to Inland Revenue by 30 June after the end of the tax year.</w:t>
      </w:r>
    </w:p>
    <w:p w:rsidR="00A76692" w:rsidRPr="00536C26" w:rsidRDefault="00D60FE1" w:rsidP="00CE5DA5">
      <w:pPr>
        <w:pStyle w:val="List-Bullet"/>
        <w:spacing w:after="0"/>
      </w:pPr>
      <w:r w:rsidRPr="00536C26">
        <w:t xml:space="preserve">Reporting on a tax year basis </w:t>
      </w:r>
      <w:r w:rsidR="00487397" w:rsidRPr="00536C26">
        <w:t xml:space="preserve">aligns with </w:t>
      </w:r>
      <w:r w:rsidR="00A85141" w:rsidRPr="00536C26">
        <w:t xml:space="preserve">the annual </w:t>
      </w:r>
      <w:r w:rsidR="00AC005F" w:rsidRPr="00536C26">
        <w:t>Foreign Account Tax Compliance Act (</w:t>
      </w:r>
      <w:r w:rsidR="00487397" w:rsidRPr="00536C26">
        <w:t>FATCA</w:t>
      </w:r>
      <w:r w:rsidR="00AC005F" w:rsidRPr="00536C26">
        <w:t>)</w:t>
      </w:r>
      <w:r w:rsidR="00487397" w:rsidRPr="00536C26">
        <w:t xml:space="preserve"> </w:t>
      </w:r>
      <w:r w:rsidR="00002079" w:rsidRPr="00536C26">
        <w:t>r</w:t>
      </w:r>
      <w:r w:rsidR="00487397" w:rsidRPr="00536C26">
        <w:t>eporting date</w:t>
      </w:r>
      <w:r w:rsidR="00002079" w:rsidRPr="00536C26">
        <w:t>,</w:t>
      </w:r>
      <w:r w:rsidR="00487397" w:rsidRPr="00536C26">
        <w:t xml:space="preserve"> and allows </w:t>
      </w:r>
      <w:r w:rsidR="00A85141" w:rsidRPr="00536C26">
        <w:t xml:space="preserve">reporting </w:t>
      </w:r>
      <w:r w:rsidR="00525A43" w:rsidRPr="00536C26">
        <w:t xml:space="preserve">financial </w:t>
      </w:r>
      <w:r w:rsidR="006A1097" w:rsidRPr="00536C26">
        <w:t>institutions three</w:t>
      </w:r>
      <w:r w:rsidR="00487397" w:rsidRPr="00536C26">
        <w:t xml:space="preserve"> months to prepare data for the </w:t>
      </w:r>
      <w:r w:rsidR="00002079" w:rsidRPr="00536C26">
        <w:t xml:space="preserve">reporting </w:t>
      </w:r>
      <w:r w:rsidR="00487397" w:rsidRPr="00536C26">
        <w:t xml:space="preserve">deadline to </w:t>
      </w:r>
      <w:r w:rsidR="00EA31C4" w:rsidRPr="00536C26">
        <w:t>Inland Revenue</w:t>
      </w:r>
      <w:r w:rsidR="00487397" w:rsidRPr="00536C26">
        <w:t xml:space="preserve"> </w:t>
      </w:r>
      <w:r w:rsidR="0050338F" w:rsidRPr="00536C26">
        <w:t xml:space="preserve">of </w:t>
      </w:r>
      <w:r w:rsidR="00487397" w:rsidRPr="00536C26">
        <w:t>30 June</w:t>
      </w:r>
      <w:r w:rsidR="00A85141" w:rsidRPr="00536C26">
        <w:t xml:space="preserve"> each year</w:t>
      </w:r>
      <w:r w:rsidR="00487397" w:rsidRPr="00536C26">
        <w:t>.</w:t>
      </w:r>
    </w:p>
    <w:p w:rsidR="00536C26" w:rsidRDefault="00536C26" w:rsidP="00536C26"/>
    <w:p w:rsidR="00CE5DA5" w:rsidRDefault="00CE5DA5" w:rsidP="00536C26"/>
    <w:p w:rsidR="00487397" w:rsidRDefault="005313CC" w:rsidP="00CF4A6F">
      <w:pPr>
        <w:pStyle w:val="Heading1"/>
      </w:pPr>
      <w:r>
        <w:t xml:space="preserve">2.  </w:t>
      </w:r>
      <w:r w:rsidR="00F670FE" w:rsidRPr="00536C26">
        <w:t xml:space="preserve">The </w:t>
      </w:r>
      <w:r w:rsidR="00F436AE" w:rsidRPr="00536C26">
        <w:t>“</w:t>
      </w:r>
      <w:r w:rsidR="00F670FE" w:rsidRPr="00536C26">
        <w:t>w</w:t>
      </w:r>
      <w:r w:rsidR="00487397" w:rsidRPr="00536C26">
        <w:t xml:space="preserve">ider </w:t>
      </w:r>
      <w:r w:rsidR="00EA1BCC" w:rsidRPr="00536C26">
        <w:t>a</w:t>
      </w:r>
      <w:r w:rsidR="00487397" w:rsidRPr="00536C26">
        <w:t>pproach</w:t>
      </w:r>
      <w:r w:rsidR="00F436AE" w:rsidRPr="00536C26">
        <w:t>”</w:t>
      </w:r>
    </w:p>
    <w:p w:rsidR="00536C26" w:rsidRPr="00536C26" w:rsidRDefault="00536C26" w:rsidP="00536C26"/>
    <w:p w:rsidR="00966933" w:rsidRPr="00536C26" w:rsidRDefault="00966933" w:rsidP="00536C26">
      <w:r w:rsidRPr="00536C26">
        <w:t>The CRS procedures are designed to ensure that residents of reportable jurisdictions are identified and subject to reporting.</w:t>
      </w:r>
      <w:r w:rsidR="005313CC">
        <w:t xml:space="preserve"> </w:t>
      </w:r>
      <w:r w:rsidRPr="00536C26">
        <w:t xml:space="preserve"> (For New Zealand, reportable jurisdictions are broadly those that New Zealand has agreed to exchange informati</w:t>
      </w:r>
      <w:r w:rsidR="005313CC">
        <w:t xml:space="preserve">on with under this initiative.) </w:t>
      </w:r>
      <w:r w:rsidRPr="00536C26">
        <w:t xml:space="preserve"> However, the list of reportable jurisdictions will change over time, as additional jurisdictions join the initiative. </w:t>
      </w:r>
      <w:r w:rsidR="005313CC">
        <w:t xml:space="preserve"> </w:t>
      </w:r>
      <w:r w:rsidRPr="00536C26">
        <w:t>Strictly, this would require reporting financial institutions to monitor the list on an on-going basis and to update their due diligence and reporting procedures each time the list changes.</w:t>
      </w:r>
      <w:r w:rsidR="005313CC">
        <w:t xml:space="preserve"> </w:t>
      </w:r>
      <w:r w:rsidRPr="00536C26">
        <w:t xml:space="preserve"> Importantly, changes to the list could also result in reporting financial institutions being required to repeat due diligence in respect of some or all of their accounts.</w:t>
      </w:r>
      <w:r w:rsidR="005313CC">
        <w:t xml:space="preserve"> </w:t>
      </w:r>
      <w:r w:rsidRPr="00536C26">
        <w:t xml:space="preserve"> As a compliance cost reduction measure, the CRS therefore includes an optio</w:t>
      </w:r>
      <w:r w:rsidR="00F436AE" w:rsidRPr="00536C26">
        <w:t>n for jurisdictions to adopt a “wider approach”</w:t>
      </w:r>
      <w:r w:rsidRPr="00536C26">
        <w:t>, either solely in respect of due diligence or in respect of both due diligence and reporting.</w:t>
      </w:r>
    </w:p>
    <w:p w:rsidR="00536C26" w:rsidRDefault="00536C26" w:rsidP="00536C26"/>
    <w:p w:rsidR="005313CC" w:rsidRDefault="005313CC">
      <w:pPr>
        <w:spacing w:after="200" w:line="276" w:lineRule="auto"/>
        <w:rPr>
          <w:b/>
          <w:i/>
        </w:rPr>
      </w:pPr>
      <w:r>
        <w:br w:type="page"/>
      </w:r>
    </w:p>
    <w:p w:rsidR="00966933" w:rsidRPr="00096503" w:rsidRDefault="00CF4A6F" w:rsidP="00096503">
      <w:pPr>
        <w:pStyle w:val="Heading2"/>
      </w:pPr>
      <w:r>
        <w:lastRenderedPageBreak/>
        <w:t>Due diligence</w:t>
      </w:r>
    </w:p>
    <w:p w:rsidR="00536C26" w:rsidRDefault="00536C26" w:rsidP="00536C26"/>
    <w:p w:rsidR="00966933" w:rsidRPr="00536C26" w:rsidRDefault="00966933" w:rsidP="00536C26">
      <w:r w:rsidRPr="00536C26">
        <w:t xml:space="preserve">Under the wider approach to due diligence, reporting financial institutions would identify </w:t>
      </w:r>
      <w:r w:rsidRPr="00CE5DA5">
        <w:rPr>
          <w:b/>
        </w:rPr>
        <w:t>all</w:t>
      </w:r>
      <w:r w:rsidRPr="00536C26">
        <w:t xml:space="preserve"> non-resident account holders (and controlling persons of passive non-financial entities), rather than just those of reportable jurisdictions.</w:t>
      </w:r>
      <w:r w:rsidR="005313CC">
        <w:t xml:space="preserve"> </w:t>
      </w:r>
      <w:r w:rsidRPr="00536C26">
        <w:t xml:space="preserve"> It is proposed that this approach be adopted, and that it be mandatory for all reporting financial institutions.</w:t>
      </w:r>
    </w:p>
    <w:p w:rsidR="00536C26" w:rsidRDefault="00536C26" w:rsidP="00536C26"/>
    <w:p w:rsidR="00966933" w:rsidRPr="00536C26" w:rsidRDefault="00CE5DA5" w:rsidP="00096503">
      <w:pPr>
        <w:pStyle w:val="Heading2"/>
      </w:pPr>
      <w:r>
        <w:t>Reporting</w:t>
      </w:r>
    </w:p>
    <w:p w:rsidR="00536C26" w:rsidRDefault="00536C26" w:rsidP="00536C26"/>
    <w:p w:rsidR="00966933" w:rsidRPr="00536C26" w:rsidRDefault="00966933" w:rsidP="00536C26">
      <w:r w:rsidRPr="00536C26">
        <w:t xml:space="preserve">Under the wider approach to reporting financial institutions report any non-resident account holder or controlling person identified as being </w:t>
      </w:r>
      <w:r w:rsidRPr="00DC22B6">
        <w:rPr>
          <w:b/>
        </w:rPr>
        <w:t>non-resident</w:t>
      </w:r>
      <w:r w:rsidRPr="00536C26">
        <w:t xml:space="preserve">, irrespective of whether those persons are from reportable jurisdictions. </w:t>
      </w:r>
      <w:r w:rsidR="005313CC">
        <w:t xml:space="preserve"> </w:t>
      </w:r>
      <w:r w:rsidRPr="00536C26">
        <w:t xml:space="preserve">Inland Revenue would then filter the reported data and exchange the “reportable jurisdiction” information with the relevant jurisdictions. </w:t>
      </w:r>
      <w:r w:rsidR="005313CC">
        <w:t xml:space="preserve"> </w:t>
      </w:r>
      <w:r w:rsidRPr="00536C26">
        <w:t xml:space="preserve">It is proposed that this approach be adopted, but that it </w:t>
      </w:r>
      <w:proofErr w:type="gramStart"/>
      <w:r w:rsidRPr="00536C26">
        <w:t>be</w:t>
      </w:r>
      <w:proofErr w:type="gramEnd"/>
      <w:r w:rsidRPr="00536C26">
        <w:t xml:space="preserve"> optional for re</w:t>
      </w:r>
      <w:r w:rsidR="005313CC">
        <w:t xml:space="preserve">porting financial institutions. </w:t>
      </w:r>
      <w:r w:rsidRPr="00536C26">
        <w:t xml:space="preserve"> (That is, financial institutions that wish to filter the data themselves could do so.)</w:t>
      </w:r>
    </w:p>
    <w:p w:rsidR="00536C26" w:rsidRDefault="00536C26" w:rsidP="00536C26"/>
    <w:p w:rsidR="00CE5DA5" w:rsidRDefault="00CE5DA5" w:rsidP="00536C26"/>
    <w:p w:rsidR="00487397" w:rsidRPr="00536C26" w:rsidRDefault="005313CC" w:rsidP="00CF4A6F">
      <w:pPr>
        <w:pStyle w:val="Heading1"/>
      </w:pPr>
      <w:r>
        <w:t xml:space="preserve">3.  </w:t>
      </w:r>
      <w:r w:rsidR="00527AAC" w:rsidRPr="00536C26">
        <w:t>Timeframe for re</w:t>
      </w:r>
      <w:r w:rsidR="00487397" w:rsidRPr="00536C26">
        <w:t xml:space="preserve">view of </w:t>
      </w:r>
      <w:r w:rsidR="00A52041" w:rsidRPr="00536C26">
        <w:t xml:space="preserve">pre-existing </w:t>
      </w:r>
      <w:r w:rsidR="00487397" w:rsidRPr="00536C26">
        <w:t xml:space="preserve">individual </w:t>
      </w:r>
      <w:r w:rsidR="00AE39A7" w:rsidRPr="00536C26">
        <w:t xml:space="preserve">and entity </w:t>
      </w:r>
      <w:r w:rsidR="00487397" w:rsidRPr="00536C26">
        <w:t>accounts</w:t>
      </w:r>
    </w:p>
    <w:p w:rsidR="00536C26" w:rsidRDefault="00536C26" w:rsidP="00536C26"/>
    <w:p w:rsidR="00AE39A7" w:rsidRPr="00536C26" w:rsidRDefault="00A52041" w:rsidP="00096503">
      <w:pPr>
        <w:pStyle w:val="Heading2"/>
      </w:pPr>
      <w:r w:rsidRPr="00536C26">
        <w:t xml:space="preserve">Pre-existing high value </w:t>
      </w:r>
      <w:r w:rsidR="00AE39A7" w:rsidRPr="00536C26">
        <w:t>individual accounts</w:t>
      </w:r>
    </w:p>
    <w:p w:rsidR="00536C26" w:rsidRDefault="00536C26" w:rsidP="00536C26"/>
    <w:p w:rsidR="00D17E5A" w:rsidRDefault="00321880" w:rsidP="00536C26">
      <w:r w:rsidRPr="00536C26">
        <w:t xml:space="preserve">It is </w:t>
      </w:r>
      <w:r w:rsidR="002F145B" w:rsidRPr="00536C26">
        <w:t>proposed</w:t>
      </w:r>
      <w:r w:rsidR="00A52041" w:rsidRPr="00536C26">
        <w:t xml:space="preserve"> that all </w:t>
      </w:r>
      <w:r w:rsidR="00D17E5A" w:rsidRPr="00536C26">
        <w:t>high value pre-existing individual accounts</w:t>
      </w:r>
      <w:r w:rsidR="00A52041" w:rsidRPr="00536C26">
        <w:t xml:space="preserve"> will</w:t>
      </w:r>
      <w:r w:rsidR="007D26BD" w:rsidRPr="00536C26">
        <w:t xml:space="preserve"> need to be reviewed</w:t>
      </w:r>
      <w:r w:rsidR="00C400F8" w:rsidRPr="00536C26">
        <w:t xml:space="preserve"> </w:t>
      </w:r>
      <w:r w:rsidR="00A52041" w:rsidRPr="00536C26">
        <w:t xml:space="preserve">in the first </w:t>
      </w:r>
      <w:r w:rsidR="007D26BD" w:rsidRPr="00536C26">
        <w:t xml:space="preserve">reporting </w:t>
      </w:r>
      <w:r w:rsidR="00F624AD" w:rsidRPr="00536C26">
        <w:t>period (</w:t>
      </w:r>
      <w:r w:rsidR="00D17E5A" w:rsidRPr="00536C26">
        <w:t>i</w:t>
      </w:r>
      <w:r w:rsidR="005313CC">
        <w:t>.</w:t>
      </w:r>
      <w:r w:rsidR="00D17E5A" w:rsidRPr="00536C26">
        <w:t>e</w:t>
      </w:r>
      <w:r w:rsidR="005313CC">
        <w:t>.</w:t>
      </w:r>
      <w:r w:rsidR="00D17E5A" w:rsidRPr="00536C26">
        <w:t xml:space="preserve"> 1 July 2017</w:t>
      </w:r>
      <w:r w:rsidR="009A1A35" w:rsidRPr="00536C26">
        <w:t xml:space="preserve"> to </w:t>
      </w:r>
      <w:r w:rsidR="00D17E5A" w:rsidRPr="00536C26">
        <w:t xml:space="preserve">31 March 2018). </w:t>
      </w:r>
      <w:r w:rsidR="005313CC">
        <w:t xml:space="preserve"> </w:t>
      </w:r>
      <w:r w:rsidR="00D17E5A" w:rsidRPr="00536C26">
        <w:t xml:space="preserve">However, </w:t>
      </w:r>
      <w:r w:rsidR="009A1A35" w:rsidRPr="00536C26">
        <w:t xml:space="preserve">reporting </w:t>
      </w:r>
      <w:r w:rsidR="00013177" w:rsidRPr="00536C26">
        <w:t>financial institutions</w:t>
      </w:r>
      <w:r w:rsidR="00D17E5A" w:rsidRPr="00536C26">
        <w:t xml:space="preserve"> will in effect have a </w:t>
      </w:r>
      <w:r w:rsidR="005548B3" w:rsidRPr="00536C26">
        <w:t xml:space="preserve">3 </w:t>
      </w:r>
      <w:r w:rsidR="00D17E5A" w:rsidRPr="00536C26">
        <w:t xml:space="preserve">month grace period as they </w:t>
      </w:r>
      <w:r w:rsidR="009A1A35" w:rsidRPr="00536C26">
        <w:t xml:space="preserve">may </w:t>
      </w:r>
      <w:r w:rsidR="00D17E5A" w:rsidRPr="00536C26">
        <w:t xml:space="preserve">continue conducting due diligence up until 30 June 2018 (the </w:t>
      </w:r>
      <w:r w:rsidR="009A1A35" w:rsidRPr="00536C26">
        <w:t xml:space="preserve">deadline </w:t>
      </w:r>
      <w:r w:rsidR="00D17E5A" w:rsidRPr="00536C26">
        <w:t xml:space="preserve">date </w:t>
      </w:r>
      <w:r w:rsidR="009A1A35" w:rsidRPr="00536C26">
        <w:t xml:space="preserve">for </w:t>
      </w:r>
      <w:r w:rsidR="00D17E5A" w:rsidRPr="00536C26">
        <w:t>reporting).</w:t>
      </w:r>
    </w:p>
    <w:p w:rsidR="00536C26" w:rsidRPr="00536C26" w:rsidRDefault="00536C26" w:rsidP="00536C26"/>
    <w:p w:rsidR="00D17E5A" w:rsidRPr="00536C26" w:rsidRDefault="008A2922" w:rsidP="00536C26">
      <w:r w:rsidRPr="00536C26">
        <w:t xml:space="preserve">However, </w:t>
      </w:r>
      <w:r w:rsidR="00D17E5A" w:rsidRPr="00536C26">
        <w:t xml:space="preserve">if a </w:t>
      </w:r>
      <w:r w:rsidR="007D26BD" w:rsidRPr="00536C26">
        <w:t xml:space="preserve">reporting </w:t>
      </w:r>
      <w:r w:rsidR="00013177" w:rsidRPr="00536C26">
        <w:t>financial institution</w:t>
      </w:r>
      <w:r w:rsidR="007D26BD" w:rsidRPr="00536C26">
        <w:t xml:space="preserve"> identifies a </w:t>
      </w:r>
      <w:r w:rsidR="00D17E5A" w:rsidRPr="00536C26">
        <w:t>reportable account during the 3</w:t>
      </w:r>
      <w:r w:rsidR="005313CC">
        <w:t> </w:t>
      </w:r>
      <w:r w:rsidR="00D17E5A" w:rsidRPr="00536C26">
        <w:t xml:space="preserve">month </w:t>
      </w:r>
      <w:r w:rsidR="00DF21C9" w:rsidRPr="00536C26">
        <w:t xml:space="preserve">grace </w:t>
      </w:r>
      <w:r w:rsidR="00D17E5A" w:rsidRPr="00536C26">
        <w:t xml:space="preserve">period </w:t>
      </w:r>
      <w:r w:rsidR="002F145B" w:rsidRPr="00536C26">
        <w:t>of</w:t>
      </w:r>
      <w:r w:rsidR="00D17E5A" w:rsidRPr="00536C26">
        <w:t xml:space="preserve"> 1 April</w:t>
      </w:r>
      <w:r w:rsidRPr="00536C26">
        <w:t xml:space="preserve"> 2018 to </w:t>
      </w:r>
      <w:r w:rsidR="00D17E5A" w:rsidRPr="00536C26">
        <w:t xml:space="preserve">30 June 2018, it will need to </w:t>
      </w:r>
      <w:r w:rsidR="007D26BD" w:rsidRPr="00536C26">
        <w:t xml:space="preserve">report this account </w:t>
      </w:r>
      <w:r w:rsidR="00D17E5A" w:rsidRPr="00536C26">
        <w:t>by 30 June 2018 for the first reporting period ending 31 March 2018.</w:t>
      </w:r>
    </w:p>
    <w:p w:rsidR="00536C26" w:rsidRDefault="00536C26" w:rsidP="00536C26"/>
    <w:p w:rsidR="00E228E8" w:rsidRPr="00536C26" w:rsidRDefault="00AE39A7" w:rsidP="00096503">
      <w:pPr>
        <w:pStyle w:val="Heading2"/>
      </w:pPr>
      <w:r w:rsidRPr="00536C26">
        <w:t>P</w:t>
      </w:r>
      <w:r w:rsidR="00E228E8" w:rsidRPr="00536C26">
        <w:t>re-existing entity accounts</w:t>
      </w:r>
      <w:r w:rsidR="00087D2D" w:rsidRPr="00536C26">
        <w:t xml:space="preserve"> and low</w:t>
      </w:r>
      <w:r w:rsidR="00A52041" w:rsidRPr="00536C26">
        <w:t>er</w:t>
      </w:r>
      <w:r w:rsidR="00087D2D" w:rsidRPr="00536C26">
        <w:t xml:space="preserve"> value individual accounts</w:t>
      </w:r>
    </w:p>
    <w:p w:rsidR="009A75EE" w:rsidRDefault="009A75EE" w:rsidP="00536C26"/>
    <w:p w:rsidR="007D26BD" w:rsidRDefault="007D26BD" w:rsidP="00536C26">
      <w:r w:rsidRPr="00536C26">
        <w:t>The proposed approach is that all pre-existing entity accounts and lower value individual accounts will need to be reviewed by the end of the second reporting period (31 March 20</w:t>
      </w:r>
      <w:r w:rsidR="00F436AE" w:rsidRPr="00536C26">
        <w:t>1</w:t>
      </w:r>
      <w:r w:rsidRPr="00536C26">
        <w:t xml:space="preserve">9). </w:t>
      </w:r>
      <w:r w:rsidR="005313CC">
        <w:t xml:space="preserve"> </w:t>
      </w:r>
      <w:r w:rsidRPr="00536C26">
        <w:t xml:space="preserve">However, reporting </w:t>
      </w:r>
      <w:r w:rsidR="00A53077" w:rsidRPr="00536C26">
        <w:t>financial institutions</w:t>
      </w:r>
      <w:r w:rsidRPr="00536C26">
        <w:t xml:space="preserve"> will in effect have a </w:t>
      </w:r>
      <w:r w:rsidR="005548B3" w:rsidRPr="00536C26">
        <w:t xml:space="preserve">3 </w:t>
      </w:r>
      <w:r w:rsidRPr="00536C26">
        <w:t>month grace period as they may continue conducting due diligence up until 30 June 2019 (the deadline date for reporting).</w:t>
      </w:r>
    </w:p>
    <w:p w:rsidR="00096503" w:rsidRPr="00536C26" w:rsidRDefault="00096503" w:rsidP="00536C26"/>
    <w:p w:rsidR="00D17E5A" w:rsidRDefault="00775EFE" w:rsidP="00536C26">
      <w:r w:rsidRPr="00536C26">
        <w:t xml:space="preserve">However, </w:t>
      </w:r>
      <w:r w:rsidR="00D17E5A" w:rsidRPr="00536C26">
        <w:t xml:space="preserve">if a reportable account is identified during the 3 month </w:t>
      </w:r>
      <w:r w:rsidR="00142313" w:rsidRPr="00536C26">
        <w:t xml:space="preserve">grace </w:t>
      </w:r>
      <w:r w:rsidR="00D17E5A" w:rsidRPr="00536C26">
        <w:t xml:space="preserve">period </w:t>
      </w:r>
      <w:r w:rsidR="002F145B" w:rsidRPr="00536C26">
        <w:t>of</w:t>
      </w:r>
      <w:r w:rsidR="00D17E5A" w:rsidRPr="00536C26">
        <w:t xml:space="preserve"> 1</w:t>
      </w:r>
      <w:r w:rsidR="00DC22B6">
        <w:t> </w:t>
      </w:r>
      <w:r w:rsidR="00D17E5A" w:rsidRPr="00536C26">
        <w:t>April</w:t>
      </w:r>
      <w:r w:rsidR="00DC22B6">
        <w:t> </w:t>
      </w:r>
      <w:r w:rsidR="00142313" w:rsidRPr="00536C26">
        <w:t xml:space="preserve">2019 to </w:t>
      </w:r>
      <w:r w:rsidR="00D17E5A" w:rsidRPr="00536C26">
        <w:t xml:space="preserve">30 June 2019, it will need to be reported by 30 June 2019 for the reporting period </w:t>
      </w:r>
      <w:r w:rsidR="00E65F60" w:rsidRPr="00536C26">
        <w:t xml:space="preserve">ending </w:t>
      </w:r>
      <w:r w:rsidR="00D17E5A" w:rsidRPr="00536C26">
        <w:t>31 March 2019</w:t>
      </w:r>
      <w:r w:rsidR="00E65F60" w:rsidRPr="00536C26">
        <w:t>.</w:t>
      </w:r>
    </w:p>
    <w:p w:rsidR="00096503" w:rsidRDefault="00096503" w:rsidP="00536C26"/>
    <w:p w:rsidR="00CE5DA5" w:rsidRPr="00536C26" w:rsidRDefault="00CE5DA5" w:rsidP="00536C26"/>
    <w:p w:rsidR="005313CC" w:rsidRDefault="005313CC">
      <w:pPr>
        <w:spacing w:after="200" w:line="276" w:lineRule="auto"/>
        <w:rPr>
          <w:rFonts w:ascii="Times Roman" w:eastAsiaTheme="majorEastAsia" w:hAnsi="Times Roman" w:cstheme="majorBidi"/>
          <w:b/>
          <w:bCs/>
          <w:szCs w:val="28"/>
        </w:rPr>
      </w:pPr>
      <w:r>
        <w:br w:type="page"/>
      </w:r>
    </w:p>
    <w:p w:rsidR="00D17E5A" w:rsidRDefault="005313CC" w:rsidP="00CF4A6F">
      <w:pPr>
        <w:pStyle w:val="Heading1"/>
      </w:pPr>
      <w:r>
        <w:t xml:space="preserve">4.  </w:t>
      </w:r>
      <w:r w:rsidR="0094210B" w:rsidRPr="00536C26">
        <w:t>E</w:t>
      </w:r>
      <w:r w:rsidR="00616A8B" w:rsidRPr="00536C26">
        <w:t xml:space="preserve">xcluded </w:t>
      </w:r>
      <w:r w:rsidR="0094210B" w:rsidRPr="00536C26">
        <w:t xml:space="preserve">reporting entities and </w:t>
      </w:r>
      <w:r w:rsidR="00E228E8" w:rsidRPr="00536C26">
        <w:t>accounts</w:t>
      </w:r>
    </w:p>
    <w:p w:rsidR="00096503" w:rsidRPr="00536C26" w:rsidRDefault="00096503" w:rsidP="00536C26"/>
    <w:p w:rsidR="00692CD2" w:rsidRDefault="005548B3" w:rsidP="00536C26">
      <w:r w:rsidRPr="00536C26">
        <w:t xml:space="preserve">It is </w:t>
      </w:r>
      <w:r w:rsidR="00692CD2" w:rsidRPr="00536C26">
        <w:t xml:space="preserve">proposed that </w:t>
      </w:r>
      <w:r w:rsidR="00EA31C4" w:rsidRPr="00536C26">
        <w:t>Inland Revenue</w:t>
      </w:r>
      <w:r w:rsidR="00692CD2" w:rsidRPr="00536C26">
        <w:t xml:space="preserve"> will determine </w:t>
      </w:r>
      <w:r w:rsidRPr="00536C26">
        <w:t xml:space="preserve">which </w:t>
      </w:r>
      <w:r w:rsidR="00692CD2" w:rsidRPr="00536C26">
        <w:t xml:space="preserve">entities and accounts </w:t>
      </w:r>
      <w:r w:rsidR="00C46814" w:rsidRPr="00536C26">
        <w:t xml:space="preserve">will be excluded from </w:t>
      </w:r>
      <w:r w:rsidR="00692CD2" w:rsidRPr="00536C26">
        <w:t>CRS</w:t>
      </w:r>
      <w:r w:rsidR="00C46814" w:rsidRPr="00536C26">
        <w:t xml:space="preserve"> due diligence and reporting obligations</w:t>
      </w:r>
      <w:r w:rsidR="00692CD2" w:rsidRPr="00536C26">
        <w:t>.</w:t>
      </w:r>
    </w:p>
    <w:p w:rsidR="00096503" w:rsidRPr="00536C26" w:rsidRDefault="00096503" w:rsidP="00536C26"/>
    <w:p w:rsidR="00692CD2" w:rsidRDefault="00EA31C4" w:rsidP="00536C26">
      <w:r w:rsidRPr="00536C26">
        <w:t>Inland Revenue</w:t>
      </w:r>
      <w:r w:rsidR="00692CD2" w:rsidRPr="00536C26">
        <w:t xml:space="preserve"> will invit</w:t>
      </w:r>
      <w:r w:rsidR="005548B3" w:rsidRPr="00536C26">
        <w:t>e</w:t>
      </w:r>
      <w:r w:rsidR="00692CD2" w:rsidRPr="00536C26">
        <w:t xml:space="preserve"> submissions on </w:t>
      </w:r>
      <w:r w:rsidR="008523B3" w:rsidRPr="00536C26">
        <w:t xml:space="preserve">excluded </w:t>
      </w:r>
      <w:r w:rsidR="00692CD2" w:rsidRPr="00536C26">
        <w:t xml:space="preserve">entities and accounts before the end of 2016. </w:t>
      </w:r>
      <w:r w:rsidR="005313CC">
        <w:t xml:space="preserve"> </w:t>
      </w:r>
      <w:r w:rsidR="00692CD2" w:rsidRPr="00536C26">
        <w:t>Submissions will be considered in terms of the specific requirements set out in the CRS.</w:t>
      </w:r>
      <w:r w:rsidR="007D26BD" w:rsidRPr="00536C26">
        <w:t xml:space="preserve"> </w:t>
      </w:r>
      <w:r w:rsidR="005313CC">
        <w:t xml:space="preserve"> </w:t>
      </w:r>
      <w:r w:rsidR="007D26BD" w:rsidRPr="00536C26">
        <w:t xml:space="preserve">The initial list of </w:t>
      </w:r>
      <w:r w:rsidR="007B1DE9" w:rsidRPr="00536C26">
        <w:t xml:space="preserve">excluded </w:t>
      </w:r>
      <w:r w:rsidR="007D26BD" w:rsidRPr="00536C26">
        <w:t xml:space="preserve">entities and accounts </w:t>
      </w:r>
      <w:r w:rsidR="00F436AE" w:rsidRPr="00536C26">
        <w:t>will</w:t>
      </w:r>
      <w:r w:rsidR="007D26BD" w:rsidRPr="00536C26">
        <w:t xml:space="preserve"> be determined by early</w:t>
      </w:r>
      <w:r w:rsidR="00332C80" w:rsidRPr="00536C26">
        <w:t xml:space="preserve"> to </w:t>
      </w:r>
      <w:r w:rsidR="007D26BD" w:rsidRPr="00536C26">
        <w:t>mid</w:t>
      </w:r>
      <w:r w:rsidR="00332C80" w:rsidRPr="00536C26">
        <w:t>-</w:t>
      </w:r>
      <w:r w:rsidR="007D26BD" w:rsidRPr="00536C26">
        <w:t>2017.</w:t>
      </w:r>
    </w:p>
    <w:p w:rsidR="00096503" w:rsidRDefault="00096503" w:rsidP="00536C26"/>
    <w:p w:rsidR="00CE5DA5" w:rsidRPr="00536C26" w:rsidRDefault="00CE5DA5" w:rsidP="00536C26"/>
    <w:p w:rsidR="001837F8" w:rsidRDefault="005313CC" w:rsidP="00CF4A6F">
      <w:pPr>
        <w:pStyle w:val="Heading1"/>
      </w:pPr>
      <w:r>
        <w:t xml:space="preserve">5.  </w:t>
      </w:r>
      <w:r w:rsidR="001837F8" w:rsidRPr="00536C26">
        <w:t>Reportable jurisdictions</w:t>
      </w:r>
    </w:p>
    <w:p w:rsidR="00096503" w:rsidRPr="00536C26" w:rsidRDefault="00096503" w:rsidP="00536C26"/>
    <w:p w:rsidR="00846723" w:rsidRDefault="005548B3" w:rsidP="00536C26">
      <w:r w:rsidRPr="00536C26">
        <w:t xml:space="preserve">It is </w:t>
      </w:r>
      <w:r w:rsidR="00E775CB" w:rsidRPr="00536C26">
        <w:t xml:space="preserve">proposed </w:t>
      </w:r>
      <w:r w:rsidR="00923A7C" w:rsidRPr="00536C26">
        <w:t xml:space="preserve">to </w:t>
      </w:r>
      <w:r w:rsidR="00E775CB" w:rsidRPr="00536C26">
        <w:t xml:space="preserve">list </w:t>
      </w:r>
      <w:r w:rsidR="00923A7C" w:rsidRPr="00536C26">
        <w:t xml:space="preserve">New Zealand’s </w:t>
      </w:r>
      <w:r w:rsidR="00E775CB" w:rsidRPr="00536C26">
        <w:t xml:space="preserve">reportable jurisdictions by </w:t>
      </w:r>
      <w:r w:rsidR="00923A7C" w:rsidRPr="00536C26">
        <w:t>Order in Council</w:t>
      </w:r>
      <w:r w:rsidRPr="00536C26">
        <w:t xml:space="preserve">. </w:t>
      </w:r>
      <w:r w:rsidR="005313CC">
        <w:t xml:space="preserve"> </w:t>
      </w:r>
      <w:r w:rsidRPr="00536C26">
        <w:t>T</w:t>
      </w:r>
      <w:r w:rsidR="00E775CB" w:rsidRPr="00536C26">
        <w:t xml:space="preserve">he Commissioner of Inland Revenue </w:t>
      </w:r>
      <w:r w:rsidRPr="00536C26">
        <w:t xml:space="preserve">will have the ability </w:t>
      </w:r>
      <w:r w:rsidR="00E775CB" w:rsidRPr="00536C26">
        <w:t xml:space="preserve">to </w:t>
      </w:r>
      <w:r w:rsidR="00923A7C" w:rsidRPr="00536C26">
        <w:t xml:space="preserve">temporarily </w:t>
      </w:r>
      <w:r w:rsidR="00E775CB" w:rsidRPr="00536C26">
        <w:t xml:space="preserve">remove a jurisdiction </w:t>
      </w:r>
      <w:r w:rsidR="00923A7C" w:rsidRPr="00536C26">
        <w:t xml:space="preserve">from the </w:t>
      </w:r>
      <w:r w:rsidR="00E775CB" w:rsidRPr="00536C26">
        <w:t>list at short notice if necessary.</w:t>
      </w:r>
    </w:p>
    <w:p w:rsidR="00096503" w:rsidRPr="00536C26" w:rsidRDefault="00096503" w:rsidP="00536C26"/>
    <w:p w:rsidR="00CA6BED" w:rsidRDefault="00CA6BED" w:rsidP="00536C26">
      <w:r w:rsidRPr="00536C26">
        <w:t>The first step in this process is that Inland Revenue will consider each jurisdiction signed up to AEOI to determine whether they should be reportable.</w:t>
      </w:r>
      <w:r w:rsidR="005313CC">
        <w:t xml:space="preserve"> </w:t>
      </w:r>
      <w:r w:rsidRPr="00536C26">
        <w:t xml:space="preserve"> Inland Revenue will then call for submissions, likely by the end of </w:t>
      </w:r>
      <w:r w:rsidR="005548B3" w:rsidRPr="00536C26">
        <w:t>2016</w:t>
      </w:r>
      <w:r w:rsidRPr="00536C26">
        <w:t>.</w:t>
      </w:r>
      <w:r w:rsidR="002F145B" w:rsidRPr="00536C26">
        <w:t xml:space="preserve"> </w:t>
      </w:r>
      <w:r w:rsidR="005313CC">
        <w:t xml:space="preserve"> </w:t>
      </w:r>
      <w:r w:rsidR="002F145B" w:rsidRPr="00536C26">
        <w:t>The Order in C</w:t>
      </w:r>
      <w:r w:rsidR="005313CC">
        <w:t>ouncil will be made by early to</w:t>
      </w:r>
      <w:r w:rsidR="005313CC">
        <w:br/>
      </w:r>
      <w:r w:rsidR="002F145B" w:rsidRPr="00536C26">
        <w:t>mid-2017.</w:t>
      </w:r>
    </w:p>
    <w:p w:rsidR="00096503" w:rsidRDefault="00096503" w:rsidP="00536C26"/>
    <w:p w:rsidR="00CE5DA5" w:rsidRPr="00536C26" w:rsidRDefault="00CE5DA5" w:rsidP="00536C26"/>
    <w:p w:rsidR="001837F8" w:rsidRDefault="005313CC" w:rsidP="00CF4A6F">
      <w:pPr>
        <w:pStyle w:val="Heading1"/>
      </w:pPr>
      <w:r>
        <w:t xml:space="preserve">6.  </w:t>
      </w:r>
      <w:r w:rsidR="001837F8" w:rsidRPr="00536C26">
        <w:t>Enforcement</w:t>
      </w:r>
      <w:r w:rsidR="00BB4C63" w:rsidRPr="00536C26">
        <w:t xml:space="preserve"> and compliance</w:t>
      </w:r>
    </w:p>
    <w:p w:rsidR="00096503" w:rsidRPr="00536C26" w:rsidRDefault="00096503" w:rsidP="00536C26"/>
    <w:p w:rsidR="001837F8" w:rsidRDefault="00850CF3" w:rsidP="00096503">
      <w:pPr>
        <w:pStyle w:val="Heading2"/>
      </w:pPr>
      <w:r w:rsidRPr="00536C26">
        <w:t>T</w:t>
      </w:r>
      <w:r w:rsidR="001837F8" w:rsidRPr="00536C26">
        <w:t xml:space="preserve">ransition </w:t>
      </w:r>
      <w:r w:rsidR="00D66354" w:rsidRPr="00536C26">
        <w:t>period</w:t>
      </w:r>
    </w:p>
    <w:p w:rsidR="00096503" w:rsidRPr="00536C26" w:rsidRDefault="00096503" w:rsidP="00536C26"/>
    <w:p w:rsidR="001837F8" w:rsidRDefault="005548B3" w:rsidP="00536C26">
      <w:r w:rsidRPr="00536C26">
        <w:t xml:space="preserve">It is </w:t>
      </w:r>
      <w:r w:rsidR="005623B1" w:rsidRPr="00536C26">
        <w:t xml:space="preserve">proposed that there will be a transitional period applying until 31 March 2019, </w:t>
      </w:r>
      <w:r w:rsidR="007537DE" w:rsidRPr="00536C26">
        <w:t xml:space="preserve">during which </w:t>
      </w:r>
      <w:r w:rsidR="00A52041" w:rsidRPr="00536C26">
        <w:t xml:space="preserve">reporting </w:t>
      </w:r>
      <w:r w:rsidR="002425EF" w:rsidRPr="00536C26">
        <w:t>financial institutions</w:t>
      </w:r>
      <w:r w:rsidR="005623B1" w:rsidRPr="00536C26">
        <w:t xml:space="preserve"> will </w:t>
      </w:r>
      <w:r w:rsidR="007537DE" w:rsidRPr="00536C26">
        <w:t xml:space="preserve">generally </w:t>
      </w:r>
      <w:r w:rsidR="005623B1" w:rsidRPr="00536C26">
        <w:t xml:space="preserve">be able to </w:t>
      </w:r>
      <w:r w:rsidR="00B335BF" w:rsidRPr="00536C26">
        <w:t xml:space="preserve">rely on </w:t>
      </w:r>
      <w:r w:rsidR="001837F8" w:rsidRPr="00536C26">
        <w:t xml:space="preserve">a </w:t>
      </w:r>
      <w:r w:rsidR="00B335BF" w:rsidRPr="00536C26">
        <w:t>‘</w:t>
      </w:r>
      <w:r w:rsidR="001837F8" w:rsidRPr="00536C26">
        <w:t>reasonable endeavours</w:t>
      </w:r>
      <w:r w:rsidR="00B335BF" w:rsidRPr="00536C26">
        <w:t>’</w:t>
      </w:r>
      <w:r w:rsidR="001837F8" w:rsidRPr="00536C26">
        <w:t xml:space="preserve"> defence</w:t>
      </w:r>
      <w:r w:rsidR="007D26BD" w:rsidRPr="00536C26">
        <w:t xml:space="preserve"> to any non-compliance with their CRS obligations </w:t>
      </w:r>
      <w:r w:rsidR="007537DE" w:rsidRPr="00536C26">
        <w:t xml:space="preserve">– </w:t>
      </w:r>
      <w:r w:rsidR="001837F8" w:rsidRPr="00536C26">
        <w:t>similar to the FATCA two</w:t>
      </w:r>
      <w:r w:rsidR="005623B1" w:rsidRPr="00536C26">
        <w:t>-</w:t>
      </w:r>
      <w:r w:rsidR="001837F8" w:rsidRPr="00536C26">
        <w:t xml:space="preserve">year </w:t>
      </w:r>
      <w:r w:rsidR="005623B1" w:rsidRPr="00536C26">
        <w:t>‘</w:t>
      </w:r>
      <w:r w:rsidR="001837F8" w:rsidRPr="00536C26">
        <w:t>good faith</w:t>
      </w:r>
      <w:r w:rsidR="005623B1" w:rsidRPr="00536C26">
        <w:t>’</w:t>
      </w:r>
      <w:r w:rsidR="001837F8" w:rsidRPr="00536C26">
        <w:t xml:space="preserve"> </w:t>
      </w:r>
      <w:r w:rsidR="00B335BF" w:rsidRPr="00536C26">
        <w:t xml:space="preserve">transition period </w:t>
      </w:r>
      <w:r w:rsidR="001837F8" w:rsidRPr="00536C26">
        <w:t>precedent.</w:t>
      </w:r>
      <w:r w:rsidR="005313CC">
        <w:t xml:space="preserve"> </w:t>
      </w:r>
      <w:r w:rsidR="007D26BD" w:rsidRPr="00536C26">
        <w:t xml:space="preserve"> However, this will be subject to </w:t>
      </w:r>
      <w:r w:rsidR="00753448" w:rsidRPr="00536C26">
        <w:t xml:space="preserve">the reporting </w:t>
      </w:r>
      <w:r w:rsidR="002425EF" w:rsidRPr="00536C26">
        <w:t>financial institution</w:t>
      </w:r>
      <w:r w:rsidR="00753448" w:rsidRPr="00536C26">
        <w:t xml:space="preserve"> rectifying any </w:t>
      </w:r>
      <w:r w:rsidR="00300092" w:rsidRPr="00536C26">
        <w:t xml:space="preserve">identified </w:t>
      </w:r>
      <w:r w:rsidR="00753448" w:rsidRPr="00536C26">
        <w:t xml:space="preserve">errors </w:t>
      </w:r>
      <w:r w:rsidR="007D26BD" w:rsidRPr="00536C26">
        <w:t>within a reasonable period of time.</w:t>
      </w:r>
    </w:p>
    <w:p w:rsidR="00096503" w:rsidRPr="00536C26" w:rsidRDefault="00096503" w:rsidP="00536C26"/>
    <w:p w:rsidR="001837F8" w:rsidRDefault="00850CF3" w:rsidP="00096503">
      <w:pPr>
        <w:pStyle w:val="Heading2"/>
      </w:pPr>
      <w:r w:rsidRPr="00536C26">
        <w:t>P</w:t>
      </w:r>
      <w:r w:rsidR="001837F8" w:rsidRPr="00536C26">
        <w:t>enalties</w:t>
      </w:r>
    </w:p>
    <w:p w:rsidR="00096503" w:rsidRPr="00536C26" w:rsidRDefault="00096503" w:rsidP="00536C26"/>
    <w:p w:rsidR="007D26BD" w:rsidRDefault="005548B3" w:rsidP="00536C26">
      <w:r w:rsidRPr="00536C26">
        <w:t xml:space="preserve">It is </w:t>
      </w:r>
      <w:r w:rsidR="007D26BD" w:rsidRPr="00536C26">
        <w:t xml:space="preserve">proposed that penalties for non-compliance with CRS obligations will </w:t>
      </w:r>
      <w:r w:rsidR="00753448" w:rsidRPr="00536C26">
        <w:t xml:space="preserve">generally </w:t>
      </w:r>
      <w:r w:rsidR="007D26BD" w:rsidRPr="00536C26">
        <w:t>be civil in nature (as opposed to criminal for FATCA), apart from knowledge-based offences.</w:t>
      </w:r>
      <w:r w:rsidR="000D58A6" w:rsidRPr="00536C26">
        <w:t xml:space="preserve"> </w:t>
      </w:r>
      <w:r w:rsidR="005313CC">
        <w:t xml:space="preserve"> </w:t>
      </w:r>
      <w:r w:rsidR="000D58A6" w:rsidRPr="00536C26">
        <w:t xml:space="preserve">Given </w:t>
      </w:r>
      <w:r w:rsidR="00EF1367" w:rsidRPr="00536C26">
        <w:t xml:space="preserve">the </w:t>
      </w:r>
      <w:r w:rsidR="000D58A6" w:rsidRPr="00536C26">
        <w:t>importance of effective rules for ensuring compliance, strong sanctions are proposed for serious failure to comply.</w:t>
      </w:r>
    </w:p>
    <w:p w:rsidR="00096503" w:rsidRPr="00536C26" w:rsidRDefault="00096503" w:rsidP="00536C26"/>
    <w:p w:rsidR="00891253" w:rsidRDefault="0099635E" w:rsidP="00536C26">
      <w:r w:rsidRPr="00536C26">
        <w:t xml:space="preserve">It is </w:t>
      </w:r>
      <w:r w:rsidR="007D26BD" w:rsidRPr="00536C26">
        <w:t xml:space="preserve">proposed that penalties for non-compliance will be extended </w:t>
      </w:r>
      <w:r w:rsidR="00113F43" w:rsidRPr="00536C26">
        <w:t xml:space="preserve">beyond reporting </w:t>
      </w:r>
      <w:r w:rsidR="002425EF" w:rsidRPr="00536C26">
        <w:t>financial institutions</w:t>
      </w:r>
      <w:r w:rsidR="007D26BD" w:rsidRPr="00536C26">
        <w:t xml:space="preserve"> to cover account holders, controlling persons and intermediaries in defined circumstances. </w:t>
      </w:r>
      <w:r w:rsidR="005313CC">
        <w:t xml:space="preserve"> </w:t>
      </w:r>
      <w:r w:rsidR="007D26BD" w:rsidRPr="00536C26">
        <w:t xml:space="preserve">This </w:t>
      </w:r>
      <w:r w:rsidR="00BA7F57" w:rsidRPr="00536C26">
        <w:t xml:space="preserve">reflects </w:t>
      </w:r>
      <w:r w:rsidR="007D26BD" w:rsidRPr="00536C26">
        <w:t xml:space="preserve">the fact that such persons </w:t>
      </w:r>
      <w:r w:rsidR="00113F43" w:rsidRPr="00536C26">
        <w:t xml:space="preserve">have the information (or have customer relationships with the persons that have the information) that reporting </w:t>
      </w:r>
      <w:r w:rsidR="002425EF" w:rsidRPr="00536C26">
        <w:t>financial institutions</w:t>
      </w:r>
      <w:r w:rsidR="00113F43" w:rsidRPr="00536C26">
        <w:t xml:space="preserve"> will need to obtain in order to comply with their CRS due diligence and reporting obligations.</w:t>
      </w:r>
      <w:r w:rsidR="005313CC">
        <w:t xml:space="preserve"> </w:t>
      </w:r>
      <w:r w:rsidR="00113F43" w:rsidRPr="00536C26">
        <w:t xml:space="preserve"> These proposed obligations will also assist in ensuring that reporting </w:t>
      </w:r>
      <w:r w:rsidR="00A53F73" w:rsidRPr="00536C26">
        <w:t>financial institutions</w:t>
      </w:r>
      <w:r w:rsidR="00113F43" w:rsidRPr="00536C26">
        <w:t xml:space="preserve"> always obtain requisite self-certifications for new accounts, which is a key OECD </w:t>
      </w:r>
      <w:r w:rsidR="002F68F7" w:rsidRPr="00536C26">
        <w:t xml:space="preserve">requirement </w:t>
      </w:r>
      <w:r w:rsidR="00113F43" w:rsidRPr="00536C26">
        <w:t>(as elaborated on below).</w:t>
      </w:r>
      <w:r w:rsidR="007D26BD" w:rsidRPr="00536C26">
        <w:t xml:space="preserve"> </w:t>
      </w:r>
      <w:r w:rsidR="005313CC">
        <w:t xml:space="preserve"> </w:t>
      </w:r>
      <w:r w:rsidR="007D26BD" w:rsidRPr="00536C26">
        <w:t>The proposal is that this extension will also apply for FATCA purposes.</w:t>
      </w:r>
    </w:p>
    <w:p w:rsidR="00096503" w:rsidRPr="00536C26" w:rsidRDefault="00096503" w:rsidP="00536C26"/>
    <w:p w:rsidR="001837F8" w:rsidRDefault="00850CF3" w:rsidP="00096503">
      <w:pPr>
        <w:pStyle w:val="Heading2"/>
      </w:pPr>
      <w:r w:rsidRPr="00536C26">
        <w:t>G</w:t>
      </w:r>
      <w:r w:rsidR="001837F8" w:rsidRPr="00536C26">
        <w:t>race period</w:t>
      </w:r>
      <w:r w:rsidR="00311093" w:rsidRPr="00536C26">
        <w:t xml:space="preserve"> for self-certifications</w:t>
      </w:r>
    </w:p>
    <w:p w:rsidR="00096503" w:rsidRPr="00536C26" w:rsidRDefault="00096503" w:rsidP="00536C26"/>
    <w:p w:rsidR="00113F43" w:rsidRDefault="009C60A5" w:rsidP="00536C26">
      <w:r w:rsidRPr="00536C26">
        <w:t>The OECD has highlighted it</w:t>
      </w:r>
      <w:r w:rsidR="005D3EAE" w:rsidRPr="00536C26">
        <w:t>s</w:t>
      </w:r>
      <w:r w:rsidRPr="00536C26">
        <w:t xml:space="preserve"> expect</w:t>
      </w:r>
      <w:r w:rsidR="005D3EAE" w:rsidRPr="00536C26">
        <w:t xml:space="preserve">ation </w:t>
      </w:r>
      <w:r w:rsidRPr="00536C26">
        <w:t>that jurisdictions</w:t>
      </w:r>
      <w:r w:rsidR="00113F43" w:rsidRPr="00536C26">
        <w:t xml:space="preserve"> implementing CRS</w:t>
      </w:r>
      <w:r w:rsidRPr="00536C26">
        <w:t xml:space="preserve"> will have robust legal, administrative, and operational frameworks in place to ensure that financial institutions always obtain </w:t>
      </w:r>
      <w:r w:rsidR="00113F43" w:rsidRPr="00536C26">
        <w:t xml:space="preserve">required </w:t>
      </w:r>
      <w:r w:rsidRPr="00536C26">
        <w:t>self-certifications</w:t>
      </w:r>
      <w:r w:rsidR="00113F43" w:rsidRPr="00536C26">
        <w:t xml:space="preserve"> for new accounts.</w:t>
      </w:r>
    </w:p>
    <w:p w:rsidR="00096503" w:rsidRPr="00536C26" w:rsidRDefault="00096503" w:rsidP="00536C26"/>
    <w:p w:rsidR="009C60A5" w:rsidRDefault="009C60A5" w:rsidP="00536C26">
      <w:r w:rsidRPr="00536C26">
        <w:t xml:space="preserve">However, the OECD has provided some guidance about how such a process is expected to </w:t>
      </w:r>
      <w:r w:rsidR="00113F43" w:rsidRPr="00536C26">
        <w:t xml:space="preserve">work </w:t>
      </w:r>
      <w:r w:rsidRPr="00536C26">
        <w:t>in practice.</w:t>
      </w:r>
    </w:p>
    <w:p w:rsidR="00096503" w:rsidRPr="00536C26" w:rsidRDefault="00096503" w:rsidP="00536C26"/>
    <w:p w:rsidR="00113F43" w:rsidRDefault="00113F43" w:rsidP="00536C26">
      <w:r w:rsidRPr="00536C26">
        <w:t xml:space="preserve">The OECD has stated that a reporting financial institution should generally obtain </w:t>
      </w:r>
      <w:r w:rsidR="005352EF" w:rsidRPr="00536C26">
        <w:t>self-</w:t>
      </w:r>
      <w:r w:rsidRPr="00536C26">
        <w:t>certification</w:t>
      </w:r>
      <w:r w:rsidR="005352EF" w:rsidRPr="00536C26">
        <w:t>s</w:t>
      </w:r>
      <w:r w:rsidRPr="00536C26">
        <w:t xml:space="preserve"> as part of a “day one” account opening process where this is practical in the circumstances.</w:t>
      </w:r>
    </w:p>
    <w:p w:rsidR="00096503" w:rsidRPr="00536C26" w:rsidRDefault="00096503" w:rsidP="00536C26"/>
    <w:p w:rsidR="00113F43" w:rsidRDefault="00113F43" w:rsidP="00536C26">
      <w:r w:rsidRPr="00536C26">
        <w:t xml:space="preserve">However, </w:t>
      </w:r>
      <w:r w:rsidR="00753448" w:rsidRPr="00536C26">
        <w:t xml:space="preserve">such </w:t>
      </w:r>
      <w:r w:rsidRPr="00536C26">
        <w:t xml:space="preserve">a financial institution </w:t>
      </w:r>
      <w:r w:rsidR="001B459A" w:rsidRPr="00536C26">
        <w:t xml:space="preserve">can </w:t>
      </w:r>
      <w:r w:rsidR="00753448" w:rsidRPr="00536C26">
        <w:t>be</w:t>
      </w:r>
      <w:r w:rsidRPr="00536C26">
        <w:t xml:space="preserve"> allowed a period of up to 90 days to obtain a self-certification where there are practical difficulties in obtaining a self-certification as part of a “day one” process. </w:t>
      </w:r>
      <w:r w:rsidR="005313CC">
        <w:t xml:space="preserve"> Inland Revenue</w:t>
      </w:r>
      <w:r w:rsidRPr="00536C26">
        <w:t xml:space="preserve"> intends to follow this approach.</w:t>
      </w:r>
    </w:p>
    <w:p w:rsidR="00096503" w:rsidRPr="00536C26" w:rsidRDefault="00096503" w:rsidP="00536C26"/>
    <w:p w:rsidR="00113F43" w:rsidRPr="00536C26" w:rsidRDefault="00113F43" w:rsidP="00536C26">
      <w:r w:rsidRPr="00536C26">
        <w:t xml:space="preserve">There will be reporting requirements in respect of undocumented pre-existing accounts. </w:t>
      </w:r>
      <w:r w:rsidR="005313CC">
        <w:t xml:space="preserve"> </w:t>
      </w:r>
      <w:r w:rsidRPr="00536C26">
        <w:t xml:space="preserve">Reporting financial institutions will also be required to keep a record of </w:t>
      </w:r>
      <w:r w:rsidR="009650EF" w:rsidRPr="00536C26">
        <w:t>the instances</w:t>
      </w:r>
      <w:r w:rsidRPr="00536C26">
        <w:t xml:space="preserve"> where it has failed to obtain a required self-certification.</w:t>
      </w:r>
    </w:p>
    <w:p w:rsidR="00753448" w:rsidRDefault="00753448" w:rsidP="00536C26"/>
    <w:p w:rsidR="00CE5DA5" w:rsidRPr="00536C26" w:rsidRDefault="00CE5DA5" w:rsidP="00536C26"/>
    <w:p w:rsidR="00D17E5A" w:rsidRPr="00536C26" w:rsidRDefault="005313CC" w:rsidP="00CF4A6F">
      <w:pPr>
        <w:pStyle w:val="Heading1"/>
      </w:pPr>
      <w:r>
        <w:t xml:space="preserve">7.  </w:t>
      </w:r>
      <w:r w:rsidR="001837F8" w:rsidRPr="00536C26">
        <w:t xml:space="preserve">Alignment with </w:t>
      </w:r>
      <w:r w:rsidR="0009575F" w:rsidRPr="00536C26">
        <w:t>a</w:t>
      </w:r>
      <w:r w:rsidR="009E2847" w:rsidRPr="00536C26">
        <w:t xml:space="preserve">nti-money laundering legislation </w:t>
      </w:r>
      <w:r w:rsidR="001077D3" w:rsidRPr="00536C26">
        <w:t>and</w:t>
      </w:r>
      <w:r w:rsidR="003834CD" w:rsidRPr="00536C26">
        <w:t xml:space="preserve"> </w:t>
      </w:r>
      <w:r w:rsidR="00974DB1" w:rsidRPr="00536C26">
        <w:t>FATCA</w:t>
      </w:r>
    </w:p>
    <w:p w:rsidR="00096503" w:rsidRDefault="00096503" w:rsidP="00536C26"/>
    <w:p w:rsidR="008F4A3E" w:rsidRPr="00536C26" w:rsidRDefault="009E2847" w:rsidP="00536C26">
      <w:r w:rsidRPr="00536C26">
        <w:t xml:space="preserve">The CRS due diligence procedures leverage off </w:t>
      </w:r>
      <w:r w:rsidR="003D3FB2" w:rsidRPr="00536C26">
        <w:t>anti-money laundering</w:t>
      </w:r>
      <w:r w:rsidRPr="00536C26">
        <w:t xml:space="preserve"> procedures in a number of areas. </w:t>
      </w:r>
      <w:r w:rsidR="005313CC">
        <w:t xml:space="preserve"> </w:t>
      </w:r>
      <w:r w:rsidRPr="00536C26">
        <w:t xml:space="preserve">The CRS also contains a number of terms and types of procedures that align with FATCA. </w:t>
      </w:r>
      <w:r w:rsidR="005313CC">
        <w:t xml:space="preserve"> </w:t>
      </w:r>
      <w:r w:rsidRPr="00536C26">
        <w:t xml:space="preserve">This means that there will be some alignment between CRS due diligence procedures and </w:t>
      </w:r>
      <w:r w:rsidR="00896BD0" w:rsidRPr="00536C26">
        <w:t>anti-money laundering</w:t>
      </w:r>
      <w:r w:rsidRPr="00536C26">
        <w:t>/</w:t>
      </w:r>
      <w:r w:rsidR="00CE5DA5">
        <w:t>FATCA due diligence procedures.</w:t>
      </w:r>
    </w:p>
    <w:p w:rsidR="00096503" w:rsidRDefault="00096503" w:rsidP="00536C26"/>
    <w:p w:rsidR="00E00A20" w:rsidRPr="00536C26" w:rsidRDefault="009E2847" w:rsidP="00536C26">
      <w:r w:rsidRPr="00536C26">
        <w:t xml:space="preserve">However, </w:t>
      </w:r>
      <w:r w:rsidR="001077D3" w:rsidRPr="00536C26">
        <w:t xml:space="preserve">to manage </w:t>
      </w:r>
      <w:r w:rsidRPr="00536C26">
        <w:t xml:space="preserve">any divergence, </w:t>
      </w:r>
      <w:r w:rsidR="001077D3" w:rsidRPr="00536C26">
        <w:t xml:space="preserve">it is </w:t>
      </w:r>
      <w:r w:rsidRPr="00536C26">
        <w:t xml:space="preserve">proposed that the CRS will drive the obligations that reporting </w:t>
      </w:r>
      <w:r w:rsidR="00FD4B03" w:rsidRPr="00536C26">
        <w:t>financial institutions</w:t>
      </w:r>
      <w:r w:rsidRPr="00536C26">
        <w:t xml:space="preserve"> will have for CRS purposes</w:t>
      </w:r>
      <w:r w:rsidR="00E00A20" w:rsidRPr="00536C26">
        <w:t xml:space="preserve"> (f</w:t>
      </w:r>
      <w:r w:rsidR="00AE1E12" w:rsidRPr="00536C26">
        <w:t>or example, “</w:t>
      </w:r>
      <w:r w:rsidR="00E00A20" w:rsidRPr="00536C26">
        <w:t>controlling p</w:t>
      </w:r>
      <w:r w:rsidR="00AE1E12" w:rsidRPr="00536C26">
        <w:t xml:space="preserve">ersons” </w:t>
      </w:r>
      <w:r w:rsidR="001077D3" w:rsidRPr="00536C26">
        <w:t>with</w:t>
      </w:r>
      <w:r w:rsidR="00E00A20" w:rsidRPr="00536C26">
        <w:t xml:space="preserve"> new accounts are more widely defined in the CRS)</w:t>
      </w:r>
      <w:r w:rsidR="00CE5DA5">
        <w:t>.</w:t>
      </w:r>
    </w:p>
    <w:p w:rsidR="00096503" w:rsidRDefault="00096503" w:rsidP="00536C26"/>
    <w:p w:rsidR="00057993" w:rsidRPr="00536C26" w:rsidRDefault="00E325DD" w:rsidP="00536C26">
      <w:r w:rsidRPr="00536C26">
        <w:t>As t</w:t>
      </w:r>
      <w:r w:rsidR="00753448" w:rsidRPr="00536C26">
        <w:t>he CRS is a global standard</w:t>
      </w:r>
      <w:r w:rsidRPr="00536C26">
        <w:t>,</w:t>
      </w:r>
      <w:r w:rsidR="002878FE" w:rsidRPr="00536C26">
        <w:t xml:space="preserve"> </w:t>
      </w:r>
      <w:r w:rsidR="00753448" w:rsidRPr="00536C26">
        <w:t xml:space="preserve">New Zealand’s compliance with </w:t>
      </w:r>
      <w:r w:rsidRPr="00536C26">
        <w:t xml:space="preserve">the CRS </w:t>
      </w:r>
      <w:r w:rsidR="002878FE" w:rsidRPr="00536C26">
        <w:t xml:space="preserve">will be subject to rigorous international scrutiny and peer review by </w:t>
      </w:r>
      <w:r w:rsidR="00896BD0" w:rsidRPr="00536C26">
        <w:t xml:space="preserve">the </w:t>
      </w:r>
      <w:r w:rsidR="002878FE" w:rsidRPr="00536C26">
        <w:t>OECD’s Global Forum</w:t>
      </w:r>
      <w:r w:rsidR="00753448" w:rsidRPr="00536C26">
        <w:t>.</w:t>
      </w:r>
    </w:p>
    <w:p w:rsidR="00096503" w:rsidRDefault="00096503" w:rsidP="00536C26"/>
    <w:p w:rsidR="00CE5DA5" w:rsidRDefault="00CE5DA5" w:rsidP="00536C26"/>
    <w:p w:rsidR="005313CC" w:rsidRDefault="005313CC">
      <w:pPr>
        <w:spacing w:after="200" w:line="276" w:lineRule="auto"/>
        <w:rPr>
          <w:rFonts w:ascii="Times Roman" w:eastAsiaTheme="majorEastAsia" w:hAnsi="Times Roman" w:cstheme="majorBidi"/>
          <w:b/>
          <w:bCs/>
          <w:szCs w:val="28"/>
        </w:rPr>
      </w:pPr>
      <w:r>
        <w:br w:type="page"/>
      </w:r>
    </w:p>
    <w:p w:rsidR="007A41E9" w:rsidRPr="00536C26" w:rsidRDefault="00CC735A" w:rsidP="00CF4A6F">
      <w:pPr>
        <w:pStyle w:val="Heading1"/>
      </w:pPr>
      <w:r>
        <w:t>8</w:t>
      </w:r>
      <w:r>
        <w:t xml:space="preserve">.  </w:t>
      </w:r>
      <w:r w:rsidR="007A41E9" w:rsidRPr="00536C26">
        <w:t xml:space="preserve">Key dates for </w:t>
      </w:r>
      <w:r w:rsidR="003D3FB2" w:rsidRPr="00536C26">
        <w:t xml:space="preserve">financial institutions </w:t>
      </w:r>
      <w:r w:rsidR="006E4A97" w:rsidRPr="00536C26">
        <w:t>AEOI</w:t>
      </w:r>
      <w:r w:rsidR="009420DC" w:rsidRPr="00536C26">
        <w:t xml:space="preserve"> </w:t>
      </w:r>
      <w:r w:rsidR="0046627B" w:rsidRPr="00536C26">
        <w:t>reporting</w:t>
      </w:r>
    </w:p>
    <w:p w:rsidR="007A41E9" w:rsidRDefault="007A41E9" w:rsidP="00536C26"/>
    <w:p w:rsidR="005313CC" w:rsidRDefault="005313CC" w:rsidP="00536C2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Caption w:val="Key dates for financial institutions AEOI reporting"/>
        <w:tblDescription w:val="List of key dates and actions from August 2016 to September 2018."/>
      </w:tblPr>
      <w:tblGrid>
        <w:gridCol w:w="2410"/>
        <w:gridCol w:w="6724"/>
      </w:tblGrid>
      <w:tr w:rsidR="00CE5DA5" w:rsidTr="008579E8">
        <w:trPr>
          <w:tblHeader/>
        </w:trPr>
        <w:tc>
          <w:tcPr>
            <w:tcW w:w="2410" w:type="dxa"/>
            <w:shd w:val="clear" w:color="auto" w:fill="C6D9F1" w:themeFill="text2" w:themeFillTint="33"/>
          </w:tcPr>
          <w:p w:rsidR="00CE5DA5" w:rsidRDefault="00CE5DA5" w:rsidP="00CF4A6F">
            <w:pPr>
              <w:spacing w:before="240" w:after="240"/>
              <w:ind w:left="176"/>
            </w:pPr>
            <w:r w:rsidRPr="00096503">
              <w:rPr>
                <w:b/>
              </w:rPr>
              <w:t>Dates</w:t>
            </w:r>
          </w:p>
        </w:tc>
        <w:tc>
          <w:tcPr>
            <w:tcW w:w="6724" w:type="dxa"/>
            <w:shd w:val="clear" w:color="auto" w:fill="C6D9F1" w:themeFill="text2" w:themeFillTint="33"/>
          </w:tcPr>
          <w:p w:rsidR="00CE5DA5" w:rsidRDefault="00CE5DA5" w:rsidP="00CF4A6F">
            <w:pPr>
              <w:spacing w:before="240" w:after="240"/>
            </w:pPr>
            <w:r w:rsidRPr="00096503">
              <w:rPr>
                <w:b/>
              </w:rPr>
              <w:t>Actions</w:t>
            </w:r>
          </w:p>
        </w:tc>
      </w:tr>
      <w:tr w:rsidR="00CE5DA5" w:rsidTr="005313CC">
        <w:tc>
          <w:tcPr>
            <w:tcW w:w="2410" w:type="dxa"/>
            <w:shd w:val="clear" w:color="auto" w:fill="C6D9F1" w:themeFill="text2" w:themeFillTint="33"/>
          </w:tcPr>
          <w:p w:rsidR="00CE5DA5" w:rsidRDefault="00CE5DA5" w:rsidP="00CF4A6F">
            <w:pPr>
              <w:spacing w:before="240" w:after="240"/>
              <w:ind w:left="176"/>
            </w:pPr>
            <w:r w:rsidRPr="00536C26">
              <w:t>August 2016</w:t>
            </w:r>
          </w:p>
        </w:tc>
        <w:tc>
          <w:tcPr>
            <w:tcW w:w="6724" w:type="dxa"/>
            <w:shd w:val="clear" w:color="auto" w:fill="C6D9F1" w:themeFill="text2" w:themeFillTint="33"/>
          </w:tcPr>
          <w:p w:rsidR="00CE5DA5" w:rsidRDefault="00CE5DA5" w:rsidP="00CF4A6F">
            <w:pPr>
              <w:spacing w:before="240" w:after="240"/>
            </w:pPr>
            <w:r w:rsidRPr="00536C26">
              <w:t>The legislation will be introduced into Parliament (as part of the Taxation (Business Tax, Exchange of Information and Remedial Matters) Bill.</w:t>
            </w:r>
          </w:p>
        </w:tc>
      </w:tr>
      <w:tr w:rsidR="00CE5DA5" w:rsidTr="005313CC">
        <w:tc>
          <w:tcPr>
            <w:tcW w:w="2410" w:type="dxa"/>
            <w:shd w:val="clear" w:color="auto" w:fill="C6D9F1" w:themeFill="text2" w:themeFillTint="33"/>
          </w:tcPr>
          <w:p w:rsidR="00CE5DA5" w:rsidRDefault="00CE5DA5" w:rsidP="00CF4A6F">
            <w:pPr>
              <w:spacing w:before="240" w:after="240"/>
              <w:ind w:left="176"/>
            </w:pPr>
            <w:r w:rsidRPr="00536C26">
              <w:t>Late 2016</w:t>
            </w:r>
          </w:p>
        </w:tc>
        <w:tc>
          <w:tcPr>
            <w:tcW w:w="6724" w:type="dxa"/>
            <w:shd w:val="clear" w:color="auto" w:fill="C6D9F1" w:themeFill="text2" w:themeFillTint="33"/>
          </w:tcPr>
          <w:p w:rsidR="00CE5DA5" w:rsidRDefault="00CE5DA5" w:rsidP="00CF4A6F">
            <w:pPr>
              <w:spacing w:before="240" w:after="240"/>
            </w:pPr>
            <w:r w:rsidRPr="00536C26">
              <w:t>Inland Revenue will call for submissions on reportable jurisdictions and excluded entities and accounts.</w:t>
            </w:r>
          </w:p>
        </w:tc>
      </w:tr>
      <w:tr w:rsidR="00CE5DA5" w:rsidTr="005313CC">
        <w:tc>
          <w:tcPr>
            <w:tcW w:w="2410" w:type="dxa"/>
            <w:shd w:val="clear" w:color="auto" w:fill="C6D9F1" w:themeFill="text2" w:themeFillTint="33"/>
          </w:tcPr>
          <w:p w:rsidR="00CE5DA5" w:rsidRDefault="00CE5DA5" w:rsidP="00CF4A6F">
            <w:pPr>
              <w:spacing w:before="240" w:after="240"/>
              <w:ind w:left="176"/>
            </w:pPr>
            <w:r w:rsidRPr="00536C26">
              <w:t>March 2017</w:t>
            </w:r>
          </w:p>
        </w:tc>
        <w:tc>
          <w:tcPr>
            <w:tcW w:w="6724" w:type="dxa"/>
            <w:shd w:val="clear" w:color="auto" w:fill="C6D9F1" w:themeFill="text2" w:themeFillTint="33"/>
          </w:tcPr>
          <w:p w:rsidR="00CE5DA5" w:rsidRDefault="00CE5DA5" w:rsidP="00CF4A6F">
            <w:pPr>
              <w:spacing w:before="240" w:after="240"/>
            </w:pPr>
            <w:r w:rsidRPr="00536C26">
              <w:t>The Bill is expected to receive Royal assent.</w:t>
            </w:r>
          </w:p>
        </w:tc>
      </w:tr>
      <w:tr w:rsidR="00CE5DA5" w:rsidTr="005313CC">
        <w:tc>
          <w:tcPr>
            <w:tcW w:w="2410" w:type="dxa"/>
            <w:shd w:val="clear" w:color="auto" w:fill="C6D9F1" w:themeFill="text2" w:themeFillTint="33"/>
          </w:tcPr>
          <w:p w:rsidR="00CE5DA5" w:rsidRDefault="00CE5DA5" w:rsidP="00984A50">
            <w:pPr>
              <w:spacing w:before="240" w:after="240"/>
              <w:ind w:left="176"/>
            </w:pPr>
            <w:r w:rsidRPr="00536C26">
              <w:t>Early to mid-2017</w:t>
            </w:r>
          </w:p>
        </w:tc>
        <w:tc>
          <w:tcPr>
            <w:tcW w:w="6724" w:type="dxa"/>
            <w:shd w:val="clear" w:color="auto" w:fill="C6D9F1" w:themeFill="text2" w:themeFillTint="33"/>
          </w:tcPr>
          <w:p w:rsidR="00CE5DA5" w:rsidRDefault="00CE5DA5" w:rsidP="00CF4A6F">
            <w:pPr>
              <w:spacing w:before="240" w:after="240"/>
            </w:pPr>
            <w:r w:rsidRPr="00536C26">
              <w:t>Initial list of reportable jurisdictions, participating jurisdictions, and excluded entities and accounts.</w:t>
            </w:r>
          </w:p>
        </w:tc>
      </w:tr>
      <w:tr w:rsidR="00CE5DA5" w:rsidTr="005313CC">
        <w:tc>
          <w:tcPr>
            <w:tcW w:w="2410" w:type="dxa"/>
            <w:shd w:val="clear" w:color="auto" w:fill="C6D9F1" w:themeFill="text2" w:themeFillTint="33"/>
          </w:tcPr>
          <w:p w:rsidR="00CE5DA5" w:rsidRPr="00536C26" w:rsidRDefault="00CE5DA5" w:rsidP="00CF4A6F">
            <w:pPr>
              <w:spacing w:before="240" w:after="240"/>
              <w:ind w:left="176"/>
            </w:pPr>
            <w:r w:rsidRPr="00536C26">
              <w:t>1 July 2017</w:t>
            </w:r>
          </w:p>
        </w:tc>
        <w:tc>
          <w:tcPr>
            <w:tcW w:w="6724" w:type="dxa"/>
            <w:shd w:val="clear" w:color="auto" w:fill="C6D9F1" w:themeFill="text2" w:themeFillTint="33"/>
          </w:tcPr>
          <w:p w:rsidR="00CE5DA5" w:rsidRPr="00536C26" w:rsidRDefault="00CE5DA5" w:rsidP="00CF4A6F">
            <w:pPr>
              <w:spacing w:before="240" w:after="240"/>
            </w:pPr>
            <w:r w:rsidRPr="00536C26">
              <w:t>Reporting financial institutions commence due diligence procedures.</w:t>
            </w:r>
          </w:p>
        </w:tc>
      </w:tr>
      <w:tr w:rsidR="00CE5DA5" w:rsidTr="005313CC">
        <w:tc>
          <w:tcPr>
            <w:tcW w:w="2410" w:type="dxa"/>
            <w:shd w:val="clear" w:color="auto" w:fill="C6D9F1" w:themeFill="text2" w:themeFillTint="33"/>
          </w:tcPr>
          <w:p w:rsidR="00CE5DA5" w:rsidRPr="00536C26" w:rsidRDefault="00CE5DA5" w:rsidP="00984A50">
            <w:pPr>
              <w:spacing w:before="240" w:after="240"/>
              <w:ind w:left="176"/>
            </w:pPr>
            <w:r w:rsidRPr="00536C26">
              <w:t xml:space="preserve">1 April 2018 to </w:t>
            </w:r>
            <w:r w:rsidR="00984A50">
              <w:t>30 June </w:t>
            </w:r>
            <w:r w:rsidRPr="00536C26">
              <w:t>2018</w:t>
            </w:r>
          </w:p>
        </w:tc>
        <w:tc>
          <w:tcPr>
            <w:tcW w:w="6724" w:type="dxa"/>
            <w:shd w:val="clear" w:color="auto" w:fill="C6D9F1" w:themeFill="text2" w:themeFillTint="33"/>
          </w:tcPr>
          <w:p w:rsidR="00CE5DA5" w:rsidRPr="00536C26" w:rsidRDefault="00CE5DA5" w:rsidP="00CF4A6F">
            <w:pPr>
              <w:spacing w:before="240" w:after="240"/>
            </w:pPr>
            <w:r w:rsidRPr="00536C26">
              <w:t>Reporting financial institutions submit their AEOI reporting to Inland Revenue for the tax year ending 31 March 2018.</w:t>
            </w:r>
          </w:p>
        </w:tc>
      </w:tr>
      <w:tr w:rsidR="00CE5DA5" w:rsidTr="005313CC">
        <w:tc>
          <w:tcPr>
            <w:tcW w:w="2410" w:type="dxa"/>
            <w:shd w:val="clear" w:color="auto" w:fill="C6D9F1" w:themeFill="text2" w:themeFillTint="33"/>
          </w:tcPr>
          <w:p w:rsidR="00CE5DA5" w:rsidRPr="00536C26" w:rsidRDefault="00CE5DA5" w:rsidP="00CF4A6F">
            <w:pPr>
              <w:spacing w:before="240" w:after="240"/>
              <w:ind w:left="176"/>
            </w:pPr>
            <w:r w:rsidRPr="00536C26">
              <w:t>30 September 2018</w:t>
            </w:r>
          </w:p>
        </w:tc>
        <w:tc>
          <w:tcPr>
            <w:tcW w:w="6724" w:type="dxa"/>
            <w:shd w:val="clear" w:color="auto" w:fill="C6D9F1" w:themeFill="text2" w:themeFillTint="33"/>
          </w:tcPr>
          <w:p w:rsidR="00CE5DA5" w:rsidRPr="00536C26" w:rsidRDefault="00CE5DA5" w:rsidP="00CF4A6F">
            <w:pPr>
              <w:spacing w:before="240" w:after="240"/>
            </w:pPr>
            <w:r w:rsidRPr="00536C26">
              <w:t>Final date for Inland Revenue to exchange information with other reportable jurisdictions for</w:t>
            </w:r>
            <w:r w:rsidR="005313CC">
              <w:t xml:space="preserve"> the reporting period ending 31 </w:t>
            </w:r>
            <w:r w:rsidRPr="00536C26">
              <w:t>March</w:t>
            </w:r>
            <w:r w:rsidR="005313CC">
              <w:t> </w:t>
            </w:r>
            <w:r w:rsidRPr="00536C26">
              <w:t>2018.</w:t>
            </w:r>
          </w:p>
        </w:tc>
      </w:tr>
    </w:tbl>
    <w:p w:rsidR="00CE5DA5" w:rsidRDefault="00CE5DA5" w:rsidP="00536C26"/>
    <w:p w:rsidR="00CE5DA5" w:rsidRDefault="00CE5DA5" w:rsidP="00536C26"/>
    <w:p w:rsidR="006C72EE" w:rsidRDefault="00CE5DA5" w:rsidP="00CF4A6F">
      <w:pPr>
        <w:pStyle w:val="Heading1"/>
      </w:pPr>
      <w:r>
        <w:t>Further information</w:t>
      </w:r>
    </w:p>
    <w:p w:rsidR="00096503" w:rsidRPr="00536C26" w:rsidRDefault="00096503" w:rsidP="00536C26"/>
    <w:p w:rsidR="00794D1A" w:rsidRPr="00536C26" w:rsidRDefault="006C72EE" w:rsidP="00536C26">
      <w:r w:rsidRPr="00536C26">
        <w:t xml:space="preserve">Further information on the requirements for AEOI and its global implementation can be found on the </w:t>
      </w:r>
      <w:hyperlink r:id="rId10" w:history="1">
        <w:r w:rsidRPr="00536C26">
          <w:rPr>
            <w:rStyle w:val="Hyperlink"/>
          </w:rPr>
          <w:t>OECD's automatic exchange portal</w:t>
        </w:r>
      </w:hyperlink>
      <w:r w:rsidR="00794D1A" w:rsidRPr="00536C26">
        <w:t>.</w:t>
      </w:r>
    </w:p>
    <w:p w:rsidR="00516EF9" w:rsidRPr="00536C26" w:rsidRDefault="00516EF9" w:rsidP="00536C26"/>
    <w:sectPr w:rsidR="00516EF9" w:rsidRPr="00536C26" w:rsidSect="00CF4A6F">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C4" w:rsidRDefault="00413BC4" w:rsidP="00DE5454">
      <w:r>
        <w:separator/>
      </w:r>
    </w:p>
  </w:endnote>
  <w:endnote w:type="continuationSeparator" w:id="0">
    <w:p w:rsidR="00413BC4" w:rsidRDefault="00413BC4"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9102"/>
      <w:docPartObj>
        <w:docPartGallery w:val="Page Numbers (Bottom of Page)"/>
        <w:docPartUnique/>
      </w:docPartObj>
    </w:sdtPr>
    <w:sdtEndPr>
      <w:rPr>
        <w:noProof/>
        <w:sz w:val="22"/>
      </w:rPr>
    </w:sdtEndPr>
    <w:sdtContent>
      <w:p w:rsidR="00413BC4" w:rsidRPr="00984A50" w:rsidRDefault="00413BC4" w:rsidP="00984A50">
        <w:pPr>
          <w:pStyle w:val="Footer"/>
          <w:jc w:val="center"/>
          <w:rPr>
            <w:sz w:val="22"/>
          </w:rPr>
        </w:pPr>
        <w:r w:rsidRPr="00984A50">
          <w:rPr>
            <w:sz w:val="22"/>
          </w:rPr>
          <w:fldChar w:fldCharType="begin"/>
        </w:r>
        <w:r w:rsidRPr="00984A50">
          <w:rPr>
            <w:sz w:val="22"/>
          </w:rPr>
          <w:instrText xml:space="preserve"> PAGE   \* MERGEFORMAT </w:instrText>
        </w:r>
        <w:r w:rsidRPr="00984A50">
          <w:rPr>
            <w:sz w:val="22"/>
          </w:rPr>
          <w:fldChar w:fldCharType="separate"/>
        </w:r>
        <w:r w:rsidR="00502706">
          <w:rPr>
            <w:noProof/>
            <w:sz w:val="22"/>
          </w:rPr>
          <w:t>6</w:t>
        </w:r>
        <w:r w:rsidRPr="00984A50">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C4" w:rsidRDefault="00413BC4" w:rsidP="00DE5454">
      <w:r>
        <w:separator/>
      </w:r>
    </w:p>
  </w:footnote>
  <w:footnote w:type="continuationSeparator" w:id="0">
    <w:p w:rsidR="00413BC4" w:rsidRDefault="00413BC4" w:rsidP="00DE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5">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num w:numId="1">
    <w:abstractNumId w:val="4"/>
  </w:num>
  <w:num w:numId="2">
    <w:abstractNumId w:val="6"/>
  </w:num>
  <w:num w:numId="3">
    <w:abstractNumId w:val="17"/>
  </w:num>
  <w:num w:numId="4">
    <w:abstractNumId w:val="15"/>
  </w:num>
  <w:num w:numId="5">
    <w:abstractNumId w:val="11"/>
  </w:num>
  <w:num w:numId="6">
    <w:abstractNumId w:val="8"/>
  </w:num>
  <w:num w:numId="7">
    <w:abstractNumId w:val="1"/>
  </w:num>
  <w:num w:numId="8">
    <w:abstractNumId w:val="10"/>
  </w:num>
  <w:num w:numId="9">
    <w:abstractNumId w:val="5"/>
  </w:num>
  <w:num w:numId="10">
    <w:abstractNumId w:val="2"/>
  </w:num>
  <w:num w:numId="11">
    <w:abstractNumId w:val="18"/>
  </w:num>
  <w:num w:numId="12">
    <w:abstractNumId w:val="14"/>
  </w:num>
  <w:num w:numId="13">
    <w:abstractNumId w:val="16"/>
  </w:num>
  <w:num w:numId="14">
    <w:abstractNumId w:val="3"/>
  </w:num>
  <w:num w:numId="15">
    <w:abstractNumId w:val="13"/>
  </w:num>
  <w:num w:numId="16">
    <w:abstractNumId w:val="12"/>
  </w:num>
  <w:num w:numId="17">
    <w:abstractNumId w:val="7"/>
  </w:num>
  <w:num w:numId="18">
    <w:abstractNumId w:val="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4"/>
    <w:rsid w:val="00002079"/>
    <w:rsid w:val="00006191"/>
    <w:rsid w:val="0001280B"/>
    <w:rsid w:val="00013177"/>
    <w:rsid w:val="00015940"/>
    <w:rsid w:val="00016356"/>
    <w:rsid w:val="00022AF1"/>
    <w:rsid w:val="00027780"/>
    <w:rsid w:val="00030175"/>
    <w:rsid w:val="00033206"/>
    <w:rsid w:val="00035741"/>
    <w:rsid w:val="00036F33"/>
    <w:rsid w:val="000376CF"/>
    <w:rsid w:val="000528E7"/>
    <w:rsid w:val="00057993"/>
    <w:rsid w:val="00060748"/>
    <w:rsid w:val="00074C85"/>
    <w:rsid w:val="000763E4"/>
    <w:rsid w:val="00080FD4"/>
    <w:rsid w:val="00086E10"/>
    <w:rsid w:val="00087D2D"/>
    <w:rsid w:val="00092E76"/>
    <w:rsid w:val="0009575F"/>
    <w:rsid w:val="00096503"/>
    <w:rsid w:val="000B3705"/>
    <w:rsid w:val="000D58A6"/>
    <w:rsid w:val="000D6405"/>
    <w:rsid w:val="000E0D64"/>
    <w:rsid w:val="000E502B"/>
    <w:rsid w:val="000E7654"/>
    <w:rsid w:val="000F65D5"/>
    <w:rsid w:val="000F6A34"/>
    <w:rsid w:val="00100EE1"/>
    <w:rsid w:val="001077D3"/>
    <w:rsid w:val="0011124E"/>
    <w:rsid w:val="00113F43"/>
    <w:rsid w:val="00114BC1"/>
    <w:rsid w:val="00121D85"/>
    <w:rsid w:val="00124B7B"/>
    <w:rsid w:val="00142313"/>
    <w:rsid w:val="00143855"/>
    <w:rsid w:val="001614EC"/>
    <w:rsid w:val="00161D0E"/>
    <w:rsid w:val="00165A55"/>
    <w:rsid w:val="00177C8D"/>
    <w:rsid w:val="00181CF4"/>
    <w:rsid w:val="001837F8"/>
    <w:rsid w:val="00187ADC"/>
    <w:rsid w:val="00192B82"/>
    <w:rsid w:val="001A0B89"/>
    <w:rsid w:val="001A2332"/>
    <w:rsid w:val="001B05D5"/>
    <w:rsid w:val="001B459A"/>
    <w:rsid w:val="001C08DF"/>
    <w:rsid w:val="001C3B96"/>
    <w:rsid w:val="001C55B7"/>
    <w:rsid w:val="001D23B2"/>
    <w:rsid w:val="001E0E24"/>
    <w:rsid w:val="001E2E4B"/>
    <w:rsid w:val="001E64F7"/>
    <w:rsid w:val="001E6677"/>
    <w:rsid w:val="001F40E4"/>
    <w:rsid w:val="00202EF8"/>
    <w:rsid w:val="00206CBF"/>
    <w:rsid w:val="0021248F"/>
    <w:rsid w:val="00220606"/>
    <w:rsid w:val="002425EF"/>
    <w:rsid w:val="00255AA9"/>
    <w:rsid w:val="00262330"/>
    <w:rsid w:val="0026598F"/>
    <w:rsid w:val="002878FE"/>
    <w:rsid w:val="00292F10"/>
    <w:rsid w:val="002A5C9E"/>
    <w:rsid w:val="002B5BC2"/>
    <w:rsid w:val="002C6A49"/>
    <w:rsid w:val="002C6FE8"/>
    <w:rsid w:val="002C7D72"/>
    <w:rsid w:val="002D4514"/>
    <w:rsid w:val="002F145B"/>
    <w:rsid w:val="002F68F7"/>
    <w:rsid w:val="00300092"/>
    <w:rsid w:val="00301D4E"/>
    <w:rsid w:val="003032DC"/>
    <w:rsid w:val="003058D6"/>
    <w:rsid w:val="00311093"/>
    <w:rsid w:val="00312578"/>
    <w:rsid w:val="00321880"/>
    <w:rsid w:val="00321A32"/>
    <w:rsid w:val="00322169"/>
    <w:rsid w:val="00332C80"/>
    <w:rsid w:val="00335CCA"/>
    <w:rsid w:val="00341003"/>
    <w:rsid w:val="003579EC"/>
    <w:rsid w:val="00360ECD"/>
    <w:rsid w:val="003614D4"/>
    <w:rsid w:val="00365971"/>
    <w:rsid w:val="00372588"/>
    <w:rsid w:val="0037398D"/>
    <w:rsid w:val="0037484F"/>
    <w:rsid w:val="003834B3"/>
    <w:rsid w:val="003834CD"/>
    <w:rsid w:val="00383ABC"/>
    <w:rsid w:val="0038477F"/>
    <w:rsid w:val="003865F7"/>
    <w:rsid w:val="003910FD"/>
    <w:rsid w:val="00391EBC"/>
    <w:rsid w:val="00395981"/>
    <w:rsid w:val="003B3058"/>
    <w:rsid w:val="003B6D42"/>
    <w:rsid w:val="003C2144"/>
    <w:rsid w:val="003C60AF"/>
    <w:rsid w:val="003C732A"/>
    <w:rsid w:val="003D277A"/>
    <w:rsid w:val="003D356A"/>
    <w:rsid w:val="003D3FB2"/>
    <w:rsid w:val="003D5A89"/>
    <w:rsid w:val="003E21AE"/>
    <w:rsid w:val="003E2A82"/>
    <w:rsid w:val="003E5D03"/>
    <w:rsid w:val="003E6B37"/>
    <w:rsid w:val="003F30C4"/>
    <w:rsid w:val="003F6FA5"/>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D3D47"/>
    <w:rsid w:val="004E5620"/>
    <w:rsid w:val="004F66FE"/>
    <w:rsid w:val="005010D3"/>
    <w:rsid w:val="00502706"/>
    <w:rsid w:val="0050338F"/>
    <w:rsid w:val="005150B8"/>
    <w:rsid w:val="00516EF9"/>
    <w:rsid w:val="00525A43"/>
    <w:rsid w:val="00527AAC"/>
    <w:rsid w:val="005313CC"/>
    <w:rsid w:val="005352EF"/>
    <w:rsid w:val="00536C26"/>
    <w:rsid w:val="005548B3"/>
    <w:rsid w:val="005623B1"/>
    <w:rsid w:val="00570515"/>
    <w:rsid w:val="00576E43"/>
    <w:rsid w:val="005A08EF"/>
    <w:rsid w:val="005A2397"/>
    <w:rsid w:val="005A7BE5"/>
    <w:rsid w:val="005B52C3"/>
    <w:rsid w:val="005B5E58"/>
    <w:rsid w:val="005C471C"/>
    <w:rsid w:val="005D3EAE"/>
    <w:rsid w:val="005E5CA0"/>
    <w:rsid w:val="005E6253"/>
    <w:rsid w:val="005E6340"/>
    <w:rsid w:val="005F69B8"/>
    <w:rsid w:val="00602E87"/>
    <w:rsid w:val="00616A8B"/>
    <w:rsid w:val="0062112A"/>
    <w:rsid w:val="00626055"/>
    <w:rsid w:val="00643756"/>
    <w:rsid w:val="00651FF1"/>
    <w:rsid w:val="00652401"/>
    <w:rsid w:val="00661255"/>
    <w:rsid w:val="00661E3A"/>
    <w:rsid w:val="00674B2F"/>
    <w:rsid w:val="00685B1F"/>
    <w:rsid w:val="0069022E"/>
    <w:rsid w:val="00692CD2"/>
    <w:rsid w:val="00695E5D"/>
    <w:rsid w:val="006A1097"/>
    <w:rsid w:val="006A31BE"/>
    <w:rsid w:val="006B01B5"/>
    <w:rsid w:val="006C0967"/>
    <w:rsid w:val="006C2AAB"/>
    <w:rsid w:val="006C72EE"/>
    <w:rsid w:val="006D651E"/>
    <w:rsid w:val="006E4A97"/>
    <w:rsid w:val="006E7DB6"/>
    <w:rsid w:val="006F22B0"/>
    <w:rsid w:val="006F55A6"/>
    <w:rsid w:val="00735D05"/>
    <w:rsid w:val="0073730A"/>
    <w:rsid w:val="00753448"/>
    <w:rsid w:val="007537DE"/>
    <w:rsid w:val="00763F88"/>
    <w:rsid w:val="00775EFE"/>
    <w:rsid w:val="00794D1A"/>
    <w:rsid w:val="00795E88"/>
    <w:rsid w:val="007A04BC"/>
    <w:rsid w:val="007A2D42"/>
    <w:rsid w:val="007A41E9"/>
    <w:rsid w:val="007A6CC2"/>
    <w:rsid w:val="007B1DE9"/>
    <w:rsid w:val="007B632C"/>
    <w:rsid w:val="007D26BD"/>
    <w:rsid w:val="007D429F"/>
    <w:rsid w:val="007F7301"/>
    <w:rsid w:val="007F7B44"/>
    <w:rsid w:val="00805A6F"/>
    <w:rsid w:val="00814D68"/>
    <w:rsid w:val="00817DEB"/>
    <w:rsid w:val="00827A88"/>
    <w:rsid w:val="00830B04"/>
    <w:rsid w:val="00832A9E"/>
    <w:rsid w:val="008378FA"/>
    <w:rsid w:val="00844789"/>
    <w:rsid w:val="00846723"/>
    <w:rsid w:val="00850CF3"/>
    <w:rsid w:val="008523B3"/>
    <w:rsid w:val="00856366"/>
    <w:rsid w:val="0085671A"/>
    <w:rsid w:val="00856E9F"/>
    <w:rsid w:val="008579E8"/>
    <w:rsid w:val="00872C25"/>
    <w:rsid w:val="0087339C"/>
    <w:rsid w:val="00890BE1"/>
    <w:rsid w:val="00891253"/>
    <w:rsid w:val="00896BD0"/>
    <w:rsid w:val="008A2922"/>
    <w:rsid w:val="008A70B1"/>
    <w:rsid w:val="008A7DE5"/>
    <w:rsid w:val="008B033F"/>
    <w:rsid w:val="008C194A"/>
    <w:rsid w:val="008C1EB7"/>
    <w:rsid w:val="008D0610"/>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33"/>
    <w:rsid w:val="0097037A"/>
    <w:rsid w:val="00974DB1"/>
    <w:rsid w:val="00977C16"/>
    <w:rsid w:val="00981B46"/>
    <w:rsid w:val="0098452E"/>
    <w:rsid w:val="00984A50"/>
    <w:rsid w:val="0099635E"/>
    <w:rsid w:val="00996526"/>
    <w:rsid w:val="00996606"/>
    <w:rsid w:val="009A1A35"/>
    <w:rsid w:val="009A4DDE"/>
    <w:rsid w:val="009A5020"/>
    <w:rsid w:val="009A75EE"/>
    <w:rsid w:val="009A79A5"/>
    <w:rsid w:val="009A7DFC"/>
    <w:rsid w:val="009B7341"/>
    <w:rsid w:val="009C3FDA"/>
    <w:rsid w:val="009C60A5"/>
    <w:rsid w:val="009D0A43"/>
    <w:rsid w:val="009D1008"/>
    <w:rsid w:val="009D315F"/>
    <w:rsid w:val="009D5C0D"/>
    <w:rsid w:val="009E2847"/>
    <w:rsid w:val="009E2F8F"/>
    <w:rsid w:val="009F351A"/>
    <w:rsid w:val="00A12572"/>
    <w:rsid w:val="00A14944"/>
    <w:rsid w:val="00A14F5D"/>
    <w:rsid w:val="00A16E25"/>
    <w:rsid w:val="00A2278C"/>
    <w:rsid w:val="00A245E5"/>
    <w:rsid w:val="00A2711D"/>
    <w:rsid w:val="00A52041"/>
    <w:rsid w:val="00A53077"/>
    <w:rsid w:val="00A53F73"/>
    <w:rsid w:val="00A65AE9"/>
    <w:rsid w:val="00A722F1"/>
    <w:rsid w:val="00A76692"/>
    <w:rsid w:val="00A807D8"/>
    <w:rsid w:val="00A82635"/>
    <w:rsid w:val="00A85141"/>
    <w:rsid w:val="00A85827"/>
    <w:rsid w:val="00A904E6"/>
    <w:rsid w:val="00A96F43"/>
    <w:rsid w:val="00A97E7B"/>
    <w:rsid w:val="00AB108F"/>
    <w:rsid w:val="00AB2F1E"/>
    <w:rsid w:val="00AB30F1"/>
    <w:rsid w:val="00AB6982"/>
    <w:rsid w:val="00AC005F"/>
    <w:rsid w:val="00AC0CE8"/>
    <w:rsid w:val="00AC25C9"/>
    <w:rsid w:val="00AD0DBA"/>
    <w:rsid w:val="00AE06DF"/>
    <w:rsid w:val="00AE1E12"/>
    <w:rsid w:val="00AE39A7"/>
    <w:rsid w:val="00AE62C1"/>
    <w:rsid w:val="00AF232F"/>
    <w:rsid w:val="00B00E5E"/>
    <w:rsid w:val="00B10A07"/>
    <w:rsid w:val="00B12BEF"/>
    <w:rsid w:val="00B335BF"/>
    <w:rsid w:val="00B376E5"/>
    <w:rsid w:val="00B45501"/>
    <w:rsid w:val="00B50EA2"/>
    <w:rsid w:val="00B5187C"/>
    <w:rsid w:val="00B73352"/>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400F8"/>
    <w:rsid w:val="00C460CA"/>
    <w:rsid w:val="00C46814"/>
    <w:rsid w:val="00C55F6F"/>
    <w:rsid w:val="00C578AD"/>
    <w:rsid w:val="00C61440"/>
    <w:rsid w:val="00C633B8"/>
    <w:rsid w:val="00C640CF"/>
    <w:rsid w:val="00C72997"/>
    <w:rsid w:val="00C77057"/>
    <w:rsid w:val="00C82E37"/>
    <w:rsid w:val="00C86311"/>
    <w:rsid w:val="00C97E3C"/>
    <w:rsid w:val="00CA0847"/>
    <w:rsid w:val="00CA62BB"/>
    <w:rsid w:val="00CA6BED"/>
    <w:rsid w:val="00CB1DB0"/>
    <w:rsid w:val="00CC4C50"/>
    <w:rsid w:val="00CC64BF"/>
    <w:rsid w:val="00CC735A"/>
    <w:rsid w:val="00CD2F9F"/>
    <w:rsid w:val="00CE2DA8"/>
    <w:rsid w:val="00CE5DA5"/>
    <w:rsid w:val="00CF4A6F"/>
    <w:rsid w:val="00D036F0"/>
    <w:rsid w:val="00D17E5A"/>
    <w:rsid w:val="00D36B68"/>
    <w:rsid w:val="00D60FE1"/>
    <w:rsid w:val="00D62F43"/>
    <w:rsid w:val="00D66354"/>
    <w:rsid w:val="00D66749"/>
    <w:rsid w:val="00D73442"/>
    <w:rsid w:val="00D83534"/>
    <w:rsid w:val="00D865BF"/>
    <w:rsid w:val="00DA68C6"/>
    <w:rsid w:val="00DB1DC8"/>
    <w:rsid w:val="00DB3159"/>
    <w:rsid w:val="00DB640D"/>
    <w:rsid w:val="00DC22B6"/>
    <w:rsid w:val="00DC6F08"/>
    <w:rsid w:val="00DE2D26"/>
    <w:rsid w:val="00DE39E0"/>
    <w:rsid w:val="00DE5454"/>
    <w:rsid w:val="00DF21C9"/>
    <w:rsid w:val="00E00A20"/>
    <w:rsid w:val="00E03B22"/>
    <w:rsid w:val="00E14C1D"/>
    <w:rsid w:val="00E14DAC"/>
    <w:rsid w:val="00E20DC6"/>
    <w:rsid w:val="00E228E8"/>
    <w:rsid w:val="00E315C2"/>
    <w:rsid w:val="00E325DD"/>
    <w:rsid w:val="00E32D0E"/>
    <w:rsid w:val="00E32EED"/>
    <w:rsid w:val="00E369B0"/>
    <w:rsid w:val="00E36F33"/>
    <w:rsid w:val="00E61F79"/>
    <w:rsid w:val="00E65F60"/>
    <w:rsid w:val="00E775CB"/>
    <w:rsid w:val="00E84B04"/>
    <w:rsid w:val="00E85304"/>
    <w:rsid w:val="00E9152D"/>
    <w:rsid w:val="00E9164F"/>
    <w:rsid w:val="00E96AFC"/>
    <w:rsid w:val="00EA1BCC"/>
    <w:rsid w:val="00EA31C4"/>
    <w:rsid w:val="00EC3CAC"/>
    <w:rsid w:val="00EC461B"/>
    <w:rsid w:val="00EC6B63"/>
    <w:rsid w:val="00ED14A1"/>
    <w:rsid w:val="00ED1784"/>
    <w:rsid w:val="00ED209B"/>
    <w:rsid w:val="00EE3ECC"/>
    <w:rsid w:val="00EF1367"/>
    <w:rsid w:val="00EF1F34"/>
    <w:rsid w:val="00EF67BE"/>
    <w:rsid w:val="00F04E12"/>
    <w:rsid w:val="00F10896"/>
    <w:rsid w:val="00F14A59"/>
    <w:rsid w:val="00F24A25"/>
    <w:rsid w:val="00F41643"/>
    <w:rsid w:val="00F436AE"/>
    <w:rsid w:val="00F6031F"/>
    <w:rsid w:val="00F624AD"/>
    <w:rsid w:val="00F64628"/>
    <w:rsid w:val="00F670FE"/>
    <w:rsid w:val="00F76CBC"/>
    <w:rsid w:val="00F93A36"/>
    <w:rsid w:val="00FA026E"/>
    <w:rsid w:val="00FB16D3"/>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536C26"/>
    <w:pPr>
      <w:pBdr>
        <w:bottom w:val="single" w:sz="8" w:space="4" w:color="4F81BD" w:themeColor="accent1"/>
      </w:pBdr>
    </w:pPr>
    <w:rPr>
      <w:rFonts w:eastAsiaTheme="majorEastAsia" w:cstheme="majorBidi"/>
      <w:szCs w:val="52"/>
    </w:rPr>
  </w:style>
  <w:style w:type="character" w:customStyle="1" w:styleId="TitleChar">
    <w:name w:val="Title Char"/>
    <w:basedOn w:val="DefaultParagraphFont"/>
    <w:link w:val="Title"/>
    <w:uiPriority w:val="10"/>
    <w:rsid w:val="00536C26"/>
    <w:rPr>
      <w:rFonts w:ascii="Times New Roman" w:eastAsiaTheme="majorEastAsia" w:hAnsi="Times New Roman" w:cstheme="majorBidi"/>
      <w:sz w:val="24"/>
      <w:szCs w:val="52"/>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536C26"/>
    <w:pPr>
      <w:pBdr>
        <w:bottom w:val="single" w:sz="8" w:space="4" w:color="4F81BD" w:themeColor="accent1"/>
      </w:pBdr>
    </w:pPr>
    <w:rPr>
      <w:rFonts w:eastAsiaTheme="majorEastAsia" w:cstheme="majorBidi"/>
      <w:szCs w:val="52"/>
    </w:rPr>
  </w:style>
  <w:style w:type="character" w:customStyle="1" w:styleId="TitleChar">
    <w:name w:val="Title Char"/>
    <w:basedOn w:val="DefaultParagraphFont"/>
    <w:link w:val="Title"/>
    <w:uiPriority w:val="10"/>
    <w:rsid w:val="00536C26"/>
    <w:rPr>
      <w:rFonts w:ascii="Times New Roman" w:eastAsiaTheme="majorEastAsia" w:hAnsi="Times New Roman" w:cstheme="majorBidi"/>
      <w:sz w:val="24"/>
      <w:szCs w:val="52"/>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ecd.org/tax/automatic-exchang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126-9653-41E2-B506-4D892368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10436</Characters>
  <Application>Microsoft Office Word</Application>
  <DocSecurity>0</DocSecurity>
  <Lines>267</Lines>
  <Paragraphs>102</Paragraphs>
  <ScaleCrop>false</ScaleCrop>
  <HeadingPairs>
    <vt:vector size="2" baseType="variant">
      <vt:variant>
        <vt:lpstr>Title</vt:lpstr>
      </vt:variant>
      <vt:variant>
        <vt:i4>1</vt:i4>
      </vt:variant>
    </vt:vector>
  </HeadingPairs>
  <TitlesOfParts>
    <vt:vector size="1" baseType="lpstr">
      <vt:lpstr>Automatic Exchange of Financial Account Information - Information for financial institutions (July 2016)</vt:lpstr>
    </vt:vector>
  </TitlesOfParts>
  <Company>Inland Revenue</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Exchange of Financial Account Information - Information for financial institutions (July 2016)</dc:title>
  <dc:creator>Policy and Strategy</dc:creator>
  <cp:lastModifiedBy>David Nind</cp:lastModifiedBy>
  <cp:revision>2</cp:revision>
  <dcterms:created xsi:type="dcterms:W3CDTF">2016-07-28T07:46:00Z</dcterms:created>
  <dcterms:modified xsi:type="dcterms:W3CDTF">2016-07-28T07:46:00Z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