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9AF" w:rsidRPr="00F82AAD" w:rsidRDefault="009719AF" w:rsidP="00C73998">
      <w:pPr>
        <w:jc w:val="both"/>
        <w:rPr>
          <w:rFonts w:ascii="Calibri" w:hAnsi="Calibri"/>
          <w:sz w:val="22"/>
        </w:rPr>
      </w:pPr>
      <w:bookmarkStart w:id="0" w:name="_GoBack"/>
      <w:bookmarkEnd w:id="0"/>
      <w:r>
        <w:rPr>
          <w:noProof/>
          <w:lang w:eastAsia="en-NZ"/>
        </w:rPr>
        <w:drawing>
          <wp:anchor distT="0" distB="0" distL="114300" distR="114300" simplePos="0" relativeHeight="251661312" behindDoc="0" locked="1" layoutInCell="1" allowOverlap="1" wp14:anchorId="71F7C3A3" wp14:editId="49193522">
            <wp:simplePos x="0" y="0"/>
            <wp:positionH relativeFrom="column">
              <wp:posOffset>0</wp:posOffset>
            </wp:positionH>
            <wp:positionV relativeFrom="paragraph">
              <wp:posOffset>0</wp:posOffset>
            </wp:positionV>
            <wp:extent cx="2074545" cy="579755"/>
            <wp:effectExtent l="0" t="0" r="1905" b="0"/>
            <wp:wrapNone/>
            <wp:docPr id="3" name="Picture 3" descr="IR logo black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R logo black 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4545" cy="57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19AF" w:rsidRPr="009719AF" w:rsidRDefault="009719AF" w:rsidP="009719AF">
      <w:pPr>
        <w:jc w:val="right"/>
        <w:rPr>
          <w:rFonts w:cs="Times New Roman"/>
          <w:bCs/>
          <w:szCs w:val="24"/>
        </w:rPr>
      </w:pPr>
      <w:r w:rsidRPr="009719AF">
        <w:rPr>
          <w:rFonts w:cs="Times New Roman"/>
          <w:bCs/>
          <w:szCs w:val="24"/>
        </w:rPr>
        <w:t>November 2016</w:t>
      </w:r>
    </w:p>
    <w:p w:rsidR="009719AF" w:rsidRDefault="009719AF" w:rsidP="00C73998">
      <w:pPr>
        <w:jc w:val="both"/>
        <w:rPr>
          <w:rFonts w:cs="Times New Roman"/>
          <w:bCs/>
          <w:szCs w:val="24"/>
        </w:rPr>
      </w:pPr>
    </w:p>
    <w:p w:rsidR="009719AF" w:rsidRDefault="009719AF" w:rsidP="00C73998">
      <w:pPr>
        <w:jc w:val="both"/>
        <w:rPr>
          <w:rFonts w:cs="Times New Roman"/>
          <w:bCs/>
          <w:szCs w:val="24"/>
        </w:rPr>
      </w:pPr>
    </w:p>
    <w:p w:rsidR="00F82AAD" w:rsidRPr="009719AF" w:rsidRDefault="00F82AAD" w:rsidP="00C73998">
      <w:pPr>
        <w:jc w:val="both"/>
        <w:rPr>
          <w:rFonts w:cs="Times New Roman"/>
          <w:bCs/>
          <w:szCs w:val="24"/>
        </w:rPr>
      </w:pPr>
    </w:p>
    <w:p w:rsidR="009929AB" w:rsidRDefault="00852E2D" w:rsidP="00924C2B">
      <w:pPr>
        <w:jc w:val="center"/>
        <w:rPr>
          <w:rFonts w:cs="Times New Roman"/>
          <w:b/>
          <w:bCs/>
          <w:sz w:val="36"/>
          <w:szCs w:val="36"/>
        </w:rPr>
      </w:pPr>
      <w:r w:rsidRPr="009719AF">
        <w:rPr>
          <w:rFonts w:cs="Times New Roman"/>
          <w:b/>
          <w:bCs/>
          <w:sz w:val="36"/>
          <w:szCs w:val="36"/>
        </w:rPr>
        <w:t>A</w:t>
      </w:r>
      <w:r w:rsidR="00F82AAD">
        <w:rPr>
          <w:rFonts w:cs="Times New Roman"/>
          <w:b/>
          <w:bCs/>
          <w:sz w:val="36"/>
          <w:szCs w:val="36"/>
        </w:rPr>
        <w:t xml:space="preserve">utomatic </w:t>
      </w:r>
      <w:r w:rsidR="009929AB">
        <w:rPr>
          <w:rFonts w:cs="Times New Roman"/>
          <w:b/>
          <w:bCs/>
          <w:sz w:val="36"/>
          <w:szCs w:val="36"/>
        </w:rPr>
        <w:t>E</w:t>
      </w:r>
      <w:r w:rsidR="00F82AAD">
        <w:rPr>
          <w:rFonts w:cs="Times New Roman"/>
          <w:b/>
          <w:bCs/>
          <w:sz w:val="36"/>
          <w:szCs w:val="36"/>
        </w:rPr>
        <w:t xml:space="preserve">xchange of </w:t>
      </w:r>
      <w:r w:rsidR="009929AB">
        <w:rPr>
          <w:rFonts w:cs="Times New Roman"/>
          <w:b/>
          <w:bCs/>
          <w:sz w:val="36"/>
          <w:szCs w:val="36"/>
        </w:rPr>
        <w:t>Information</w:t>
      </w:r>
    </w:p>
    <w:p w:rsidR="009929AB" w:rsidRDefault="009929AB" w:rsidP="00924C2B">
      <w:pPr>
        <w:jc w:val="center"/>
        <w:rPr>
          <w:rFonts w:cs="Times New Roman"/>
          <w:b/>
          <w:bCs/>
          <w:sz w:val="36"/>
          <w:szCs w:val="36"/>
        </w:rPr>
      </w:pPr>
    </w:p>
    <w:p w:rsidR="00852E2D" w:rsidRPr="009719AF" w:rsidRDefault="008066DB" w:rsidP="00924C2B">
      <w:pPr>
        <w:jc w:val="center"/>
        <w:rPr>
          <w:rFonts w:cs="Times New Roman"/>
          <w:b/>
          <w:bCs/>
          <w:sz w:val="36"/>
          <w:szCs w:val="36"/>
        </w:rPr>
      </w:pPr>
      <w:r>
        <w:rPr>
          <w:rFonts w:cs="Times New Roman"/>
          <w:b/>
          <w:bCs/>
          <w:sz w:val="36"/>
          <w:szCs w:val="36"/>
        </w:rPr>
        <w:t>Request for submissions – e</w:t>
      </w:r>
      <w:r w:rsidR="00F82AAD">
        <w:rPr>
          <w:rFonts w:cs="Times New Roman"/>
          <w:b/>
          <w:bCs/>
          <w:sz w:val="36"/>
          <w:szCs w:val="36"/>
        </w:rPr>
        <w:t>xcluded entities (non-reporting financial institutions) and excluded accounts lists</w:t>
      </w:r>
    </w:p>
    <w:p w:rsidR="00852E2D" w:rsidRDefault="00852E2D" w:rsidP="009719AF">
      <w:pPr>
        <w:rPr>
          <w:rFonts w:cs="Times New Roman"/>
          <w:szCs w:val="24"/>
        </w:rPr>
      </w:pPr>
    </w:p>
    <w:p w:rsidR="009719AF" w:rsidRDefault="009719AF" w:rsidP="009719AF">
      <w:pPr>
        <w:rPr>
          <w:rFonts w:cs="Times New Roman"/>
          <w:szCs w:val="24"/>
        </w:rPr>
      </w:pPr>
    </w:p>
    <w:p w:rsidR="00F82AAD" w:rsidRPr="00F82AAD" w:rsidRDefault="00F82AAD" w:rsidP="00F82AAD">
      <w:pPr>
        <w:pStyle w:val="Heading1"/>
      </w:pPr>
      <w:r w:rsidRPr="00F82AAD">
        <w:t>Overview</w:t>
      </w:r>
    </w:p>
    <w:p w:rsidR="00F82AAD" w:rsidRDefault="00F82AAD" w:rsidP="009719AF">
      <w:pPr>
        <w:rPr>
          <w:rFonts w:cs="Times New Roman"/>
          <w:szCs w:val="24"/>
        </w:rPr>
      </w:pPr>
    </w:p>
    <w:p w:rsidR="00F82AAD" w:rsidRDefault="003C11DD" w:rsidP="009719AF">
      <w:pPr>
        <w:rPr>
          <w:rFonts w:cs="Times New Roman"/>
          <w:szCs w:val="24"/>
        </w:rPr>
      </w:pPr>
      <w:r w:rsidRPr="00C73998">
        <w:rPr>
          <w:rFonts w:cs="Times New Roman"/>
          <w:szCs w:val="24"/>
        </w:rPr>
        <w:t xml:space="preserve">Inland Revenue </w:t>
      </w:r>
      <w:r w:rsidR="00F82AAD">
        <w:rPr>
          <w:rFonts w:cs="Times New Roman"/>
          <w:szCs w:val="24"/>
        </w:rPr>
        <w:t xml:space="preserve">plans </w:t>
      </w:r>
      <w:r w:rsidRPr="00C73998">
        <w:rPr>
          <w:rFonts w:cs="Times New Roman"/>
          <w:szCs w:val="24"/>
        </w:rPr>
        <w:t xml:space="preserve">to issue the New Zealand lists of </w:t>
      </w:r>
      <w:r w:rsidR="00F613C0">
        <w:rPr>
          <w:rFonts w:cs="Times New Roman"/>
          <w:szCs w:val="24"/>
        </w:rPr>
        <w:t>“</w:t>
      </w:r>
      <w:r w:rsidRPr="00C73998">
        <w:rPr>
          <w:rFonts w:cs="Times New Roman"/>
          <w:szCs w:val="24"/>
        </w:rPr>
        <w:t>other low risk</w:t>
      </w:r>
      <w:r w:rsidR="00F613C0">
        <w:rPr>
          <w:rFonts w:cs="Times New Roman"/>
          <w:szCs w:val="24"/>
        </w:rPr>
        <w:t>”</w:t>
      </w:r>
      <w:r w:rsidRPr="00C73998">
        <w:rPr>
          <w:rFonts w:cs="Times New Roman"/>
          <w:szCs w:val="24"/>
        </w:rPr>
        <w:t xml:space="preserve"> </w:t>
      </w:r>
      <w:r w:rsidR="00EB28AA" w:rsidRPr="00EB28AA">
        <w:rPr>
          <w:rFonts w:cs="Times New Roman"/>
          <w:szCs w:val="24"/>
        </w:rPr>
        <w:t>excluded entities</w:t>
      </w:r>
      <w:r w:rsidR="00EB28AA">
        <w:rPr>
          <w:rFonts w:cs="Times New Roman"/>
          <w:szCs w:val="24"/>
        </w:rPr>
        <w:t xml:space="preserve"> (</w:t>
      </w:r>
      <w:r w:rsidR="00F82AAD" w:rsidRPr="00C73998">
        <w:rPr>
          <w:rFonts w:cs="Times New Roman"/>
          <w:szCs w:val="24"/>
        </w:rPr>
        <w:t>non-reporting financial institutions</w:t>
      </w:r>
      <w:r w:rsidR="00F613C0">
        <w:rPr>
          <w:rFonts w:cs="Times New Roman"/>
          <w:szCs w:val="24"/>
        </w:rPr>
        <w:t xml:space="preserve">, or </w:t>
      </w:r>
      <w:r w:rsidRPr="00C73998">
        <w:rPr>
          <w:rFonts w:cs="Times New Roman"/>
          <w:szCs w:val="24"/>
        </w:rPr>
        <w:t>NRFIs</w:t>
      </w:r>
      <w:r w:rsidR="00F82AAD">
        <w:rPr>
          <w:rFonts w:cs="Times New Roman"/>
          <w:szCs w:val="24"/>
        </w:rPr>
        <w:t>)</w:t>
      </w:r>
      <w:r w:rsidRPr="00C73998">
        <w:rPr>
          <w:rFonts w:cs="Times New Roman"/>
          <w:szCs w:val="24"/>
        </w:rPr>
        <w:t xml:space="preserve"> and excluded accounts as soon as possible after the </w:t>
      </w:r>
      <w:r w:rsidR="00265530">
        <w:rPr>
          <w:rFonts w:cs="Times New Roman"/>
          <w:szCs w:val="24"/>
        </w:rPr>
        <w:t xml:space="preserve">legislation from the </w:t>
      </w:r>
      <w:r w:rsidR="00F82AAD" w:rsidRPr="00F82AAD">
        <w:rPr>
          <w:rFonts w:cs="Times New Roman"/>
          <w:szCs w:val="24"/>
        </w:rPr>
        <w:t>Taxation (Business Tax, Exchange of Information, and Remedial Matters) Bill</w:t>
      </w:r>
      <w:r w:rsidRPr="00C73998">
        <w:rPr>
          <w:rFonts w:cs="Times New Roman"/>
          <w:szCs w:val="24"/>
        </w:rPr>
        <w:t xml:space="preserve"> </w:t>
      </w:r>
      <w:r w:rsidR="00F82AAD">
        <w:rPr>
          <w:rFonts w:cs="Times New Roman"/>
          <w:szCs w:val="24"/>
        </w:rPr>
        <w:t>is enacted.</w:t>
      </w:r>
    </w:p>
    <w:p w:rsidR="00F82AAD" w:rsidRDefault="00F82AAD" w:rsidP="009719AF">
      <w:pPr>
        <w:rPr>
          <w:rFonts w:cs="Times New Roman"/>
          <w:szCs w:val="24"/>
        </w:rPr>
      </w:pPr>
    </w:p>
    <w:p w:rsidR="003C11DD" w:rsidRPr="00C73998" w:rsidRDefault="00F82AAD" w:rsidP="009719AF">
      <w:pPr>
        <w:rPr>
          <w:rFonts w:cs="Times New Roman"/>
          <w:szCs w:val="24"/>
        </w:rPr>
      </w:pPr>
      <w:r>
        <w:rPr>
          <w:rFonts w:cs="Times New Roman"/>
          <w:szCs w:val="24"/>
        </w:rPr>
        <w:t>F</w:t>
      </w:r>
      <w:r w:rsidR="003C11DD" w:rsidRPr="00C73998">
        <w:rPr>
          <w:rFonts w:cs="Times New Roman"/>
          <w:szCs w:val="24"/>
        </w:rPr>
        <w:t xml:space="preserve">inancial </w:t>
      </w:r>
      <w:r>
        <w:rPr>
          <w:rFonts w:cs="Times New Roman"/>
          <w:szCs w:val="24"/>
        </w:rPr>
        <w:t>i</w:t>
      </w:r>
      <w:r w:rsidR="003C11DD" w:rsidRPr="00C73998">
        <w:rPr>
          <w:rFonts w:cs="Times New Roman"/>
          <w:szCs w:val="24"/>
        </w:rPr>
        <w:t xml:space="preserve">nstitutions and interested parties </w:t>
      </w:r>
      <w:r>
        <w:rPr>
          <w:rFonts w:cs="Times New Roman"/>
          <w:szCs w:val="24"/>
        </w:rPr>
        <w:t xml:space="preserve">are invited to submit details of </w:t>
      </w:r>
      <w:r w:rsidR="003C11DD" w:rsidRPr="00C73998">
        <w:rPr>
          <w:rFonts w:cs="Times New Roman"/>
          <w:szCs w:val="24"/>
        </w:rPr>
        <w:t>entities and accounts that they believe meet the criteria for exclusion.</w:t>
      </w:r>
    </w:p>
    <w:p w:rsidR="00E24C7B" w:rsidRDefault="00E24C7B" w:rsidP="009719AF">
      <w:pPr>
        <w:rPr>
          <w:rFonts w:cs="Times New Roman"/>
          <w:szCs w:val="24"/>
        </w:rPr>
      </w:pPr>
    </w:p>
    <w:p w:rsidR="00024D50" w:rsidRDefault="00024D50" w:rsidP="009719AF">
      <w:pPr>
        <w:rPr>
          <w:rFonts w:cs="Times New Roman"/>
          <w:szCs w:val="24"/>
        </w:rPr>
      </w:pPr>
      <w:r>
        <w:rPr>
          <w:rFonts w:cs="Times New Roman"/>
          <w:szCs w:val="24"/>
        </w:rPr>
        <w:t xml:space="preserve">Submissions should be sent to </w:t>
      </w:r>
      <w:hyperlink r:id="rId9" w:history="1">
        <w:r w:rsidRPr="00115596">
          <w:rPr>
            <w:rStyle w:val="Hyperlink"/>
            <w:rFonts w:cs="Times New Roman"/>
            <w:szCs w:val="24"/>
          </w:rPr>
          <w:t>policy.webmaster@ird.govt.nz</w:t>
        </w:r>
      </w:hyperlink>
      <w:r>
        <w:rPr>
          <w:rFonts w:cs="Times New Roman"/>
          <w:szCs w:val="24"/>
        </w:rPr>
        <w:t xml:space="preserve"> by 31 January 2017.</w:t>
      </w:r>
    </w:p>
    <w:p w:rsidR="00024D50" w:rsidRDefault="00024D50" w:rsidP="009719AF">
      <w:pPr>
        <w:rPr>
          <w:rFonts w:cs="Times New Roman"/>
          <w:szCs w:val="24"/>
        </w:rPr>
      </w:pPr>
    </w:p>
    <w:p w:rsidR="00024D50" w:rsidRDefault="00024D50" w:rsidP="009719AF">
      <w:pPr>
        <w:rPr>
          <w:rFonts w:cs="Times New Roman"/>
          <w:szCs w:val="24"/>
        </w:rPr>
      </w:pPr>
    </w:p>
    <w:p w:rsidR="00F82AAD" w:rsidRDefault="00F82AAD" w:rsidP="00F82AAD">
      <w:pPr>
        <w:pStyle w:val="Heading1"/>
      </w:pPr>
      <w:r>
        <w:t>Criteria</w:t>
      </w:r>
      <w:r w:rsidR="00024D50">
        <w:t xml:space="preserve"> for exclusion</w:t>
      </w:r>
    </w:p>
    <w:p w:rsidR="00F82AAD" w:rsidRPr="00C73998" w:rsidRDefault="00F82AAD" w:rsidP="009719AF">
      <w:pPr>
        <w:rPr>
          <w:rFonts w:cs="Times New Roman"/>
          <w:szCs w:val="24"/>
        </w:rPr>
      </w:pPr>
    </w:p>
    <w:p w:rsidR="00852E2D" w:rsidRPr="00C73998" w:rsidRDefault="00852E2D" w:rsidP="00F82AAD">
      <w:pPr>
        <w:rPr>
          <w:rFonts w:cs="Times New Roman"/>
          <w:szCs w:val="24"/>
        </w:rPr>
      </w:pPr>
      <w:r w:rsidRPr="00C73998">
        <w:rPr>
          <w:rFonts w:cs="Times New Roman"/>
          <w:szCs w:val="24"/>
        </w:rPr>
        <w:t xml:space="preserve">The general criteria for excluded entities (NRFIs) and </w:t>
      </w:r>
      <w:r w:rsidR="00024D50">
        <w:rPr>
          <w:rFonts w:cs="Times New Roman"/>
          <w:szCs w:val="24"/>
        </w:rPr>
        <w:t xml:space="preserve">excluded </w:t>
      </w:r>
      <w:r w:rsidRPr="00C73998">
        <w:rPr>
          <w:rFonts w:cs="Times New Roman"/>
          <w:szCs w:val="24"/>
        </w:rPr>
        <w:t>accounts are set out</w:t>
      </w:r>
      <w:r w:rsidR="00F82AAD">
        <w:rPr>
          <w:rFonts w:cs="Times New Roman"/>
          <w:szCs w:val="24"/>
        </w:rPr>
        <w:t xml:space="preserve"> in the Common Reporting Standard (</w:t>
      </w:r>
      <w:r w:rsidR="00F82AAD" w:rsidRPr="00C73998">
        <w:rPr>
          <w:rFonts w:cs="Times New Roman"/>
          <w:szCs w:val="24"/>
        </w:rPr>
        <w:t>CRS</w:t>
      </w:r>
      <w:r w:rsidR="00F82AAD">
        <w:rPr>
          <w:rFonts w:cs="Times New Roman"/>
          <w:szCs w:val="24"/>
        </w:rPr>
        <w:t>)</w:t>
      </w:r>
      <w:r w:rsidR="00EB28AA">
        <w:rPr>
          <w:rFonts w:cs="Times New Roman"/>
          <w:szCs w:val="24"/>
        </w:rPr>
        <w:t>,</w:t>
      </w:r>
      <w:r w:rsidR="00F82AAD">
        <w:rPr>
          <w:rFonts w:cs="Times New Roman"/>
          <w:szCs w:val="24"/>
        </w:rPr>
        <w:t xml:space="preserve"> available at </w:t>
      </w:r>
      <w:hyperlink r:id="rId10" w:history="1">
        <w:r w:rsidR="00F82AAD" w:rsidRPr="00115596">
          <w:rPr>
            <w:rStyle w:val="Hyperlink"/>
            <w:rFonts w:cs="Times New Roman"/>
            <w:szCs w:val="24"/>
          </w:rPr>
          <w:t>http://www.oecd.org/tax/automatic-exchange/common-reporting-standard/</w:t>
        </w:r>
      </w:hyperlink>
    </w:p>
    <w:p w:rsidR="00F82AAD" w:rsidRDefault="00F82AAD" w:rsidP="009719AF">
      <w:pPr>
        <w:rPr>
          <w:rFonts w:cs="Times New Roman"/>
          <w:szCs w:val="24"/>
        </w:rPr>
      </w:pPr>
    </w:p>
    <w:p w:rsidR="00F82AAD" w:rsidRDefault="00F82AAD" w:rsidP="009719AF">
      <w:pPr>
        <w:rPr>
          <w:rFonts w:cs="Times New Roman"/>
          <w:szCs w:val="24"/>
        </w:rPr>
      </w:pPr>
      <w:r>
        <w:rPr>
          <w:rFonts w:cs="Times New Roman"/>
          <w:szCs w:val="24"/>
        </w:rPr>
        <w:t>E</w:t>
      </w:r>
      <w:r w:rsidR="00852E2D" w:rsidRPr="00C73998">
        <w:rPr>
          <w:rFonts w:cs="Times New Roman"/>
          <w:szCs w:val="24"/>
        </w:rPr>
        <w:t xml:space="preserve">ntities </w:t>
      </w:r>
      <w:r w:rsidR="00E24C7B">
        <w:rPr>
          <w:rFonts w:cs="Times New Roman"/>
          <w:szCs w:val="24"/>
        </w:rPr>
        <w:t>and</w:t>
      </w:r>
      <w:r w:rsidR="00852E2D" w:rsidRPr="00C73998">
        <w:rPr>
          <w:rFonts w:cs="Times New Roman"/>
          <w:szCs w:val="24"/>
        </w:rPr>
        <w:t xml:space="preserve"> accounts that </w:t>
      </w:r>
      <w:r w:rsidR="00024D50">
        <w:rPr>
          <w:rFonts w:cs="Times New Roman"/>
          <w:szCs w:val="24"/>
        </w:rPr>
        <w:t>meet</w:t>
      </w:r>
      <w:r w:rsidR="00852E2D" w:rsidRPr="00C73998">
        <w:rPr>
          <w:rFonts w:cs="Times New Roman"/>
          <w:szCs w:val="24"/>
        </w:rPr>
        <w:t xml:space="preserve"> </w:t>
      </w:r>
      <w:r w:rsidR="00024D50">
        <w:rPr>
          <w:rFonts w:cs="Times New Roman"/>
          <w:szCs w:val="24"/>
        </w:rPr>
        <w:t>the general criteria</w:t>
      </w:r>
      <w:r w:rsidR="00852E2D" w:rsidRPr="00C73998">
        <w:rPr>
          <w:rFonts w:cs="Times New Roman"/>
          <w:szCs w:val="24"/>
        </w:rPr>
        <w:t xml:space="preserve"> are automatically excluded </w:t>
      </w:r>
      <w:r w:rsidR="00024D50">
        <w:rPr>
          <w:rFonts w:cs="Times New Roman"/>
          <w:szCs w:val="24"/>
        </w:rPr>
        <w:t xml:space="preserve">– they </w:t>
      </w:r>
      <w:r w:rsidR="00024D50" w:rsidRPr="00C73998">
        <w:rPr>
          <w:rFonts w:cs="Times New Roman"/>
          <w:szCs w:val="24"/>
        </w:rPr>
        <w:t xml:space="preserve">do not need to be separately </w:t>
      </w:r>
      <w:r w:rsidR="00024D50">
        <w:rPr>
          <w:rFonts w:cs="Times New Roman"/>
          <w:szCs w:val="24"/>
        </w:rPr>
        <w:t>approved or published on a list</w:t>
      </w:r>
      <w:r>
        <w:rPr>
          <w:rFonts w:cs="Times New Roman"/>
          <w:szCs w:val="24"/>
        </w:rPr>
        <w:t>.</w:t>
      </w:r>
    </w:p>
    <w:p w:rsidR="00F82AAD" w:rsidRDefault="00F82AAD" w:rsidP="009719AF">
      <w:pPr>
        <w:rPr>
          <w:rFonts w:cs="Times New Roman"/>
          <w:szCs w:val="24"/>
        </w:rPr>
      </w:pPr>
    </w:p>
    <w:p w:rsidR="00852E2D" w:rsidRDefault="00852E2D" w:rsidP="009719AF">
      <w:pPr>
        <w:rPr>
          <w:rFonts w:cs="Times New Roman"/>
          <w:szCs w:val="24"/>
        </w:rPr>
      </w:pPr>
      <w:r w:rsidRPr="00C73998">
        <w:rPr>
          <w:rFonts w:cs="Times New Roman"/>
          <w:szCs w:val="24"/>
        </w:rPr>
        <w:t xml:space="preserve">However, for both </w:t>
      </w:r>
      <w:r w:rsidR="00EB28AA" w:rsidRPr="00F613C0">
        <w:rPr>
          <w:rFonts w:cs="Times New Roman"/>
          <w:szCs w:val="24"/>
        </w:rPr>
        <w:t>excluded entities</w:t>
      </w:r>
      <w:r w:rsidR="00EB28AA">
        <w:rPr>
          <w:rFonts w:cs="Times New Roman"/>
          <w:szCs w:val="24"/>
        </w:rPr>
        <w:t xml:space="preserve"> (</w:t>
      </w:r>
      <w:r w:rsidRPr="00C73998">
        <w:rPr>
          <w:rFonts w:cs="Times New Roman"/>
          <w:szCs w:val="24"/>
        </w:rPr>
        <w:t>NRFIs</w:t>
      </w:r>
      <w:r w:rsidR="00EB28AA">
        <w:rPr>
          <w:rFonts w:cs="Times New Roman"/>
          <w:szCs w:val="24"/>
        </w:rPr>
        <w:t>)</w:t>
      </w:r>
      <w:r w:rsidRPr="00C73998">
        <w:rPr>
          <w:rFonts w:cs="Times New Roman"/>
          <w:szCs w:val="24"/>
        </w:rPr>
        <w:t xml:space="preserve"> and excluded accounts, the C</w:t>
      </w:r>
      <w:r w:rsidR="009929AB">
        <w:rPr>
          <w:rFonts w:cs="Times New Roman"/>
          <w:szCs w:val="24"/>
        </w:rPr>
        <w:t xml:space="preserve">RS contains </w:t>
      </w:r>
      <w:r w:rsidR="00EB28AA">
        <w:rPr>
          <w:rFonts w:cs="Times New Roman"/>
          <w:szCs w:val="24"/>
        </w:rPr>
        <w:t>“</w:t>
      </w:r>
      <w:r w:rsidRPr="00C73998">
        <w:rPr>
          <w:rFonts w:cs="Times New Roman"/>
          <w:szCs w:val="24"/>
        </w:rPr>
        <w:t>other low risk</w:t>
      </w:r>
      <w:r w:rsidR="00EB28AA">
        <w:rPr>
          <w:rFonts w:cs="Times New Roman"/>
          <w:szCs w:val="24"/>
        </w:rPr>
        <w:t>”</w:t>
      </w:r>
      <w:r w:rsidRPr="00C73998">
        <w:rPr>
          <w:rFonts w:cs="Times New Roman"/>
          <w:szCs w:val="24"/>
        </w:rPr>
        <w:t xml:space="preserve"> categories that involve a </w:t>
      </w:r>
      <w:r w:rsidRPr="00281740">
        <w:rPr>
          <w:rFonts w:cs="Times New Roman"/>
          <w:szCs w:val="24"/>
        </w:rPr>
        <w:t>consideration of risk and substitutable criteria</w:t>
      </w:r>
      <w:r w:rsidR="00745BEB">
        <w:rPr>
          <w:rFonts w:cs="Times New Roman"/>
          <w:szCs w:val="24"/>
        </w:rPr>
        <w:t>:</w:t>
      </w:r>
    </w:p>
    <w:p w:rsidR="00C73998" w:rsidRDefault="00C73998" w:rsidP="009719AF">
      <w:pPr>
        <w:rPr>
          <w:rFonts w:cs="Times New Roman"/>
          <w:szCs w:val="24"/>
        </w:rPr>
      </w:pPr>
    </w:p>
    <w:p w:rsidR="00E24C7B" w:rsidRDefault="00E24C7B" w:rsidP="00281740">
      <w:pPr>
        <w:pStyle w:val="Heading2"/>
        <w:ind w:left="567"/>
      </w:pPr>
      <w:r w:rsidRPr="00C73998">
        <w:t xml:space="preserve">NRFIs </w:t>
      </w:r>
      <w:r>
        <w:t>–</w:t>
      </w:r>
      <w:r w:rsidRPr="00C73998">
        <w:t xml:space="preserve"> CRS </w:t>
      </w:r>
      <w:r>
        <w:t>s</w:t>
      </w:r>
      <w:r w:rsidRPr="00C73998">
        <w:t>ection VIII.B(1)(c)</w:t>
      </w:r>
    </w:p>
    <w:p w:rsidR="00E24C7B" w:rsidRPr="00281740" w:rsidRDefault="00E24C7B" w:rsidP="00281740">
      <w:pPr>
        <w:autoSpaceDE w:val="0"/>
        <w:autoSpaceDN w:val="0"/>
        <w:ind w:left="567"/>
        <w:rPr>
          <w:rFonts w:cs="Times New Roman"/>
          <w:szCs w:val="24"/>
        </w:rPr>
      </w:pPr>
    </w:p>
    <w:p w:rsidR="00E24C7B" w:rsidRPr="009929AB" w:rsidRDefault="00953DCF" w:rsidP="00281740">
      <w:pPr>
        <w:autoSpaceDE w:val="0"/>
        <w:autoSpaceDN w:val="0"/>
        <w:ind w:left="567"/>
        <w:rPr>
          <w:rFonts w:cs="Times New Roman"/>
          <w:i/>
          <w:szCs w:val="24"/>
        </w:rPr>
      </w:pPr>
      <w:r>
        <w:rPr>
          <w:rFonts w:cs="Times New Roman"/>
          <w:i/>
          <w:szCs w:val="24"/>
        </w:rPr>
        <w:t>…</w:t>
      </w:r>
      <w:r w:rsidR="00E24C7B" w:rsidRPr="009929AB">
        <w:rPr>
          <w:rFonts w:cs="Times New Roman"/>
          <w:i/>
          <w:szCs w:val="24"/>
        </w:rPr>
        <w:t>any other Entity that presents a low risk of being used to evade tax, has substantially similar characteristics to any of the Entities described in subparagraphs B(1)(a) and (b), and is defined in domestic law as a Non-Reporting Financial Institution, provided that the status of such Entity as a Non-Reporting Financial Institution does not frustrate the purposes of the Common Reporting Standard;</w:t>
      </w:r>
    </w:p>
    <w:p w:rsidR="00E24C7B" w:rsidRPr="00C73998" w:rsidRDefault="00E24C7B" w:rsidP="00281740">
      <w:pPr>
        <w:ind w:left="567"/>
        <w:rPr>
          <w:rFonts w:cs="Times New Roman"/>
          <w:szCs w:val="24"/>
        </w:rPr>
      </w:pPr>
    </w:p>
    <w:p w:rsidR="00E24C7B" w:rsidRDefault="00E24C7B" w:rsidP="00281740">
      <w:pPr>
        <w:pStyle w:val="Heading2"/>
        <w:ind w:left="567"/>
      </w:pPr>
      <w:r w:rsidRPr="00C73998">
        <w:t xml:space="preserve">Excluded </w:t>
      </w:r>
      <w:r w:rsidR="00EB28AA">
        <w:t>A</w:t>
      </w:r>
      <w:r w:rsidRPr="00C73998">
        <w:t xml:space="preserve">ccounts </w:t>
      </w:r>
      <w:r>
        <w:t>–</w:t>
      </w:r>
      <w:r w:rsidRPr="00C73998">
        <w:t xml:space="preserve"> CRS </w:t>
      </w:r>
      <w:r>
        <w:t>s</w:t>
      </w:r>
      <w:r w:rsidRPr="00C73998">
        <w:t>ection VIII.C(17)(g)</w:t>
      </w:r>
    </w:p>
    <w:p w:rsidR="00E24C7B" w:rsidRPr="009929AB" w:rsidRDefault="00E24C7B" w:rsidP="00281740">
      <w:pPr>
        <w:ind w:left="567"/>
        <w:rPr>
          <w:rFonts w:cs="Times New Roman"/>
          <w:szCs w:val="24"/>
        </w:rPr>
      </w:pPr>
    </w:p>
    <w:p w:rsidR="00E24C7B" w:rsidRPr="009929AB" w:rsidRDefault="00953DCF" w:rsidP="00281740">
      <w:pPr>
        <w:autoSpaceDE w:val="0"/>
        <w:autoSpaceDN w:val="0"/>
        <w:ind w:left="567"/>
        <w:rPr>
          <w:rFonts w:cs="Times New Roman"/>
          <w:i/>
          <w:szCs w:val="24"/>
        </w:rPr>
      </w:pPr>
      <w:r>
        <w:rPr>
          <w:rFonts w:cs="Times New Roman"/>
          <w:i/>
          <w:szCs w:val="24"/>
        </w:rPr>
        <w:t>…</w:t>
      </w:r>
      <w:r w:rsidR="00E24C7B" w:rsidRPr="009929AB">
        <w:rPr>
          <w:rFonts w:cs="Times New Roman"/>
          <w:i/>
          <w:szCs w:val="24"/>
        </w:rPr>
        <w:t xml:space="preserve">any other account that presents a low risk of being used to evade tax, has substantially similar characteristics to any of the accounts described in subparagraphs </w:t>
      </w:r>
      <w:r w:rsidR="00E24C7B" w:rsidRPr="009929AB">
        <w:rPr>
          <w:rFonts w:cs="Times New Roman"/>
          <w:i/>
          <w:szCs w:val="24"/>
        </w:rPr>
        <w:lastRenderedPageBreak/>
        <w:t>C(17)(a) through (f), and is defined in domestic law as an Excluded Account, provided that the status of such account as an Excluded Account does not frustrate the purposes of the Common Reporting Standard.</w:t>
      </w:r>
    </w:p>
    <w:p w:rsidR="00E24C7B" w:rsidRDefault="00E24C7B" w:rsidP="009719AF">
      <w:pPr>
        <w:rPr>
          <w:rFonts w:cs="Times New Roman"/>
          <w:szCs w:val="24"/>
        </w:rPr>
      </w:pPr>
    </w:p>
    <w:p w:rsidR="00F613C0" w:rsidRDefault="00F613C0" w:rsidP="00F613C0">
      <w:pPr>
        <w:rPr>
          <w:rFonts w:cs="Times New Roman"/>
          <w:szCs w:val="24"/>
        </w:rPr>
      </w:pPr>
      <w:r>
        <w:rPr>
          <w:rFonts w:cs="Times New Roman"/>
          <w:szCs w:val="24"/>
        </w:rPr>
        <w:t>The Common Reporting Standard (</w:t>
      </w:r>
      <w:r w:rsidRPr="00C73998">
        <w:rPr>
          <w:rFonts w:cs="Times New Roman"/>
          <w:szCs w:val="24"/>
        </w:rPr>
        <w:t>CRS</w:t>
      </w:r>
      <w:r>
        <w:rPr>
          <w:rFonts w:cs="Times New Roman"/>
          <w:szCs w:val="24"/>
        </w:rPr>
        <w:t>) requires these</w:t>
      </w:r>
      <w:r w:rsidRPr="00C73998">
        <w:rPr>
          <w:rFonts w:cs="Times New Roman"/>
          <w:szCs w:val="24"/>
        </w:rPr>
        <w:t xml:space="preserve"> other low risk</w:t>
      </w:r>
      <w:r>
        <w:rPr>
          <w:rFonts w:cs="Times New Roman"/>
          <w:szCs w:val="24"/>
        </w:rPr>
        <w:t xml:space="preserve"> categories to be</w:t>
      </w:r>
      <w:r w:rsidRPr="00C73998">
        <w:rPr>
          <w:rFonts w:cs="Times New Roman"/>
          <w:szCs w:val="24"/>
        </w:rPr>
        <w:t xml:space="preserve"> defined in domestic law.</w:t>
      </w:r>
    </w:p>
    <w:p w:rsidR="00F613C0" w:rsidRDefault="00F613C0" w:rsidP="00F613C0">
      <w:pPr>
        <w:rPr>
          <w:rFonts w:cs="Times New Roman"/>
          <w:szCs w:val="24"/>
        </w:rPr>
      </w:pPr>
    </w:p>
    <w:p w:rsidR="00F613C0" w:rsidRDefault="00F613C0" w:rsidP="00F613C0">
      <w:pPr>
        <w:rPr>
          <w:rFonts w:cs="Times New Roman"/>
          <w:szCs w:val="24"/>
        </w:rPr>
      </w:pPr>
      <w:r>
        <w:rPr>
          <w:rFonts w:cs="Times New Roman"/>
          <w:szCs w:val="24"/>
        </w:rPr>
        <w:t>T</w:t>
      </w:r>
      <w:r w:rsidRPr="00C73998">
        <w:rPr>
          <w:rFonts w:cs="Times New Roman"/>
          <w:szCs w:val="24"/>
        </w:rPr>
        <w:t xml:space="preserve">he bill implementing the CRS in New Zealand proposes that entities and accounts will only be within the other low risk </w:t>
      </w:r>
      <w:r w:rsidRPr="00F613C0">
        <w:rPr>
          <w:rFonts w:cs="Times New Roman"/>
          <w:szCs w:val="24"/>
        </w:rPr>
        <w:t>excluded entities (NRFI</w:t>
      </w:r>
      <w:r>
        <w:rPr>
          <w:rFonts w:cs="Times New Roman"/>
          <w:szCs w:val="24"/>
        </w:rPr>
        <w:t>s</w:t>
      </w:r>
      <w:r w:rsidRPr="00F613C0">
        <w:rPr>
          <w:rFonts w:cs="Times New Roman"/>
          <w:szCs w:val="24"/>
        </w:rPr>
        <w:t>)</w:t>
      </w:r>
      <w:r w:rsidRPr="00C73998">
        <w:rPr>
          <w:rFonts w:cs="Times New Roman"/>
          <w:szCs w:val="24"/>
        </w:rPr>
        <w:t xml:space="preserve"> or excluded account categories if approved by </w:t>
      </w:r>
      <w:r>
        <w:rPr>
          <w:rFonts w:cs="Times New Roman"/>
          <w:szCs w:val="24"/>
        </w:rPr>
        <w:t xml:space="preserve">Inland Revenue and published in a </w:t>
      </w:r>
      <w:r w:rsidRPr="00C73998">
        <w:rPr>
          <w:rFonts w:cs="Times New Roman"/>
          <w:szCs w:val="24"/>
        </w:rPr>
        <w:t>Commissioner’s determination.</w:t>
      </w:r>
    </w:p>
    <w:p w:rsidR="00F613C0" w:rsidRDefault="00F613C0" w:rsidP="00F613C0">
      <w:pPr>
        <w:rPr>
          <w:rFonts w:cs="Times New Roman"/>
          <w:szCs w:val="24"/>
        </w:rPr>
      </w:pPr>
    </w:p>
    <w:p w:rsidR="00924C2B" w:rsidRPr="00C73998" w:rsidRDefault="00924C2B" w:rsidP="009719AF">
      <w:pPr>
        <w:rPr>
          <w:rFonts w:cs="Times New Roman"/>
          <w:szCs w:val="24"/>
        </w:rPr>
      </w:pPr>
    </w:p>
    <w:p w:rsidR="009929AB" w:rsidRDefault="00277D82" w:rsidP="009929AB">
      <w:pPr>
        <w:pStyle w:val="Heading1"/>
      </w:pPr>
      <w:r>
        <w:t>Submission information</w:t>
      </w:r>
    </w:p>
    <w:p w:rsidR="00E24C7B" w:rsidRDefault="00E24C7B" w:rsidP="009719AF">
      <w:pPr>
        <w:rPr>
          <w:rFonts w:cs="Times New Roman"/>
          <w:szCs w:val="24"/>
        </w:rPr>
      </w:pPr>
    </w:p>
    <w:p w:rsidR="009929AB" w:rsidRPr="009929AB" w:rsidRDefault="00F613C0" w:rsidP="009929AB">
      <w:pPr>
        <w:pStyle w:val="Heading2"/>
      </w:pPr>
      <w:r>
        <w:t>Excluded entities (</w:t>
      </w:r>
      <w:r w:rsidR="009929AB" w:rsidRPr="009929AB">
        <w:t>NRFI</w:t>
      </w:r>
      <w:r w:rsidR="009929AB">
        <w:t>s</w:t>
      </w:r>
      <w:r>
        <w:t>)</w:t>
      </w:r>
    </w:p>
    <w:p w:rsidR="009929AB" w:rsidRDefault="009929AB" w:rsidP="009719AF">
      <w:pPr>
        <w:rPr>
          <w:rFonts w:cs="Times New Roman"/>
          <w:szCs w:val="24"/>
        </w:rPr>
      </w:pPr>
    </w:p>
    <w:p w:rsidR="00852E2D" w:rsidRPr="00C73998" w:rsidRDefault="00E24C7B" w:rsidP="009719AF">
      <w:pPr>
        <w:rPr>
          <w:rFonts w:cs="Times New Roman"/>
          <w:szCs w:val="24"/>
        </w:rPr>
      </w:pPr>
      <w:r>
        <w:rPr>
          <w:rFonts w:cs="Times New Roman"/>
          <w:szCs w:val="24"/>
        </w:rPr>
        <w:t>S</w:t>
      </w:r>
      <w:r w:rsidR="00852E2D" w:rsidRPr="00C73998">
        <w:rPr>
          <w:rFonts w:cs="Times New Roman"/>
          <w:szCs w:val="24"/>
        </w:rPr>
        <w:t xml:space="preserve">ubmissions </w:t>
      </w:r>
      <w:r w:rsidR="007A6CF1">
        <w:rPr>
          <w:rFonts w:cs="Times New Roman"/>
          <w:szCs w:val="24"/>
        </w:rPr>
        <w:t>to treat</w:t>
      </w:r>
      <w:r w:rsidR="00EB28AA">
        <w:rPr>
          <w:rFonts w:cs="Times New Roman"/>
          <w:szCs w:val="24"/>
        </w:rPr>
        <w:t xml:space="preserve"> a</w:t>
      </w:r>
      <w:r w:rsidR="00852E2D" w:rsidRPr="00C73998">
        <w:rPr>
          <w:rFonts w:cs="Times New Roman"/>
          <w:szCs w:val="24"/>
        </w:rPr>
        <w:t xml:space="preserve"> financial inst</w:t>
      </w:r>
      <w:r w:rsidR="009929AB">
        <w:rPr>
          <w:rFonts w:cs="Times New Roman"/>
          <w:szCs w:val="24"/>
        </w:rPr>
        <w:t>itution as a n</w:t>
      </w:r>
      <w:r w:rsidR="00852E2D" w:rsidRPr="00C73998">
        <w:rPr>
          <w:rFonts w:cs="Times New Roman"/>
          <w:szCs w:val="24"/>
        </w:rPr>
        <w:t>on-</w:t>
      </w:r>
      <w:r w:rsidR="009929AB">
        <w:rPr>
          <w:rFonts w:cs="Times New Roman"/>
          <w:szCs w:val="24"/>
        </w:rPr>
        <w:t>r</w:t>
      </w:r>
      <w:r w:rsidR="00852E2D" w:rsidRPr="00C73998">
        <w:rPr>
          <w:rFonts w:cs="Times New Roman"/>
          <w:szCs w:val="24"/>
        </w:rPr>
        <w:t xml:space="preserve">eporting </w:t>
      </w:r>
      <w:r w:rsidR="009929AB">
        <w:rPr>
          <w:rFonts w:cs="Times New Roman"/>
          <w:szCs w:val="24"/>
        </w:rPr>
        <w:t>financial i</w:t>
      </w:r>
      <w:r w:rsidR="00024D50">
        <w:rPr>
          <w:rFonts w:cs="Times New Roman"/>
          <w:szCs w:val="24"/>
        </w:rPr>
        <w:t>nstitution should cover</w:t>
      </w:r>
      <w:r w:rsidR="00852E2D" w:rsidRPr="00C73998">
        <w:rPr>
          <w:rFonts w:cs="Times New Roman"/>
          <w:szCs w:val="24"/>
        </w:rPr>
        <w:t>:</w:t>
      </w:r>
    </w:p>
    <w:p w:rsidR="00852E2D" w:rsidRPr="00C73998" w:rsidRDefault="00852E2D" w:rsidP="009719AF">
      <w:pPr>
        <w:rPr>
          <w:rFonts w:cs="Times New Roman"/>
          <w:szCs w:val="24"/>
        </w:rPr>
      </w:pPr>
    </w:p>
    <w:p w:rsidR="00852E2D" w:rsidRPr="00C73998" w:rsidRDefault="00852E2D" w:rsidP="009719AF">
      <w:pPr>
        <w:pStyle w:val="ListParagraph"/>
        <w:numPr>
          <w:ilvl w:val="0"/>
          <w:numId w:val="1"/>
        </w:numPr>
        <w:spacing w:after="140"/>
        <w:ind w:left="567" w:hanging="567"/>
        <w:rPr>
          <w:rFonts w:cs="Times New Roman"/>
          <w:szCs w:val="24"/>
        </w:rPr>
      </w:pPr>
      <w:r w:rsidRPr="00C73998">
        <w:rPr>
          <w:rFonts w:cs="Times New Roman"/>
          <w:szCs w:val="24"/>
        </w:rPr>
        <w:t>Why the entity is a financial institution u</w:t>
      </w:r>
      <w:r w:rsidR="009929AB">
        <w:rPr>
          <w:rFonts w:cs="Times New Roman"/>
          <w:szCs w:val="24"/>
        </w:rPr>
        <w:t>nder the CRS in the first place.</w:t>
      </w:r>
    </w:p>
    <w:p w:rsidR="00852E2D" w:rsidRPr="00C73998" w:rsidRDefault="00852E2D" w:rsidP="009719AF">
      <w:pPr>
        <w:pStyle w:val="ListParagraph"/>
        <w:numPr>
          <w:ilvl w:val="0"/>
          <w:numId w:val="1"/>
        </w:numPr>
        <w:spacing w:after="140"/>
        <w:ind w:left="567" w:hanging="567"/>
        <w:rPr>
          <w:rFonts w:cs="Times New Roman"/>
          <w:szCs w:val="24"/>
        </w:rPr>
      </w:pPr>
      <w:r w:rsidRPr="00C73998">
        <w:rPr>
          <w:rFonts w:cs="Times New Roman"/>
          <w:szCs w:val="24"/>
        </w:rPr>
        <w:t xml:space="preserve">Why the entity does not come within any of the other specific categories of </w:t>
      </w:r>
      <w:r w:rsidR="009929AB">
        <w:rPr>
          <w:rFonts w:cs="Times New Roman"/>
          <w:szCs w:val="24"/>
        </w:rPr>
        <w:t>n</w:t>
      </w:r>
      <w:r w:rsidRPr="00C73998">
        <w:rPr>
          <w:rFonts w:cs="Times New Roman"/>
          <w:szCs w:val="24"/>
        </w:rPr>
        <w:t>on-</w:t>
      </w:r>
      <w:r w:rsidR="009929AB">
        <w:rPr>
          <w:rFonts w:cs="Times New Roman"/>
          <w:szCs w:val="24"/>
        </w:rPr>
        <w:t>reporting financial institution.</w:t>
      </w:r>
    </w:p>
    <w:p w:rsidR="00852E2D" w:rsidRPr="00C73998" w:rsidRDefault="00852E2D" w:rsidP="009719AF">
      <w:pPr>
        <w:pStyle w:val="ListParagraph"/>
        <w:numPr>
          <w:ilvl w:val="0"/>
          <w:numId w:val="1"/>
        </w:numPr>
        <w:spacing w:after="140"/>
        <w:ind w:left="567" w:hanging="567"/>
        <w:rPr>
          <w:rFonts w:cs="Times New Roman"/>
          <w:szCs w:val="24"/>
        </w:rPr>
      </w:pPr>
      <w:r w:rsidRPr="00C73998">
        <w:rPr>
          <w:rFonts w:cs="Times New Roman"/>
          <w:szCs w:val="24"/>
        </w:rPr>
        <w:t>Whether the entity has substantially similar characteristics to any of the entities described in subparagraphs B(1)(a) and (b) of section VIII of the CRS,</w:t>
      </w:r>
      <w:r w:rsidR="00C947B6" w:rsidRPr="00C73998">
        <w:rPr>
          <w:rFonts w:cs="Times New Roman"/>
          <w:szCs w:val="24"/>
        </w:rPr>
        <w:t xml:space="preserve"> focussing specifically on those characteristics which are/are not similar, and whether there are substitute characteristics that provide a similar level of assurance that the entity presents a low risk of being used to evade tax</w:t>
      </w:r>
      <w:r w:rsidR="009929AB">
        <w:rPr>
          <w:rFonts w:cs="Times New Roman"/>
          <w:szCs w:val="24"/>
        </w:rPr>
        <w:t>.</w:t>
      </w:r>
    </w:p>
    <w:p w:rsidR="00852E2D" w:rsidRPr="00C73998" w:rsidRDefault="00852E2D" w:rsidP="009719AF">
      <w:pPr>
        <w:pStyle w:val="ListParagraph"/>
        <w:numPr>
          <w:ilvl w:val="0"/>
          <w:numId w:val="1"/>
        </w:numPr>
        <w:spacing w:after="140"/>
        <w:ind w:left="567" w:hanging="567"/>
        <w:rPr>
          <w:rFonts w:cs="Times New Roman"/>
          <w:szCs w:val="24"/>
        </w:rPr>
      </w:pPr>
      <w:r w:rsidRPr="00C73998">
        <w:rPr>
          <w:rFonts w:cs="Times New Roman"/>
          <w:szCs w:val="24"/>
        </w:rPr>
        <w:t xml:space="preserve">Why the entity presents a low risk of being used to evade tax in terms of the </w:t>
      </w:r>
      <w:r w:rsidR="00C947B6" w:rsidRPr="00C73998">
        <w:rPr>
          <w:rFonts w:cs="Times New Roman"/>
          <w:szCs w:val="24"/>
        </w:rPr>
        <w:t xml:space="preserve">following </w:t>
      </w:r>
      <w:r w:rsidRPr="00C73998">
        <w:rPr>
          <w:rFonts w:cs="Times New Roman"/>
          <w:szCs w:val="24"/>
        </w:rPr>
        <w:t>factors (</w:t>
      </w:r>
      <w:r w:rsidR="00C947B6" w:rsidRPr="00C73998">
        <w:rPr>
          <w:rFonts w:cs="Times New Roman"/>
          <w:szCs w:val="24"/>
        </w:rPr>
        <w:t xml:space="preserve">refer to </w:t>
      </w:r>
      <w:r w:rsidRPr="00C73998">
        <w:rPr>
          <w:rFonts w:cs="Times New Roman"/>
          <w:szCs w:val="24"/>
        </w:rPr>
        <w:t>pages 170</w:t>
      </w:r>
      <w:r w:rsidR="009929AB">
        <w:rPr>
          <w:rFonts w:cs="Times New Roman"/>
          <w:szCs w:val="24"/>
        </w:rPr>
        <w:t>–</w:t>
      </w:r>
      <w:r w:rsidRPr="00C73998">
        <w:rPr>
          <w:rFonts w:cs="Times New Roman"/>
          <w:szCs w:val="24"/>
        </w:rPr>
        <w:t>173 of the CRS commentary):</w:t>
      </w:r>
    </w:p>
    <w:p w:rsidR="00852E2D" w:rsidRPr="00C73998" w:rsidRDefault="00C947B6" w:rsidP="009719AF">
      <w:pPr>
        <w:pStyle w:val="ListParagraph"/>
        <w:numPr>
          <w:ilvl w:val="1"/>
          <w:numId w:val="5"/>
        </w:numPr>
        <w:spacing w:before="120" w:after="140"/>
        <w:ind w:left="1134" w:hanging="567"/>
        <w:rPr>
          <w:rFonts w:cs="Times New Roman"/>
          <w:b/>
          <w:szCs w:val="24"/>
          <w:u w:val="single"/>
        </w:rPr>
      </w:pPr>
      <w:r w:rsidRPr="00C73998">
        <w:rPr>
          <w:rFonts w:cs="Times New Roman"/>
          <w:szCs w:val="24"/>
        </w:rPr>
        <w:t>Regulation:</w:t>
      </w:r>
      <w:r w:rsidR="00E24C7B">
        <w:rPr>
          <w:rFonts w:cs="Times New Roman"/>
          <w:szCs w:val="24"/>
        </w:rPr>
        <w:t xml:space="preserve"> </w:t>
      </w:r>
      <w:r w:rsidRPr="00C73998">
        <w:rPr>
          <w:rFonts w:cs="Times New Roman"/>
          <w:szCs w:val="24"/>
        </w:rPr>
        <w:t xml:space="preserve"> </w:t>
      </w:r>
      <w:r w:rsidR="00852E2D" w:rsidRPr="00C73998">
        <w:rPr>
          <w:rFonts w:cs="Times New Roman"/>
          <w:szCs w:val="24"/>
        </w:rPr>
        <w:t>Is the entity subject to regulation in New Zealand?</w:t>
      </w:r>
      <w:r w:rsidR="009929AB">
        <w:rPr>
          <w:rFonts w:cs="Times New Roman"/>
          <w:szCs w:val="24"/>
        </w:rPr>
        <w:t xml:space="preserve"> </w:t>
      </w:r>
      <w:r w:rsidR="00852E2D" w:rsidRPr="00C73998">
        <w:rPr>
          <w:rFonts w:cs="Times New Roman"/>
          <w:szCs w:val="24"/>
        </w:rPr>
        <w:t xml:space="preserve"> If so, please describe the regulatory regime.</w:t>
      </w:r>
    </w:p>
    <w:p w:rsidR="00852E2D" w:rsidRPr="00C73998" w:rsidRDefault="00C947B6" w:rsidP="009719AF">
      <w:pPr>
        <w:pStyle w:val="ListParagraph"/>
        <w:numPr>
          <w:ilvl w:val="1"/>
          <w:numId w:val="5"/>
        </w:numPr>
        <w:spacing w:before="120" w:after="140"/>
        <w:ind w:left="1134" w:hanging="567"/>
        <w:rPr>
          <w:rFonts w:cs="Times New Roman"/>
          <w:b/>
          <w:szCs w:val="24"/>
          <w:u w:val="single"/>
        </w:rPr>
      </w:pPr>
      <w:r w:rsidRPr="00C73998">
        <w:rPr>
          <w:rFonts w:cs="Times New Roman"/>
          <w:szCs w:val="24"/>
        </w:rPr>
        <w:t>Reporting:</w:t>
      </w:r>
      <w:r w:rsidR="00E24C7B">
        <w:rPr>
          <w:rFonts w:cs="Times New Roman"/>
          <w:szCs w:val="24"/>
        </w:rPr>
        <w:t xml:space="preserve"> </w:t>
      </w:r>
      <w:r w:rsidRPr="00C73998">
        <w:rPr>
          <w:rFonts w:cs="Times New Roman"/>
          <w:szCs w:val="24"/>
        </w:rPr>
        <w:t xml:space="preserve"> </w:t>
      </w:r>
      <w:r w:rsidR="00852E2D" w:rsidRPr="00C73998">
        <w:rPr>
          <w:rFonts w:cs="Times New Roman"/>
          <w:szCs w:val="24"/>
        </w:rPr>
        <w:t xml:space="preserve">Is the entity required to report information on </w:t>
      </w:r>
      <w:r w:rsidR="009929AB">
        <w:rPr>
          <w:rFonts w:cs="Times New Roman"/>
          <w:szCs w:val="24"/>
        </w:rPr>
        <w:t>a</w:t>
      </w:r>
      <w:r w:rsidR="00852E2D" w:rsidRPr="00C73998">
        <w:rPr>
          <w:rFonts w:cs="Times New Roman"/>
          <w:szCs w:val="24"/>
        </w:rPr>
        <w:t xml:space="preserve">ccount </w:t>
      </w:r>
      <w:r w:rsidR="009929AB">
        <w:rPr>
          <w:rFonts w:cs="Times New Roman"/>
          <w:szCs w:val="24"/>
        </w:rPr>
        <w:t>h</w:t>
      </w:r>
      <w:r w:rsidR="00852E2D" w:rsidRPr="00C73998">
        <w:rPr>
          <w:rFonts w:cs="Times New Roman"/>
          <w:szCs w:val="24"/>
        </w:rPr>
        <w:t>olders to Inland Revenue?</w:t>
      </w:r>
    </w:p>
    <w:p w:rsidR="00852E2D" w:rsidRPr="00C73998" w:rsidRDefault="009929AB" w:rsidP="009719AF">
      <w:pPr>
        <w:pStyle w:val="ListParagraph"/>
        <w:numPr>
          <w:ilvl w:val="1"/>
          <w:numId w:val="5"/>
        </w:numPr>
        <w:spacing w:after="140"/>
        <w:ind w:left="1134" w:hanging="567"/>
        <w:rPr>
          <w:rFonts w:cs="Times New Roman"/>
          <w:szCs w:val="24"/>
        </w:rPr>
      </w:pPr>
      <w:r w:rsidRPr="00C73998">
        <w:rPr>
          <w:rFonts w:cs="Times New Roman"/>
          <w:szCs w:val="24"/>
        </w:rPr>
        <w:t>Anti-</w:t>
      </w:r>
      <w:r>
        <w:rPr>
          <w:rFonts w:cs="Times New Roman"/>
          <w:szCs w:val="24"/>
        </w:rPr>
        <w:t>m</w:t>
      </w:r>
      <w:r w:rsidRPr="00C73998">
        <w:rPr>
          <w:rFonts w:cs="Times New Roman"/>
          <w:szCs w:val="24"/>
        </w:rPr>
        <w:t xml:space="preserve">oney </w:t>
      </w:r>
      <w:r>
        <w:rPr>
          <w:rFonts w:cs="Times New Roman"/>
          <w:szCs w:val="24"/>
        </w:rPr>
        <w:t>l</w:t>
      </w:r>
      <w:r w:rsidRPr="00C73998">
        <w:rPr>
          <w:rFonts w:cs="Times New Roman"/>
          <w:szCs w:val="24"/>
        </w:rPr>
        <w:t>aundering</w:t>
      </w:r>
      <w:r w:rsidR="00C947B6" w:rsidRPr="00C73998">
        <w:rPr>
          <w:rFonts w:cs="Times New Roman"/>
          <w:szCs w:val="24"/>
        </w:rPr>
        <w:t>:</w:t>
      </w:r>
      <w:r w:rsidR="00E24C7B">
        <w:rPr>
          <w:rFonts w:cs="Times New Roman"/>
          <w:szCs w:val="24"/>
        </w:rPr>
        <w:t xml:space="preserve"> </w:t>
      </w:r>
      <w:r w:rsidR="00C947B6" w:rsidRPr="00C73998">
        <w:rPr>
          <w:rFonts w:cs="Times New Roman"/>
          <w:szCs w:val="24"/>
        </w:rPr>
        <w:t xml:space="preserve"> </w:t>
      </w:r>
      <w:r w:rsidR="00852E2D" w:rsidRPr="00C73998">
        <w:rPr>
          <w:rFonts w:cs="Times New Roman"/>
          <w:szCs w:val="24"/>
        </w:rPr>
        <w:t xml:space="preserve">Is the entity subject to the </w:t>
      </w:r>
      <w:r>
        <w:rPr>
          <w:rFonts w:cs="Times New Roman"/>
          <w:szCs w:val="24"/>
        </w:rPr>
        <w:t>a</w:t>
      </w:r>
      <w:r w:rsidR="00852E2D" w:rsidRPr="00C73998">
        <w:rPr>
          <w:rFonts w:cs="Times New Roman"/>
          <w:szCs w:val="24"/>
        </w:rPr>
        <w:t>nti-</w:t>
      </w:r>
      <w:r>
        <w:rPr>
          <w:rFonts w:cs="Times New Roman"/>
          <w:szCs w:val="24"/>
        </w:rPr>
        <w:t>m</w:t>
      </w:r>
      <w:r w:rsidR="00852E2D" w:rsidRPr="00C73998">
        <w:rPr>
          <w:rFonts w:cs="Times New Roman"/>
          <w:szCs w:val="24"/>
        </w:rPr>
        <w:t xml:space="preserve">oney </w:t>
      </w:r>
      <w:r>
        <w:rPr>
          <w:rFonts w:cs="Times New Roman"/>
          <w:szCs w:val="24"/>
        </w:rPr>
        <w:t>l</w:t>
      </w:r>
      <w:r w:rsidR="00852E2D" w:rsidRPr="00C73998">
        <w:rPr>
          <w:rFonts w:cs="Times New Roman"/>
          <w:szCs w:val="24"/>
        </w:rPr>
        <w:t>aundering/</w:t>
      </w:r>
      <w:r>
        <w:rPr>
          <w:rFonts w:cs="Times New Roman"/>
          <w:szCs w:val="24"/>
        </w:rPr>
        <w:t>k</w:t>
      </w:r>
      <w:r w:rsidR="00852E2D" w:rsidRPr="00C73998">
        <w:rPr>
          <w:rFonts w:cs="Times New Roman"/>
          <w:szCs w:val="24"/>
        </w:rPr>
        <w:t xml:space="preserve">now </w:t>
      </w:r>
      <w:r>
        <w:rPr>
          <w:rFonts w:cs="Times New Roman"/>
          <w:szCs w:val="24"/>
        </w:rPr>
        <w:t>y</w:t>
      </w:r>
      <w:r w:rsidR="00852E2D" w:rsidRPr="00C73998">
        <w:rPr>
          <w:rFonts w:cs="Times New Roman"/>
          <w:szCs w:val="24"/>
        </w:rPr>
        <w:t xml:space="preserve">our </w:t>
      </w:r>
      <w:r>
        <w:rPr>
          <w:rFonts w:cs="Times New Roman"/>
          <w:szCs w:val="24"/>
        </w:rPr>
        <w:t>c</w:t>
      </w:r>
      <w:r w:rsidR="00852E2D" w:rsidRPr="00C73998">
        <w:rPr>
          <w:rFonts w:cs="Times New Roman"/>
          <w:szCs w:val="24"/>
        </w:rPr>
        <w:t xml:space="preserve">ustomer </w:t>
      </w:r>
      <w:r>
        <w:rPr>
          <w:rFonts w:cs="Times New Roman"/>
          <w:szCs w:val="24"/>
        </w:rPr>
        <w:t>p</w:t>
      </w:r>
      <w:r w:rsidR="00852E2D" w:rsidRPr="00C73998">
        <w:rPr>
          <w:rFonts w:cs="Times New Roman"/>
          <w:szCs w:val="24"/>
        </w:rPr>
        <w:t>rocedures?</w:t>
      </w:r>
    </w:p>
    <w:p w:rsidR="00852E2D" w:rsidRPr="00C73998" w:rsidRDefault="00C947B6" w:rsidP="009719AF">
      <w:pPr>
        <w:pStyle w:val="ListParagraph"/>
        <w:numPr>
          <w:ilvl w:val="1"/>
          <w:numId w:val="5"/>
        </w:numPr>
        <w:ind w:left="1134" w:hanging="567"/>
        <w:rPr>
          <w:rFonts w:cs="Times New Roman"/>
          <w:szCs w:val="24"/>
        </w:rPr>
      </w:pPr>
      <w:r w:rsidRPr="00C73998">
        <w:rPr>
          <w:rFonts w:cs="Times New Roman"/>
          <w:szCs w:val="24"/>
        </w:rPr>
        <w:t xml:space="preserve">Other: </w:t>
      </w:r>
      <w:r w:rsidR="00E24C7B">
        <w:rPr>
          <w:rFonts w:cs="Times New Roman"/>
          <w:szCs w:val="24"/>
        </w:rPr>
        <w:t xml:space="preserve"> </w:t>
      </w:r>
      <w:r w:rsidR="00852E2D" w:rsidRPr="00C73998">
        <w:rPr>
          <w:rFonts w:cs="Times New Roman"/>
          <w:szCs w:val="24"/>
        </w:rPr>
        <w:t>Are there any other reasons why the entity presents a low risk of being used for tax evasion?</w:t>
      </w:r>
      <w:r w:rsidR="00EA6C02" w:rsidRPr="00C73998">
        <w:rPr>
          <w:rFonts w:cs="Times New Roman"/>
          <w:szCs w:val="24"/>
        </w:rPr>
        <w:t xml:space="preserve"> </w:t>
      </w:r>
      <w:r w:rsidR="00C73998">
        <w:rPr>
          <w:rFonts w:cs="Times New Roman"/>
          <w:szCs w:val="24"/>
        </w:rPr>
        <w:t xml:space="preserve"> </w:t>
      </w:r>
      <w:r w:rsidR="00EA6C02" w:rsidRPr="00C73998">
        <w:rPr>
          <w:rFonts w:cs="Times New Roman"/>
          <w:szCs w:val="24"/>
        </w:rPr>
        <w:t>What are they?</w:t>
      </w:r>
    </w:p>
    <w:p w:rsidR="00852E2D" w:rsidRPr="009929AB" w:rsidRDefault="00852E2D" w:rsidP="009929AB"/>
    <w:p w:rsidR="00C947B6" w:rsidRPr="009719AF" w:rsidRDefault="00C947B6" w:rsidP="009929AB">
      <w:pPr>
        <w:pStyle w:val="Heading2"/>
      </w:pPr>
      <w:r w:rsidRPr="009719AF">
        <w:t>Excluded account</w:t>
      </w:r>
      <w:r w:rsidR="00924C2B">
        <w:t>s</w:t>
      </w:r>
    </w:p>
    <w:p w:rsidR="003C11DD" w:rsidRPr="00C73998" w:rsidRDefault="003C11DD" w:rsidP="009719AF">
      <w:pPr>
        <w:rPr>
          <w:rFonts w:cs="Times New Roman"/>
          <w:szCs w:val="24"/>
        </w:rPr>
      </w:pPr>
    </w:p>
    <w:p w:rsidR="00852E2D" w:rsidRPr="00C73998" w:rsidRDefault="00E24C7B" w:rsidP="009719AF">
      <w:pPr>
        <w:rPr>
          <w:rFonts w:cs="Times New Roman"/>
          <w:szCs w:val="24"/>
        </w:rPr>
      </w:pPr>
      <w:r>
        <w:rPr>
          <w:rFonts w:cs="Times New Roman"/>
          <w:szCs w:val="24"/>
        </w:rPr>
        <w:t>S</w:t>
      </w:r>
      <w:r w:rsidR="00852E2D" w:rsidRPr="00C73998">
        <w:rPr>
          <w:rFonts w:cs="Times New Roman"/>
          <w:szCs w:val="24"/>
        </w:rPr>
        <w:t xml:space="preserve">ubmissions </w:t>
      </w:r>
      <w:r w:rsidR="007A6CF1">
        <w:rPr>
          <w:rFonts w:cs="Times New Roman"/>
          <w:szCs w:val="24"/>
        </w:rPr>
        <w:t xml:space="preserve">to treat </w:t>
      </w:r>
      <w:r w:rsidR="00852E2D" w:rsidRPr="00C73998">
        <w:rPr>
          <w:rFonts w:cs="Times New Roman"/>
          <w:szCs w:val="24"/>
        </w:rPr>
        <w:t>a financial a</w:t>
      </w:r>
      <w:r w:rsidR="009929AB">
        <w:rPr>
          <w:rFonts w:cs="Times New Roman"/>
          <w:szCs w:val="24"/>
        </w:rPr>
        <w:t>ccount as an e</w:t>
      </w:r>
      <w:r w:rsidR="00852E2D" w:rsidRPr="00C73998">
        <w:rPr>
          <w:rFonts w:cs="Times New Roman"/>
          <w:szCs w:val="24"/>
        </w:rPr>
        <w:t xml:space="preserve">xcluded </w:t>
      </w:r>
      <w:r w:rsidR="009929AB">
        <w:rPr>
          <w:rFonts w:cs="Times New Roman"/>
          <w:szCs w:val="24"/>
        </w:rPr>
        <w:t>a</w:t>
      </w:r>
      <w:r w:rsidR="00852E2D" w:rsidRPr="00C73998">
        <w:rPr>
          <w:rFonts w:cs="Times New Roman"/>
          <w:szCs w:val="24"/>
        </w:rPr>
        <w:t>ccount should cover:</w:t>
      </w:r>
    </w:p>
    <w:p w:rsidR="00852E2D" w:rsidRPr="00C73998" w:rsidRDefault="00852E2D" w:rsidP="009719AF">
      <w:pPr>
        <w:rPr>
          <w:rFonts w:cs="Times New Roman"/>
          <w:szCs w:val="24"/>
        </w:rPr>
      </w:pPr>
    </w:p>
    <w:p w:rsidR="00852E2D" w:rsidRPr="00C73998" w:rsidRDefault="00852E2D" w:rsidP="009719AF">
      <w:pPr>
        <w:pStyle w:val="ListParagraph"/>
        <w:numPr>
          <w:ilvl w:val="0"/>
          <w:numId w:val="1"/>
        </w:numPr>
        <w:spacing w:after="140"/>
        <w:ind w:left="567" w:hanging="567"/>
        <w:rPr>
          <w:rFonts w:cs="Times New Roman"/>
          <w:szCs w:val="24"/>
        </w:rPr>
      </w:pPr>
      <w:r w:rsidRPr="00C73998">
        <w:rPr>
          <w:rFonts w:cs="Times New Roman"/>
          <w:szCs w:val="24"/>
        </w:rPr>
        <w:t>Why the account is a financial account u</w:t>
      </w:r>
      <w:r w:rsidR="009929AB">
        <w:rPr>
          <w:rFonts w:cs="Times New Roman"/>
          <w:szCs w:val="24"/>
        </w:rPr>
        <w:t>nder the CRS in the first place.</w:t>
      </w:r>
    </w:p>
    <w:p w:rsidR="00C947B6" w:rsidRPr="00C73998" w:rsidRDefault="00C947B6" w:rsidP="009719AF">
      <w:pPr>
        <w:pStyle w:val="ListParagraph"/>
        <w:numPr>
          <w:ilvl w:val="0"/>
          <w:numId w:val="1"/>
        </w:numPr>
        <w:spacing w:after="140"/>
        <w:ind w:left="567" w:hanging="567"/>
        <w:rPr>
          <w:rFonts w:cs="Times New Roman"/>
          <w:szCs w:val="24"/>
        </w:rPr>
      </w:pPr>
      <w:r w:rsidRPr="00C73998">
        <w:rPr>
          <w:rFonts w:cs="Times New Roman"/>
          <w:szCs w:val="24"/>
        </w:rPr>
        <w:t xml:space="preserve">Why the account does not come within any of the other specific </w:t>
      </w:r>
      <w:r w:rsidR="009929AB">
        <w:rPr>
          <w:rFonts w:cs="Times New Roman"/>
          <w:szCs w:val="24"/>
        </w:rPr>
        <w:t>categories of excluded account.</w:t>
      </w:r>
    </w:p>
    <w:p w:rsidR="00C947B6" w:rsidRPr="00C73998" w:rsidRDefault="00C947B6" w:rsidP="009719AF">
      <w:pPr>
        <w:pStyle w:val="ListParagraph"/>
        <w:numPr>
          <w:ilvl w:val="0"/>
          <w:numId w:val="1"/>
        </w:numPr>
        <w:spacing w:after="140"/>
        <w:ind w:left="567" w:hanging="567"/>
        <w:rPr>
          <w:rFonts w:cs="Times New Roman"/>
          <w:szCs w:val="24"/>
        </w:rPr>
      </w:pPr>
      <w:r w:rsidRPr="00C73998">
        <w:rPr>
          <w:rFonts w:cs="Times New Roman"/>
          <w:szCs w:val="24"/>
        </w:rPr>
        <w:lastRenderedPageBreak/>
        <w:t>Whether the account has substantially similar characteristics to any of the accounts described in sub-paragraphs C(17)(a)-(f) of section VIII of the CRS, focussing specifically on those characteristics which are/are not similar, and whether there are substitute characteristics that provide a similar level of assurance that the account presents a low risk of being used to evade tax</w:t>
      </w:r>
      <w:r w:rsidR="009929AB">
        <w:rPr>
          <w:rFonts w:cs="Times New Roman"/>
          <w:szCs w:val="24"/>
        </w:rPr>
        <w:t>.</w:t>
      </w:r>
    </w:p>
    <w:p w:rsidR="00C947B6" w:rsidRPr="00C73998" w:rsidRDefault="00852E2D" w:rsidP="009719AF">
      <w:pPr>
        <w:pStyle w:val="ListParagraph"/>
        <w:numPr>
          <w:ilvl w:val="0"/>
          <w:numId w:val="1"/>
        </w:numPr>
        <w:spacing w:after="140"/>
        <w:ind w:left="567" w:hanging="567"/>
        <w:rPr>
          <w:rFonts w:cs="Times New Roman"/>
          <w:szCs w:val="24"/>
        </w:rPr>
      </w:pPr>
      <w:r w:rsidRPr="00C73998">
        <w:rPr>
          <w:rFonts w:cs="Times New Roman"/>
          <w:szCs w:val="24"/>
        </w:rPr>
        <w:t xml:space="preserve">Why the account presents a low risk of being used to evade tax in terms of the </w:t>
      </w:r>
      <w:r w:rsidR="00C947B6" w:rsidRPr="00C73998">
        <w:rPr>
          <w:rFonts w:cs="Times New Roman"/>
          <w:szCs w:val="24"/>
        </w:rPr>
        <w:t xml:space="preserve">following </w:t>
      </w:r>
      <w:r w:rsidRPr="00C73998">
        <w:rPr>
          <w:rFonts w:cs="Times New Roman"/>
          <w:szCs w:val="24"/>
        </w:rPr>
        <w:t xml:space="preserve">factors </w:t>
      </w:r>
      <w:r w:rsidR="00C947B6" w:rsidRPr="00C73998">
        <w:rPr>
          <w:rFonts w:cs="Times New Roman"/>
          <w:szCs w:val="24"/>
        </w:rPr>
        <w:t xml:space="preserve">(refer to </w:t>
      </w:r>
      <w:r w:rsidRPr="00C73998">
        <w:rPr>
          <w:rFonts w:cs="Times New Roman"/>
          <w:szCs w:val="24"/>
        </w:rPr>
        <w:t>pages 187</w:t>
      </w:r>
      <w:r w:rsidR="009929AB">
        <w:rPr>
          <w:rFonts w:cs="Times New Roman"/>
          <w:szCs w:val="24"/>
        </w:rPr>
        <w:t>–</w:t>
      </w:r>
      <w:r w:rsidRPr="00C73998">
        <w:rPr>
          <w:rFonts w:cs="Times New Roman"/>
          <w:szCs w:val="24"/>
        </w:rPr>
        <w:t>190 of the CRS commentary)</w:t>
      </w:r>
      <w:r w:rsidR="00C947B6" w:rsidRPr="00C73998">
        <w:rPr>
          <w:rFonts w:cs="Times New Roman"/>
          <w:szCs w:val="24"/>
        </w:rPr>
        <w:t>:</w:t>
      </w:r>
    </w:p>
    <w:p w:rsidR="00852E2D" w:rsidRPr="00C73998" w:rsidRDefault="00C947B6" w:rsidP="009719AF">
      <w:pPr>
        <w:pStyle w:val="ListParagraph"/>
        <w:numPr>
          <w:ilvl w:val="1"/>
          <w:numId w:val="7"/>
        </w:numPr>
        <w:spacing w:after="140"/>
        <w:ind w:left="1134" w:hanging="567"/>
        <w:rPr>
          <w:rFonts w:cs="Times New Roman"/>
          <w:szCs w:val="24"/>
        </w:rPr>
      </w:pPr>
      <w:r w:rsidRPr="00C73998">
        <w:rPr>
          <w:rFonts w:cs="Times New Roman"/>
          <w:szCs w:val="24"/>
        </w:rPr>
        <w:t>Regulation:</w:t>
      </w:r>
      <w:r w:rsidR="00E24C7B">
        <w:rPr>
          <w:rFonts w:cs="Times New Roman"/>
          <w:szCs w:val="24"/>
        </w:rPr>
        <w:t xml:space="preserve"> </w:t>
      </w:r>
      <w:r w:rsidRPr="00C73998">
        <w:rPr>
          <w:rFonts w:cs="Times New Roman"/>
          <w:szCs w:val="24"/>
        </w:rPr>
        <w:t xml:space="preserve"> Is the account subjec</w:t>
      </w:r>
      <w:r w:rsidR="00C73998">
        <w:rPr>
          <w:rFonts w:cs="Times New Roman"/>
          <w:szCs w:val="24"/>
        </w:rPr>
        <w:t>t</w:t>
      </w:r>
      <w:r w:rsidRPr="00C73998">
        <w:rPr>
          <w:rFonts w:cs="Times New Roman"/>
          <w:szCs w:val="24"/>
        </w:rPr>
        <w:t xml:space="preserve"> to regulation in New Zealand? </w:t>
      </w:r>
      <w:r w:rsidR="00C73998">
        <w:rPr>
          <w:rFonts w:cs="Times New Roman"/>
          <w:szCs w:val="24"/>
        </w:rPr>
        <w:t xml:space="preserve"> </w:t>
      </w:r>
      <w:r w:rsidRPr="00C73998">
        <w:rPr>
          <w:rFonts w:cs="Times New Roman"/>
          <w:szCs w:val="24"/>
        </w:rPr>
        <w:t>If so please describe the regulatory regime.</w:t>
      </w:r>
    </w:p>
    <w:p w:rsidR="00C947B6" w:rsidRPr="00C73998" w:rsidRDefault="00C947B6" w:rsidP="009719AF">
      <w:pPr>
        <w:pStyle w:val="ListParagraph"/>
        <w:numPr>
          <w:ilvl w:val="1"/>
          <w:numId w:val="7"/>
        </w:numPr>
        <w:spacing w:before="120" w:after="140"/>
        <w:ind w:left="1134" w:hanging="567"/>
        <w:rPr>
          <w:rFonts w:cs="Times New Roman"/>
          <w:b/>
          <w:szCs w:val="24"/>
          <w:u w:val="single"/>
        </w:rPr>
      </w:pPr>
      <w:r w:rsidRPr="00C73998">
        <w:rPr>
          <w:rFonts w:cs="Times New Roman"/>
          <w:szCs w:val="24"/>
        </w:rPr>
        <w:t xml:space="preserve">Tax-favoured: </w:t>
      </w:r>
      <w:r w:rsidR="00E24C7B">
        <w:rPr>
          <w:rFonts w:cs="Times New Roman"/>
          <w:szCs w:val="24"/>
        </w:rPr>
        <w:t xml:space="preserve"> </w:t>
      </w:r>
      <w:r w:rsidRPr="00C73998">
        <w:rPr>
          <w:rFonts w:cs="Times New Roman"/>
          <w:szCs w:val="24"/>
        </w:rPr>
        <w:t>Is the account tax-favoured (</w:t>
      </w:r>
      <w:r w:rsidR="009929AB">
        <w:rPr>
          <w:rFonts w:cs="Times New Roman"/>
          <w:szCs w:val="24"/>
        </w:rPr>
        <w:t>a</w:t>
      </w:r>
      <w:r w:rsidRPr="00C73998">
        <w:rPr>
          <w:rFonts w:cs="Times New Roman"/>
          <w:szCs w:val="24"/>
        </w:rPr>
        <w:t>re contributions to the account that would otherwise be subject to tax deductible or excluded from the gross income of the account holder or taxed at a reduced rate, or is the taxation of investment income from the account deferred or taxed at a reduced rate)?</w:t>
      </w:r>
    </w:p>
    <w:p w:rsidR="00C947B6" w:rsidRPr="00C73998" w:rsidRDefault="00C947B6" w:rsidP="009719AF">
      <w:pPr>
        <w:pStyle w:val="ListParagraph"/>
        <w:numPr>
          <w:ilvl w:val="1"/>
          <w:numId w:val="7"/>
        </w:numPr>
        <w:spacing w:before="120" w:after="140"/>
        <w:ind w:left="1134" w:hanging="567"/>
        <w:rPr>
          <w:rFonts w:cs="Times New Roman"/>
          <w:b/>
          <w:szCs w:val="24"/>
          <w:u w:val="single"/>
        </w:rPr>
      </w:pPr>
      <w:r w:rsidRPr="00C73998">
        <w:rPr>
          <w:rFonts w:cs="Times New Roman"/>
          <w:szCs w:val="24"/>
        </w:rPr>
        <w:t>Reporting:</w:t>
      </w:r>
      <w:r w:rsidR="00E24C7B">
        <w:rPr>
          <w:rFonts w:cs="Times New Roman"/>
          <w:szCs w:val="24"/>
        </w:rPr>
        <w:t xml:space="preserve"> </w:t>
      </w:r>
      <w:r w:rsidRPr="00C73998">
        <w:rPr>
          <w:rFonts w:cs="Times New Roman"/>
          <w:szCs w:val="24"/>
        </w:rPr>
        <w:t xml:space="preserve"> Is information required to be reported to Inland Revenue </w:t>
      </w:r>
      <w:r w:rsidR="009929AB">
        <w:rPr>
          <w:rFonts w:cs="Times New Roman"/>
          <w:szCs w:val="24"/>
        </w:rPr>
        <w:t>for</w:t>
      </w:r>
      <w:r w:rsidRPr="00C73998">
        <w:rPr>
          <w:rFonts w:cs="Times New Roman"/>
          <w:szCs w:val="24"/>
        </w:rPr>
        <w:t xml:space="preserve"> the account?</w:t>
      </w:r>
    </w:p>
    <w:p w:rsidR="00C947B6" w:rsidRPr="00C73998" w:rsidRDefault="00EA6C02" w:rsidP="009719AF">
      <w:pPr>
        <w:pStyle w:val="ListParagraph"/>
        <w:numPr>
          <w:ilvl w:val="1"/>
          <w:numId w:val="7"/>
        </w:numPr>
        <w:spacing w:before="120" w:after="140"/>
        <w:ind w:left="1134" w:hanging="567"/>
        <w:rPr>
          <w:rFonts w:cs="Times New Roman"/>
          <w:szCs w:val="24"/>
        </w:rPr>
      </w:pPr>
      <w:r w:rsidRPr="00C73998">
        <w:rPr>
          <w:rFonts w:cs="Times New Roman"/>
          <w:szCs w:val="24"/>
        </w:rPr>
        <w:t xml:space="preserve">Limited contributions: </w:t>
      </w:r>
      <w:r w:rsidR="00E24C7B">
        <w:rPr>
          <w:rFonts w:cs="Times New Roman"/>
          <w:szCs w:val="24"/>
        </w:rPr>
        <w:t xml:space="preserve"> </w:t>
      </w:r>
      <w:r w:rsidRPr="00C73998">
        <w:rPr>
          <w:rFonts w:cs="Times New Roman"/>
          <w:szCs w:val="24"/>
        </w:rPr>
        <w:t>Are c</w:t>
      </w:r>
      <w:r w:rsidR="00C947B6" w:rsidRPr="00C73998">
        <w:rPr>
          <w:rFonts w:cs="Times New Roman"/>
          <w:szCs w:val="24"/>
        </w:rPr>
        <w:t xml:space="preserve">ontributions to the account </w:t>
      </w:r>
      <w:r w:rsidRPr="00C73998">
        <w:rPr>
          <w:rFonts w:cs="Times New Roman"/>
          <w:szCs w:val="24"/>
        </w:rPr>
        <w:t>(</w:t>
      </w:r>
      <w:r w:rsidR="00C947B6" w:rsidRPr="00C73998">
        <w:rPr>
          <w:rFonts w:cs="Times New Roman"/>
          <w:szCs w:val="24"/>
        </w:rPr>
        <w:t>or the associated tax relief</w:t>
      </w:r>
      <w:r w:rsidRPr="00C73998">
        <w:rPr>
          <w:rFonts w:cs="Times New Roman"/>
          <w:szCs w:val="24"/>
        </w:rPr>
        <w:t>)</w:t>
      </w:r>
      <w:r w:rsidR="00C947B6" w:rsidRPr="00C73998">
        <w:rPr>
          <w:rFonts w:cs="Times New Roman"/>
          <w:szCs w:val="24"/>
        </w:rPr>
        <w:t xml:space="preserve"> limited?</w:t>
      </w:r>
    </w:p>
    <w:p w:rsidR="00C947B6" w:rsidRPr="00C73998" w:rsidRDefault="00EA6C02" w:rsidP="009719AF">
      <w:pPr>
        <w:pStyle w:val="ListParagraph"/>
        <w:numPr>
          <w:ilvl w:val="1"/>
          <w:numId w:val="9"/>
        </w:numPr>
        <w:spacing w:after="140"/>
        <w:ind w:left="1134" w:hanging="567"/>
        <w:rPr>
          <w:rFonts w:cs="Times New Roman"/>
          <w:b/>
          <w:szCs w:val="24"/>
          <w:u w:val="single"/>
        </w:rPr>
      </w:pPr>
      <w:r w:rsidRPr="00C73998">
        <w:rPr>
          <w:rFonts w:cs="Times New Roman"/>
          <w:szCs w:val="24"/>
        </w:rPr>
        <w:t xml:space="preserve">Limited service: </w:t>
      </w:r>
      <w:r w:rsidR="00E24C7B">
        <w:rPr>
          <w:rFonts w:cs="Times New Roman"/>
          <w:szCs w:val="24"/>
        </w:rPr>
        <w:t xml:space="preserve"> </w:t>
      </w:r>
      <w:r w:rsidRPr="00C73998">
        <w:rPr>
          <w:rFonts w:cs="Times New Roman"/>
          <w:szCs w:val="24"/>
        </w:rPr>
        <w:t>Does this type of account provide</w:t>
      </w:r>
      <w:r w:rsidR="00C947B6" w:rsidRPr="00C73998">
        <w:rPr>
          <w:rFonts w:cs="Times New Roman"/>
          <w:szCs w:val="24"/>
        </w:rPr>
        <w:t xml:space="preserve"> appropriately defined and limited services to certain types of customers, so as to increase access for financial inclusion purposes?</w:t>
      </w:r>
    </w:p>
    <w:p w:rsidR="00C947B6" w:rsidRPr="00C73998" w:rsidRDefault="009929AB" w:rsidP="009719AF">
      <w:pPr>
        <w:pStyle w:val="ListParagraph"/>
        <w:numPr>
          <w:ilvl w:val="1"/>
          <w:numId w:val="9"/>
        </w:numPr>
        <w:spacing w:after="140"/>
        <w:ind w:left="1134" w:hanging="567"/>
        <w:rPr>
          <w:rFonts w:cs="Times New Roman"/>
          <w:b/>
          <w:szCs w:val="24"/>
          <w:u w:val="single"/>
        </w:rPr>
      </w:pPr>
      <w:r w:rsidRPr="00C73998">
        <w:rPr>
          <w:rFonts w:cs="Times New Roman"/>
          <w:szCs w:val="24"/>
        </w:rPr>
        <w:t>Anti-</w:t>
      </w:r>
      <w:r>
        <w:rPr>
          <w:rFonts w:cs="Times New Roman"/>
          <w:szCs w:val="24"/>
        </w:rPr>
        <w:t>m</w:t>
      </w:r>
      <w:r w:rsidRPr="00C73998">
        <w:rPr>
          <w:rFonts w:cs="Times New Roman"/>
          <w:szCs w:val="24"/>
        </w:rPr>
        <w:t xml:space="preserve">oney </w:t>
      </w:r>
      <w:r>
        <w:rPr>
          <w:rFonts w:cs="Times New Roman"/>
          <w:szCs w:val="24"/>
        </w:rPr>
        <w:t>l</w:t>
      </w:r>
      <w:r w:rsidRPr="00C73998">
        <w:rPr>
          <w:rFonts w:cs="Times New Roman"/>
          <w:szCs w:val="24"/>
        </w:rPr>
        <w:t>aundering</w:t>
      </w:r>
      <w:r w:rsidR="00EA6C02" w:rsidRPr="00C73998">
        <w:rPr>
          <w:rFonts w:cs="Times New Roman"/>
          <w:szCs w:val="24"/>
        </w:rPr>
        <w:t xml:space="preserve">: </w:t>
      </w:r>
      <w:r w:rsidR="00E24C7B">
        <w:rPr>
          <w:rFonts w:cs="Times New Roman"/>
          <w:szCs w:val="24"/>
        </w:rPr>
        <w:t xml:space="preserve"> </w:t>
      </w:r>
      <w:r w:rsidR="00EA6C02" w:rsidRPr="00C73998">
        <w:rPr>
          <w:rFonts w:cs="Times New Roman"/>
          <w:szCs w:val="24"/>
        </w:rPr>
        <w:t>Is t</w:t>
      </w:r>
      <w:r w:rsidR="00C947B6" w:rsidRPr="00C73998">
        <w:rPr>
          <w:rFonts w:cs="Times New Roman"/>
          <w:szCs w:val="24"/>
        </w:rPr>
        <w:t xml:space="preserve">his type of account subject to the </w:t>
      </w:r>
      <w:r>
        <w:rPr>
          <w:rFonts w:cs="Times New Roman"/>
          <w:szCs w:val="24"/>
        </w:rPr>
        <w:t>a</w:t>
      </w:r>
      <w:r w:rsidRPr="00C73998">
        <w:rPr>
          <w:rFonts w:cs="Times New Roman"/>
          <w:szCs w:val="24"/>
        </w:rPr>
        <w:t>nti-</w:t>
      </w:r>
      <w:r>
        <w:rPr>
          <w:rFonts w:cs="Times New Roman"/>
          <w:szCs w:val="24"/>
        </w:rPr>
        <w:t>m</w:t>
      </w:r>
      <w:r w:rsidRPr="00C73998">
        <w:rPr>
          <w:rFonts w:cs="Times New Roman"/>
          <w:szCs w:val="24"/>
        </w:rPr>
        <w:t xml:space="preserve">oney </w:t>
      </w:r>
      <w:r>
        <w:rPr>
          <w:rFonts w:cs="Times New Roman"/>
          <w:szCs w:val="24"/>
        </w:rPr>
        <w:t>l</w:t>
      </w:r>
      <w:r w:rsidRPr="00C73998">
        <w:rPr>
          <w:rFonts w:cs="Times New Roman"/>
          <w:szCs w:val="24"/>
        </w:rPr>
        <w:t>aundering/</w:t>
      </w:r>
      <w:r>
        <w:rPr>
          <w:rFonts w:cs="Times New Roman"/>
          <w:szCs w:val="24"/>
        </w:rPr>
        <w:t>k</w:t>
      </w:r>
      <w:r w:rsidRPr="00C73998">
        <w:rPr>
          <w:rFonts w:cs="Times New Roman"/>
          <w:szCs w:val="24"/>
        </w:rPr>
        <w:t xml:space="preserve">now </w:t>
      </w:r>
      <w:r>
        <w:rPr>
          <w:rFonts w:cs="Times New Roman"/>
          <w:szCs w:val="24"/>
        </w:rPr>
        <w:t>y</w:t>
      </w:r>
      <w:r w:rsidRPr="00C73998">
        <w:rPr>
          <w:rFonts w:cs="Times New Roman"/>
          <w:szCs w:val="24"/>
        </w:rPr>
        <w:t xml:space="preserve">our </w:t>
      </w:r>
      <w:r>
        <w:rPr>
          <w:rFonts w:cs="Times New Roman"/>
          <w:szCs w:val="24"/>
        </w:rPr>
        <w:t>c</w:t>
      </w:r>
      <w:r w:rsidRPr="00C73998">
        <w:rPr>
          <w:rFonts w:cs="Times New Roman"/>
          <w:szCs w:val="24"/>
        </w:rPr>
        <w:t xml:space="preserve">ustomer </w:t>
      </w:r>
      <w:r>
        <w:rPr>
          <w:rFonts w:cs="Times New Roman"/>
          <w:szCs w:val="24"/>
        </w:rPr>
        <w:t>p</w:t>
      </w:r>
      <w:r w:rsidRPr="00C73998">
        <w:rPr>
          <w:rFonts w:cs="Times New Roman"/>
          <w:szCs w:val="24"/>
        </w:rPr>
        <w:t>rocedures</w:t>
      </w:r>
      <w:r w:rsidR="00C947B6" w:rsidRPr="00C73998">
        <w:rPr>
          <w:rFonts w:cs="Times New Roman"/>
          <w:szCs w:val="24"/>
        </w:rPr>
        <w:t>?</w:t>
      </w:r>
    </w:p>
    <w:p w:rsidR="00C947B6" w:rsidRPr="00C73998" w:rsidRDefault="00EA6C02" w:rsidP="009719AF">
      <w:pPr>
        <w:pStyle w:val="ListParagraph"/>
        <w:numPr>
          <w:ilvl w:val="1"/>
          <w:numId w:val="9"/>
        </w:numPr>
        <w:ind w:left="1134" w:hanging="567"/>
        <w:rPr>
          <w:rFonts w:cs="Times New Roman"/>
          <w:szCs w:val="24"/>
        </w:rPr>
      </w:pPr>
      <w:r w:rsidRPr="00C73998">
        <w:rPr>
          <w:rFonts w:cs="Times New Roman"/>
          <w:szCs w:val="24"/>
        </w:rPr>
        <w:t xml:space="preserve">Other: </w:t>
      </w:r>
      <w:r w:rsidR="00E24C7B">
        <w:rPr>
          <w:rFonts w:cs="Times New Roman"/>
          <w:szCs w:val="24"/>
        </w:rPr>
        <w:t xml:space="preserve"> </w:t>
      </w:r>
      <w:r w:rsidRPr="00C73998">
        <w:rPr>
          <w:rFonts w:cs="Times New Roman"/>
          <w:szCs w:val="24"/>
        </w:rPr>
        <w:t xml:space="preserve">Are there any other reasons why this account presents a low risk of being used for tax evasion? </w:t>
      </w:r>
      <w:r w:rsidR="009929AB">
        <w:rPr>
          <w:rFonts w:cs="Times New Roman"/>
          <w:szCs w:val="24"/>
        </w:rPr>
        <w:t xml:space="preserve"> </w:t>
      </w:r>
      <w:r w:rsidRPr="00C73998">
        <w:rPr>
          <w:rFonts w:cs="Times New Roman"/>
          <w:szCs w:val="24"/>
        </w:rPr>
        <w:t>What are they?</w:t>
      </w:r>
    </w:p>
    <w:sectPr w:rsidR="00C947B6" w:rsidRPr="00C7399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9AF" w:rsidRDefault="009719AF" w:rsidP="009719AF">
      <w:r>
        <w:separator/>
      </w:r>
    </w:p>
  </w:endnote>
  <w:endnote w:type="continuationSeparator" w:id="0">
    <w:p w:rsidR="009719AF" w:rsidRDefault="009719AF" w:rsidP="0097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0627463"/>
      <w:docPartObj>
        <w:docPartGallery w:val="Page Numbers (Bottom of Page)"/>
        <w:docPartUnique/>
      </w:docPartObj>
    </w:sdtPr>
    <w:sdtEndPr>
      <w:rPr>
        <w:noProof/>
      </w:rPr>
    </w:sdtEndPr>
    <w:sdtContent>
      <w:p w:rsidR="009719AF" w:rsidRPr="009929AB" w:rsidRDefault="009929AB" w:rsidP="009929AB">
        <w:pPr>
          <w:pStyle w:val="Footer"/>
          <w:jc w:val="center"/>
        </w:pPr>
        <w:r w:rsidRPr="009929AB">
          <w:rPr>
            <w:sz w:val="22"/>
          </w:rPr>
          <w:fldChar w:fldCharType="begin"/>
        </w:r>
        <w:r w:rsidRPr="009929AB">
          <w:rPr>
            <w:sz w:val="22"/>
          </w:rPr>
          <w:instrText xml:space="preserve"> PAGE   \* MERGEFORMAT </w:instrText>
        </w:r>
        <w:r w:rsidRPr="009929AB">
          <w:rPr>
            <w:sz w:val="22"/>
          </w:rPr>
          <w:fldChar w:fldCharType="separate"/>
        </w:r>
        <w:r w:rsidR="00F4373F">
          <w:rPr>
            <w:noProof/>
            <w:sz w:val="22"/>
          </w:rPr>
          <w:t>1</w:t>
        </w:r>
        <w:r w:rsidRPr="009929AB">
          <w:rPr>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9AF" w:rsidRDefault="009719AF" w:rsidP="009719AF">
      <w:r>
        <w:separator/>
      </w:r>
    </w:p>
  </w:footnote>
  <w:footnote w:type="continuationSeparator" w:id="0">
    <w:p w:rsidR="009719AF" w:rsidRDefault="009719AF" w:rsidP="00971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C21"/>
    <w:multiLevelType w:val="hybridMultilevel"/>
    <w:tmpl w:val="6482523A"/>
    <w:lvl w:ilvl="0" w:tplc="3098A7C2">
      <w:numFmt w:val="bullet"/>
      <w:lvlText w:val=""/>
      <w:lvlJc w:val="left"/>
      <w:pPr>
        <w:ind w:left="720" w:hanging="360"/>
      </w:pPr>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nsid w:val="1965009C"/>
    <w:multiLevelType w:val="hybridMultilevel"/>
    <w:tmpl w:val="31B425F0"/>
    <w:lvl w:ilvl="0" w:tplc="81F893F4">
      <w:start w:val="1"/>
      <w:numFmt w:val="bullet"/>
      <w:lvlText w:val="­"/>
      <w:lvlJc w:val="left"/>
      <w:pPr>
        <w:ind w:left="720" w:hanging="360"/>
      </w:pPr>
      <w:rPr>
        <w:rFonts w:ascii="Courier New" w:hAnsi="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D173AFB"/>
    <w:multiLevelType w:val="hybridMultilevel"/>
    <w:tmpl w:val="D4848C5C"/>
    <w:lvl w:ilvl="0" w:tplc="81F893F4">
      <w:start w:val="1"/>
      <w:numFmt w:val="bullet"/>
      <w:lvlText w:val="­"/>
      <w:lvlJc w:val="left"/>
      <w:pPr>
        <w:ind w:left="720" w:hanging="360"/>
      </w:pPr>
      <w:rPr>
        <w:rFonts w:ascii="Courier New" w:hAnsi="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B23148A"/>
    <w:multiLevelType w:val="hybridMultilevel"/>
    <w:tmpl w:val="3F72479A"/>
    <w:lvl w:ilvl="0" w:tplc="81F893F4">
      <w:start w:val="1"/>
      <w:numFmt w:val="bullet"/>
      <w:lvlText w:val="­"/>
      <w:lvlJc w:val="left"/>
      <w:pPr>
        <w:ind w:left="720" w:hanging="360"/>
      </w:pPr>
      <w:rPr>
        <w:rFonts w:ascii="Courier New" w:hAnsi="Courier New" w:hint="default"/>
      </w:rPr>
    </w:lvl>
    <w:lvl w:ilvl="1" w:tplc="81F893F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EF74FDD"/>
    <w:multiLevelType w:val="hybridMultilevel"/>
    <w:tmpl w:val="4A82E3DA"/>
    <w:lvl w:ilvl="0" w:tplc="81F893F4">
      <w:start w:val="1"/>
      <w:numFmt w:val="bullet"/>
      <w:lvlText w:val="­"/>
      <w:lvlJc w:val="left"/>
      <w:pPr>
        <w:ind w:left="720" w:hanging="360"/>
      </w:pPr>
      <w:rPr>
        <w:rFonts w:ascii="Courier New" w:hAnsi="Courier New" w:hint="default"/>
      </w:rPr>
    </w:lvl>
    <w:lvl w:ilvl="1" w:tplc="81F893F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490A4232"/>
    <w:multiLevelType w:val="hybridMultilevel"/>
    <w:tmpl w:val="547EFE4A"/>
    <w:lvl w:ilvl="0" w:tplc="81F893F4">
      <w:start w:val="1"/>
      <w:numFmt w:val="bullet"/>
      <w:lvlText w:val="­"/>
      <w:lvlJc w:val="left"/>
      <w:pPr>
        <w:ind w:left="720" w:hanging="360"/>
      </w:pPr>
      <w:rPr>
        <w:rFonts w:ascii="Courier New" w:hAnsi="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5C6A100A"/>
    <w:multiLevelType w:val="hybridMultilevel"/>
    <w:tmpl w:val="0F00E56E"/>
    <w:lvl w:ilvl="0" w:tplc="81F893F4">
      <w:start w:val="1"/>
      <w:numFmt w:val="bullet"/>
      <w:lvlText w:val="­"/>
      <w:lvlJc w:val="left"/>
      <w:pPr>
        <w:ind w:left="720" w:hanging="360"/>
      </w:pPr>
      <w:rPr>
        <w:rFonts w:ascii="Courier New" w:hAnsi="Courier New" w:hint="default"/>
      </w:rPr>
    </w:lvl>
    <w:lvl w:ilvl="1" w:tplc="81F893F4">
      <w:start w:val="1"/>
      <w:numFmt w:val="bullet"/>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EFE06CC"/>
    <w:multiLevelType w:val="hybridMultilevel"/>
    <w:tmpl w:val="842E566E"/>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790209B7"/>
    <w:multiLevelType w:val="hybridMultilevel"/>
    <w:tmpl w:val="DC4CD2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4"/>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E2D"/>
    <w:rsid w:val="00024D50"/>
    <w:rsid w:val="00037F25"/>
    <w:rsid w:val="00077774"/>
    <w:rsid w:val="00265530"/>
    <w:rsid w:val="002746D6"/>
    <w:rsid w:val="00277D82"/>
    <w:rsid w:val="00281740"/>
    <w:rsid w:val="002D7A5B"/>
    <w:rsid w:val="003C11DD"/>
    <w:rsid w:val="00514760"/>
    <w:rsid w:val="0065740A"/>
    <w:rsid w:val="006727E3"/>
    <w:rsid w:val="006F164A"/>
    <w:rsid w:val="006F3BAC"/>
    <w:rsid w:val="00745BEB"/>
    <w:rsid w:val="007A6CF1"/>
    <w:rsid w:val="008066DB"/>
    <w:rsid w:val="0082043C"/>
    <w:rsid w:val="00852E2D"/>
    <w:rsid w:val="00924C2B"/>
    <w:rsid w:val="00953DCF"/>
    <w:rsid w:val="009719AF"/>
    <w:rsid w:val="009929AB"/>
    <w:rsid w:val="00AA5785"/>
    <w:rsid w:val="00BE6026"/>
    <w:rsid w:val="00C73998"/>
    <w:rsid w:val="00C947B6"/>
    <w:rsid w:val="00D62E74"/>
    <w:rsid w:val="00D8013D"/>
    <w:rsid w:val="00DB347B"/>
    <w:rsid w:val="00DB7AB9"/>
    <w:rsid w:val="00E24C7B"/>
    <w:rsid w:val="00EA6C02"/>
    <w:rsid w:val="00EB28AA"/>
    <w:rsid w:val="00EE6768"/>
    <w:rsid w:val="00F4373F"/>
    <w:rsid w:val="00F613C0"/>
    <w:rsid w:val="00F75102"/>
    <w:rsid w:val="00F82AAD"/>
    <w:rsid w:val="00F848DE"/>
    <w:rsid w:val="00FC7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AB"/>
    <w:pPr>
      <w:spacing w:after="0" w:line="240" w:lineRule="auto"/>
    </w:pPr>
    <w:rPr>
      <w:rFonts w:ascii="Times New Roman" w:hAnsi="Times New Roman" w:cs="Calibri"/>
      <w:sz w:val="24"/>
    </w:rPr>
  </w:style>
  <w:style w:type="paragraph" w:styleId="Heading1">
    <w:name w:val="heading 1"/>
    <w:basedOn w:val="Normal"/>
    <w:next w:val="Normal"/>
    <w:link w:val="Heading1Char"/>
    <w:uiPriority w:val="9"/>
    <w:qFormat/>
    <w:rsid w:val="00F82AAD"/>
    <w:pPr>
      <w:outlineLvl w:val="0"/>
    </w:pPr>
    <w:rPr>
      <w:rFonts w:cs="Times New Roman"/>
      <w:b/>
      <w:szCs w:val="24"/>
    </w:rPr>
  </w:style>
  <w:style w:type="paragraph" w:styleId="Heading2">
    <w:name w:val="heading 2"/>
    <w:basedOn w:val="Normal"/>
    <w:next w:val="Normal"/>
    <w:link w:val="Heading2Char"/>
    <w:uiPriority w:val="9"/>
    <w:unhideWhenUsed/>
    <w:qFormat/>
    <w:rsid w:val="009929AB"/>
    <w:pPr>
      <w:outlineLvl w:val="1"/>
    </w:pPr>
    <w:rPr>
      <w:rFonts w:cs="Times New Roman"/>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E2D"/>
    <w:rPr>
      <w:color w:val="0000FF"/>
      <w:u w:val="single"/>
    </w:rPr>
  </w:style>
  <w:style w:type="paragraph" w:styleId="ListParagraph">
    <w:name w:val="List Paragraph"/>
    <w:basedOn w:val="Normal"/>
    <w:uiPriority w:val="34"/>
    <w:qFormat/>
    <w:rsid w:val="00852E2D"/>
    <w:pPr>
      <w:ind w:left="720"/>
    </w:pPr>
  </w:style>
  <w:style w:type="character" w:styleId="CommentReference">
    <w:name w:val="annotation reference"/>
    <w:basedOn w:val="DefaultParagraphFont"/>
    <w:uiPriority w:val="99"/>
    <w:semiHidden/>
    <w:unhideWhenUsed/>
    <w:rsid w:val="00852E2D"/>
    <w:rPr>
      <w:sz w:val="16"/>
      <w:szCs w:val="16"/>
    </w:rPr>
  </w:style>
  <w:style w:type="paragraph" w:styleId="CommentText">
    <w:name w:val="annotation text"/>
    <w:basedOn w:val="Normal"/>
    <w:link w:val="CommentTextChar"/>
    <w:uiPriority w:val="99"/>
    <w:semiHidden/>
    <w:unhideWhenUsed/>
    <w:rsid w:val="00852E2D"/>
    <w:rPr>
      <w:sz w:val="20"/>
      <w:szCs w:val="20"/>
    </w:rPr>
  </w:style>
  <w:style w:type="character" w:customStyle="1" w:styleId="CommentTextChar">
    <w:name w:val="Comment Text Char"/>
    <w:basedOn w:val="DefaultParagraphFont"/>
    <w:link w:val="CommentText"/>
    <w:uiPriority w:val="99"/>
    <w:semiHidden/>
    <w:rsid w:val="00852E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2E2D"/>
    <w:rPr>
      <w:b/>
      <w:bCs/>
    </w:rPr>
  </w:style>
  <w:style w:type="character" w:customStyle="1" w:styleId="CommentSubjectChar">
    <w:name w:val="Comment Subject Char"/>
    <w:basedOn w:val="CommentTextChar"/>
    <w:link w:val="CommentSubject"/>
    <w:uiPriority w:val="99"/>
    <w:semiHidden/>
    <w:rsid w:val="00852E2D"/>
    <w:rPr>
      <w:rFonts w:ascii="Calibri" w:hAnsi="Calibri" w:cs="Calibri"/>
      <w:b/>
      <w:bCs/>
      <w:sz w:val="20"/>
      <w:szCs w:val="20"/>
    </w:rPr>
  </w:style>
  <w:style w:type="paragraph" w:styleId="BalloonText">
    <w:name w:val="Balloon Text"/>
    <w:basedOn w:val="Normal"/>
    <w:link w:val="BalloonTextChar"/>
    <w:uiPriority w:val="99"/>
    <w:semiHidden/>
    <w:unhideWhenUsed/>
    <w:rsid w:val="00852E2D"/>
    <w:rPr>
      <w:rFonts w:ascii="Tahoma" w:hAnsi="Tahoma" w:cs="Tahoma"/>
      <w:sz w:val="16"/>
      <w:szCs w:val="16"/>
    </w:rPr>
  </w:style>
  <w:style w:type="character" w:customStyle="1" w:styleId="BalloonTextChar">
    <w:name w:val="Balloon Text Char"/>
    <w:basedOn w:val="DefaultParagraphFont"/>
    <w:link w:val="BalloonText"/>
    <w:uiPriority w:val="99"/>
    <w:semiHidden/>
    <w:rsid w:val="00852E2D"/>
    <w:rPr>
      <w:rFonts w:ascii="Tahoma" w:hAnsi="Tahoma" w:cs="Tahoma"/>
      <w:sz w:val="16"/>
      <w:szCs w:val="16"/>
    </w:rPr>
  </w:style>
  <w:style w:type="paragraph" w:styleId="FootnoteText">
    <w:name w:val="footnote text"/>
    <w:basedOn w:val="Normal"/>
    <w:link w:val="FootnoteTextChar"/>
    <w:uiPriority w:val="99"/>
    <w:semiHidden/>
    <w:unhideWhenUsed/>
    <w:rsid w:val="00852E2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52E2D"/>
    <w:rPr>
      <w:sz w:val="20"/>
      <w:szCs w:val="20"/>
    </w:rPr>
  </w:style>
  <w:style w:type="table" w:styleId="TableGrid">
    <w:name w:val="Table Grid"/>
    <w:basedOn w:val="TableNormal"/>
    <w:rsid w:val="009719AF"/>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19AF"/>
    <w:pPr>
      <w:tabs>
        <w:tab w:val="center" w:pos="4513"/>
        <w:tab w:val="right" w:pos="9026"/>
      </w:tabs>
    </w:pPr>
  </w:style>
  <w:style w:type="character" w:customStyle="1" w:styleId="HeaderChar">
    <w:name w:val="Header Char"/>
    <w:basedOn w:val="DefaultParagraphFont"/>
    <w:link w:val="Header"/>
    <w:uiPriority w:val="99"/>
    <w:rsid w:val="009719AF"/>
    <w:rPr>
      <w:rFonts w:ascii="Calibri" w:hAnsi="Calibri" w:cs="Calibri"/>
    </w:rPr>
  </w:style>
  <w:style w:type="paragraph" w:styleId="Footer">
    <w:name w:val="footer"/>
    <w:basedOn w:val="Normal"/>
    <w:link w:val="FooterChar"/>
    <w:uiPriority w:val="99"/>
    <w:unhideWhenUsed/>
    <w:rsid w:val="009719AF"/>
    <w:pPr>
      <w:tabs>
        <w:tab w:val="center" w:pos="4513"/>
        <w:tab w:val="right" w:pos="9026"/>
      </w:tabs>
    </w:pPr>
  </w:style>
  <w:style w:type="character" w:customStyle="1" w:styleId="FooterChar">
    <w:name w:val="Footer Char"/>
    <w:basedOn w:val="DefaultParagraphFont"/>
    <w:link w:val="Footer"/>
    <w:uiPriority w:val="99"/>
    <w:rsid w:val="009719AF"/>
    <w:rPr>
      <w:rFonts w:ascii="Calibri" w:hAnsi="Calibri" w:cs="Calibri"/>
    </w:rPr>
  </w:style>
  <w:style w:type="character" w:customStyle="1" w:styleId="Heading1Char">
    <w:name w:val="Heading 1 Char"/>
    <w:basedOn w:val="DefaultParagraphFont"/>
    <w:link w:val="Heading1"/>
    <w:uiPriority w:val="9"/>
    <w:rsid w:val="00F82AAD"/>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929AB"/>
    <w:rPr>
      <w:rFonts w:ascii="Times New Roman" w:hAnsi="Times New Roman" w:cs="Times New Roman"/>
      <w:b/>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AB"/>
    <w:pPr>
      <w:spacing w:after="0" w:line="240" w:lineRule="auto"/>
    </w:pPr>
    <w:rPr>
      <w:rFonts w:ascii="Times New Roman" w:hAnsi="Times New Roman" w:cs="Calibri"/>
      <w:sz w:val="24"/>
    </w:rPr>
  </w:style>
  <w:style w:type="paragraph" w:styleId="Heading1">
    <w:name w:val="heading 1"/>
    <w:basedOn w:val="Normal"/>
    <w:next w:val="Normal"/>
    <w:link w:val="Heading1Char"/>
    <w:uiPriority w:val="9"/>
    <w:qFormat/>
    <w:rsid w:val="00F82AAD"/>
    <w:pPr>
      <w:outlineLvl w:val="0"/>
    </w:pPr>
    <w:rPr>
      <w:rFonts w:cs="Times New Roman"/>
      <w:b/>
      <w:szCs w:val="24"/>
    </w:rPr>
  </w:style>
  <w:style w:type="paragraph" w:styleId="Heading2">
    <w:name w:val="heading 2"/>
    <w:basedOn w:val="Normal"/>
    <w:next w:val="Normal"/>
    <w:link w:val="Heading2Char"/>
    <w:uiPriority w:val="9"/>
    <w:unhideWhenUsed/>
    <w:qFormat/>
    <w:rsid w:val="009929AB"/>
    <w:pPr>
      <w:outlineLvl w:val="1"/>
    </w:pPr>
    <w:rPr>
      <w:rFonts w:cs="Times New Roman"/>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E2D"/>
    <w:rPr>
      <w:color w:val="0000FF"/>
      <w:u w:val="single"/>
    </w:rPr>
  </w:style>
  <w:style w:type="paragraph" w:styleId="ListParagraph">
    <w:name w:val="List Paragraph"/>
    <w:basedOn w:val="Normal"/>
    <w:uiPriority w:val="34"/>
    <w:qFormat/>
    <w:rsid w:val="00852E2D"/>
    <w:pPr>
      <w:ind w:left="720"/>
    </w:pPr>
  </w:style>
  <w:style w:type="character" w:styleId="CommentReference">
    <w:name w:val="annotation reference"/>
    <w:basedOn w:val="DefaultParagraphFont"/>
    <w:uiPriority w:val="99"/>
    <w:semiHidden/>
    <w:unhideWhenUsed/>
    <w:rsid w:val="00852E2D"/>
    <w:rPr>
      <w:sz w:val="16"/>
      <w:szCs w:val="16"/>
    </w:rPr>
  </w:style>
  <w:style w:type="paragraph" w:styleId="CommentText">
    <w:name w:val="annotation text"/>
    <w:basedOn w:val="Normal"/>
    <w:link w:val="CommentTextChar"/>
    <w:uiPriority w:val="99"/>
    <w:semiHidden/>
    <w:unhideWhenUsed/>
    <w:rsid w:val="00852E2D"/>
    <w:rPr>
      <w:sz w:val="20"/>
      <w:szCs w:val="20"/>
    </w:rPr>
  </w:style>
  <w:style w:type="character" w:customStyle="1" w:styleId="CommentTextChar">
    <w:name w:val="Comment Text Char"/>
    <w:basedOn w:val="DefaultParagraphFont"/>
    <w:link w:val="CommentText"/>
    <w:uiPriority w:val="99"/>
    <w:semiHidden/>
    <w:rsid w:val="00852E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852E2D"/>
    <w:rPr>
      <w:b/>
      <w:bCs/>
    </w:rPr>
  </w:style>
  <w:style w:type="character" w:customStyle="1" w:styleId="CommentSubjectChar">
    <w:name w:val="Comment Subject Char"/>
    <w:basedOn w:val="CommentTextChar"/>
    <w:link w:val="CommentSubject"/>
    <w:uiPriority w:val="99"/>
    <w:semiHidden/>
    <w:rsid w:val="00852E2D"/>
    <w:rPr>
      <w:rFonts w:ascii="Calibri" w:hAnsi="Calibri" w:cs="Calibri"/>
      <w:b/>
      <w:bCs/>
      <w:sz w:val="20"/>
      <w:szCs w:val="20"/>
    </w:rPr>
  </w:style>
  <w:style w:type="paragraph" w:styleId="BalloonText">
    <w:name w:val="Balloon Text"/>
    <w:basedOn w:val="Normal"/>
    <w:link w:val="BalloonTextChar"/>
    <w:uiPriority w:val="99"/>
    <w:semiHidden/>
    <w:unhideWhenUsed/>
    <w:rsid w:val="00852E2D"/>
    <w:rPr>
      <w:rFonts w:ascii="Tahoma" w:hAnsi="Tahoma" w:cs="Tahoma"/>
      <w:sz w:val="16"/>
      <w:szCs w:val="16"/>
    </w:rPr>
  </w:style>
  <w:style w:type="character" w:customStyle="1" w:styleId="BalloonTextChar">
    <w:name w:val="Balloon Text Char"/>
    <w:basedOn w:val="DefaultParagraphFont"/>
    <w:link w:val="BalloonText"/>
    <w:uiPriority w:val="99"/>
    <w:semiHidden/>
    <w:rsid w:val="00852E2D"/>
    <w:rPr>
      <w:rFonts w:ascii="Tahoma" w:hAnsi="Tahoma" w:cs="Tahoma"/>
      <w:sz w:val="16"/>
      <w:szCs w:val="16"/>
    </w:rPr>
  </w:style>
  <w:style w:type="paragraph" w:styleId="FootnoteText">
    <w:name w:val="footnote text"/>
    <w:basedOn w:val="Normal"/>
    <w:link w:val="FootnoteTextChar"/>
    <w:uiPriority w:val="99"/>
    <w:semiHidden/>
    <w:unhideWhenUsed/>
    <w:rsid w:val="00852E2D"/>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52E2D"/>
    <w:rPr>
      <w:sz w:val="20"/>
      <w:szCs w:val="20"/>
    </w:rPr>
  </w:style>
  <w:style w:type="table" w:styleId="TableGrid">
    <w:name w:val="Table Grid"/>
    <w:basedOn w:val="TableNormal"/>
    <w:rsid w:val="009719AF"/>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719AF"/>
    <w:pPr>
      <w:tabs>
        <w:tab w:val="center" w:pos="4513"/>
        <w:tab w:val="right" w:pos="9026"/>
      </w:tabs>
    </w:pPr>
  </w:style>
  <w:style w:type="character" w:customStyle="1" w:styleId="HeaderChar">
    <w:name w:val="Header Char"/>
    <w:basedOn w:val="DefaultParagraphFont"/>
    <w:link w:val="Header"/>
    <w:uiPriority w:val="99"/>
    <w:rsid w:val="009719AF"/>
    <w:rPr>
      <w:rFonts w:ascii="Calibri" w:hAnsi="Calibri" w:cs="Calibri"/>
    </w:rPr>
  </w:style>
  <w:style w:type="paragraph" w:styleId="Footer">
    <w:name w:val="footer"/>
    <w:basedOn w:val="Normal"/>
    <w:link w:val="FooterChar"/>
    <w:uiPriority w:val="99"/>
    <w:unhideWhenUsed/>
    <w:rsid w:val="009719AF"/>
    <w:pPr>
      <w:tabs>
        <w:tab w:val="center" w:pos="4513"/>
        <w:tab w:val="right" w:pos="9026"/>
      </w:tabs>
    </w:pPr>
  </w:style>
  <w:style w:type="character" w:customStyle="1" w:styleId="FooterChar">
    <w:name w:val="Footer Char"/>
    <w:basedOn w:val="DefaultParagraphFont"/>
    <w:link w:val="Footer"/>
    <w:uiPriority w:val="99"/>
    <w:rsid w:val="009719AF"/>
    <w:rPr>
      <w:rFonts w:ascii="Calibri" w:hAnsi="Calibri" w:cs="Calibri"/>
    </w:rPr>
  </w:style>
  <w:style w:type="character" w:customStyle="1" w:styleId="Heading1Char">
    <w:name w:val="Heading 1 Char"/>
    <w:basedOn w:val="DefaultParagraphFont"/>
    <w:link w:val="Heading1"/>
    <w:uiPriority w:val="9"/>
    <w:rsid w:val="00F82AAD"/>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929AB"/>
    <w:rPr>
      <w:rFonts w:ascii="Times New Roman" w:hAnsi="Times New Roman"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ecd.org/tax/automatic-exchange/common-reporting-standard/" TargetMode="External"/><Relationship Id="rId4" Type="http://schemas.openxmlformats.org/officeDocument/2006/relationships/settings" Target="settings.xml"/><Relationship Id="rId9" Type="http://schemas.openxmlformats.org/officeDocument/2006/relationships/hyperlink" Target="mailto:policy.webmaster@ird.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4872</Characters>
  <Application>Microsoft Office Word</Application>
  <DocSecurity>0</DocSecurity>
  <Lines>121</Lines>
  <Paragraphs>49</Paragraphs>
  <ScaleCrop>false</ScaleCrop>
  <HeadingPairs>
    <vt:vector size="2" baseType="variant">
      <vt:variant>
        <vt:lpstr>Title</vt:lpstr>
      </vt:variant>
      <vt:variant>
        <vt:i4>1</vt:i4>
      </vt:variant>
    </vt:vector>
  </HeadingPairs>
  <TitlesOfParts>
    <vt:vector size="1" baseType="lpstr">
      <vt:lpstr>Automatic exchange of information: Request for submissions – excluded entities (non-reporting financial institutions) and excluded accounts lists (November 2016)</vt:lpstr>
    </vt:vector>
  </TitlesOfParts>
  <Manager/>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exchange of information: Request for submissions – excluded entities (non-reporting financial institutions) and excluded accounts lists (November 2016)</dc:title>
  <dc:creator/>
  <dc:description>Published Novemebr 2016</dc:description>
  <cp:lastModifiedBy/>
  <cp:revision>1</cp:revision>
  <dcterms:created xsi:type="dcterms:W3CDTF">2016-11-21T02:10:00Z</dcterms:created>
  <dcterms:modified xsi:type="dcterms:W3CDTF">2016-11-21T02:11:00Z</dcterms:modified>
</cp:coreProperties>
</file>